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600" w:lineRule="exact"/>
        <w:jc w:val="center"/>
        <w:rPr>
          <w:rFonts w:ascii="方正小标宋_GBK" w:hAnsi="方正小标宋_GBK" w:eastAsia="方正小标宋_GBK" w:cs="方正小标宋_GBK"/>
          <w:color w:val="000000"/>
          <w:sz w:val="40"/>
          <w:szCs w:val="40"/>
        </w:rPr>
      </w:pPr>
      <w:r>
        <w:rPr>
          <w:rFonts w:hint="eastAsia" w:ascii="方正小标宋_GBK" w:hAnsi="方正小标宋_GBK" w:eastAsia="方正小标宋_GBK" w:cs="方正小标宋_GBK"/>
          <w:color w:val="000000"/>
          <w:sz w:val="40"/>
          <w:szCs w:val="40"/>
        </w:rPr>
        <w:t>《永泰县城西片区庵后组团控制性详细规划修编》</w:t>
      </w:r>
    </w:p>
    <w:p>
      <w:pPr>
        <w:spacing w:line="600" w:lineRule="exact"/>
        <w:jc w:val="center"/>
        <w:rPr>
          <w:rFonts w:ascii="方正小标宋_GBK" w:hAnsi="方正小标宋_GBK" w:eastAsia="方正小标宋_GBK" w:cs="方正小标宋_GBK"/>
          <w:color w:val="000000"/>
          <w:sz w:val="40"/>
          <w:szCs w:val="40"/>
        </w:rPr>
      </w:pPr>
      <w:r>
        <w:rPr>
          <w:rFonts w:hint="eastAsia" w:ascii="方正小标宋_GBK" w:hAnsi="方正小标宋_GBK" w:eastAsia="方正小标宋_GBK" w:cs="方正小标宋_GBK"/>
          <w:color w:val="000000"/>
          <w:sz w:val="40"/>
          <w:szCs w:val="40"/>
        </w:rPr>
        <w:t>的公示稿</w:t>
      </w:r>
    </w:p>
    <w:p>
      <w:pPr>
        <w:widowControl/>
        <w:spacing w:line="600" w:lineRule="exact"/>
        <w:ind w:firstLine="640" w:firstLineChars="200"/>
        <w:jc w:val="center"/>
        <w:rPr>
          <w:rFonts w:ascii="楷体" w:hAnsi="楷体" w:eastAsia="楷体" w:cs="楷体"/>
          <w:color w:val="000000"/>
          <w:sz w:val="32"/>
          <w:szCs w:val="32"/>
        </w:rPr>
      </w:pPr>
    </w:p>
    <w:p>
      <w:pPr>
        <w:spacing w:line="600" w:lineRule="exact"/>
        <w:ind w:firstLine="640" w:firstLineChars="200"/>
        <w:rPr>
          <w:rFonts w:ascii="黑体" w:hAnsi="黑体" w:eastAsia="黑体" w:cs="黑体"/>
          <w:color w:val="000000"/>
          <w:sz w:val="32"/>
          <w:szCs w:val="32"/>
        </w:rPr>
      </w:pPr>
      <w:r>
        <w:rPr>
          <w:rFonts w:hint="eastAsia" w:ascii="黑体" w:hAnsi="黑体" w:eastAsia="黑体" w:cs="黑体"/>
          <w:color w:val="000000"/>
          <w:sz w:val="32"/>
          <w:szCs w:val="32"/>
        </w:rPr>
        <w:t>一、主要内容</w:t>
      </w:r>
    </w:p>
    <w:p>
      <w:pPr>
        <w:spacing w:line="600" w:lineRule="exact"/>
        <w:ind w:firstLine="640" w:firstLineChars="200"/>
        <w:rPr>
          <w:rFonts w:hint="eastAsia" w:ascii="黑体" w:hAnsi="黑体" w:eastAsia="黑体" w:cs="黑体"/>
          <w:b w:val="0"/>
          <w:bCs w:val="0"/>
          <w:color w:val="000000"/>
          <w:sz w:val="32"/>
          <w:szCs w:val="32"/>
        </w:rPr>
      </w:pPr>
      <w:r>
        <w:rPr>
          <w:rFonts w:hint="eastAsia" w:ascii="黑体" w:hAnsi="黑体" w:eastAsia="黑体" w:cs="黑体"/>
          <w:b w:val="0"/>
          <w:bCs w:val="0"/>
          <w:color w:val="000000"/>
          <w:sz w:val="32"/>
          <w:szCs w:val="32"/>
        </w:rPr>
        <w:t>（一）规划范围</w:t>
      </w:r>
    </w:p>
    <w:p>
      <w:pPr>
        <w:spacing w:line="60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本次规划区位于城西片区西组团内，规划总用地面积23.79公顷。四至范围：南至向莆铁路，东、西、北三面均与自然山体相接。</w:t>
      </w:r>
    </w:p>
    <w:p>
      <w:pPr>
        <w:spacing w:line="600" w:lineRule="exact"/>
        <w:ind w:firstLine="640" w:firstLineChars="200"/>
        <w:rPr>
          <w:rFonts w:hint="eastAsia" w:ascii="黑体" w:hAnsi="黑体" w:eastAsia="黑体" w:cs="黑体"/>
          <w:b w:val="0"/>
          <w:bCs w:val="0"/>
          <w:color w:val="000000"/>
          <w:sz w:val="32"/>
          <w:szCs w:val="32"/>
        </w:rPr>
      </w:pPr>
      <w:r>
        <w:rPr>
          <w:rFonts w:hint="eastAsia" w:ascii="黑体" w:hAnsi="黑体" w:eastAsia="黑体" w:cs="黑体"/>
          <w:b w:val="0"/>
          <w:bCs w:val="0"/>
          <w:color w:val="000000"/>
          <w:sz w:val="32"/>
          <w:szCs w:val="32"/>
        </w:rPr>
        <w:t>（二）用地布局</w:t>
      </w:r>
    </w:p>
    <w:p>
      <w:pPr>
        <w:spacing w:line="60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1.居住用地：保留现状安置地，</w:t>
      </w:r>
      <w:bookmarkStart w:id="0" w:name="_Hlk92201931"/>
      <w:r>
        <w:rPr>
          <w:rFonts w:hint="eastAsia" w:ascii="仿宋_GB2312" w:hAnsi="仿宋_GB2312" w:eastAsia="仿宋_GB2312" w:cs="仿宋_GB2312"/>
          <w:color w:val="000000"/>
          <w:sz w:val="32"/>
          <w:szCs w:val="32"/>
        </w:rPr>
        <w:t>并在安置地东、西、南三面新增二类城镇住宅用地面积</w:t>
      </w:r>
      <w:bookmarkEnd w:id="0"/>
      <w:r>
        <w:rPr>
          <w:rFonts w:hint="eastAsia" w:ascii="仿宋_GB2312" w:hAnsi="仿宋_GB2312" w:eastAsia="仿宋_GB2312" w:cs="仿宋_GB2312"/>
          <w:color w:val="000000"/>
          <w:sz w:val="32"/>
          <w:szCs w:val="32"/>
        </w:rPr>
        <w:t>。规划二类城镇住宅用地面积2.15公顷。</w:t>
      </w:r>
    </w:p>
    <w:p>
      <w:pPr>
        <w:spacing w:line="60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2.工业用地：规划沿三环路东西两侧布局二类工业用地，拟作为酒类生产用地。</w:t>
      </w:r>
    </w:p>
    <w:p>
      <w:pPr>
        <w:spacing w:line="60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3.铁路用地：保留规划区西南侧铁路用地，铁路用地面积0.7公顷。</w:t>
      </w:r>
    </w:p>
    <w:p>
      <w:pPr>
        <w:spacing w:line="60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4.道路：规划形成“一横两纵”的路网结构。“一横”为东西向的西门西路-西门东路，西门西路红线宽度为16米,西门东路红线宽度为24米。“两纵”为规划区中部的西三环路和西部的西门支路。西三环路红线宽度为20-</w:t>
      </w:r>
      <w:r>
        <w:rPr>
          <w:rFonts w:ascii="仿宋_GB2312" w:hAnsi="仿宋_GB2312" w:eastAsia="仿宋_GB2312" w:cs="仿宋_GB2312"/>
          <w:color w:val="000000"/>
          <w:sz w:val="32"/>
          <w:szCs w:val="32"/>
        </w:rPr>
        <w:t>30</w:t>
      </w:r>
      <w:r>
        <w:rPr>
          <w:rFonts w:hint="eastAsia" w:ascii="仿宋_GB2312" w:hAnsi="仿宋_GB2312" w:eastAsia="仿宋_GB2312" w:cs="仿宋_GB2312"/>
          <w:color w:val="000000"/>
          <w:sz w:val="32"/>
          <w:szCs w:val="32"/>
        </w:rPr>
        <w:t>米，西门支路红线宽度为16米。</w:t>
      </w:r>
    </w:p>
    <w:p>
      <w:pPr>
        <w:spacing w:line="60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5.水系：规划区南北向河道宽度按7米控制，水系两侧预留绿带宽度不小于10米。</w:t>
      </w:r>
    </w:p>
    <w:p>
      <w:pPr>
        <w:spacing w:line="600" w:lineRule="exact"/>
        <w:ind w:firstLine="640" w:firstLineChars="200"/>
        <w:rPr>
          <w:rFonts w:ascii="方正楷体_GB2312" w:hAnsi="方正楷体_GB2312" w:eastAsia="方正楷体_GB2312" w:cs="方正楷体_GB2312"/>
          <w:b/>
          <w:bCs/>
          <w:color w:val="000000"/>
          <w:sz w:val="32"/>
          <w:szCs w:val="32"/>
        </w:rPr>
      </w:pPr>
      <w:r>
        <w:rPr>
          <w:rFonts w:ascii="仿宋_GB2312" w:hAnsi="仿宋_GB2312" w:eastAsia="仿宋_GB2312" w:cs="仿宋_GB2312"/>
          <w:color w:val="000000"/>
          <w:sz w:val="32"/>
          <w:szCs w:val="32"/>
        </w:rPr>
        <w:t>6.</w:t>
      </w:r>
      <w:r>
        <w:rPr>
          <w:rFonts w:hint="eastAsia" w:ascii="仿宋_GB2312" w:hAnsi="仿宋_GB2312" w:eastAsia="仿宋_GB2312" w:cs="仿宋_GB2312"/>
          <w:color w:val="000000"/>
          <w:sz w:val="32"/>
          <w:szCs w:val="32"/>
        </w:rPr>
        <w:t>远景规划图中组团最北部工业用地待永久基本农田核实整改和高压线路迁移后，方可进行开发建设。</w:t>
      </w:r>
      <w:bookmarkStart w:id="1" w:name="_GoBack"/>
      <w:bookmarkEnd w:id="1"/>
    </w:p>
    <w:p>
      <w:pPr>
        <w:spacing w:line="600" w:lineRule="exact"/>
        <w:ind w:firstLine="640" w:firstLineChars="200"/>
        <w:rPr>
          <w:rFonts w:hint="eastAsia" w:ascii="黑体" w:hAnsi="黑体" w:eastAsia="黑体" w:cs="黑体"/>
          <w:b w:val="0"/>
          <w:bCs w:val="0"/>
          <w:color w:val="000000"/>
          <w:sz w:val="32"/>
          <w:szCs w:val="32"/>
        </w:rPr>
      </w:pPr>
      <w:r>
        <w:rPr>
          <w:rFonts w:hint="eastAsia" w:ascii="黑体" w:hAnsi="黑体" w:eastAsia="黑体" w:cs="黑体"/>
          <w:b w:val="0"/>
          <w:bCs w:val="0"/>
          <w:color w:val="000000"/>
          <w:sz w:val="32"/>
          <w:szCs w:val="32"/>
        </w:rPr>
        <w:t>（三）控制指标</w:t>
      </w:r>
    </w:p>
    <w:p>
      <w:pPr>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二类工业用地，容积率1.3-3.0，建筑系数≥40%，绿地率1</w:t>
      </w:r>
      <w:r>
        <w:rPr>
          <w:rFonts w:ascii="仿宋_GB2312" w:hAnsi="仿宋_GB2312" w:eastAsia="仿宋_GB2312" w:cs="仿宋_GB2312"/>
          <w:sz w:val="32"/>
          <w:szCs w:val="32"/>
        </w:rPr>
        <w:t>0</w:t>
      </w:r>
      <w:r>
        <w:rPr>
          <w:rFonts w:hint="eastAsia" w:ascii="仿宋_GB2312" w:hAnsi="仿宋_GB2312" w:eastAsia="仿宋_GB2312" w:cs="仿宋_GB2312"/>
          <w:sz w:val="32"/>
          <w:szCs w:val="32"/>
        </w:rPr>
        <w:t>%-20%，建筑高度≤50米。</w:t>
      </w:r>
    </w:p>
    <w:p>
      <w:pPr>
        <w:widowControl/>
        <w:spacing w:line="600" w:lineRule="exact"/>
        <w:ind w:firstLine="640" w:firstLineChars="200"/>
        <w:rPr>
          <w:rFonts w:ascii="楷体_GB2312" w:hAnsi="楷体_GB2312" w:eastAsia="楷体_GB2312" w:cs="楷体_GB2312"/>
          <w:sz w:val="32"/>
          <w:szCs w:val="32"/>
        </w:rPr>
      </w:pPr>
    </w:p>
    <w:p>
      <w:pPr>
        <w:jc w:val="center"/>
        <w:rPr>
          <w:rFonts w:ascii="仿宋" w:hAnsi="仿宋" w:eastAsia="仿宋" w:cs="仿宋"/>
          <w:color w:val="000000"/>
          <w:sz w:val="30"/>
          <w:szCs w:val="30"/>
        </w:rPr>
      </w:pPr>
      <w:r>
        <w:rPr>
          <w:rFonts w:hint="eastAsia" w:ascii="仿宋" w:hAnsi="仿宋" w:eastAsia="仿宋" w:cs="仿宋"/>
          <w:color w:val="000000"/>
          <w:sz w:val="30"/>
          <w:szCs w:val="30"/>
        </w:rPr>
        <w:br w:type="page"/>
      </w:r>
    </w:p>
    <w:p>
      <w:pPr>
        <w:jc w:val="center"/>
        <w:rPr>
          <w:rFonts w:ascii="仿宋" w:hAnsi="仿宋" w:eastAsia="仿宋" w:cs="仿宋"/>
          <w:color w:val="000000"/>
          <w:sz w:val="30"/>
          <w:szCs w:val="30"/>
        </w:rPr>
      </w:pPr>
      <w:r>
        <w:rPr>
          <w:rFonts w:ascii="仿宋" w:hAnsi="仿宋" w:eastAsia="仿宋" w:cs="仿宋"/>
          <w:color w:val="000000"/>
          <w:sz w:val="30"/>
          <w:szCs w:val="30"/>
        </w:rPr>
        <w:drawing>
          <wp:anchor distT="0" distB="0" distL="114300" distR="114300" simplePos="0" relativeHeight="251659264" behindDoc="1" locked="0" layoutInCell="1" allowOverlap="1">
            <wp:simplePos x="0" y="0"/>
            <wp:positionH relativeFrom="margin">
              <wp:posOffset>-133350</wp:posOffset>
            </wp:positionH>
            <wp:positionV relativeFrom="paragraph">
              <wp:posOffset>83820</wp:posOffset>
            </wp:positionV>
            <wp:extent cx="6002020" cy="8486775"/>
            <wp:effectExtent l="0" t="0" r="0" b="0"/>
            <wp:wrapNone/>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a:xfrm>
                      <a:off x="0" y="0"/>
                      <a:ext cx="6001872" cy="8486775"/>
                    </a:xfrm>
                    <a:prstGeom prst="rect">
                      <a:avLst/>
                    </a:prstGeom>
                    <a:noFill/>
                    <a:ln>
                      <a:noFill/>
                    </a:ln>
                  </pic:spPr>
                </pic:pic>
              </a:graphicData>
            </a:graphic>
          </wp:anchor>
        </w:drawing>
      </w:r>
    </w:p>
    <w:p>
      <w:pPr>
        <w:jc w:val="center"/>
        <w:rPr>
          <w:rFonts w:ascii="仿宋" w:hAnsi="仿宋" w:eastAsia="仿宋" w:cs="仿宋"/>
          <w:color w:val="000000"/>
          <w:sz w:val="30"/>
          <w:szCs w:val="30"/>
        </w:rPr>
      </w:pPr>
    </w:p>
    <w:p>
      <w:pPr>
        <w:jc w:val="center"/>
        <w:rPr>
          <w:rFonts w:ascii="仿宋" w:hAnsi="仿宋" w:eastAsia="仿宋" w:cs="仿宋"/>
          <w:color w:val="000000"/>
          <w:sz w:val="30"/>
          <w:szCs w:val="30"/>
        </w:rPr>
      </w:pPr>
    </w:p>
    <w:p>
      <w:pPr>
        <w:jc w:val="center"/>
      </w:pPr>
    </w:p>
    <w:p>
      <w:pPr>
        <w:pStyle w:val="2"/>
      </w:pPr>
    </w:p>
    <w:p>
      <w:pPr>
        <w:pStyle w:val="3"/>
        <w:rPr>
          <w:rFonts w:hint="default"/>
        </w:rPr>
      </w:pPr>
    </w:p>
    <w:p>
      <w:pPr>
        <w:pStyle w:val="3"/>
        <w:rPr>
          <w:rFonts w:hint="default"/>
        </w:rPr>
      </w:pPr>
    </w:p>
    <w:p>
      <w:pPr>
        <w:pStyle w:val="3"/>
        <w:rPr>
          <w:rFonts w:hint="default"/>
        </w:rPr>
      </w:pPr>
    </w:p>
    <w:p>
      <w:pPr>
        <w:pStyle w:val="3"/>
        <w:rPr>
          <w:rFonts w:hint="default"/>
        </w:rPr>
      </w:pPr>
    </w:p>
    <w:p>
      <w:pPr>
        <w:pStyle w:val="3"/>
        <w:rPr>
          <w:rFonts w:hint="default"/>
        </w:rPr>
      </w:pPr>
    </w:p>
    <w:p>
      <w:pPr>
        <w:pStyle w:val="3"/>
        <w:rPr>
          <w:rFonts w:hint="default"/>
        </w:rPr>
      </w:pPr>
    </w:p>
    <w:p>
      <w:pPr>
        <w:pStyle w:val="3"/>
        <w:rPr>
          <w:rFonts w:hint="default"/>
        </w:rPr>
      </w:pPr>
    </w:p>
    <w:p>
      <w:pPr>
        <w:pStyle w:val="3"/>
        <w:tabs>
          <w:tab w:val="left" w:pos="6980"/>
        </w:tabs>
        <w:rPr>
          <w:rFonts w:hint="default"/>
        </w:rPr>
      </w:pPr>
      <w:r>
        <w:rPr>
          <w:rFonts w:hint="default"/>
        </w:rPr>
        <w:tab/>
      </w:r>
    </w:p>
    <w:p>
      <w:pPr>
        <w:pStyle w:val="3"/>
        <w:rPr>
          <w:rFonts w:hint="default"/>
        </w:rPr>
      </w:pPr>
    </w:p>
    <w:p>
      <w:pPr>
        <w:pStyle w:val="3"/>
        <w:rPr>
          <w:rFonts w:hint="default"/>
        </w:rPr>
      </w:pPr>
    </w:p>
    <w:p>
      <w:pPr>
        <w:pStyle w:val="3"/>
        <w:rPr>
          <w:rFonts w:hint="default"/>
        </w:rPr>
      </w:pPr>
    </w:p>
    <w:p>
      <w:pPr>
        <w:pStyle w:val="3"/>
        <w:rPr>
          <w:rFonts w:hint="default"/>
        </w:rPr>
      </w:pPr>
    </w:p>
    <w:p>
      <w:pPr>
        <w:pStyle w:val="3"/>
        <w:rPr>
          <w:rFonts w:hint="default"/>
        </w:rPr>
      </w:pPr>
    </w:p>
    <w:p>
      <w:pPr>
        <w:pStyle w:val="3"/>
        <w:rPr>
          <w:rFonts w:hint="default"/>
        </w:rPr>
      </w:pPr>
    </w:p>
    <w:p>
      <w:pPr>
        <w:pStyle w:val="3"/>
        <w:rPr>
          <w:rFonts w:hint="default"/>
        </w:rPr>
      </w:pPr>
    </w:p>
    <w:p>
      <w:pPr>
        <w:pStyle w:val="3"/>
        <w:rPr>
          <w:rFonts w:hint="default"/>
        </w:rPr>
      </w:pPr>
    </w:p>
    <w:p>
      <w:pPr>
        <w:pStyle w:val="3"/>
        <w:tabs>
          <w:tab w:val="left" w:pos="5175"/>
        </w:tabs>
        <w:rPr>
          <w:rFonts w:hint="default"/>
        </w:rPr>
      </w:pPr>
      <w:r>
        <w:rPr>
          <w:rFonts w:hint="default"/>
        </w:rPr>
        <w:tab/>
      </w:r>
    </w:p>
    <w:p>
      <w:pPr>
        <w:pStyle w:val="3"/>
        <w:rPr>
          <w:rFonts w:hint="default"/>
        </w:rPr>
      </w:pPr>
    </w:p>
    <w:p>
      <w:pPr>
        <w:pStyle w:val="3"/>
        <w:rPr>
          <w:rFonts w:hint="default"/>
        </w:rPr>
      </w:pPr>
    </w:p>
    <w:p>
      <w:pPr>
        <w:pStyle w:val="3"/>
        <w:rPr>
          <w:rFonts w:hint="default"/>
        </w:rPr>
      </w:pPr>
    </w:p>
    <w:p>
      <w:pPr>
        <w:pStyle w:val="3"/>
        <w:rPr>
          <w:rFonts w:hint="default"/>
        </w:rPr>
      </w:pPr>
    </w:p>
    <w:p>
      <w:pPr>
        <w:pStyle w:val="3"/>
        <w:rPr>
          <w:rFonts w:hint="default"/>
        </w:rPr>
      </w:pPr>
    </w:p>
    <w:p>
      <w:pPr>
        <w:pStyle w:val="3"/>
        <w:rPr>
          <w:rFonts w:hint="default"/>
        </w:rPr>
      </w:pPr>
    </w:p>
    <w:p>
      <w:pPr>
        <w:pStyle w:val="3"/>
        <w:rPr>
          <w:rFonts w:hint="default"/>
        </w:rPr>
      </w:pPr>
    </w:p>
    <w:p>
      <w:pPr>
        <w:pStyle w:val="3"/>
        <w:rPr>
          <w:rFonts w:hint="default"/>
        </w:rPr>
      </w:pPr>
    </w:p>
    <w:p>
      <w:pPr>
        <w:pStyle w:val="3"/>
        <w:rPr>
          <w:rFonts w:hint="default"/>
        </w:rPr>
      </w:pPr>
    </w:p>
    <w:p>
      <w:pPr>
        <w:pStyle w:val="3"/>
        <w:rPr>
          <w:rFonts w:hint="default"/>
        </w:rPr>
      </w:pPr>
    </w:p>
    <w:p>
      <w:pPr>
        <w:pStyle w:val="3"/>
        <w:rPr>
          <w:rFonts w:hint="default"/>
        </w:rPr>
      </w:pPr>
    </w:p>
    <w:p>
      <w:pPr>
        <w:pStyle w:val="3"/>
        <w:rPr>
          <w:rFonts w:hint="default"/>
        </w:rPr>
      </w:pPr>
    </w:p>
    <w:p>
      <w:pPr>
        <w:pStyle w:val="3"/>
        <w:rPr>
          <w:rFonts w:hint="default"/>
        </w:rPr>
      </w:pPr>
    </w:p>
    <w:p>
      <w:pPr>
        <w:pStyle w:val="3"/>
        <w:rPr>
          <w:rFonts w:hint="default"/>
        </w:rPr>
      </w:pPr>
    </w:p>
    <w:p>
      <w:pPr>
        <w:pStyle w:val="3"/>
        <w:rPr>
          <w:rFonts w:hint="default"/>
        </w:rPr>
      </w:pPr>
    </w:p>
    <w:p>
      <w:pPr>
        <w:pStyle w:val="3"/>
        <w:rPr>
          <w:rFonts w:hint="default"/>
        </w:rPr>
      </w:pPr>
    </w:p>
    <w:p>
      <w:pPr>
        <w:pStyle w:val="3"/>
        <w:rPr>
          <w:rFonts w:hint="default"/>
        </w:rPr>
      </w:pPr>
    </w:p>
    <w:p>
      <w:pPr>
        <w:pStyle w:val="3"/>
        <w:rPr>
          <w:rFonts w:hint="default"/>
        </w:rPr>
      </w:pPr>
    </w:p>
    <w:p>
      <w:pPr>
        <w:pStyle w:val="3"/>
        <w:rPr>
          <w:rFonts w:hint="default"/>
        </w:rPr>
      </w:pPr>
    </w:p>
    <w:p>
      <w:pPr>
        <w:pStyle w:val="3"/>
        <w:rPr>
          <w:rFonts w:hint="default"/>
        </w:rPr>
      </w:pPr>
      <w:r>
        <w:drawing>
          <wp:anchor distT="0" distB="0" distL="114300" distR="114300" simplePos="0" relativeHeight="251660288" behindDoc="1" locked="0" layoutInCell="1" allowOverlap="1">
            <wp:simplePos x="0" y="0"/>
            <wp:positionH relativeFrom="margin">
              <wp:posOffset>-68580</wp:posOffset>
            </wp:positionH>
            <wp:positionV relativeFrom="paragraph">
              <wp:posOffset>187325</wp:posOffset>
            </wp:positionV>
            <wp:extent cx="5978525" cy="8460105"/>
            <wp:effectExtent l="0" t="0" r="3175" b="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a:off x="0" y="0"/>
                      <a:ext cx="5978743" cy="8460000"/>
                    </a:xfrm>
                    <a:prstGeom prst="rect">
                      <a:avLst/>
                    </a:prstGeom>
                    <a:noFill/>
                    <a:ln>
                      <a:noFill/>
                    </a:ln>
                  </pic:spPr>
                </pic:pic>
              </a:graphicData>
            </a:graphic>
          </wp:anchor>
        </w:drawing>
      </w:r>
    </w:p>
    <w:p>
      <w:pPr>
        <w:pStyle w:val="3"/>
        <w:rPr>
          <w:rFonts w:hint="default"/>
        </w:rPr>
      </w:pPr>
    </w:p>
    <w:sectPr>
      <w:pgSz w:w="11906" w:h="16838"/>
      <w:pgMar w:top="1440" w:right="1417" w:bottom="1440" w:left="141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2D63DB7B-B485-44E1-B288-420E859EB28A}"/>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558E088E-EFA6-43CB-9E0A-576EC835900C}"/>
  </w:font>
  <w:font w:name="方正小标宋_GBK">
    <w:panose1 w:val="02000000000000000000"/>
    <w:charset w:val="86"/>
    <w:family w:val="auto"/>
    <w:pitch w:val="default"/>
    <w:sig w:usb0="A00002BF" w:usb1="38CF7CFA" w:usb2="00082016" w:usb3="00000000" w:csb0="00040001" w:csb1="00000000"/>
    <w:embedRegular r:id="rId3" w:fontKey="{31F3172B-3531-4530-8622-FBBD7E97B875}"/>
  </w:font>
  <w:font w:name="楷体">
    <w:panose1 w:val="02010609060101010101"/>
    <w:charset w:val="86"/>
    <w:family w:val="modern"/>
    <w:pitch w:val="default"/>
    <w:sig w:usb0="800002BF" w:usb1="38CF7CFA" w:usb2="00000016" w:usb3="00000000" w:csb0="00040001" w:csb1="00000000"/>
    <w:embedRegular r:id="rId4" w:fontKey="{50E154CC-2449-476C-8034-417C72FA2A02}"/>
  </w:font>
  <w:font w:name="方正楷体_GB2312">
    <w:altName w:val="微软雅黑"/>
    <w:panose1 w:val="00000000000000000000"/>
    <w:charset w:val="86"/>
    <w:family w:val="auto"/>
    <w:pitch w:val="default"/>
    <w:sig w:usb0="00000000" w:usb1="00000000" w:usb2="00000012" w:usb3="00000000" w:csb0="00040001" w:csb1="00000000"/>
    <w:embedRegular r:id="rId5" w:fontKey="{B5E31178-808C-4475-985E-98A162620B53}"/>
  </w:font>
  <w:font w:name="微软雅黑">
    <w:panose1 w:val="020B0503020204020204"/>
    <w:charset w:val="86"/>
    <w:family w:val="auto"/>
    <w:pitch w:val="default"/>
    <w:sig w:usb0="80000287" w:usb1="2ACF3C50" w:usb2="00000016" w:usb3="00000000" w:csb0="0004001F" w:csb1="00000000"/>
  </w:font>
  <w:font w:name="仿宋_GB2312">
    <w:panose1 w:val="02010609030101010101"/>
    <w:charset w:val="86"/>
    <w:family w:val="auto"/>
    <w:pitch w:val="default"/>
    <w:sig w:usb0="00000001" w:usb1="080E0000" w:usb2="00000000" w:usb3="00000000" w:csb0="00040000" w:csb1="00000000"/>
    <w:embedRegular r:id="rId6" w:fontKey="{E2DDCFF0-70C3-4114-A5CC-C9459DBC96A0}"/>
  </w:font>
  <w:font w:name="楷体_GB2312">
    <w:panose1 w:val="02010609030101010101"/>
    <w:charset w:val="86"/>
    <w:family w:val="modern"/>
    <w:pitch w:val="default"/>
    <w:sig w:usb0="00000001" w:usb1="080E0000" w:usb2="00000000" w:usb3="00000000" w:csb0="00040000" w:csb1="00000000"/>
    <w:embedRegular r:id="rId7" w:fontKey="{2237E87E-86D1-43C0-96C2-77629AFE52D0}"/>
  </w:font>
  <w:font w:name="仿宋">
    <w:panose1 w:val="02010609060101010101"/>
    <w:charset w:val="86"/>
    <w:family w:val="modern"/>
    <w:pitch w:val="default"/>
    <w:sig w:usb0="800002BF" w:usb1="38CF7CFA" w:usb2="00000016" w:usb3="00000000" w:csb0="00040001" w:csb1="00000000"/>
    <w:embedRegular r:id="rId8" w:fontKey="{92031B06-43E2-49C0-8BB9-82A4CD88A7C1}"/>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7BC0"/>
    <w:rsid w:val="000074A6"/>
    <w:rsid w:val="000A6090"/>
    <w:rsid w:val="000F58F6"/>
    <w:rsid w:val="00217B57"/>
    <w:rsid w:val="00222BF8"/>
    <w:rsid w:val="00263531"/>
    <w:rsid w:val="00295E01"/>
    <w:rsid w:val="00306A9F"/>
    <w:rsid w:val="00406C82"/>
    <w:rsid w:val="004177FF"/>
    <w:rsid w:val="00420FC6"/>
    <w:rsid w:val="00494550"/>
    <w:rsid w:val="005810B3"/>
    <w:rsid w:val="00586610"/>
    <w:rsid w:val="00625850"/>
    <w:rsid w:val="006400BB"/>
    <w:rsid w:val="006D011F"/>
    <w:rsid w:val="006D4B51"/>
    <w:rsid w:val="006F66D2"/>
    <w:rsid w:val="00722894"/>
    <w:rsid w:val="007372E7"/>
    <w:rsid w:val="007F7FED"/>
    <w:rsid w:val="0080775F"/>
    <w:rsid w:val="0087783D"/>
    <w:rsid w:val="008F21DD"/>
    <w:rsid w:val="00976ECA"/>
    <w:rsid w:val="009D20E6"/>
    <w:rsid w:val="009E3D59"/>
    <w:rsid w:val="00A529D0"/>
    <w:rsid w:val="00A5632A"/>
    <w:rsid w:val="00A62AF4"/>
    <w:rsid w:val="00A77BC0"/>
    <w:rsid w:val="00AC1128"/>
    <w:rsid w:val="00AF0214"/>
    <w:rsid w:val="00B13F32"/>
    <w:rsid w:val="00B256AB"/>
    <w:rsid w:val="00B45F96"/>
    <w:rsid w:val="00BA23B5"/>
    <w:rsid w:val="00BD3426"/>
    <w:rsid w:val="00BE52DF"/>
    <w:rsid w:val="00C01977"/>
    <w:rsid w:val="00C03D2D"/>
    <w:rsid w:val="00C06B4E"/>
    <w:rsid w:val="00C741D0"/>
    <w:rsid w:val="00C809FB"/>
    <w:rsid w:val="00D32BC8"/>
    <w:rsid w:val="00D75380"/>
    <w:rsid w:val="00DC2688"/>
    <w:rsid w:val="00E45502"/>
    <w:rsid w:val="00F022FE"/>
    <w:rsid w:val="00F55BC9"/>
    <w:rsid w:val="00FD1F24"/>
    <w:rsid w:val="02190E9A"/>
    <w:rsid w:val="04E33041"/>
    <w:rsid w:val="061C13E0"/>
    <w:rsid w:val="11210B1F"/>
    <w:rsid w:val="2A490D6A"/>
    <w:rsid w:val="2ABA4D91"/>
    <w:rsid w:val="348A7059"/>
    <w:rsid w:val="386517CE"/>
    <w:rsid w:val="3EB92E14"/>
    <w:rsid w:val="40E437C3"/>
    <w:rsid w:val="42B03E44"/>
    <w:rsid w:val="5E895234"/>
    <w:rsid w:val="7D772F2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2"/>
      <w:lang w:val="en-US" w:eastAsia="zh-CN" w:bidi="ar-SA"/>
    </w:rPr>
  </w:style>
  <w:style w:type="character" w:default="1" w:styleId="8">
    <w:name w:val="Default Paragraph Font"/>
    <w:semiHidden/>
    <w:unhideWhenUsed/>
    <w:uiPriority w:val="1"/>
  </w:style>
  <w:style w:type="table" w:default="1" w:styleId="7">
    <w:name w:val="Normal Table"/>
    <w:semiHidden/>
    <w:unhideWhenUsed/>
    <w:uiPriority w:val="99"/>
    <w:tblPr>
      <w:tblCellMar>
        <w:top w:w="0" w:type="dxa"/>
        <w:left w:w="108" w:type="dxa"/>
        <w:bottom w:w="0" w:type="dxa"/>
        <w:right w:w="108" w:type="dxa"/>
      </w:tblCellMar>
    </w:tblPr>
  </w:style>
  <w:style w:type="paragraph" w:styleId="2">
    <w:name w:val="Balloon Text"/>
    <w:basedOn w:val="1"/>
    <w:next w:val="3"/>
    <w:link w:val="9"/>
    <w:semiHidden/>
    <w:unhideWhenUsed/>
    <w:qFormat/>
    <w:uiPriority w:val="99"/>
    <w:rPr>
      <w:sz w:val="18"/>
      <w:szCs w:val="18"/>
    </w:rPr>
  </w:style>
  <w:style w:type="paragraph" w:styleId="3">
    <w:name w:val="HTML Preformatted"/>
    <w:basedOn w:val="1"/>
    <w:qFormat/>
    <w:uiPriority w:val="0"/>
    <w:rPr>
      <w:rFonts w:hint="eastAsia" w:ascii="宋体" w:hAnsi="宋体" w:cs="宋体"/>
      <w:sz w:val="24"/>
    </w:rPr>
  </w:style>
  <w:style w:type="paragraph" w:styleId="4">
    <w:name w:val="footer"/>
    <w:basedOn w:val="1"/>
    <w:link w:val="11"/>
    <w:unhideWhenUsed/>
    <w:qFormat/>
    <w:uiPriority w:val="99"/>
    <w:pPr>
      <w:tabs>
        <w:tab w:val="center" w:pos="4153"/>
        <w:tab w:val="right" w:pos="8306"/>
      </w:tabs>
      <w:snapToGrid w:val="0"/>
      <w:jc w:val="left"/>
    </w:pPr>
    <w:rPr>
      <w:sz w:val="18"/>
      <w:szCs w:val="18"/>
    </w:rPr>
  </w:style>
  <w:style w:type="paragraph" w:styleId="5">
    <w:name w:val="header"/>
    <w:basedOn w:val="1"/>
    <w:link w:val="10"/>
    <w:unhideWhenUsed/>
    <w:qFormat/>
    <w:uiPriority w:val="99"/>
    <w:pPr>
      <w:pBdr>
        <w:bottom w:val="single" w:color="auto" w:sz="6" w:space="1"/>
      </w:pBdr>
      <w:tabs>
        <w:tab w:val="center" w:pos="4153"/>
        <w:tab w:val="right" w:pos="8306"/>
      </w:tabs>
      <w:snapToGrid w:val="0"/>
      <w:jc w:val="center"/>
    </w:pPr>
    <w:rPr>
      <w:sz w:val="18"/>
      <w:szCs w:val="18"/>
    </w:rPr>
  </w:style>
  <w:style w:type="paragraph" w:styleId="6">
    <w:name w:val="Normal (Web)"/>
    <w:basedOn w:val="1"/>
    <w:semiHidden/>
    <w:unhideWhenUsed/>
    <w:qFormat/>
    <w:uiPriority w:val="99"/>
    <w:pPr>
      <w:widowControl/>
      <w:spacing w:before="100" w:beforeAutospacing="1" w:after="100" w:afterAutospacing="1"/>
      <w:jc w:val="left"/>
    </w:pPr>
    <w:rPr>
      <w:rFonts w:ascii="宋体" w:hAnsi="宋体" w:cs="宋体"/>
      <w:kern w:val="0"/>
      <w:sz w:val="24"/>
      <w:szCs w:val="24"/>
    </w:rPr>
  </w:style>
  <w:style w:type="character" w:customStyle="1" w:styleId="9">
    <w:name w:val="批注框文本 字符"/>
    <w:basedOn w:val="8"/>
    <w:link w:val="2"/>
    <w:semiHidden/>
    <w:qFormat/>
    <w:uiPriority w:val="99"/>
    <w:rPr>
      <w:rFonts w:ascii="Times New Roman" w:hAnsi="Times New Roman" w:eastAsia="宋体" w:cs="Times New Roman"/>
      <w:sz w:val="18"/>
      <w:szCs w:val="18"/>
    </w:rPr>
  </w:style>
  <w:style w:type="character" w:customStyle="1" w:styleId="10">
    <w:name w:val="页眉 字符"/>
    <w:basedOn w:val="8"/>
    <w:link w:val="5"/>
    <w:qFormat/>
    <w:uiPriority w:val="99"/>
    <w:rPr>
      <w:rFonts w:ascii="Times New Roman" w:hAnsi="Times New Roman" w:eastAsia="宋体" w:cs="Times New Roman"/>
      <w:kern w:val="2"/>
      <w:sz w:val="18"/>
      <w:szCs w:val="18"/>
    </w:rPr>
  </w:style>
  <w:style w:type="character" w:customStyle="1" w:styleId="11">
    <w:name w:val="页脚 字符"/>
    <w:basedOn w:val="8"/>
    <w:link w:val="4"/>
    <w:qFormat/>
    <w:uiPriority w:val="99"/>
    <w:rPr>
      <w:rFonts w:ascii="Times New Roman" w:hAnsi="Times New Roman" w:eastAsia="宋体" w:cs="Times New Roman"/>
      <w:kern w:val="2"/>
      <w:sz w:val="18"/>
      <w:szCs w:val="18"/>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customXml" Target="../customXml/item1.xml"/><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4</Pages>
  <Words>82</Words>
  <Characters>473</Characters>
  <Lines>3</Lines>
  <Paragraphs>1</Paragraphs>
  <TotalTime>23</TotalTime>
  <ScaleCrop>false</ScaleCrop>
  <LinksUpToDate>false</LinksUpToDate>
  <CharactersWithSpaces>554</CharactersWithSpaces>
  <Application>WPS Office_11.1.0.11294_F1E327BC-269C-435d-A152-05C5408002CA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2022-01-04T11:17:00Z</dcterms:created>
  <dc:creator>PC</dc:creator>
  <cp:lastModifiedBy>郑杰</cp:lastModifiedBy>
  <cp:lastPrinted>2022-01-04T11:43:00Z</cp:lastPrinted>
  <dcterms:modified xsi:type="dcterms:W3CDTF">2022-01-20T01:57:54Z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2052-11.1.0.11294</vt:lpwstr>
  </property>
  <property fmtid="{D5CDD505-2E9C-101B-9397-08002B2CF9AE}" pid="3" name="ICV">
    <vt:lpwstr>D53410C589524B3FB4D293147CD51EAB</vt:lpwstr>
  </property>
</Properties>
</file>