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b/>
          <w:bCs/>
          <w:sz w:val="32"/>
          <w:szCs w:val="36"/>
        </w:rPr>
      </w:pPr>
      <w:r>
        <w:rPr>
          <w:rFonts w:hint="eastAsia" w:ascii="仿宋" w:hAnsi="仿宋" w:eastAsia="仿宋"/>
          <w:b/>
          <w:bCs/>
          <w:sz w:val="32"/>
          <w:szCs w:val="36"/>
        </w:rPr>
        <w:t>附件</w:t>
      </w:r>
    </w:p>
    <w:p>
      <w:pPr>
        <w:jc w:val="center"/>
        <w:rPr>
          <w:rFonts w:ascii="仿宋" w:hAnsi="仿宋" w:eastAsia="仿宋"/>
          <w:b/>
          <w:bCs/>
          <w:sz w:val="32"/>
          <w:szCs w:val="32"/>
        </w:rPr>
      </w:pPr>
      <w:r>
        <w:rPr>
          <w:rFonts w:hint="eastAsia" w:ascii="仿宋" w:hAnsi="仿宋" w:eastAsia="仿宋"/>
          <w:b/>
          <w:bCs/>
          <w:sz w:val="32"/>
          <w:szCs w:val="32"/>
        </w:rPr>
        <w:t>福建永泰回溪书院（文化园）项目规划调整论证报告</w:t>
      </w:r>
    </w:p>
    <w:p>
      <w:pPr>
        <w:jc w:val="center"/>
        <w:rPr>
          <w:rFonts w:ascii="仿宋" w:hAnsi="仿宋" w:eastAsia="仿宋"/>
          <w:b/>
          <w:bCs/>
          <w:sz w:val="32"/>
          <w:szCs w:val="32"/>
        </w:rPr>
      </w:pPr>
      <w:r>
        <w:rPr>
          <w:rFonts w:hint="eastAsia" w:ascii="仿宋" w:hAnsi="仿宋" w:eastAsia="仿宋"/>
          <w:b/>
          <w:bCs/>
          <w:sz w:val="32"/>
          <w:szCs w:val="32"/>
        </w:rPr>
        <w:t>公示稿</w:t>
      </w:r>
    </w:p>
    <w:p>
      <w:pPr>
        <w:ind w:firstLine="602" w:firstLineChars="200"/>
        <w:rPr>
          <w:rFonts w:ascii="仿宋" w:hAnsi="仿宋" w:eastAsia="仿宋"/>
          <w:b/>
          <w:bCs/>
          <w:sz w:val="30"/>
          <w:szCs w:val="30"/>
        </w:rPr>
      </w:pPr>
      <w:r>
        <w:rPr>
          <w:rFonts w:hint="eastAsia" w:ascii="仿宋" w:hAnsi="仿宋" w:eastAsia="仿宋"/>
          <w:b/>
          <w:bCs/>
          <w:sz w:val="30"/>
          <w:szCs w:val="30"/>
        </w:rPr>
        <w:t>一、调整范围</w:t>
      </w:r>
    </w:p>
    <w:p>
      <w:pPr>
        <w:ind w:firstLine="600" w:firstLineChars="200"/>
        <w:rPr>
          <w:rFonts w:ascii="仿宋" w:hAnsi="仿宋" w:eastAsia="仿宋"/>
          <w:sz w:val="30"/>
          <w:szCs w:val="30"/>
        </w:rPr>
      </w:pPr>
      <w:r>
        <w:rPr>
          <w:rFonts w:hint="eastAsia" w:ascii="仿宋" w:hAnsi="仿宋" w:eastAsia="仿宋"/>
          <w:sz w:val="30"/>
          <w:szCs w:val="30"/>
        </w:rPr>
        <w:t>调整范围：调整地块北邻双桂村西坑自然村,东、西、南三面至自然山体、农田，涉及调整研究范围用地面积：</w:t>
      </w:r>
      <w:r>
        <w:rPr>
          <w:rFonts w:ascii="仿宋" w:hAnsi="仿宋" w:eastAsia="仿宋"/>
          <w:sz w:val="30"/>
          <w:szCs w:val="30"/>
        </w:rPr>
        <w:t>9.38公顷。</w:t>
      </w:r>
    </w:p>
    <w:p>
      <w:pPr>
        <w:ind w:firstLine="602" w:firstLineChars="200"/>
        <w:rPr>
          <w:rFonts w:ascii="仿宋" w:hAnsi="仿宋" w:eastAsia="仿宋"/>
          <w:b/>
          <w:bCs/>
          <w:sz w:val="30"/>
          <w:szCs w:val="30"/>
        </w:rPr>
      </w:pPr>
      <w:r>
        <w:rPr>
          <w:rFonts w:hint="eastAsia" w:ascii="仿宋" w:hAnsi="仿宋" w:eastAsia="仿宋"/>
          <w:b/>
          <w:bCs/>
          <w:sz w:val="30"/>
          <w:szCs w:val="30"/>
        </w:rPr>
        <w:t>二、规划调整主要内容</w:t>
      </w:r>
    </w:p>
    <w:p>
      <w:pPr>
        <w:ind w:firstLine="600" w:firstLineChars="200"/>
        <w:rPr>
          <w:rFonts w:ascii="仿宋" w:hAnsi="仿宋" w:eastAsia="仿宋"/>
          <w:sz w:val="30"/>
          <w:szCs w:val="30"/>
        </w:rPr>
      </w:pPr>
      <w:r>
        <w:rPr>
          <w:rFonts w:hint="eastAsia" w:ascii="仿宋" w:hAnsi="仿宋" w:eastAsia="仿宋"/>
          <w:sz w:val="30"/>
          <w:szCs w:val="30"/>
        </w:rPr>
        <w:t>规划考虑地块建设的安全性和功能布局的合理性及道路建设的可行性和经济性，对原选址报告用地布局及道路线型进行优化调整。</w:t>
      </w:r>
      <w:bookmarkStart w:id="0" w:name="_GoBack"/>
      <w:bookmarkEnd w:id="0"/>
    </w:p>
    <w:p>
      <w:pPr>
        <w:ind w:firstLine="600" w:firstLineChars="200"/>
        <w:rPr>
          <w:rFonts w:ascii="仿宋" w:hAnsi="仿宋" w:eastAsia="仿宋"/>
          <w:sz w:val="30"/>
          <w:szCs w:val="30"/>
        </w:rPr>
      </w:pPr>
      <w:r>
        <w:rPr>
          <w:rFonts w:hint="eastAsia" w:ascii="仿宋" w:hAnsi="仿宋" w:eastAsia="仿宋"/>
          <w:sz w:val="30"/>
          <w:szCs w:val="30"/>
        </w:rPr>
        <w:t>具体地块控制指标如下图所示：</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5"/>
        <w:gridCol w:w="729"/>
        <w:gridCol w:w="1166"/>
        <w:gridCol w:w="1210"/>
        <w:gridCol w:w="822"/>
        <w:gridCol w:w="967"/>
        <w:gridCol w:w="992"/>
        <w:gridCol w:w="902"/>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50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地块编号</w:t>
            </w:r>
          </w:p>
        </w:tc>
        <w:tc>
          <w:tcPr>
            <w:tcW w:w="42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类别代号</w:t>
            </w:r>
          </w:p>
        </w:tc>
        <w:tc>
          <w:tcPr>
            <w:tcW w:w="684"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类别名称</w:t>
            </w:r>
          </w:p>
        </w:tc>
        <w:tc>
          <w:tcPr>
            <w:tcW w:w="7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用地面积（㎡）</w:t>
            </w:r>
          </w:p>
        </w:tc>
        <w:tc>
          <w:tcPr>
            <w:tcW w:w="4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容积率</w:t>
            </w:r>
          </w:p>
        </w:tc>
        <w:tc>
          <w:tcPr>
            <w:tcW w:w="56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建筑面积（㎡）</w:t>
            </w:r>
          </w:p>
        </w:tc>
        <w:tc>
          <w:tcPr>
            <w:tcW w:w="5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建筑密度（</w:t>
            </w:r>
            <w:r>
              <w:rPr>
                <w:rFonts w:ascii="仿宋" w:hAnsi="仿宋" w:eastAsia="仿宋" w:cs="Arial"/>
                <w:b/>
                <w:bCs/>
                <w:sz w:val="24"/>
                <w:szCs w:val="24"/>
              </w:rPr>
              <w:t>%</w:t>
            </w:r>
            <w:r>
              <w:rPr>
                <w:rFonts w:hint="eastAsia" w:ascii="仿宋" w:hAnsi="仿宋" w:eastAsia="仿宋" w:cs="Arial"/>
                <w:b/>
                <w:bCs/>
                <w:sz w:val="24"/>
                <w:szCs w:val="24"/>
              </w:rPr>
              <w:t>）</w:t>
            </w:r>
          </w:p>
        </w:tc>
        <w:tc>
          <w:tcPr>
            <w:tcW w:w="52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绿地率（</w:t>
            </w:r>
            <w:r>
              <w:rPr>
                <w:rFonts w:ascii="仿宋" w:hAnsi="仿宋" w:eastAsia="仿宋" w:cs="Arial"/>
                <w:b/>
                <w:bCs/>
                <w:sz w:val="24"/>
                <w:szCs w:val="24"/>
              </w:rPr>
              <w:t>%</w:t>
            </w:r>
            <w:r>
              <w:rPr>
                <w:rFonts w:hint="eastAsia" w:ascii="仿宋" w:hAnsi="仿宋" w:eastAsia="仿宋" w:cs="Arial"/>
                <w:b/>
                <w:bCs/>
                <w:sz w:val="24"/>
                <w:szCs w:val="24"/>
              </w:rPr>
              <w:t>）</w:t>
            </w:r>
          </w:p>
        </w:tc>
        <w:tc>
          <w:tcPr>
            <w:tcW w:w="5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建筑限高（</w:t>
            </w:r>
            <w:r>
              <w:rPr>
                <w:rFonts w:ascii="仿宋" w:hAnsi="仿宋" w:eastAsia="仿宋" w:cs="Arial"/>
                <w:b/>
                <w:bCs/>
                <w:sz w:val="24"/>
                <w:szCs w:val="24"/>
              </w:rPr>
              <w:t>m</w:t>
            </w:r>
            <w:r>
              <w:rPr>
                <w:rFonts w:hint="eastAsia" w:ascii="仿宋" w:hAnsi="仿宋" w:eastAsia="仿宋" w:cs="Arial"/>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7" w:hRule="atLeast"/>
        </w:trPr>
        <w:tc>
          <w:tcPr>
            <w:tcW w:w="50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b/>
                <w:bCs/>
                <w:sz w:val="24"/>
                <w:szCs w:val="24"/>
              </w:rPr>
              <w:t>HX-02</w:t>
            </w:r>
          </w:p>
        </w:tc>
        <w:tc>
          <w:tcPr>
            <w:tcW w:w="42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A2/A3</w:t>
            </w:r>
          </w:p>
        </w:tc>
        <w:tc>
          <w:tcPr>
            <w:tcW w:w="684"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文化设施用地/</w:t>
            </w:r>
          </w:p>
          <w:p>
            <w:pPr>
              <w:widowControl/>
              <w:jc w:val="center"/>
              <w:rPr>
                <w:rFonts w:ascii="仿宋" w:hAnsi="仿宋" w:eastAsia="仿宋" w:cs="Arial"/>
                <w:kern w:val="0"/>
                <w:sz w:val="24"/>
                <w:szCs w:val="24"/>
              </w:rPr>
            </w:pPr>
            <w:r>
              <w:rPr>
                <w:rFonts w:hint="eastAsia" w:ascii="仿宋" w:hAnsi="仿宋" w:eastAsia="仿宋" w:cs="Arial"/>
                <w:sz w:val="24"/>
                <w:szCs w:val="24"/>
              </w:rPr>
              <w:t>教育科研用地</w:t>
            </w:r>
          </w:p>
        </w:tc>
        <w:tc>
          <w:tcPr>
            <w:tcW w:w="7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1425</w:t>
            </w:r>
          </w:p>
        </w:tc>
        <w:tc>
          <w:tcPr>
            <w:tcW w:w="4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0.4</w:t>
            </w:r>
          </w:p>
        </w:tc>
        <w:tc>
          <w:tcPr>
            <w:tcW w:w="56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570</w:t>
            </w:r>
          </w:p>
        </w:tc>
        <w:tc>
          <w:tcPr>
            <w:tcW w:w="5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40</w:t>
            </w:r>
          </w:p>
        </w:tc>
        <w:tc>
          <w:tcPr>
            <w:tcW w:w="52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30</w:t>
            </w:r>
          </w:p>
        </w:tc>
        <w:tc>
          <w:tcPr>
            <w:tcW w:w="5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50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b/>
                <w:bCs/>
                <w:sz w:val="24"/>
                <w:szCs w:val="24"/>
              </w:rPr>
              <w:t>HX-03</w:t>
            </w:r>
          </w:p>
        </w:tc>
        <w:tc>
          <w:tcPr>
            <w:tcW w:w="42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A3</w:t>
            </w:r>
          </w:p>
        </w:tc>
        <w:tc>
          <w:tcPr>
            <w:tcW w:w="684"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教育科研用地</w:t>
            </w:r>
          </w:p>
        </w:tc>
        <w:tc>
          <w:tcPr>
            <w:tcW w:w="7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3433</w:t>
            </w:r>
          </w:p>
        </w:tc>
        <w:tc>
          <w:tcPr>
            <w:tcW w:w="4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1.4</w:t>
            </w:r>
          </w:p>
        </w:tc>
        <w:tc>
          <w:tcPr>
            <w:tcW w:w="56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4806</w:t>
            </w:r>
          </w:p>
        </w:tc>
        <w:tc>
          <w:tcPr>
            <w:tcW w:w="5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40</w:t>
            </w:r>
          </w:p>
        </w:tc>
        <w:tc>
          <w:tcPr>
            <w:tcW w:w="52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30</w:t>
            </w:r>
          </w:p>
        </w:tc>
        <w:tc>
          <w:tcPr>
            <w:tcW w:w="5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rPr>
        <w:tc>
          <w:tcPr>
            <w:tcW w:w="50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b/>
                <w:bCs/>
                <w:sz w:val="24"/>
                <w:szCs w:val="24"/>
              </w:rPr>
              <w:t>HX-05</w:t>
            </w:r>
          </w:p>
        </w:tc>
        <w:tc>
          <w:tcPr>
            <w:tcW w:w="42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A2/A3</w:t>
            </w:r>
          </w:p>
        </w:tc>
        <w:tc>
          <w:tcPr>
            <w:tcW w:w="684"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文化设施用地/</w:t>
            </w:r>
          </w:p>
          <w:p>
            <w:pPr>
              <w:widowControl/>
              <w:jc w:val="center"/>
              <w:rPr>
                <w:rFonts w:ascii="仿宋" w:hAnsi="仿宋" w:eastAsia="仿宋" w:cs="Arial"/>
                <w:kern w:val="0"/>
                <w:sz w:val="24"/>
                <w:szCs w:val="24"/>
              </w:rPr>
            </w:pPr>
            <w:r>
              <w:rPr>
                <w:rFonts w:hint="eastAsia" w:ascii="仿宋" w:hAnsi="仿宋" w:eastAsia="仿宋" w:cs="Arial"/>
                <w:sz w:val="24"/>
                <w:szCs w:val="24"/>
              </w:rPr>
              <w:t>教育科研用地</w:t>
            </w:r>
          </w:p>
        </w:tc>
        <w:tc>
          <w:tcPr>
            <w:tcW w:w="7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679</w:t>
            </w:r>
          </w:p>
        </w:tc>
        <w:tc>
          <w:tcPr>
            <w:tcW w:w="4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0.5</w:t>
            </w:r>
          </w:p>
        </w:tc>
        <w:tc>
          <w:tcPr>
            <w:tcW w:w="56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340</w:t>
            </w:r>
          </w:p>
        </w:tc>
        <w:tc>
          <w:tcPr>
            <w:tcW w:w="5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40</w:t>
            </w:r>
          </w:p>
        </w:tc>
        <w:tc>
          <w:tcPr>
            <w:tcW w:w="52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30</w:t>
            </w:r>
          </w:p>
        </w:tc>
        <w:tc>
          <w:tcPr>
            <w:tcW w:w="5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7" w:hRule="atLeast"/>
        </w:trPr>
        <w:tc>
          <w:tcPr>
            <w:tcW w:w="50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b/>
                <w:bCs/>
                <w:sz w:val="24"/>
                <w:szCs w:val="24"/>
              </w:rPr>
              <w:t>HX-06</w:t>
            </w:r>
          </w:p>
        </w:tc>
        <w:tc>
          <w:tcPr>
            <w:tcW w:w="42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A2/</w:t>
            </w:r>
          </w:p>
          <w:p>
            <w:pPr>
              <w:widowControl/>
              <w:jc w:val="center"/>
              <w:rPr>
                <w:rFonts w:ascii="仿宋" w:hAnsi="仿宋" w:eastAsia="仿宋" w:cs="Arial"/>
                <w:kern w:val="0"/>
                <w:sz w:val="24"/>
                <w:szCs w:val="24"/>
              </w:rPr>
            </w:pPr>
            <w:r>
              <w:rPr>
                <w:rFonts w:hint="eastAsia" w:ascii="仿宋" w:hAnsi="仿宋" w:eastAsia="仿宋" w:cs="Arial"/>
                <w:sz w:val="24"/>
                <w:szCs w:val="24"/>
              </w:rPr>
              <w:t>A3</w:t>
            </w:r>
          </w:p>
        </w:tc>
        <w:tc>
          <w:tcPr>
            <w:tcW w:w="684"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文化设施用地/</w:t>
            </w:r>
          </w:p>
          <w:p>
            <w:pPr>
              <w:widowControl/>
              <w:jc w:val="center"/>
              <w:rPr>
                <w:rFonts w:ascii="仿宋" w:hAnsi="仿宋" w:eastAsia="仿宋" w:cs="Arial"/>
                <w:kern w:val="0"/>
                <w:sz w:val="24"/>
                <w:szCs w:val="24"/>
              </w:rPr>
            </w:pPr>
            <w:r>
              <w:rPr>
                <w:rFonts w:hint="eastAsia" w:ascii="仿宋" w:hAnsi="仿宋" w:eastAsia="仿宋" w:cs="Arial"/>
                <w:sz w:val="24"/>
                <w:szCs w:val="24"/>
              </w:rPr>
              <w:t>教育科研用地</w:t>
            </w:r>
          </w:p>
        </w:tc>
        <w:tc>
          <w:tcPr>
            <w:tcW w:w="7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39</w:t>
            </w:r>
            <w:r>
              <w:rPr>
                <w:rFonts w:ascii="仿宋" w:hAnsi="仿宋" w:eastAsia="仿宋" w:cs="Arial"/>
                <w:sz w:val="24"/>
                <w:szCs w:val="24"/>
              </w:rPr>
              <w:t>98</w:t>
            </w:r>
          </w:p>
        </w:tc>
        <w:tc>
          <w:tcPr>
            <w:tcW w:w="4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0.4</w:t>
            </w:r>
          </w:p>
        </w:tc>
        <w:tc>
          <w:tcPr>
            <w:tcW w:w="567"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hint="eastAsia" w:ascii="仿宋" w:hAnsi="仿宋" w:eastAsia="仿宋" w:cs="Arial"/>
                <w:sz w:val="24"/>
                <w:szCs w:val="24"/>
              </w:rPr>
              <w:t>15</w:t>
            </w:r>
            <w:r>
              <w:rPr>
                <w:rFonts w:ascii="仿宋" w:hAnsi="仿宋" w:eastAsia="仿宋" w:cs="Arial"/>
                <w:sz w:val="24"/>
                <w:szCs w:val="24"/>
              </w:rPr>
              <w:t>99</w:t>
            </w:r>
          </w:p>
        </w:tc>
        <w:tc>
          <w:tcPr>
            <w:tcW w:w="582"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40</w:t>
            </w:r>
          </w:p>
        </w:tc>
        <w:tc>
          <w:tcPr>
            <w:tcW w:w="52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30</w:t>
            </w:r>
          </w:p>
        </w:tc>
        <w:tc>
          <w:tcPr>
            <w:tcW w:w="509" w:type="pct"/>
            <w:shd w:val="clear" w:color="auto" w:fill="auto"/>
            <w:tcMar>
              <w:top w:w="15" w:type="dxa"/>
              <w:left w:w="108" w:type="dxa"/>
              <w:bottom w:w="0" w:type="dxa"/>
              <w:right w:w="108" w:type="dxa"/>
            </w:tcMar>
            <w:vAlign w:val="center"/>
          </w:tcPr>
          <w:p>
            <w:pPr>
              <w:widowControl/>
              <w:jc w:val="center"/>
              <w:rPr>
                <w:rFonts w:ascii="仿宋" w:hAnsi="仿宋" w:eastAsia="仿宋" w:cs="Arial"/>
                <w:kern w:val="0"/>
                <w:sz w:val="24"/>
                <w:szCs w:val="24"/>
              </w:rPr>
            </w:pPr>
            <w:r>
              <w:rPr>
                <w:rFonts w:ascii="仿宋" w:hAnsi="仿宋" w:eastAsia="仿宋" w:cs="Arial"/>
                <w:sz w:val="24"/>
                <w:szCs w:val="24"/>
              </w:rPr>
              <w:t>20</w:t>
            </w:r>
          </w:p>
        </w:tc>
      </w:tr>
    </w:tbl>
    <w:p>
      <w:pPr>
        <w:rPr>
          <w:rFonts w:ascii="仿宋" w:hAnsi="仿宋" w:eastAsia="仿宋"/>
          <w:sz w:val="24"/>
          <w:szCs w:val="24"/>
        </w:rPr>
      </w:pPr>
      <w:r>
        <w:rPr>
          <w:rFonts w:hint="eastAsia" w:ascii="仿宋" w:hAnsi="仿宋" w:eastAsia="仿宋"/>
          <w:sz w:val="24"/>
          <w:szCs w:val="24"/>
        </w:rPr>
        <w:t>备注：规划各地块指标预留一定弹性，</w:t>
      </w:r>
      <w:r>
        <w:rPr>
          <w:rFonts w:ascii="仿宋" w:hAnsi="仿宋" w:eastAsia="仿宋"/>
          <w:sz w:val="24"/>
          <w:szCs w:val="24"/>
        </w:rPr>
        <w:t>HX-02地块、HX-03地块、HX-05地块和HX-06地块总计容建筑面积之和不超过6886.26平方米（原规划设计条件中总计容建筑面积之和不超过6886.26平方米）。</w:t>
      </w:r>
    </w:p>
    <w:p>
      <w:pPr>
        <w:rPr>
          <w:rFonts w:ascii="仿宋" w:hAnsi="仿宋" w:eastAsia="仿宋"/>
          <w:sz w:val="24"/>
          <w:szCs w:val="24"/>
        </w:rPr>
        <w:sectPr>
          <w:pgSz w:w="11906" w:h="16838"/>
          <w:pgMar w:top="1440" w:right="1800" w:bottom="1440" w:left="1800" w:header="851" w:footer="992" w:gutter="0"/>
          <w:cols w:space="425" w:num="1"/>
          <w:docGrid w:type="lines" w:linePitch="312" w:charSpace="0"/>
        </w:sectPr>
      </w:pPr>
    </w:p>
    <w:p>
      <w:pPr>
        <w:rPr>
          <w:rFonts w:ascii="仿宋" w:hAnsi="仿宋" w:eastAsia="仿宋"/>
          <w:b/>
          <w:bCs/>
          <w:sz w:val="32"/>
          <w:szCs w:val="32"/>
        </w:rPr>
      </w:pPr>
      <w:r>
        <w:rPr>
          <w:rFonts w:hint="eastAsia" w:ascii="仿宋" w:hAnsi="仿宋" w:eastAsia="仿宋"/>
          <w:b/>
          <w:bCs/>
          <w:sz w:val="32"/>
          <w:szCs w:val="32"/>
        </w:rPr>
        <w:t>调整前后对比：</w:t>
      </w:r>
    </w:p>
    <w:p>
      <w:pPr>
        <w:rPr>
          <w:rFonts w:ascii="仿宋" w:hAnsi="仿宋" w:eastAsia="仿宋"/>
          <w:b/>
          <w:bCs/>
          <w:sz w:val="22"/>
        </w:rPr>
      </w:pPr>
      <w:r>
        <w:rPr>
          <w:rFonts w:hint="eastAsia" w:ascii="仿宋" w:hAnsi="仿宋" w:eastAsia="仿宋"/>
          <w:b/>
          <w:bCs/>
          <w:sz w:val="22"/>
        </w:rPr>
        <w:t xml:space="preserve">“原选址报告”土地利用规划图 </w:t>
      </w:r>
      <w:r>
        <w:rPr>
          <w:rFonts w:ascii="仿宋" w:hAnsi="仿宋" w:eastAsia="仿宋"/>
          <w:b/>
          <w:bCs/>
          <w:sz w:val="22"/>
        </w:rPr>
        <w:t xml:space="preserve">                                       </w:t>
      </w:r>
      <w:r>
        <w:rPr>
          <w:rFonts w:hint="eastAsia" w:ascii="仿宋" w:hAnsi="仿宋" w:eastAsia="仿宋"/>
          <w:b/>
          <w:bCs/>
          <w:sz w:val="22"/>
        </w:rPr>
        <w:t>调整后土地利用规划图</w:t>
      </w:r>
    </w:p>
    <w:p>
      <w:pPr>
        <w:rPr>
          <w:rFonts w:ascii="仿宋" w:hAnsi="仿宋" w:eastAsia="仿宋"/>
          <w:b/>
          <w:bCs/>
          <w:sz w:val="22"/>
        </w:rPr>
      </w:pPr>
      <w:r>
        <w:drawing>
          <wp:anchor distT="0" distB="0" distL="114300" distR="114300" simplePos="0" relativeHeight="251661312" behindDoc="0" locked="0" layoutInCell="1" allowOverlap="1">
            <wp:simplePos x="0" y="0"/>
            <wp:positionH relativeFrom="margin">
              <wp:posOffset>4665345</wp:posOffset>
            </wp:positionH>
            <wp:positionV relativeFrom="paragraph">
              <wp:posOffset>95250</wp:posOffset>
            </wp:positionV>
            <wp:extent cx="4151630" cy="4358640"/>
            <wp:effectExtent l="0" t="0" r="1270" b="44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t="1148" b="1798"/>
                    <a:stretch>
                      <a:fillRect/>
                    </a:stretch>
                  </pic:blipFill>
                  <pic:spPr>
                    <a:xfrm>
                      <a:off x="0" y="0"/>
                      <a:ext cx="4159605" cy="4366801"/>
                    </a:xfrm>
                    <a:prstGeom prst="rect">
                      <a:avLst/>
                    </a:prstGeom>
                    <a:noFill/>
                    <a:ln>
                      <a:noFill/>
                    </a:ln>
                  </pic:spPr>
                </pic:pic>
              </a:graphicData>
            </a:graphic>
          </wp:anchor>
        </w:drawing>
      </w:r>
      <w:r>
        <w:rPr>
          <w:rFonts w:ascii="仿宋" w:hAnsi="仿宋" w:eastAsia="仿宋"/>
          <w:b/>
          <w:bCs/>
          <w:sz w:val="22"/>
        </w:rPr>
        <w:drawing>
          <wp:anchor distT="0" distB="0" distL="114300" distR="114300" simplePos="0" relativeHeight="251659264" behindDoc="0" locked="0" layoutInCell="1" allowOverlap="1">
            <wp:simplePos x="0" y="0"/>
            <wp:positionH relativeFrom="margin">
              <wp:posOffset>7620</wp:posOffset>
            </wp:positionH>
            <wp:positionV relativeFrom="paragraph">
              <wp:posOffset>79375</wp:posOffset>
            </wp:positionV>
            <wp:extent cx="4170680" cy="4375150"/>
            <wp:effectExtent l="0" t="0" r="1905"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rcRect t="1005" b="2911"/>
                    <a:stretch>
                      <a:fillRect/>
                    </a:stretch>
                  </pic:blipFill>
                  <pic:spPr>
                    <a:xfrm>
                      <a:off x="0" y="0"/>
                      <a:ext cx="4173469" cy="4378123"/>
                    </a:xfrm>
                    <a:prstGeom prst="rect">
                      <a:avLst/>
                    </a:prstGeom>
                    <a:ln>
                      <a:noFill/>
                    </a:ln>
                  </pic:spPr>
                </pic:pic>
              </a:graphicData>
            </a:graphic>
          </wp:anchor>
        </w:drawing>
      </w:r>
    </w:p>
    <w:p>
      <w:pPr>
        <w:rPr>
          <w:rFonts w:ascii="仿宋" w:hAnsi="仿宋" w:eastAsia="仿宋"/>
          <w:b/>
          <w:bCs/>
          <w:sz w:val="32"/>
          <w:szCs w:val="32"/>
        </w:rPr>
      </w:pPr>
    </w:p>
    <w:p>
      <w:pPr>
        <w:rPr>
          <w:rFonts w:ascii="仿宋" w:hAnsi="仿宋" w:eastAsia="仿宋"/>
          <w:b/>
          <w:bCs/>
          <w:sz w:val="32"/>
          <w:szCs w:val="32"/>
        </w:rPr>
      </w:pPr>
    </w:p>
    <w:p>
      <w:r>
        <w:rPr>
          <w:rFonts w:hint="eastAsia" w:ascii="仿宋" w:hAnsi="仿宋" w:eastAsia="仿宋"/>
          <w:sz w:val="22"/>
        </w:rPr>
        <mc:AlternateContent>
          <mc:Choice Requires="wps">
            <w:drawing>
              <wp:anchor distT="0" distB="0" distL="114300" distR="114300" simplePos="0" relativeHeight="251660288" behindDoc="0" locked="0" layoutInCell="1" allowOverlap="1">
                <wp:simplePos x="0" y="0"/>
                <wp:positionH relativeFrom="column">
                  <wp:posOffset>4284345</wp:posOffset>
                </wp:positionH>
                <wp:positionV relativeFrom="paragraph">
                  <wp:posOffset>957580</wp:posOffset>
                </wp:positionV>
                <wp:extent cx="308610" cy="669290"/>
                <wp:effectExtent l="0" t="38100" r="34290" b="54610"/>
                <wp:wrapNone/>
                <wp:docPr id="7" name="箭头: 右 7"/>
                <wp:cNvGraphicFramePr/>
                <a:graphic xmlns:a="http://schemas.openxmlformats.org/drawingml/2006/main">
                  <a:graphicData uri="http://schemas.microsoft.com/office/word/2010/wordprocessingShape">
                    <wps:wsp>
                      <wps:cNvSpPr>
                        <a:spLocks noChangeArrowheads="1"/>
                      </wps:cNvSpPr>
                      <wps:spPr bwMode="auto">
                        <a:xfrm>
                          <a:off x="0" y="0"/>
                          <a:ext cx="308610" cy="669290"/>
                        </a:xfrm>
                        <a:prstGeom prst="rightArrow">
                          <a:avLst>
                            <a:gd name="adj1" fmla="val 50000"/>
                            <a:gd name="adj2" fmla="val 25000"/>
                          </a:avLst>
                        </a:prstGeom>
                        <a:solidFill>
                          <a:srgbClr val="C00000"/>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箭头: 右 7" o:spid="_x0000_s1026" o:spt="13" type="#_x0000_t13" style="position:absolute;left:0pt;margin-left:337.35pt;margin-top:75.4pt;height:52.7pt;width:24.3pt;z-index:251660288;mso-width-relative:page;mso-height-relative:page;" fillcolor="#C00000" filled="t" stroked="t" coordsize="21600,21600" o:gfxdata="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r+Z9faAAAACwEAAA8AAAAAAAAAAQAgAAAAIgAAAGRycy9kb3ducmV2LnhtbFBLAQIUABQAAAAI&#10;AIdO4kAjhr4HXQIAANUEAAAOAAAAAAAAAAEAIAAAACkBAABkcnMvZTJvRG9jLnhtbFBLBQYAAAAA&#10;BgAGAFkBAAD4BQAAAAA=&#10;" adj="16200,5400">
                <v:fill on="t" focussize="0,0"/>
                <v:stroke color="#000000" miterlimit="8" joinstyle="miter"/>
                <v:imagedata o:title=""/>
                <o:lock v:ext="edit" aspectratio="f"/>
                <v:textbox>
                  <w:txbxContent>
                    <w:p/>
                  </w:txbxContent>
                </v:textbox>
              </v:shape>
            </w:pict>
          </mc:Fallback>
        </mc:AlternateContent>
      </w:r>
    </w:p>
    <w:p>
      <w:pPr>
        <w:rPr>
          <w:rFonts w:ascii="仿宋" w:hAnsi="仿宋" w:eastAsia="仿宋"/>
          <w:b/>
          <w:bCs/>
          <w:sz w:val="32"/>
          <w:szCs w:val="32"/>
        </w:rPr>
        <w:sectPr>
          <w:pgSz w:w="16838" w:h="11906" w:orient="landscape"/>
          <w:pgMar w:top="1800" w:right="1440" w:bottom="1800" w:left="1440" w:header="851" w:footer="992" w:gutter="0"/>
          <w:cols w:space="425" w:num="1"/>
          <w:docGrid w:type="lines" w:linePitch="312" w:charSpace="0"/>
        </w:sectPr>
      </w:pPr>
    </w:p>
    <w:p>
      <w:pPr>
        <w:jc w:val="left"/>
        <w:rPr>
          <w:rFonts w:ascii="仿宋" w:hAnsi="仿宋" w:eastAsia="仿宋"/>
          <w:b/>
          <w:bCs/>
          <w:sz w:val="32"/>
          <w:szCs w:val="32"/>
        </w:rPr>
      </w:pPr>
      <w:r>
        <w:rPr>
          <w:rFonts w:hint="eastAsia" w:ascii="仿宋" w:hAnsi="仿宋" w:eastAsia="仿宋"/>
          <w:b/>
          <w:bCs/>
          <w:sz w:val="32"/>
          <w:szCs w:val="32"/>
        </w:rPr>
        <w:t>地块图则：</w:t>
      </w:r>
    </w:p>
    <w:p>
      <w:pPr>
        <w:jc w:val="left"/>
        <w:rPr>
          <w:rFonts w:ascii="仿宋" w:hAnsi="仿宋" w:eastAsia="仿宋"/>
          <w:b/>
          <w:bCs/>
          <w:sz w:val="32"/>
          <w:szCs w:val="32"/>
        </w:rPr>
      </w:pPr>
      <w:r>
        <w:rPr>
          <w:rFonts w:ascii="仿宋" w:hAnsi="仿宋" w:eastAsia="仿宋"/>
          <w:b/>
          <w:bCs/>
          <w:sz w:val="32"/>
          <w:szCs w:val="32"/>
        </w:rPr>
        <w:drawing>
          <wp:anchor distT="0" distB="0" distL="114300" distR="114300" simplePos="0" relativeHeight="251662336" behindDoc="0" locked="0" layoutInCell="1" allowOverlap="1">
            <wp:simplePos x="0" y="0"/>
            <wp:positionH relativeFrom="margin">
              <wp:posOffset>655320</wp:posOffset>
            </wp:positionH>
            <wp:positionV relativeFrom="paragraph">
              <wp:posOffset>45720</wp:posOffset>
            </wp:positionV>
            <wp:extent cx="7549515" cy="5332730"/>
            <wp:effectExtent l="0" t="0" r="0" b="19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7549317" cy="5332512"/>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01"/>
    <w:rsid w:val="00055469"/>
    <w:rsid w:val="000F4C20"/>
    <w:rsid w:val="00186837"/>
    <w:rsid w:val="00437D98"/>
    <w:rsid w:val="00456BA8"/>
    <w:rsid w:val="004D32CE"/>
    <w:rsid w:val="004D39E6"/>
    <w:rsid w:val="00526C18"/>
    <w:rsid w:val="00530656"/>
    <w:rsid w:val="00572DAB"/>
    <w:rsid w:val="005D01BD"/>
    <w:rsid w:val="00603781"/>
    <w:rsid w:val="006745F3"/>
    <w:rsid w:val="006E3C76"/>
    <w:rsid w:val="00780F62"/>
    <w:rsid w:val="00845A3E"/>
    <w:rsid w:val="00871922"/>
    <w:rsid w:val="00914272"/>
    <w:rsid w:val="00997AC6"/>
    <w:rsid w:val="00A14993"/>
    <w:rsid w:val="00AA2C5E"/>
    <w:rsid w:val="00AA4287"/>
    <w:rsid w:val="00B16E8C"/>
    <w:rsid w:val="00B32E4B"/>
    <w:rsid w:val="00BF5DBD"/>
    <w:rsid w:val="00C94B74"/>
    <w:rsid w:val="00CB70FA"/>
    <w:rsid w:val="00D31146"/>
    <w:rsid w:val="00DA05C1"/>
    <w:rsid w:val="00DA6C9A"/>
    <w:rsid w:val="00DB52DD"/>
    <w:rsid w:val="00E51D45"/>
    <w:rsid w:val="00E57FC1"/>
    <w:rsid w:val="00F05385"/>
    <w:rsid w:val="00F47BFE"/>
    <w:rsid w:val="00FB2E7F"/>
    <w:rsid w:val="00FC5A2A"/>
    <w:rsid w:val="00FD6268"/>
    <w:rsid w:val="00FE4801"/>
    <w:rsid w:val="2D175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406</Words>
  <Characters>506</Characters>
  <Lines>4</Lines>
  <Paragraphs>1</Paragraphs>
  <TotalTime>126</TotalTime>
  <ScaleCrop>false</ScaleCrop>
  <LinksUpToDate>false</LinksUpToDate>
  <CharactersWithSpaces>546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2022-01-21T07:52:00Z</dcterms:created>
  <dc:creator>Administrator</dc:creator>
  <cp:lastModifiedBy>-</cp:lastModifiedBy>
  <dcterms:modified xsi:type="dcterms:W3CDTF">2022-04-19T07:07:20Z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176FBBA8FBE64DD49AF1BC1E782F1484</vt:lpwstr>
  </property>
</Properties>
</file>