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3CB85A4">
      <w:pPr>
        <w:keepNext w:val="0"/>
        <w:keepLines w:val="0"/>
        <w:pageBreakBefore w:val="0"/>
        <w:widowControl w:val="0"/>
        <w:suppressLineNumbers w:val="0"/>
        <w:kinsoku/>
        <w:wordWrap w:val="0"/>
        <w:overflowPunct/>
        <w:topLinePunct w:val="0"/>
        <w:autoSpaceDE/>
        <w:autoSpaceDN/>
        <w:bidi w:val="0"/>
        <w:adjustRightInd/>
        <w:snapToGrid w:val="0"/>
        <w:spacing w:before="1400" w:beforeAutospacing="0" w:after="313" w:afterLines="100" w:afterAutospacing="0" w:line="240" w:lineRule="auto"/>
        <w:ind w:left="0" w:leftChars="0" w:right="250" w:rightChars="119" w:firstLine="0" w:firstLineChars="0"/>
        <w:jc w:val="right"/>
        <w:textAlignment w:val="auto"/>
        <w:outlineLvl w:val="9"/>
        <w:rPr>
          <w:rFonts w:hint="eastAsia" w:ascii="仿宋_GB2312" w:hAnsi="仿宋_GB2312" w:eastAsia="仿宋_GB2312" w:cs="仿宋_GB2312"/>
          <w:kern w:val="2"/>
          <w:sz w:val="32"/>
          <w:szCs w:val="32"/>
          <w:highlight w:val="none"/>
          <w:lang w:val="en-US" w:eastAsia="zh-CN" w:bidi="ar"/>
        </w:rPr>
      </w:pPr>
      <w:r>
        <w:rPr>
          <w:rFonts w:hint="eastAsia" w:ascii="仿宋_GB2312" w:hAnsi="仿宋_GB2312" w:eastAsia="仿宋_GB2312" w:cs="仿宋_GB2312"/>
          <w:kern w:val="2"/>
          <w:sz w:val="32"/>
          <w:szCs w:val="32"/>
          <w:highlight w:val="none"/>
          <w:lang w:val="en-US" w:eastAsia="zh-CN" w:bidi="ar"/>
        </w:rPr>
        <w:t>榕环评〔2026〕41号</w:t>
      </w:r>
    </w:p>
    <w:p w14:paraId="69D1EAB0">
      <w:pPr>
        <w:keepNext w:val="0"/>
        <w:keepLines w:val="0"/>
        <w:pageBreakBefore w:val="0"/>
        <w:widowControl w:val="0"/>
        <w:suppressLineNumbers w:val="0"/>
        <w:kinsoku/>
        <w:wordWrap/>
        <w:overflowPunct/>
        <w:topLinePunct w:val="0"/>
        <w:autoSpaceDE/>
        <w:autoSpaceDN/>
        <w:bidi w:val="0"/>
        <w:adjustRightInd/>
        <w:snapToGrid w:val="0"/>
        <w:spacing w:beforeAutospacing="0" w:after="313" w:afterLines="100" w:afterAutospacing="0" w:line="240" w:lineRule="auto"/>
        <w:ind w:left="0" w:right="0"/>
        <w:jc w:val="center"/>
        <w:textAlignment w:val="auto"/>
        <w:rPr>
          <w:rFonts w:hint="eastAsia" w:ascii="长城小标宋体" w:hAnsi="长城小标宋体" w:eastAsia="长城小标宋体" w:cs="长城小标宋体"/>
          <w:kern w:val="2"/>
          <w:sz w:val="40"/>
          <w:szCs w:val="40"/>
          <w:highlight w:val="none"/>
          <w:lang w:val="en-US" w:eastAsia="zh-CN" w:bidi="ar"/>
        </w:rPr>
      </w:pPr>
      <w:r>
        <w:rPr>
          <w:rFonts w:hint="eastAsia" w:ascii="长城小标宋体" w:hAnsi="长城小标宋体" w:eastAsia="长城小标宋体" w:cs="长城小标宋体"/>
          <w:kern w:val="2"/>
          <w:sz w:val="40"/>
          <w:szCs w:val="40"/>
          <w:highlight w:val="none"/>
          <w:lang w:val="en-US" w:eastAsia="zh-CN" w:bidi="ar"/>
        </w:rPr>
        <w:t>福州市生态环境局关于</w:t>
      </w:r>
      <w:bookmarkStart w:id="0" w:name="OLE_LINK2"/>
      <w:bookmarkStart w:id="1" w:name="OLE_LINK1"/>
      <w:r>
        <w:rPr>
          <w:rFonts w:hint="eastAsia" w:ascii="长城小标宋体" w:hAnsi="长城小标宋体" w:eastAsia="长城小标宋体" w:cs="长城小标宋体"/>
          <w:kern w:val="2"/>
          <w:sz w:val="40"/>
          <w:szCs w:val="40"/>
          <w:highlight w:val="none"/>
          <w:lang w:val="en-US" w:eastAsia="zh-CN" w:bidi="ar"/>
        </w:rPr>
        <w:t>福州市仓山区黄山片区</w:t>
      </w:r>
    </w:p>
    <w:p w14:paraId="0018D278">
      <w:pPr>
        <w:keepNext w:val="0"/>
        <w:keepLines w:val="0"/>
        <w:pageBreakBefore w:val="0"/>
        <w:widowControl w:val="0"/>
        <w:suppressLineNumbers w:val="0"/>
        <w:kinsoku/>
        <w:wordWrap/>
        <w:overflowPunct/>
        <w:topLinePunct w:val="0"/>
        <w:autoSpaceDE/>
        <w:autoSpaceDN/>
        <w:bidi w:val="0"/>
        <w:adjustRightInd/>
        <w:snapToGrid w:val="0"/>
        <w:spacing w:beforeAutospacing="0" w:after="313" w:afterLines="100" w:afterAutospacing="0" w:line="240" w:lineRule="auto"/>
        <w:ind w:left="0" w:right="0"/>
        <w:jc w:val="center"/>
        <w:textAlignment w:val="auto"/>
        <w:rPr>
          <w:rFonts w:hint="eastAsia" w:ascii="长城小标宋体" w:hAnsi="长城小标宋体" w:eastAsia="长城小标宋体" w:cs="长城小标宋体"/>
          <w:kern w:val="2"/>
          <w:sz w:val="40"/>
          <w:szCs w:val="40"/>
          <w:highlight w:val="none"/>
          <w:lang w:val="en-US" w:eastAsia="zh-CN" w:bidi="ar"/>
        </w:rPr>
      </w:pPr>
      <w:r>
        <w:rPr>
          <w:rFonts w:hint="eastAsia" w:ascii="长城小标宋体" w:hAnsi="长城小标宋体" w:eastAsia="长城小标宋体" w:cs="长城小标宋体"/>
          <w:kern w:val="2"/>
          <w:sz w:val="40"/>
          <w:szCs w:val="40"/>
          <w:highlight w:val="none"/>
          <w:lang w:val="en-US" w:eastAsia="zh-CN" w:bidi="ar"/>
        </w:rPr>
        <w:t>城中村改造项目配套道路工程</w:t>
      </w:r>
      <w:bookmarkEnd w:id="0"/>
      <w:r>
        <w:rPr>
          <w:rFonts w:hint="eastAsia" w:ascii="长城小标宋体" w:hAnsi="长城小标宋体" w:eastAsia="长城小标宋体" w:cs="长城小标宋体"/>
          <w:kern w:val="2"/>
          <w:sz w:val="40"/>
          <w:szCs w:val="40"/>
          <w:highlight w:val="none"/>
          <w:lang w:val="en-US" w:eastAsia="zh-CN" w:bidi="ar"/>
        </w:rPr>
        <w:t>环境影响</w:t>
      </w:r>
    </w:p>
    <w:p w14:paraId="437B980A">
      <w:pPr>
        <w:keepNext w:val="0"/>
        <w:keepLines w:val="0"/>
        <w:pageBreakBefore w:val="0"/>
        <w:widowControl w:val="0"/>
        <w:suppressLineNumbers w:val="0"/>
        <w:kinsoku/>
        <w:wordWrap/>
        <w:overflowPunct/>
        <w:topLinePunct w:val="0"/>
        <w:autoSpaceDE/>
        <w:autoSpaceDN/>
        <w:bidi w:val="0"/>
        <w:adjustRightInd/>
        <w:snapToGrid w:val="0"/>
        <w:spacing w:beforeAutospacing="0" w:after="313" w:afterLines="100" w:afterAutospacing="0" w:line="240" w:lineRule="auto"/>
        <w:ind w:left="0" w:right="0"/>
        <w:jc w:val="center"/>
        <w:textAlignment w:val="auto"/>
        <w:rPr>
          <w:rFonts w:hint="eastAsia" w:ascii="长城小标宋体" w:hAnsi="长城小标宋体" w:eastAsia="长城小标宋体" w:cs="长城小标宋体"/>
          <w:kern w:val="2"/>
          <w:sz w:val="40"/>
          <w:szCs w:val="40"/>
          <w:highlight w:val="none"/>
          <w:lang w:val="en-US" w:eastAsia="zh-CN" w:bidi="ar"/>
        </w:rPr>
      </w:pPr>
      <w:r>
        <w:rPr>
          <w:rFonts w:hint="eastAsia" w:ascii="长城小标宋体" w:hAnsi="长城小标宋体" w:eastAsia="长城小标宋体" w:cs="长城小标宋体"/>
          <w:kern w:val="2"/>
          <w:sz w:val="40"/>
          <w:szCs w:val="40"/>
          <w:highlight w:val="none"/>
          <w:lang w:val="en-US" w:eastAsia="zh-CN" w:bidi="ar"/>
        </w:rPr>
        <w:t>报告表的审批意见</w:t>
      </w:r>
    </w:p>
    <w:bookmarkEnd w:id="1"/>
    <w:p w14:paraId="6996CB12">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ind w:left="0" w:right="0"/>
        <w:jc w:val="center"/>
        <w:textAlignment w:val="auto"/>
        <w:rPr>
          <w:rFonts w:hint="eastAsia" w:ascii="长城小标宋体" w:hAnsi="长城小标宋体" w:eastAsia="长城小标宋体" w:cs="长城小标宋体"/>
          <w:kern w:val="2"/>
          <w:sz w:val="40"/>
          <w:szCs w:val="40"/>
          <w:highlight w:val="none"/>
          <w:lang w:val="en-US" w:eastAsia="zh-CN" w:bidi="ar"/>
        </w:rPr>
      </w:pPr>
    </w:p>
    <w:p w14:paraId="7ED9317E">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仿宋_GB2312" w:hAnsi="Times New Roman" w:eastAsia="仿宋_GB2312" w:cs="宋体"/>
          <w:kern w:val="0"/>
          <w:sz w:val="32"/>
          <w:szCs w:val="32"/>
          <w:highlight w:val="none"/>
          <w:lang w:val="en-US" w:eastAsia="zh-CN" w:bidi="ar"/>
        </w:rPr>
      </w:pPr>
      <w:r>
        <w:rPr>
          <w:rFonts w:hint="eastAsia" w:ascii="仿宋_GB2312" w:hAnsi="Times New Roman" w:eastAsia="仿宋_GB2312" w:cs="宋体"/>
          <w:kern w:val="0"/>
          <w:sz w:val="32"/>
          <w:szCs w:val="32"/>
          <w:highlight w:val="none"/>
          <w:lang w:val="en-US" w:eastAsia="zh-CN" w:bidi="ar"/>
        </w:rPr>
        <w:t>福州市城中村改造建设发展有限公司：</w:t>
      </w:r>
    </w:p>
    <w:p w14:paraId="5FD31D72">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仿宋_GB2312" w:hAnsi="Times New Roman" w:eastAsia="仿宋_GB2312" w:cs="宋体"/>
          <w:kern w:val="0"/>
          <w:sz w:val="32"/>
          <w:szCs w:val="32"/>
          <w:highlight w:val="none"/>
          <w:lang w:val="en-US" w:eastAsia="zh-CN" w:bidi="ar"/>
        </w:rPr>
      </w:pPr>
      <w:r>
        <w:rPr>
          <w:rFonts w:hint="eastAsia" w:ascii="仿宋_GB2312" w:hAnsi="Times New Roman" w:eastAsia="仿宋_GB2312" w:cs="宋体"/>
          <w:kern w:val="0"/>
          <w:sz w:val="32"/>
          <w:szCs w:val="32"/>
          <w:highlight w:val="none"/>
          <w:lang w:val="en-US" w:eastAsia="zh-CN" w:bidi="ar"/>
        </w:rPr>
        <w:t>你司报送的《福州市仓山区黄山片区城中村改造项目配套道路工程环境影响报告表》(以下简称《报告表》)收悉。根据《环境影响评价法》第二十二条等规定，并征求福州市仓山生态环境局意见，现提出审批意见如下：</w:t>
      </w:r>
    </w:p>
    <w:p w14:paraId="2C90E04F">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仿宋_GB2312" w:hAnsi="Times New Roman" w:eastAsia="仿宋_GB2312" w:cs="宋体"/>
          <w:kern w:val="0"/>
          <w:sz w:val="32"/>
          <w:szCs w:val="32"/>
          <w:highlight w:val="none"/>
          <w:lang w:val="en-US" w:eastAsia="zh-CN" w:bidi="ar"/>
        </w:rPr>
      </w:pPr>
      <w:r>
        <w:rPr>
          <w:rFonts w:hint="eastAsia" w:ascii="仿宋_GB2312" w:hAnsi="Times New Roman" w:eastAsia="仿宋_GB2312" w:cs="宋体"/>
          <w:kern w:val="0"/>
          <w:sz w:val="32"/>
          <w:szCs w:val="32"/>
          <w:highlight w:val="none"/>
          <w:lang w:val="en-US" w:eastAsia="zh-CN" w:bidi="ar"/>
        </w:rPr>
        <w:t>一、福州市仓山区黄山片区城中村改造项目配套道路工程位于福州市仓山区城门镇，包含前锦路、敖里路和城锦路，共三条路。其中，前锦路南起城峰路，北至福峡路，道路红线宽度32米，设计长度437.522米；敖里路南起城峰路，北至福峡路，道路红线宽度30米，设计长度367.428米；城锦路西起前锦路，东至敖里路，道路红线宽度20米，设计长度214.374米。工程主要建设内容包括道路、桥梁、给排水、电气照明、配套管线、绿化、交通及安全设施等。根据《报告表》评价结论，该项目建设符合国家产业政策，选址符合福州市生态环境分区管控方案、《福州市“十四五”综合交通运输发展专项规划》及规划环评要求。在严格落实《报告表》提出的各项生态环境保护和环境风险防控措施，加强环境管理的前提下，从环境影响角度分析，项目建设可行。我局原则同意《报告表》中所列建设项目的性质、规模、地点、工艺和拟采取的环境保护对策措施。</w:t>
      </w:r>
    </w:p>
    <w:p w14:paraId="7827A16C">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仿宋_GB2312" w:hAnsi="Times New Roman" w:eastAsia="仿宋_GB2312" w:cs="宋体"/>
          <w:snapToGrid w:val="0"/>
          <w:kern w:val="0"/>
          <w:sz w:val="32"/>
          <w:szCs w:val="32"/>
          <w:highlight w:val="none"/>
          <w:lang w:val="en-US" w:eastAsia="zh-CN" w:bidi="ar"/>
        </w:rPr>
      </w:pPr>
      <w:r>
        <w:rPr>
          <w:rFonts w:hint="eastAsia" w:ascii="仿宋_GB2312" w:hAnsi="Times New Roman" w:eastAsia="仿宋_GB2312" w:cs="宋体"/>
          <w:kern w:val="0"/>
          <w:sz w:val="32"/>
          <w:szCs w:val="32"/>
          <w:highlight w:val="none"/>
          <w:lang w:val="en-US" w:eastAsia="zh-CN" w:bidi="ar"/>
        </w:rPr>
        <w:t>项目在施工和运营中应认真落实《报告表》提出的各项环</w:t>
      </w:r>
      <w:r>
        <w:rPr>
          <w:rFonts w:hint="eastAsia" w:ascii="仿宋_GB2312" w:hAnsi="Times New Roman" w:eastAsia="仿宋_GB2312" w:cs="宋体"/>
          <w:snapToGrid w:val="0"/>
          <w:kern w:val="0"/>
          <w:sz w:val="32"/>
          <w:szCs w:val="32"/>
          <w:highlight w:val="none"/>
          <w:lang w:val="en-US" w:eastAsia="zh-CN" w:bidi="ar"/>
        </w:rPr>
        <w:t>境保护措施，并重点做好以下工作：</w:t>
      </w:r>
    </w:p>
    <w:p w14:paraId="759E5DA2">
      <w:pPr>
        <w:pStyle w:val="15"/>
        <w:numPr>
          <w:ilvl w:val="0"/>
          <w:numId w:val="1"/>
        </w:numPr>
        <w:spacing w:line="360" w:lineRule="auto"/>
        <w:ind w:left="0" w:leftChars="0" w:firstLine="420" w:firstLineChars="0"/>
        <w:rPr>
          <w:rFonts w:hint="default" w:ascii="仿宋_GB2312" w:hAnsi="Times New Roman" w:eastAsia="仿宋_GB2312" w:cs="宋体"/>
          <w:kern w:val="0"/>
          <w:sz w:val="32"/>
          <w:szCs w:val="32"/>
          <w:highlight w:val="none"/>
          <w:lang w:val="en-US" w:eastAsia="zh-CN" w:bidi="ar"/>
        </w:rPr>
      </w:pPr>
      <w:r>
        <w:rPr>
          <w:rFonts w:hint="eastAsia" w:ascii="仿宋_GB2312" w:hAnsi="Times New Roman" w:eastAsia="仿宋_GB2312" w:cs="宋体"/>
          <w:snapToGrid w:val="0"/>
          <w:kern w:val="0"/>
          <w:sz w:val="32"/>
          <w:szCs w:val="32"/>
          <w:highlight w:val="none"/>
          <w:lang w:val="en-US" w:eastAsia="zh-CN" w:bidi="ar"/>
        </w:rPr>
        <w:t>施工期</w:t>
      </w:r>
      <w:r>
        <w:rPr>
          <w:rFonts w:hint="eastAsia" w:ascii="仿宋_GB2312" w:hAnsi="Times New Roman" w:eastAsia="仿宋_GB2312" w:cs="宋体"/>
          <w:kern w:val="0"/>
          <w:sz w:val="32"/>
          <w:szCs w:val="32"/>
          <w:highlight w:val="none"/>
          <w:lang w:val="en-US" w:eastAsia="zh-CN" w:bidi="ar"/>
        </w:rPr>
        <w:t>合理布局施工现场、安排施工作业时间，采取必要的措施防止施工噪声对沿线声环境敏感目标的影响。采用低噪声路面，</w:t>
      </w:r>
      <w:r>
        <w:rPr>
          <w:rFonts w:hint="eastAsia" w:ascii="仿宋_GB2312" w:eastAsia="仿宋_GB2312" w:cs="宋体"/>
          <w:kern w:val="0"/>
          <w:sz w:val="32"/>
          <w:szCs w:val="32"/>
          <w:highlight w:val="none"/>
          <w:lang w:val="en-US" w:eastAsia="zh-CN" w:bidi="ar"/>
        </w:rPr>
        <w:t>对预</w:t>
      </w:r>
      <w:r>
        <w:rPr>
          <w:rFonts w:hint="eastAsia" w:ascii="仿宋_GB2312" w:hAnsi="Times New Roman" w:eastAsia="仿宋_GB2312" w:cs="宋体"/>
          <w:kern w:val="0"/>
          <w:sz w:val="32"/>
          <w:szCs w:val="32"/>
          <w:highlight w:val="none"/>
          <w:lang w:val="en-US" w:eastAsia="zh-CN" w:bidi="ar"/>
        </w:rPr>
        <w:t>测超标的声环境保护目标采取加装隔声窗</w:t>
      </w:r>
      <w:r>
        <w:rPr>
          <w:rFonts w:hint="eastAsia" w:ascii="仿宋_GB2312" w:eastAsia="仿宋_GB2312" w:cs="宋体"/>
          <w:kern w:val="0"/>
          <w:sz w:val="32"/>
          <w:szCs w:val="32"/>
          <w:highlight w:val="none"/>
          <w:lang w:val="en-US" w:eastAsia="zh-CN" w:bidi="ar"/>
        </w:rPr>
        <w:t>措施</w:t>
      </w:r>
      <w:r>
        <w:rPr>
          <w:rFonts w:hint="eastAsia" w:ascii="仿宋_GB2312" w:hAnsi="Times New Roman" w:eastAsia="仿宋_GB2312" w:cs="宋体"/>
          <w:kern w:val="0"/>
          <w:sz w:val="32"/>
          <w:szCs w:val="32"/>
          <w:highlight w:val="none"/>
          <w:lang w:val="en-US" w:eastAsia="zh-CN" w:bidi="ar"/>
        </w:rPr>
        <w:t>，</w:t>
      </w:r>
      <w:r>
        <w:rPr>
          <w:rFonts w:hint="eastAsia" w:ascii="仿宋_GB2312" w:eastAsia="仿宋_GB2312" w:cs="宋体"/>
          <w:kern w:val="0"/>
          <w:sz w:val="32"/>
          <w:szCs w:val="32"/>
          <w:highlight w:val="none"/>
          <w:lang w:val="en-US" w:eastAsia="zh-CN" w:bidi="ar"/>
        </w:rPr>
        <w:t>并</w:t>
      </w:r>
      <w:r>
        <w:rPr>
          <w:rFonts w:hint="eastAsia" w:ascii="仿宋_GB2312" w:hAnsi="Times New Roman" w:eastAsia="仿宋_GB2312" w:cs="宋体"/>
          <w:kern w:val="0"/>
          <w:sz w:val="32"/>
          <w:szCs w:val="32"/>
          <w:highlight w:val="none"/>
          <w:lang w:val="en-US" w:eastAsia="zh-CN" w:bidi="ar"/>
        </w:rPr>
        <w:t>定期开展噪声跟踪监测，根据监测结果适时优化完善降噪措施。施工期场界噪声执行《建筑施工噪声排放标准》（GB12523-2025）中的标准限值，运营期声环境执行《声环境质量标准》（GB3096-2008）中的2类区标准（道路红线外35米范围内执行《声环境质量标准》（GB3096-2008）中的4a类区标准。）</w:t>
      </w:r>
    </w:p>
    <w:p w14:paraId="4ED3645E">
      <w:pPr>
        <w:pStyle w:val="15"/>
        <w:numPr>
          <w:ilvl w:val="0"/>
          <w:numId w:val="1"/>
        </w:numPr>
        <w:spacing w:line="360" w:lineRule="auto"/>
        <w:ind w:left="0" w:leftChars="0" w:firstLine="420" w:firstLineChars="0"/>
        <w:rPr>
          <w:rFonts w:hint="default" w:ascii="仿宋_GB2312" w:hAnsi="Times New Roman" w:eastAsia="仿宋_GB2312" w:cs="宋体"/>
          <w:kern w:val="0"/>
          <w:sz w:val="32"/>
          <w:szCs w:val="32"/>
          <w:highlight w:val="none"/>
          <w:lang w:val="en-US" w:eastAsia="zh-CN" w:bidi="ar"/>
        </w:rPr>
      </w:pPr>
      <w:r>
        <w:rPr>
          <w:rFonts w:hint="eastAsia" w:ascii="仿宋_GB2312" w:hAnsi="Times New Roman" w:eastAsia="仿宋_GB2312" w:cs="宋体"/>
          <w:kern w:val="0"/>
          <w:sz w:val="32"/>
          <w:szCs w:val="32"/>
          <w:highlight w:val="none"/>
          <w:lang w:val="en-US" w:eastAsia="zh-CN" w:bidi="ar"/>
        </w:rPr>
        <w:t>施工建筑废料、渣土、废弃建材</w:t>
      </w:r>
      <w:r>
        <w:rPr>
          <w:rFonts w:hint="eastAsia" w:ascii="仿宋_GB2312" w:eastAsia="仿宋_GB2312" w:cs="宋体"/>
          <w:kern w:val="0"/>
          <w:sz w:val="32"/>
          <w:szCs w:val="32"/>
          <w:highlight w:val="none"/>
          <w:lang w:val="en-US" w:eastAsia="zh-CN" w:bidi="ar"/>
        </w:rPr>
        <w:t>应</w:t>
      </w:r>
      <w:r>
        <w:rPr>
          <w:rFonts w:hint="eastAsia" w:ascii="仿宋_GB2312" w:hAnsi="Times New Roman" w:eastAsia="仿宋_GB2312" w:cs="宋体"/>
          <w:kern w:val="0"/>
          <w:sz w:val="32"/>
          <w:szCs w:val="32"/>
          <w:highlight w:val="none"/>
          <w:lang w:val="en-US" w:eastAsia="zh-CN" w:bidi="ar"/>
        </w:rPr>
        <w:t>集中定点堆放，严禁向鳌里河、胪雷河河道内倾倒</w:t>
      </w:r>
      <w:r>
        <w:rPr>
          <w:rFonts w:hint="eastAsia" w:ascii="仿宋_GB2312" w:eastAsia="仿宋_GB2312" w:cs="宋体"/>
          <w:kern w:val="0"/>
          <w:sz w:val="32"/>
          <w:szCs w:val="32"/>
          <w:highlight w:val="none"/>
          <w:lang w:val="en-US" w:eastAsia="zh-CN" w:bidi="ar"/>
        </w:rPr>
        <w:t>；</w:t>
      </w:r>
      <w:r>
        <w:rPr>
          <w:rFonts w:hint="eastAsia" w:ascii="仿宋_GB2312" w:hAnsi="Times New Roman" w:eastAsia="仿宋_GB2312" w:cs="宋体"/>
          <w:kern w:val="0"/>
          <w:sz w:val="32"/>
          <w:szCs w:val="32"/>
          <w:highlight w:val="none"/>
          <w:lang w:val="en-US" w:eastAsia="zh-CN" w:bidi="ar"/>
        </w:rPr>
        <w:t>施工废水、泥浆水经处理后回用于施工、车辆冲洗和场地抑尘，不得排入</w:t>
      </w:r>
      <w:r>
        <w:rPr>
          <w:rFonts w:hint="eastAsia" w:ascii="仿宋_GB2312" w:eastAsia="仿宋_GB2312" w:cs="宋体"/>
          <w:kern w:val="0"/>
          <w:sz w:val="32"/>
          <w:szCs w:val="32"/>
          <w:highlight w:val="none"/>
          <w:lang w:val="en-US" w:eastAsia="zh-CN" w:bidi="ar"/>
        </w:rPr>
        <w:t>内河</w:t>
      </w:r>
      <w:r>
        <w:rPr>
          <w:rFonts w:hint="eastAsia" w:ascii="仿宋_GB2312" w:hAnsi="Times New Roman" w:eastAsia="仿宋_GB2312" w:cs="宋体"/>
          <w:kern w:val="0"/>
          <w:sz w:val="32"/>
          <w:szCs w:val="32"/>
          <w:highlight w:val="none"/>
          <w:lang w:val="en-US" w:eastAsia="zh-CN" w:bidi="ar"/>
        </w:rPr>
        <w:t>。</w:t>
      </w:r>
    </w:p>
    <w:p w14:paraId="2972DC6C">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仿宋_GB2312" w:hAnsi="Times New Roman" w:eastAsia="仿宋_GB2312" w:cs="宋体"/>
          <w:kern w:val="0"/>
          <w:sz w:val="32"/>
          <w:szCs w:val="32"/>
          <w:highlight w:val="none"/>
          <w:lang w:val="en-US" w:eastAsia="zh-CN" w:bidi="ar"/>
        </w:rPr>
      </w:pPr>
      <w:r>
        <w:rPr>
          <w:rFonts w:hint="eastAsia" w:ascii="仿宋_GB2312" w:hAnsi="Times New Roman" w:eastAsia="仿宋_GB2312" w:cs="宋体"/>
          <w:kern w:val="0"/>
          <w:sz w:val="32"/>
          <w:szCs w:val="32"/>
          <w:highlight w:val="none"/>
          <w:lang w:val="en-US" w:eastAsia="zh-CN" w:bidi="ar"/>
        </w:rPr>
        <w:t>（三）强化施工期环境管理，不得擅自扩大临时用地面积。易扬尘作业应采取</w:t>
      </w:r>
      <w:r>
        <w:rPr>
          <w:rFonts w:hint="eastAsia" w:ascii="仿宋_GB2312" w:hAnsi="Times New Roman" w:eastAsia="仿宋_GB2312" w:cs="宋体"/>
          <w:b w:val="0"/>
          <w:bCs w:val="0"/>
          <w:kern w:val="0"/>
          <w:sz w:val="32"/>
          <w:szCs w:val="32"/>
          <w:highlight w:val="none"/>
          <w:lang w:val="en-US" w:eastAsia="zh-CN" w:bidi="ar"/>
        </w:rPr>
        <w:t>湿法</w:t>
      </w:r>
      <w:r>
        <w:rPr>
          <w:rFonts w:hint="eastAsia" w:ascii="仿宋_GB2312" w:hAnsi="Times New Roman" w:eastAsia="仿宋_GB2312" w:cs="宋体"/>
          <w:kern w:val="0"/>
          <w:sz w:val="32"/>
          <w:szCs w:val="32"/>
          <w:highlight w:val="none"/>
          <w:lang w:val="en-US" w:eastAsia="zh-CN" w:bidi="ar"/>
        </w:rPr>
        <w:t>,施工场地应通过设置围挡、喷淋、道路洒水降尘等措施减少扬尘影响。严格控制施工作业时间，减少对周边环境的影响。开挖土方和垃圾应及时清运。施工结束后应及时对施工临时用地进行生态复垦。</w:t>
      </w:r>
    </w:p>
    <w:p w14:paraId="0D8E8C6B">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仿宋_GB2312" w:hAnsi="Times New Roman" w:eastAsia="仿宋_GB2312" w:cs="宋体"/>
          <w:kern w:val="0"/>
          <w:sz w:val="32"/>
          <w:szCs w:val="32"/>
          <w:highlight w:val="none"/>
          <w:lang w:val="en-US" w:eastAsia="zh-CN" w:bidi="ar"/>
        </w:rPr>
      </w:pPr>
      <w:r>
        <w:rPr>
          <w:rFonts w:hint="eastAsia" w:ascii="仿宋_GB2312" w:hAnsi="Times New Roman" w:eastAsia="仿宋_GB2312" w:cs="宋体"/>
          <w:kern w:val="0"/>
          <w:sz w:val="32"/>
          <w:szCs w:val="32"/>
          <w:highlight w:val="none"/>
          <w:lang w:val="en-US" w:eastAsia="zh-CN" w:bidi="ar"/>
        </w:rPr>
        <w:t>三、《报告表》批准后，如建设项目的性质、规模、地点、采用的生产工艺或者防治污染、防止生态破坏的措施发生重大变动的，应当依法重新报批项目环评。《报告表》自批准之日起满5年，项目方开工建设的，其环评应当依法报生态环境部门重新审核。</w:t>
      </w:r>
    </w:p>
    <w:p w14:paraId="0D4547AB">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仿宋_GB2312" w:hAnsi="Times New Roman" w:eastAsia="仿宋_GB2312" w:cs="宋体"/>
          <w:kern w:val="0"/>
          <w:sz w:val="32"/>
          <w:szCs w:val="32"/>
          <w:highlight w:val="none"/>
          <w:lang w:val="en-US" w:eastAsia="zh-CN" w:bidi="ar"/>
        </w:rPr>
      </w:pPr>
      <w:r>
        <w:rPr>
          <w:rFonts w:hint="eastAsia" w:ascii="仿宋_GB2312" w:hAnsi="Times New Roman" w:eastAsia="仿宋_GB2312" w:cs="宋体"/>
          <w:kern w:val="0"/>
          <w:sz w:val="32"/>
          <w:szCs w:val="32"/>
          <w:highlight w:val="none"/>
          <w:lang w:val="en-US" w:eastAsia="zh-CN" w:bidi="ar"/>
        </w:rPr>
        <w:t>四、项目应加强环境管理，推进落实各项生态环境保护措施。严格执行环境保护“三同时”制度，加强施工期环境管理。竣工后应按规定程序实施竣工环境保护验收。</w:t>
      </w:r>
    </w:p>
    <w:p w14:paraId="7B36B526">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仿宋_GB2312" w:hAnsi="Times New Roman" w:eastAsia="仿宋_GB2312" w:cs="宋体"/>
          <w:kern w:val="0"/>
          <w:sz w:val="32"/>
          <w:szCs w:val="32"/>
          <w:highlight w:val="none"/>
          <w:lang w:val="en-US" w:eastAsia="zh-CN" w:bidi="ar"/>
        </w:rPr>
      </w:pPr>
      <w:r>
        <w:rPr>
          <w:rFonts w:hint="eastAsia" w:ascii="仿宋_GB2312" w:hAnsi="Times New Roman" w:eastAsia="仿宋_GB2312" w:cs="宋体"/>
          <w:kern w:val="0"/>
          <w:sz w:val="32"/>
          <w:szCs w:val="32"/>
          <w:highlight w:val="none"/>
          <w:lang w:val="en-US" w:eastAsia="zh-CN" w:bidi="ar"/>
        </w:rPr>
        <w:t>五、我局委托福州市生态环境保护综合执法支队开展该项目环保“三同时”监督检查，竣工后，由福州市仓山生态环境局负责该项目日常环保监督管理工作。</w:t>
      </w:r>
    </w:p>
    <w:p w14:paraId="33C89FE1">
      <w:pPr>
        <w:spacing w:line="500" w:lineRule="exact"/>
        <w:rPr>
          <w:rFonts w:hint="eastAsia"/>
          <w:highlight w:val="none"/>
          <w:lang w:eastAsia="zh-CN"/>
        </w:rPr>
      </w:pPr>
    </w:p>
    <w:p w14:paraId="7EDFB1CE">
      <w:pPr>
        <w:pStyle w:val="5"/>
        <w:widowControl/>
        <w:snapToGrid w:val="0"/>
        <w:spacing w:line="500" w:lineRule="exact"/>
        <w:ind w:right="1170" w:rightChars="557"/>
        <w:jc w:val="right"/>
        <w:rPr>
          <w:rFonts w:hint="eastAsia" w:ascii="仿宋_GB2312" w:eastAsia="仿宋_GB2312" w:cs="仿宋_GB2312"/>
          <w:highlight w:val="none"/>
          <w:lang w:val="en-US"/>
        </w:rPr>
      </w:pPr>
      <w:r>
        <w:rPr>
          <w:rFonts w:hint="eastAsia" w:ascii="仿宋_GB2312" w:eastAsia="仿宋_GB2312" w:cs="仿宋_GB2312"/>
          <w:highlight w:val="none"/>
          <w:lang w:eastAsia="zh-CN"/>
        </w:rPr>
        <w:t>福州市生态环境局</w:t>
      </w:r>
    </w:p>
    <w:p w14:paraId="28F7DE46">
      <w:pPr>
        <w:pStyle w:val="5"/>
        <w:widowControl/>
        <w:snapToGrid w:val="0"/>
        <w:spacing w:line="500" w:lineRule="exact"/>
        <w:ind w:right="1170" w:rightChars="557"/>
        <w:jc w:val="right"/>
        <w:rPr>
          <w:rFonts w:hint="eastAsia" w:ascii="仿宋_GB2312" w:eastAsia="仿宋_GB2312" w:cs="仿宋_GB2312"/>
          <w:highlight w:val="none"/>
          <w:lang w:eastAsia="zh-CN"/>
        </w:rPr>
      </w:pPr>
      <w:r>
        <w:rPr>
          <w:rFonts w:hint="eastAsia" w:ascii="仿宋_GB2312" w:eastAsia="仿宋_GB2312" w:cs="仿宋_GB2312"/>
          <w:highlight w:val="none"/>
          <w:lang w:val="en-US"/>
        </w:rPr>
        <w:t>20</w:t>
      </w:r>
      <w:r>
        <w:rPr>
          <w:rFonts w:hint="eastAsia" w:ascii="仿宋_GB2312" w:eastAsia="仿宋_GB2312" w:cs="仿宋_GB2312"/>
          <w:highlight w:val="none"/>
          <w:lang w:val="en-US" w:eastAsia="zh-CN"/>
        </w:rPr>
        <w:t>26</w:t>
      </w:r>
      <w:r>
        <w:rPr>
          <w:rFonts w:hint="eastAsia" w:ascii="仿宋_GB2312" w:eastAsia="仿宋_GB2312" w:cs="仿宋_GB2312"/>
          <w:highlight w:val="none"/>
          <w:lang w:eastAsia="zh-CN"/>
        </w:rPr>
        <w:t>年</w:t>
      </w:r>
      <w:r>
        <w:rPr>
          <w:rFonts w:hint="eastAsia" w:ascii="仿宋_GB2312" w:eastAsia="仿宋_GB2312" w:cs="仿宋_GB2312"/>
          <w:highlight w:val="none"/>
          <w:lang w:val="en-US" w:eastAsia="zh-CN"/>
        </w:rPr>
        <w:t>6</w:t>
      </w:r>
      <w:r>
        <w:rPr>
          <w:rFonts w:hint="eastAsia" w:ascii="仿宋_GB2312" w:eastAsia="仿宋_GB2312" w:cs="仿宋_GB2312"/>
          <w:highlight w:val="none"/>
          <w:lang w:eastAsia="zh-CN"/>
        </w:rPr>
        <w:t>月</w:t>
      </w:r>
      <w:r>
        <w:rPr>
          <w:rFonts w:hint="eastAsia" w:ascii="仿宋_GB2312" w:eastAsia="仿宋_GB2312" w:cs="仿宋_GB2312"/>
          <w:highlight w:val="none"/>
          <w:lang w:val="en-US" w:eastAsia="zh-CN"/>
        </w:rPr>
        <w:t>5</w:t>
      </w:r>
      <w:r>
        <w:rPr>
          <w:rFonts w:hint="eastAsia" w:ascii="仿宋_GB2312" w:eastAsia="仿宋_GB2312" w:cs="仿宋_GB2312"/>
          <w:highlight w:val="none"/>
          <w:lang w:eastAsia="zh-CN"/>
        </w:rPr>
        <w:t>日</w:t>
      </w:r>
    </w:p>
    <w:p w14:paraId="5AC228C7">
      <w:pPr>
        <w:rPr>
          <w:rFonts w:hint="eastAsia" w:ascii="仿宋_GB2312" w:eastAsia="仿宋_GB2312" w:cs="仿宋_GB2312"/>
          <w:highlight w:val="none"/>
          <w:lang w:eastAsia="zh-CN"/>
        </w:rPr>
      </w:pPr>
    </w:p>
    <w:p w14:paraId="1FB828EC">
      <w:pPr>
        <w:pStyle w:val="5"/>
        <w:widowControl/>
        <w:snapToGrid w:val="0"/>
        <w:ind w:right="1170" w:rightChars="557"/>
        <w:jc w:val="right"/>
        <w:rPr>
          <w:rFonts w:hint="eastAsia" w:ascii="仿宋_GB2312" w:eastAsia="仿宋_GB2312" w:cs="仿宋_GB2312"/>
          <w:highlight w:val="none"/>
          <w:lang w:eastAsia="zh-CN"/>
        </w:rPr>
      </w:pPr>
    </w:p>
    <w:p w14:paraId="0BB7A571">
      <w:pPr>
        <w:spacing w:line="500" w:lineRule="exact"/>
        <w:rPr>
          <w:rFonts w:hint="eastAsia" w:ascii="仿宋_GB2312" w:eastAsia="仿宋_GB2312" w:cs="仿宋_GB2312"/>
          <w:highlight w:val="none"/>
          <w:lang w:eastAsia="zh-CN"/>
        </w:rPr>
      </w:pPr>
    </w:p>
    <w:p w14:paraId="7D21B8CB">
      <w:pPr>
        <w:rPr>
          <w:rFonts w:hint="eastAsia" w:ascii="仿宋_GB2312" w:eastAsia="仿宋_GB2312" w:cs="仿宋_GB2312"/>
          <w:highlight w:val="none"/>
          <w:lang w:eastAsia="zh-CN"/>
        </w:rPr>
      </w:pPr>
    </w:p>
    <w:p w14:paraId="10EB7B62">
      <w:pPr>
        <w:rPr>
          <w:rFonts w:hint="eastAsia" w:ascii="仿宋_GB2312" w:eastAsia="仿宋_GB2312" w:cs="仿宋_GB2312"/>
          <w:highlight w:val="none"/>
          <w:lang w:eastAsia="zh-CN"/>
        </w:rPr>
      </w:pPr>
    </w:p>
    <w:p w14:paraId="165ACD13">
      <w:pPr>
        <w:rPr>
          <w:rFonts w:hint="eastAsia" w:ascii="仿宋_GB2312" w:eastAsia="仿宋_GB2312" w:cs="仿宋_GB2312"/>
          <w:highlight w:val="none"/>
          <w:lang w:eastAsia="zh-CN"/>
        </w:rPr>
      </w:pPr>
    </w:p>
    <w:p w14:paraId="2AC7E1E1">
      <w:pPr>
        <w:rPr>
          <w:rFonts w:hint="eastAsia" w:ascii="仿宋_GB2312" w:eastAsia="仿宋_GB2312" w:cs="仿宋_GB2312"/>
          <w:highlight w:val="none"/>
          <w:lang w:eastAsia="zh-CN"/>
        </w:rPr>
      </w:pPr>
    </w:p>
    <w:p w14:paraId="339BD4A6">
      <w:pPr>
        <w:rPr>
          <w:rFonts w:hint="eastAsia" w:ascii="仿宋_GB2312" w:eastAsia="仿宋_GB2312" w:cs="仿宋_GB2312"/>
          <w:highlight w:val="none"/>
          <w:lang w:eastAsia="zh-CN"/>
        </w:rPr>
      </w:pPr>
    </w:p>
    <w:p w14:paraId="37DB3767">
      <w:pPr>
        <w:rPr>
          <w:rFonts w:hint="eastAsia" w:ascii="仿宋_GB2312" w:eastAsia="仿宋_GB2312" w:cs="仿宋_GB2312"/>
          <w:highlight w:val="none"/>
          <w:lang w:eastAsia="zh-CN"/>
        </w:rPr>
      </w:pPr>
    </w:p>
    <w:p w14:paraId="782677C7">
      <w:pPr>
        <w:rPr>
          <w:rFonts w:hint="eastAsia" w:ascii="仿宋_GB2312" w:eastAsia="仿宋_GB2312" w:cs="仿宋_GB2312"/>
          <w:highlight w:val="none"/>
          <w:lang w:eastAsia="zh-CN"/>
        </w:rPr>
      </w:pPr>
    </w:p>
    <w:p w14:paraId="6D1EAA83">
      <w:pPr>
        <w:rPr>
          <w:rFonts w:hint="eastAsia" w:ascii="仿宋_GB2312" w:eastAsia="仿宋_GB2312" w:cs="仿宋_GB2312"/>
          <w:highlight w:val="none"/>
          <w:lang w:eastAsia="zh-CN"/>
        </w:rPr>
      </w:pPr>
    </w:p>
    <w:p w14:paraId="189C6377">
      <w:pPr>
        <w:rPr>
          <w:rFonts w:hint="eastAsia" w:ascii="仿宋_GB2312" w:eastAsia="仿宋_GB2312" w:cs="仿宋_GB2312"/>
          <w:highlight w:val="none"/>
          <w:lang w:eastAsia="zh-CN"/>
        </w:rPr>
      </w:pPr>
    </w:p>
    <w:p w14:paraId="42A6B775">
      <w:pPr>
        <w:rPr>
          <w:rFonts w:hint="eastAsia" w:ascii="仿宋_GB2312" w:eastAsia="仿宋_GB2312" w:cs="仿宋_GB2312"/>
          <w:highlight w:val="none"/>
          <w:lang w:eastAsia="zh-CN"/>
        </w:rPr>
      </w:pPr>
    </w:p>
    <w:p w14:paraId="18327AE2">
      <w:pPr>
        <w:rPr>
          <w:rFonts w:hint="eastAsia" w:ascii="仿宋_GB2312" w:eastAsia="仿宋_GB2312" w:cs="仿宋_GB2312"/>
          <w:highlight w:val="none"/>
          <w:lang w:eastAsia="zh-CN"/>
        </w:rPr>
      </w:pPr>
    </w:p>
    <w:p w14:paraId="26D03674">
      <w:pPr>
        <w:rPr>
          <w:rFonts w:hint="eastAsia" w:ascii="仿宋_GB2312" w:eastAsia="仿宋_GB2312" w:cs="仿宋_GB2312"/>
          <w:highlight w:val="none"/>
          <w:lang w:eastAsia="zh-CN"/>
        </w:rPr>
      </w:pPr>
    </w:p>
    <w:p w14:paraId="59240D0D">
      <w:pPr>
        <w:rPr>
          <w:rFonts w:hint="eastAsia" w:ascii="仿宋_GB2312" w:eastAsia="仿宋_GB2312" w:cs="仿宋_GB2312"/>
          <w:highlight w:val="none"/>
          <w:lang w:eastAsia="zh-CN"/>
        </w:rPr>
      </w:pPr>
    </w:p>
    <w:p w14:paraId="70C5F0FE">
      <w:pPr>
        <w:rPr>
          <w:rFonts w:hint="eastAsia" w:ascii="仿宋_GB2312" w:eastAsia="仿宋_GB2312" w:cs="仿宋_GB2312"/>
          <w:highlight w:val="none"/>
          <w:lang w:eastAsia="zh-CN"/>
        </w:rPr>
      </w:pPr>
    </w:p>
    <w:p w14:paraId="69BDC373">
      <w:pPr>
        <w:rPr>
          <w:rFonts w:hint="eastAsia" w:ascii="仿宋_GB2312" w:eastAsia="仿宋_GB2312" w:cs="仿宋_GB2312"/>
          <w:highlight w:val="none"/>
          <w:lang w:eastAsia="zh-CN"/>
        </w:rPr>
      </w:pPr>
    </w:p>
    <w:p w14:paraId="31D3A57A">
      <w:pPr>
        <w:rPr>
          <w:rFonts w:hint="eastAsia" w:ascii="仿宋_GB2312" w:eastAsia="仿宋_GB2312" w:cs="仿宋_GB2312"/>
          <w:highlight w:val="none"/>
          <w:lang w:eastAsia="zh-CN"/>
        </w:rPr>
      </w:pPr>
    </w:p>
    <w:p w14:paraId="3D908A3A">
      <w:pPr>
        <w:rPr>
          <w:rFonts w:hint="eastAsia" w:ascii="仿宋_GB2312" w:eastAsia="仿宋_GB2312" w:cs="仿宋_GB2312"/>
          <w:highlight w:val="none"/>
          <w:lang w:eastAsia="zh-CN"/>
        </w:rPr>
      </w:pPr>
    </w:p>
    <w:p w14:paraId="25B27627">
      <w:pPr>
        <w:rPr>
          <w:rFonts w:hint="eastAsia" w:ascii="仿宋_GB2312" w:eastAsia="仿宋_GB2312" w:cs="仿宋_GB2312"/>
          <w:highlight w:val="none"/>
          <w:lang w:eastAsia="zh-CN"/>
        </w:rPr>
      </w:pPr>
    </w:p>
    <w:p w14:paraId="7A73D1C1">
      <w:pPr>
        <w:rPr>
          <w:rFonts w:hint="eastAsia" w:ascii="仿宋_GB2312" w:eastAsia="仿宋_GB2312" w:cs="仿宋_GB2312"/>
          <w:highlight w:val="none"/>
          <w:lang w:eastAsia="zh-CN"/>
        </w:rPr>
      </w:pPr>
    </w:p>
    <w:p w14:paraId="71E22C65">
      <w:pPr>
        <w:rPr>
          <w:rFonts w:hint="eastAsia" w:ascii="仿宋_GB2312" w:eastAsia="仿宋_GB2312" w:cs="仿宋_GB2312"/>
          <w:highlight w:val="none"/>
          <w:lang w:eastAsia="zh-CN"/>
        </w:rPr>
      </w:pPr>
    </w:p>
    <w:p w14:paraId="5E95AA29">
      <w:pPr>
        <w:rPr>
          <w:rFonts w:hint="eastAsia" w:ascii="仿宋_GB2312" w:eastAsia="仿宋_GB2312" w:cs="仿宋_GB2312"/>
          <w:highlight w:val="none"/>
          <w:lang w:eastAsia="zh-CN"/>
        </w:rPr>
      </w:pPr>
    </w:p>
    <w:p w14:paraId="2B4BFD31">
      <w:pPr>
        <w:rPr>
          <w:rFonts w:hint="eastAsia" w:ascii="仿宋_GB2312" w:eastAsia="仿宋_GB2312" w:cs="仿宋_GB2312"/>
          <w:highlight w:val="none"/>
          <w:lang w:eastAsia="zh-CN"/>
        </w:rPr>
      </w:pPr>
    </w:p>
    <w:p w14:paraId="15A8A9A5">
      <w:pPr>
        <w:rPr>
          <w:rFonts w:hint="eastAsia" w:ascii="仿宋_GB2312" w:eastAsia="仿宋_GB2312" w:cs="仿宋_GB2312"/>
          <w:highlight w:val="none"/>
          <w:lang w:eastAsia="zh-CN"/>
        </w:rPr>
      </w:pPr>
    </w:p>
    <w:p w14:paraId="16338AF7">
      <w:pPr>
        <w:rPr>
          <w:rFonts w:hint="eastAsia" w:ascii="仿宋_GB2312" w:eastAsia="仿宋_GB2312" w:cs="仿宋_GB2312"/>
          <w:highlight w:val="none"/>
          <w:lang w:eastAsia="zh-CN"/>
        </w:rPr>
      </w:pPr>
    </w:p>
    <w:p w14:paraId="24AE32E7">
      <w:pPr>
        <w:rPr>
          <w:rFonts w:hint="eastAsia" w:ascii="仿宋_GB2312" w:eastAsia="仿宋_GB2312" w:cs="仿宋_GB2312"/>
          <w:highlight w:val="none"/>
          <w:lang w:eastAsia="zh-CN"/>
        </w:rPr>
      </w:pPr>
    </w:p>
    <w:p w14:paraId="0CEF94F7">
      <w:pPr>
        <w:rPr>
          <w:rFonts w:hint="eastAsia" w:ascii="仿宋_GB2312" w:eastAsia="仿宋_GB2312" w:cs="仿宋_GB2312"/>
          <w:highlight w:val="none"/>
          <w:lang w:eastAsia="zh-CN"/>
        </w:rPr>
      </w:pPr>
    </w:p>
    <w:p w14:paraId="511BE719">
      <w:pPr>
        <w:rPr>
          <w:rFonts w:hint="eastAsia" w:ascii="仿宋_GB2312" w:eastAsia="仿宋_GB2312" w:cs="仿宋_GB2312"/>
          <w:highlight w:val="none"/>
          <w:lang w:eastAsia="zh-CN"/>
        </w:rPr>
      </w:pPr>
    </w:p>
    <w:p w14:paraId="4ACF9A42">
      <w:pPr>
        <w:rPr>
          <w:rFonts w:hint="eastAsia" w:ascii="仿宋_GB2312" w:eastAsia="仿宋_GB2312" w:cs="仿宋_GB2312"/>
          <w:highlight w:val="none"/>
          <w:lang w:eastAsia="zh-CN"/>
        </w:rPr>
      </w:pPr>
    </w:p>
    <w:p w14:paraId="0C7B19DD">
      <w:pPr>
        <w:rPr>
          <w:rFonts w:hint="eastAsia" w:ascii="仿宋_GB2312" w:eastAsia="仿宋_GB2312" w:cs="仿宋_GB2312"/>
          <w:highlight w:val="none"/>
          <w:lang w:eastAsia="zh-CN"/>
        </w:rPr>
      </w:pPr>
    </w:p>
    <w:p w14:paraId="75241597">
      <w:pPr>
        <w:rPr>
          <w:rFonts w:hint="eastAsia" w:ascii="仿宋_GB2312" w:eastAsia="仿宋_GB2312" w:cs="仿宋_GB2312"/>
          <w:highlight w:val="none"/>
          <w:lang w:eastAsia="zh-CN"/>
        </w:rPr>
      </w:pPr>
    </w:p>
    <w:p w14:paraId="5C21D24E">
      <w:pPr>
        <w:rPr>
          <w:rFonts w:hint="eastAsia" w:ascii="仿宋_GB2312" w:eastAsia="仿宋_GB2312" w:cs="仿宋_GB2312"/>
          <w:highlight w:val="none"/>
          <w:lang w:eastAsia="zh-CN"/>
        </w:rPr>
      </w:pPr>
    </w:p>
    <w:p w14:paraId="0B948E53">
      <w:pPr>
        <w:rPr>
          <w:rFonts w:hint="eastAsia" w:ascii="仿宋_GB2312" w:eastAsia="仿宋_GB2312" w:cs="仿宋_GB2312"/>
          <w:highlight w:val="none"/>
          <w:lang w:eastAsia="zh-CN"/>
        </w:rPr>
      </w:pPr>
    </w:p>
    <w:p w14:paraId="0EE397C1">
      <w:pPr>
        <w:rPr>
          <w:rFonts w:hint="eastAsia" w:ascii="仿宋_GB2312" w:eastAsia="仿宋_GB2312" w:cs="仿宋_GB2312"/>
          <w:highlight w:val="none"/>
          <w:lang w:eastAsia="zh-CN"/>
        </w:rPr>
      </w:pPr>
    </w:p>
    <w:p w14:paraId="5148FA41">
      <w:pPr>
        <w:rPr>
          <w:rFonts w:hint="eastAsia" w:ascii="仿宋_GB2312" w:eastAsia="仿宋_GB2312" w:cs="仿宋_GB2312"/>
          <w:highlight w:val="none"/>
          <w:lang w:eastAsia="zh-CN"/>
        </w:rPr>
      </w:pPr>
    </w:p>
    <w:p w14:paraId="085348A7">
      <w:pPr>
        <w:rPr>
          <w:rFonts w:hint="eastAsia" w:ascii="仿宋_GB2312" w:eastAsia="仿宋_GB2312" w:cs="仿宋_GB2312"/>
          <w:highlight w:val="none"/>
          <w:lang w:eastAsia="zh-CN"/>
        </w:rPr>
      </w:pPr>
    </w:p>
    <w:p w14:paraId="3D0E1E36">
      <w:pPr>
        <w:rPr>
          <w:rFonts w:hint="eastAsia" w:ascii="仿宋_GB2312" w:eastAsia="仿宋_GB2312" w:cs="仿宋_GB2312"/>
          <w:highlight w:val="none"/>
          <w:lang w:eastAsia="zh-CN"/>
        </w:rPr>
      </w:pPr>
    </w:p>
    <w:p w14:paraId="4B5E0BCE">
      <w:pPr>
        <w:rPr>
          <w:rFonts w:hint="eastAsia" w:ascii="仿宋_GB2312" w:eastAsia="仿宋_GB2312" w:cs="仿宋_GB2312"/>
          <w:highlight w:val="none"/>
          <w:lang w:eastAsia="zh-CN"/>
        </w:rPr>
      </w:pPr>
    </w:p>
    <w:p w14:paraId="2B6D6483">
      <w:pPr>
        <w:rPr>
          <w:rFonts w:hint="eastAsia" w:ascii="仿宋_GB2312" w:eastAsia="仿宋_GB2312" w:cs="仿宋_GB2312"/>
          <w:highlight w:val="none"/>
          <w:lang w:eastAsia="zh-CN"/>
        </w:rPr>
      </w:pPr>
      <w:bookmarkStart w:id="2" w:name="_GoBack"/>
      <w:bookmarkEnd w:id="2"/>
    </w:p>
    <w:p w14:paraId="4D353A68">
      <w:pPr>
        <w:rPr>
          <w:rFonts w:hint="eastAsia" w:ascii="仿宋_GB2312" w:eastAsia="仿宋_GB2312" w:cs="仿宋_GB2312"/>
          <w:highlight w:val="none"/>
          <w:lang w:eastAsia="zh-CN"/>
        </w:rPr>
      </w:pPr>
    </w:p>
    <w:p w14:paraId="75F70C45">
      <w:pPr>
        <w:rPr>
          <w:rFonts w:hint="eastAsia" w:ascii="仿宋_GB2312" w:eastAsia="仿宋_GB2312" w:cs="仿宋_GB2312"/>
          <w:highlight w:val="none"/>
          <w:lang w:eastAsia="zh-CN"/>
        </w:rPr>
      </w:pPr>
    </w:p>
    <w:p w14:paraId="2806B3EF">
      <w:pPr>
        <w:rPr>
          <w:rFonts w:hint="eastAsia"/>
          <w:highlight w:val="none"/>
          <w:lang w:val="en-US" w:eastAsia="zh-CN"/>
        </w:rPr>
      </w:pPr>
    </w:p>
    <w:p w14:paraId="21FFF3CE">
      <w:pPr>
        <w:keepNext w:val="0"/>
        <w:keepLines w:val="0"/>
        <w:widowControl w:val="0"/>
        <w:suppressLineNumbers w:val="0"/>
        <w:snapToGrid w:val="0"/>
        <w:spacing w:before="0" w:beforeAutospacing="0" w:after="0" w:afterAutospacing="0"/>
        <w:ind w:left="0" w:right="0"/>
        <w:jc w:val="both"/>
        <w:rPr>
          <w:rFonts w:hint="eastAsia" w:ascii="仿宋_GB2312" w:eastAsia="仿宋_GB2312" w:cs="仿宋_GB2312"/>
          <w:highlight w:val="none"/>
          <w:lang w:val="en-US"/>
        </w:rPr>
      </w:pPr>
    </w:p>
    <w:p w14:paraId="3577499B">
      <w:pPr>
        <w:keepNext w:val="0"/>
        <w:keepLines w:val="0"/>
        <w:widowControl w:val="0"/>
        <w:suppressLineNumbers w:val="0"/>
        <w:snapToGrid w:val="0"/>
        <w:spacing w:before="0" w:beforeAutospacing="0" w:after="0" w:afterAutospacing="0"/>
        <w:ind w:left="0" w:right="0"/>
        <w:jc w:val="both"/>
        <w:rPr>
          <w:rFonts w:hint="eastAsia" w:ascii="仿宋_GB2312" w:eastAsia="仿宋_GB2312" w:cs="仿宋_GB2312"/>
          <w:highlight w:val="none"/>
          <w:lang w:val="en-US"/>
        </w:rPr>
      </w:pPr>
    </w:p>
    <w:p w14:paraId="11AC8EA1">
      <w:pPr>
        <w:keepNext w:val="0"/>
        <w:keepLines w:val="0"/>
        <w:widowControl w:val="0"/>
        <w:suppressLineNumbers w:val="0"/>
        <w:snapToGrid w:val="0"/>
        <w:spacing w:before="0" w:beforeAutospacing="0" w:after="0" w:afterAutospacing="0"/>
        <w:ind w:left="0" w:right="0"/>
        <w:jc w:val="both"/>
        <w:rPr>
          <w:rFonts w:hint="eastAsia" w:ascii="仿宋_GB2312" w:eastAsia="仿宋_GB2312" w:cs="仿宋_GB2312"/>
          <w:highlight w:val="none"/>
          <w:lang w:val="en-US"/>
        </w:rPr>
      </w:pPr>
    </w:p>
    <w:tbl>
      <w:tblPr>
        <w:tblStyle w:val="10"/>
        <w:tblW w:w="871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155"/>
        <w:gridCol w:w="3885"/>
        <w:gridCol w:w="3675"/>
      </w:tblGrid>
      <w:tr w14:paraId="0B42D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0" w:hRule="atLeast"/>
        </w:trPr>
        <w:tc>
          <w:tcPr>
            <w:tcW w:w="1155" w:type="dxa"/>
            <w:tcBorders>
              <w:top w:val="single" w:color="auto" w:sz="4" w:space="0"/>
              <w:left w:val="nil"/>
              <w:bottom w:val="single" w:color="auto" w:sz="4" w:space="0"/>
              <w:right w:val="nil"/>
            </w:tcBorders>
            <w:shd w:val="clear" w:color="auto" w:fill="auto"/>
            <w:vAlign w:val="center"/>
          </w:tcPr>
          <w:p w14:paraId="1503219C">
            <w:pPr>
              <w:keepNext w:val="0"/>
              <w:keepLines w:val="0"/>
              <w:widowControl w:val="0"/>
              <w:suppressLineNumbers w:val="0"/>
              <w:tabs>
                <w:tab w:val="left" w:pos="3885"/>
              </w:tabs>
              <w:spacing w:before="0" w:beforeAutospacing="0" w:after="0" w:afterAutospacing="0"/>
              <w:ind w:left="0" w:right="0" w:firstLine="179" w:firstLineChars="64"/>
              <w:jc w:val="both"/>
              <w:rPr>
                <w:rFonts w:hint="eastAsia" w:ascii="仿宋_GB2312" w:eastAsia="仿宋_GB2312" w:cs="仿宋_GB2312"/>
                <w:sz w:val="28"/>
                <w:szCs w:val="28"/>
                <w:highlight w:val="none"/>
                <w:lang w:val="en-US"/>
              </w:rPr>
            </w:pPr>
            <w:r>
              <w:rPr>
                <w:rFonts w:hint="eastAsia" w:ascii="仿宋_GB2312" w:hAnsi="Times New Roman" w:eastAsia="仿宋_GB2312" w:cs="仿宋_GB2312"/>
                <w:kern w:val="2"/>
                <w:sz w:val="28"/>
                <w:szCs w:val="28"/>
                <w:highlight w:val="none"/>
                <w:lang w:val="en-US" w:eastAsia="zh-CN" w:bidi="ar"/>
              </w:rPr>
              <w:t>抄送：</w:t>
            </w:r>
          </w:p>
        </w:tc>
        <w:tc>
          <w:tcPr>
            <w:tcW w:w="7560" w:type="dxa"/>
            <w:gridSpan w:val="2"/>
            <w:tcBorders>
              <w:top w:val="single" w:color="auto" w:sz="4" w:space="0"/>
              <w:left w:val="nil"/>
              <w:bottom w:val="single" w:color="auto" w:sz="4" w:space="0"/>
              <w:right w:val="nil"/>
            </w:tcBorders>
            <w:shd w:val="clear" w:color="auto" w:fill="auto"/>
            <w:vAlign w:val="center"/>
          </w:tcPr>
          <w:p w14:paraId="09E85F6C">
            <w:pPr>
              <w:keepNext w:val="0"/>
              <w:keepLines w:val="0"/>
              <w:widowControl w:val="0"/>
              <w:suppressLineNumbers w:val="0"/>
              <w:tabs>
                <w:tab w:val="left" w:pos="3885"/>
              </w:tabs>
              <w:spacing w:before="0" w:beforeAutospacing="0" w:after="0" w:afterAutospacing="0"/>
              <w:ind w:left="0" w:right="0"/>
              <w:jc w:val="both"/>
              <w:rPr>
                <w:rFonts w:hint="eastAsia" w:ascii="仿宋_GB2312" w:eastAsia="仿宋_GB2312" w:cs="仿宋_GB2312"/>
                <w:sz w:val="28"/>
                <w:szCs w:val="28"/>
                <w:highlight w:val="none"/>
                <w:lang w:val="en-US" w:eastAsia="zh-CN"/>
              </w:rPr>
            </w:pPr>
            <w:r>
              <w:rPr>
                <w:rFonts w:hint="eastAsia" w:ascii="仿宋_GB2312" w:hAnsi="Times New Roman" w:eastAsia="仿宋_GB2312" w:cs="仿宋_GB2312"/>
                <w:kern w:val="2"/>
                <w:sz w:val="28"/>
                <w:szCs w:val="20"/>
                <w:highlight w:val="none"/>
                <w:lang w:val="en-US" w:eastAsia="zh-CN" w:bidi="ar"/>
              </w:rPr>
              <w:t>福州市生态环境保护综合执法支队，福州市仓山生态环境局，中水环科（福建）项目管理有限公司。</w:t>
            </w:r>
          </w:p>
        </w:tc>
      </w:tr>
      <w:tr w14:paraId="15013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5040" w:type="dxa"/>
            <w:gridSpan w:val="2"/>
            <w:tcBorders>
              <w:top w:val="single" w:color="auto" w:sz="4" w:space="0"/>
              <w:left w:val="nil"/>
              <w:bottom w:val="single" w:color="auto" w:sz="4" w:space="0"/>
              <w:right w:val="nil"/>
            </w:tcBorders>
            <w:shd w:val="clear" w:color="auto" w:fill="auto"/>
            <w:vAlign w:val="center"/>
          </w:tcPr>
          <w:p w14:paraId="4F3C1B0F">
            <w:pPr>
              <w:keepNext w:val="0"/>
              <w:keepLines w:val="0"/>
              <w:widowControl w:val="0"/>
              <w:suppressLineNumbers w:val="0"/>
              <w:tabs>
                <w:tab w:val="left" w:pos="3885"/>
              </w:tabs>
              <w:spacing w:before="0" w:beforeAutospacing="0" w:after="0" w:afterAutospacing="0"/>
              <w:ind w:left="0" w:right="0" w:firstLine="179" w:firstLineChars="64"/>
              <w:jc w:val="both"/>
              <w:rPr>
                <w:rFonts w:eastAsia="仿宋_GB2312"/>
                <w:sz w:val="28"/>
                <w:szCs w:val="28"/>
                <w:highlight w:val="none"/>
                <w:lang w:val="en-US"/>
              </w:rPr>
            </w:pPr>
            <w:r>
              <w:rPr>
                <w:rFonts w:hint="eastAsia" w:ascii="仿宋_GB2312" w:hAnsi="Times New Roman" w:eastAsia="仿宋_GB2312" w:cs="仿宋_GB2312"/>
                <w:kern w:val="2"/>
                <w:sz w:val="28"/>
                <w:szCs w:val="28"/>
                <w:highlight w:val="none"/>
                <w:lang w:val="en-US" w:eastAsia="zh-CN" w:bidi="ar"/>
              </w:rPr>
              <w:t>福州市生态环境局</w:t>
            </w:r>
          </w:p>
        </w:tc>
        <w:tc>
          <w:tcPr>
            <w:tcW w:w="3675" w:type="dxa"/>
            <w:tcBorders>
              <w:top w:val="single" w:color="auto" w:sz="4" w:space="0"/>
              <w:left w:val="nil"/>
              <w:bottom w:val="single" w:color="auto" w:sz="4" w:space="0"/>
              <w:right w:val="nil"/>
            </w:tcBorders>
            <w:shd w:val="clear" w:color="auto" w:fill="auto"/>
            <w:vAlign w:val="center"/>
          </w:tcPr>
          <w:p w14:paraId="39631051">
            <w:pPr>
              <w:keepNext w:val="0"/>
              <w:keepLines w:val="0"/>
              <w:widowControl w:val="0"/>
              <w:suppressLineNumbers w:val="0"/>
              <w:tabs>
                <w:tab w:val="left" w:pos="3882"/>
                <w:tab w:val="left" w:pos="3987"/>
              </w:tabs>
              <w:spacing w:before="0" w:beforeAutospacing="0" w:after="0" w:afterAutospacing="0"/>
              <w:ind w:left="0" w:right="311" w:rightChars="148"/>
              <w:jc w:val="right"/>
              <w:rPr>
                <w:rFonts w:eastAsia="仿宋_GB2312"/>
                <w:sz w:val="28"/>
                <w:szCs w:val="28"/>
                <w:highlight w:val="none"/>
                <w:lang w:val="en-US"/>
              </w:rPr>
            </w:pPr>
            <w:r>
              <w:rPr>
                <w:rFonts w:hint="eastAsia" w:ascii="仿宋_GB2312" w:hAnsi="Times New Roman" w:eastAsia="仿宋_GB2312" w:cs="仿宋_GB2312"/>
                <w:kern w:val="2"/>
                <w:sz w:val="28"/>
                <w:szCs w:val="28"/>
                <w:highlight w:val="none"/>
                <w:lang w:val="en-US" w:eastAsia="zh-CN" w:bidi="ar"/>
              </w:rPr>
              <w:t>2026年6月5日印发</w:t>
            </w:r>
          </w:p>
        </w:tc>
      </w:tr>
    </w:tbl>
    <w:p w14:paraId="62368AFA">
      <w:pPr>
        <w:rPr>
          <w:highlight w:val="none"/>
        </w:rPr>
      </w:pPr>
    </w:p>
    <w:sectPr>
      <w:footerReference r:id="rId3" w:type="default"/>
      <w:pgSz w:w="11906" w:h="16838"/>
      <w:pgMar w:top="1701" w:right="1587" w:bottom="1417" w:left="1587" w:header="851" w:footer="992" w:gutter="0"/>
      <w:pgNumType w:fmt="decimal"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swiss"/>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长城小标宋体">
    <w:altName w:val="宋体"/>
    <w:panose1 w:val="02010609010101010101"/>
    <w:charset w:val="86"/>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670F29">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5E0D30">
                          <w:pPr>
                            <w:pStyle w:val="6"/>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0</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85E0D30">
                    <w:pPr>
                      <w:pStyle w:val="6"/>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0</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0995C7"/>
    <w:multiLevelType w:val="singleLevel"/>
    <w:tmpl w:val="A70995C7"/>
    <w:lvl w:ilvl="0" w:tentative="0">
      <w:start w:val="1"/>
      <w:numFmt w:val="chineseCounting"/>
      <w:suff w:val="nothing"/>
      <w:lvlText w:val="（%1）"/>
      <w:lvlJc w:val="left"/>
      <w:pPr>
        <w:ind w:left="0" w:firstLine="420"/>
      </w:pPr>
      <w:rPr>
        <w:rFonts w:hint="eastAsia"/>
        <w:color w:val="auto"/>
        <w:highlight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BreakWrappedTables/>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EwMmU4YmM1MTQ3ZDUyOWQxMDA5OGU4MmQ5YTNiMDAifQ=="/>
  </w:docVars>
  <w:rsids>
    <w:rsidRoot w:val="2A7F762B"/>
    <w:rsid w:val="014F132C"/>
    <w:rsid w:val="01DD6FC1"/>
    <w:rsid w:val="0219705A"/>
    <w:rsid w:val="02951328"/>
    <w:rsid w:val="033A000F"/>
    <w:rsid w:val="03CC5678"/>
    <w:rsid w:val="03EF30A5"/>
    <w:rsid w:val="03F716B2"/>
    <w:rsid w:val="06A52250"/>
    <w:rsid w:val="06CF3FDF"/>
    <w:rsid w:val="076B63F8"/>
    <w:rsid w:val="07B76A03"/>
    <w:rsid w:val="08877123"/>
    <w:rsid w:val="097912D2"/>
    <w:rsid w:val="0A0259D4"/>
    <w:rsid w:val="0A537496"/>
    <w:rsid w:val="0A7B2C42"/>
    <w:rsid w:val="0C9D3ACD"/>
    <w:rsid w:val="0EBC0E2F"/>
    <w:rsid w:val="0ED27249"/>
    <w:rsid w:val="100F211B"/>
    <w:rsid w:val="11B15CE9"/>
    <w:rsid w:val="123E696C"/>
    <w:rsid w:val="12D0457D"/>
    <w:rsid w:val="1339568F"/>
    <w:rsid w:val="13941148"/>
    <w:rsid w:val="155C0219"/>
    <w:rsid w:val="15B63938"/>
    <w:rsid w:val="15E21487"/>
    <w:rsid w:val="16C049E6"/>
    <w:rsid w:val="17376763"/>
    <w:rsid w:val="173A433D"/>
    <w:rsid w:val="17C02571"/>
    <w:rsid w:val="185C0C0F"/>
    <w:rsid w:val="196B1FA1"/>
    <w:rsid w:val="1A07082D"/>
    <w:rsid w:val="1A2D6D57"/>
    <w:rsid w:val="1B9F3755"/>
    <w:rsid w:val="1DB55799"/>
    <w:rsid w:val="20835F2C"/>
    <w:rsid w:val="210711EE"/>
    <w:rsid w:val="21302E6F"/>
    <w:rsid w:val="213F3844"/>
    <w:rsid w:val="219278A5"/>
    <w:rsid w:val="22E24F27"/>
    <w:rsid w:val="231015C1"/>
    <w:rsid w:val="23C906C8"/>
    <w:rsid w:val="23D1267C"/>
    <w:rsid w:val="25B53634"/>
    <w:rsid w:val="264F7B2D"/>
    <w:rsid w:val="26947F1E"/>
    <w:rsid w:val="269913EF"/>
    <w:rsid w:val="26F17F87"/>
    <w:rsid w:val="26FA4A88"/>
    <w:rsid w:val="28A86FC8"/>
    <w:rsid w:val="2A7F762B"/>
    <w:rsid w:val="2A8112B5"/>
    <w:rsid w:val="2CAD0908"/>
    <w:rsid w:val="2CB95D74"/>
    <w:rsid w:val="2CC77810"/>
    <w:rsid w:val="2D2F4B41"/>
    <w:rsid w:val="2E214D74"/>
    <w:rsid w:val="2E831059"/>
    <w:rsid w:val="2F652F3C"/>
    <w:rsid w:val="31DF7D29"/>
    <w:rsid w:val="31E36F37"/>
    <w:rsid w:val="32432891"/>
    <w:rsid w:val="32781451"/>
    <w:rsid w:val="33103208"/>
    <w:rsid w:val="33B4282D"/>
    <w:rsid w:val="34414959"/>
    <w:rsid w:val="344B15E7"/>
    <w:rsid w:val="34565CE1"/>
    <w:rsid w:val="34B92A27"/>
    <w:rsid w:val="35D66A76"/>
    <w:rsid w:val="364A2B36"/>
    <w:rsid w:val="36CD523C"/>
    <w:rsid w:val="373B64D0"/>
    <w:rsid w:val="379F27DC"/>
    <w:rsid w:val="38FC70C7"/>
    <w:rsid w:val="396A64FB"/>
    <w:rsid w:val="3B7B6102"/>
    <w:rsid w:val="3C461732"/>
    <w:rsid w:val="3DB945F5"/>
    <w:rsid w:val="3FB61A84"/>
    <w:rsid w:val="3FCF3A3E"/>
    <w:rsid w:val="402C102B"/>
    <w:rsid w:val="407707ED"/>
    <w:rsid w:val="42222D2E"/>
    <w:rsid w:val="438B4B5B"/>
    <w:rsid w:val="43CA10AF"/>
    <w:rsid w:val="45314B84"/>
    <w:rsid w:val="46377937"/>
    <w:rsid w:val="46E45D99"/>
    <w:rsid w:val="47C411B6"/>
    <w:rsid w:val="48E56954"/>
    <w:rsid w:val="49203E9F"/>
    <w:rsid w:val="49641AB4"/>
    <w:rsid w:val="4A106312"/>
    <w:rsid w:val="4A69668E"/>
    <w:rsid w:val="4A810DC1"/>
    <w:rsid w:val="4B456184"/>
    <w:rsid w:val="4B544E40"/>
    <w:rsid w:val="4B997BD4"/>
    <w:rsid w:val="4BC03622"/>
    <w:rsid w:val="4CD339FE"/>
    <w:rsid w:val="4CF4088A"/>
    <w:rsid w:val="4D6B5BCE"/>
    <w:rsid w:val="4DB67CDD"/>
    <w:rsid w:val="4E576091"/>
    <w:rsid w:val="5210116A"/>
    <w:rsid w:val="5328504E"/>
    <w:rsid w:val="53346F23"/>
    <w:rsid w:val="545C3B2A"/>
    <w:rsid w:val="54967355"/>
    <w:rsid w:val="54AD3C24"/>
    <w:rsid w:val="562418E0"/>
    <w:rsid w:val="56B238A8"/>
    <w:rsid w:val="56D6723A"/>
    <w:rsid w:val="56DD30D8"/>
    <w:rsid w:val="56FA33C7"/>
    <w:rsid w:val="570F789F"/>
    <w:rsid w:val="5773682D"/>
    <w:rsid w:val="59790483"/>
    <w:rsid w:val="5AB30E80"/>
    <w:rsid w:val="5D8466D6"/>
    <w:rsid w:val="5E49718B"/>
    <w:rsid w:val="610D1793"/>
    <w:rsid w:val="61464082"/>
    <w:rsid w:val="61AA6D4E"/>
    <w:rsid w:val="61AC3705"/>
    <w:rsid w:val="61BD2347"/>
    <w:rsid w:val="62DB0373"/>
    <w:rsid w:val="635B63B9"/>
    <w:rsid w:val="674F436D"/>
    <w:rsid w:val="676676DF"/>
    <w:rsid w:val="68A81837"/>
    <w:rsid w:val="68C27247"/>
    <w:rsid w:val="69AA484A"/>
    <w:rsid w:val="6A20215B"/>
    <w:rsid w:val="6C2A2F12"/>
    <w:rsid w:val="6C524909"/>
    <w:rsid w:val="6C6B04B8"/>
    <w:rsid w:val="6CA5599E"/>
    <w:rsid w:val="6D0A06B5"/>
    <w:rsid w:val="6D8945FB"/>
    <w:rsid w:val="6E6E2E44"/>
    <w:rsid w:val="6E7B7983"/>
    <w:rsid w:val="6EAD420C"/>
    <w:rsid w:val="6F460731"/>
    <w:rsid w:val="718D4C87"/>
    <w:rsid w:val="71BD5B16"/>
    <w:rsid w:val="731146F1"/>
    <w:rsid w:val="73F3130E"/>
    <w:rsid w:val="749C56FE"/>
    <w:rsid w:val="75053496"/>
    <w:rsid w:val="75F77103"/>
    <w:rsid w:val="76CA152F"/>
    <w:rsid w:val="777B68B9"/>
    <w:rsid w:val="783B4C00"/>
    <w:rsid w:val="7AB16E00"/>
    <w:rsid w:val="7BAF2565"/>
    <w:rsid w:val="7BBC5D13"/>
    <w:rsid w:val="7C031292"/>
    <w:rsid w:val="7C145F64"/>
    <w:rsid w:val="7CC80452"/>
    <w:rsid w:val="7CDA4005"/>
    <w:rsid w:val="7FA07AD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Indent"/>
    <w:basedOn w:val="1"/>
    <w:unhideWhenUsed/>
    <w:qFormat/>
    <w:uiPriority w:val="0"/>
    <w:pPr>
      <w:spacing w:after="120"/>
      <w:ind w:left="420" w:leftChars="200"/>
    </w:pPr>
  </w:style>
  <w:style w:type="paragraph" w:styleId="5">
    <w:name w:val="Date"/>
    <w:basedOn w:val="1"/>
    <w:next w:val="1"/>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eastAsia="楷体_GB2312" w:cs="Times New Roman"/>
      <w:kern w:val="2"/>
      <w:sz w:val="32"/>
      <w:szCs w:val="20"/>
      <w:lang w:val="en-US" w:eastAsia="zh-CN" w:bidi="ar"/>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9">
    <w:name w:val="Body Text First Indent 2"/>
    <w:basedOn w:val="4"/>
    <w:qFormat/>
    <w:uiPriority w:val="0"/>
    <w:pPr>
      <w:spacing w:after="0" w:line="420" w:lineRule="exact"/>
      <w:ind w:left="0" w:leftChars="0" w:firstLine="420"/>
    </w:pPr>
    <w:rPr>
      <w:rFonts w:ascii="仿宋_GB2312" w:eastAsia="Times New Roman"/>
      <w:sz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annotation reference"/>
    <w:basedOn w:val="12"/>
    <w:qFormat/>
    <w:uiPriority w:val="0"/>
    <w:rPr>
      <w:sz w:val="21"/>
      <w:szCs w:val="21"/>
    </w:rPr>
  </w:style>
  <w:style w:type="character" w:customStyle="1" w:styleId="14">
    <w:name w:val="5文章(治) Char"/>
    <w:basedOn w:val="12"/>
    <w:qFormat/>
    <w:uiPriority w:val="0"/>
    <w:rPr>
      <w:rFonts w:hint="eastAsia" w:ascii="楷体_GB2312" w:eastAsia="楷体_GB2312" w:cs="楷体_GB2312"/>
      <w:kern w:val="2"/>
      <w:sz w:val="28"/>
      <w:lang w:val="en-US" w:eastAsia="zh-CN" w:bidi="ar"/>
    </w:rPr>
  </w:style>
  <w:style w:type="paragraph" w:customStyle="1" w:styleId="15">
    <w:name w:val="正文(首行缩进)"/>
    <w:basedOn w:val="1"/>
    <w:qFormat/>
    <w:uiPriority w:val="0"/>
    <w:pPr>
      <w:widowControl w:val="0"/>
      <w:adjustRightInd w:val="0"/>
      <w:snapToGrid w:val="0"/>
      <w:spacing w:line="360" w:lineRule="auto"/>
      <w:ind w:firstLine="200" w:firstLineChars="200"/>
      <w:jc w:val="both"/>
    </w:pPr>
    <w:rPr>
      <w:rFonts w:ascii="Times New Roman" w:hAnsi="Times New Roman"/>
      <w:snapToGrid w:val="0"/>
      <w:sz w:val="24"/>
      <w:szCs w:val="25"/>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1308</Words>
  <Characters>1372</Characters>
  <Lines>0</Lines>
  <Paragraphs>0</Paragraphs>
  <TotalTime>22</TotalTime>
  <ScaleCrop>false</ScaleCrop>
  <LinksUpToDate>false</LinksUpToDate>
  <CharactersWithSpaces>1372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2016-03-09T02:21:00Z</dcterms:created>
  <dc:creator>Yuri</dc:creator>
  <cp:lastModifiedBy>月见函灯</cp:lastModifiedBy>
  <cp:lastPrinted>2025-11-11T01:59:00Z</cp:lastPrinted>
  <dcterms:modified xsi:type="dcterms:W3CDTF">2026-06-05T06:06:53Z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333404B31EC54F8BA6CE0EF83A5A1895</vt:lpwstr>
  </property>
  <property fmtid="{D5CDD505-2E9C-101B-9397-08002B2CF9AE}" pid="4" name="KSOTemplateDocerSaveRecord">
    <vt:lpwstr>eyJoZGlkIjoiMDkxNDM5NTI3YTI2MzU0NTA3MzliODM2N2FlYTc2NjYiLCJ1c2VySWQiOiI0MjM3NjMwNzUifQ==</vt:lpwstr>
  </property>
</Properties>
</file>