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00F6F">
      <w:pPr>
        <w:pStyle w:val="22"/>
        <w:pageBreakBefore w:val="0"/>
        <w:widowControl w:val="0"/>
        <w:kinsoku/>
        <w:overflowPunct/>
        <w:topLinePunct w:val="0"/>
        <w:autoSpaceDE/>
        <w:autoSpaceDN/>
        <w:bidi w:val="0"/>
        <w:adjustRightInd/>
        <w:spacing w:line="520" w:lineRule="atLeast"/>
        <w:textAlignment w:val="auto"/>
        <w:rPr>
          <w:rFonts w:hint="eastAsia"/>
        </w:rPr>
      </w:pPr>
      <w:r>
        <w:rPr>
          <w:rFonts w:hint="eastAsia"/>
        </w:rPr>
        <w:t>榕环评〔202</w:t>
      </w:r>
      <w:r>
        <w:rPr>
          <w:rFonts w:hint="eastAsia"/>
          <w:lang w:val="en-US" w:eastAsia="zh-CN"/>
        </w:rPr>
        <w:t>6</w:t>
      </w:r>
      <w:r>
        <w:rPr>
          <w:rFonts w:hint="eastAsia"/>
        </w:rPr>
        <w:t>〕</w:t>
      </w:r>
      <w:r>
        <w:rPr>
          <w:rFonts w:hint="eastAsia"/>
          <w:highlight w:val="none"/>
          <w:lang w:val="en-US" w:eastAsia="zh-CN"/>
        </w:rPr>
        <w:t>51</w:t>
      </w:r>
      <w:r>
        <w:rPr>
          <w:rFonts w:hint="eastAsia"/>
        </w:rPr>
        <w:t>号</w:t>
      </w:r>
    </w:p>
    <w:p w14:paraId="7023F406">
      <w:pPr>
        <w:pStyle w:val="4"/>
        <w:keepNext/>
        <w:keepLines/>
        <w:pageBreakBefore w:val="0"/>
        <w:widowControl w:val="0"/>
        <w:kinsoku/>
        <w:wordWrap/>
        <w:overflowPunct/>
        <w:topLinePunct w:val="0"/>
        <w:autoSpaceDE/>
        <w:autoSpaceDN/>
        <w:bidi w:val="0"/>
        <w:adjustRightInd/>
        <w:snapToGrid/>
        <w:spacing w:line="520" w:lineRule="exact"/>
        <w:textAlignment w:val="auto"/>
        <w:rPr>
          <w:rFonts w:hint="eastAsia" w:ascii="方正小标宋_GBK" w:hAnsi="方正小标宋_GBK" w:eastAsia="方正小标宋_GBK" w:cs="方正小标宋_GBK"/>
          <w:b/>
          <w:color w:val="000000"/>
          <w:sz w:val="44"/>
          <w:szCs w:val="44"/>
          <w:lang w:val="en-US" w:eastAsia="zh-CN"/>
        </w:rPr>
      </w:pPr>
      <w:r>
        <w:rPr>
          <w:rFonts w:hint="eastAsia" w:ascii="方正小标宋_GBK" w:hAnsi="方正小标宋_GBK" w:eastAsia="方正小标宋_GBK" w:cs="方正小标宋_GBK"/>
          <w:b/>
          <w:color w:val="000000"/>
          <w:sz w:val="44"/>
          <w:szCs w:val="44"/>
          <w:lang w:val="en-US" w:eastAsia="zh-CN"/>
        </w:rPr>
        <w:t>福州市生态环境局关于连江县丹阳至贵安(港城大道贵安至义洋段及丹阳支线)公路工程</w:t>
      </w:r>
    </w:p>
    <w:p w14:paraId="0433269B">
      <w:pPr>
        <w:pStyle w:val="4"/>
        <w:keepNext/>
        <w:keepLines/>
        <w:pageBreakBefore w:val="0"/>
        <w:widowControl w:val="0"/>
        <w:kinsoku/>
        <w:wordWrap/>
        <w:overflowPunct/>
        <w:topLinePunct w:val="0"/>
        <w:autoSpaceDE/>
        <w:autoSpaceDN/>
        <w:bidi w:val="0"/>
        <w:adjustRightInd/>
        <w:snapToGrid/>
        <w:spacing w:line="520" w:lineRule="exact"/>
        <w:textAlignment w:val="auto"/>
        <w:rPr>
          <w:rFonts w:hint="eastAsia"/>
        </w:rPr>
      </w:pPr>
      <w:r>
        <w:rPr>
          <w:rFonts w:hint="eastAsia" w:ascii="方正小标宋_GBK" w:hAnsi="方正小标宋_GBK" w:eastAsia="方正小标宋_GBK" w:cs="方正小标宋_GBK"/>
          <w:b/>
          <w:color w:val="000000"/>
          <w:sz w:val="44"/>
          <w:szCs w:val="44"/>
          <w:lang w:val="en-US" w:eastAsia="zh-CN"/>
        </w:rPr>
        <w:t>环境影响报告书的审批意见</w:t>
      </w:r>
    </w:p>
    <w:p w14:paraId="65138245">
      <w:pPr>
        <w:pageBreakBefore w:val="0"/>
        <w:widowControl w:val="0"/>
        <w:kinsoku/>
        <w:overflowPunct/>
        <w:topLinePunct w:val="0"/>
        <w:autoSpaceDE/>
        <w:autoSpaceDN/>
        <w:bidi w:val="0"/>
        <w:adjustRightInd/>
        <w:spacing w:line="520" w:lineRule="atLeast"/>
        <w:textAlignment w:val="auto"/>
        <w:rPr>
          <w:rFonts w:hint="default" w:eastAsia="仿宋_GB2312"/>
          <w:lang w:val="en-US" w:eastAsia="zh-CN"/>
        </w:rPr>
      </w:pPr>
    </w:p>
    <w:p w14:paraId="52FC3F9E">
      <w:pPr>
        <w:pStyle w:val="24"/>
        <w:keepNext w:val="0"/>
        <w:keepLines w:val="0"/>
        <w:pageBreakBefore w:val="0"/>
        <w:widowControl w:val="0"/>
        <w:kinsoku/>
        <w:overflowPunct/>
        <w:topLinePunct w:val="0"/>
        <w:autoSpaceDE/>
        <w:autoSpaceDN/>
        <w:bidi w:val="0"/>
        <w:adjustRightInd/>
        <w:snapToGrid/>
        <w:spacing w:line="560" w:lineRule="exact"/>
        <w:ind w:right="0" w:rightChars="0"/>
        <w:textAlignment w:val="auto"/>
        <w:rPr>
          <w:rFonts w:hint="eastAsia"/>
          <w:szCs w:val="32"/>
        </w:rPr>
      </w:pPr>
      <w:r>
        <w:rPr>
          <w:rFonts w:hint="eastAsia"/>
          <w:szCs w:val="32"/>
          <w:lang w:eastAsia="zh-CN"/>
        </w:rPr>
        <w:t>连江县交通建设发展有限公司</w:t>
      </w:r>
      <w:r>
        <w:rPr>
          <w:rFonts w:hint="eastAsia"/>
          <w:szCs w:val="32"/>
        </w:rPr>
        <w:t>：</w:t>
      </w:r>
    </w:p>
    <w:p w14:paraId="563BD614">
      <w:pPr>
        <w:keepNext w:val="0"/>
        <w:keepLines w:val="0"/>
        <w:pageBreakBefore w:val="0"/>
        <w:widowControl w:val="0"/>
        <w:kinsoku/>
        <w:overflowPunct/>
        <w:topLinePunct w:val="0"/>
        <w:autoSpaceDE/>
        <w:autoSpaceDN/>
        <w:bidi w:val="0"/>
        <w:adjustRightInd/>
        <w:snapToGrid/>
        <w:spacing w:line="560" w:lineRule="exact"/>
        <w:ind w:right="0" w:rightChars="0" w:firstLine="640" w:firstLineChars="200"/>
        <w:textAlignment w:val="auto"/>
        <w:rPr>
          <w:rFonts w:hint="eastAsia"/>
          <w:lang w:val="en-US" w:eastAsia="zh-CN"/>
        </w:rPr>
      </w:pPr>
      <w:r>
        <w:rPr>
          <w:rFonts w:hint="eastAsia"/>
          <w:lang w:val="en-US" w:eastAsia="zh-CN"/>
        </w:rPr>
        <w:t>你司报送的《连江县丹阳至贵安(港城大道贵安至义洋段及丹阳支线)公路工程环境影响报告书》（以下简称《报告书》）收悉。根据《中华人民共和国环境影响评价法》第二十二条等规定，经组织技术审查，并征求福州市连江生态环境局意见，现提出审批意见如下：</w:t>
      </w:r>
    </w:p>
    <w:p w14:paraId="4BC017FA">
      <w:pPr>
        <w:pStyle w:val="34"/>
        <w:keepNext w:val="0"/>
        <w:keepLines w:val="0"/>
        <w:pageBreakBefore w:val="0"/>
        <w:kinsoku/>
        <w:overflowPunct/>
        <w:topLinePunct w:val="0"/>
        <w:autoSpaceDE/>
        <w:autoSpaceDN/>
        <w:bidi w:val="0"/>
        <w:adjustRightInd w:val="0"/>
        <w:snapToGrid w:val="0"/>
        <w:spacing w:line="560" w:lineRule="exact"/>
        <w:ind w:firstLine="640"/>
        <w:textAlignment w:val="auto"/>
        <w:rPr>
          <w:rFonts w:hint="eastAsia" w:ascii="仿宋_GB2312" w:hAnsi="仿宋_GB2312" w:eastAsia="仿宋_GB2312" w:cs="仿宋_GB2312"/>
          <w:sz w:val="32"/>
          <w:szCs w:val="32"/>
        </w:rPr>
      </w:pPr>
      <w:r>
        <w:rPr>
          <w:rFonts w:hint="eastAsia"/>
          <w:lang w:val="en-US" w:eastAsia="zh-CN"/>
        </w:rPr>
        <w:t>一、连江县丹阳至贵安(港城大道贵安至义洋段及丹阳支线)公路工程</w:t>
      </w:r>
      <w:r>
        <w:rPr>
          <w:rFonts w:hint="eastAsia"/>
          <w:highlight w:val="none"/>
          <w:lang w:val="en-US" w:eastAsia="zh-CN"/>
        </w:rPr>
        <w:t>位于连江县，</w:t>
      </w:r>
      <w:r>
        <w:rPr>
          <w:rFonts w:hint="eastAsia" w:ascii="仿宋_GB2312" w:hAnsi="仿宋_GB2312" w:eastAsia="仿宋_GB2312" w:cs="仿宋_GB2312"/>
          <w:sz w:val="32"/>
          <w:szCs w:val="32"/>
        </w:rPr>
        <w:t>路线全长15.1984公里，主线全长13.0384公里(其中新建段12.292公里，利用北二连接线0.746公里)，丹阳支线全长2.16公里，道路等级为一级公路。项目分</w:t>
      </w:r>
      <w:r>
        <w:rPr>
          <w:rFonts w:ascii="仿宋_GB2312" w:hAnsi="仿宋_GB2312" w:eastAsia="仿宋_GB2312" w:cs="仿宋_GB2312"/>
          <w:sz w:val="32"/>
          <w:szCs w:val="32"/>
        </w:rPr>
        <w:t>两期实施，一期为贵安至周溪段，二期为周溪至义洋段及丹阳支线</w:t>
      </w:r>
      <w:r>
        <w:rPr>
          <w:rFonts w:hint="eastAsia" w:ascii="仿宋_GB2312" w:hAnsi="仿宋_GB2312" w:eastAsia="仿宋_GB2312" w:cs="仿宋_GB2312"/>
          <w:sz w:val="32"/>
          <w:szCs w:val="32"/>
        </w:rPr>
        <w:t>。其中，一期(贵安至周溪段)起点位于福州城区北向第二通道的桃源溪互通，终点设置在蓼沿乡周溪村南侧的龙潭坑水库，路线全长9.59公里。二期(周溪至义洋段)起点顺接在建的丹贵公路一期(贵安至周溪段)，与在建的丹江大道相衔接，路线全长3.4484公里</w:t>
      </w:r>
      <w:r>
        <w:rPr>
          <w:rFonts w:hint="eastAsia"/>
        </w:rPr>
        <w:t>；</w:t>
      </w:r>
      <w:r>
        <w:rPr>
          <w:rFonts w:hint="eastAsia" w:ascii="仿宋_GB2312" w:hAnsi="仿宋_GB2312" w:eastAsia="仿宋_GB2312" w:cs="仿宋_GB2312"/>
          <w:sz w:val="32"/>
          <w:szCs w:val="32"/>
        </w:rPr>
        <w:t>丹阳支线:起点与主线交于义洋枢纽互通，终点顺接规划的丹港大道，路线全长2.16公里。主要建设内容包括：路基、沥青路面、桥梁、隧道、涵洞以及电力排管等附属配套设施。</w:t>
      </w:r>
    </w:p>
    <w:p w14:paraId="6F57B90C">
      <w:pPr>
        <w:keepNext w:val="0"/>
        <w:keepLines w:val="0"/>
        <w:pageBreakBefore w:val="0"/>
        <w:widowControl w:val="0"/>
        <w:kinsoku/>
        <w:overflowPunct/>
        <w:topLinePunct w:val="0"/>
        <w:autoSpaceDE/>
        <w:autoSpaceDN/>
        <w:bidi w:val="0"/>
        <w:adjustRightInd/>
        <w:snapToGrid/>
        <w:spacing w:line="560" w:lineRule="exact"/>
        <w:ind w:right="0" w:rightChars="0"/>
        <w:textAlignment w:val="auto"/>
        <w:rPr>
          <w:rFonts w:hint="default"/>
          <w:lang w:val="en-US" w:eastAsia="zh-CN"/>
        </w:rPr>
      </w:pPr>
      <w:r>
        <w:rPr>
          <w:rFonts w:hint="eastAsia"/>
          <w:lang w:val="en-US" w:eastAsia="zh-CN"/>
        </w:rPr>
        <w:t>根据《报告书》评价结论和福州市环境影响评价技术中心的技术评估报告（</w:t>
      </w:r>
      <w:r>
        <w:rPr>
          <w:rFonts w:hint="eastAsia"/>
          <w:highlight w:val="none"/>
          <w:lang w:val="en-US" w:eastAsia="zh-CN"/>
        </w:rPr>
        <w:t>编号</w:t>
      </w:r>
      <w:r>
        <w:rPr>
          <w:rFonts w:hint="eastAsia"/>
          <w:color w:val="auto"/>
          <w:highlight w:val="none"/>
          <w:lang w:val="en-US" w:eastAsia="zh-CN"/>
        </w:rPr>
        <w:t>2-2026-014</w:t>
      </w:r>
      <w:r>
        <w:rPr>
          <w:rFonts w:hint="eastAsia"/>
          <w:color w:val="auto"/>
          <w:lang w:val="en-US" w:eastAsia="zh-CN"/>
        </w:rPr>
        <w:t>）</w:t>
      </w:r>
      <w:r>
        <w:rPr>
          <w:rFonts w:hint="eastAsia"/>
          <w:color w:val="auto"/>
          <w:highlight w:val="none"/>
          <w:lang w:val="en-US" w:eastAsia="zh-CN"/>
        </w:rPr>
        <w:t>，</w:t>
      </w:r>
      <w:r>
        <w:rPr>
          <w:rFonts w:hint="eastAsia"/>
        </w:rPr>
        <w:t>该</w:t>
      </w:r>
      <w:r>
        <w:rPr>
          <w:rFonts w:hint="eastAsia"/>
          <w:lang w:eastAsia="zh-CN"/>
        </w:rPr>
        <w:t>项目建设符合国家产业政策和福州市生态环境分区管控要求，</w:t>
      </w:r>
      <w:r>
        <w:rPr>
          <w:rFonts w:hint="eastAsia"/>
          <w:lang w:val="en-US" w:eastAsia="zh-CN"/>
        </w:rPr>
        <w:t>符合</w:t>
      </w:r>
      <w:r>
        <w:rPr>
          <w:rFonts w:ascii="仿宋_GB2312" w:hAnsi="仿宋_GB2312" w:eastAsia="仿宋_GB2312" w:cs="仿宋_GB2312"/>
          <w:sz w:val="32"/>
          <w:szCs w:val="32"/>
        </w:rPr>
        <w:t>《福建</w:t>
      </w:r>
      <w:r>
        <w:rPr>
          <w:rFonts w:hint="eastAsia" w:ascii="仿宋_GB2312" w:hAnsi="仿宋_GB2312" w:eastAsia="仿宋_GB2312" w:cs="仿宋_GB2312"/>
          <w:sz w:val="32"/>
          <w:szCs w:val="32"/>
        </w:rPr>
        <w:t>省“十四五”</w:t>
      </w:r>
      <w:r>
        <w:rPr>
          <w:rFonts w:ascii="仿宋_GB2312" w:hAnsi="仿宋_GB2312" w:eastAsia="仿宋_GB2312" w:cs="仿宋_GB2312"/>
          <w:sz w:val="32"/>
          <w:szCs w:val="32"/>
        </w:rPr>
        <w:t>现代综合交通运输体系专项规划》《福建省乡镇便捷通高速工程实施方案》《福州市“十四五”综合交通运输发展专项规划》</w:t>
      </w:r>
      <w:r>
        <w:rPr>
          <w:rFonts w:hint="eastAsia"/>
          <w:lang w:val="en-US" w:eastAsia="zh-CN"/>
        </w:rPr>
        <w:t>等相关规划要求</w:t>
      </w:r>
      <w:r>
        <w:rPr>
          <w:rFonts w:hint="eastAsia"/>
          <w:color w:val="000000" w:themeColor="text1"/>
          <w:highlight w:val="none"/>
          <w:lang w:val="en-US" w:eastAsia="zh-CN"/>
          <w14:textFill>
            <w14:solidFill>
              <w14:schemeClr w14:val="tx1"/>
            </w14:solidFill>
          </w14:textFill>
        </w:rPr>
        <w:t>。</w:t>
      </w:r>
      <w:r>
        <w:rPr>
          <w:rFonts w:hint="eastAsia"/>
          <w:lang w:val="en-US" w:eastAsia="zh-CN"/>
        </w:rPr>
        <w:t>在严格落实《报告书》提出的各项环境保护措施，加强环境管理的前提下，从环境影响角度分析，项目建设可行。</w:t>
      </w:r>
      <w:r>
        <w:rPr>
          <w:rFonts w:hint="eastAsia"/>
        </w:rPr>
        <w:t>同意</w:t>
      </w:r>
      <w:r>
        <w:rPr>
          <w:rFonts w:hint="eastAsia"/>
          <w:lang w:eastAsia="zh-CN"/>
        </w:rPr>
        <w:t>项目</w:t>
      </w:r>
      <w:r>
        <w:rPr>
          <w:rFonts w:hint="eastAsia"/>
        </w:rPr>
        <w:t>按照</w:t>
      </w:r>
      <w:r>
        <w:rPr>
          <w:rFonts w:hint="eastAsia"/>
          <w:lang w:val="en-US" w:eastAsia="zh-CN"/>
        </w:rPr>
        <w:t>《报告书》</w:t>
      </w:r>
      <w:r>
        <w:rPr>
          <w:rFonts w:hint="eastAsia"/>
        </w:rPr>
        <w:t>中所列的性质、规模、地点、采用的生产工艺</w:t>
      </w:r>
      <w:r>
        <w:rPr>
          <w:rFonts w:hint="eastAsia"/>
          <w:lang w:eastAsia="zh-CN"/>
        </w:rPr>
        <w:t>和</w:t>
      </w:r>
      <w:r>
        <w:rPr>
          <w:rFonts w:hint="eastAsia"/>
        </w:rPr>
        <w:t>防治污染、防止生态破坏的措施进行建设</w:t>
      </w:r>
      <w:r>
        <w:rPr>
          <w:rFonts w:hint="eastAsia"/>
          <w:lang w:val="en-US" w:eastAsia="zh-CN"/>
        </w:rPr>
        <w:t>。</w:t>
      </w:r>
    </w:p>
    <w:p w14:paraId="56CF556E">
      <w:pPr>
        <w:keepNext w:val="0"/>
        <w:keepLines w:val="0"/>
        <w:pageBreakBefore w:val="0"/>
        <w:widowControl w:val="0"/>
        <w:kinsoku/>
        <w:overflowPunct/>
        <w:topLinePunct w:val="0"/>
        <w:autoSpaceDE/>
        <w:autoSpaceDN/>
        <w:bidi w:val="0"/>
        <w:adjustRightInd/>
        <w:snapToGrid/>
        <w:spacing w:line="560" w:lineRule="exact"/>
        <w:ind w:right="0" w:rightChars="0"/>
        <w:textAlignment w:val="auto"/>
        <w:rPr>
          <w:rFonts w:hint="eastAsia"/>
          <w:lang w:eastAsia="zh-CN"/>
        </w:rPr>
      </w:pPr>
      <w:r>
        <w:rPr>
          <w:rFonts w:hint="eastAsia"/>
          <w:lang w:val="en-US" w:eastAsia="zh-CN"/>
        </w:rPr>
        <w:t>二、项目应严格落实《报告书》提出的各项生态保护、污染防治、风险防控等措施，</w:t>
      </w:r>
      <w:r>
        <w:rPr>
          <w:rFonts w:hint="eastAsia" w:ascii="仿宋_GB2312" w:hAnsi="仿宋_GB2312" w:eastAsia="仿宋_GB2312" w:cs="仿宋_GB2312"/>
          <w:color w:val="auto"/>
          <w:kern w:val="1"/>
          <w:sz w:val="32"/>
          <w:szCs w:val="32"/>
          <w:lang w:eastAsia="zh-CN"/>
        </w:rPr>
        <w:t>在工程设计</w:t>
      </w:r>
      <w:r>
        <w:rPr>
          <w:rFonts w:hint="eastAsia" w:cs="仿宋_GB2312"/>
          <w:color w:val="auto"/>
          <w:kern w:val="1"/>
          <w:sz w:val="32"/>
          <w:szCs w:val="32"/>
          <w:lang w:eastAsia="zh-CN"/>
        </w:rPr>
        <w:t>和</w:t>
      </w:r>
      <w:r>
        <w:rPr>
          <w:rFonts w:hint="eastAsia" w:ascii="仿宋_GB2312" w:hAnsi="仿宋_GB2312" w:eastAsia="仿宋_GB2312" w:cs="仿宋_GB2312"/>
          <w:color w:val="auto"/>
          <w:kern w:val="1"/>
          <w:sz w:val="32"/>
          <w:szCs w:val="32"/>
          <w:lang w:eastAsia="zh-CN"/>
        </w:rPr>
        <w:t>施工过程中实施“以新带老”，完成现有工程环境问题整改，</w:t>
      </w:r>
      <w:r>
        <w:rPr>
          <w:rFonts w:hint="eastAsia"/>
          <w:lang w:val="en-US" w:eastAsia="zh-CN"/>
        </w:rPr>
        <w:t>并重点做好以下工作</w:t>
      </w:r>
      <w:r>
        <w:rPr>
          <w:rFonts w:hint="eastAsia"/>
          <w:lang w:eastAsia="zh-CN"/>
        </w:rPr>
        <w:t>：</w:t>
      </w:r>
    </w:p>
    <w:p w14:paraId="15A6C9DA">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仿宋_GB2312" w:hAnsi="仿宋_GB2312" w:eastAsia="仿宋_GB2312" w:cs="仿宋_GB2312"/>
          <w:b/>
          <w:bCs/>
          <w:color w:val="auto"/>
          <w:sz w:val="32"/>
          <w:szCs w:val="32"/>
          <w:highlight w:val="none"/>
          <w:lang w:val="en-US" w:eastAsia="zh-CN"/>
        </w:rPr>
      </w:pPr>
      <w:r>
        <w:rPr>
          <w:rFonts w:hint="eastAsia" w:cs="仿宋_GB2312"/>
          <w:b/>
          <w:bCs/>
          <w:color w:val="auto"/>
          <w:sz w:val="32"/>
          <w:szCs w:val="32"/>
          <w:highlight w:val="none"/>
          <w:lang w:val="en-US" w:eastAsia="zh-CN"/>
        </w:rPr>
        <w:t>（一）</w:t>
      </w:r>
      <w:r>
        <w:rPr>
          <w:rFonts w:hint="eastAsia" w:ascii="仿宋_GB2312" w:hAnsi="仿宋_GB2312" w:eastAsia="仿宋_GB2312" w:cs="仿宋_GB2312"/>
          <w:b/>
          <w:bCs/>
          <w:color w:val="auto"/>
          <w:sz w:val="32"/>
          <w:szCs w:val="32"/>
          <w:highlight w:val="none"/>
          <w:lang w:val="en-US" w:eastAsia="zh-CN"/>
        </w:rPr>
        <w:t>生态环境防治</w:t>
      </w:r>
    </w:p>
    <w:p w14:paraId="72A6E9FA">
      <w:pPr>
        <w:pStyle w:val="34"/>
        <w:keepNext w:val="0"/>
        <w:keepLines w:val="0"/>
        <w:pageBreakBefore w:val="0"/>
        <w:kinsoku/>
        <w:overflowPunct/>
        <w:topLinePunct w:val="0"/>
        <w:autoSpaceDE/>
        <w:autoSpaceDN/>
        <w:bidi w:val="0"/>
        <w:adjustRightInd w:val="0"/>
        <w:snapToGrid w:val="0"/>
        <w:spacing w:line="560" w:lineRule="exact"/>
        <w:ind w:firstLine="640"/>
        <w:textAlignment w:val="auto"/>
        <w:rPr>
          <w:rFonts w:hint="eastAsia" w:ascii="仿宋_GB2312" w:hAnsi="Courier New" w:eastAsia="仿宋_GB2312" w:cs="Courier New"/>
          <w:color w:val="FF0000"/>
          <w:kern w:val="2"/>
          <w:sz w:val="32"/>
          <w:szCs w:val="32"/>
          <w:lang w:val="en-US" w:eastAsia="zh-CN" w:bidi="ar-SA"/>
        </w:rPr>
      </w:pPr>
      <w:r>
        <w:rPr>
          <w:rFonts w:hint="eastAsia" w:ascii="仿宋_GB2312" w:hAnsi="仿宋_GB2312" w:eastAsia="仿宋_GB2312" w:cs="仿宋_GB2312"/>
          <w:sz w:val="32"/>
          <w:szCs w:val="32"/>
        </w:rPr>
        <w:t>进一步优化施工场地的布置，</w:t>
      </w:r>
      <w:r>
        <w:rPr>
          <w:rFonts w:ascii="仿宋_GB2312" w:hAnsi="仿宋_GB2312" w:eastAsia="仿宋_GB2312" w:cs="仿宋_GB2312"/>
          <w:sz w:val="32"/>
          <w:szCs w:val="32"/>
        </w:rPr>
        <w:t>施工便道应尽量利用现有道路，</w:t>
      </w:r>
      <w:r>
        <w:rPr>
          <w:rFonts w:hint="eastAsia" w:ascii="仿宋_GB2312" w:hAnsi="仿宋_GB2312" w:eastAsia="仿宋_GB2312" w:cs="仿宋_GB2312"/>
          <w:sz w:val="32"/>
          <w:szCs w:val="32"/>
        </w:rPr>
        <w:t>减少施工占地和对植被的破坏；施工场</w:t>
      </w:r>
      <w:r>
        <w:rPr>
          <w:rFonts w:hint="eastAsia" w:ascii="仿宋_GB2312" w:hAnsi="仿宋_GB2312" w:eastAsia="仿宋_GB2312" w:cs="仿宋_GB2312"/>
          <w:sz w:val="32"/>
          <w:szCs w:val="32"/>
          <w:lang w:eastAsia="zh-CN"/>
        </w:rPr>
        <w:t>站</w:t>
      </w:r>
      <w:r>
        <w:rPr>
          <w:rFonts w:ascii="仿宋_GB2312" w:hAnsi="仿宋_GB2312" w:eastAsia="仿宋_GB2312" w:cs="仿宋_GB2312"/>
          <w:sz w:val="32"/>
          <w:szCs w:val="32"/>
        </w:rPr>
        <w:t>临时占地严禁设在生态公益林、基本农田</w:t>
      </w:r>
      <w:r>
        <w:rPr>
          <w:rFonts w:hint="eastAsia" w:ascii="仿宋_GB2312" w:hAnsi="仿宋_GB2312" w:eastAsia="仿宋_GB2312" w:cs="仿宋_GB2312"/>
          <w:sz w:val="32"/>
          <w:szCs w:val="32"/>
        </w:rPr>
        <w:t>等</w:t>
      </w:r>
      <w:r>
        <w:rPr>
          <w:rFonts w:ascii="仿宋_GB2312" w:hAnsi="仿宋_GB2312" w:eastAsia="仿宋_GB2312" w:cs="仿宋_GB2312"/>
          <w:sz w:val="32"/>
          <w:szCs w:val="32"/>
        </w:rPr>
        <w:t>生态敏感区</w:t>
      </w:r>
      <w:r>
        <w:rPr>
          <w:rFonts w:hint="eastAsia" w:ascii="仿宋_GB2312" w:hAnsi="仿宋_GB2312" w:eastAsia="仿宋_GB2312" w:cs="仿宋_GB2312"/>
          <w:sz w:val="32"/>
          <w:szCs w:val="32"/>
        </w:rPr>
        <w:t>；项目建成后，临时工程全部拆除，施工场站临时占地恢复原有土地功能。</w:t>
      </w:r>
      <w:r>
        <w:rPr>
          <w:rFonts w:hint="eastAsia" w:cs="仿宋_GB2312"/>
          <w:sz w:val="32"/>
          <w:szCs w:val="32"/>
          <w:lang w:eastAsia="zh-CN"/>
        </w:rPr>
        <w:t>严格</w:t>
      </w:r>
      <w:r>
        <w:rPr>
          <w:rFonts w:hint="eastAsia" w:ascii="仿宋_GB2312" w:hAnsi="仿宋_GB2312" w:eastAsia="仿宋_GB2312" w:cs="仿宋_GB2312"/>
          <w:sz w:val="32"/>
          <w:szCs w:val="32"/>
        </w:rPr>
        <w:t>落实水土保持</w:t>
      </w:r>
      <w:r>
        <w:rPr>
          <w:rFonts w:hint="eastAsia" w:cs="仿宋_GB2312"/>
          <w:sz w:val="32"/>
          <w:szCs w:val="32"/>
          <w:lang w:eastAsia="zh-CN"/>
        </w:rPr>
        <w:t>和湿地保护</w:t>
      </w:r>
      <w:r>
        <w:rPr>
          <w:rFonts w:hint="eastAsia" w:ascii="仿宋_GB2312" w:hAnsi="仿宋_GB2312" w:eastAsia="仿宋_GB2312" w:cs="仿宋_GB2312"/>
          <w:sz w:val="32"/>
          <w:szCs w:val="32"/>
        </w:rPr>
        <w:t>措施</w:t>
      </w:r>
      <w:r>
        <w:rPr>
          <w:rFonts w:hint="eastAsia" w:cs="仿宋_GB2312"/>
          <w:sz w:val="32"/>
          <w:szCs w:val="32"/>
          <w:lang w:eastAsia="zh-CN"/>
        </w:rPr>
        <w:t>，</w:t>
      </w:r>
      <w:r>
        <w:rPr>
          <w:rFonts w:hint="eastAsia" w:ascii="仿宋_GB2312" w:hAnsi="仿宋_GB2312" w:eastAsia="仿宋_GB2312" w:cs="仿宋_GB2312"/>
          <w:sz w:val="32"/>
          <w:szCs w:val="32"/>
        </w:rPr>
        <w:t>禁止将施工废水、生活污水排入湿地，禁止在湿地范围内倾倒、堆放、丢弃、遗撒固体废物。</w:t>
      </w:r>
    </w:p>
    <w:p w14:paraId="2B098901">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仿宋_GB2312" w:hAnsi="仿宋_GB2312" w:eastAsia="仿宋_GB2312" w:cs="仿宋_GB2312"/>
          <w:b/>
          <w:bCs/>
          <w:color w:val="auto"/>
          <w:sz w:val="32"/>
          <w:szCs w:val="32"/>
          <w:highlight w:val="none"/>
          <w:lang w:val="en-US" w:eastAsia="zh-CN"/>
        </w:rPr>
      </w:pPr>
      <w:r>
        <w:rPr>
          <w:rFonts w:hint="eastAsia" w:cs="仿宋_GB2312"/>
          <w:b/>
          <w:bCs/>
          <w:color w:val="auto"/>
          <w:sz w:val="32"/>
          <w:szCs w:val="32"/>
          <w:highlight w:val="none"/>
          <w:lang w:val="en-US" w:eastAsia="zh-CN"/>
        </w:rPr>
        <w:t>（二）</w:t>
      </w:r>
      <w:r>
        <w:rPr>
          <w:rFonts w:hint="eastAsia" w:ascii="仿宋_GB2312" w:hAnsi="仿宋_GB2312" w:eastAsia="仿宋_GB2312" w:cs="仿宋_GB2312"/>
          <w:b/>
          <w:bCs/>
          <w:color w:val="auto"/>
          <w:sz w:val="32"/>
          <w:szCs w:val="32"/>
          <w:highlight w:val="none"/>
          <w:lang w:val="en-US" w:eastAsia="zh-CN"/>
        </w:rPr>
        <w:t>水污染防治</w:t>
      </w:r>
    </w:p>
    <w:p w14:paraId="1EE9F899">
      <w:pPr>
        <w:pStyle w:val="34"/>
        <w:adjustRightInd w:val="0"/>
        <w:snapToGrid w:val="0"/>
        <w:spacing w:line="560" w:lineRule="exact"/>
        <w:ind w:firstLine="640"/>
        <w:rPr>
          <w:rFonts w:hint="eastAsia" w:ascii="仿宋_GB2312" w:hAnsi="Times New Roman" w:eastAsia="仿宋_GB2312" w:cs="Times New Roman"/>
          <w:color w:val="FF0000"/>
          <w:sz w:val="32"/>
          <w:szCs w:val="32"/>
          <w:highlight w:val="yellow"/>
          <w:lang w:eastAsia="zh-CN"/>
        </w:rPr>
      </w:pPr>
      <w:r>
        <w:rPr>
          <w:rFonts w:hint="eastAsia" w:ascii="仿宋_GB2312" w:hAnsi="仿宋_GB2312" w:eastAsia="仿宋_GB2312" w:cs="仿宋_GB2312"/>
          <w:sz w:val="32"/>
          <w:szCs w:val="32"/>
          <w:highlight w:val="none"/>
          <w:lang w:val="zh-CN"/>
        </w:rPr>
        <w:t>贵安敖江特大桥跨越敖江流域生活饮用水地表水源二级保护区，要求严格遵守水源保护</w:t>
      </w:r>
      <w:r>
        <w:rPr>
          <w:rFonts w:hint="eastAsia" w:ascii="仿宋_GB2312" w:hAnsi="仿宋_GB2312" w:eastAsia="仿宋_GB2312" w:cs="仿宋_GB2312"/>
          <w:sz w:val="32"/>
          <w:szCs w:val="32"/>
          <w:highlight w:val="none"/>
        </w:rPr>
        <w:t>相关</w:t>
      </w:r>
      <w:r>
        <w:rPr>
          <w:rFonts w:hint="eastAsia" w:ascii="仿宋_GB2312" w:hAnsi="仿宋_GB2312" w:eastAsia="仿宋_GB2312" w:cs="仿宋_GB2312"/>
          <w:sz w:val="32"/>
          <w:szCs w:val="32"/>
          <w:highlight w:val="none"/>
          <w:lang w:val="zh-CN"/>
        </w:rPr>
        <w:t>规定，加强施工期环境监督管理，做好饮用水源保护工作。</w:t>
      </w:r>
      <w:r>
        <w:rPr>
          <w:rFonts w:hint="eastAsia" w:ascii="仿宋_GB2312" w:hAnsi="仿宋_GB2312" w:eastAsia="仿宋_GB2312" w:cs="仿宋_GB2312"/>
          <w:sz w:val="32"/>
          <w:szCs w:val="32"/>
          <w:lang w:val="zh-CN"/>
        </w:rPr>
        <w:t>禁止在敖江流域饮用水地表水源保护区内设置临时施工场地，</w:t>
      </w:r>
      <w:r>
        <w:rPr>
          <w:rFonts w:hint="eastAsia" w:ascii="仿宋_GB2312" w:hAnsi="仿宋_GB2312" w:eastAsia="仿宋_GB2312" w:cs="仿宋_GB2312"/>
          <w:sz w:val="32"/>
          <w:szCs w:val="32"/>
          <w:highlight w:val="none"/>
          <w:lang w:val="zh-CN"/>
        </w:rPr>
        <w:t>在敖江流域干流、一级支流沿岸一千米范围内，禁止倾倒工程弃渣、弃土等建筑垃圾。施</w:t>
      </w:r>
      <w:r>
        <w:rPr>
          <w:rFonts w:hint="eastAsia" w:ascii="仿宋_GB2312" w:hAnsi="仿宋_GB2312" w:eastAsia="仿宋_GB2312" w:cs="仿宋_GB2312"/>
          <w:sz w:val="32"/>
          <w:szCs w:val="32"/>
          <w:lang w:val="zh-CN"/>
        </w:rPr>
        <w:t>工人员生活污水</w:t>
      </w:r>
      <w:r>
        <w:rPr>
          <w:rFonts w:hint="eastAsia" w:ascii="仿宋_GB2312" w:hAnsi="仿宋_GB2312" w:eastAsia="仿宋_GB2312" w:cs="仿宋_GB2312"/>
          <w:sz w:val="32"/>
          <w:szCs w:val="32"/>
        </w:rPr>
        <w:t>经化粪池预处理后，引至桂林村污水处理站进一步处理，不单独排放。</w:t>
      </w:r>
      <w:r>
        <w:rPr>
          <w:rFonts w:ascii="仿宋_GB2312" w:hAnsi="仿宋_GB2312" w:eastAsia="仿宋_GB2312" w:cs="仿宋_GB2312"/>
          <w:sz w:val="32"/>
          <w:szCs w:val="32"/>
          <w:lang w:val="zh-CN"/>
        </w:rPr>
        <w:t>施工期水泥路面养护水</w:t>
      </w:r>
      <w:r>
        <w:rPr>
          <w:rFonts w:hint="eastAsia" w:ascii="仿宋_GB2312" w:hAnsi="仿宋_GB2312" w:eastAsia="仿宋_GB2312" w:cs="仿宋_GB2312"/>
          <w:sz w:val="32"/>
          <w:szCs w:val="32"/>
          <w:lang w:val="zh-CN"/>
        </w:rPr>
        <w:t>、</w:t>
      </w:r>
      <w:r>
        <w:rPr>
          <w:rFonts w:ascii="仿宋_GB2312" w:hAnsi="仿宋_GB2312" w:eastAsia="仿宋_GB2312" w:cs="仿宋_GB2312"/>
          <w:sz w:val="32"/>
          <w:szCs w:val="32"/>
          <w:lang w:val="zh-CN"/>
        </w:rPr>
        <w:t>施工机械</w:t>
      </w:r>
      <w:r>
        <w:rPr>
          <w:rFonts w:hint="eastAsia" w:ascii="仿宋_GB2312" w:hAnsi="仿宋_GB2312" w:eastAsia="仿宋_GB2312" w:cs="仿宋_GB2312"/>
          <w:sz w:val="32"/>
          <w:szCs w:val="32"/>
          <w:lang w:val="zh-CN"/>
        </w:rPr>
        <w:t>及</w:t>
      </w:r>
      <w:r>
        <w:rPr>
          <w:rFonts w:ascii="仿宋_GB2312" w:hAnsi="仿宋_GB2312" w:eastAsia="仿宋_GB2312" w:cs="仿宋_GB2312"/>
          <w:sz w:val="32"/>
          <w:szCs w:val="32"/>
          <w:lang w:val="zh-CN"/>
        </w:rPr>
        <w:t>车辆冲洗废水，</w:t>
      </w:r>
      <w:r>
        <w:rPr>
          <w:rFonts w:hint="eastAsia" w:ascii="仿宋_GB2312" w:hAnsi="仿宋_GB2312" w:eastAsia="仿宋_GB2312" w:cs="仿宋_GB2312"/>
          <w:sz w:val="32"/>
          <w:szCs w:val="32"/>
          <w:lang w:val="zh-CN"/>
        </w:rPr>
        <w:t>应集中收集经隔油沉淀处理后回用不外排。</w:t>
      </w:r>
      <w:r>
        <w:rPr>
          <w:rFonts w:hint="eastAsia" w:ascii="仿宋_GB2312" w:hAnsi="仿宋_GB2312" w:eastAsia="仿宋_GB2312" w:cs="仿宋_GB2312"/>
          <w:sz w:val="32"/>
          <w:szCs w:val="32"/>
        </w:rPr>
        <w:t>涉水桥梁采取双层钢围堰施工，干化场尾水回用不外排。</w:t>
      </w:r>
    </w:p>
    <w:p w14:paraId="5D73C0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仿宋_GB2312" w:hAnsi="仿宋_GB2312" w:eastAsia="仿宋_GB2312" w:cs="仿宋_GB2312"/>
          <w:b/>
          <w:bCs/>
          <w:color w:val="auto"/>
          <w:sz w:val="32"/>
          <w:szCs w:val="32"/>
          <w:highlight w:val="none"/>
          <w:lang w:val="en-US" w:eastAsia="zh-CN"/>
        </w:rPr>
      </w:pPr>
      <w:r>
        <w:rPr>
          <w:rFonts w:hint="eastAsia" w:cs="仿宋_GB2312"/>
          <w:b/>
          <w:bCs/>
          <w:color w:val="auto"/>
          <w:sz w:val="32"/>
          <w:szCs w:val="32"/>
          <w:highlight w:val="none"/>
          <w:lang w:val="en-US" w:eastAsia="zh-CN"/>
        </w:rPr>
        <w:t>（三）</w:t>
      </w:r>
      <w:r>
        <w:rPr>
          <w:rFonts w:hint="eastAsia" w:ascii="仿宋_GB2312" w:hAnsi="仿宋_GB2312" w:eastAsia="仿宋_GB2312" w:cs="仿宋_GB2312"/>
          <w:b/>
          <w:bCs/>
          <w:color w:val="auto"/>
          <w:sz w:val="32"/>
          <w:szCs w:val="32"/>
          <w:highlight w:val="none"/>
          <w:lang w:val="en-US" w:eastAsia="zh-CN"/>
        </w:rPr>
        <w:t>大气污染防治</w:t>
      </w:r>
    </w:p>
    <w:p w14:paraId="43906884">
      <w:pPr>
        <w:keepNext w:val="0"/>
        <w:keepLines w:val="0"/>
        <w:pageBreakBefore w:val="0"/>
        <w:widowControl/>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_GB2312" w:hAnsi="仿宋_GB2312"/>
          <w:color w:val="auto"/>
          <w:sz w:val="32"/>
          <w:lang w:eastAsia="zh-CN"/>
        </w:rPr>
      </w:pPr>
      <w:r>
        <w:rPr>
          <w:rFonts w:hint="eastAsia" w:ascii="仿宋_GB2312" w:hAnsi="仿宋_GB2312" w:eastAsia="仿宋_GB2312" w:cs="仿宋_GB2312"/>
          <w:color w:val="auto"/>
          <w:sz w:val="32"/>
          <w:szCs w:val="32"/>
        </w:rPr>
        <w:t>易扬尘作业应采取湿法。施工期加强场地道路洒水降尘，运输土石方、粉状材料应采用密闭运输等适当的防护措施,减少施工及车辆运输扬尘影响;在施工场界设置围挡，设置喷淋等降尘措施。拌和站</w:t>
      </w:r>
      <w:r>
        <w:rPr>
          <w:rFonts w:hint="eastAsia" w:cs="仿宋_GB2312"/>
          <w:color w:val="auto"/>
          <w:sz w:val="32"/>
          <w:szCs w:val="32"/>
          <w:lang w:eastAsia="zh-CN"/>
        </w:rPr>
        <w:t>和</w:t>
      </w:r>
      <w:r>
        <w:rPr>
          <w:rFonts w:hint="eastAsia" w:ascii="仿宋_GB2312" w:hAnsi="仿宋_GB2312" w:eastAsia="仿宋_GB2312" w:cs="仿宋_GB2312"/>
          <w:color w:val="auto"/>
          <w:sz w:val="32"/>
          <w:szCs w:val="32"/>
        </w:rPr>
        <w:t>砂石骨料加工车间应密闭管理</w:t>
      </w:r>
      <w:r>
        <w:rPr>
          <w:rFonts w:hint="eastAsia" w:cs="仿宋_GB2312"/>
          <w:color w:val="auto"/>
          <w:sz w:val="32"/>
          <w:szCs w:val="32"/>
          <w:lang w:eastAsia="zh-CN"/>
        </w:rPr>
        <w:t>，</w:t>
      </w:r>
      <w:r>
        <w:rPr>
          <w:rFonts w:hint="eastAsia" w:ascii="仿宋_GB2312" w:hAnsi="仿宋_GB2312" w:eastAsia="仿宋_GB2312" w:cs="仿宋_GB2312"/>
          <w:color w:val="auto"/>
          <w:sz w:val="32"/>
          <w:szCs w:val="32"/>
        </w:rPr>
        <w:t>在喂料、破碎、筛分、皮带输送等产尘点上方按规范设置集气罩及除尘设施，</w:t>
      </w:r>
      <w:r>
        <w:rPr>
          <w:rFonts w:hint="eastAsia" w:ascii="仿宋_GB2312" w:hAnsi="仿宋_GB2312" w:eastAsia="仿宋_GB2312" w:cs="仿宋_GB2312"/>
          <w:color w:val="auto"/>
          <w:sz w:val="32"/>
          <w:szCs w:val="32"/>
          <w:highlight w:val="none"/>
        </w:rPr>
        <w:t>废气</w:t>
      </w:r>
      <w:r>
        <w:rPr>
          <w:rFonts w:hint="eastAsia" w:cs="仿宋_GB2312"/>
          <w:color w:val="auto"/>
          <w:sz w:val="32"/>
          <w:szCs w:val="32"/>
          <w:highlight w:val="none"/>
          <w:lang w:eastAsia="zh-CN"/>
        </w:rPr>
        <w:t>经</w:t>
      </w:r>
      <w:r>
        <w:rPr>
          <w:rFonts w:hint="eastAsia" w:ascii="仿宋_GB2312" w:hAnsi="仿宋_GB2312" w:eastAsia="仿宋_GB2312" w:cs="仿宋_GB2312"/>
          <w:color w:val="auto"/>
          <w:sz w:val="32"/>
          <w:szCs w:val="32"/>
          <w:highlight w:val="none"/>
        </w:rPr>
        <w:t>处</w:t>
      </w:r>
      <w:r>
        <w:rPr>
          <w:rFonts w:hint="eastAsia" w:ascii="仿宋_GB2312" w:hAnsi="仿宋_GB2312" w:eastAsia="仿宋_GB2312" w:cs="仿宋_GB2312"/>
          <w:color w:val="auto"/>
          <w:sz w:val="32"/>
          <w:szCs w:val="32"/>
        </w:rPr>
        <w:t>理达标后</w:t>
      </w:r>
      <w:r>
        <w:rPr>
          <w:rFonts w:hint="eastAsia" w:cs="仿宋_GB2312"/>
          <w:color w:val="auto"/>
          <w:sz w:val="32"/>
          <w:szCs w:val="32"/>
          <w:lang w:eastAsia="zh-CN"/>
        </w:rPr>
        <w:t>引至高空排放</w:t>
      </w:r>
      <w:r>
        <w:rPr>
          <w:rFonts w:hint="eastAsia" w:ascii="仿宋_GB2312" w:hAnsi="仿宋_GB2312" w:eastAsia="仿宋_GB2312" w:cs="仿宋_GB2312"/>
          <w:color w:val="auto"/>
          <w:sz w:val="32"/>
          <w:szCs w:val="32"/>
        </w:rPr>
        <w:t>。</w:t>
      </w:r>
    </w:p>
    <w:p w14:paraId="519C09C7">
      <w:pPr>
        <w:keepNext w:val="0"/>
        <w:keepLines w:val="0"/>
        <w:pageBreakBefore w:val="0"/>
        <w:widowControl/>
        <w:kinsoku/>
        <w:wordWrap/>
        <w:overflowPunct/>
        <w:topLinePunct w:val="0"/>
        <w:autoSpaceDE/>
        <w:autoSpaceDN/>
        <w:bidi w:val="0"/>
        <w:adjustRightInd/>
        <w:snapToGrid/>
        <w:spacing w:line="560" w:lineRule="exact"/>
        <w:ind w:right="0" w:rightChars="0" w:firstLine="643" w:firstLineChars="200"/>
        <w:jc w:val="left"/>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cs="仿宋_GB2312"/>
          <w:b/>
          <w:bCs/>
          <w:color w:val="auto"/>
          <w:sz w:val="32"/>
          <w:szCs w:val="32"/>
          <w:highlight w:val="none"/>
          <w:lang w:val="en-US" w:eastAsia="zh-CN"/>
        </w:rPr>
        <w:t>（四）</w:t>
      </w:r>
      <w:r>
        <w:rPr>
          <w:rFonts w:hint="eastAsia" w:ascii="仿宋_GB2312" w:hAnsi="仿宋_GB2312" w:eastAsia="仿宋_GB2312" w:cs="仿宋_GB2312"/>
          <w:b/>
          <w:bCs/>
          <w:color w:val="auto"/>
          <w:sz w:val="32"/>
          <w:szCs w:val="32"/>
          <w:highlight w:val="none"/>
          <w:lang w:val="en-US" w:eastAsia="zh-CN"/>
        </w:rPr>
        <w:t>噪声污染防治</w:t>
      </w:r>
    </w:p>
    <w:p w14:paraId="3A691CEA">
      <w:pPr>
        <w:pStyle w:val="34"/>
        <w:adjustRightInd w:val="0"/>
        <w:snapToGrid w:val="0"/>
        <w:spacing w:line="560" w:lineRule="exact"/>
        <w:ind w:firstLine="640"/>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auto"/>
          <w:sz w:val="32"/>
          <w:szCs w:val="32"/>
        </w:rPr>
        <w:t>合理安排施工时间和布置施工场地，临近敏感建筑物的施工场地设置临时隔声围墙。对《报告书》提出沿线4处超标的声环境保护目标采取安装声屏障的措施，同时加强对沿线声环境敏感目标的噪声监测，并预留资金，根据跟踪监测结果适时采取降噪措施。</w:t>
      </w:r>
      <w:r>
        <w:rPr>
          <w:rFonts w:hint="eastAsia" w:ascii="仿宋_GB2312" w:hAnsi="仿宋_GB2312" w:cs="仿宋_GB2312"/>
          <w:color w:val="auto"/>
          <w:sz w:val="32"/>
          <w:szCs w:val="32"/>
          <w:lang w:val="en-US" w:eastAsia="zh-CN"/>
        </w:rPr>
        <w:t>你司应提</w:t>
      </w:r>
      <w:r>
        <w:rPr>
          <w:rFonts w:hint="eastAsia" w:ascii="仿宋_GB2312" w:hAnsi="仿宋_GB2312" w:eastAsia="仿宋_GB2312" w:cs="仿宋_GB2312"/>
          <w:color w:val="auto"/>
          <w:sz w:val="32"/>
          <w:szCs w:val="32"/>
          <w:lang w:eastAsia="zh-CN"/>
        </w:rPr>
        <w:t>请并积极配合当地政府做好公路沿线两侧用地的规划控制，避免交通噪声对新增声环境敏感目标的噪声影响。</w:t>
      </w:r>
    </w:p>
    <w:p w14:paraId="46243DFC">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cs="仿宋_GB2312"/>
          <w:b/>
          <w:bCs/>
          <w:color w:val="auto"/>
          <w:sz w:val="32"/>
          <w:szCs w:val="32"/>
          <w:highlight w:val="none"/>
          <w:lang w:val="en-US" w:eastAsia="zh-CN"/>
        </w:rPr>
        <w:t>（五）</w:t>
      </w:r>
      <w:r>
        <w:rPr>
          <w:rFonts w:hint="eastAsia" w:ascii="仿宋_GB2312" w:hAnsi="仿宋_GB2312" w:eastAsia="仿宋_GB2312" w:cs="仿宋_GB2312"/>
          <w:b/>
          <w:bCs/>
          <w:color w:val="auto"/>
          <w:sz w:val="32"/>
          <w:szCs w:val="32"/>
          <w:highlight w:val="none"/>
          <w:lang w:val="en-US" w:eastAsia="zh-CN"/>
        </w:rPr>
        <w:t>固废污染防治</w:t>
      </w:r>
    </w:p>
    <w:p w14:paraId="2F12A3E8">
      <w:pPr>
        <w:pStyle w:val="34"/>
        <w:keepNext w:val="0"/>
        <w:keepLines w:val="0"/>
        <w:pageBreakBefore w:val="0"/>
        <w:kinsoku/>
        <w:overflowPunct/>
        <w:topLinePunct w:val="0"/>
        <w:autoSpaceDE/>
        <w:autoSpaceDN/>
        <w:bidi w:val="0"/>
        <w:adjustRightInd w:val="0"/>
        <w:snapToGrid w:val="0"/>
        <w:spacing w:line="560" w:lineRule="exact"/>
        <w:ind w:firstLine="640"/>
        <w:textAlignment w:val="auto"/>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sz w:val="32"/>
          <w:szCs w:val="32"/>
        </w:rPr>
        <w:t>施工期生活垃圾定期委托环卫部门清运处理。废</w:t>
      </w:r>
      <w:r>
        <w:rPr>
          <w:rFonts w:hint="eastAsia" w:ascii="仿宋_GB2312" w:hAnsi="仿宋_GB2312" w:eastAsia="仿宋_GB2312" w:cs="仿宋_GB2312"/>
          <w:sz w:val="32"/>
          <w:szCs w:val="32"/>
          <w:lang w:val="en-US" w:eastAsia="zh-CN"/>
        </w:rPr>
        <w:t>机油及废机油桶</w:t>
      </w:r>
      <w:r>
        <w:rPr>
          <w:rFonts w:hint="eastAsia" w:ascii="仿宋_GB2312" w:hAnsi="仿宋_GB2312" w:eastAsia="仿宋_GB2312" w:cs="仿宋_GB2312"/>
          <w:sz w:val="32"/>
          <w:szCs w:val="32"/>
        </w:rPr>
        <w:t>、隔油沉淀池废渣</w:t>
      </w:r>
      <w:r>
        <w:rPr>
          <w:rFonts w:hint="eastAsia" w:ascii="仿宋_GB2312" w:hAnsi="仿宋_GB2312" w:eastAsia="仿宋_GB2312" w:cs="仿宋_GB2312"/>
          <w:sz w:val="32"/>
          <w:szCs w:val="32"/>
          <w:lang w:eastAsia="zh-CN"/>
        </w:rPr>
        <w:t>委托有资质的单位处置</w:t>
      </w:r>
      <w:r>
        <w:rPr>
          <w:rFonts w:hint="eastAsia" w:cs="仿宋_GB2312"/>
          <w:sz w:val="32"/>
          <w:szCs w:val="32"/>
          <w:lang w:eastAsia="zh-CN"/>
        </w:rPr>
        <w:t>。</w:t>
      </w:r>
      <w:r>
        <w:rPr>
          <w:rFonts w:hint="eastAsia" w:ascii="仿宋_GB2312" w:hAnsi="仿宋_GB2312" w:eastAsia="仿宋_GB2312" w:cs="仿宋_GB2312"/>
          <w:color w:val="auto"/>
          <w:sz w:val="32"/>
          <w:szCs w:val="32"/>
          <w:lang w:val="en-US" w:eastAsia="zh-CN"/>
        </w:rPr>
        <w:t>项目余方属于国家资源，</w:t>
      </w:r>
      <w:r>
        <w:rPr>
          <w:rFonts w:hint="eastAsia" w:cs="仿宋_GB2312"/>
          <w:color w:val="auto"/>
          <w:sz w:val="32"/>
          <w:szCs w:val="32"/>
          <w:lang w:val="en-US" w:eastAsia="zh-CN"/>
        </w:rPr>
        <w:t>应</w:t>
      </w:r>
      <w:r>
        <w:rPr>
          <w:rFonts w:hint="eastAsia" w:ascii="仿宋_GB2312" w:hAnsi="仿宋_GB2312" w:eastAsia="仿宋_GB2312" w:cs="仿宋_GB2312"/>
          <w:color w:val="auto"/>
          <w:sz w:val="32"/>
          <w:szCs w:val="32"/>
          <w:lang w:val="en-US" w:eastAsia="zh-CN"/>
        </w:rPr>
        <w:t>依法依规进行处置。</w:t>
      </w:r>
      <w:r>
        <w:rPr>
          <w:rFonts w:hint="eastAsia" w:ascii="仿宋_GB2312" w:hAnsi="仿宋_GB2312" w:eastAsia="仿宋_GB2312" w:cs="仿宋_GB2312"/>
          <w:sz w:val="32"/>
          <w:szCs w:val="32"/>
        </w:rPr>
        <w:t>余方按</w:t>
      </w:r>
      <w:r>
        <w:rPr>
          <w:rFonts w:ascii="仿宋_GB2312" w:hAnsi="仿宋_GB2312" w:eastAsia="仿宋_GB2312" w:cs="仿宋_GB2312"/>
          <w:sz w:val="32"/>
          <w:szCs w:val="32"/>
        </w:rPr>
        <w:t>连江县人民政府办公室文件《关于加强经营性土地供应工程建设项目涉及砂石料处置监管工作的通知》</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连政办</w:t>
      </w:r>
      <w:r>
        <w:rPr>
          <w:rFonts w:hint="eastAsia" w:ascii="仿宋_GB2312" w:hAnsi="仿宋_GB2312" w:eastAsia="仿宋_GB2312" w:cs="仿宋_GB2312"/>
          <w:sz w:val="32"/>
          <w:szCs w:val="32"/>
        </w:rPr>
        <w:t>〔2020〕141号）</w:t>
      </w:r>
      <w:r>
        <w:rPr>
          <w:rFonts w:ascii="仿宋_GB2312" w:hAnsi="仿宋_GB2312" w:eastAsia="仿宋_GB2312" w:cs="仿宋_GB2312"/>
          <w:sz w:val="32"/>
          <w:szCs w:val="32"/>
        </w:rPr>
        <w:t>文件</w:t>
      </w:r>
      <w:r>
        <w:rPr>
          <w:rFonts w:hint="eastAsia" w:ascii="仿宋_GB2312" w:hAnsi="仿宋_GB2312" w:eastAsia="仿宋_GB2312" w:cs="仿宋_GB2312"/>
          <w:sz w:val="32"/>
          <w:szCs w:val="32"/>
        </w:rPr>
        <w:t>精神执行。</w:t>
      </w:r>
    </w:p>
    <w:p w14:paraId="343E1534">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仿宋_GB2312" w:hAnsi="仿宋_GB2312" w:eastAsia="仿宋_GB2312" w:cs="仿宋_GB2312"/>
          <w:b/>
          <w:bCs/>
          <w:color w:val="auto"/>
          <w:sz w:val="32"/>
          <w:szCs w:val="32"/>
          <w:highlight w:val="none"/>
          <w:lang w:val="en-US" w:eastAsia="zh-CN"/>
        </w:rPr>
      </w:pPr>
      <w:r>
        <w:rPr>
          <w:rFonts w:hint="eastAsia" w:cs="仿宋_GB2312"/>
          <w:b/>
          <w:bCs/>
          <w:color w:val="auto"/>
          <w:sz w:val="32"/>
          <w:szCs w:val="32"/>
          <w:highlight w:val="none"/>
          <w:lang w:val="en-US" w:eastAsia="zh-CN"/>
        </w:rPr>
        <w:t>（六）</w:t>
      </w:r>
      <w:r>
        <w:rPr>
          <w:rFonts w:hint="eastAsia" w:ascii="仿宋_GB2312" w:hAnsi="仿宋_GB2312" w:eastAsia="仿宋_GB2312" w:cs="仿宋_GB2312"/>
          <w:b/>
          <w:bCs/>
          <w:color w:val="auto"/>
          <w:sz w:val="32"/>
          <w:szCs w:val="32"/>
          <w:highlight w:val="none"/>
          <w:lang w:val="en-US" w:eastAsia="zh-CN"/>
        </w:rPr>
        <w:t>环境风险防范</w:t>
      </w:r>
    </w:p>
    <w:p w14:paraId="3CEF793F">
      <w:pPr>
        <w:keepNext w:val="0"/>
        <w:keepLines w:val="0"/>
        <w:pageBreakBefore w:val="0"/>
        <w:kinsoku/>
        <w:overflowPunct/>
        <w:topLinePunct w:val="0"/>
        <w:autoSpaceDE/>
        <w:autoSpaceDN/>
        <w:bidi w:val="0"/>
        <w:spacing w:line="560" w:lineRule="exact"/>
        <w:ind w:firstLine="640" w:firstLineChars="200"/>
        <w:textAlignment w:val="auto"/>
        <w:rPr>
          <w:rFonts w:hint="default" w:ascii="仿宋_GB2312" w:eastAsia="仿宋_GB2312"/>
          <w:color w:val="auto"/>
          <w:sz w:val="32"/>
          <w:szCs w:val="32"/>
          <w:highlight w:val="yellow"/>
          <w:lang w:val="en-US"/>
        </w:rPr>
      </w:pPr>
      <w:r>
        <w:rPr>
          <w:rFonts w:hint="eastAsia" w:ascii="仿宋_GB2312" w:hAnsi="仿宋_GB2312" w:eastAsia="仿宋_GB2312" w:cs="仿宋_GB2312"/>
          <w:sz w:val="32"/>
          <w:szCs w:val="32"/>
        </w:rPr>
        <w:t>穿越水源保护区</w:t>
      </w:r>
      <w:r>
        <w:rPr>
          <w:rFonts w:hint="eastAsia" w:cs="仿宋_GB2312"/>
          <w:sz w:val="32"/>
          <w:szCs w:val="32"/>
          <w:lang w:eastAsia="zh-CN"/>
        </w:rPr>
        <w:t>及</w:t>
      </w:r>
      <w:r>
        <w:rPr>
          <w:rFonts w:hint="eastAsia" w:ascii="仿宋_GB2312" w:hAnsi="仿宋_GB2312" w:eastAsia="仿宋_GB2312" w:cs="仿宋_GB2312"/>
          <w:sz w:val="32"/>
          <w:szCs w:val="32"/>
        </w:rPr>
        <w:t>穿越水源保护</w:t>
      </w:r>
      <w:r>
        <w:rPr>
          <w:rFonts w:hint="eastAsia" w:ascii="仿宋_GB2312" w:hAnsi="仿宋_GB2312" w:eastAsia="仿宋_GB2312" w:cs="仿宋_GB2312"/>
          <w:sz w:val="32"/>
          <w:szCs w:val="32"/>
          <w:highlight w:val="none"/>
        </w:rPr>
        <w:t>区上游敏感路段均</w:t>
      </w:r>
      <w:r>
        <w:rPr>
          <w:rFonts w:hint="eastAsia" w:ascii="仿宋_GB2312" w:hAnsi="仿宋_GB2312" w:eastAsia="仿宋_GB2312" w:cs="仿宋_GB2312"/>
          <w:sz w:val="32"/>
          <w:szCs w:val="32"/>
        </w:rPr>
        <w:t>应建设双重防撞护栏</w:t>
      </w:r>
      <w:r>
        <w:rPr>
          <w:rFonts w:hint="eastAsia" w:cs="仿宋_GB2312"/>
          <w:sz w:val="32"/>
          <w:szCs w:val="32"/>
          <w:lang w:eastAsia="zh-CN"/>
        </w:rPr>
        <w:t>。</w:t>
      </w:r>
      <w:r>
        <w:rPr>
          <w:rFonts w:hint="eastAsia" w:ascii="仿宋_GB2312" w:hAnsi="仿宋_GB2312" w:eastAsia="仿宋_GB2312" w:cs="仿宋_GB2312"/>
          <w:sz w:val="32"/>
          <w:lang w:val="en-US" w:eastAsia="zh-CN"/>
        </w:rPr>
        <w:t>贵安敖江特大桥</w:t>
      </w:r>
      <w:r>
        <w:rPr>
          <w:rFonts w:hint="eastAsia" w:cs="仿宋_GB2312"/>
          <w:sz w:val="32"/>
          <w:lang w:val="en-US" w:eastAsia="zh-CN"/>
        </w:rPr>
        <w:t>和</w:t>
      </w:r>
      <w:r>
        <w:rPr>
          <w:rFonts w:hint="eastAsia" w:ascii="仿宋_GB2312" w:hAnsi="仿宋_GB2312" w:eastAsia="仿宋_GB2312" w:cs="仿宋_GB2312"/>
          <w:sz w:val="32"/>
          <w:lang w:val="en-US" w:eastAsia="zh-CN"/>
        </w:rPr>
        <w:t>牛溪大桥路段</w:t>
      </w:r>
      <w:r>
        <w:rPr>
          <w:rFonts w:hint="eastAsia" w:ascii="仿宋_GB2312" w:hAnsi="仿宋_GB2312" w:eastAsia="仿宋_GB2312" w:cs="仿宋_GB2312"/>
          <w:sz w:val="32"/>
          <w:szCs w:val="32"/>
        </w:rPr>
        <w:t>应设置路面径流收集系统</w:t>
      </w:r>
      <w:r>
        <w:rPr>
          <w:rFonts w:hint="eastAsia" w:cs="仿宋_GB2312"/>
          <w:sz w:val="32"/>
          <w:szCs w:val="32"/>
          <w:lang w:eastAsia="zh-CN"/>
        </w:rPr>
        <w:t>，并建设足够有效容积的事故应急池</w:t>
      </w:r>
      <w:r>
        <w:rPr>
          <w:rFonts w:hint="eastAsia" w:ascii="仿宋_GB2312" w:hAnsi="仿宋_GB2312" w:eastAsia="仿宋_GB2312" w:cs="仿宋_GB2312"/>
          <w:color w:val="auto"/>
          <w:sz w:val="32"/>
          <w:szCs w:val="32"/>
          <w:highlight w:val="none"/>
          <w:lang w:val="en-US" w:eastAsia="zh-CN"/>
        </w:rPr>
        <w:t>；运营期应加强危险化学品运输车辆事故环境风险管理</w:t>
      </w:r>
      <w:r>
        <w:rPr>
          <w:rFonts w:hint="eastAsia" w:cs="仿宋_GB2312"/>
          <w:color w:val="auto"/>
          <w:szCs w:val="21"/>
          <w:vertAlign w:val="baseline"/>
          <w:lang w:val="en-US" w:eastAsia="zh-CN"/>
        </w:rPr>
        <w:t>。</w:t>
      </w:r>
      <w:r>
        <w:rPr>
          <w:rFonts w:hint="eastAsia" w:cs="仿宋_GB2312"/>
          <w:sz w:val="32"/>
          <w:szCs w:val="32"/>
          <w:lang w:eastAsia="zh-CN"/>
        </w:rPr>
        <w:t>你司应</w:t>
      </w:r>
      <w:r>
        <w:rPr>
          <w:rFonts w:hint="eastAsia" w:ascii="仿宋_GB2312" w:hAnsi="仿宋_GB2312" w:eastAsia="仿宋_GB2312" w:cs="仿宋_GB2312"/>
          <w:sz w:val="32"/>
          <w:szCs w:val="32"/>
        </w:rPr>
        <w:t>及时制定突发环境事件应急预案并报连江生态环境局备案。</w:t>
      </w:r>
    </w:p>
    <w:p w14:paraId="758BE5CF">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楷体_GB2312" w:eastAsia="楷体_GB2312"/>
          <w:b/>
          <w:bCs/>
          <w:color w:val="auto"/>
          <w:sz w:val="32"/>
          <w:szCs w:val="32"/>
          <w:highlight w:val="none"/>
          <w:lang w:eastAsia="zh-CN"/>
        </w:rPr>
      </w:pPr>
      <w:r>
        <w:rPr>
          <w:rFonts w:hint="eastAsia" w:ascii="楷体_GB2312" w:eastAsia="楷体_GB2312"/>
          <w:b/>
          <w:bCs/>
          <w:color w:val="auto"/>
          <w:sz w:val="32"/>
          <w:szCs w:val="32"/>
          <w:highlight w:val="none"/>
          <w:lang w:eastAsia="zh-CN"/>
        </w:rPr>
        <w:t>三、排放标准</w:t>
      </w:r>
    </w:p>
    <w:p w14:paraId="299A0292">
      <w:pPr>
        <w:keepNext w:val="0"/>
        <w:keepLines w:val="0"/>
        <w:pageBreakBefore w:val="0"/>
        <w:kinsoku/>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cs="仿宋_GB2312"/>
          <w:strike w:val="0"/>
          <w:dstrike w:val="0"/>
          <w:color w:val="auto"/>
          <w:sz w:val="32"/>
          <w:szCs w:val="32"/>
          <w:lang w:val="en-US" w:eastAsia="zh-CN"/>
        </w:rPr>
        <w:t>（一）</w:t>
      </w:r>
      <w:r>
        <w:rPr>
          <w:rFonts w:hint="eastAsia" w:ascii="仿宋_GB2312" w:hAnsi="仿宋_GB2312" w:eastAsia="仿宋_GB2312" w:cs="仿宋_GB2312"/>
          <w:b/>
          <w:bCs/>
          <w:sz w:val="32"/>
          <w:szCs w:val="32"/>
        </w:rPr>
        <w:t>废气。</w:t>
      </w:r>
      <w:r>
        <w:rPr>
          <w:rFonts w:hint="eastAsia" w:ascii="仿宋_GB2312" w:hAnsi="仿宋_GB2312" w:eastAsia="仿宋_GB2312" w:cs="仿宋_GB2312"/>
          <w:sz w:val="32"/>
          <w:szCs w:val="32"/>
        </w:rPr>
        <w:t>施工期扬尘执行《大气污染物综合排放标准》(GB16297-1996)表2中相应的无组织排放监控浓度限值；水泥筒仓等及搅拌系统排放的粉尘废气执行《水泥工业大气污染物排放标准》（GB 4915-2013）及其修改单表2中大气污染物特别排放限值要求；拌和站粉尘废气无组织排放同时执行GB 4915-2013中表3排放限值和福建省地方标准《水泥工业大气污染物排放标准》（DB35/ 1311-2013）中表3排放限值要求。</w:t>
      </w:r>
    </w:p>
    <w:p w14:paraId="2218DD82">
      <w:pPr>
        <w:keepNext w:val="0"/>
        <w:keepLines w:val="0"/>
        <w:pageBreakBefore w:val="0"/>
        <w:widowControl/>
        <w:kinsoku/>
        <w:overflowPunct/>
        <w:topLinePunct w:val="0"/>
        <w:autoSpaceDE/>
        <w:autoSpaceDN/>
        <w:bidi w:val="0"/>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cs="仿宋_GB2312"/>
          <w:b/>
          <w:bCs/>
          <w:sz w:val="32"/>
          <w:szCs w:val="32"/>
          <w:lang w:eastAsia="zh-CN"/>
        </w:rPr>
        <w:t>（二）</w:t>
      </w:r>
      <w:r>
        <w:rPr>
          <w:rFonts w:hint="eastAsia" w:ascii="仿宋_GB2312" w:hAnsi="仿宋_GB2312" w:eastAsia="仿宋_GB2312" w:cs="仿宋_GB2312"/>
          <w:b/>
          <w:bCs/>
          <w:sz w:val="32"/>
          <w:szCs w:val="32"/>
        </w:rPr>
        <w:t>噪声。</w:t>
      </w:r>
      <w:r>
        <w:rPr>
          <w:rFonts w:hint="eastAsia" w:ascii="仿宋_GB2312" w:hAnsi="仿宋_GB2312" w:eastAsia="仿宋_GB2312" w:cs="仿宋_GB2312"/>
          <w:sz w:val="32"/>
          <w:szCs w:val="32"/>
        </w:rPr>
        <w:t>施工期场界噪声排放执行《建筑施工噪声排放标准》（GB12523-2025）排放限值。根据《声环境质量标准》（GB 3096-2008），项目所在区域声环境执行GB 3096-2008中2类标准，其中贵尊苑临贵江路一侧声环境执行GB 3096-2008中4a类标准。运营期</w:t>
      </w:r>
      <w:r>
        <w:rPr>
          <w:rFonts w:ascii="仿宋_GB2312" w:hAnsi="仿宋_GB2312" w:eastAsia="仿宋_GB2312" w:cs="仿宋_GB2312"/>
          <w:sz w:val="32"/>
          <w:szCs w:val="32"/>
        </w:rPr>
        <w:t>沿线声环境执行《声环境质量标准》（GB 3096-2008）中</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类标准</w:t>
      </w:r>
      <w:r>
        <w:rPr>
          <w:rFonts w:hint="eastAsia" w:ascii="仿宋_GB2312" w:hAnsi="仿宋_GB2312" w:eastAsia="仿宋_GB2312" w:cs="仿宋_GB2312"/>
          <w:sz w:val="32"/>
          <w:szCs w:val="32"/>
        </w:rPr>
        <w:t>（临街建筑以高于三层楼房以上(含三层)的建筑为主，第一排建筑物面向街道一侧范围内执行4a类标准;临街建筑以低于三层楼房(含开阔地)的建筑为主，相邻区域为2类声环境功能区，道路边界外35米范围内执行4a类标准)。</w:t>
      </w:r>
    </w:p>
    <w:p w14:paraId="04BCA989">
      <w:pPr>
        <w:keepNext w:val="0"/>
        <w:keepLines w:val="0"/>
        <w:pageBreakBefore w:val="0"/>
        <w:widowControl/>
        <w:kinsoku/>
        <w:overflowPunct/>
        <w:topLinePunct w:val="0"/>
        <w:autoSpaceDE/>
        <w:autoSpaceDN/>
        <w:bidi w:val="0"/>
        <w:adjustRightInd/>
        <w:snapToGrid/>
        <w:spacing w:line="560" w:lineRule="exact"/>
        <w:ind w:right="0" w:rightChars="0" w:firstLine="643" w:firstLineChars="200"/>
        <w:textAlignment w:val="auto"/>
        <w:rPr>
          <w:rFonts w:hint="default" w:ascii="仿宋_GB2312" w:hAnsi="仿宋_GB2312" w:eastAsia="仿宋_GB2312" w:cs="仿宋_GB2312"/>
          <w:strike w:val="0"/>
          <w:dstrike w:val="0"/>
          <w:color w:val="FF0000"/>
          <w:sz w:val="32"/>
          <w:szCs w:val="32"/>
          <w:lang w:eastAsia="zh-CN"/>
        </w:rPr>
      </w:pPr>
      <w:r>
        <w:rPr>
          <w:rFonts w:hint="eastAsia" w:cs="仿宋_GB2312"/>
          <w:b/>
          <w:bCs/>
          <w:sz w:val="32"/>
          <w:szCs w:val="32"/>
          <w:lang w:eastAsia="zh-CN"/>
        </w:rPr>
        <w:t>（三）</w:t>
      </w:r>
      <w:r>
        <w:rPr>
          <w:rFonts w:hint="eastAsia" w:ascii="仿宋_GB2312" w:hAnsi="仿宋_GB2312" w:eastAsia="仿宋_GB2312" w:cs="仿宋_GB2312"/>
          <w:b/>
          <w:bCs/>
          <w:sz w:val="32"/>
          <w:szCs w:val="32"/>
        </w:rPr>
        <w:t>固废。</w:t>
      </w:r>
      <w:r>
        <w:rPr>
          <w:rFonts w:hint="eastAsia" w:ascii="仿宋_GB2312" w:hAnsi="仿宋_GB2312" w:eastAsia="仿宋_GB2312" w:cs="仿宋_GB2312"/>
          <w:sz w:val="32"/>
          <w:szCs w:val="32"/>
        </w:rPr>
        <w:t>施工过程产生的固体废物贮存、处置执行《一般工业固体废物贮存和填埋污染控制标准》（GB 18599-2020）中相关规定；危险废物贮存、处置执行《危险废物贮存污染控制标准》（GB 18597-2023）的要求。</w:t>
      </w:r>
    </w:p>
    <w:p w14:paraId="7154B190">
      <w:pPr>
        <w:keepNext w:val="0"/>
        <w:keepLines w:val="0"/>
        <w:pageBreakBefore w:val="0"/>
        <w:widowControl w:val="0"/>
        <w:kinsoku/>
        <w:overflowPunct/>
        <w:topLinePunct w:val="0"/>
        <w:autoSpaceDE/>
        <w:autoSpaceDN/>
        <w:bidi w:val="0"/>
        <w:adjustRightInd/>
        <w:snapToGrid/>
        <w:spacing w:line="560" w:lineRule="exact"/>
        <w:ind w:right="0" w:rightChars="0"/>
        <w:textAlignment w:val="auto"/>
        <w:rPr>
          <w:rFonts w:hint="eastAsia"/>
          <w:lang w:val="en-US" w:eastAsia="zh-CN"/>
        </w:rPr>
      </w:pPr>
      <w:r>
        <w:rPr>
          <w:rFonts w:hint="eastAsia"/>
          <w:lang w:val="en-US" w:eastAsia="zh-CN"/>
        </w:rPr>
        <w:t>四、《报告书》批准后，</w:t>
      </w:r>
      <w:r>
        <w:rPr>
          <w:rFonts w:hint="eastAsia"/>
          <w:lang w:eastAsia="zh-CN"/>
        </w:rPr>
        <w:t>如建设项目的性质、规模、地点、采用的生产工艺或者防治污染、防止生态破坏的措施发生重大变动的，应当依法重新报批项目环评。《报告</w:t>
      </w:r>
      <w:r>
        <w:rPr>
          <w:rFonts w:hint="eastAsia"/>
          <w:lang w:val="en-US" w:eastAsia="zh-CN"/>
        </w:rPr>
        <w:t>书</w:t>
      </w:r>
      <w:r>
        <w:rPr>
          <w:rFonts w:hint="eastAsia"/>
          <w:lang w:eastAsia="zh-CN"/>
        </w:rPr>
        <w:t>》自批准之日起满5年，方开工建设的，项目环评应当依法报我局重新审核。</w:t>
      </w:r>
    </w:p>
    <w:p w14:paraId="36291E2A">
      <w:pPr>
        <w:keepNext w:val="0"/>
        <w:keepLines w:val="0"/>
        <w:pageBreakBefore w:val="0"/>
        <w:widowControl w:val="0"/>
        <w:kinsoku/>
        <w:overflowPunct/>
        <w:topLinePunct w:val="0"/>
        <w:autoSpaceDE/>
        <w:autoSpaceDN/>
        <w:bidi w:val="0"/>
        <w:adjustRightInd/>
        <w:snapToGrid/>
        <w:spacing w:line="560" w:lineRule="exact"/>
        <w:ind w:right="0" w:rightChars="0"/>
        <w:textAlignment w:val="auto"/>
        <w:rPr>
          <w:rFonts w:hint="eastAsia"/>
          <w:lang w:val="en-US" w:eastAsia="zh-CN"/>
        </w:rPr>
      </w:pPr>
      <w:r>
        <w:rPr>
          <w:rFonts w:hint="eastAsia"/>
          <w:lang w:val="en-US" w:eastAsia="zh-CN"/>
        </w:rPr>
        <w:t>五、</w:t>
      </w:r>
      <w:r>
        <w:rPr>
          <w:rFonts w:hint="eastAsia"/>
          <w:lang w:eastAsia="zh-CN"/>
        </w:rPr>
        <w:t>项目应加强环境管理，推进落实各项生态环境保护措施。</w:t>
      </w:r>
      <w:r>
        <w:rPr>
          <w:rFonts w:hint="eastAsia"/>
        </w:rPr>
        <w:t>严格执行</w:t>
      </w:r>
      <w:r>
        <w:rPr>
          <w:rFonts w:hint="eastAsia"/>
          <w:lang w:eastAsia="zh-CN"/>
        </w:rPr>
        <w:t>环境保护</w:t>
      </w:r>
      <w:r>
        <w:rPr>
          <w:rFonts w:hint="eastAsia"/>
        </w:rPr>
        <w:t>“三同时”制度</w:t>
      </w:r>
      <w:r>
        <w:rPr>
          <w:rFonts w:hint="eastAsia"/>
          <w:lang w:eastAsia="zh-CN"/>
        </w:rPr>
        <w:t>，加强施工期环境管理。</w:t>
      </w:r>
      <w:r>
        <w:rPr>
          <w:rFonts w:hint="eastAsia"/>
        </w:rPr>
        <w:t>竣工</w:t>
      </w:r>
      <w:r>
        <w:rPr>
          <w:rFonts w:hint="eastAsia"/>
          <w:lang w:eastAsia="zh-CN"/>
        </w:rPr>
        <w:t>后应按规定程序实施</w:t>
      </w:r>
      <w:r>
        <w:rPr>
          <w:rFonts w:hint="eastAsia"/>
        </w:rPr>
        <w:t>竣工环境保护验收。</w:t>
      </w:r>
    </w:p>
    <w:p w14:paraId="3214815F">
      <w:pPr>
        <w:keepNext w:val="0"/>
        <w:keepLines w:val="0"/>
        <w:pageBreakBefore w:val="0"/>
        <w:widowControl w:val="0"/>
        <w:kinsoku/>
        <w:overflowPunct/>
        <w:topLinePunct w:val="0"/>
        <w:autoSpaceDE/>
        <w:autoSpaceDN/>
        <w:bidi w:val="0"/>
        <w:adjustRightInd/>
        <w:snapToGrid/>
        <w:spacing w:line="560" w:lineRule="exact"/>
        <w:ind w:right="0" w:rightChars="0"/>
        <w:textAlignment w:val="auto"/>
        <w:rPr>
          <w:rFonts w:hint="eastAsia"/>
          <w:highlight w:val="none"/>
        </w:rPr>
      </w:pPr>
      <w:r>
        <w:rPr>
          <w:rFonts w:hint="eastAsia"/>
          <w:lang w:val="en-US" w:eastAsia="zh-CN"/>
        </w:rPr>
        <w:t>六、我局委托福州市生态环境保护综合执法支队开展该项目环保“三同时”监督检查，</w:t>
      </w:r>
      <w:r>
        <w:rPr>
          <w:rFonts w:hint="eastAsia"/>
          <w:color w:val="auto"/>
          <w:highlight w:val="none"/>
          <w:lang w:val="en-US" w:eastAsia="zh-CN"/>
        </w:rPr>
        <w:t>竣工后，</w:t>
      </w:r>
      <w:r>
        <w:rPr>
          <w:rFonts w:hint="eastAsia"/>
          <w:lang w:val="en-US" w:eastAsia="zh-CN"/>
        </w:rPr>
        <w:t>由</w:t>
      </w:r>
      <w:r>
        <w:rPr>
          <w:rFonts w:hint="eastAsia"/>
          <w:highlight w:val="none"/>
          <w:lang w:val="en-US" w:eastAsia="zh-CN"/>
        </w:rPr>
        <w:t>福州市连江生态环境局</w:t>
      </w:r>
      <w:r>
        <w:rPr>
          <w:rFonts w:hint="eastAsia"/>
          <w:lang w:val="en-US" w:eastAsia="zh-CN"/>
        </w:rPr>
        <w:t>负责该项目日常环保监督管理工作。</w:t>
      </w:r>
    </w:p>
    <w:p w14:paraId="4B024EA0">
      <w:pPr>
        <w:keepNext w:val="0"/>
        <w:keepLines w:val="0"/>
        <w:pageBreakBefore w:val="0"/>
        <w:widowControl w:val="0"/>
        <w:tabs>
          <w:tab w:val="left" w:pos="3885"/>
        </w:tab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highlight w:val="none"/>
        </w:rPr>
      </w:pPr>
    </w:p>
    <w:p w14:paraId="38A42028">
      <w:pPr>
        <w:keepNext w:val="0"/>
        <w:keepLines w:val="0"/>
        <w:pageBreakBefore w:val="0"/>
        <w:widowControl w:val="0"/>
        <w:kinsoku/>
        <w:wordWrap w:val="0"/>
        <w:overflowPunct/>
        <w:topLinePunct w:val="0"/>
        <w:autoSpaceDE/>
        <w:autoSpaceDN/>
        <w:bidi w:val="0"/>
        <w:adjustRightInd/>
        <w:snapToGrid/>
        <w:spacing w:line="560" w:lineRule="exact"/>
        <w:ind w:right="0" w:rightChars="0"/>
        <w:jc w:val="right"/>
        <w:textAlignment w:val="auto"/>
        <w:rPr>
          <w:rFonts w:hint="eastAsia"/>
          <w:highlight w:val="none"/>
          <w:lang w:val="en-US" w:eastAsia="zh-CN"/>
        </w:rPr>
      </w:pPr>
      <w:r>
        <w:rPr>
          <w:rFonts w:hint="eastAsia"/>
          <w:highlight w:val="none"/>
        </w:rPr>
        <w:t>福州市</w:t>
      </w:r>
      <w:r>
        <w:rPr>
          <w:rFonts w:hint="eastAsia"/>
          <w:highlight w:val="none"/>
          <w:lang w:eastAsia="zh-CN"/>
        </w:rPr>
        <w:t>生态环境局</w:t>
      </w:r>
      <w:r>
        <w:rPr>
          <w:rFonts w:hint="eastAsia"/>
          <w:highlight w:val="none"/>
          <w:lang w:val="en-US" w:eastAsia="zh-CN"/>
        </w:rPr>
        <w:t xml:space="preserve">        </w:t>
      </w:r>
    </w:p>
    <w:p w14:paraId="085E8767">
      <w:pPr>
        <w:keepNext w:val="0"/>
        <w:keepLines w:val="0"/>
        <w:pageBreakBefore w:val="0"/>
        <w:widowControl w:val="0"/>
        <w:kinsoku/>
        <w:wordWrap w:val="0"/>
        <w:overflowPunct/>
        <w:topLinePunct w:val="0"/>
        <w:autoSpaceDE/>
        <w:autoSpaceDN/>
        <w:bidi w:val="0"/>
        <w:adjustRightInd/>
        <w:snapToGrid/>
        <w:spacing w:line="560" w:lineRule="exact"/>
        <w:ind w:right="0" w:rightChars="0"/>
        <w:jc w:val="right"/>
        <w:textAlignment w:val="auto"/>
        <w:rPr>
          <w:rFonts w:hint="eastAsia"/>
          <w:highlight w:val="none"/>
          <w:lang w:val="en-US" w:eastAsia="zh-CN"/>
        </w:rPr>
      </w:pPr>
      <w:r>
        <w:rPr>
          <w:rFonts w:hint="eastAsia"/>
          <w:highlight w:val="none"/>
        </w:rPr>
        <w:t>20</w:t>
      </w:r>
      <w:r>
        <w:rPr>
          <w:rFonts w:hint="eastAsia"/>
          <w:highlight w:val="none"/>
          <w:lang w:val="en-US" w:eastAsia="zh-CN"/>
        </w:rPr>
        <w:t>26</w:t>
      </w:r>
      <w:r>
        <w:rPr>
          <w:rFonts w:hint="eastAsia"/>
          <w:highlight w:val="none"/>
        </w:rPr>
        <w:t>年</w:t>
      </w:r>
      <w:r>
        <w:rPr>
          <w:rFonts w:hint="eastAsia"/>
          <w:highlight w:val="none"/>
          <w:lang w:val="en-US" w:eastAsia="zh-CN"/>
        </w:rPr>
        <w:t>6</w:t>
      </w:r>
      <w:r>
        <w:rPr>
          <w:rFonts w:hint="eastAsia"/>
          <w:color w:val="auto"/>
          <w:highlight w:val="none"/>
        </w:rPr>
        <w:t>月</w:t>
      </w:r>
      <w:r>
        <w:rPr>
          <w:rFonts w:hint="eastAsia"/>
          <w:color w:val="auto"/>
          <w:highlight w:val="none"/>
          <w:lang w:val="en-US" w:eastAsia="zh-CN"/>
        </w:rPr>
        <w:t>29</w:t>
      </w:r>
      <w:r>
        <w:rPr>
          <w:rFonts w:hint="eastAsia"/>
          <w:color w:val="auto"/>
          <w:highlight w:val="none"/>
        </w:rPr>
        <w:t>日</w:t>
      </w:r>
      <w:r>
        <w:rPr>
          <w:rFonts w:hint="eastAsia"/>
          <w:color w:val="FF0000"/>
          <w:highlight w:val="none"/>
          <w:lang w:val="en-US" w:eastAsia="zh-CN"/>
        </w:rPr>
        <w:t xml:space="preserve"> </w:t>
      </w:r>
      <w:r>
        <w:rPr>
          <w:rFonts w:hint="eastAsia"/>
          <w:highlight w:val="none"/>
          <w:lang w:val="en-US" w:eastAsia="zh-CN"/>
        </w:rPr>
        <w:t xml:space="preserve">       </w:t>
      </w:r>
    </w:p>
    <w:tbl>
      <w:tblPr>
        <w:tblStyle w:val="18"/>
        <w:tblpPr w:horzAnchor="margin" w:tblpX="1" w:tblpYSpec="bottom"/>
        <w:tblOverlap w:val="never"/>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316"/>
        <w:gridCol w:w="3274"/>
        <w:gridCol w:w="4589"/>
      </w:tblGrid>
      <w:tr w14:paraId="23F38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37" w:hRule="atLeast"/>
        </w:trPr>
        <w:tc>
          <w:tcPr>
            <w:tcW w:w="717" w:type="pct"/>
            <w:tcBorders>
              <w:left w:val="nil"/>
              <w:right w:val="nil"/>
            </w:tcBorders>
            <w:noWrap w:val="0"/>
            <w:vAlign w:val="top"/>
          </w:tcPr>
          <w:p w14:paraId="58661F79">
            <w:pPr>
              <w:pStyle w:val="24"/>
              <w:keepNext w:val="0"/>
              <w:keepLines w:val="0"/>
              <w:pageBreakBefore w:val="0"/>
              <w:widowControl w:val="0"/>
              <w:kinsoku/>
              <w:overflowPunct/>
              <w:topLinePunct w:val="0"/>
              <w:autoSpaceDE/>
              <w:autoSpaceDN/>
              <w:bidi w:val="0"/>
              <w:adjustRightInd/>
              <w:snapToGrid/>
              <w:spacing w:line="560" w:lineRule="atLeast"/>
              <w:ind w:firstLine="280" w:firstLineChars="100"/>
              <w:jc w:val="left"/>
              <w:textAlignment w:val="auto"/>
              <w:rPr>
                <w:rFonts w:hint="eastAsia"/>
                <w:sz w:val="28"/>
                <w:szCs w:val="28"/>
                <w:highlight w:val="none"/>
                <w:lang w:val="en-US" w:eastAsia="zh-CN"/>
              </w:rPr>
            </w:pPr>
            <w:r>
              <w:rPr>
                <w:rFonts w:hint="eastAsia"/>
                <w:sz w:val="28"/>
                <w:szCs w:val="28"/>
                <w:highlight w:val="none"/>
              </w:rPr>
              <w:t>抄送：</w:t>
            </w:r>
          </w:p>
        </w:tc>
        <w:tc>
          <w:tcPr>
            <w:tcW w:w="4282" w:type="pct"/>
            <w:gridSpan w:val="2"/>
            <w:tcBorders>
              <w:left w:val="nil"/>
              <w:right w:val="nil"/>
            </w:tcBorders>
            <w:noWrap w:val="0"/>
            <w:vAlign w:val="top"/>
          </w:tcPr>
          <w:p w14:paraId="05A16374">
            <w:pPr>
              <w:pStyle w:val="24"/>
              <w:keepNext w:val="0"/>
              <w:keepLines w:val="0"/>
              <w:pageBreakBefore w:val="0"/>
              <w:widowControl w:val="0"/>
              <w:kinsoku/>
              <w:overflowPunct/>
              <w:topLinePunct w:val="0"/>
              <w:autoSpaceDE/>
              <w:autoSpaceDN/>
              <w:bidi w:val="0"/>
              <w:adjustRightInd/>
              <w:snapToGrid/>
              <w:spacing w:line="560" w:lineRule="atLeast"/>
              <w:textAlignment w:val="auto"/>
              <w:rPr>
                <w:rFonts w:hint="eastAsia"/>
                <w:sz w:val="28"/>
                <w:szCs w:val="28"/>
                <w:highlight w:val="none"/>
                <w:lang w:val="en-US" w:eastAsia="zh-CN"/>
              </w:rPr>
            </w:pPr>
            <w:r>
              <w:rPr>
                <w:rFonts w:hint="eastAsia"/>
                <w:sz w:val="28"/>
                <w:szCs w:val="28"/>
                <w:highlight w:val="none"/>
                <w:lang w:eastAsia="zh-CN"/>
              </w:rPr>
              <w:t>局水处、大气处，</w:t>
            </w:r>
            <w:r>
              <w:rPr>
                <w:rFonts w:hint="eastAsia"/>
                <w:sz w:val="28"/>
                <w:szCs w:val="28"/>
                <w:highlight w:val="none"/>
              </w:rPr>
              <w:t>福州市生态环境保护综合执法支队，福州市环境影响评价技术中心，福州市</w:t>
            </w:r>
            <w:r>
              <w:rPr>
                <w:rFonts w:hint="eastAsia"/>
                <w:sz w:val="28"/>
                <w:szCs w:val="28"/>
                <w:highlight w:val="none"/>
                <w:lang w:eastAsia="zh-CN"/>
              </w:rPr>
              <w:t>连江</w:t>
            </w:r>
            <w:r>
              <w:rPr>
                <w:rFonts w:hint="eastAsia"/>
                <w:sz w:val="28"/>
                <w:szCs w:val="28"/>
                <w:highlight w:val="none"/>
              </w:rPr>
              <w:t>生态环境局</w:t>
            </w:r>
            <w:r>
              <w:rPr>
                <w:rFonts w:hint="eastAsia"/>
                <w:sz w:val="28"/>
                <w:szCs w:val="28"/>
                <w:highlight w:val="none"/>
                <w:lang w:eastAsia="zh-CN"/>
              </w:rPr>
              <w:t>，福州闽涵环保工程有限公司。</w:t>
            </w:r>
          </w:p>
        </w:tc>
      </w:tr>
      <w:tr w14:paraId="731C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2500" w:type="pct"/>
            <w:gridSpan w:val="2"/>
            <w:tcBorders>
              <w:left w:val="nil"/>
              <w:right w:val="nil"/>
            </w:tcBorders>
            <w:noWrap w:val="0"/>
            <w:vAlign w:val="top"/>
          </w:tcPr>
          <w:p w14:paraId="79EC4DC6">
            <w:pPr>
              <w:pStyle w:val="24"/>
              <w:keepNext w:val="0"/>
              <w:keepLines w:val="0"/>
              <w:pageBreakBefore w:val="0"/>
              <w:widowControl w:val="0"/>
              <w:kinsoku/>
              <w:overflowPunct/>
              <w:topLinePunct w:val="0"/>
              <w:autoSpaceDE/>
              <w:autoSpaceDN/>
              <w:bidi w:val="0"/>
              <w:adjustRightInd/>
              <w:snapToGrid/>
              <w:spacing w:line="560" w:lineRule="atLeast"/>
              <w:ind w:firstLine="280" w:firstLineChars="100"/>
              <w:textAlignment w:val="auto"/>
              <w:rPr>
                <w:rFonts w:hint="eastAsia"/>
                <w:sz w:val="28"/>
                <w:szCs w:val="28"/>
                <w:highlight w:val="none"/>
                <w:lang w:val="en-US" w:eastAsia="zh-CN"/>
              </w:rPr>
            </w:pPr>
            <w:r>
              <w:rPr>
                <w:rFonts w:hint="eastAsia"/>
                <w:sz w:val="28"/>
                <w:szCs w:val="28"/>
                <w:highlight w:val="none"/>
              </w:rPr>
              <w:t>福州市</w:t>
            </w:r>
            <w:r>
              <w:rPr>
                <w:rFonts w:hint="eastAsia"/>
                <w:sz w:val="28"/>
                <w:szCs w:val="28"/>
                <w:highlight w:val="none"/>
                <w:lang w:eastAsia="zh-CN"/>
              </w:rPr>
              <w:t>生态环境</w:t>
            </w:r>
            <w:r>
              <w:rPr>
                <w:rFonts w:hint="eastAsia"/>
                <w:sz w:val="28"/>
                <w:szCs w:val="28"/>
                <w:highlight w:val="none"/>
              </w:rPr>
              <w:t>局</w:t>
            </w:r>
          </w:p>
        </w:tc>
        <w:tc>
          <w:tcPr>
            <w:tcW w:w="2499" w:type="pct"/>
            <w:tcBorders>
              <w:left w:val="nil"/>
              <w:right w:val="nil"/>
            </w:tcBorders>
            <w:noWrap w:val="0"/>
            <w:vAlign w:val="top"/>
          </w:tcPr>
          <w:p w14:paraId="3D2BF521">
            <w:pPr>
              <w:pStyle w:val="24"/>
              <w:keepNext w:val="0"/>
              <w:keepLines w:val="0"/>
              <w:pageBreakBefore w:val="0"/>
              <w:widowControl w:val="0"/>
              <w:kinsoku/>
              <w:overflowPunct/>
              <w:topLinePunct w:val="0"/>
              <w:autoSpaceDE/>
              <w:autoSpaceDN/>
              <w:bidi w:val="0"/>
              <w:adjustRightInd/>
              <w:snapToGrid/>
              <w:spacing w:line="560" w:lineRule="atLeast"/>
              <w:jc w:val="right"/>
              <w:textAlignment w:val="auto"/>
              <w:rPr>
                <w:rFonts w:hint="eastAsia" w:eastAsia="仿宋_GB2312"/>
                <w:sz w:val="28"/>
                <w:szCs w:val="28"/>
                <w:highlight w:val="none"/>
                <w:lang w:val="en-US" w:eastAsia="zh-CN"/>
              </w:rPr>
            </w:pPr>
            <w:r>
              <w:rPr>
                <w:rFonts w:hint="eastAsia"/>
                <w:sz w:val="28"/>
                <w:szCs w:val="28"/>
                <w:highlight w:val="none"/>
              </w:rPr>
              <w:t>202</w:t>
            </w:r>
            <w:r>
              <w:rPr>
                <w:rFonts w:hint="eastAsia"/>
                <w:sz w:val="28"/>
                <w:szCs w:val="28"/>
                <w:highlight w:val="none"/>
                <w:lang w:val="en-US" w:eastAsia="zh-CN"/>
              </w:rPr>
              <w:t>6</w:t>
            </w:r>
            <w:r>
              <w:rPr>
                <w:rFonts w:hint="eastAsia"/>
                <w:sz w:val="28"/>
                <w:szCs w:val="28"/>
                <w:highlight w:val="none"/>
              </w:rPr>
              <w:t>年</w:t>
            </w:r>
            <w:r>
              <w:rPr>
                <w:rFonts w:hint="eastAsia"/>
                <w:sz w:val="28"/>
                <w:szCs w:val="28"/>
                <w:highlight w:val="none"/>
                <w:lang w:val="en-US" w:eastAsia="zh-CN"/>
              </w:rPr>
              <w:t>6</w:t>
            </w:r>
            <w:r>
              <w:rPr>
                <w:rFonts w:hint="eastAsia"/>
                <w:color w:val="auto"/>
                <w:sz w:val="28"/>
                <w:szCs w:val="28"/>
                <w:highlight w:val="none"/>
              </w:rPr>
              <w:t>月</w:t>
            </w:r>
            <w:r>
              <w:rPr>
                <w:rFonts w:hint="eastAsia"/>
                <w:color w:val="auto"/>
                <w:sz w:val="28"/>
                <w:szCs w:val="28"/>
                <w:highlight w:val="none"/>
                <w:lang w:val="en-US" w:eastAsia="zh-CN"/>
              </w:rPr>
              <w:t>29</w:t>
            </w:r>
            <w:bookmarkStart w:id="0" w:name="_GoBack"/>
            <w:bookmarkEnd w:id="0"/>
            <w:r>
              <w:rPr>
                <w:rFonts w:hint="eastAsia"/>
                <w:color w:val="auto"/>
                <w:sz w:val="28"/>
                <w:szCs w:val="28"/>
                <w:highlight w:val="none"/>
              </w:rPr>
              <w:t>日</w:t>
            </w:r>
            <w:r>
              <w:rPr>
                <w:rFonts w:hint="eastAsia"/>
                <w:sz w:val="28"/>
                <w:szCs w:val="28"/>
                <w:highlight w:val="none"/>
              </w:rPr>
              <w:t>印发</w:t>
            </w:r>
            <w:r>
              <w:rPr>
                <w:rFonts w:hint="eastAsia"/>
                <w:sz w:val="28"/>
                <w:szCs w:val="28"/>
                <w:highlight w:val="none"/>
                <w:lang w:val="en-US" w:eastAsia="zh-CN"/>
              </w:rPr>
              <w:t xml:space="preserve">  </w:t>
            </w:r>
          </w:p>
        </w:tc>
      </w:tr>
    </w:tbl>
    <w:p w14:paraId="4387C3C5">
      <w:pPr>
        <w:keepNext w:val="0"/>
        <w:keepLines w:val="0"/>
        <w:pageBreakBefore w:val="0"/>
        <w:widowControl w:val="0"/>
        <w:numPr>
          <w:ilvl w:val="-1"/>
          <w:numId w:val="0"/>
        </w:numPr>
        <w:kinsoku/>
        <w:wordWrap/>
        <w:overflowPunct/>
        <w:topLinePunct w:val="0"/>
        <w:autoSpaceDE/>
        <w:autoSpaceDN/>
        <w:bidi w:val="0"/>
        <w:adjustRightInd/>
        <w:snapToGrid w:val="0"/>
        <w:spacing w:line="520" w:lineRule="atLeast"/>
        <w:ind w:right="0" w:rightChars="0" w:firstLine="0" w:firstLineChars="0"/>
        <w:jc w:val="both"/>
        <w:textAlignment w:val="auto"/>
        <w:rPr>
          <w:rFonts w:hint="eastAsia"/>
          <w:color w:val="000000"/>
          <w:sz w:val="28"/>
          <w:szCs w:val="28"/>
          <w:highlight w:val="none"/>
          <w:u w:val="none"/>
          <w:lang w:val="en-US" w:eastAsia="zh-CN"/>
        </w:rPr>
      </w:pPr>
    </w:p>
    <w:sectPr>
      <w:footerReference r:id="rId5" w:type="default"/>
      <w:footerReference r:id="rId6" w:type="even"/>
      <w:pgSz w:w="11906" w:h="16838"/>
      <w:pgMar w:top="1417" w:right="1417" w:bottom="1417" w:left="1417" w:header="851" w:footer="850"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A00002EF" w:usb1="4000207B" w:usb2="00000000" w:usb3="00000000" w:csb0="2000019F" w:csb1="00000000"/>
  </w:font>
  <w:font w:name="方正小标宋_GBK">
    <w:panose1 w:val="02000000000000000000"/>
    <w:charset w:val="86"/>
    <w:family w:val="auto"/>
    <w:pitch w:val="default"/>
    <w:sig w:usb0="A00002BF" w:usb1="38CF7CFA" w:usb2="00082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D034F">
    <w:pPr>
      <w:tabs>
        <w:tab w:val="center" w:pos="4153"/>
        <w:tab w:val="right" w:pos="8306"/>
      </w:tabs>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3E9A0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83E9A0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76332">
    <w:pPr>
      <w:framePr w:wrap="around" w:vAnchor="text" w:hAnchor="margin" w:xAlign="center" w:y="1"/>
      <w:tabs>
        <w:tab w:val="center" w:pos="4153"/>
        <w:tab w:val="right" w:pos="8306"/>
      </w:tabs>
    </w:pPr>
    <w:r>
      <w:fldChar w:fldCharType="begin"/>
    </w:r>
    <w:r>
      <w:instrText xml:space="preserve">PAGE  </w:instrText>
    </w:r>
    <w:r>
      <w:fldChar w:fldCharType="end"/>
    </w:r>
  </w:p>
  <w:p w14:paraId="15914E8D">
    <w:pPr>
      <w:tabs>
        <w:tab w:val="center" w:pos="4153"/>
        <w:tab w:val="right"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132AC9"/>
    <w:multiLevelType w:val="multilevel"/>
    <w:tmpl w:val="41132AC9"/>
    <w:lvl w:ilvl="0" w:tentative="0">
      <w:start w:val="1"/>
      <w:numFmt w:val="decimal"/>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b/>
      </w:rPr>
    </w:lvl>
    <w:lvl w:ilvl="2" w:tentative="0">
      <w:start w:val="1"/>
      <w:numFmt w:val="decimal"/>
      <w:suff w:val="space"/>
      <w:lvlText w:val="%1.%2.%3"/>
      <w:lvlJc w:val="left"/>
      <w:pPr>
        <w:ind w:left="0" w:firstLine="0"/>
      </w:pPr>
      <w:rPr>
        <w:rFonts w:hint="eastAsia"/>
        <w:b/>
        <w:bCs w:val="0"/>
        <w:i w:val="0"/>
        <w:iCs w:val="0"/>
        <w:caps w:val="0"/>
        <w:smallCaps w:val="0"/>
        <w:strike w:val="0"/>
        <w:dstrike w:val="0"/>
        <w:color w:val="000000"/>
        <w:spacing w:val="0"/>
        <w:position w:val="0"/>
        <w:u w:val="none"/>
      </w:rPr>
    </w:lvl>
    <w:lvl w:ilvl="3" w:tentative="0">
      <w:start w:val="1"/>
      <w:numFmt w:val="decimal"/>
      <w:pStyle w:val="7"/>
      <w:suff w:val="space"/>
      <w:lvlText w:val="%1.%2.%3.%4"/>
      <w:lvlJc w:val="left"/>
      <w:pPr>
        <w:ind w:left="0" w:firstLine="0"/>
      </w:pPr>
      <w:rPr>
        <w:rFonts w:hint="eastAsia" w:ascii="Times New Roman" w:hAnsi="Times New Roman" w:cs="Times New Roman"/>
        <w:b/>
        <w:bCs w:val="0"/>
        <w:i w:val="0"/>
        <w:iCs w:val="0"/>
        <w:caps w:val="0"/>
        <w:smallCaps w:val="0"/>
        <w:strike w:val="0"/>
        <w:dstrike w:val="0"/>
        <w:color w:val="000000"/>
        <w:spacing w:val="0"/>
        <w:position w:val="0"/>
        <w:u w:val="none"/>
      </w:rPr>
    </w:lvl>
    <w:lvl w:ilvl="4" w:tentative="0">
      <w:start w:val="1"/>
      <w:numFmt w:val="decimal"/>
      <w:lvlText w:val="%1.%2.%3.%4.%5"/>
      <w:lvlJc w:val="left"/>
      <w:pPr>
        <w:tabs>
          <w:tab w:val="left" w:pos="720"/>
        </w:tabs>
        <w:ind w:left="720" w:firstLine="0"/>
      </w:pPr>
      <w:rPr>
        <w:rFonts w:hint="eastAsia" w:ascii="Times New Roman" w:hAnsi="Times New Roman" w:cs="Times New Roman"/>
        <w:b w:val="0"/>
        <w:bCs w:val="0"/>
        <w:i w:val="0"/>
        <w:iCs w:val="0"/>
        <w:caps w:val="0"/>
        <w:smallCaps w:val="0"/>
        <w:strike w:val="0"/>
        <w:dstrike w:val="0"/>
        <w:color w:val="000000"/>
        <w:spacing w:val="0"/>
        <w:position w:val="0"/>
        <w:u w:val="none"/>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NDM5NTI3YTI2MzU0NTA3MzliODM2N2FlYTc2NjYifQ=="/>
  </w:docVars>
  <w:rsids>
    <w:rsidRoot w:val="00172A27"/>
    <w:rsid w:val="00285502"/>
    <w:rsid w:val="002D2788"/>
    <w:rsid w:val="00733C95"/>
    <w:rsid w:val="00DC19CB"/>
    <w:rsid w:val="012415C2"/>
    <w:rsid w:val="01423F24"/>
    <w:rsid w:val="017B4BBD"/>
    <w:rsid w:val="01A7022B"/>
    <w:rsid w:val="01D1680C"/>
    <w:rsid w:val="01D55B47"/>
    <w:rsid w:val="01EE5E5A"/>
    <w:rsid w:val="01F6165D"/>
    <w:rsid w:val="02034E19"/>
    <w:rsid w:val="02087A20"/>
    <w:rsid w:val="021C6C6C"/>
    <w:rsid w:val="02681D8C"/>
    <w:rsid w:val="02A91D81"/>
    <w:rsid w:val="02F373A7"/>
    <w:rsid w:val="03995481"/>
    <w:rsid w:val="03AD58A1"/>
    <w:rsid w:val="03CB7B24"/>
    <w:rsid w:val="043A5387"/>
    <w:rsid w:val="044C024B"/>
    <w:rsid w:val="044E3BDF"/>
    <w:rsid w:val="046E4052"/>
    <w:rsid w:val="04D706D5"/>
    <w:rsid w:val="04E87704"/>
    <w:rsid w:val="051316C9"/>
    <w:rsid w:val="05360CF3"/>
    <w:rsid w:val="05614C7A"/>
    <w:rsid w:val="059B31F8"/>
    <w:rsid w:val="05A9624A"/>
    <w:rsid w:val="05EA0EE8"/>
    <w:rsid w:val="05EC03F0"/>
    <w:rsid w:val="06911288"/>
    <w:rsid w:val="06F42B68"/>
    <w:rsid w:val="07627F61"/>
    <w:rsid w:val="07857BC5"/>
    <w:rsid w:val="07872AC0"/>
    <w:rsid w:val="07921E93"/>
    <w:rsid w:val="07A01A45"/>
    <w:rsid w:val="07E643A6"/>
    <w:rsid w:val="08067F20"/>
    <w:rsid w:val="08592B0D"/>
    <w:rsid w:val="08991F59"/>
    <w:rsid w:val="08D31906"/>
    <w:rsid w:val="08F70236"/>
    <w:rsid w:val="09017F7A"/>
    <w:rsid w:val="09290201"/>
    <w:rsid w:val="09682A4F"/>
    <w:rsid w:val="096F7A09"/>
    <w:rsid w:val="097525E3"/>
    <w:rsid w:val="09AE6015"/>
    <w:rsid w:val="09CD427B"/>
    <w:rsid w:val="09F31D9F"/>
    <w:rsid w:val="0A144C68"/>
    <w:rsid w:val="0A1F7296"/>
    <w:rsid w:val="0A374430"/>
    <w:rsid w:val="0A3C63D0"/>
    <w:rsid w:val="0A4F7B1C"/>
    <w:rsid w:val="0BD02354"/>
    <w:rsid w:val="0BE31698"/>
    <w:rsid w:val="0C312BFA"/>
    <w:rsid w:val="0C8073F8"/>
    <w:rsid w:val="0CA35B13"/>
    <w:rsid w:val="0D750F31"/>
    <w:rsid w:val="0DD45D4E"/>
    <w:rsid w:val="0E140D02"/>
    <w:rsid w:val="0E3A1F14"/>
    <w:rsid w:val="0E865C80"/>
    <w:rsid w:val="0EB47119"/>
    <w:rsid w:val="0EEC178F"/>
    <w:rsid w:val="0F0C76AB"/>
    <w:rsid w:val="0F7D61F5"/>
    <w:rsid w:val="0FC07E01"/>
    <w:rsid w:val="10262D87"/>
    <w:rsid w:val="105F163E"/>
    <w:rsid w:val="10960840"/>
    <w:rsid w:val="10C15A17"/>
    <w:rsid w:val="11EE50AB"/>
    <w:rsid w:val="12100067"/>
    <w:rsid w:val="12321614"/>
    <w:rsid w:val="12F82368"/>
    <w:rsid w:val="13095FB3"/>
    <w:rsid w:val="132F0080"/>
    <w:rsid w:val="13433851"/>
    <w:rsid w:val="136E2957"/>
    <w:rsid w:val="139042E6"/>
    <w:rsid w:val="1393060F"/>
    <w:rsid w:val="13CF3A9D"/>
    <w:rsid w:val="14115C0D"/>
    <w:rsid w:val="141C6857"/>
    <w:rsid w:val="14470016"/>
    <w:rsid w:val="14647F10"/>
    <w:rsid w:val="149C2744"/>
    <w:rsid w:val="14A95C11"/>
    <w:rsid w:val="14C40C02"/>
    <w:rsid w:val="14E56EB1"/>
    <w:rsid w:val="14E833C5"/>
    <w:rsid w:val="14EF6AF2"/>
    <w:rsid w:val="15202377"/>
    <w:rsid w:val="15353F94"/>
    <w:rsid w:val="15636A11"/>
    <w:rsid w:val="15864CBE"/>
    <w:rsid w:val="158B717A"/>
    <w:rsid w:val="15A30A8C"/>
    <w:rsid w:val="15AB0040"/>
    <w:rsid w:val="15F874A1"/>
    <w:rsid w:val="160B5ABA"/>
    <w:rsid w:val="16394E85"/>
    <w:rsid w:val="16590C32"/>
    <w:rsid w:val="16BF796D"/>
    <w:rsid w:val="16D60828"/>
    <w:rsid w:val="16E641C4"/>
    <w:rsid w:val="17203A97"/>
    <w:rsid w:val="17696FE0"/>
    <w:rsid w:val="177C2B6D"/>
    <w:rsid w:val="17914312"/>
    <w:rsid w:val="17B42592"/>
    <w:rsid w:val="17DD0A63"/>
    <w:rsid w:val="17F77252"/>
    <w:rsid w:val="18125C7A"/>
    <w:rsid w:val="18777AFA"/>
    <w:rsid w:val="188A223C"/>
    <w:rsid w:val="1892516D"/>
    <w:rsid w:val="18D766FA"/>
    <w:rsid w:val="194045ED"/>
    <w:rsid w:val="19763B91"/>
    <w:rsid w:val="19B17A41"/>
    <w:rsid w:val="19DD3EF8"/>
    <w:rsid w:val="19F73E81"/>
    <w:rsid w:val="1A8C2A62"/>
    <w:rsid w:val="1AF04599"/>
    <w:rsid w:val="1B0C5089"/>
    <w:rsid w:val="1B2F580A"/>
    <w:rsid w:val="1B3A4B23"/>
    <w:rsid w:val="1B676D5F"/>
    <w:rsid w:val="1B7B2A2A"/>
    <w:rsid w:val="1BAD4F54"/>
    <w:rsid w:val="1BB05AD7"/>
    <w:rsid w:val="1BE97638"/>
    <w:rsid w:val="1BF55770"/>
    <w:rsid w:val="1C06075E"/>
    <w:rsid w:val="1C3E3371"/>
    <w:rsid w:val="1C770AC4"/>
    <w:rsid w:val="1CA03525"/>
    <w:rsid w:val="1CAC3741"/>
    <w:rsid w:val="1D6762C4"/>
    <w:rsid w:val="1DB9579F"/>
    <w:rsid w:val="1DFB08D0"/>
    <w:rsid w:val="1E2A1857"/>
    <w:rsid w:val="1E6C5ADB"/>
    <w:rsid w:val="1EB55A71"/>
    <w:rsid w:val="1EC90F46"/>
    <w:rsid w:val="1EFA7794"/>
    <w:rsid w:val="1F165581"/>
    <w:rsid w:val="1F7040EE"/>
    <w:rsid w:val="1FC42DC7"/>
    <w:rsid w:val="1FFA3FF9"/>
    <w:rsid w:val="20027E8A"/>
    <w:rsid w:val="2060293B"/>
    <w:rsid w:val="20915ED7"/>
    <w:rsid w:val="209F7DAC"/>
    <w:rsid w:val="20D73A5A"/>
    <w:rsid w:val="21143B4C"/>
    <w:rsid w:val="21325C72"/>
    <w:rsid w:val="2137097C"/>
    <w:rsid w:val="21B749D0"/>
    <w:rsid w:val="21E81F4C"/>
    <w:rsid w:val="21FE726F"/>
    <w:rsid w:val="22057C02"/>
    <w:rsid w:val="2214244A"/>
    <w:rsid w:val="22181FF2"/>
    <w:rsid w:val="2224602D"/>
    <w:rsid w:val="225A7C8A"/>
    <w:rsid w:val="226002D5"/>
    <w:rsid w:val="22BA2122"/>
    <w:rsid w:val="22D54F67"/>
    <w:rsid w:val="23925D1D"/>
    <w:rsid w:val="23D37805"/>
    <w:rsid w:val="24756F00"/>
    <w:rsid w:val="247F4FF4"/>
    <w:rsid w:val="24D85EEB"/>
    <w:rsid w:val="255D78A2"/>
    <w:rsid w:val="25634F98"/>
    <w:rsid w:val="257974D5"/>
    <w:rsid w:val="25916AA4"/>
    <w:rsid w:val="25D65D28"/>
    <w:rsid w:val="260B587A"/>
    <w:rsid w:val="26117FA0"/>
    <w:rsid w:val="262275D1"/>
    <w:rsid w:val="263C1438"/>
    <w:rsid w:val="26D74631"/>
    <w:rsid w:val="26E0338E"/>
    <w:rsid w:val="26EC2707"/>
    <w:rsid w:val="270D7D6E"/>
    <w:rsid w:val="271B2112"/>
    <w:rsid w:val="273D3CE1"/>
    <w:rsid w:val="273F2C22"/>
    <w:rsid w:val="273F5085"/>
    <w:rsid w:val="27777B13"/>
    <w:rsid w:val="27C7045C"/>
    <w:rsid w:val="27DC2B23"/>
    <w:rsid w:val="280C6F05"/>
    <w:rsid w:val="281B0309"/>
    <w:rsid w:val="283178CB"/>
    <w:rsid w:val="288F5D7B"/>
    <w:rsid w:val="289B7569"/>
    <w:rsid w:val="28AA153E"/>
    <w:rsid w:val="28FC341A"/>
    <w:rsid w:val="2A1C69F8"/>
    <w:rsid w:val="2A8B4E09"/>
    <w:rsid w:val="2A9D4879"/>
    <w:rsid w:val="2AA14CA8"/>
    <w:rsid w:val="2AC121DF"/>
    <w:rsid w:val="2AD14B31"/>
    <w:rsid w:val="2AD57C80"/>
    <w:rsid w:val="2AF10F5C"/>
    <w:rsid w:val="2B0C7BEA"/>
    <w:rsid w:val="2B65243A"/>
    <w:rsid w:val="2B7649BE"/>
    <w:rsid w:val="2B833315"/>
    <w:rsid w:val="2BAA6116"/>
    <w:rsid w:val="2BE95FAD"/>
    <w:rsid w:val="2C27421C"/>
    <w:rsid w:val="2C387E6F"/>
    <w:rsid w:val="2C421C7B"/>
    <w:rsid w:val="2C5D61AC"/>
    <w:rsid w:val="2C855069"/>
    <w:rsid w:val="2CA43435"/>
    <w:rsid w:val="2CDF5A47"/>
    <w:rsid w:val="2D000B7F"/>
    <w:rsid w:val="2D280BC1"/>
    <w:rsid w:val="2D3E15A4"/>
    <w:rsid w:val="2D9A22EF"/>
    <w:rsid w:val="2DD0519A"/>
    <w:rsid w:val="2E20215E"/>
    <w:rsid w:val="2E4072AA"/>
    <w:rsid w:val="2E521804"/>
    <w:rsid w:val="2E5D640D"/>
    <w:rsid w:val="2E7A2EB2"/>
    <w:rsid w:val="2E82340D"/>
    <w:rsid w:val="2E9D5498"/>
    <w:rsid w:val="2E9F3BE2"/>
    <w:rsid w:val="2F67058E"/>
    <w:rsid w:val="2F7C3F50"/>
    <w:rsid w:val="2F8F7792"/>
    <w:rsid w:val="30221FB4"/>
    <w:rsid w:val="302A5494"/>
    <w:rsid w:val="304A7159"/>
    <w:rsid w:val="304B1338"/>
    <w:rsid w:val="30AB6B41"/>
    <w:rsid w:val="30EE6CA3"/>
    <w:rsid w:val="30F069FA"/>
    <w:rsid w:val="30F83409"/>
    <w:rsid w:val="30FB32F8"/>
    <w:rsid w:val="317B4B1E"/>
    <w:rsid w:val="32052280"/>
    <w:rsid w:val="32E4458C"/>
    <w:rsid w:val="32FB783E"/>
    <w:rsid w:val="33071ADC"/>
    <w:rsid w:val="33405C86"/>
    <w:rsid w:val="334E34FC"/>
    <w:rsid w:val="33520B64"/>
    <w:rsid w:val="335A1288"/>
    <w:rsid w:val="336660D1"/>
    <w:rsid w:val="3401422B"/>
    <w:rsid w:val="341A5D77"/>
    <w:rsid w:val="3455090A"/>
    <w:rsid w:val="346A2584"/>
    <w:rsid w:val="34BB7587"/>
    <w:rsid w:val="34BD1541"/>
    <w:rsid w:val="34C42AA8"/>
    <w:rsid w:val="34C70C8A"/>
    <w:rsid w:val="34D038C0"/>
    <w:rsid w:val="35051296"/>
    <w:rsid w:val="35226149"/>
    <w:rsid w:val="35226409"/>
    <w:rsid w:val="355510D6"/>
    <w:rsid w:val="35614F37"/>
    <w:rsid w:val="356710AC"/>
    <w:rsid w:val="35916E07"/>
    <w:rsid w:val="359A757A"/>
    <w:rsid w:val="3631346C"/>
    <w:rsid w:val="366E2AEA"/>
    <w:rsid w:val="36767719"/>
    <w:rsid w:val="368F1EED"/>
    <w:rsid w:val="36BA77F2"/>
    <w:rsid w:val="36C56525"/>
    <w:rsid w:val="36EB32A4"/>
    <w:rsid w:val="36F02A16"/>
    <w:rsid w:val="373240D5"/>
    <w:rsid w:val="374C17F7"/>
    <w:rsid w:val="377A54BF"/>
    <w:rsid w:val="37F237F8"/>
    <w:rsid w:val="37F877E0"/>
    <w:rsid w:val="3836588A"/>
    <w:rsid w:val="3860185A"/>
    <w:rsid w:val="389F6C5E"/>
    <w:rsid w:val="390B59DF"/>
    <w:rsid w:val="39364032"/>
    <w:rsid w:val="399251D2"/>
    <w:rsid w:val="39E843EE"/>
    <w:rsid w:val="39F14134"/>
    <w:rsid w:val="3A2A69FC"/>
    <w:rsid w:val="3A496523"/>
    <w:rsid w:val="3A7033B3"/>
    <w:rsid w:val="3A867BB1"/>
    <w:rsid w:val="3AA75770"/>
    <w:rsid w:val="3B5B73B5"/>
    <w:rsid w:val="3B950B19"/>
    <w:rsid w:val="3BBC1D7C"/>
    <w:rsid w:val="3C0C5739"/>
    <w:rsid w:val="3C371BD0"/>
    <w:rsid w:val="3C665805"/>
    <w:rsid w:val="3C805325"/>
    <w:rsid w:val="3D9A2417"/>
    <w:rsid w:val="3DA26822"/>
    <w:rsid w:val="3DB86DD6"/>
    <w:rsid w:val="3DDC2BB6"/>
    <w:rsid w:val="3DE06A0F"/>
    <w:rsid w:val="3E771221"/>
    <w:rsid w:val="3EC87493"/>
    <w:rsid w:val="3ECA6D2C"/>
    <w:rsid w:val="3F363F8B"/>
    <w:rsid w:val="3F824E8C"/>
    <w:rsid w:val="3F8C13A2"/>
    <w:rsid w:val="3FBE3C9E"/>
    <w:rsid w:val="407A1888"/>
    <w:rsid w:val="40811207"/>
    <w:rsid w:val="4089777C"/>
    <w:rsid w:val="408A3C30"/>
    <w:rsid w:val="409F7D44"/>
    <w:rsid w:val="40C913D4"/>
    <w:rsid w:val="40CC5DE9"/>
    <w:rsid w:val="40F679C1"/>
    <w:rsid w:val="410E3E35"/>
    <w:rsid w:val="41534C28"/>
    <w:rsid w:val="41A650C0"/>
    <w:rsid w:val="41D10E53"/>
    <w:rsid w:val="41DD6A83"/>
    <w:rsid w:val="41E87F50"/>
    <w:rsid w:val="41E9719C"/>
    <w:rsid w:val="421676EB"/>
    <w:rsid w:val="42371BC0"/>
    <w:rsid w:val="42A11B51"/>
    <w:rsid w:val="42A94EAA"/>
    <w:rsid w:val="43100811"/>
    <w:rsid w:val="435E5746"/>
    <w:rsid w:val="437159C8"/>
    <w:rsid w:val="43AC79FF"/>
    <w:rsid w:val="43D60E26"/>
    <w:rsid w:val="444B22B5"/>
    <w:rsid w:val="44695E5B"/>
    <w:rsid w:val="447314CE"/>
    <w:rsid w:val="44865664"/>
    <w:rsid w:val="448E3562"/>
    <w:rsid w:val="44F945DA"/>
    <w:rsid w:val="45384445"/>
    <w:rsid w:val="453F5652"/>
    <w:rsid w:val="458C75D8"/>
    <w:rsid w:val="45A904AC"/>
    <w:rsid w:val="45A9090B"/>
    <w:rsid w:val="45B13280"/>
    <w:rsid w:val="460D2E36"/>
    <w:rsid w:val="463D0E74"/>
    <w:rsid w:val="46806BA4"/>
    <w:rsid w:val="46905A4C"/>
    <w:rsid w:val="46A97923"/>
    <w:rsid w:val="46C2744B"/>
    <w:rsid w:val="46C93599"/>
    <w:rsid w:val="46CD505E"/>
    <w:rsid w:val="4708409D"/>
    <w:rsid w:val="47BE1C5C"/>
    <w:rsid w:val="486377BD"/>
    <w:rsid w:val="48A155A1"/>
    <w:rsid w:val="48A26146"/>
    <w:rsid w:val="48E17742"/>
    <w:rsid w:val="49690EEF"/>
    <w:rsid w:val="49835FF6"/>
    <w:rsid w:val="49934965"/>
    <w:rsid w:val="499E03EC"/>
    <w:rsid w:val="49BC54C3"/>
    <w:rsid w:val="49CD0C90"/>
    <w:rsid w:val="4A0E3C60"/>
    <w:rsid w:val="4A17247D"/>
    <w:rsid w:val="4A7077B2"/>
    <w:rsid w:val="4A8E1FAD"/>
    <w:rsid w:val="4A987224"/>
    <w:rsid w:val="4C1027F5"/>
    <w:rsid w:val="4C140938"/>
    <w:rsid w:val="4C4869B3"/>
    <w:rsid w:val="4C670FC4"/>
    <w:rsid w:val="4C811A39"/>
    <w:rsid w:val="4D187B9C"/>
    <w:rsid w:val="4D4D782C"/>
    <w:rsid w:val="4D5F00C6"/>
    <w:rsid w:val="4DC94652"/>
    <w:rsid w:val="4DDE1B7F"/>
    <w:rsid w:val="4E0A0EF3"/>
    <w:rsid w:val="4E0B6B58"/>
    <w:rsid w:val="4E34569A"/>
    <w:rsid w:val="4E553227"/>
    <w:rsid w:val="4E663285"/>
    <w:rsid w:val="4EA41E49"/>
    <w:rsid w:val="4EDA6CE4"/>
    <w:rsid w:val="4EE16327"/>
    <w:rsid w:val="4EE65F3F"/>
    <w:rsid w:val="4EF704A2"/>
    <w:rsid w:val="4F17434B"/>
    <w:rsid w:val="4F867E4E"/>
    <w:rsid w:val="4FB13998"/>
    <w:rsid w:val="504A7CCC"/>
    <w:rsid w:val="505A6944"/>
    <w:rsid w:val="50611DAF"/>
    <w:rsid w:val="506F4243"/>
    <w:rsid w:val="5089670A"/>
    <w:rsid w:val="50DD5D75"/>
    <w:rsid w:val="51E647F7"/>
    <w:rsid w:val="520533FB"/>
    <w:rsid w:val="52143AFD"/>
    <w:rsid w:val="522B3DE7"/>
    <w:rsid w:val="52555569"/>
    <w:rsid w:val="52F91162"/>
    <w:rsid w:val="52FC2DD4"/>
    <w:rsid w:val="53190FD9"/>
    <w:rsid w:val="53603F71"/>
    <w:rsid w:val="53765A26"/>
    <w:rsid w:val="53795DEA"/>
    <w:rsid w:val="53954603"/>
    <w:rsid w:val="5398647F"/>
    <w:rsid w:val="546F2AEB"/>
    <w:rsid w:val="54CE3C4A"/>
    <w:rsid w:val="552A623B"/>
    <w:rsid w:val="55411B42"/>
    <w:rsid w:val="5579019D"/>
    <w:rsid w:val="559F7E89"/>
    <w:rsid w:val="55B81234"/>
    <w:rsid w:val="55BC3AD1"/>
    <w:rsid w:val="5611243C"/>
    <w:rsid w:val="565C381F"/>
    <w:rsid w:val="56723939"/>
    <w:rsid w:val="56752603"/>
    <w:rsid w:val="56B03064"/>
    <w:rsid w:val="56BD1629"/>
    <w:rsid w:val="56FB049E"/>
    <w:rsid w:val="576D1DB7"/>
    <w:rsid w:val="5773796F"/>
    <w:rsid w:val="579932E7"/>
    <w:rsid w:val="57B719BC"/>
    <w:rsid w:val="57C65626"/>
    <w:rsid w:val="57E478CE"/>
    <w:rsid w:val="588C0756"/>
    <w:rsid w:val="58B55C87"/>
    <w:rsid w:val="58E45F93"/>
    <w:rsid w:val="58E73667"/>
    <w:rsid w:val="590929B0"/>
    <w:rsid w:val="591A79B6"/>
    <w:rsid w:val="59404E79"/>
    <w:rsid w:val="595F65D1"/>
    <w:rsid w:val="59821989"/>
    <w:rsid w:val="59B143F5"/>
    <w:rsid w:val="59B70E38"/>
    <w:rsid w:val="59F754D4"/>
    <w:rsid w:val="5A2447F3"/>
    <w:rsid w:val="5A39015A"/>
    <w:rsid w:val="5A600D7D"/>
    <w:rsid w:val="5A663C6D"/>
    <w:rsid w:val="5AF116BD"/>
    <w:rsid w:val="5AFC50AF"/>
    <w:rsid w:val="5B4F712A"/>
    <w:rsid w:val="5BA81DEA"/>
    <w:rsid w:val="5BB416EF"/>
    <w:rsid w:val="5BBB04C9"/>
    <w:rsid w:val="5C02145B"/>
    <w:rsid w:val="5C0F33DD"/>
    <w:rsid w:val="5C1E2DC4"/>
    <w:rsid w:val="5C500C07"/>
    <w:rsid w:val="5C591D09"/>
    <w:rsid w:val="5CB762E9"/>
    <w:rsid w:val="5D014BFA"/>
    <w:rsid w:val="5D194829"/>
    <w:rsid w:val="5D260F2D"/>
    <w:rsid w:val="5D6B68D5"/>
    <w:rsid w:val="5D8442C9"/>
    <w:rsid w:val="5DA66549"/>
    <w:rsid w:val="5DFD637E"/>
    <w:rsid w:val="5E917EAA"/>
    <w:rsid w:val="5EB60FE2"/>
    <w:rsid w:val="5ECA634C"/>
    <w:rsid w:val="5EF452EC"/>
    <w:rsid w:val="5F27080E"/>
    <w:rsid w:val="5F2D4723"/>
    <w:rsid w:val="5F313E05"/>
    <w:rsid w:val="5F3E17D5"/>
    <w:rsid w:val="5F71128A"/>
    <w:rsid w:val="5F9347C8"/>
    <w:rsid w:val="5FEA2220"/>
    <w:rsid w:val="6045671D"/>
    <w:rsid w:val="606D04A3"/>
    <w:rsid w:val="60AB3A08"/>
    <w:rsid w:val="60D3786A"/>
    <w:rsid w:val="61052DF9"/>
    <w:rsid w:val="6130229A"/>
    <w:rsid w:val="61363955"/>
    <w:rsid w:val="61572249"/>
    <w:rsid w:val="6256228E"/>
    <w:rsid w:val="62853361"/>
    <w:rsid w:val="62B831C1"/>
    <w:rsid w:val="62BA4BEA"/>
    <w:rsid w:val="62CF68EA"/>
    <w:rsid w:val="63715BA8"/>
    <w:rsid w:val="63800D2E"/>
    <w:rsid w:val="63C91E94"/>
    <w:rsid w:val="64370110"/>
    <w:rsid w:val="643E32B9"/>
    <w:rsid w:val="64D14E08"/>
    <w:rsid w:val="64F41899"/>
    <w:rsid w:val="65627461"/>
    <w:rsid w:val="65C43C25"/>
    <w:rsid w:val="65CA32A0"/>
    <w:rsid w:val="65E77401"/>
    <w:rsid w:val="65FC33BF"/>
    <w:rsid w:val="66A46C42"/>
    <w:rsid w:val="66AA7F8F"/>
    <w:rsid w:val="66E612EE"/>
    <w:rsid w:val="66E63C24"/>
    <w:rsid w:val="671007B9"/>
    <w:rsid w:val="67391E88"/>
    <w:rsid w:val="675863D3"/>
    <w:rsid w:val="675D7CB8"/>
    <w:rsid w:val="67A41370"/>
    <w:rsid w:val="67A755AC"/>
    <w:rsid w:val="68272D07"/>
    <w:rsid w:val="68B07C80"/>
    <w:rsid w:val="68D565A8"/>
    <w:rsid w:val="69AE7235"/>
    <w:rsid w:val="69D54F09"/>
    <w:rsid w:val="69EB0C64"/>
    <w:rsid w:val="6A147573"/>
    <w:rsid w:val="6A3F33A9"/>
    <w:rsid w:val="6A795B01"/>
    <w:rsid w:val="6A7B2288"/>
    <w:rsid w:val="6AD965D0"/>
    <w:rsid w:val="6AE57CC7"/>
    <w:rsid w:val="6AFC6EF7"/>
    <w:rsid w:val="6B384575"/>
    <w:rsid w:val="6B570121"/>
    <w:rsid w:val="6B637032"/>
    <w:rsid w:val="6B6A4787"/>
    <w:rsid w:val="6B7752F2"/>
    <w:rsid w:val="6BDB475D"/>
    <w:rsid w:val="6BFF1D07"/>
    <w:rsid w:val="6C2151AA"/>
    <w:rsid w:val="6CC23F43"/>
    <w:rsid w:val="6CC24944"/>
    <w:rsid w:val="6CE71FCB"/>
    <w:rsid w:val="6D013069"/>
    <w:rsid w:val="6D703160"/>
    <w:rsid w:val="6E7B26F0"/>
    <w:rsid w:val="6E907650"/>
    <w:rsid w:val="6EAA69C0"/>
    <w:rsid w:val="6EBB68D3"/>
    <w:rsid w:val="6EEA6F2E"/>
    <w:rsid w:val="6F3D0E01"/>
    <w:rsid w:val="6F5A6006"/>
    <w:rsid w:val="6F8C0561"/>
    <w:rsid w:val="6FA50623"/>
    <w:rsid w:val="6FBB353C"/>
    <w:rsid w:val="6FF40792"/>
    <w:rsid w:val="701570FF"/>
    <w:rsid w:val="705219E6"/>
    <w:rsid w:val="706359C1"/>
    <w:rsid w:val="707352C8"/>
    <w:rsid w:val="708F5FDD"/>
    <w:rsid w:val="70B54C51"/>
    <w:rsid w:val="70D22AF0"/>
    <w:rsid w:val="711778C4"/>
    <w:rsid w:val="713F4F2F"/>
    <w:rsid w:val="719B0488"/>
    <w:rsid w:val="71B66B18"/>
    <w:rsid w:val="71C4090A"/>
    <w:rsid w:val="71D17800"/>
    <w:rsid w:val="72504B83"/>
    <w:rsid w:val="727916F5"/>
    <w:rsid w:val="73090EC9"/>
    <w:rsid w:val="7375030D"/>
    <w:rsid w:val="73C2117C"/>
    <w:rsid w:val="73E86ED0"/>
    <w:rsid w:val="74167DE3"/>
    <w:rsid w:val="7472484C"/>
    <w:rsid w:val="747B1E68"/>
    <w:rsid w:val="749F2E1A"/>
    <w:rsid w:val="750E0FD0"/>
    <w:rsid w:val="754216C1"/>
    <w:rsid w:val="75BD124E"/>
    <w:rsid w:val="75C7203D"/>
    <w:rsid w:val="764F693C"/>
    <w:rsid w:val="770A0CC3"/>
    <w:rsid w:val="771E77B9"/>
    <w:rsid w:val="7738331C"/>
    <w:rsid w:val="77592B9B"/>
    <w:rsid w:val="777E5D17"/>
    <w:rsid w:val="77E41408"/>
    <w:rsid w:val="77F2439C"/>
    <w:rsid w:val="780954A3"/>
    <w:rsid w:val="782549A0"/>
    <w:rsid w:val="78700FBA"/>
    <w:rsid w:val="788405CB"/>
    <w:rsid w:val="78D6777B"/>
    <w:rsid w:val="7962424D"/>
    <w:rsid w:val="79C4376F"/>
    <w:rsid w:val="7A0643B5"/>
    <w:rsid w:val="7A2134D3"/>
    <w:rsid w:val="7A8D4D62"/>
    <w:rsid w:val="7AA92364"/>
    <w:rsid w:val="7B746C71"/>
    <w:rsid w:val="7B8117A9"/>
    <w:rsid w:val="7B8351D1"/>
    <w:rsid w:val="7BED7813"/>
    <w:rsid w:val="7C9000FA"/>
    <w:rsid w:val="7CAD6D69"/>
    <w:rsid w:val="7D5E0B05"/>
    <w:rsid w:val="7D9F624B"/>
    <w:rsid w:val="7D9F7B3D"/>
    <w:rsid w:val="7DB078EA"/>
    <w:rsid w:val="7E4342AC"/>
    <w:rsid w:val="7E536ABA"/>
    <w:rsid w:val="7E5E47BF"/>
    <w:rsid w:val="7E8537CD"/>
    <w:rsid w:val="7E93025D"/>
    <w:rsid w:val="7EAA0BE4"/>
    <w:rsid w:val="7EC73A39"/>
    <w:rsid w:val="7F0D131B"/>
    <w:rsid w:val="7F866B4F"/>
    <w:rsid w:val="7F9336FF"/>
    <w:rsid w:val="7F9C2A34"/>
    <w:rsid w:val="7FB20DB0"/>
    <w:rsid w:val="7FFC3D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640" w:firstLineChars="200"/>
      <w:jc w:val="both"/>
    </w:pPr>
    <w:rPr>
      <w:rFonts w:ascii="仿宋_GB2312" w:hAnsi="仿宋_GB2312" w:eastAsia="仿宋_GB2312" w:cs="仿宋_GB2312"/>
      <w:kern w:val="2"/>
      <w:sz w:val="32"/>
      <w:szCs w:val="32"/>
      <w:lang w:val="en-US" w:eastAsia="zh-CN" w:bidi="ar-SA"/>
    </w:rPr>
  </w:style>
  <w:style w:type="paragraph" w:styleId="4">
    <w:name w:val="heading 1"/>
    <w:basedOn w:val="1"/>
    <w:next w:val="1"/>
    <w:qFormat/>
    <w:uiPriority w:val="0"/>
    <w:pPr>
      <w:keepNext/>
      <w:keepLines/>
      <w:spacing w:beforeLines="0" w:beforeAutospacing="0" w:afterLines="0" w:afterAutospacing="0" w:line="600" w:lineRule="exact"/>
      <w:ind w:firstLine="0" w:firstLineChars="0"/>
      <w:jc w:val="center"/>
      <w:outlineLvl w:val="0"/>
    </w:pPr>
    <w:rPr>
      <w:rFonts w:ascii="方正小标宋简体" w:hAnsi="方正小标宋简体" w:eastAsia="方正小标宋简体" w:cs="方正小标宋简体"/>
      <w:kern w:val="44"/>
      <w:sz w:val="44"/>
      <w:szCs w:val="44"/>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7">
    <w:name w:val="heading 4"/>
    <w:basedOn w:val="1"/>
    <w:next w:val="1"/>
    <w:qFormat/>
    <w:uiPriority w:val="0"/>
    <w:pPr>
      <w:keepNext/>
      <w:keepLines/>
      <w:numPr>
        <w:ilvl w:val="3"/>
        <w:numId w:val="1"/>
      </w:numPr>
      <w:spacing w:line="360" w:lineRule="auto"/>
      <w:jc w:val="left"/>
      <w:outlineLvl w:val="3"/>
    </w:pPr>
    <w:rPr>
      <w:b/>
      <w:bCs/>
      <w:sz w:val="24"/>
    </w:rPr>
  </w:style>
  <w:style w:type="character" w:default="1" w:styleId="19">
    <w:name w:val="Default Paragraph Font"/>
    <w:semiHidden/>
    <w:qFormat/>
    <w:uiPriority w:val="0"/>
    <w:rPr>
      <w:rFonts w:ascii="Tahoma" w:hAnsi="Tahoma"/>
      <w:sz w:val="28"/>
      <w:szCs w:val="20"/>
    </w:rPr>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Note Heading"/>
    <w:basedOn w:val="1"/>
    <w:next w:val="1"/>
    <w:qFormat/>
    <w:uiPriority w:val="0"/>
    <w:pPr>
      <w:widowControl w:val="0"/>
      <w:spacing w:line="360" w:lineRule="auto"/>
      <w:ind w:firstLine="200" w:firstLineChars="200"/>
      <w:jc w:val="center"/>
    </w:pPr>
    <w:rPr>
      <w:rFonts w:ascii="Calibri" w:hAnsi="Calibri" w:eastAsia="宋体" w:cs="Times New Roman"/>
      <w:bCs/>
      <w:snapToGrid w:val="0"/>
      <w:kern w:val="2"/>
      <w:sz w:val="24"/>
      <w:szCs w:val="24"/>
      <w:lang w:val="en-GB" w:eastAsia="zh-CN" w:bidi="ar-SA"/>
    </w:rPr>
  </w:style>
  <w:style w:type="paragraph" w:styleId="8">
    <w:name w:val="Normal Indent"/>
    <w:basedOn w:val="1"/>
    <w:qFormat/>
    <w:uiPriority w:val="0"/>
    <w:pPr>
      <w:ind w:firstLine="420"/>
    </w:pPr>
    <w:rPr>
      <w:rFonts w:asciiTheme="minorHAnsi" w:hAnsiTheme="minorHAnsi" w:cstheme="minorBidi"/>
      <w:lang w:bidi="he-IL"/>
    </w:rPr>
  </w:style>
  <w:style w:type="paragraph" w:styleId="9">
    <w:name w:val="annotation text"/>
    <w:basedOn w:val="1"/>
    <w:qFormat/>
    <w:uiPriority w:val="0"/>
    <w:pPr>
      <w:jc w:val="left"/>
    </w:pPr>
  </w:style>
  <w:style w:type="paragraph" w:styleId="10">
    <w:name w:val="Body Text Indent"/>
    <w:basedOn w:val="1"/>
    <w:unhideWhenUsed/>
    <w:qFormat/>
    <w:uiPriority w:val="0"/>
    <w:pPr>
      <w:spacing w:after="120"/>
      <w:ind w:left="420" w:leftChars="200"/>
    </w:pPr>
  </w:style>
  <w:style w:type="paragraph" w:styleId="11">
    <w:name w:val="Plain Text"/>
    <w:basedOn w:val="1"/>
    <w:qFormat/>
    <w:uiPriority w:val="0"/>
    <w:rPr>
      <w:rFonts w:ascii="宋体" w:hAnsi="Courier New"/>
    </w:rPr>
  </w:style>
  <w:style w:type="paragraph" w:styleId="12">
    <w:name w:val="footer"/>
    <w:basedOn w:val="1"/>
    <w:qFormat/>
    <w:uiPriority w:val="0"/>
    <w:pPr>
      <w:tabs>
        <w:tab w:val="center" w:pos="4153"/>
        <w:tab w:val="right" w:pos="8306"/>
      </w:tabs>
      <w:snapToGrid w:val="0"/>
      <w:ind w:firstLine="0" w:firstLineChars="0"/>
      <w:jc w:val="left"/>
    </w:pPr>
    <w:rPr>
      <w:sz w:val="28"/>
      <w:szCs w:val="2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List"/>
    <w:basedOn w:val="1"/>
    <w:qFormat/>
    <w:uiPriority w:val="0"/>
    <w:pPr>
      <w:ind w:left="200" w:hanging="200" w:hanging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6">
    <w:name w:val="Title"/>
    <w:basedOn w:val="1"/>
    <w:next w:val="1"/>
    <w:qFormat/>
    <w:uiPriority w:val="10"/>
    <w:pPr>
      <w:spacing w:before="240" w:after="60"/>
      <w:jc w:val="center"/>
      <w:outlineLvl w:val="0"/>
    </w:pPr>
    <w:rPr>
      <w:rFonts w:ascii="Calibri Light" w:hAnsi="Calibri Light" w:cs="Times New Roman"/>
      <w:b/>
      <w:bCs/>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qFormat/>
    <w:uiPriority w:val="0"/>
    <w:rPr>
      <w:color w:val="0000FF"/>
      <w:u w:val="single"/>
    </w:rPr>
  </w:style>
  <w:style w:type="table" w:customStyle="1" w:styleId="21">
    <w:name w:val="正文+宋体4"/>
    <w:basedOn w:val="17"/>
    <w:qFormat/>
    <w:uiPriority w:val="99"/>
    <w:pPr>
      <w:widowControl w:val="0"/>
      <w:jc w:val="center"/>
    </w:pPr>
    <w:rPr>
      <w:szCs w:val="21"/>
    </w:rPr>
    <w:tblPr>
      <w:tblBorders>
        <w:top w:val="single" w:color="auto" w:sz="12" w:space="0"/>
        <w:bottom w:val="single" w:color="auto" w:sz="12" w:space="0"/>
        <w:insideH w:val="single" w:color="auto" w:sz="6" w:space="0"/>
        <w:insideV w:val="single" w:color="auto" w:sz="6" w:space="0"/>
      </w:tblBorders>
      <w:tblCellMar>
        <w:top w:w="0" w:type="dxa"/>
        <w:left w:w="108" w:type="dxa"/>
        <w:bottom w:w="0" w:type="dxa"/>
        <w:right w:w="108" w:type="dxa"/>
      </w:tblCellMar>
    </w:tblPr>
    <w:tcPr>
      <w:tcMar>
        <w:left w:w="28" w:type="dxa"/>
        <w:right w:w="28" w:type="dxa"/>
      </w:tcMar>
      <w:vAlign w:val="center"/>
    </w:tcPr>
  </w:style>
  <w:style w:type="paragraph" w:customStyle="1" w:styleId="22">
    <w:name w:val="环评批文文号"/>
    <w:basedOn w:val="1"/>
    <w:qFormat/>
    <w:uiPriority w:val="0"/>
    <w:pPr>
      <w:spacing w:before="1520" w:after="100" w:afterLines="100" w:line="600" w:lineRule="exact"/>
      <w:ind w:firstLine="0" w:firstLineChars="0"/>
      <w:jc w:val="right"/>
      <w:outlineLvl w:val="9"/>
    </w:pPr>
    <w:rPr>
      <w:rFonts w:hint="eastAsia"/>
      <w:color w:val="000000"/>
    </w:rPr>
  </w:style>
  <w:style w:type="paragraph" w:customStyle="1" w:styleId="23">
    <w:name w:val="主送机关"/>
    <w:basedOn w:val="1"/>
    <w:next w:val="1"/>
    <w:qFormat/>
    <w:uiPriority w:val="0"/>
    <w:pPr>
      <w:spacing w:line="600" w:lineRule="exact"/>
      <w:ind w:firstLine="0" w:firstLineChars="0"/>
      <w:outlineLvl w:val="9"/>
    </w:pPr>
    <w:rPr>
      <w:rFonts w:hint="eastAsia"/>
      <w:color w:val="000000"/>
    </w:rPr>
  </w:style>
  <w:style w:type="paragraph" w:customStyle="1" w:styleId="24">
    <w:name w:val="抄送单位"/>
    <w:basedOn w:val="1"/>
    <w:next w:val="1"/>
    <w:qFormat/>
    <w:uiPriority w:val="0"/>
    <w:pPr>
      <w:wordWrap w:val="0"/>
      <w:spacing w:line="600" w:lineRule="exact"/>
      <w:ind w:firstLine="0" w:firstLineChars="0"/>
      <w:jc w:val="left"/>
      <w:outlineLvl w:val="9"/>
    </w:pPr>
    <w:rPr>
      <w:rFonts w:hint="eastAsia"/>
      <w:color w:val="000000"/>
      <w:sz w:val="32"/>
      <w:szCs w:val="30"/>
    </w:rPr>
  </w:style>
  <w:style w:type="paragraph" w:customStyle="1" w:styleId="25">
    <w:name w:val="0cyx正文"/>
    <w:basedOn w:val="26"/>
    <w:qFormat/>
    <w:uiPriority w:val="0"/>
    <w:pPr>
      <w:keepNext w:val="0"/>
      <w:keepLines w:val="0"/>
      <w:ind w:firstLine="480" w:firstLineChars="200"/>
      <w:jc w:val="both"/>
      <w:outlineLvl w:val="9"/>
    </w:pPr>
    <w:rPr>
      <w:rFonts w:eastAsia="宋体"/>
      <w:b w:val="0"/>
      <w:sz w:val="24"/>
      <w:szCs w:val="24"/>
    </w:rPr>
  </w:style>
  <w:style w:type="paragraph" w:customStyle="1" w:styleId="26">
    <w:name w:val="0cyx第2标题"/>
    <w:basedOn w:val="5"/>
    <w:qFormat/>
    <w:uiPriority w:val="0"/>
    <w:pPr>
      <w:widowControl w:val="0"/>
      <w:adjustRightInd w:val="0"/>
      <w:snapToGrid w:val="0"/>
      <w:spacing w:before="0" w:after="0" w:line="360" w:lineRule="auto"/>
      <w:ind w:firstLine="0" w:firstLineChars="0"/>
      <w:jc w:val="left"/>
    </w:pPr>
    <w:rPr>
      <w:rFonts w:ascii="Times New Roman" w:hAnsi="Times New Roman" w:eastAsia="黑体"/>
    </w:rPr>
  </w:style>
  <w:style w:type="paragraph" w:customStyle="1" w:styleId="27">
    <w:name w:val="5文章正文"/>
    <w:basedOn w:val="1"/>
    <w:qFormat/>
    <w:uiPriority w:val="0"/>
    <w:pPr>
      <w:spacing w:line="360" w:lineRule="auto"/>
      <w:ind w:firstLine="200" w:firstLineChars="200"/>
    </w:pPr>
    <w:rPr>
      <w:rFonts w:cstheme="minorBidi"/>
      <w:sz w:val="24"/>
      <w:szCs w:val="24"/>
    </w:rPr>
  </w:style>
  <w:style w:type="character" w:customStyle="1" w:styleId="28">
    <w:name w:val="正文（） Char"/>
    <w:link w:val="29"/>
    <w:qFormat/>
    <w:uiPriority w:val="0"/>
    <w:rPr>
      <w:rFonts w:ascii="Times New Roman" w:hAnsi="Times New Roman" w:cs="Times New Roman"/>
      <w:color w:val="FF0000"/>
    </w:rPr>
  </w:style>
  <w:style w:type="paragraph" w:customStyle="1" w:styleId="29">
    <w:name w:val="正文（）"/>
    <w:basedOn w:val="1"/>
    <w:link w:val="28"/>
    <w:qFormat/>
    <w:uiPriority w:val="0"/>
    <w:pPr>
      <w:adjustRightInd w:val="0"/>
      <w:snapToGrid w:val="0"/>
      <w:spacing w:line="360" w:lineRule="auto"/>
      <w:ind w:firstLine="200" w:firstLineChars="200"/>
      <w:jc w:val="both"/>
    </w:pPr>
    <w:rPr>
      <w:rFonts w:ascii="Times New Roman" w:hAnsi="Times New Roman" w:cs="Times New Roman"/>
      <w:color w:val="FF0000"/>
    </w:rPr>
  </w:style>
  <w:style w:type="character" w:customStyle="1" w:styleId="30">
    <w:name w:val="表格内容（） Char"/>
    <w:link w:val="31"/>
    <w:qFormat/>
    <w:uiPriority w:val="0"/>
    <w:rPr>
      <w:rFonts w:ascii="Times New Roman" w:hAnsi="Times New Roman" w:cs="Times New Roman"/>
      <w:color w:val="FF0000"/>
      <w:sz w:val="21"/>
      <w:szCs w:val="21"/>
    </w:rPr>
  </w:style>
  <w:style w:type="paragraph" w:customStyle="1" w:styleId="31">
    <w:name w:val="表格内容（）"/>
    <w:basedOn w:val="1"/>
    <w:link w:val="30"/>
    <w:qFormat/>
    <w:uiPriority w:val="0"/>
    <w:pPr>
      <w:widowControl w:val="0"/>
      <w:adjustRightInd w:val="0"/>
      <w:snapToGrid w:val="0"/>
      <w:jc w:val="center"/>
    </w:pPr>
    <w:rPr>
      <w:rFonts w:ascii="Times New Roman" w:hAnsi="Times New Roman" w:cs="Times New Roman"/>
      <w:color w:val="FF0000"/>
      <w:sz w:val="21"/>
      <w:szCs w:val="21"/>
    </w:rPr>
  </w:style>
  <w:style w:type="paragraph" w:customStyle="1" w:styleId="32">
    <w:name w:val="表格内容"/>
    <w:basedOn w:val="1"/>
    <w:next w:val="1"/>
    <w:qFormat/>
    <w:uiPriority w:val="0"/>
    <w:pPr>
      <w:spacing w:line="240" w:lineRule="auto"/>
      <w:jc w:val="center"/>
    </w:pPr>
    <w:rPr>
      <w:rFonts w:ascii="Times New Roman" w:hAnsi="Times New Roman" w:eastAsia="宋体"/>
      <w:kern w:val="0"/>
      <w:sz w:val="21"/>
      <w:szCs w:val="20"/>
    </w:rPr>
  </w:style>
  <w:style w:type="paragraph" w:customStyle="1" w:styleId="33">
    <w:name w:val="YJ正文"/>
    <w:basedOn w:val="1"/>
    <w:qFormat/>
    <w:uiPriority w:val="0"/>
    <w:pPr>
      <w:adjustRightInd w:val="0"/>
      <w:snapToGrid w:val="0"/>
      <w:spacing w:line="360" w:lineRule="auto"/>
      <w:ind w:firstLine="420" w:firstLineChars="200"/>
    </w:pPr>
    <w:rPr>
      <w:rFonts w:ascii="Calibri" w:hAnsi="Calibri" w:eastAsia="宋体" w:cs="Calibri"/>
      <w:sz w:val="24"/>
    </w:rPr>
  </w:style>
  <w:style w:type="paragraph" w:customStyle="1" w:styleId="34">
    <w:name w:val="报告书正文"/>
    <w:basedOn w:val="1"/>
    <w:qFormat/>
    <w:uiPriority w:val="0"/>
    <w:pPr>
      <w:spacing w:line="300" w:lineRule="auto"/>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2703</Words>
  <Characters>2890</Characters>
  <Lines>0</Lines>
  <Paragraphs>0</Paragraphs>
  <TotalTime>3</TotalTime>
  <ScaleCrop>false</ScaleCrop>
  <LinksUpToDate>false</LinksUpToDate>
  <CharactersWithSpaces>2917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2018-08-21T07:06:00Z</dcterms:created>
  <dc:creator>Yuri</dc:creator>
  <cp:lastModifiedBy>月见函灯</cp:lastModifiedBy>
  <cp:lastPrinted>2026-01-14T01:10:00Z</cp:lastPrinted>
  <dcterms:modified xsi:type="dcterms:W3CDTF">2026-06-29T02:12:40Z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47C72C3A0C294A33A618A39E3237B75E_13</vt:lpwstr>
  </property>
  <property fmtid="{D5CDD505-2E9C-101B-9397-08002B2CF9AE}" pid="4" name="KSOTemplateDocerSaveRecord">
    <vt:lpwstr>eyJoZGlkIjoiMDkxNDM5NTI3YTI2MzU0NTA3MzliODM2N2FlYTc2NjYiLCJ1c2VySWQiOiI0MjM3NjMwNzUifQ==</vt:lpwstr>
  </property>
</Properties>
</file>