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E26FF">
      <w:pPr>
        <w:spacing w:line="283" w:lineRule="auto"/>
        <w:rPr>
          <w:rFonts w:eastAsia="Times New Roman"/>
          <w:color w:val="auto"/>
        </w:rPr>
      </w:pPr>
    </w:p>
    <w:p w14:paraId="01DBF1DD">
      <w:pPr>
        <w:spacing w:line="283" w:lineRule="auto"/>
        <w:rPr>
          <w:rFonts w:eastAsia="Times New Roman"/>
          <w:color w:val="auto"/>
          <w:highlight w:val="none"/>
        </w:rPr>
      </w:pPr>
    </w:p>
    <w:p w14:paraId="010EC392">
      <w:pPr>
        <w:pStyle w:val="5"/>
        <w:spacing w:before="101" w:line="222" w:lineRule="auto"/>
        <w:jc w:val="right"/>
        <w:rPr>
          <w:color w:val="auto"/>
          <w:spacing w:val="12"/>
          <w:highlight w:val="none"/>
        </w:rPr>
      </w:pPr>
    </w:p>
    <w:p w14:paraId="6366B197">
      <w:pPr>
        <w:pStyle w:val="5"/>
        <w:spacing w:before="101" w:line="222" w:lineRule="auto"/>
        <w:jc w:val="right"/>
        <w:rPr>
          <w:color w:val="auto"/>
          <w:spacing w:val="12"/>
          <w:highlight w:val="none"/>
        </w:rPr>
      </w:pPr>
    </w:p>
    <w:p w14:paraId="4EBBD89A">
      <w:pPr>
        <w:pStyle w:val="5"/>
        <w:spacing w:before="101" w:line="222" w:lineRule="auto"/>
        <w:jc w:val="right"/>
        <w:rPr>
          <w:color w:val="auto"/>
          <w:spacing w:val="12"/>
          <w:highlight w:val="none"/>
        </w:rPr>
      </w:pPr>
    </w:p>
    <w:p w14:paraId="0F3470F5">
      <w:pPr>
        <w:pStyle w:val="5"/>
        <w:spacing w:before="101" w:line="222" w:lineRule="auto"/>
        <w:jc w:val="right"/>
        <w:rPr>
          <w:color w:val="auto"/>
          <w:spacing w:val="12"/>
          <w:highlight w:val="none"/>
        </w:rPr>
      </w:pPr>
    </w:p>
    <w:p w14:paraId="69D32E96">
      <w:pPr>
        <w:widowControl w:val="0"/>
        <w:kinsoku/>
        <w:autoSpaceDE/>
        <w:autoSpaceDN/>
        <w:adjustRightInd/>
        <w:snapToGrid/>
        <w:spacing w:line="520" w:lineRule="exact"/>
        <w:ind w:firstLine="640" w:firstLineChars="200"/>
        <w:jc w:val="right"/>
        <w:textAlignment w:val="auto"/>
        <w:rPr>
          <w:rFonts w:ascii="仿宋_GB2312" w:hAnsi="宋体" w:eastAsia="仿宋_GB2312" w:cs="Times New Roman"/>
          <w:color w:val="auto"/>
          <w:kern w:val="2"/>
          <w:sz w:val="32"/>
          <w:szCs w:val="32"/>
          <w:highlight w:val="none"/>
          <w:lang w:eastAsia="zh-CN"/>
        </w:rPr>
      </w:pPr>
      <w:bookmarkStart w:id="0" w:name="_GoBack"/>
      <w:bookmarkEnd w:id="0"/>
      <w:r>
        <w:rPr>
          <w:rFonts w:hint="eastAsia" w:ascii="仿宋_GB2312" w:hAnsi="宋体" w:eastAsia="仿宋_GB2312" w:cs="Times New Roman"/>
          <w:color w:val="auto"/>
          <w:kern w:val="2"/>
          <w:sz w:val="32"/>
          <w:szCs w:val="32"/>
          <w:highlight w:val="none"/>
          <w:lang w:eastAsia="zh-CN"/>
        </w:rPr>
        <w:t>榕环评〔</w:t>
      </w:r>
      <w:r>
        <w:rPr>
          <w:rFonts w:ascii="仿宋_GB2312" w:hAnsi="宋体" w:eastAsia="仿宋_GB2312" w:cs="Times New Roman"/>
          <w:color w:val="auto"/>
          <w:kern w:val="2"/>
          <w:sz w:val="32"/>
          <w:szCs w:val="32"/>
          <w:highlight w:val="none"/>
          <w:lang w:eastAsia="zh-CN"/>
        </w:rPr>
        <w:t>2026</w:t>
      </w:r>
      <w:r>
        <w:rPr>
          <w:rFonts w:hint="eastAsia" w:ascii="仿宋_GB2312" w:hAnsi="宋体" w:eastAsia="仿宋_GB2312" w:cs="Times New Roman"/>
          <w:color w:val="auto"/>
          <w:kern w:val="2"/>
          <w:sz w:val="32"/>
          <w:szCs w:val="32"/>
          <w:highlight w:val="none"/>
          <w:lang w:eastAsia="zh-CN"/>
        </w:rPr>
        <w:t>〕68号</w:t>
      </w:r>
    </w:p>
    <w:p w14:paraId="2BC54A67">
      <w:pPr>
        <w:rPr>
          <w:color w:val="auto"/>
          <w:highlight w:val="none"/>
        </w:rPr>
      </w:pPr>
    </w:p>
    <w:p w14:paraId="6F411A71">
      <w:pPr>
        <w:rPr>
          <w:color w:val="auto"/>
          <w:highlight w:val="none"/>
        </w:rPr>
      </w:pPr>
    </w:p>
    <w:p w14:paraId="71D3D939">
      <w:pPr>
        <w:spacing w:line="241" w:lineRule="auto"/>
        <w:rPr>
          <w:color w:val="auto"/>
          <w:highlight w:val="none"/>
        </w:rPr>
      </w:pPr>
    </w:p>
    <w:p w14:paraId="4EB35ED8">
      <w:pPr>
        <w:widowControl w:val="0"/>
        <w:kinsoku/>
        <w:autoSpaceDE/>
        <w:autoSpaceDN/>
        <w:adjustRightInd/>
        <w:snapToGrid/>
        <w:spacing w:line="560" w:lineRule="exact"/>
        <w:jc w:val="center"/>
        <w:textAlignment w:val="auto"/>
        <w:rPr>
          <w:rFonts w:ascii="方正小标宋简体" w:hAnsi="方正小标宋简体" w:eastAsia="方正小标宋简体" w:cs="方正小标宋简体"/>
          <w:color w:val="auto"/>
          <w:kern w:val="2"/>
          <w:sz w:val="44"/>
          <w:szCs w:val="44"/>
          <w:highlight w:val="none"/>
          <w:lang w:eastAsia="zh-CN"/>
        </w:rPr>
      </w:pPr>
      <w:r>
        <w:rPr>
          <w:rFonts w:hint="eastAsia" w:ascii="方正小标宋简体" w:hAnsi="方正小标宋简体" w:eastAsia="方正小标宋简体" w:cs="方正小标宋简体"/>
          <w:color w:val="auto"/>
          <w:kern w:val="2"/>
          <w:sz w:val="44"/>
          <w:szCs w:val="44"/>
          <w:highlight w:val="none"/>
          <w:lang w:eastAsia="zh-CN"/>
        </w:rPr>
        <w:t>福州市生态环境局</w:t>
      </w:r>
    </w:p>
    <w:p w14:paraId="5186631E">
      <w:pPr>
        <w:widowControl w:val="0"/>
        <w:kinsoku/>
        <w:autoSpaceDE/>
        <w:autoSpaceDN/>
        <w:adjustRightInd/>
        <w:snapToGrid/>
        <w:spacing w:line="560" w:lineRule="exact"/>
        <w:jc w:val="center"/>
        <w:textAlignment w:val="auto"/>
        <w:rPr>
          <w:rFonts w:ascii="方正小标宋简体" w:hAnsi="方正小标宋简体" w:eastAsia="方正小标宋简体" w:cs="方正小标宋简体"/>
          <w:color w:val="auto"/>
          <w:kern w:val="2"/>
          <w:sz w:val="44"/>
          <w:szCs w:val="44"/>
          <w:highlight w:val="none"/>
          <w:lang w:eastAsia="zh-CN"/>
        </w:rPr>
      </w:pPr>
      <w:r>
        <w:rPr>
          <w:rFonts w:hint="eastAsia" w:ascii="方正小标宋简体" w:hAnsi="方正小标宋简体" w:eastAsia="方正小标宋简体" w:cs="方正小标宋简体"/>
          <w:color w:val="auto"/>
          <w:kern w:val="2"/>
          <w:sz w:val="44"/>
          <w:szCs w:val="44"/>
          <w:highlight w:val="none"/>
          <w:lang w:eastAsia="zh-CN"/>
        </w:rPr>
        <w:t>关于万华化学（福建）有限公司万华福建工业园东西区外管廊连接管道项目环境影响报告书的审批意见</w:t>
      </w:r>
    </w:p>
    <w:p w14:paraId="7C48C67B">
      <w:pPr>
        <w:spacing w:line="289" w:lineRule="auto"/>
        <w:rPr>
          <w:color w:val="auto"/>
          <w:highlight w:val="none"/>
        </w:rPr>
      </w:pPr>
    </w:p>
    <w:p w14:paraId="22DA8D39">
      <w:pPr>
        <w:spacing w:line="289" w:lineRule="auto"/>
        <w:rPr>
          <w:color w:val="auto"/>
          <w:highlight w:val="none"/>
        </w:rPr>
      </w:pPr>
    </w:p>
    <w:p w14:paraId="4EC0726A">
      <w:pPr>
        <w:keepNext w:val="0"/>
        <w:keepLines w:val="0"/>
        <w:pageBreakBefore w:val="0"/>
        <w:widowControl w:val="0"/>
        <w:kinsoku/>
        <w:overflowPunct/>
        <w:topLinePunct w:val="0"/>
        <w:autoSpaceDE/>
        <w:autoSpaceDN/>
        <w:bidi w:val="0"/>
        <w:adjustRightInd/>
        <w:snapToGrid/>
        <w:spacing w:line="600" w:lineRule="exact"/>
        <w:jc w:val="both"/>
        <w:textAlignment w:val="auto"/>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万华化学（福建）有限公司：</w:t>
      </w:r>
    </w:p>
    <w:p w14:paraId="2B35DBC8">
      <w:pPr>
        <w:keepNext w:val="0"/>
        <w:keepLines w:val="0"/>
        <w:pageBreakBefore w:val="0"/>
        <w:widowControl w:val="0"/>
        <w:kinsoku/>
        <w:overflowPunct/>
        <w:topLinePunct w:val="0"/>
        <w:autoSpaceDE/>
        <w:autoSpaceDN/>
        <w:bidi w:val="0"/>
        <w:adjustRightInd/>
        <w:snapToGrid/>
        <w:spacing w:line="600" w:lineRule="exact"/>
        <w:ind w:firstLine="640" w:firstLineChars="200"/>
        <w:jc w:val="both"/>
        <w:textAlignment w:val="auto"/>
        <w:rPr>
          <w:rFonts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你司报送的《万华化学（福建）有限公司万华福建工业园东西区外管廊连接管道项目环境影响报告书》</w:t>
      </w:r>
      <w:r>
        <w:rPr>
          <w:rFonts w:ascii="仿宋_GB2312" w:hAnsi="宋体" w:eastAsia="仿宋_GB2312" w:cs="Times New Roman"/>
          <w:color w:val="auto"/>
          <w:kern w:val="2"/>
          <w:sz w:val="32"/>
          <w:szCs w:val="32"/>
          <w:highlight w:val="none"/>
          <w:lang w:eastAsia="zh-CN"/>
        </w:rPr>
        <w:t>(</w:t>
      </w:r>
      <w:r>
        <w:rPr>
          <w:rFonts w:hint="eastAsia" w:ascii="仿宋_GB2312" w:hAnsi="宋体" w:eastAsia="仿宋_GB2312" w:cs="Times New Roman"/>
          <w:color w:val="auto"/>
          <w:kern w:val="2"/>
          <w:sz w:val="32"/>
          <w:szCs w:val="32"/>
          <w:highlight w:val="none"/>
          <w:lang w:eastAsia="zh-CN"/>
        </w:rPr>
        <w:t>以下简称《报告书》</w:t>
      </w:r>
      <w:r>
        <w:rPr>
          <w:rFonts w:ascii="仿宋_GB2312" w:hAnsi="宋体" w:eastAsia="仿宋_GB2312" w:cs="Times New Roman"/>
          <w:color w:val="auto"/>
          <w:kern w:val="2"/>
          <w:sz w:val="32"/>
          <w:szCs w:val="32"/>
          <w:highlight w:val="none"/>
          <w:lang w:eastAsia="zh-CN"/>
        </w:rPr>
        <w:t>)</w:t>
      </w:r>
      <w:r>
        <w:rPr>
          <w:rFonts w:hint="eastAsia" w:ascii="仿宋_GB2312" w:hAnsi="宋体" w:eastAsia="仿宋_GB2312" w:cs="Times New Roman"/>
          <w:color w:val="auto"/>
          <w:kern w:val="2"/>
          <w:sz w:val="32"/>
          <w:szCs w:val="32"/>
          <w:highlight w:val="none"/>
          <w:lang w:eastAsia="zh-CN"/>
        </w:rPr>
        <w:t>收悉。经研究，并征求福州市福清生态环境局意见，现提出审批意见如下：</w:t>
      </w:r>
    </w:p>
    <w:p w14:paraId="20460EE2">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一、万华化学（福建）有限公司万华福建工业园东西区外管廊连接管道项目选址在福州江阴港城经济区</w:t>
      </w:r>
      <w:r>
        <w:rPr>
          <w:rFonts w:ascii="仿宋_GB2312" w:hAnsi="宋体" w:eastAsia="仿宋_GB2312" w:cs="Times New Roman"/>
          <w:color w:val="auto"/>
          <w:kern w:val="2"/>
          <w:sz w:val="32"/>
          <w:szCs w:val="32"/>
          <w:highlight w:val="none"/>
          <w:lang w:eastAsia="zh-CN"/>
        </w:rPr>
        <w:t>,</w:t>
      </w:r>
      <w:r>
        <w:rPr>
          <w:rFonts w:hint="eastAsia" w:ascii="仿宋_GB2312" w:hAnsi="宋体" w:eastAsia="仿宋_GB2312" w:cs="Times New Roman"/>
          <w:color w:val="auto"/>
          <w:kern w:val="2"/>
          <w:sz w:val="32"/>
          <w:szCs w:val="32"/>
          <w:highlight w:val="none"/>
          <w:lang w:eastAsia="zh-CN"/>
        </w:rPr>
        <w:t>主要建设内容：在福州江阴港城经济区东、西部公用管廊及万融自建管廊上敷设4段工艺物料管道，总长度</w:t>
      </w:r>
      <w:r>
        <w:rPr>
          <w:rFonts w:hint="eastAsia" w:ascii="仿宋_GB2312" w:hAnsi="宋体" w:eastAsia="仿宋_GB2312" w:cs="Times New Roman"/>
          <w:color w:val="auto"/>
          <w:kern w:val="2"/>
          <w:sz w:val="32"/>
          <w:szCs w:val="32"/>
          <w:highlight w:val="none"/>
          <w:lang w:val="en-US" w:eastAsia="zh-CN"/>
        </w:rPr>
        <w:t>14056.4</w:t>
      </w:r>
      <w:r>
        <w:rPr>
          <w:rFonts w:hint="eastAsia" w:ascii="仿宋_GB2312" w:hAnsi="宋体" w:eastAsia="仿宋_GB2312" w:cs="Times New Roman"/>
          <w:color w:val="auto"/>
          <w:kern w:val="2"/>
          <w:sz w:val="32"/>
          <w:szCs w:val="32"/>
          <w:highlight w:val="none"/>
          <w:lang w:eastAsia="zh-CN"/>
        </w:rPr>
        <w:t>米，用于输送各类化学品及物料。</w:t>
      </w:r>
    </w:p>
    <w:p w14:paraId="59E96AE4">
      <w:pPr>
        <w:keepNext w:val="0"/>
        <w:keepLines w:val="0"/>
        <w:pageBreakBefore w:val="0"/>
        <w:widowControl w:val="0"/>
        <w:kinsoku/>
        <w:overflowPunct/>
        <w:topLinePunct w:val="0"/>
        <w:autoSpaceDE/>
        <w:autoSpaceDN/>
        <w:bidi w:val="0"/>
        <w:adjustRightInd/>
        <w:snapToGrid/>
        <w:spacing w:line="600" w:lineRule="exact"/>
        <w:ind w:firstLine="640" w:firstLineChars="200"/>
        <w:jc w:val="both"/>
        <w:textAlignment w:val="auto"/>
        <w:rPr>
          <w:rFonts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根据《报告书》评价结论和福州市环境影响评价技术中心出具的技术评估报告</w:t>
      </w:r>
      <w:r>
        <w:rPr>
          <w:rFonts w:hint="eastAsia" w:ascii="仿宋_GB2312" w:hAnsi="仿宋_GB2312" w:eastAsia="仿宋_GB2312" w:cs="仿宋_GB2312"/>
          <w:color w:val="auto"/>
          <w:sz w:val="32"/>
          <w:szCs w:val="32"/>
          <w:highlight w:val="none"/>
        </w:rPr>
        <w:t>（编号2-2026-024）</w:t>
      </w:r>
      <w:r>
        <w:rPr>
          <w:rFonts w:ascii="仿宋_GB2312" w:hAnsi="宋体" w:eastAsia="仿宋_GB2312" w:cs="Times New Roman"/>
          <w:color w:val="auto"/>
          <w:kern w:val="2"/>
          <w:sz w:val="32"/>
          <w:szCs w:val="32"/>
          <w:highlight w:val="none"/>
          <w:lang w:eastAsia="zh-CN"/>
        </w:rPr>
        <w:t>,</w:t>
      </w:r>
      <w:r>
        <w:rPr>
          <w:rFonts w:hint="eastAsia" w:ascii="仿宋_GB2312" w:hAnsi="宋体" w:eastAsia="仿宋_GB2312" w:cs="Times New Roman"/>
          <w:color w:val="auto"/>
          <w:kern w:val="2"/>
          <w:sz w:val="32"/>
          <w:szCs w:val="32"/>
          <w:highlight w:val="none"/>
          <w:lang w:eastAsia="zh-CN"/>
        </w:rPr>
        <w:t>该项目符合生态环境分区管控要求，</w:t>
      </w:r>
      <w:r>
        <w:rPr>
          <w:rFonts w:hint="eastAsia" w:ascii="仿宋_GB2312" w:hAnsi="仿宋_GB2312" w:eastAsia="仿宋_GB2312" w:cs="仿宋_GB2312"/>
          <w:color w:val="auto"/>
          <w:sz w:val="32"/>
          <w:szCs w:val="32"/>
          <w:highlight w:val="none"/>
        </w:rPr>
        <w:t>符合</w:t>
      </w:r>
      <w:r>
        <w:rPr>
          <w:rFonts w:hint="eastAsia" w:ascii="仿宋_GB2312" w:eastAsia="仿宋_GB2312"/>
          <w:color w:val="auto"/>
          <w:sz w:val="32"/>
          <w:szCs w:val="32"/>
          <w:highlight w:val="none"/>
        </w:rPr>
        <w:t>《福州江阴港城经济区产业发展规划》</w:t>
      </w:r>
      <w:r>
        <w:rPr>
          <w:rFonts w:hint="eastAsia" w:ascii="仿宋_GB2312" w:hAnsi="仿宋_GB2312" w:eastAsia="仿宋_GB2312" w:cs="仿宋_GB2312"/>
          <w:color w:val="auto"/>
          <w:sz w:val="32"/>
          <w:szCs w:val="32"/>
          <w:highlight w:val="none"/>
        </w:rPr>
        <w:t>《福州江阴港城经济区化工新材料专区总体发展规划</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lang w:eastAsia="zh-CN"/>
        </w:rPr>
        <w:t>2025-2030</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等规划</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其规划环评要求</w:t>
      </w:r>
      <w:r>
        <w:rPr>
          <w:rFonts w:hint="eastAsia" w:ascii="仿宋_GB2312" w:hAnsi="宋体" w:eastAsia="仿宋_GB2312" w:cs="Times New Roman"/>
          <w:color w:val="auto"/>
          <w:kern w:val="2"/>
          <w:sz w:val="32"/>
          <w:szCs w:val="32"/>
          <w:highlight w:val="none"/>
          <w:lang w:eastAsia="zh-CN"/>
        </w:rPr>
        <w:t>。在全面落实《报告书》提出的各项生态环境保护和环境风险防范措施要求，加强环境管理的前提下，从环境影响角度分析，项目建设是可行的。我局原则同意《报告书》中所列的建设项目性质、规模、地点、工艺和拟采取的环境保护对策措施。</w:t>
      </w:r>
    </w:p>
    <w:p w14:paraId="40530311">
      <w:pPr>
        <w:keepNext w:val="0"/>
        <w:keepLines w:val="0"/>
        <w:pageBreakBefore w:val="0"/>
        <w:widowControl w:val="0"/>
        <w:numPr>
          <w:ilvl w:val="0"/>
          <w:numId w:val="0"/>
        </w:numPr>
        <w:kinsoku/>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二</w:t>
      </w:r>
      <w:r>
        <w:rPr>
          <w:rFonts w:hint="eastAsia" w:ascii="仿宋_GB2312" w:hAnsi="宋体" w:eastAsia="仿宋_GB2312" w:cs="Times New Roman"/>
          <w:color w:val="auto"/>
          <w:kern w:val="2"/>
          <w:sz w:val="32"/>
          <w:szCs w:val="32"/>
          <w:highlight w:val="none"/>
          <w:lang w:eastAsia="zh-CN"/>
        </w:rPr>
        <w:t>、项目设计、施工和运营须符合国家有关标准规范及生态环境保护要求。你司在施工期和运营期应按《报告书》确定的内容，认真落实《报告书》各项污染防治和生态保护措施，并重点做好以下工作：</w:t>
      </w:r>
    </w:p>
    <w:p w14:paraId="1CACAA2C">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一）加强施工期的生态环境保护工作，合理安排作业时间、切实采取有效措施，严格控制施工过程产生的扬尘、污水、噪声和固废等，降低对周边环境造成的影响。施工期噪声执行《建筑施工噪声排放标准》（GB12523-2025）。危险废物贮存执行《危险废物贮存污染控制标准》（GB18597-2023）相关规定，转移执行《危险废物转移管理办法》（部令第23号）相关规定。</w:t>
      </w:r>
    </w:p>
    <w:p w14:paraId="20A506C1">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二）施工期产生的管道清洗、试压废水委托万华环保科技公司编组站中水回用系统进行处理达标后排放；运营期开停车及检修期间产生的冲洗废水引至万华环保科技低浓污水处理站进行处理达标后排放，不得排放周边水体。运营期开停车、检修期间废气依托码头低温罐火炬进行处理达标后高空排放。</w:t>
      </w:r>
    </w:p>
    <w:p w14:paraId="52714B08">
      <w:pPr>
        <w:keepNext w:val="0"/>
        <w:keepLines w:val="0"/>
        <w:pageBreakBefore w:val="0"/>
        <w:widowControl/>
        <w:kinsoku/>
        <w:wordWrap/>
        <w:overflowPunct/>
        <w:topLinePunct w:val="0"/>
        <w:autoSpaceDE/>
        <w:autoSpaceDN/>
        <w:bidi w:val="0"/>
        <w:adjustRightInd w:val="0"/>
        <w:snapToGrid w:val="0"/>
        <w:spacing w:line="600" w:lineRule="exact"/>
        <w:ind w:left="0" w:leftChars="0" w:right="0" w:rightChars="0" w:firstLine="614" w:firstLineChars="192"/>
        <w:jc w:val="left"/>
        <w:textAlignment w:val="auto"/>
        <w:outlineLvl w:val="9"/>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（三）认真落实《报告书》提出的环境风险防范措施要求。</w:t>
      </w:r>
      <w:r>
        <w:rPr>
          <w:rFonts w:hint="eastAsia" w:ascii="仿宋_GB2312" w:hAnsi="宋体" w:eastAsia="仿宋_GB2312" w:cs="Times New Roman"/>
          <w:color w:val="auto"/>
          <w:kern w:val="2"/>
          <w:sz w:val="32"/>
          <w:szCs w:val="32"/>
          <w:highlight w:val="none"/>
          <w:lang w:eastAsia="zh-CN"/>
        </w:rPr>
        <w:t>加强管道防腐设计，在跨河道、排洪渠的输送液态物质管道应采用套管，试压合格后方可投产，管道全线采用监控与泄漏检测系统。配备足够的封堵物资，防止</w:t>
      </w:r>
      <w:r>
        <w:rPr>
          <w:rFonts w:hint="eastAsia" w:hAnsi="仿宋" w:eastAsia="仿宋"/>
          <w:sz w:val="32"/>
          <w:szCs w:val="32"/>
          <w:highlight w:val="none"/>
        </w:rPr>
        <w:t>事</w:t>
      </w:r>
      <w:r>
        <w:rPr>
          <w:rFonts w:hint="eastAsia" w:ascii="仿宋_GB2312" w:hAnsi="宋体" w:eastAsia="仿宋_GB2312" w:cs="Times New Roman"/>
          <w:color w:val="auto"/>
          <w:kern w:val="2"/>
          <w:sz w:val="32"/>
          <w:szCs w:val="32"/>
          <w:highlight w:val="none"/>
          <w:lang w:eastAsia="zh-CN"/>
        </w:rPr>
        <w:t>故泄漏物料和消防废水进入地表水环境和海洋环境。及时修编突发生态环境事件应急预案并报生态环境部门备案，完善与园区、当地政府及相关部门应急联动机制，定期开展应急演练，有效防范和应对环境风险。</w:t>
      </w:r>
    </w:p>
    <w:p w14:paraId="3FA20C65">
      <w:pPr>
        <w:keepNext w:val="0"/>
        <w:keepLines w:val="0"/>
        <w:pageBreakBefore w:val="0"/>
        <w:widowControl w:val="0"/>
        <w:kinsoku/>
        <w:wordWrap w:val="0"/>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三、《报告书》批准后，如建设项目的性质、规模、地点、采用的生产工艺或者防治污染、防止生态破坏的措施发生重大变动的，应当依法重新报批项目环评。《报告书》自批准之日起满5年，项目方开工建设的，其环评应当依法报生态环境部门重新审核。</w:t>
      </w:r>
    </w:p>
    <w:p w14:paraId="3A4D23E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四、项目应加强环境管理，推进落实各项生态环境保护措施。严格执行环境保护“三同时”制度，加强施工期环境管理。竣工后应按规定程序实施竣工环境保护验收。</w:t>
      </w:r>
    </w:p>
    <w:p w14:paraId="50D4D39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五、我局委托福州市生态环境保护综合执法支队开展该项目环保“三同时”监督检查，竣工后，由福州市福清生态环境局负责该项目日常环保监督管理工作。</w:t>
      </w:r>
    </w:p>
    <w:p w14:paraId="3D3913F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_GB2312" w:hAnsi="宋体" w:eastAsia="仿宋_GB2312" w:cs="Times New Roman"/>
          <w:color w:val="auto"/>
          <w:kern w:val="2"/>
          <w:sz w:val="32"/>
          <w:szCs w:val="32"/>
          <w:highlight w:val="none"/>
          <w:lang w:eastAsia="zh-CN"/>
        </w:rPr>
      </w:pPr>
    </w:p>
    <w:p w14:paraId="3E970111">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val="en-US" w:eastAsia="zh-CN"/>
        </w:rPr>
        <w:t xml:space="preserve">                              </w:t>
      </w:r>
      <w:r>
        <w:rPr>
          <w:rFonts w:hint="eastAsia" w:ascii="仿宋_GB2312" w:hAnsi="宋体" w:eastAsia="仿宋_GB2312" w:cs="Times New Roman"/>
          <w:color w:val="auto"/>
          <w:kern w:val="2"/>
          <w:sz w:val="32"/>
          <w:szCs w:val="32"/>
          <w:highlight w:val="none"/>
          <w:lang w:eastAsia="zh-CN"/>
        </w:rPr>
        <w:t>福州市生态环境局</w:t>
      </w:r>
      <w:r>
        <w:rPr>
          <w:rFonts w:ascii="仿宋_GB2312" w:hAnsi="宋体" w:eastAsia="仿宋_GB2312" w:cs="Times New Roman"/>
          <w:color w:val="auto"/>
          <w:kern w:val="2"/>
          <w:sz w:val="32"/>
          <w:szCs w:val="32"/>
          <w:highlight w:val="none"/>
          <w:lang w:eastAsia="zh-CN"/>
        </w:rPr>
        <w:t xml:space="preserve">        </w:t>
      </w:r>
    </w:p>
    <w:p w14:paraId="6D686BC3">
      <w:pPr>
        <w:keepNext w:val="0"/>
        <w:keepLines w:val="0"/>
        <w:pageBreakBefore w:val="0"/>
        <w:widowControl w:val="0"/>
        <w:kinsoku/>
        <w:wordWrap w:val="0"/>
        <w:overflowPunct/>
        <w:topLinePunct w:val="0"/>
        <w:autoSpaceDE/>
        <w:autoSpaceDN/>
        <w:bidi w:val="0"/>
        <w:adjustRightInd/>
        <w:snapToGrid/>
        <w:spacing w:line="540" w:lineRule="exact"/>
        <w:jc w:val="right"/>
        <w:textAlignment w:val="auto"/>
        <w:rPr>
          <w:rFonts w:ascii="仿宋_GB2312" w:hAnsi="宋体" w:eastAsia="仿宋_GB2312" w:cs="Times New Roman"/>
          <w:color w:val="auto"/>
          <w:kern w:val="2"/>
          <w:sz w:val="32"/>
          <w:szCs w:val="32"/>
          <w:highlight w:val="none"/>
          <w:lang w:eastAsia="zh-CN"/>
        </w:rPr>
      </w:pPr>
      <w:r>
        <w:rPr>
          <w:rFonts w:ascii="仿宋_GB2312" w:hAnsi="宋体" w:eastAsia="仿宋_GB2312" w:cs="Times New Roman"/>
          <w:color w:val="auto"/>
          <w:kern w:val="2"/>
          <w:sz w:val="32"/>
          <w:szCs w:val="32"/>
          <w:highlight w:val="none"/>
          <w:lang w:eastAsia="zh-CN"/>
        </w:rPr>
        <w:t>2026</w:t>
      </w:r>
      <w:r>
        <w:rPr>
          <w:rFonts w:hint="eastAsia" w:ascii="仿宋_GB2312" w:hAnsi="宋体" w:eastAsia="仿宋_GB2312" w:cs="Times New Roman"/>
          <w:color w:val="auto"/>
          <w:kern w:val="2"/>
          <w:sz w:val="32"/>
          <w:szCs w:val="32"/>
          <w:highlight w:val="none"/>
          <w:lang w:eastAsia="zh-CN"/>
        </w:rPr>
        <w:t>年</w:t>
      </w:r>
      <w:r>
        <w:rPr>
          <w:rFonts w:hint="eastAsia" w:ascii="仿宋_GB2312" w:hAnsi="宋体" w:eastAsia="仿宋_GB2312" w:cs="Times New Roman"/>
          <w:color w:val="auto"/>
          <w:kern w:val="2"/>
          <w:sz w:val="32"/>
          <w:szCs w:val="32"/>
          <w:highlight w:val="none"/>
          <w:lang w:val="en-US" w:eastAsia="zh-CN"/>
        </w:rPr>
        <w:t>9</w:t>
      </w:r>
      <w:r>
        <w:rPr>
          <w:rFonts w:hint="eastAsia" w:ascii="仿宋_GB2312" w:hAnsi="宋体" w:eastAsia="仿宋_GB2312" w:cs="Times New Roman"/>
          <w:color w:val="auto"/>
          <w:kern w:val="2"/>
          <w:sz w:val="32"/>
          <w:szCs w:val="32"/>
          <w:highlight w:val="none"/>
          <w:lang w:eastAsia="zh-CN"/>
        </w:rPr>
        <w:t>月</w:t>
      </w:r>
      <w:r>
        <w:rPr>
          <w:rFonts w:hint="eastAsia" w:ascii="仿宋_GB2312" w:hAnsi="宋体" w:eastAsia="仿宋_GB2312" w:cs="Times New Roman"/>
          <w:color w:val="auto"/>
          <w:kern w:val="2"/>
          <w:sz w:val="32"/>
          <w:szCs w:val="32"/>
          <w:highlight w:val="none"/>
          <w:lang w:val="en-US" w:eastAsia="zh-CN"/>
        </w:rPr>
        <w:t>3</w:t>
      </w:r>
      <w:r>
        <w:rPr>
          <w:rFonts w:hint="eastAsia" w:ascii="仿宋_GB2312" w:hAnsi="宋体" w:eastAsia="仿宋_GB2312" w:cs="Times New Roman"/>
          <w:color w:val="auto"/>
          <w:kern w:val="2"/>
          <w:sz w:val="32"/>
          <w:szCs w:val="32"/>
          <w:highlight w:val="none"/>
          <w:lang w:eastAsia="zh-CN"/>
        </w:rPr>
        <w:t>日</w:t>
      </w:r>
      <w:r>
        <w:rPr>
          <w:rFonts w:ascii="仿宋_GB2312" w:hAnsi="宋体" w:eastAsia="仿宋_GB2312" w:cs="Times New Roman"/>
          <w:color w:val="auto"/>
          <w:kern w:val="2"/>
          <w:sz w:val="32"/>
          <w:szCs w:val="32"/>
          <w:highlight w:val="none"/>
          <w:lang w:eastAsia="zh-CN"/>
        </w:rPr>
        <w:t xml:space="preserve">    </w:t>
      </w:r>
      <w:r>
        <w:rPr>
          <w:rFonts w:ascii="仿宋_GB2312" w:hAnsi="宋体" w:eastAsia="仿宋_GB2312" w:cs="Times New Roman"/>
          <w:color w:val="auto"/>
          <w:kern w:val="2"/>
          <w:sz w:val="32"/>
          <w:szCs w:val="32"/>
          <w:highlight w:val="none"/>
          <w:lang w:eastAsia="zh-CN"/>
        </w:rPr>
        <w:t xml:space="preserve">    </w:t>
      </w:r>
    </w:p>
    <w:p w14:paraId="78AB6CC9">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ascii="仿宋_GB2312" w:hAnsi="宋体" w:eastAsia="仿宋_GB2312" w:cs="Times New Roman"/>
          <w:color w:val="auto"/>
          <w:kern w:val="2"/>
          <w:sz w:val="32"/>
          <w:szCs w:val="32"/>
          <w:highlight w:val="none"/>
          <w:lang w:eastAsia="zh-CN"/>
        </w:rPr>
      </w:pPr>
    </w:p>
    <w:p w14:paraId="1BE17003">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ascii="仿宋_GB2312" w:hAnsi="宋体" w:eastAsia="仿宋_GB2312" w:cs="Times New Roman"/>
          <w:color w:val="auto"/>
          <w:kern w:val="2"/>
          <w:sz w:val="32"/>
          <w:szCs w:val="32"/>
          <w:highlight w:val="none"/>
          <w:lang w:eastAsia="zh-CN"/>
        </w:rPr>
      </w:pPr>
    </w:p>
    <w:p w14:paraId="3D1AD195">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ascii="仿宋_GB2312" w:hAnsi="宋体" w:eastAsia="仿宋_GB2312" w:cs="Times New Roman"/>
          <w:color w:val="auto"/>
          <w:kern w:val="2"/>
          <w:sz w:val="32"/>
          <w:szCs w:val="32"/>
          <w:highlight w:val="none"/>
          <w:lang w:eastAsia="zh-CN"/>
        </w:rPr>
      </w:pPr>
    </w:p>
    <w:p w14:paraId="6E1ECCCE">
      <w:pPr>
        <w:pStyle w:val="2"/>
        <w:rPr>
          <w:rFonts w:ascii="仿宋_GB2312" w:hAnsi="宋体" w:eastAsia="仿宋_GB2312" w:cs="Times New Roman"/>
          <w:color w:val="auto"/>
          <w:kern w:val="2"/>
          <w:sz w:val="32"/>
          <w:szCs w:val="32"/>
          <w:highlight w:val="none"/>
          <w:lang w:eastAsia="zh-CN"/>
        </w:rPr>
      </w:pPr>
    </w:p>
    <w:p w14:paraId="4259DFD7">
      <w:pPr>
        <w:pStyle w:val="4"/>
        <w:rPr>
          <w:rFonts w:ascii="仿宋_GB2312" w:hAnsi="宋体" w:eastAsia="仿宋_GB2312" w:cs="Times New Roman"/>
          <w:color w:val="auto"/>
          <w:kern w:val="2"/>
          <w:sz w:val="32"/>
          <w:szCs w:val="32"/>
          <w:highlight w:val="none"/>
          <w:lang w:eastAsia="zh-CN"/>
        </w:rPr>
      </w:pPr>
    </w:p>
    <w:p w14:paraId="14372E1B">
      <w:pPr>
        <w:rPr>
          <w:rFonts w:ascii="仿宋_GB2312" w:hAnsi="宋体" w:eastAsia="仿宋_GB2312" w:cs="Times New Roman"/>
          <w:color w:val="auto"/>
          <w:kern w:val="2"/>
          <w:sz w:val="32"/>
          <w:szCs w:val="32"/>
          <w:highlight w:val="none"/>
          <w:lang w:eastAsia="zh-CN"/>
        </w:rPr>
      </w:pPr>
    </w:p>
    <w:p w14:paraId="1A589550">
      <w:pPr>
        <w:pStyle w:val="2"/>
        <w:rPr>
          <w:rFonts w:ascii="仿宋_GB2312" w:hAnsi="宋体" w:eastAsia="仿宋_GB2312" w:cs="Times New Roman"/>
          <w:color w:val="auto"/>
          <w:kern w:val="2"/>
          <w:sz w:val="32"/>
          <w:szCs w:val="32"/>
          <w:highlight w:val="none"/>
          <w:lang w:eastAsia="zh-CN"/>
        </w:rPr>
      </w:pPr>
    </w:p>
    <w:p w14:paraId="3C348C92">
      <w:pPr>
        <w:pStyle w:val="4"/>
        <w:rPr>
          <w:rFonts w:ascii="仿宋_GB2312" w:hAnsi="宋体" w:eastAsia="仿宋_GB2312" w:cs="Times New Roman"/>
          <w:color w:val="auto"/>
          <w:kern w:val="2"/>
          <w:sz w:val="32"/>
          <w:szCs w:val="32"/>
          <w:highlight w:val="none"/>
          <w:lang w:eastAsia="zh-CN"/>
        </w:rPr>
      </w:pPr>
    </w:p>
    <w:p w14:paraId="3CA15F0C">
      <w:pPr>
        <w:rPr>
          <w:rFonts w:ascii="仿宋_GB2312" w:hAnsi="宋体" w:eastAsia="仿宋_GB2312" w:cs="Times New Roman"/>
          <w:color w:val="auto"/>
          <w:kern w:val="2"/>
          <w:sz w:val="32"/>
          <w:szCs w:val="32"/>
          <w:highlight w:val="none"/>
          <w:lang w:eastAsia="zh-CN"/>
        </w:rPr>
      </w:pPr>
    </w:p>
    <w:p w14:paraId="274CEAF7">
      <w:pPr>
        <w:pStyle w:val="2"/>
        <w:rPr>
          <w:rFonts w:ascii="仿宋_GB2312" w:hAnsi="宋体" w:eastAsia="仿宋_GB2312" w:cs="Times New Roman"/>
          <w:color w:val="auto"/>
          <w:kern w:val="2"/>
          <w:sz w:val="32"/>
          <w:szCs w:val="32"/>
          <w:highlight w:val="none"/>
          <w:lang w:eastAsia="zh-CN"/>
        </w:rPr>
      </w:pPr>
    </w:p>
    <w:p w14:paraId="14B0FDA1">
      <w:pPr>
        <w:pStyle w:val="4"/>
        <w:rPr>
          <w:rFonts w:ascii="仿宋_GB2312" w:hAnsi="宋体" w:eastAsia="仿宋_GB2312" w:cs="Times New Roman"/>
          <w:color w:val="auto"/>
          <w:kern w:val="2"/>
          <w:sz w:val="32"/>
          <w:szCs w:val="32"/>
          <w:highlight w:val="none"/>
          <w:lang w:eastAsia="zh-CN"/>
        </w:rPr>
      </w:pPr>
    </w:p>
    <w:p w14:paraId="5E5609A7">
      <w:pPr>
        <w:rPr>
          <w:rFonts w:ascii="仿宋_GB2312" w:hAnsi="宋体" w:eastAsia="仿宋_GB2312" w:cs="Times New Roman"/>
          <w:color w:val="auto"/>
          <w:kern w:val="2"/>
          <w:sz w:val="32"/>
          <w:szCs w:val="32"/>
          <w:highlight w:val="none"/>
          <w:lang w:eastAsia="zh-CN"/>
        </w:rPr>
      </w:pPr>
    </w:p>
    <w:p w14:paraId="133EA3EC">
      <w:pPr>
        <w:pStyle w:val="2"/>
        <w:rPr>
          <w:rFonts w:ascii="仿宋_GB2312" w:hAnsi="宋体" w:eastAsia="仿宋_GB2312" w:cs="Times New Roman"/>
          <w:color w:val="auto"/>
          <w:kern w:val="2"/>
          <w:sz w:val="32"/>
          <w:szCs w:val="32"/>
          <w:highlight w:val="none"/>
          <w:lang w:eastAsia="zh-CN"/>
        </w:rPr>
      </w:pPr>
    </w:p>
    <w:p w14:paraId="695BFB42">
      <w:pPr>
        <w:pStyle w:val="4"/>
        <w:rPr>
          <w:rFonts w:ascii="仿宋_GB2312" w:hAnsi="宋体" w:eastAsia="仿宋_GB2312" w:cs="Times New Roman"/>
          <w:color w:val="auto"/>
          <w:kern w:val="2"/>
          <w:sz w:val="32"/>
          <w:szCs w:val="32"/>
          <w:highlight w:val="none"/>
          <w:lang w:eastAsia="zh-CN"/>
        </w:rPr>
      </w:pPr>
    </w:p>
    <w:p w14:paraId="2D5F90B3">
      <w:pPr>
        <w:rPr>
          <w:rFonts w:ascii="仿宋_GB2312" w:hAnsi="宋体" w:eastAsia="仿宋_GB2312" w:cs="Times New Roman"/>
          <w:color w:val="auto"/>
          <w:kern w:val="2"/>
          <w:sz w:val="32"/>
          <w:szCs w:val="32"/>
          <w:highlight w:val="none"/>
          <w:lang w:eastAsia="zh-CN"/>
        </w:rPr>
      </w:pPr>
    </w:p>
    <w:p w14:paraId="3D89EE54">
      <w:pPr>
        <w:pStyle w:val="2"/>
        <w:rPr>
          <w:rFonts w:ascii="仿宋_GB2312" w:hAnsi="宋体" w:eastAsia="仿宋_GB2312" w:cs="Times New Roman"/>
          <w:color w:val="auto"/>
          <w:kern w:val="2"/>
          <w:sz w:val="32"/>
          <w:szCs w:val="32"/>
          <w:highlight w:val="none"/>
          <w:lang w:eastAsia="zh-CN"/>
        </w:rPr>
      </w:pPr>
    </w:p>
    <w:p w14:paraId="1A2054F1">
      <w:pPr>
        <w:pStyle w:val="4"/>
        <w:rPr>
          <w:rFonts w:ascii="仿宋_GB2312" w:hAnsi="宋体" w:eastAsia="仿宋_GB2312" w:cs="Times New Roman"/>
          <w:color w:val="auto"/>
          <w:kern w:val="2"/>
          <w:sz w:val="32"/>
          <w:szCs w:val="32"/>
          <w:highlight w:val="none"/>
          <w:lang w:eastAsia="zh-CN"/>
        </w:rPr>
      </w:pPr>
    </w:p>
    <w:p w14:paraId="05F94218">
      <w:pPr>
        <w:rPr>
          <w:rFonts w:ascii="仿宋_GB2312" w:hAnsi="宋体" w:eastAsia="仿宋_GB2312" w:cs="Times New Roman"/>
          <w:color w:val="auto"/>
          <w:kern w:val="2"/>
          <w:sz w:val="32"/>
          <w:szCs w:val="32"/>
          <w:highlight w:val="none"/>
          <w:lang w:eastAsia="zh-CN"/>
        </w:rPr>
      </w:pPr>
    </w:p>
    <w:p w14:paraId="42E6E187">
      <w:pPr>
        <w:pStyle w:val="2"/>
        <w:rPr>
          <w:rFonts w:ascii="仿宋_GB2312" w:hAnsi="宋体" w:eastAsia="仿宋_GB2312" w:cs="Times New Roman"/>
          <w:color w:val="auto"/>
          <w:kern w:val="2"/>
          <w:sz w:val="32"/>
          <w:szCs w:val="32"/>
          <w:highlight w:val="none"/>
          <w:lang w:eastAsia="zh-CN"/>
        </w:rPr>
      </w:pPr>
    </w:p>
    <w:p w14:paraId="327EBFAB">
      <w:pPr>
        <w:pStyle w:val="4"/>
        <w:rPr>
          <w:rFonts w:ascii="仿宋_GB2312" w:hAnsi="宋体" w:eastAsia="仿宋_GB2312" w:cs="Times New Roman"/>
          <w:color w:val="auto"/>
          <w:kern w:val="2"/>
          <w:sz w:val="32"/>
          <w:szCs w:val="32"/>
          <w:highlight w:val="none"/>
          <w:lang w:eastAsia="zh-CN"/>
        </w:rPr>
      </w:pPr>
    </w:p>
    <w:p w14:paraId="2A958731">
      <w:pPr>
        <w:rPr>
          <w:rFonts w:ascii="仿宋_GB2312" w:hAnsi="宋体" w:eastAsia="仿宋_GB2312" w:cs="Times New Roman"/>
          <w:color w:val="auto"/>
          <w:kern w:val="2"/>
          <w:sz w:val="32"/>
          <w:szCs w:val="32"/>
          <w:highlight w:val="none"/>
          <w:lang w:eastAsia="zh-CN"/>
        </w:rPr>
      </w:pPr>
    </w:p>
    <w:p w14:paraId="24F1A430">
      <w:pPr>
        <w:pStyle w:val="2"/>
        <w:rPr>
          <w:highlight w:val="none"/>
          <w:lang w:eastAsia="zh-CN"/>
        </w:rPr>
      </w:pPr>
    </w:p>
    <w:p w14:paraId="1E4E839C">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ascii="仿宋_GB2312" w:hAnsi="宋体" w:eastAsia="仿宋_GB2312" w:cs="Times New Roman"/>
          <w:color w:val="auto"/>
          <w:kern w:val="2"/>
          <w:sz w:val="32"/>
          <w:szCs w:val="32"/>
          <w:highlight w:val="none"/>
          <w:lang w:eastAsia="zh-CN"/>
        </w:rPr>
      </w:pPr>
    </w:p>
    <w:p w14:paraId="6F73958D">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ascii="仿宋_GB2312" w:hAnsi="宋体" w:eastAsia="仿宋_GB2312" w:cs="Times New Roman"/>
          <w:color w:val="auto"/>
          <w:kern w:val="2"/>
          <w:sz w:val="32"/>
          <w:szCs w:val="32"/>
          <w:highlight w:val="none"/>
          <w:lang w:eastAsia="zh-CN"/>
        </w:rPr>
      </w:pPr>
    </w:p>
    <w:p w14:paraId="168C79EE">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ascii="仿宋_GB2312" w:hAnsi="宋体" w:eastAsia="仿宋_GB2312" w:cs="Times New Roman"/>
          <w:color w:val="auto"/>
          <w:kern w:val="2"/>
          <w:sz w:val="32"/>
          <w:szCs w:val="32"/>
          <w:highlight w:val="none"/>
          <w:lang w:eastAsia="zh-CN"/>
        </w:rPr>
      </w:pPr>
    </w:p>
    <w:tbl>
      <w:tblPr>
        <w:tblStyle w:val="10"/>
        <w:tblpPr w:leftFromText="180" w:rightFromText="180" w:vertAnchor="text" w:horzAnchor="page" w:tblpX="1504" w:tblpY="548"/>
        <w:tblOverlap w:val="never"/>
        <w:tblW w:w="8838"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185"/>
        <w:gridCol w:w="4142"/>
        <w:gridCol w:w="3511"/>
      </w:tblGrid>
      <w:tr w14:paraId="28E7A8A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66" w:hRule="atLeast"/>
        </w:trPr>
        <w:tc>
          <w:tcPr>
            <w:tcW w:w="1185" w:type="dxa"/>
            <w:tcBorders>
              <w:top w:val="single" w:color="000000" w:sz="4" w:space="0"/>
              <w:bottom w:val="single" w:color="000000" w:sz="4" w:space="0"/>
            </w:tcBorders>
            <w:vAlign w:val="center"/>
          </w:tcPr>
          <w:p w14:paraId="2236C74D">
            <w:pPr>
              <w:widowControl w:val="0"/>
              <w:kinsoku/>
              <w:autoSpaceDE/>
              <w:autoSpaceDN/>
              <w:adjustRightInd/>
              <w:snapToGrid/>
              <w:spacing w:line="560" w:lineRule="exact"/>
              <w:jc w:val="center"/>
              <w:textAlignment w:val="auto"/>
              <w:rPr>
                <w:rFonts w:ascii="仿宋_GB2312" w:hAnsi="宋体" w:eastAsia="仿宋_GB2312" w:cs="Times New Roman"/>
                <w:color w:val="auto"/>
                <w:kern w:val="2"/>
                <w:sz w:val="32"/>
                <w:szCs w:val="32"/>
                <w:highlight w:val="none"/>
                <w:lang w:eastAsia="zh-CN"/>
              </w:rPr>
            </w:pPr>
            <w:r>
              <w:rPr>
                <w:rFonts w:hint="eastAsia" w:ascii="仿宋_GB2312" w:hAnsi="宋体" w:eastAsia="仿宋_GB2312" w:cs="Times New Roman"/>
                <w:color w:val="auto"/>
                <w:kern w:val="2"/>
                <w:sz w:val="32"/>
                <w:szCs w:val="32"/>
                <w:highlight w:val="none"/>
                <w:lang w:eastAsia="zh-CN"/>
              </w:rPr>
              <w:t>抄送：</w:t>
            </w:r>
          </w:p>
        </w:tc>
        <w:tc>
          <w:tcPr>
            <w:tcW w:w="7653" w:type="dxa"/>
            <w:gridSpan w:val="2"/>
            <w:tcBorders>
              <w:top w:val="single" w:color="000000" w:sz="4" w:space="0"/>
              <w:bottom w:val="single" w:color="000000" w:sz="4" w:space="0"/>
            </w:tcBorders>
          </w:tcPr>
          <w:p w14:paraId="1F4E3CAE">
            <w:pPr>
              <w:widowControl w:val="0"/>
              <w:kinsoku/>
              <w:autoSpaceDE/>
              <w:autoSpaceDN/>
              <w:adjustRightInd/>
              <w:snapToGrid/>
              <w:spacing w:line="560" w:lineRule="exact"/>
              <w:jc w:val="both"/>
              <w:textAlignment w:val="auto"/>
              <w:rPr>
                <w:rFonts w:ascii="宋体" w:hAnsi="宋体" w:cs="宋体"/>
                <w:color w:val="auto"/>
                <w:sz w:val="28"/>
                <w:szCs w:val="28"/>
                <w:highlight w:val="none"/>
              </w:rPr>
            </w:pPr>
            <w:r>
              <w:rPr>
                <w:rFonts w:hint="eastAsia" w:ascii="仿宋_GB2312" w:hAnsi="Times New Roman" w:eastAsia="仿宋_GB2312" w:cs="仿宋_GB2312"/>
                <w:kern w:val="2"/>
                <w:sz w:val="28"/>
                <w:szCs w:val="20"/>
                <w:highlight w:val="none"/>
                <w:lang w:eastAsia="zh-CN"/>
              </w:rPr>
              <w:t>福州市生态环境保护综合执法支队，福州市福清生态环境局，福建省金皇环保科技股份有限公司。</w:t>
            </w:r>
          </w:p>
        </w:tc>
      </w:tr>
      <w:tr w14:paraId="60FD256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3" w:hRule="atLeast"/>
        </w:trPr>
        <w:tc>
          <w:tcPr>
            <w:tcW w:w="5327" w:type="dxa"/>
            <w:gridSpan w:val="2"/>
            <w:tcBorders>
              <w:top w:val="single" w:color="000000" w:sz="4" w:space="0"/>
              <w:bottom w:val="single" w:color="000000" w:sz="4" w:space="0"/>
            </w:tcBorders>
          </w:tcPr>
          <w:p w14:paraId="33F771C2">
            <w:pPr>
              <w:widowControl w:val="0"/>
              <w:kinsoku/>
              <w:autoSpaceDE/>
              <w:autoSpaceDN/>
              <w:adjustRightInd/>
              <w:snapToGrid/>
              <w:spacing w:line="560" w:lineRule="exact"/>
              <w:jc w:val="both"/>
              <w:textAlignment w:val="auto"/>
              <w:rPr>
                <w:rFonts w:ascii="宋体" w:hAnsi="宋体" w:cs="宋体"/>
                <w:color w:val="auto"/>
                <w:sz w:val="28"/>
                <w:szCs w:val="28"/>
                <w:highlight w:val="none"/>
              </w:rPr>
            </w:pPr>
            <w:r>
              <w:rPr>
                <w:rFonts w:hint="eastAsia" w:ascii="仿宋_GB2312" w:hAnsi="宋体" w:eastAsia="仿宋_GB2312" w:cs="Times New Roman"/>
                <w:color w:val="auto"/>
                <w:kern w:val="2"/>
                <w:sz w:val="32"/>
                <w:szCs w:val="32"/>
                <w:highlight w:val="none"/>
                <w:lang w:eastAsia="zh-CN"/>
              </w:rPr>
              <w:t>福州市生态环境局</w:t>
            </w:r>
          </w:p>
        </w:tc>
        <w:tc>
          <w:tcPr>
            <w:tcW w:w="3511" w:type="dxa"/>
            <w:tcBorders>
              <w:top w:val="single" w:color="000000" w:sz="4" w:space="0"/>
              <w:bottom w:val="single" w:color="000000" w:sz="4" w:space="0"/>
            </w:tcBorders>
          </w:tcPr>
          <w:p w14:paraId="06621CBF">
            <w:pPr>
              <w:widowControl w:val="0"/>
              <w:kinsoku/>
              <w:autoSpaceDE/>
              <w:autoSpaceDN/>
              <w:adjustRightInd/>
              <w:snapToGrid/>
              <w:spacing w:line="560" w:lineRule="exact"/>
              <w:jc w:val="both"/>
              <w:textAlignment w:val="auto"/>
              <w:rPr>
                <w:rFonts w:ascii="宋体" w:hAnsi="宋体" w:cs="宋体"/>
                <w:color w:val="auto"/>
                <w:sz w:val="28"/>
                <w:szCs w:val="28"/>
                <w:highlight w:val="none"/>
              </w:rPr>
            </w:pPr>
            <w:r>
              <w:rPr>
                <w:rFonts w:ascii="仿宋_GB2312" w:hAnsi="宋体" w:eastAsia="仿宋_GB2312" w:cs="Times New Roman"/>
                <w:color w:val="auto"/>
                <w:kern w:val="2"/>
                <w:sz w:val="32"/>
                <w:szCs w:val="32"/>
                <w:highlight w:val="none"/>
                <w:lang w:eastAsia="zh-CN"/>
              </w:rPr>
              <w:t>2026</w:t>
            </w:r>
            <w:r>
              <w:rPr>
                <w:rFonts w:hint="eastAsia" w:ascii="仿宋_GB2312" w:hAnsi="宋体" w:eastAsia="仿宋_GB2312" w:cs="Times New Roman"/>
                <w:color w:val="auto"/>
                <w:kern w:val="2"/>
                <w:sz w:val="32"/>
                <w:szCs w:val="32"/>
                <w:highlight w:val="none"/>
                <w:lang w:eastAsia="zh-CN"/>
              </w:rPr>
              <w:t>年</w:t>
            </w:r>
            <w:r>
              <w:rPr>
                <w:rFonts w:hint="eastAsia" w:ascii="仿宋_GB2312" w:hAnsi="宋体" w:eastAsia="仿宋_GB2312" w:cs="Times New Roman"/>
                <w:color w:val="auto"/>
                <w:kern w:val="2"/>
                <w:sz w:val="32"/>
                <w:szCs w:val="32"/>
                <w:highlight w:val="none"/>
                <w:lang w:val="en-US" w:eastAsia="zh-CN"/>
              </w:rPr>
              <w:t>9</w:t>
            </w:r>
            <w:r>
              <w:rPr>
                <w:rFonts w:hint="eastAsia" w:ascii="仿宋_GB2312" w:hAnsi="宋体" w:eastAsia="仿宋_GB2312" w:cs="Times New Roman"/>
                <w:color w:val="auto"/>
                <w:kern w:val="2"/>
                <w:sz w:val="32"/>
                <w:szCs w:val="32"/>
                <w:highlight w:val="none"/>
                <w:lang w:eastAsia="zh-CN"/>
              </w:rPr>
              <w:t>月</w:t>
            </w:r>
            <w:r>
              <w:rPr>
                <w:rFonts w:hint="eastAsia" w:ascii="仿宋_GB2312" w:hAnsi="宋体" w:eastAsia="仿宋_GB2312" w:cs="Times New Roman"/>
                <w:color w:val="auto"/>
                <w:kern w:val="2"/>
                <w:sz w:val="32"/>
                <w:szCs w:val="32"/>
                <w:highlight w:val="none"/>
                <w:lang w:val="en-US" w:eastAsia="zh-CN"/>
              </w:rPr>
              <w:t>3</w:t>
            </w:r>
            <w:r>
              <w:rPr>
                <w:rFonts w:hint="eastAsia" w:ascii="仿宋_GB2312" w:hAnsi="宋体" w:eastAsia="仿宋_GB2312" w:cs="Times New Roman"/>
                <w:color w:val="auto"/>
                <w:kern w:val="2"/>
                <w:sz w:val="32"/>
                <w:szCs w:val="32"/>
                <w:highlight w:val="none"/>
                <w:lang w:eastAsia="zh-CN"/>
              </w:rPr>
              <w:t>日印发</w:t>
            </w:r>
          </w:p>
        </w:tc>
      </w:tr>
    </w:tbl>
    <w:p w14:paraId="73048248">
      <w:pPr>
        <w:rPr>
          <w:color w:val="auto"/>
        </w:rPr>
      </w:pPr>
    </w:p>
    <w:sectPr>
      <w:headerReference r:id="rId3" w:type="default"/>
      <w:footerReference r:id="rId4" w:type="default"/>
      <w:pgSz w:w="11900" w:h="16820"/>
      <w:pgMar w:top="1587" w:right="1531" w:bottom="1587" w:left="153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decorative"/>
    <w:pitch w:val="default"/>
    <w:sig w:usb0="800002BF" w:usb1="38CF7CFA" w:usb2="00000016" w:usb3="00000000" w:csb0="00040001" w:csb1="00000000"/>
  </w:font>
  <w:font w:name="仿宋_GB2312">
    <w:panose1 w:val="02010609030101010101"/>
    <w:charset w:val="86"/>
    <w:family w:val="decorative"/>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33E89">
    <w:pPr>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90BDD">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revisionView w:markup="0"/>
  <w:documentProtection w:enforcement="0"/>
  <w:defaultTabStop w:val="420"/>
  <w:characterSpacingControl w:val="doNotCompress"/>
  <w:noLineBreaksAfter w:lang="zh-CN" w:val="$([{£¥·‘“〈《「『【〔〖〝﹙﹛﹝＄（．［｛￡￥"/>
  <w:noLineBreaksBefore w:lang="zh-CN" w:val="!%),.:;&gt;?]}¢¨°·ˇˉ―‖’”…‰′″›℃∶、。〃〉》」』】〕〗〞︶︺︾﹀﹄﹚﹜﹞！＂％＇），．：；？］｀｜｝～￠"/>
  <w:compat>
    <w:spaceForUL/>
    <w:ulTrailSpac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lNjRjMzA0YzRhNWYwMzVmNzhkYzVmMzFiYzkxZWMifQ=="/>
  </w:docVars>
  <w:rsids>
    <w:rsidRoot w:val="00871F13"/>
    <w:rsid w:val="0000025A"/>
    <w:rsid w:val="003066E0"/>
    <w:rsid w:val="00483DCF"/>
    <w:rsid w:val="005C4F5F"/>
    <w:rsid w:val="006868F8"/>
    <w:rsid w:val="007E0524"/>
    <w:rsid w:val="00871F13"/>
    <w:rsid w:val="00883914"/>
    <w:rsid w:val="009E7D0A"/>
    <w:rsid w:val="00B6765C"/>
    <w:rsid w:val="00DB6C7F"/>
    <w:rsid w:val="00EB50DA"/>
    <w:rsid w:val="00EF636F"/>
    <w:rsid w:val="0151050E"/>
    <w:rsid w:val="02025A3C"/>
    <w:rsid w:val="0244134B"/>
    <w:rsid w:val="02DA1F3A"/>
    <w:rsid w:val="03483348"/>
    <w:rsid w:val="03960647"/>
    <w:rsid w:val="03F65A69"/>
    <w:rsid w:val="06285032"/>
    <w:rsid w:val="0842604B"/>
    <w:rsid w:val="08C57C66"/>
    <w:rsid w:val="091268D2"/>
    <w:rsid w:val="0AB6724B"/>
    <w:rsid w:val="0C1D3F05"/>
    <w:rsid w:val="0C3628D7"/>
    <w:rsid w:val="0C8B0422"/>
    <w:rsid w:val="0D377CC9"/>
    <w:rsid w:val="0EEC0FAC"/>
    <w:rsid w:val="0F4725BC"/>
    <w:rsid w:val="10BE20E4"/>
    <w:rsid w:val="11D65607"/>
    <w:rsid w:val="11E0714B"/>
    <w:rsid w:val="127A293E"/>
    <w:rsid w:val="13CA362C"/>
    <w:rsid w:val="143A6CDD"/>
    <w:rsid w:val="14E23F2C"/>
    <w:rsid w:val="16F55089"/>
    <w:rsid w:val="1787115B"/>
    <w:rsid w:val="18474B94"/>
    <w:rsid w:val="189E49D8"/>
    <w:rsid w:val="197209BC"/>
    <w:rsid w:val="1A3934BC"/>
    <w:rsid w:val="1B3D2BDD"/>
    <w:rsid w:val="1E837D5A"/>
    <w:rsid w:val="1F534865"/>
    <w:rsid w:val="237356B7"/>
    <w:rsid w:val="2483647E"/>
    <w:rsid w:val="25920967"/>
    <w:rsid w:val="28A10925"/>
    <w:rsid w:val="2ACB6489"/>
    <w:rsid w:val="2DFA72D7"/>
    <w:rsid w:val="31D939CA"/>
    <w:rsid w:val="32152D99"/>
    <w:rsid w:val="336B3102"/>
    <w:rsid w:val="3A9A4FB0"/>
    <w:rsid w:val="3B8C57C0"/>
    <w:rsid w:val="3BAD000A"/>
    <w:rsid w:val="3EA24968"/>
    <w:rsid w:val="3EB72F87"/>
    <w:rsid w:val="3F7B39CA"/>
    <w:rsid w:val="3FCB17B4"/>
    <w:rsid w:val="412B3F0D"/>
    <w:rsid w:val="439B0685"/>
    <w:rsid w:val="444B446B"/>
    <w:rsid w:val="44631622"/>
    <w:rsid w:val="45CF61EA"/>
    <w:rsid w:val="462C207A"/>
    <w:rsid w:val="482B381D"/>
    <w:rsid w:val="4B7E5B73"/>
    <w:rsid w:val="4D596D5F"/>
    <w:rsid w:val="4E067EB5"/>
    <w:rsid w:val="4E9E6D0A"/>
    <w:rsid w:val="4F703D65"/>
    <w:rsid w:val="4FAC0881"/>
    <w:rsid w:val="50F87C86"/>
    <w:rsid w:val="50FE6D40"/>
    <w:rsid w:val="53FB53C7"/>
    <w:rsid w:val="549F3BB6"/>
    <w:rsid w:val="55397EB4"/>
    <w:rsid w:val="556B6E7C"/>
    <w:rsid w:val="55A02E9C"/>
    <w:rsid w:val="58F32023"/>
    <w:rsid w:val="59B33DE5"/>
    <w:rsid w:val="5B5C184E"/>
    <w:rsid w:val="5B743E4F"/>
    <w:rsid w:val="5CE15514"/>
    <w:rsid w:val="60154ADB"/>
    <w:rsid w:val="64372C54"/>
    <w:rsid w:val="66447AFF"/>
    <w:rsid w:val="66452A0F"/>
    <w:rsid w:val="66FB5818"/>
    <w:rsid w:val="67C6317B"/>
    <w:rsid w:val="6838082B"/>
    <w:rsid w:val="68E5013A"/>
    <w:rsid w:val="6A2F1B36"/>
    <w:rsid w:val="6CFA364D"/>
    <w:rsid w:val="73221F8B"/>
    <w:rsid w:val="73666F5B"/>
    <w:rsid w:val="76261C54"/>
    <w:rsid w:val="76E44A0F"/>
    <w:rsid w:val="7B81607F"/>
    <w:rsid w:val="7C73785A"/>
    <w:rsid w:val="7D5E6F1A"/>
    <w:rsid w:val="7E0C410B"/>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semiHidden="0" w:name="toc 4"/>
    <w:lsdException w:uiPriority="39" w:name="toc 5"/>
    <w:lsdException w:uiPriority="39" w:name="toc 6"/>
    <w:lsdException w:qFormat="1" w:unhideWhenUsed="0" w:uiPriority="39" w:semiHidden="0"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宋体" w:cs="Arial"/>
      <w:color w:val="000000"/>
      <w:kern w:val="0"/>
      <w:sz w:val="21"/>
      <w:szCs w:val="21"/>
      <w:lang w:val="en-US" w:eastAsia="en-US" w:bidi="ar-SA"/>
    </w:rPr>
  </w:style>
  <w:style w:type="character" w:default="1" w:styleId="11">
    <w:name w:val="Default Paragraph Font"/>
    <w:semiHidden/>
    <w:qFormat/>
    <w:uiPriority w:val="99"/>
  </w:style>
  <w:style w:type="table" w:default="1" w:styleId="10">
    <w:name w:val="Normal Table"/>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
    <w:name w:val="纯文本1"/>
    <w:basedOn w:val="1"/>
    <w:qFormat/>
    <w:uiPriority w:val="0"/>
    <w:pPr>
      <w:adjustRightInd w:val="0"/>
      <w:textAlignment w:val="baseline"/>
    </w:pPr>
    <w:rPr>
      <w:rFonts w:ascii="宋体" w:hAnsi="Courier New" w:eastAsia="宋体" w:cs="Times New Roman"/>
      <w:szCs w:val="20"/>
    </w:rPr>
  </w:style>
  <w:style w:type="paragraph" w:styleId="4">
    <w:name w:val="toc 7"/>
    <w:basedOn w:val="1"/>
    <w:next w:val="1"/>
    <w:qFormat/>
    <w:uiPriority w:val="39"/>
    <w:pPr>
      <w:ind w:left="1260"/>
      <w:jc w:val="left"/>
    </w:pPr>
    <w:rPr>
      <w:sz w:val="18"/>
      <w:szCs w:val="18"/>
    </w:rPr>
  </w:style>
  <w:style w:type="paragraph" w:styleId="5">
    <w:name w:val="Body Text"/>
    <w:basedOn w:val="1"/>
    <w:link w:val="14"/>
    <w:semiHidden/>
    <w:qFormat/>
    <w:uiPriority w:val="99"/>
    <w:rPr>
      <w:rFonts w:ascii="仿宋" w:hAnsi="仿宋" w:eastAsia="仿宋" w:cs="仿宋"/>
      <w:sz w:val="31"/>
      <w:szCs w:val="31"/>
    </w:rPr>
  </w:style>
  <w:style w:type="paragraph" w:styleId="6">
    <w:name w:val="Body Text Indent"/>
    <w:basedOn w:val="1"/>
    <w:next w:val="7"/>
    <w:link w:val="12"/>
    <w:qFormat/>
    <w:uiPriority w:val="99"/>
    <w:pPr>
      <w:spacing w:after="120"/>
      <w:ind w:left="420" w:leftChars="200"/>
    </w:pPr>
  </w:style>
  <w:style w:type="paragraph" w:customStyle="1" w:styleId="7">
    <w:name w:val="样式 正文文本缩进 + 宋体 小四 居中 行距: 固定值 23 磅1"/>
    <w:basedOn w:val="1"/>
    <w:qFormat/>
    <w:uiPriority w:val="99"/>
    <w:pPr>
      <w:spacing w:line="460" w:lineRule="exact"/>
      <w:ind w:left="-181" w:leftChars="-86"/>
    </w:pPr>
    <w:rPr>
      <w:rFonts w:ascii="宋体" w:hAnsi="Times New Roman" w:cs="宋体"/>
    </w:rPr>
  </w:style>
  <w:style w:type="paragraph" w:styleId="8">
    <w:name w:val="toc 4"/>
    <w:basedOn w:val="1"/>
    <w:next w:val="1"/>
    <w:unhideWhenUsed/>
    <w:qFormat/>
    <w:uiPriority w:val="39"/>
    <w:pPr>
      <w:adjustRightInd/>
      <w:snapToGrid/>
      <w:spacing w:line="240" w:lineRule="auto"/>
      <w:ind w:left="1260" w:leftChars="600" w:firstLine="0" w:firstLineChars="0"/>
    </w:pPr>
    <w:rPr>
      <w:kern w:val="2"/>
      <w:sz w:val="21"/>
      <w:szCs w:val="24"/>
    </w:rPr>
  </w:style>
  <w:style w:type="paragraph" w:styleId="9">
    <w:name w:val="Body Text First Indent 2"/>
    <w:basedOn w:val="6"/>
    <w:next w:val="1"/>
    <w:link w:val="13"/>
    <w:qFormat/>
    <w:uiPriority w:val="99"/>
    <w:pPr>
      <w:spacing w:after="0" w:line="420" w:lineRule="exact"/>
      <w:ind w:left="0" w:leftChars="0" w:firstLine="420"/>
    </w:pPr>
    <w:rPr>
      <w:rFonts w:ascii="仿宋_GB2312" w:eastAsia="Times New Roman"/>
      <w:sz w:val="24"/>
    </w:rPr>
  </w:style>
  <w:style w:type="character" w:customStyle="1" w:styleId="12">
    <w:name w:val="Body Text Indent Char"/>
    <w:basedOn w:val="11"/>
    <w:link w:val="6"/>
    <w:semiHidden/>
    <w:qFormat/>
    <w:uiPriority w:val="99"/>
    <w:rPr>
      <w:color w:val="000000"/>
      <w:kern w:val="0"/>
      <w:szCs w:val="21"/>
      <w:lang w:eastAsia="en-US"/>
    </w:rPr>
  </w:style>
  <w:style w:type="character" w:customStyle="1" w:styleId="13">
    <w:name w:val="Body Text First Indent 2 Char"/>
    <w:basedOn w:val="12"/>
    <w:link w:val="9"/>
    <w:semiHidden/>
    <w:qFormat/>
    <w:uiPriority w:val="99"/>
  </w:style>
  <w:style w:type="character" w:customStyle="1" w:styleId="14">
    <w:name w:val="Body Text Char"/>
    <w:basedOn w:val="11"/>
    <w:link w:val="5"/>
    <w:semiHidden/>
    <w:qFormat/>
    <w:uiPriority w:val="99"/>
    <w:rPr>
      <w:color w:val="000000"/>
      <w:kern w:val="0"/>
      <w:szCs w:val="21"/>
      <w:lang w:eastAsia="en-US"/>
    </w:rPr>
  </w:style>
  <w:style w:type="table" w:customStyle="1" w:styleId="15">
    <w:name w:val="Table Normal1"/>
    <w:semiHidden/>
    <w:qFormat/>
    <w:uiPriority w:val="99"/>
    <w:rPr>
      <w:kern w:val="0"/>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Pages>4</Pages>
  <Words>1327</Words>
  <Characters>1379</Characters>
  <Lines>0</Lines>
  <Paragraphs>0</Paragraphs>
  <TotalTime>1314</TotalTime>
  <ScaleCrop>false</ScaleCrop>
  <LinksUpToDate>false</LinksUpToDate>
  <CharactersWithSpaces>1427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2025-10-29T10:06:00Z</dcterms:created>
  <dc:creator>yjzx1</dc:creator>
  <cp:lastModifiedBy>月见函灯</cp:lastModifiedBy>
  <cp:lastPrinted>2026-09-02T03:37:00Z</cp:lastPrinted>
  <dcterms:modified xsi:type="dcterms:W3CDTF">2026-09-03T06:02:47Z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UsrData">
    <vt:lpwstr>690176976c2928001f0eb7e2wl</vt:lpwstr>
  </property>
  <property fmtid="{D5CDD505-2E9C-101B-9397-08002B2CF9AE}" pid="4" name="KSOTemplateDocerSaveRecord">
    <vt:lpwstr>eyJoZGlkIjoiMDkxNDM5NTI3YTI2MzU0NTA3MzliODM2N2FlYTc2NjYiLCJ1c2VySWQiOiI0MjM3NjMwNzUifQ==</vt:lpwstr>
  </property>
  <property fmtid="{D5CDD505-2E9C-101B-9397-08002B2CF9AE}" pid="5" name="KSOProductBuildVer">
    <vt:lpwstr>2052-12.1.0.28505</vt:lpwstr>
  </property>
  <property fmtid="{D5CDD505-2E9C-101B-9397-08002B2CF9AE}" pid="6" name="ICV">
    <vt:lpwstr>BAC9CD0837D443D1AE15E15BC51D87D5_13</vt:lpwstr>
  </property>
</Properties>
</file>