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EE1A2">
      <w:pPr>
        <w:bidi w:val="0"/>
        <w:rPr>
          <w:rFonts w:hint="eastAsia"/>
          <w:color w:val="auto"/>
          <w:highlight w:val="none"/>
          <w:lang w:val="en-US" w:eastAsia="zh-CN"/>
        </w:rPr>
      </w:pPr>
      <w:bookmarkStart w:id="0" w:name="_Toc446687204"/>
      <w:bookmarkEnd w:id="0"/>
      <w:bookmarkStart w:id="1" w:name="_Toc446687538"/>
      <w:bookmarkEnd w:id="1"/>
      <w:bookmarkStart w:id="2" w:name="_Toc446687380"/>
      <w:bookmarkEnd w:id="2"/>
      <w:bookmarkStart w:id="3" w:name="_Toc446687371"/>
      <w:bookmarkEnd w:id="3"/>
      <w:bookmarkStart w:id="4" w:name="_Toc446687294"/>
      <w:bookmarkEnd w:id="4"/>
      <w:bookmarkStart w:id="5" w:name="_Toc446687429"/>
      <w:bookmarkEnd w:id="5"/>
      <w:bookmarkStart w:id="6" w:name="_Toc446687447"/>
      <w:bookmarkEnd w:id="6"/>
      <w:bookmarkStart w:id="7" w:name="_Toc446687373"/>
      <w:bookmarkEnd w:id="7"/>
      <w:bookmarkStart w:id="8" w:name="_Toc446687529"/>
      <w:bookmarkEnd w:id="8"/>
      <w:bookmarkStart w:id="9" w:name="_Toc446687413"/>
      <w:bookmarkEnd w:id="9"/>
      <w:bookmarkStart w:id="10" w:name="_Toc446687244"/>
      <w:bookmarkEnd w:id="10"/>
      <w:bookmarkStart w:id="11" w:name="_Toc446687381"/>
      <w:bookmarkEnd w:id="11"/>
      <w:bookmarkStart w:id="12" w:name="_Toc446687320"/>
      <w:bookmarkEnd w:id="12"/>
      <w:bookmarkStart w:id="13" w:name="_Toc446687440"/>
      <w:bookmarkEnd w:id="13"/>
      <w:bookmarkStart w:id="14" w:name="_Toc446687426"/>
      <w:bookmarkEnd w:id="14"/>
      <w:bookmarkStart w:id="15" w:name="_Toc446687206"/>
      <w:bookmarkEnd w:id="15"/>
      <w:bookmarkStart w:id="16" w:name="_Toc446687428"/>
      <w:bookmarkEnd w:id="16"/>
      <w:bookmarkStart w:id="17" w:name="_Toc446687433"/>
      <w:bookmarkEnd w:id="17"/>
      <w:bookmarkStart w:id="18" w:name="_Toc446687286"/>
      <w:bookmarkEnd w:id="18"/>
      <w:bookmarkStart w:id="19" w:name="_Toc446687202"/>
      <w:bookmarkEnd w:id="19"/>
      <w:bookmarkStart w:id="20" w:name="_Toc446687412"/>
      <w:bookmarkEnd w:id="20"/>
      <w:bookmarkStart w:id="21" w:name="_Toc446687527"/>
      <w:bookmarkEnd w:id="21"/>
      <w:bookmarkStart w:id="22" w:name="_Toc446687398"/>
      <w:bookmarkEnd w:id="22"/>
      <w:bookmarkStart w:id="23" w:name="_Toc446687453"/>
      <w:bookmarkEnd w:id="23"/>
      <w:bookmarkStart w:id="24" w:name="_Toc446687416"/>
      <w:bookmarkEnd w:id="24"/>
      <w:bookmarkStart w:id="25" w:name="_Toc446687457"/>
      <w:bookmarkEnd w:id="25"/>
      <w:bookmarkStart w:id="26" w:name="_Toc446687383"/>
      <w:bookmarkEnd w:id="26"/>
      <w:bookmarkStart w:id="27" w:name="_Toc446687409"/>
      <w:bookmarkEnd w:id="27"/>
      <w:bookmarkStart w:id="28" w:name="_Toc446687508"/>
      <w:bookmarkEnd w:id="28"/>
      <w:bookmarkStart w:id="29" w:name="_Toc446687246"/>
      <w:bookmarkEnd w:id="29"/>
      <w:bookmarkStart w:id="30" w:name="_Toc446687530"/>
      <w:bookmarkEnd w:id="30"/>
      <w:bookmarkStart w:id="31" w:name="_Toc446687441"/>
      <w:bookmarkEnd w:id="31"/>
      <w:bookmarkStart w:id="32" w:name="_Toc446687444"/>
      <w:bookmarkEnd w:id="32"/>
      <w:bookmarkStart w:id="33" w:name="_Toc446687278"/>
      <w:bookmarkEnd w:id="33"/>
      <w:bookmarkStart w:id="34" w:name="_Toc446687437"/>
      <w:bookmarkEnd w:id="34"/>
      <w:bookmarkStart w:id="35" w:name="_Toc446687251"/>
      <w:bookmarkEnd w:id="35"/>
      <w:bookmarkStart w:id="36" w:name="_Toc446687456"/>
      <w:bookmarkEnd w:id="36"/>
      <w:bookmarkStart w:id="37" w:name="_Toc446687375"/>
      <w:bookmarkEnd w:id="37"/>
      <w:bookmarkStart w:id="38" w:name="_Toc446687534"/>
      <w:bookmarkEnd w:id="38"/>
      <w:bookmarkStart w:id="39" w:name="_Toc446687442"/>
      <w:bookmarkEnd w:id="39"/>
      <w:bookmarkStart w:id="40" w:name="_Toc446687308"/>
      <w:bookmarkEnd w:id="40"/>
      <w:bookmarkStart w:id="41" w:name="_Toc446687377"/>
      <w:bookmarkEnd w:id="41"/>
      <w:bookmarkStart w:id="42" w:name="_Toc446687424"/>
      <w:bookmarkEnd w:id="42"/>
      <w:bookmarkStart w:id="43" w:name="_Toc446687242"/>
      <w:bookmarkEnd w:id="43"/>
      <w:bookmarkStart w:id="44" w:name="_Toc446687385"/>
      <w:bookmarkEnd w:id="44"/>
      <w:bookmarkStart w:id="45" w:name="_Toc446687376"/>
      <w:bookmarkEnd w:id="45"/>
      <w:bookmarkStart w:id="46" w:name="_Toc446687272"/>
      <w:bookmarkEnd w:id="46"/>
      <w:bookmarkStart w:id="47" w:name="_Toc446687533"/>
      <w:bookmarkEnd w:id="47"/>
      <w:bookmarkStart w:id="48" w:name="_Toc446687450"/>
      <w:bookmarkEnd w:id="48"/>
      <w:bookmarkStart w:id="49" w:name="_Toc446687298"/>
      <w:bookmarkEnd w:id="49"/>
      <w:bookmarkStart w:id="50" w:name="_Toc446687411"/>
      <w:bookmarkEnd w:id="50"/>
      <w:bookmarkStart w:id="51" w:name="_Toc446687348"/>
      <w:bookmarkEnd w:id="51"/>
      <w:bookmarkStart w:id="52" w:name="_Toc446687455"/>
      <w:bookmarkEnd w:id="52"/>
      <w:bookmarkStart w:id="53" w:name="_Toc446687208"/>
      <w:bookmarkEnd w:id="53"/>
      <w:bookmarkStart w:id="54" w:name="_Toc446687378"/>
      <w:bookmarkEnd w:id="54"/>
      <w:bookmarkStart w:id="55" w:name="_Toc446687374"/>
      <w:bookmarkEnd w:id="55"/>
      <w:bookmarkStart w:id="56" w:name="_Toc446687403"/>
      <w:bookmarkEnd w:id="56"/>
      <w:bookmarkStart w:id="57" w:name="_Toc446687384"/>
      <w:bookmarkEnd w:id="57"/>
      <w:bookmarkStart w:id="58" w:name="_Toc446687423"/>
      <w:bookmarkEnd w:id="58"/>
      <w:bookmarkStart w:id="59" w:name="_Toc446687290"/>
      <w:bookmarkEnd w:id="59"/>
      <w:bookmarkStart w:id="60" w:name="_Toc446687255"/>
      <w:bookmarkEnd w:id="60"/>
      <w:bookmarkStart w:id="61" w:name="_Toc446687435"/>
      <w:bookmarkEnd w:id="61"/>
      <w:bookmarkStart w:id="62" w:name="_Toc446687387"/>
      <w:bookmarkEnd w:id="62"/>
      <w:bookmarkStart w:id="63" w:name="_Toc446687408"/>
      <w:bookmarkEnd w:id="63"/>
      <w:bookmarkStart w:id="64" w:name="_Toc446687535"/>
      <w:bookmarkEnd w:id="64"/>
      <w:bookmarkStart w:id="65" w:name="_Toc446687448"/>
      <w:bookmarkEnd w:id="65"/>
      <w:bookmarkStart w:id="66" w:name="_Toc446687405"/>
      <w:bookmarkEnd w:id="66"/>
      <w:bookmarkStart w:id="67" w:name="_Toc446687432"/>
      <w:bookmarkEnd w:id="67"/>
      <w:bookmarkStart w:id="68" w:name="_Toc446687201"/>
      <w:bookmarkEnd w:id="68"/>
      <w:bookmarkStart w:id="69" w:name="_Toc446687452"/>
      <w:bookmarkEnd w:id="69"/>
      <w:bookmarkStart w:id="70" w:name="_Toc446687542"/>
      <w:bookmarkEnd w:id="70"/>
      <w:bookmarkStart w:id="71" w:name="_Toc446687205"/>
      <w:bookmarkEnd w:id="71"/>
      <w:bookmarkStart w:id="72" w:name="_Toc446687539"/>
      <w:bookmarkEnd w:id="72"/>
      <w:bookmarkStart w:id="73" w:name="_Toc446687439"/>
      <w:bookmarkEnd w:id="73"/>
      <w:bookmarkStart w:id="74" w:name="_Toc446687372"/>
      <w:bookmarkEnd w:id="74"/>
      <w:bookmarkStart w:id="75" w:name="_Toc446687415"/>
      <w:bookmarkEnd w:id="75"/>
      <w:bookmarkStart w:id="76" w:name="_Toc446687451"/>
      <w:bookmarkEnd w:id="76"/>
      <w:bookmarkStart w:id="77" w:name="_Toc446687507"/>
      <w:bookmarkEnd w:id="77"/>
      <w:bookmarkStart w:id="78" w:name="_Toc446687324"/>
      <w:bookmarkEnd w:id="78"/>
      <w:bookmarkStart w:id="79" w:name="_Toc446687506"/>
      <w:bookmarkEnd w:id="79"/>
      <w:bookmarkStart w:id="80" w:name="_Toc446687382"/>
      <w:bookmarkEnd w:id="80"/>
      <w:bookmarkStart w:id="81" w:name="_Toc446687207"/>
      <w:bookmarkEnd w:id="81"/>
      <w:bookmarkStart w:id="82" w:name="_Toc446687454"/>
      <w:bookmarkEnd w:id="82"/>
      <w:bookmarkStart w:id="83" w:name="_Toc446687414"/>
      <w:bookmarkEnd w:id="83"/>
      <w:bookmarkStart w:id="84" w:name="_Toc446687386"/>
      <w:bookmarkEnd w:id="84"/>
      <w:bookmarkStart w:id="85" w:name="_Toc446687531"/>
      <w:bookmarkEnd w:id="85"/>
      <w:bookmarkStart w:id="86" w:name="_Toc446687438"/>
      <w:bookmarkEnd w:id="86"/>
      <w:bookmarkStart w:id="87" w:name="_Toc446687370"/>
      <w:bookmarkEnd w:id="87"/>
      <w:bookmarkStart w:id="88" w:name="_Toc446687445"/>
      <w:bookmarkEnd w:id="88"/>
      <w:bookmarkStart w:id="89" w:name="_Toc446687346"/>
      <w:bookmarkEnd w:id="89"/>
      <w:bookmarkStart w:id="90" w:name="_Toc446687427"/>
      <w:bookmarkEnd w:id="90"/>
      <w:bookmarkStart w:id="91" w:name="_Toc446687449"/>
      <w:bookmarkEnd w:id="91"/>
      <w:bookmarkStart w:id="92" w:name="_Toc446687336"/>
      <w:bookmarkEnd w:id="92"/>
      <w:bookmarkStart w:id="93" w:name="_Toc446687264"/>
      <w:bookmarkEnd w:id="93"/>
      <w:bookmarkStart w:id="94" w:name="_Toc446687379"/>
      <w:bookmarkEnd w:id="94"/>
      <w:bookmarkStart w:id="95" w:name="_Toc446687406"/>
      <w:bookmarkEnd w:id="95"/>
      <w:bookmarkStart w:id="96" w:name="_Toc446687211"/>
      <w:bookmarkEnd w:id="96"/>
      <w:bookmarkStart w:id="97" w:name="_Toc446687537"/>
      <w:bookmarkEnd w:id="97"/>
      <w:bookmarkStart w:id="98" w:name="_Toc446687245"/>
      <w:bookmarkEnd w:id="98"/>
      <w:bookmarkStart w:id="99" w:name="_Toc446687430"/>
      <w:bookmarkEnd w:id="99"/>
      <w:bookmarkStart w:id="100" w:name="_Toc446687544"/>
      <w:bookmarkEnd w:id="100"/>
      <w:bookmarkStart w:id="101" w:name="_Toc446687203"/>
      <w:bookmarkEnd w:id="101"/>
      <w:bookmarkStart w:id="102" w:name="_Toc446687418"/>
      <w:bookmarkEnd w:id="102"/>
      <w:bookmarkStart w:id="103" w:name="_Toc446687443"/>
      <w:bookmarkEnd w:id="103"/>
      <w:bookmarkStart w:id="104" w:name="_Toc446687436"/>
      <w:bookmarkEnd w:id="104"/>
      <w:bookmarkStart w:id="105" w:name="_Toc446687404"/>
      <w:bookmarkEnd w:id="105"/>
      <w:bookmarkStart w:id="106" w:name="_Toc446687347"/>
      <w:bookmarkEnd w:id="106"/>
      <w:bookmarkStart w:id="107" w:name="_Toc446687543"/>
      <w:bookmarkEnd w:id="107"/>
      <w:bookmarkStart w:id="108" w:name="_Toc446687532"/>
      <w:bookmarkEnd w:id="108"/>
      <w:bookmarkStart w:id="109" w:name="_Toc446687407"/>
      <w:bookmarkEnd w:id="109"/>
      <w:bookmarkStart w:id="110" w:name="_Toc446687421"/>
      <w:bookmarkEnd w:id="110"/>
      <w:bookmarkStart w:id="111" w:name="_Toc446687345"/>
      <w:bookmarkEnd w:id="111"/>
      <w:bookmarkStart w:id="112" w:name="_Toc446687314"/>
      <w:bookmarkEnd w:id="112"/>
      <w:bookmarkStart w:id="113" w:name="_Toc446687401"/>
      <w:bookmarkEnd w:id="113"/>
      <w:bookmarkStart w:id="114" w:name="_Toc446687399"/>
      <w:bookmarkEnd w:id="114"/>
      <w:bookmarkStart w:id="115" w:name="_Toc446687446"/>
      <w:bookmarkEnd w:id="115"/>
      <w:bookmarkStart w:id="116" w:name="_Toc446687243"/>
      <w:bookmarkEnd w:id="116"/>
      <w:bookmarkStart w:id="117" w:name="_Toc446687540"/>
      <w:bookmarkEnd w:id="117"/>
      <w:bookmarkStart w:id="118" w:name="_Toc446687541"/>
      <w:bookmarkEnd w:id="118"/>
      <w:bookmarkStart w:id="119" w:name="_Toc446687332"/>
      <w:bookmarkEnd w:id="119"/>
      <w:bookmarkStart w:id="120" w:name="_Toc446687422"/>
      <w:bookmarkEnd w:id="120"/>
      <w:bookmarkStart w:id="121" w:name="_Toc446687536"/>
      <w:bookmarkEnd w:id="121"/>
      <w:bookmarkStart w:id="122" w:name="_Toc446687419"/>
      <w:bookmarkEnd w:id="122"/>
      <w:bookmarkStart w:id="123" w:name="_Toc446687341"/>
      <w:bookmarkEnd w:id="123"/>
      <w:bookmarkStart w:id="124" w:name="_Toc446687210"/>
      <w:bookmarkEnd w:id="124"/>
      <w:bookmarkStart w:id="125" w:name="_Toc446687431"/>
      <w:bookmarkEnd w:id="125"/>
      <w:bookmarkStart w:id="126" w:name="_Toc446687434"/>
      <w:bookmarkEnd w:id="126"/>
      <w:bookmarkStart w:id="127" w:name="_Toc446687420"/>
      <w:bookmarkEnd w:id="127"/>
      <w:bookmarkStart w:id="128" w:name="_Toc446687410"/>
      <w:bookmarkEnd w:id="128"/>
      <w:bookmarkStart w:id="129" w:name="_Toc446687528"/>
      <w:bookmarkEnd w:id="129"/>
      <w:bookmarkStart w:id="130" w:name="_Toc446687209"/>
      <w:bookmarkEnd w:id="130"/>
      <w:bookmarkStart w:id="131" w:name="_Toc239586287"/>
      <w:bookmarkStart w:id="132" w:name="_Toc445550184"/>
      <w:bookmarkStart w:id="133" w:name="_Toc359708309"/>
      <w:bookmarkStart w:id="134" w:name="_Toc359709220"/>
      <w:bookmarkStart w:id="135" w:name="_Toc359708684"/>
      <w:bookmarkStart w:id="136" w:name="_Toc366254991"/>
      <w:bookmarkStart w:id="137" w:name="_Toc3480"/>
      <w:bookmarkStart w:id="138" w:name="_Toc11651"/>
      <w:bookmarkStart w:id="139" w:name="_Toc3387"/>
      <w:bookmarkStart w:id="140" w:name="_Toc373835710"/>
      <w:bookmarkStart w:id="141" w:name="_Toc26719"/>
      <w:bookmarkStart w:id="142" w:name="_Toc20802"/>
      <w:bookmarkStart w:id="143" w:name="_Toc13854"/>
      <w:bookmarkStart w:id="144" w:name="_Toc362276158"/>
      <w:bookmarkStart w:id="145" w:name="_Toc20898"/>
      <w:bookmarkStart w:id="146" w:name="_Toc1817"/>
      <w:bookmarkStart w:id="147" w:name="_Toc22658"/>
      <w:bookmarkStart w:id="148" w:name="_Toc366255001"/>
      <w:bookmarkStart w:id="149" w:name="_Toc373835720"/>
      <w:bookmarkStart w:id="150" w:name="_Toc21344"/>
      <w:bookmarkStart w:id="151" w:name="_Toc3848"/>
      <w:bookmarkStart w:id="152" w:name="_Toc17852"/>
      <w:bookmarkStart w:id="153" w:name="_Toc15188"/>
      <w:bookmarkStart w:id="154" w:name="_Toc362276169"/>
      <w:bookmarkStart w:id="155" w:name="_Toc907"/>
      <w:bookmarkStart w:id="156" w:name="_Toc25791"/>
      <w:bookmarkStart w:id="157" w:name="_Toc6060"/>
      <w:bookmarkStart w:id="158" w:name="_Toc22490"/>
      <w:bookmarkStart w:id="159" w:name="_Toc18741"/>
    </w:p>
    <w:p w14:paraId="2AE45397">
      <w:pPr>
        <w:bidi w:val="0"/>
        <w:rPr>
          <w:rFonts w:hint="eastAsia"/>
          <w:color w:val="auto"/>
          <w:highlight w:val="none"/>
          <w:lang w:val="en-US" w:eastAsia="zh-CN"/>
        </w:rPr>
      </w:pPr>
    </w:p>
    <w:p w14:paraId="6AEDCB6D">
      <w:pPr>
        <w:bidi w:val="0"/>
        <w:rPr>
          <w:rFonts w:hint="eastAsia"/>
          <w:color w:val="auto"/>
          <w:highlight w:val="none"/>
          <w:lang w:val="en-US" w:eastAsia="zh-CN"/>
        </w:rPr>
      </w:pPr>
    </w:p>
    <w:p w14:paraId="0555C39F">
      <w:pPr>
        <w:bidi w:val="0"/>
        <w:rPr>
          <w:rFonts w:hint="eastAsia"/>
          <w:color w:val="auto"/>
          <w:highlight w:val="none"/>
          <w:lang w:val="en-US" w:eastAsia="zh-CN"/>
        </w:rPr>
      </w:pPr>
    </w:p>
    <w:p w14:paraId="6A847A45">
      <w:pPr>
        <w:pStyle w:val="2"/>
        <w:numPr>
          <w:ilvl w:val="0"/>
          <w:numId w:val="0"/>
        </w:numPr>
        <w:bidi w:val="0"/>
        <w:ind w:leftChars="0"/>
        <w:jc w:val="center"/>
        <w:rPr>
          <w:rFonts w:hint="eastAsia"/>
          <w:color w:val="auto"/>
          <w:sz w:val="56"/>
          <w:szCs w:val="56"/>
          <w:highlight w:val="none"/>
          <w:lang w:val="en-US" w:eastAsia="zh-CN"/>
        </w:rPr>
      </w:pPr>
      <w:bookmarkStart w:id="160" w:name="_Toc12918"/>
      <w:bookmarkStart w:id="161" w:name="_Toc13346"/>
      <w:bookmarkStart w:id="162" w:name="_Toc7541"/>
      <w:bookmarkStart w:id="163" w:name="_Toc23946"/>
      <w:bookmarkStart w:id="164" w:name="_Toc23959"/>
      <w:bookmarkStart w:id="165" w:name="_Toc3365"/>
      <w:bookmarkStart w:id="166" w:name="_Toc16928"/>
      <w:bookmarkStart w:id="167" w:name="_Toc23627"/>
      <w:r>
        <w:rPr>
          <w:rFonts w:hint="eastAsia"/>
          <w:color w:val="auto"/>
          <w:sz w:val="56"/>
          <w:szCs w:val="56"/>
          <w:highlight w:val="none"/>
          <w:lang w:val="en-US" w:eastAsia="zh-CN"/>
        </w:rPr>
        <w:t>福州日源汽车零部件加工生产项目</w:t>
      </w:r>
      <w:bookmarkEnd w:id="160"/>
      <w:bookmarkEnd w:id="161"/>
      <w:bookmarkEnd w:id="162"/>
      <w:bookmarkEnd w:id="163"/>
      <w:bookmarkEnd w:id="164"/>
      <w:bookmarkEnd w:id="165"/>
      <w:bookmarkEnd w:id="166"/>
      <w:bookmarkEnd w:id="167"/>
    </w:p>
    <w:p w14:paraId="0136A7DC">
      <w:pPr>
        <w:pStyle w:val="2"/>
        <w:numPr>
          <w:ilvl w:val="0"/>
          <w:numId w:val="0"/>
        </w:numPr>
        <w:bidi w:val="0"/>
        <w:ind w:leftChars="0"/>
        <w:jc w:val="center"/>
        <w:rPr>
          <w:rFonts w:hint="eastAsia"/>
          <w:color w:val="auto"/>
          <w:sz w:val="56"/>
          <w:szCs w:val="56"/>
          <w:highlight w:val="none"/>
          <w:lang w:val="en-US" w:eastAsia="zh-CN"/>
        </w:rPr>
      </w:pPr>
      <w:bookmarkStart w:id="168" w:name="_Toc12133"/>
      <w:bookmarkStart w:id="169" w:name="_Toc16839"/>
      <w:bookmarkStart w:id="170" w:name="_Toc28443"/>
      <w:bookmarkStart w:id="171" w:name="_Toc16540"/>
      <w:bookmarkStart w:id="172" w:name="_Toc15025"/>
      <w:bookmarkStart w:id="173" w:name="_Toc15117"/>
      <w:bookmarkStart w:id="174" w:name="_Toc3824"/>
      <w:bookmarkStart w:id="175" w:name="_Toc27969"/>
      <w:r>
        <w:rPr>
          <w:rFonts w:hint="eastAsia"/>
          <w:color w:val="auto"/>
          <w:sz w:val="56"/>
          <w:szCs w:val="56"/>
          <w:highlight w:val="none"/>
          <w:lang w:val="en-US" w:eastAsia="zh-CN"/>
        </w:rPr>
        <w:t>生态环境影响报告书</w:t>
      </w:r>
      <w:bookmarkEnd w:id="168"/>
      <w:bookmarkEnd w:id="169"/>
      <w:bookmarkEnd w:id="170"/>
      <w:bookmarkEnd w:id="171"/>
      <w:bookmarkEnd w:id="172"/>
      <w:bookmarkEnd w:id="173"/>
      <w:bookmarkEnd w:id="174"/>
      <w:bookmarkEnd w:id="175"/>
    </w:p>
    <w:p w14:paraId="29BAE8F1">
      <w:pPr>
        <w:pStyle w:val="2"/>
        <w:numPr>
          <w:ilvl w:val="0"/>
          <w:numId w:val="0"/>
        </w:numPr>
        <w:bidi w:val="0"/>
        <w:ind w:leftChars="0"/>
        <w:jc w:val="center"/>
        <w:rPr>
          <w:rFonts w:hint="eastAsia"/>
          <w:color w:val="auto"/>
          <w:sz w:val="56"/>
          <w:szCs w:val="56"/>
          <w:highlight w:val="none"/>
          <w:lang w:val="en-US" w:eastAsia="zh-CN"/>
        </w:rPr>
      </w:pPr>
      <w:bookmarkStart w:id="176" w:name="_Toc13192"/>
      <w:bookmarkStart w:id="177" w:name="_Toc27176"/>
      <w:bookmarkStart w:id="178" w:name="_Toc1989"/>
      <w:bookmarkStart w:id="179" w:name="_Toc13888"/>
      <w:bookmarkStart w:id="180" w:name="_Toc26413"/>
      <w:bookmarkStart w:id="181" w:name="_Toc20066"/>
      <w:bookmarkStart w:id="182" w:name="_Toc29243"/>
      <w:bookmarkStart w:id="183" w:name="_Toc32438"/>
      <w:r>
        <w:rPr>
          <w:rFonts w:hint="eastAsia"/>
          <w:color w:val="auto"/>
          <w:sz w:val="56"/>
          <w:szCs w:val="56"/>
          <w:highlight w:val="none"/>
          <w:lang w:val="en-US" w:eastAsia="zh-CN"/>
        </w:rPr>
        <w:t>（公示稿）</w:t>
      </w:r>
      <w:bookmarkEnd w:id="176"/>
      <w:bookmarkEnd w:id="177"/>
      <w:bookmarkEnd w:id="178"/>
      <w:bookmarkEnd w:id="179"/>
      <w:bookmarkEnd w:id="180"/>
      <w:bookmarkEnd w:id="181"/>
      <w:bookmarkEnd w:id="182"/>
      <w:bookmarkEnd w:id="183"/>
    </w:p>
    <w:p w14:paraId="742A3EFB">
      <w:pPr>
        <w:bidi w:val="0"/>
        <w:rPr>
          <w:rFonts w:hint="eastAsia"/>
          <w:color w:val="auto"/>
          <w:highlight w:val="none"/>
          <w:lang w:val="en-US" w:eastAsia="zh-CN"/>
        </w:rPr>
      </w:pPr>
    </w:p>
    <w:p w14:paraId="04C40145">
      <w:pPr>
        <w:bidi w:val="0"/>
        <w:rPr>
          <w:rFonts w:hint="eastAsia"/>
          <w:color w:val="auto"/>
          <w:highlight w:val="none"/>
          <w:lang w:val="en-US" w:eastAsia="zh-CN"/>
        </w:rPr>
      </w:pPr>
    </w:p>
    <w:p w14:paraId="2C15F31D">
      <w:pPr>
        <w:bidi w:val="0"/>
        <w:rPr>
          <w:rFonts w:hint="eastAsia"/>
          <w:color w:val="auto"/>
          <w:highlight w:val="none"/>
          <w:lang w:val="en-US" w:eastAsia="zh-CN"/>
        </w:rPr>
      </w:pPr>
    </w:p>
    <w:p w14:paraId="28692D1B">
      <w:pPr>
        <w:bidi w:val="0"/>
        <w:rPr>
          <w:rFonts w:hint="eastAsia"/>
          <w:color w:val="auto"/>
          <w:highlight w:val="none"/>
          <w:lang w:val="en-US" w:eastAsia="zh-CN"/>
        </w:rPr>
      </w:pPr>
    </w:p>
    <w:p w14:paraId="4938326B">
      <w:pPr>
        <w:bidi w:val="0"/>
        <w:rPr>
          <w:rFonts w:hint="eastAsia"/>
          <w:color w:val="auto"/>
          <w:highlight w:val="none"/>
          <w:lang w:val="en-US" w:eastAsia="zh-CN"/>
        </w:rPr>
      </w:pPr>
    </w:p>
    <w:p w14:paraId="4DD68308">
      <w:pPr>
        <w:bidi w:val="0"/>
        <w:rPr>
          <w:rFonts w:hint="eastAsia"/>
          <w:color w:val="auto"/>
          <w:highlight w:val="none"/>
          <w:lang w:val="en-US" w:eastAsia="zh-CN"/>
        </w:rPr>
      </w:pPr>
    </w:p>
    <w:p w14:paraId="6C69BC8D">
      <w:pPr>
        <w:bidi w:val="0"/>
        <w:rPr>
          <w:rFonts w:hint="eastAsia"/>
          <w:color w:val="auto"/>
          <w:highlight w:val="none"/>
          <w:lang w:val="en-US" w:eastAsia="zh-CN"/>
        </w:rPr>
      </w:pPr>
    </w:p>
    <w:p w14:paraId="19B835CC">
      <w:pPr>
        <w:bidi w:val="0"/>
        <w:rPr>
          <w:rFonts w:hint="eastAsia"/>
          <w:color w:val="auto"/>
          <w:highlight w:val="none"/>
          <w:lang w:val="en-US" w:eastAsia="zh-CN"/>
        </w:rPr>
      </w:pPr>
    </w:p>
    <w:p w14:paraId="00665EF4">
      <w:pPr>
        <w:bidi w:val="0"/>
        <w:rPr>
          <w:rFonts w:hint="eastAsia"/>
          <w:color w:val="auto"/>
          <w:highlight w:val="none"/>
          <w:lang w:val="en-US" w:eastAsia="zh-CN"/>
        </w:rPr>
      </w:pPr>
    </w:p>
    <w:p w14:paraId="6AC28611">
      <w:pPr>
        <w:bidi w:val="0"/>
        <w:rPr>
          <w:rFonts w:hint="eastAsia"/>
          <w:color w:val="auto"/>
          <w:highlight w:val="none"/>
          <w:lang w:val="en-US" w:eastAsia="zh-CN"/>
        </w:rPr>
      </w:pPr>
    </w:p>
    <w:p w14:paraId="3636D5BE">
      <w:pPr>
        <w:bidi w:val="0"/>
        <w:rPr>
          <w:rFonts w:hint="eastAsia"/>
          <w:color w:val="auto"/>
          <w:highlight w:val="none"/>
          <w:lang w:val="en-US" w:eastAsia="zh-CN"/>
        </w:rPr>
      </w:pPr>
    </w:p>
    <w:p w14:paraId="21646A7A">
      <w:pPr>
        <w:bidi w:val="0"/>
        <w:rPr>
          <w:rFonts w:hint="eastAsia"/>
          <w:color w:val="auto"/>
          <w:highlight w:val="none"/>
          <w:lang w:val="en-US" w:eastAsia="zh-CN"/>
        </w:rPr>
      </w:pPr>
    </w:p>
    <w:p w14:paraId="593FCCFC">
      <w:pPr>
        <w:bidi w:val="0"/>
        <w:rPr>
          <w:rFonts w:hint="eastAsia"/>
          <w:color w:val="auto"/>
          <w:highlight w:val="none"/>
          <w:lang w:val="en-US" w:eastAsia="zh-CN"/>
        </w:rPr>
      </w:pPr>
    </w:p>
    <w:p w14:paraId="36060F65">
      <w:pPr>
        <w:keepNext w:val="0"/>
        <w:keepLines w:val="0"/>
        <w:widowControl/>
        <w:suppressLineNumbers w:val="0"/>
        <w:jc w:val="center"/>
        <w:rPr>
          <w:rFonts w:ascii="Times New Roman" w:hAnsi="Times New Roman" w:eastAsia="宋体" w:cs="Times New Roman"/>
          <w:color w:val="auto"/>
          <w:highlight w:val="none"/>
        </w:rPr>
      </w:pPr>
      <w:r>
        <w:rPr>
          <w:rFonts w:hint="eastAsia" w:ascii="宋体" w:hAnsi="宋体" w:eastAsia="宋体" w:cs="宋体"/>
          <w:b/>
          <w:bCs/>
          <w:color w:val="auto"/>
          <w:kern w:val="0"/>
          <w:sz w:val="36"/>
          <w:szCs w:val="36"/>
          <w:highlight w:val="none"/>
          <w:lang w:val="en-US" w:eastAsia="zh-CN" w:bidi="ar"/>
        </w:rPr>
        <w:t>建设单位：</w:t>
      </w:r>
      <w:r>
        <w:rPr>
          <w:rFonts w:hint="eastAsia" w:ascii="宋体" w:hAnsi="宋体" w:cs="宋体"/>
          <w:b/>
          <w:bCs/>
          <w:color w:val="auto"/>
          <w:kern w:val="0"/>
          <w:sz w:val="36"/>
          <w:szCs w:val="36"/>
          <w:highlight w:val="none"/>
          <w:lang w:val="en-US" w:eastAsia="zh-CN" w:bidi="ar"/>
        </w:rPr>
        <w:t>福州日源汽车零部件有限公司</w:t>
      </w:r>
    </w:p>
    <w:p w14:paraId="1053AC2D">
      <w:pPr>
        <w:keepNext w:val="0"/>
        <w:keepLines w:val="0"/>
        <w:widowControl/>
        <w:suppressLineNumbers w:val="0"/>
        <w:jc w:val="center"/>
        <w:rPr>
          <w:rFonts w:ascii="Times New Roman" w:hAnsi="Times New Roman" w:eastAsia="宋体" w:cs="Times New Roman"/>
          <w:color w:val="auto"/>
          <w:highlight w:val="none"/>
        </w:rPr>
      </w:pPr>
      <w:r>
        <w:rPr>
          <w:rFonts w:hint="eastAsia" w:ascii="宋体" w:hAnsi="宋体" w:eastAsia="宋体" w:cs="宋体"/>
          <w:b/>
          <w:bCs/>
          <w:color w:val="auto"/>
          <w:kern w:val="0"/>
          <w:sz w:val="36"/>
          <w:szCs w:val="36"/>
          <w:highlight w:val="none"/>
          <w:lang w:val="en-US" w:eastAsia="zh-CN" w:bidi="ar"/>
        </w:rPr>
        <w:t>环评单位：福州朴诚至信环保科技有限公司</w:t>
      </w:r>
    </w:p>
    <w:p w14:paraId="5E63A224">
      <w:pPr>
        <w:keepNext w:val="0"/>
        <w:keepLines w:val="0"/>
        <w:widowControl/>
        <w:suppressLineNumbers w:val="0"/>
        <w:jc w:val="center"/>
        <w:rPr>
          <w:rFonts w:ascii="Times New Roman" w:hAnsi="Times New Roman" w:eastAsia="宋体" w:cs="Times New Roman"/>
          <w:color w:val="auto"/>
          <w:highlight w:val="none"/>
        </w:rPr>
      </w:pPr>
      <w:r>
        <w:rPr>
          <w:rFonts w:hint="eastAsia" w:ascii="宋体" w:hAnsi="宋体" w:eastAsia="宋体" w:cs="宋体"/>
          <w:b/>
          <w:bCs/>
          <w:color w:val="auto"/>
          <w:kern w:val="0"/>
          <w:sz w:val="36"/>
          <w:szCs w:val="36"/>
          <w:highlight w:val="none"/>
          <w:lang w:val="en-US" w:eastAsia="zh-CN" w:bidi="ar"/>
        </w:rPr>
        <w:t>二〇二</w:t>
      </w:r>
      <w:r>
        <w:rPr>
          <w:rFonts w:hint="eastAsia" w:ascii="宋体" w:hAnsi="宋体" w:cs="宋体"/>
          <w:b/>
          <w:bCs/>
          <w:color w:val="auto"/>
          <w:kern w:val="0"/>
          <w:sz w:val="36"/>
          <w:szCs w:val="36"/>
          <w:highlight w:val="none"/>
          <w:lang w:val="en-US" w:eastAsia="zh-CN" w:bidi="ar"/>
        </w:rPr>
        <w:t>六</w:t>
      </w:r>
      <w:r>
        <w:rPr>
          <w:rFonts w:hint="eastAsia" w:ascii="宋体" w:hAnsi="宋体" w:eastAsia="宋体" w:cs="宋体"/>
          <w:b/>
          <w:bCs/>
          <w:color w:val="auto"/>
          <w:kern w:val="0"/>
          <w:sz w:val="36"/>
          <w:szCs w:val="36"/>
          <w:highlight w:val="none"/>
          <w:lang w:val="en-US" w:eastAsia="zh-CN" w:bidi="ar"/>
        </w:rPr>
        <w:t>年</w:t>
      </w:r>
      <w:r>
        <w:rPr>
          <w:rFonts w:hint="eastAsia" w:ascii="宋体" w:hAnsi="宋体" w:cs="宋体"/>
          <w:b/>
          <w:bCs/>
          <w:color w:val="auto"/>
          <w:kern w:val="0"/>
          <w:sz w:val="36"/>
          <w:szCs w:val="36"/>
          <w:highlight w:val="none"/>
          <w:lang w:val="en-US" w:eastAsia="zh-CN" w:bidi="ar"/>
        </w:rPr>
        <w:t>十一</w:t>
      </w:r>
      <w:r>
        <w:rPr>
          <w:rFonts w:hint="eastAsia" w:ascii="宋体" w:hAnsi="宋体" w:eastAsia="宋体" w:cs="宋体"/>
          <w:b/>
          <w:bCs/>
          <w:color w:val="auto"/>
          <w:kern w:val="0"/>
          <w:sz w:val="36"/>
          <w:szCs w:val="36"/>
          <w:highlight w:val="none"/>
          <w:lang w:val="en-US" w:eastAsia="zh-CN" w:bidi="ar"/>
        </w:rPr>
        <w:t>月</w:t>
      </w:r>
    </w:p>
    <w:p w14:paraId="18EC5609">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3BD55286">
      <w:pPr>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5573395" cy="7880985"/>
            <wp:effectExtent l="0" t="0" r="8255" b="5715"/>
            <wp:docPr id="376" name="图片 376" descr="资质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76" descr="资质_02"/>
                    <pic:cNvPicPr>
                      <a:picLocks noChangeAspect="1"/>
                    </pic:cNvPicPr>
                  </pic:nvPicPr>
                  <pic:blipFill>
                    <a:blip r:embed="rId39"/>
                    <a:stretch>
                      <a:fillRect/>
                    </a:stretch>
                  </pic:blipFill>
                  <pic:spPr>
                    <a:xfrm>
                      <a:off x="0" y="0"/>
                      <a:ext cx="5573395" cy="7880985"/>
                    </a:xfrm>
                    <a:prstGeom prst="rect">
                      <a:avLst/>
                    </a:prstGeom>
                  </pic:spPr>
                </pic:pic>
              </a:graphicData>
            </a:graphic>
          </wp:inline>
        </w:drawing>
      </w:r>
      <w:r>
        <w:rPr>
          <w:rFonts w:hint="default"/>
          <w:color w:val="auto"/>
          <w:highlight w:val="none"/>
          <w:lang w:val="en-US" w:eastAsia="zh-CN"/>
        </w:rPr>
        <w:br w:type="page"/>
      </w:r>
    </w:p>
    <w:p w14:paraId="7E7DBCD1">
      <w:pPr>
        <w:rPr>
          <w:rFonts w:hint="default"/>
          <w:color w:val="auto"/>
          <w:highlight w:val="none"/>
          <w:lang w:val="en-US" w:eastAsia="zh-CN"/>
        </w:rPr>
        <w:sectPr>
          <w:headerReference r:id="rId5" w:type="default"/>
          <w:footerReference r:id="rId6" w:type="default"/>
          <w:pgSz w:w="11906" w:h="16838"/>
          <w:pgMar w:top="1417" w:right="1701" w:bottom="1587" w:left="1417" w:header="1021" w:footer="907" w:gutter="0"/>
          <w:pgBorders w:offsetFrom="page">
            <w:top w:val="none" w:sz="0" w:space="0"/>
            <w:left w:val="none" w:sz="0" w:space="0"/>
            <w:bottom w:val="none" w:sz="0" w:space="0"/>
            <w:right w:val="none" w:sz="0" w:space="0"/>
          </w:pgBorders>
          <w:pgNumType w:fmt="upperRoman" w:start="1"/>
          <w:cols w:space="720" w:num="1"/>
          <w:docGrid w:type="lines" w:linePitch="326" w:charSpace="0"/>
        </w:sectPr>
      </w:pPr>
    </w:p>
    <w:sdt>
      <w:sdtPr>
        <w:rPr>
          <w:rFonts w:ascii="宋体" w:hAnsi="宋体" w:eastAsia="宋体" w:cs="Times New Roman"/>
          <w:b/>
          <w:bCs/>
          <w:color w:val="auto"/>
          <w:kern w:val="2"/>
          <w:sz w:val="28"/>
          <w:szCs w:val="28"/>
          <w:highlight w:val="none"/>
          <w:lang w:val="en-US" w:eastAsia="zh-CN" w:bidi="ar-SA"/>
        </w:rPr>
        <w:id w:val="147469187"/>
        <w15:color w:val="DBDBDB"/>
        <w:docPartObj>
          <w:docPartGallery w:val="Table of Contents"/>
          <w:docPartUnique/>
        </w:docPartObj>
      </w:sdtPr>
      <w:sdtEndPr>
        <w:rPr>
          <w:rFonts w:hint="default" w:ascii="Times New Roman" w:hAnsi="Times New Roman" w:eastAsia="宋体" w:cs="Times New Roman"/>
          <w:b/>
          <w:bCs/>
          <w:color w:val="auto"/>
          <w:kern w:val="2"/>
          <w:sz w:val="24"/>
          <w:szCs w:val="24"/>
          <w:highlight w:val="none"/>
          <w:lang w:val="en-US" w:eastAsia="zh-CN" w:bidi="ar-SA"/>
        </w:rPr>
      </w:sdtEndPr>
      <w:sdtContent>
        <w:p w14:paraId="6B1813A0">
          <w:pPr>
            <w:spacing w:before="0" w:beforeLines="0" w:after="0" w:afterLines="0" w:line="240" w:lineRule="auto"/>
            <w:ind w:left="0" w:leftChars="0" w:right="0" w:rightChars="0" w:firstLine="0" w:firstLineChars="0"/>
            <w:jc w:val="center"/>
            <w:rPr>
              <w:b/>
              <w:bCs/>
              <w:color w:val="auto"/>
              <w:sz w:val="28"/>
              <w:szCs w:val="28"/>
              <w:highlight w:val="none"/>
            </w:rPr>
          </w:pPr>
          <w:r>
            <w:rPr>
              <w:rFonts w:ascii="宋体" w:hAnsi="宋体" w:eastAsia="宋体"/>
              <w:b/>
              <w:bCs/>
              <w:color w:val="auto"/>
              <w:sz w:val="28"/>
              <w:szCs w:val="28"/>
              <w:highlight w:val="none"/>
            </w:rPr>
            <w:t>目</w:t>
          </w:r>
          <w:r>
            <w:rPr>
              <w:rFonts w:hint="eastAsia" w:ascii="宋体" w:hAnsi="宋体"/>
              <w:b/>
              <w:bCs/>
              <w:color w:val="auto"/>
              <w:sz w:val="28"/>
              <w:szCs w:val="28"/>
              <w:highlight w:val="none"/>
              <w:lang w:val="en-US" w:eastAsia="zh-CN"/>
            </w:rPr>
            <w:t xml:space="preserve">  </w:t>
          </w:r>
          <w:r>
            <w:rPr>
              <w:rFonts w:ascii="宋体" w:hAnsi="宋体" w:eastAsia="宋体"/>
              <w:b/>
              <w:bCs/>
              <w:color w:val="auto"/>
              <w:sz w:val="28"/>
              <w:szCs w:val="28"/>
              <w:highlight w:val="none"/>
            </w:rPr>
            <w:t>录</w:t>
          </w:r>
        </w:p>
        <w:p w14:paraId="22774F4D">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TOC \o "1-3" \h \u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_Toc27806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概述</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_Toc27806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761D22D">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_Toc6114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项目由来</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_Toc6114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507821A">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_Toc3709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项目特点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_Toc3709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5B7A9D4">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_Toc10859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环境影响评价的工作过程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_Toc10859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C7F6EA2">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_Toc23697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分析判定相关情况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_Toc23697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A99037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_Toc25789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1.4.1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产业政策符合性判定</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_Toc25789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94B48A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_Toc7956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1.4.2</w:t>
          </w:r>
          <w:r>
            <w:rPr>
              <w:rFonts w:hint="default" w:ascii="Times New Roman" w:hAnsi="Times New Roman" w:cs="Times New Roman"/>
              <w:color w:val="auto"/>
              <w:sz w:val="24"/>
              <w:szCs w:val="24"/>
              <w:highlight w:val="none"/>
              <w:lang w:val="en-US" w:eastAsia="zh-CN"/>
            </w:rPr>
            <w:t xml:space="preserve"> 与</w:t>
          </w:r>
          <w:r>
            <w:rPr>
              <w:rFonts w:hint="default" w:ascii="Times New Roman" w:hAnsi="Times New Roman" w:cs="Times New Roman"/>
              <w:color w:val="auto"/>
              <w:sz w:val="24"/>
              <w:szCs w:val="24"/>
              <w:highlight w:val="none"/>
            </w:rPr>
            <w:t>规划符合性分析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_Toc7956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1D2344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_Toc11113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1.4.</w:t>
          </w:r>
          <w:r>
            <w:rPr>
              <w:rFonts w:hint="default" w:ascii="Times New Roman" w:hAnsi="Times New Roman" w:cs="Times New Roman"/>
              <w:color w:val="auto"/>
              <w:sz w:val="24"/>
              <w:szCs w:val="24"/>
              <w:highlight w:val="none"/>
              <w:lang w:val="en-US" w:eastAsia="zh-CN"/>
            </w:rPr>
            <w:t>3 与《闽侯县国土空间总体规划（2021-2035年）》符合性分析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_Toc11113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01065E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_Toc30858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1.4.</w:t>
          </w:r>
          <w:r>
            <w:rPr>
              <w:rFonts w:hint="default" w:ascii="Times New Roman" w:hAnsi="Times New Roman" w:cs="Times New Roman"/>
              <w:color w:val="auto"/>
              <w:sz w:val="24"/>
              <w:szCs w:val="24"/>
              <w:highlight w:val="none"/>
              <w:lang w:val="en-US" w:eastAsia="zh-CN"/>
            </w:rPr>
            <w:t xml:space="preserve">4 </w:t>
          </w:r>
          <w:r>
            <w:rPr>
              <w:rFonts w:hint="default" w:ascii="Times New Roman" w:hAnsi="Times New Roman" w:cs="Times New Roman"/>
              <w:color w:val="auto"/>
              <w:sz w:val="24"/>
              <w:szCs w:val="24"/>
              <w:highlight w:val="none"/>
            </w:rPr>
            <w:t>与</w:t>
          </w:r>
          <w:r>
            <w:rPr>
              <w:rFonts w:hint="default" w:ascii="Times New Roman" w:hAnsi="Times New Roman" w:cs="Times New Roman"/>
              <w:color w:val="auto"/>
              <w:sz w:val="24"/>
              <w:szCs w:val="24"/>
              <w:highlight w:val="none"/>
              <w:lang w:eastAsia="zh-CN"/>
            </w:rPr>
            <w:t>生态环境分区管控</w:t>
          </w:r>
          <w:r>
            <w:rPr>
              <w:rFonts w:hint="default" w:ascii="Times New Roman" w:hAnsi="Times New Roman" w:cs="Times New Roman"/>
              <w:color w:val="auto"/>
              <w:sz w:val="24"/>
              <w:szCs w:val="24"/>
              <w:highlight w:val="none"/>
            </w:rPr>
            <w:t>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_Toc30858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A978E0F">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_Toc3644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主要环境问题</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_Toc3644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9A12396">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_Toc7060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报告书主要结论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_Toc7060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110F56E">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_Toc30512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总论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_Toc30512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83B581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_Toc19618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编制依据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_Toc19618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1EDB07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_Toc31208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国家</w:t>
          </w:r>
          <w:r>
            <w:rPr>
              <w:rFonts w:hint="default" w:ascii="Times New Roman" w:hAnsi="Times New Roman" w:cs="Times New Roman"/>
              <w:color w:val="auto"/>
              <w:sz w:val="24"/>
              <w:szCs w:val="24"/>
              <w:highlight w:val="none"/>
              <w:lang w:eastAsia="zh-CN"/>
            </w:rPr>
            <w:t>法律法规</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_Toc31208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E46918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_Toc30197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部门规章和规范性文件</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_Toc30197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C91BBE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_Toc4132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eastAsia="zh-CN"/>
            </w:rPr>
            <w:t>地方性法规</w:t>
          </w:r>
          <w:r>
            <w:rPr>
              <w:rFonts w:hint="default" w:ascii="Times New Roman" w:hAnsi="Times New Roman" w:cs="Times New Roman"/>
              <w:color w:val="auto"/>
              <w:sz w:val="24"/>
              <w:szCs w:val="24"/>
              <w:highlight w:val="none"/>
            </w:rPr>
            <w:t>、规章</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_Toc4132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40C5F15">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_Toc2242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评价技术规范</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_Toc2242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19F2FF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_Toc13014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2.1.5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与项目相关的规划、文件及资料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_Toc13014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5A17BD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_Toc31875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环境影响识别及评价因子筛选</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_Toc31875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27805C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_Toc31920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环境影响因素识别</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_Toc31920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E3624D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_Toc1462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2.2.2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评价因子筛选</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_Toc1462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0A30256">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_Toc10864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环境功能区划及环境质量标准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_Toc10864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B215BF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_Toc10130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水环境功能区划及环境质量标准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_Toc10130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C3DCA5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_Toc11822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环境空气功能区划及环境质量标准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_Toc11822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6CFCD0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_Toc8323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声环境功能区划及质量标准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_Toc8323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68BD25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_Toc30327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地下水环境功能区划及质量标准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_Toc30327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DEB39A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_Toc28525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2.3.5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土壤环境功能区划及环境质量标准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_Toc28525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8E7257E">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_Toc20231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污染物排放标准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_Toc20231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644AB7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_Toc24571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2.4.1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水污染物排放标准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_Toc24571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DD73EA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_Toc12361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2.4.2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大气污染物排放标准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_Toc12361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6B99A6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_Toc15387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2.4.3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噪声污染物排放标准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_Toc15387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3BE572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_Toc6286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2.4.4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固体废物污染物排放标准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_Toc6286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1AD57B3">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_Toc22880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评价工作等级和评价范围</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_Toc22880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0B8590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_Toc21526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地表水</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_Toc21526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4CA584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_Toc11619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_Toc11619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870A00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_Toc611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大气环境</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_Toc611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3A84104">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_Toc26908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声环境</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_Toc26908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CF3514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_Toc10868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生态环境</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_Toc10868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1563D2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_Toc20948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2.5.6</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环境风险</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_Toc20948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282099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_Toc30120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2.5.7</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土壤环境</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_Toc30120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2E8DA7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_Toc26562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2.5.8 各要素评价等级及范围汇总</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_Toc26562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2F7013C">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_Toc13928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2.6</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评价内容和评价重点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_Toc13928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4D0201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_Toc25223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2.6.1 评价内容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_Toc25223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BDA8EC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_Toc16678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2.6.2 评价重点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_Toc16678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647A545">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_Toc15044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2.7</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主要环境保护目标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_Toc15044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F39589F">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_Toc4653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 </w:t>
          </w:r>
          <w:r>
            <w:rPr>
              <w:rFonts w:hint="default" w:ascii="Times New Roman" w:hAnsi="Times New Roman" w:cs="Times New Roman"/>
              <w:color w:val="auto"/>
              <w:sz w:val="24"/>
              <w:szCs w:val="24"/>
              <w:highlight w:val="none"/>
            </w:rPr>
            <w:t>工程分析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_Toc4653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2C3F6FC">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_Toc28952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 </w:t>
          </w:r>
          <w:r>
            <w:rPr>
              <w:rFonts w:hint="default" w:ascii="Times New Roman" w:hAnsi="Times New Roman" w:cs="Times New Roman"/>
              <w:color w:val="auto"/>
              <w:sz w:val="24"/>
              <w:szCs w:val="24"/>
              <w:highlight w:val="none"/>
            </w:rPr>
            <w:t>建设项目概况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_Toc28952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2AC3E4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_Toc20248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3.1.1 </w:t>
          </w:r>
          <w:r>
            <w:rPr>
              <w:rFonts w:hint="default" w:ascii="Times New Roman" w:hAnsi="Times New Roman" w:cs="Times New Roman"/>
              <w:color w:val="auto"/>
              <w:sz w:val="24"/>
              <w:szCs w:val="24"/>
              <w:highlight w:val="none"/>
            </w:rPr>
            <w:t>项目基本情况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_Toc20248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F4E191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_Toc1603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3.1.2 </w:t>
          </w:r>
          <w:r>
            <w:rPr>
              <w:rFonts w:hint="default" w:ascii="Times New Roman" w:hAnsi="Times New Roman" w:cs="Times New Roman"/>
              <w:color w:val="auto"/>
              <w:sz w:val="24"/>
              <w:szCs w:val="24"/>
              <w:highlight w:val="none"/>
            </w:rPr>
            <w:t>产品方案及规模</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_Toc1603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594BA0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_Toc26865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3.1.3 </w:t>
          </w:r>
          <w:r>
            <w:rPr>
              <w:rFonts w:hint="default" w:ascii="Times New Roman" w:hAnsi="Times New Roman" w:cs="Times New Roman"/>
              <w:color w:val="auto"/>
              <w:sz w:val="24"/>
              <w:szCs w:val="24"/>
              <w:highlight w:val="none"/>
            </w:rPr>
            <w:t>项目建设内容与组成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_Toc26865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B61AC6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_Toc30028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3.1.4 </w:t>
          </w:r>
          <w:r>
            <w:rPr>
              <w:rFonts w:hint="default" w:ascii="Times New Roman" w:hAnsi="Times New Roman" w:cs="Times New Roman"/>
              <w:color w:val="auto"/>
              <w:sz w:val="24"/>
              <w:szCs w:val="24"/>
              <w:highlight w:val="none"/>
            </w:rPr>
            <w:t>主要原辅材料及能源消耗</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_Toc30028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73C719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_Toc3133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3.1.5 </w:t>
          </w:r>
          <w:r>
            <w:rPr>
              <w:rFonts w:hint="default" w:ascii="Times New Roman" w:hAnsi="Times New Roman" w:cs="Times New Roman"/>
              <w:color w:val="auto"/>
              <w:sz w:val="24"/>
              <w:szCs w:val="24"/>
              <w:highlight w:val="none"/>
            </w:rPr>
            <w:t>主要生产设备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_Toc3133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B35787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_Toc18386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3.1.6 </w:t>
          </w:r>
          <w:r>
            <w:rPr>
              <w:rFonts w:hint="default" w:ascii="Times New Roman" w:hAnsi="Times New Roman" w:cs="Times New Roman"/>
              <w:color w:val="auto"/>
              <w:sz w:val="24"/>
              <w:szCs w:val="24"/>
              <w:highlight w:val="none"/>
              <w:lang w:eastAsia="zh-CN"/>
            </w:rPr>
            <w:t>总图布置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_Toc18386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34FB37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_Toc13960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3.1.7 公用工程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_Toc13960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543CAF5">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_Toc24054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3.2 </w:t>
          </w:r>
          <w:r>
            <w:rPr>
              <w:rFonts w:hint="default" w:ascii="Times New Roman" w:hAnsi="Times New Roman" w:cs="Times New Roman"/>
              <w:color w:val="auto"/>
              <w:sz w:val="24"/>
              <w:szCs w:val="24"/>
              <w:highlight w:val="none"/>
            </w:rPr>
            <w:t>生产工艺流程及产污环节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_Toc24054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665488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_Toc17708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3.3 </w:t>
          </w:r>
          <w:r>
            <w:rPr>
              <w:rFonts w:hint="default" w:ascii="Times New Roman" w:hAnsi="Times New Roman" w:cs="Times New Roman"/>
              <w:color w:val="auto"/>
              <w:sz w:val="24"/>
              <w:szCs w:val="24"/>
              <w:highlight w:val="none"/>
            </w:rPr>
            <w:t>平衡分析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_Toc17708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621427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_Toc12130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3.3.1 </w:t>
          </w:r>
          <w:r>
            <w:rPr>
              <w:rFonts w:hint="default" w:ascii="Times New Roman" w:hAnsi="Times New Roman" w:cs="Times New Roman"/>
              <w:color w:val="auto"/>
              <w:sz w:val="24"/>
              <w:szCs w:val="24"/>
              <w:highlight w:val="none"/>
            </w:rPr>
            <w:t>水平衡</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_Toc12130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32CEAB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_Toc10523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3.3.2物料平衡</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_Toc10523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709DB6A">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_Toc29706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3.4 </w:t>
          </w:r>
          <w:r>
            <w:rPr>
              <w:rFonts w:hint="default" w:ascii="Times New Roman" w:hAnsi="Times New Roman" w:cs="Times New Roman"/>
              <w:color w:val="auto"/>
              <w:sz w:val="24"/>
              <w:szCs w:val="24"/>
              <w:highlight w:val="none"/>
            </w:rPr>
            <w:t>运营期污染源及污染源强分析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_Toc29706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499622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_Toc25786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3.4</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运营期水污染源及污染源强分析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_Toc25786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07FB4B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_Toc1972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3.4</w:t>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运营期废气污染源及污染源强分析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_Toc1972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ED53BA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_Toc15230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3.4</w:t>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运营期噪声污染源及污染源强分析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_Toc15230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A57E214">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_Toc30993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3.4</w:t>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运营期固体废物污染源及污染源强分析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_Toc30993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72612A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_Toc20084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3.4</w:t>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污染物排放情况汇总</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_Toc20084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43681D4">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_Toc6440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3.5 </w:t>
          </w:r>
          <w:r>
            <w:rPr>
              <w:rFonts w:hint="default" w:ascii="Times New Roman" w:hAnsi="Times New Roman" w:cs="Times New Roman"/>
              <w:color w:val="auto"/>
              <w:sz w:val="24"/>
              <w:szCs w:val="24"/>
              <w:highlight w:val="none"/>
            </w:rPr>
            <w:t>环境可行性分析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_Toc6440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6C7094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_Toc14563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3.5.1 </w:t>
          </w:r>
          <w:r>
            <w:rPr>
              <w:rFonts w:hint="default" w:ascii="Times New Roman" w:hAnsi="Times New Roman" w:cs="Times New Roman"/>
              <w:color w:val="auto"/>
              <w:sz w:val="24"/>
              <w:szCs w:val="24"/>
              <w:highlight w:val="none"/>
              <w:lang w:eastAsia="zh-CN"/>
            </w:rPr>
            <w:t>与</w:t>
          </w:r>
          <w:r>
            <w:rPr>
              <w:rFonts w:hint="default" w:ascii="Times New Roman" w:hAnsi="Times New Roman" w:cs="Times New Roman"/>
              <w:color w:val="auto"/>
              <w:sz w:val="24"/>
              <w:szCs w:val="24"/>
              <w:highlight w:val="none"/>
              <w:lang w:val="en-US" w:eastAsia="zh-CN"/>
            </w:rPr>
            <w:t>《闽侯县国土空间总体规划（2021-2035年）》符合性分析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_Toc14563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82A4A7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_Toc30939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3.5.2产业政策符合性</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_Toc30939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905C03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_Toc16235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选址合理性分析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_Toc16235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90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ACC4B3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_Toc27781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相关规划符合性分析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_Toc27781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90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A3AB34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_Toc26185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3.5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5 </w:t>
          </w:r>
          <w:r>
            <w:rPr>
              <w:rFonts w:hint="default" w:ascii="Times New Roman" w:hAnsi="Times New Roman" w:cs="Times New Roman"/>
              <w:color w:val="auto"/>
              <w:sz w:val="24"/>
              <w:szCs w:val="24"/>
              <w:highlight w:val="none"/>
            </w:rPr>
            <w:t>与相关环保政策符合性分析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_Toc26185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97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5EA52D8">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_Toc11128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3.6 </w:t>
          </w:r>
          <w:r>
            <w:rPr>
              <w:rFonts w:hint="default" w:ascii="Times New Roman" w:hAnsi="Times New Roman" w:cs="Times New Roman"/>
              <w:color w:val="auto"/>
              <w:sz w:val="24"/>
              <w:szCs w:val="24"/>
              <w:highlight w:val="none"/>
            </w:rPr>
            <w:t>清洁生产分析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_Toc11128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40AB44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_Toc25450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3.6</w:t>
          </w: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eastAsia="zh-CN"/>
            </w:rPr>
            <w:t>清洁生产标准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_Toc25450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A239A5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_Toc2118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3.6.2 清洁生产水平评定</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_Toc2118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8F47718">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_Toc18955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 环境现状调查与评价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_Toc18955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99FDD0D">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_Toc28773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 自然环境状况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_Toc28773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CE85D9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_Toc1096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4.1.1 地理位置及周边概况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_Toc1096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212598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_Toc5623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4.1.2 地形地貌</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_Toc5623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A448EE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_Toc4691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4.1.3 气候气象</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_Toc4691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3390C7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_Toc31924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4.1.4 水文概况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_Toc31924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495B6D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_Toc1061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4.1.5 土壤植被</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_Toc1061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3C89CF3">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_Toc11082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 环境质量现状调查与评价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_Toc11082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83CD48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4.2.1 地表水环境质量现状调查与评价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110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7F583D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_Toc3257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4.2.2 地下水环境质量现状调查与评价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_Toc3257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111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984FBC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_Toc6221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4.2.3 环境空气质量现状调查与评价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_Toc6221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118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126B53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_Toc10600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4.2.4 声环境质量现状调查与评价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_Toc10600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124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2D7630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_Toc18951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4.2.5 土壤环境质量现状调查与评价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_Toc18951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125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E59A1EA">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_Toc24071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环境影响预测与评价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_Toc24071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9AB8D1E">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_Toc11102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施工期环境影响分析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_Toc11102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D7AA7DC">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_Toc9861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运营期水环境影响分析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_Toc9861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52B7BA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_Toc19960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排水方案</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_Toc19960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D7D19C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_Toc1435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5.2.2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依托污水处理厂可行性分析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_Toc1435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D92844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_Toc10926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5.2.3 </w:t>
          </w:r>
          <w:r>
            <w:rPr>
              <w:rFonts w:hint="default" w:ascii="Times New Roman" w:hAnsi="Times New Roman" w:cs="Times New Roman"/>
              <w:color w:val="auto"/>
              <w:sz w:val="24"/>
              <w:szCs w:val="24"/>
              <w:highlight w:val="none"/>
            </w:rPr>
            <w:t>小结</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_Toc10926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BADD8B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_Toc5559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5.2.</w:t>
          </w:r>
          <w:r>
            <w:rPr>
              <w:rFonts w:hint="default" w:ascii="Times New Roman" w:hAnsi="Times New Roman" w:cs="Times New Roman"/>
              <w:color w:val="auto"/>
              <w:sz w:val="24"/>
              <w:szCs w:val="24"/>
              <w:highlight w:val="none"/>
              <w:lang w:val="en-US" w:eastAsia="zh-CN"/>
            </w:rPr>
            <w:t xml:space="preserve">4 </w:t>
          </w:r>
          <w:r>
            <w:rPr>
              <w:rFonts w:hint="default" w:ascii="Times New Roman" w:hAnsi="Times New Roman" w:cs="Times New Roman"/>
              <w:color w:val="auto"/>
              <w:sz w:val="24"/>
              <w:szCs w:val="24"/>
              <w:highlight w:val="none"/>
            </w:rPr>
            <w:t>地表水环境影响评价自查表</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_Toc5559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137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8351DFC">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_Toc19267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运营期大气环境影响分析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_Toc19267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141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D3FC63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_Toc30294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气象资料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_Toc30294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141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D6B240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_Toc17127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大气环境影响预测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_Toc17127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152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9299B04">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_Toc29595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污染物排放量核算</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_Toc29595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157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4326CF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_Toc19377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环境防护距离</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_Toc19377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159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9285C86">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_Toc20468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5.3.5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大气环境影响评价自查表</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_Toc20468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AF2ED4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_Toc27082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运营期声环境影响分析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_Toc27082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C84897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_Toc985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5.4.1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预测内容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_Toc985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9607524">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_Toc11436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5.4.2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噪声源调查分析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_Toc11436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86D9FE0">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_Toc1057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5.4.3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预测模式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_Toc1057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D0DAEA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_Toc9002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5.4.4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预测结果及评价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_Toc9002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FFF3A22">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_Toc17476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运营期固体废物环境影响分析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_Toc17476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0334B6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_Toc23303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5.5.1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固体废物产生及处置情况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_Toc23303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F506F7F">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_Toc2685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5.5.2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固体废物环境影响分析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_Toc2685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D3B6E25">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_Toc15112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5.5.3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小结</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_Toc15112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32EA7FF">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_Toc24079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 xml:space="preserve">6 </w:t>
          </w:r>
          <w:r>
            <w:rPr>
              <w:rFonts w:hint="default" w:ascii="Times New Roman" w:hAnsi="Times New Roman" w:cs="Times New Roman"/>
              <w:color w:val="auto"/>
              <w:sz w:val="24"/>
              <w:szCs w:val="24"/>
              <w:highlight w:val="none"/>
            </w:rPr>
            <w:t>运营期土壤环境影响分析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_Toc24079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EB0BAA6">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_Toc17077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土壤环境影响识别</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_Toc17077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71CF60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_Toc10371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土壤环境影响分析和评价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_Toc10371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27702C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 xml:space="preserve">7 </w:t>
          </w:r>
          <w:r>
            <w:rPr>
              <w:rFonts w:hint="default" w:ascii="Times New Roman" w:hAnsi="Times New Roman" w:cs="Times New Roman"/>
              <w:color w:val="auto"/>
              <w:sz w:val="24"/>
              <w:szCs w:val="24"/>
              <w:highlight w:val="none"/>
            </w:rPr>
            <w:t>运营期地下水环境影响分析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2B41AB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_Toc10787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区域水文地质条件</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_Toc10787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16EACB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_Toc7566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地下水污染源及污染途径分析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_Toc7566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E01B1D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_Toc8954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地下水污染防治措施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_Toc8954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E1048C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_Toc7135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地下水环境影响分析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_Toc7135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CA530FE">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_Toc23839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6 </w:t>
          </w:r>
          <w:r>
            <w:rPr>
              <w:rFonts w:hint="default" w:ascii="Times New Roman" w:hAnsi="Times New Roman" w:cs="Times New Roman"/>
              <w:color w:val="auto"/>
              <w:sz w:val="24"/>
              <w:szCs w:val="24"/>
              <w:highlight w:val="none"/>
            </w:rPr>
            <w:t>环境风险分析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_Toc23839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766229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_Toc32580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风险评价总则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_Toc32580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306CE3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_Toc27162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6.1.1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一般性原则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_Toc27162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A18390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_Toc27899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6.1.2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评价工作程序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_Toc27899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59082DE">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_Toc13469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风险调查</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_Toc13469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E96FC2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_Toc23960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建设项目风险源调查</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_Toc23960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E3D50F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_Toc20720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6.2.</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szCs w:val="24"/>
              <w:highlight w:val="none"/>
            </w:rPr>
            <w:t>风险评价等级</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_Toc20720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EED02AB">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_Toc8768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6.2.</w:t>
          </w:r>
          <w:r>
            <w:rPr>
              <w:rFonts w:hint="default" w:ascii="Times New Roman" w:hAnsi="Times New Roman" w:cs="Times New Roman"/>
              <w:color w:val="auto"/>
              <w:sz w:val="24"/>
              <w:szCs w:val="24"/>
              <w:highlight w:val="none"/>
              <w:lang w:val="en-US" w:eastAsia="zh-CN"/>
            </w:rPr>
            <w:t xml:space="preserve">3 </w:t>
          </w:r>
          <w:r>
            <w:rPr>
              <w:rFonts w:hint="default" w:ascii="Times New Roman" w:hAnsi="Times New Roman" w:cs="Times New Roman"/>
              <w:color w:val="auto"/>
              <w:sz w:val="24"/>
              <w:szCs w:val="24"/>
              <w:highlight w:val="none"/>
            </w:rPr>
            <w:t>环境敏感目标调查</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_Toc8768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E854DD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_Toc2488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 xml:space="preserve">3 </w:t>
          </w:r>
          <w:r>
            <w:rPr>
              <w:rFonts w:hint="default" w:ascii="Times New Roman" w:hAnsi="Times New Roman" w:cs="Times New Roman"/>
              <w:color w:val="auto"/>
              <w:sz w:val="24"/>
              <w:szCs w:val="24"/>
              <w:highlight w:val="none"/>
            </w:rPr>
            <w:t>环境风险</w:t>
          </w:r>
          <w:r>
            <w:rPr>
              <w:rFonts w:hint="default" w:ascii="Times New Roman" w:hAnsi="Times New Roman" w:cs="Times New Roman"/>
              <w:color w:val="auto"/>
              <w:sz w:val="24"/>
              <w:szCs w:val="24"/>
              <w:highlight w:val="none"/>
              <w:lang w:val="en-US" w:eastAsia="zh-CN"/>
            </w:rPr>
            <w:t>影响</w:t>
          </w:r>
          <w:r>
            <w:rPr>
              <w:rFonts w:hint="default" w:ascii="Times New Roman" w:hAnsi="Times New Roman" w:cs="Times New Roman"/>
              <w:color w:val="auto"/>
              <w:sz w:val="24"/>
              <w:szCs w:val="24"/>
              <w:highlight w:val="none"/>
            </w:rPr>
            <w:t>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_Toc2488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6F76E8D">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_Toc26829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 xml:space="preserve">4 </w:t>
          </w:r>
          <w:r>
            <w:rPr>
              <w:rFonts w:hint="default" w:ascii="Times New Roman" w:hAnsi="Times New Roman" w:cs="Times New Roman"/>
              <w:color w:val="auto"/>
              <w:sz w:val="24"/>
              <w:szCs w:val="24"/>
              <w:highlight w:val="none"/>
            </w:rPr>
            <w:t>环境风险防范措施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_Toc26829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89F0E0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_Toc21508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6.4.1 废气</w:t>
          </w:r>
          <w:r>
            <w:rPr>
              <w:rFonts w:hint="default" w:ascii="Times New Roman" w:hAnsi="Times New Roman" w:cs="Times New Roman"/>
              <w:color w:val="auto"/>
              <w:sz w:val="24"/>
              <w:szCs w:val="24"/>
              <w:highlight w:val="none"/>
            </w:rPr>
            <w:t>泄漏事故防范措施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_Toc21508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AE0716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_Toc24106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6.4.2 废水</w:t>
          </w:r>
          <w:r>
            <w:rPr>
              <w:rFonts w:hint="default" w:ascii="Times New Roman" w:hAnsi="Times New Roman" w:cs="Times New Roman"/>
              <w:color w:val="auto"/>
              <w:sz w:val="24"/>
              <w:szCs w:val="24"/>
              <w:highlight w:val="none"/>
            </w:rPr>
            <w:t>泄漏事故防范措施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_Toc24106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FE8ED3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_Toc27851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6.4.</w:t>
          </w:r>
          <w:r>
            <w:rPr>
              <w:rFonts w:hint="default" w:ascii="Times New Roman" w:hAnsi="Times New Roman" w:cs="Times New Roman"/>
              <w:color w:val="auto"/>
              <w:sz w:val="24"/>
              <w:szCs w:val="24"/>
              <w:highlight w:val="none"/>
              <w:lang w:val="en-US" w:eastAsia="zh-CN"/>
            </w:rPr>
            <w:t>3 原辅材料、燃料及危险废物贮存事故风险防范措施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_Toc27851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4B4F45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_Toc18525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6.4.4 火灾事故风险防范措施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_Toc18525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C3E3EEC">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_Toc13112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 xml:space="preserve">5 </w:t>
          </w:r>
          <w:r>
            <w:rPr>
              <w:rFonts w:hint="default" w:ascii="Times New Roman" w:hAnsi="Times New Roman" w:cs="Times New Roman"/>
              <w:color w:val="auto"/>
              <w:sz w:val="24"/>
              <w:szCs w:val="24"/>
              <w:highlight w:val="none"/>
            </w:rPr>
            <w:t>突发环境事件应急预案</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_Toc13112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F72A26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_Toc32286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6.5.1 </w:t>
          </w:r>
          <w:r>
            <w:rPr>
              <w:rFonts w:hint="default" w:ascii="Times New Roman" w:hAnsi="Times New Roman" w:cs="Times New Roman"/>
              <w:color w:val="auto"/>
              <w:sz w:val="24"/>
              <w:szCs w:val="24"/>
              <w:highlight w:val="none"/>
            </w:rPr>
            <w:t>应急预案编制要求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_Toc32286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3CE00F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_Toc11898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szCs w:val="24"/>
              <w:highlight w:val="none"/>
            </w:rPr>
            <w:t>应急预案框架内容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_Toc11898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152BA39">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_Toc4076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6.6 碳排放环境影响评价</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_Toc4076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FA0EC7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_Toc25331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eastAsia="宋体" w:cs="Times New Roman"/>
              <w:bCs/>
              <w:color w:val="auto"/>
              <w:kern w:val="2"/>
              <w:sz w:val="24"/>
              <w:szCs w:val="24"/>
              <w:highlight w:val="none"/>
              <w:lang w:val="en-US" w:eastAsia="zh-CN" w:bidi="ar-SA"/>
            </w:rPr>
            <w:t>6.6.1</w:t>
          </w:r>
          <w:r>
            <w:rPr>
              <w:rFonts w:hint="default" w:ascii="Times New Roman" w:hAnsi="Times New Roman" w:cs="Times New Roman"/>
              <w:bCs/>
              <w:color w:val="auto"/>
              <w:kern w:val="2"/>
              <w:sz w:val="24"/>
              <w:szCs w:val="24"/>
              <w:highlight w:val="none"/>
              <w:lang w:val="en-US" w:eastAsia="zh-CN" w:bidi="ar-SA"/>
            </w:rPr>
            <w:t xml:space="preserve"> </w:t>
          </w:r>
          <w:r>
            <w:rPr>
              <w:rFonts w:hint="default" w:ascii="Times New Roman" w:hAnsi="Times New Roman" w:eastAsia="宋体" w:cs="Times New Roman"/>
              <w:bCs/>
              <w:color w:val="auto"/>
              <w:kern w:val="2"/>
              <w:sz w:val="24"/>
              <w:szCs w:val="24"/>
              <w:highlight w:val="none"/>
              <w:lang w:val="en-US" w:eastAsia="zh-CN" w:bidi="ar-SA"/>
            </w:rPr>
            <w:t>碳排放政策符合性分析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_Toc25331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11E3601">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_Toc22267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6.6.2 排放概况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_Toc22267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74F6C1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_Toc31223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6.6.3 减排潜力分析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_Toc31223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5013A7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6.6.4 减污降碳措施及其可行性论证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54DA6E4">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_Toc6271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6.6.5 碳排放管理与监测计划</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_Toc6271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1B635AE">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_Toc8179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7 环境风险评价结论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_Toc8179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AD68C25">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_Toc25726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_Toc25726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CE4AED4">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_Toc27100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_Toc27100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5477DB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_Toc30128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运营期水污染防治措施及可行性论证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_Toc30128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D58CE35">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_Toc32665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运营期大气污染防治措施及可行性论证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_Toc32665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208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AF030B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_Toc5666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运营期噪声污染防治措施及可行性论证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_Toc5666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219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FF3F63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_Toc6087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运营期固废污染防治措施及可行性论证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_Toc6087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887B12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_Toc28474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地下水污染防治措施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_Toc28474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422B9D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_Toc15105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eastAsia="zh-CN"/>
            </w:rPr>
            <w:t>7.1</w:t>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土壤污染防治措施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_Toc15105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E17E93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_Toc3477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szCs w:val="24"/>
              <w:highlight w:val="none"/>
            </w:rPr>
            <w:t>污染防治措施经济技术可行性论证结论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_Toc3477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E23C053">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_Toc26737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环境影响经济损益分析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_Toc26737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0D2A921">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_Toc21121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经济效益分析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_Toc21121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9ACEC72">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_Toc3354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社会效益分析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_Toc3354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B769DA7">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_Toc30948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环境效益分析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_Toc30948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E801673">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_Toc4342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环保投资分析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_Toc4342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5768C63">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_Toc27619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8.5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环境影响经济损益分析结论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_Toc27619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03CAD31">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_Toc4447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环境管理与监测计划</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_Toc4447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D9C0F25">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_Toc24338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环境管理组织结构</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_Toc24338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7EFBCC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_Toc22711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9.1.1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环境管理体制</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_Toc22711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26C0249">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_Toc11259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9.1.2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环境管理机构及其职责</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_Toc11259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787131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_Toc30793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环境管理计划</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_Toc30793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69E272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_Toc27903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项目前期工作阶段环境管理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_Toc27903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BA7BDB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_Toc15914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9.2.</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szCs w:val="24"/>
              <w:highlight w:val="none"/>
            </w:rPr>
            <w:t>运营期环境管理</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_Toc15914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332DFAE">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_Toc18485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污染物排放的管理要求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_Toc18485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B17127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_Toc20256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环境监测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_Toc20256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C2C56A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_Toc12842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9.4.1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环境监测计划实施单位</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_Toc12842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B3CAE59">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_Toc11489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总量控制</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_Toc11489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82F042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_Toc28588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9.5.1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污染物总量控制原则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_Toc28588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438A16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_Toc29478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9.5.2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总量控制因子</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_Toc29478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A249E3F">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_Toc5910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9.6 </w:t>
          </w:r>
          <w:r>
            <w:rPr>
              <w:rFonts w:hint="default" w:ascii="Times New Roman" w:hAnsi="Times New Roman" w:cs="Times New Roman"/>
              <w:color w:val="auto"/>
              <w:sz w:val="24"/>
              <w:szCs w:val="24"/>
              <w:highlight w:val="none"/>
            </w:rPr>
            <w:t>排污口规范化建设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_Toc5910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605EFE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_Toc10847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 xml:space="preserve">9.6.1 </w:t>
          </w:r>
          <w:r>
            <w:rPr>
              <w:rFonts w:hint="default" w:ascii="Times New Roman" w:hAnsi="Times New Roman" w:cs="Times New Roman"/>
              <w:color w:val="auto"/>
              <w:sz w:val="24"/>
              <w:szCs w:val="24"/>
              <w:highlight w:val="none"/>
            </w:rPr>
            <w:t>排污口规范化要求的依据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_Toc10847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0391973">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_Toc5288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9.6.2 排污口规范化的范围和时间</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_Toc5288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248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0D9EE96">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_Toc17682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结论与建议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_Toc17682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7E474D5">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_Toc4851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项目概况与主要环境问题</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_Toc4851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2FD4F45">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_Toc17706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10.1.1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项目概况</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_Toc17706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5C6406E">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_Toc12479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10.1.2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主要环境问题</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_Toc12479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3511DF2">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_Toc25722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工程环境影响评价结论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_Toc25722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B74451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_Toc31265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地表水环境影响评价结论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_Toc31265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A230E7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_Toc7703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大气环境影响评价结论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_Toc7703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334C987">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_Toc23846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声环境影响评价结论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_Toc23846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0DD81B6">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_Toc21017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固体废物影响评价结论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_Toc21017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B70D9CD">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_Toc1040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地下水环境影响评价结论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_Toc1040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0509412">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_Toc1578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10.2.6土壤环境影响评价结论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_Toc1578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5A91FA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_Toc6282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10.2.7</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环境风险评价结论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_Toc6282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BB31965">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_Toc13648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工程环境可行性分析结论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_Toc13648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FE66C6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_Toc18818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10.3.1</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产业政策符合性分析结论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_Toc18818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28AD228">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_Toc23246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选址规划符合性判定</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_Toc23246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259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576D24C">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_Toc21746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 xml:space="preserve">3.3 </w:t>
          </w:r>
          <w:r>
            <w:rPr>
              <w:rFonts w:hint="default" w:ascii="Times New Roman" w:hAnsi="Times New Roman" w:cs="Times New Roman"/>
              <w:color w:val="auto"/>
              <w:sz w:val="24"/>
              <w:szCs w:val="24"/>
              <w:highlight w:val="none"/>
            </w:rPr>
            <w:t>相关规划及规范符合性</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_Toc21746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8014E06">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_Toc21851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lang w:val="en-US" w:eastAsia="zh-CN"/>
            </w:rPr>
            <w:t xml:space="preserve">4 </w:t>
          </w:r>
          <w:r>
            <w:rPr>
              <w:rFonts w:hint="default" w:ascii="Times New Roman" w:hAnsi="Times New Roman" w:cs="Times New Roman"/>
              <w:color w:val="auto"/>
              <w:sz w:val="24"/>
              <w:szCs w:val="24"/>
              <w:highlight w:val="none"/>
            </w:rPr>
            <w:t>公众参与结论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_Toc21851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4BA0E26">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_Toc23766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lang w:val="en-US" w:eastAsia="zh-CN"/>
            </w:rPr>
            <w:t xml:space="preserve">5 </w:t>
          </w:r>
          <w:r>
            <w:rPr>
              <w:rFonts w:hint="default" w:ascii="Times New Roman" w:hAnsi="Times New Roman" w:cs="Times New Roman"/>
              <w:color w:val="auto"/>
              <w:sz w:val="24"/>
              <w:szCs w:val="24"/>
              <w:highlight w:val="none"/>
            </w:rPr>
            <w:t>清洁生产分析结论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_Toc23766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B08BECA">
          <w:pPr>
            <w:pStyle w:val="42"/>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_Toc27827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10.3.</w:t>
          </w:r>
          <w:r>
            <w:rPr>
              <w:rFonts w:hint="default" w:ascii="Times New Roman" w:hAnsi="Times New Roman" w:cs="Times New Roman"/>
              <w:color w:val="auto"/>
              <w:sz w:val="24"/>
              <w:szCs w:val="24"/>
              <w:highlight w:val="none"/>
              <w:lang w:val="en-US" w:eastAsia="zh-CN"/>
            </w:rPr>
            <w:t xml:space="preserve">6 </w:t>
          </w:r>
          <w:r>
            <w:rPr>
              <w:rFonts w:hint="default" w:ascii="Times New Roman" w:hAnsi="Times New Roman" w:cs="Times New Roman"/>
              <w:color w:val="auto"/>
              <w:sz w:val="24"/>
              <w:szCs w:val="24"/>
              <w:highlight w:val="none"/>
            </w:rPr>
            <w:t>总量控制分析结论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_Toc27827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9D34641">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_Toc18652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10.4</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项目竣工环境保护验收要求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_Toc18652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F6F869B">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_Toc21777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10.5</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对策建议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_Toc21777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1D75F9F0">
          <w:pPr>
            <w:pStyle w:val="67"/>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_Toc17045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10.6</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评价总结论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_Toc17045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27885EE">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_Toc10001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附图1</w:t>
          </w:r>
          <w:r>
            <w:rPr>
              <w:rFonts w:hint="default" w:ascii="Times New Roman" w:hAnsi="Times New Roman" w:cs="Times New Roman"/>
              <w:color w:val="auto"/>
              <w:sz w:val="24"/>
              <w:szCs w:val="24"/>
              <w:highlight w:val="none"/>
            </w:rPr>
            <w:t>：项目地理位置图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_Toc10001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EFEA984">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_Toc2096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附图2</w:t>
          </w:r>
          <w:r>
            <w:rPr>
              <w:rFonts w:hint="default" w:ascii="Times New Roman" w:hAnsi="Times New Roman" w:cs="Times New Roman"/>
              <w:color w:val="auto"/>
              <w:sz w:val="24"/>
              <w:szCs w:val="24"/>
              <w:highlight w:val="none"/>
            </w:rPr>
            <w:t>：项目</w:t>
          </w:r>
          <w:r>
            <w:rPr>
              <w:rFonts w:hint="default" w:ascii="Times New Roman" w:hAnsi="Times New Roman" w:cs="Times New Roman"/>
              <w:color w:val="auto"/>
              <w:sz w:val="24"/>
              <w:szCs w:val="24"/>
              <w:highlight w:val="none"/>
              <w:lang w:val="en-US" w:eastAsia="zh-CN"/>
            </w:rPr>
            <w:t>环境敏感目标分布</w:t>
          </w:r>
          <w:r>
            <w:rPr>
              <w:rFonts w:hint="default" w:ascii="Times New Roman" w:hAnsi="Times New Roman" w:cs="Times New Roman"/>
              <w:color w:val="auto"/>
              <w:sz w:val="24"/>
              <w:szCs w:val="24"/>
              <w:highlight w:val="none"/>
            </w:rPr>
            <w:t>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_Toc2096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A91B9CE">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_Toc14348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附图3：厂区总平图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_Toc14348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9BE9207">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_Toc29187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附图4：平面布置图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_Toc29187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15C3B46">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_Toc24044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附图5：项目厂区雨污水管网图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_Toc24044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8F7EEE5">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_Toc10611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附图6：青口汽车城总体规划图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_Toc10611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1D2B529">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_Toc17162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附图7：青口汽车城控制性详细规划图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_Toc17162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276</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22D2CBF">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_Toc17396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附图8：福州市声环境功能区划图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_Toc17396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30810CB">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_Toc20886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附图9：土壤、声环境评价范围图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_Toc20886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C4BCDD9">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_Toc19261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附图10：区域水文地质图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_Toc19261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279</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7C62A991">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_Toc15251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附图11：项目周边环境现状</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_Toc15251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280</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7DE75EB">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_Toc17377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附件1：</w:t>
          </w:r>
          <w:r>
            <w:rPr>
              <w:rFonts w:hint="default" w:ascii="Times New Roman" w:hAnsi="Times New Roman" w:cs="Times New Roman"/>
              <w:color w:val="auto"/>
              <w:sz w:val="24"/>
              <w:szCs w:val="24"/>
              <w:highlight w:val="none"/>
              <w:lang w:val="en-US" w:eastAsia="zh-CN"/>
            </w:rPr>
            <w:t>生态</w:t>
          </w:r>
          <w:r>
            <w:rPr>
              <w:rFonts w:hint="default" w:ascii="Times New Roman" w:hAnsi="Times New Roman" w:cs="Times New Roman"/>
              <w:color w:val="auto"/>
              <w:sz w:val="24"/>
              <w:szCs w:val="24"/>
              <w:highlight w:val="none"/>
            </w:rPr>
            <w:t>环境影响评价委托书</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_Toc17377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DCACAEF">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_Toc2933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附件2：企业营业执照</w:t>
          </w:r>
          <w:r>
            <w:rPr>
              <w:rFonts w:hint="default" w:ascii="Times New Roman" w:hAnsi="Times New Roman" w:cs="Times New Roman"/>
              <w:color w:val="auto"/>
              <w:sz w:val="24"/>
              <w:szCs w:val="24"/>
              <w:highlight w:val="none"/>
              <w:lang w:val="en-US" w:eastAsia="zh-CN"/>
            </w:rPr>
            <w:t>及法人身份证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_Toc2933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90DD741">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_Toc3565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附件3：福建省投资项目备案证明</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_Toc3565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DB8BEEE">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_Toc19164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产权证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_Toc19164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285</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39A742E8">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_Toc5947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附件5：租赁合同</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_Toc5947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292</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B29E8A0">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_Toc30726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bCs/>
              <w:color w:val="auto"/>
              <w:sz w:val="24"/>
              <w:szCs w:val="24"/>
              <w:highlight w:val="none"/>
              <w:lang w:val="en-US" w:eastAsia="zh-CN"/>
            </w:rPr>
            <w:t>附件6：现状监测报告</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_Toc30726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304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5179669">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_Toc21915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附件7：引用现状监测报告（地下水，摘选）</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_Toc21915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334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54A5A3E1">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_Toc2028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原辅材料成分及检测</w:t>
          </w:r>
          <w:r>
            <w:rPr>
              <w:rFonts w:hint="default" w:ascii="Times New Roman" w:hAnsi="Times New Roman" w:cs="Times New Roman"/>
              <w:color w:val="auto"/>
              <w:sz w:val="24"/>
              <w:szCs w:val="24"/>
              <w:highlight w:val="none"/>
            </w:rPr>
            <w:t>报告</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_Toc2028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344</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56D77D1">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_Toc28415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附件9：活性炭检测报告</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_Toc28415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373</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6A3BE963">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_Toc25122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附件10：总量承诺函</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_Toc25122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377</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054FB387">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_Toc26702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附件11：</w:t>
          </w:r>
          <w:r>
            <w:rPr>
              <w:rFonts w:hint="default" w:ascii="Times New Roman" w:hAnsi="Times New Roman" w:cs="Times New Roman"/>
              <w:color w:val="auto"/>
              <w:sz w:val="24"/>
              <w:szCs w:val="24"/>
              <w:highlight w:val="none"/>
            </w:rPr>
            <w:t>报件材料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_Toc26702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378</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2FD9EB87">
          <w:pPr>
            <w:pStyle w:val="54"/>
            <w:tabs>
              <w:tab w:val="right" w:leader="dot" w:pos="8788"/>
            </w:tabs>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HYPERLINK \l _Toc27901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color w:val="auto"/>
              <w:sz w:val="24"/>
              <w:szCs w:val="24"/>
              <w:highlight w:val="none"/>
              <w:lang w:val="en-US" w:eastAsia="zh-CN"/>
            </w:rPr>
            <w:t>附件12：福建省生态环境分区管控综合查询报告</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_Toc27901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381</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lang w:val="en-US" w:eastAsia="zh-CN"/>
            </w:rPr>
            <w:fldChar w:fldCharType="end"/>
          </w:r>
        </w:p>
        <w:p w14:paraId="4CB4B0DB">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fldChar w:fldCharType="end"/>
          </w:r>
        </w:p>
      </w:sdtContent>
    </w:sdt>
    <w:p w14:paraId="51433691">
      <w:pPr>
        <w:rPr>
          <w:rFonts w:hint="default" w:ascii="Times New Roman" w:hAnsi="Times New Roman" w:eastAsia="宋体" w:cs="Times New Roman"/>
          <w:color w:val="auto"/>
          <w:kern w:val="2"/>
          <w:sz w:val="24"/>
          <w:szCs w:val="24"/>
          <w:highlight w:val="none"/>
          <w:lang w:val="en-US" w:eastAsia="zh-CN" w:bidi="ar-SA"/>
        </w:rPr>
        <w:sectPr>
          <w:pgSz w:w="11906" w:h="16838"/>
          <w:pgMar w:top="1417" w:right="1701" w:bottom="1587" w:left="1417" w:header="1021" w:footer="907" w:gutter="0"/>
          <w:pgBorders w:offsetFrom="page">
            <w:top w:val="none" w:sz="0" w:space="0"/>
            <w:left w:val="none" w:sz="0" w:space="0"/>
            <w:bottom w:val="none" w:sz="0" w:space="0"/>
            <w:right w:val="none" w:sz="0" w:space="0"/>
          </w:pgBorders>
          <w:pgNumType w:fmt="upperRoman" w:start="1"/>
          <w:cols w:space="720" w:num="1"/>
          <w:docGrid w:type="lines" w:linePitch="326" w:charSpace="0"/>
        </w:sectPr>
      </w:pPr>
    </w:p>
    <w:p w14:paraId="2F1C61D7">
      <w:pPr>
        <w:pStyle w:val="2"/>
        <w:numPr>
          <w:ilvl w:val="0"/>
          <w:numId w:val="0"/>
        </w:numPr>
        <w:tabs>
          <w:tab w:val="clear" w:pos="432"/>
        </w:tabs>
        <w:bidi w:val="0"/>
        <w:ind w:left="0" w:leftChars="0" w:firstLine="0" w:firstLineChars="0"/>
        <w:rPr>
          <w:color w:val="auto"/>
          <w:highlight w:val="none"/>
        </w:rPr>
      </w:pPr>
      <w:bookmarkStart w:id="184" w:name="_Toc27806"/>
      <w:bookmarkStart w:id="185" w:name="_Toc25219"/>
      <w:r>
        <w:rPr>
          <w:color w:val="auto"/>
          <w:highlight w:val="none"/>
        </w:rPr>
        <w:t>1</w:t>
      </w:r>
      <w:r>
        <w:rPr>
          <w:rFonts w:hint="eastAsia"/>
          <w:color w:val="auto"/>
          <w:highlight w:val="none"/>
          <w:lang w:val="en-US" w:eastAsia="zh-CN"/>
        </w:rPr>
        <w:t xml:space="preserve"> </w:t>
      </w:r>
      <w:r>
        <w:rPr>
          <w:color w:val="auto"/>
          <w:highlight w:val="none"/>
        </w:rPr>
        <w:t>概述</w:t>
      </w:r>
      <w:bookmarkEnd w:id="184"/>
      <w:bookmarkEnd w:id="185"/>
    </w:p>
    <w:p w14:paraId="11ED716F">
      <w:pPr>
        <w:pStyle w:val="3"/>
        <w:numPr>
          <w:ilvl w:val="1"/>
          <w:numId w:val="0"/>
        </w:numPr>
        <w:bidi w:val="0"/>
        <w:rPr>
          <w:color w:val="auto"/>
          <w:highlight w:val="none"/>
        </w:rPr>
      </w:pPr>
      <w:bookmarkStart w:id="186" w:name="_Toc27453"/>
      <w:bookmarkStart w:id="187" w:name="_Toc6114"/>
      <w:r>
        <w:rPr>
          <w:color w:val="auto"/>
          <w:highlight w:val="none"/>
        </w:rPr>
        <w:t>1.1</w:t>
      </w:r>
      <w:r>
        <w:rPr>
          <w:rFonts w:hint="eastAsia"/>
          <w:color w:val="auto"/>
          <w:highlight w:val="none"/>
          <w:lang w:val="en-US" w:eastAsia="zh-CN"/>
        </w:rPr>
        <w:t xml:space="preserve"> </w:t>
      </w:r>
      <w:r>
        <w:rPr>
          <w:color w:val="auto"/>
          <w:highlight w:val="none"/>
        </w:rPr>
        <w:t>项目由来</w:t>
      </w:r>
      <w:bookmarkEnd w:id="186"/>
      <w:bookmarkEnd w:id="187"/>
    </w:p>
    <w:p w14:paraId="61943247">
      <w:pPr>
        <w:pStyle w:val="1336"/>
        <w:ind w:firstLine="480"/>
        <w:rPr>
          <w:rFonts w:hint="eastAsia" w:ascii="Times New Roman" w:hAnsi="Times New Roman" w:eastAsia="宋体" w:cs="Times New Roman"/>
          <w:color w:val="auto"/>
          <w:highlight w:val="none"/>
        </w:rPr>
      </w:pPr>
      <w:r>
        <w:rPr>
          <w:rFonts w:hint="eastAsia" w:cs="Times New Roman"/>
          <w:color w:val="auto"/>
          <w:highlight w:val="none"/>
          <w:lang w:eastAsia="zh-CN"/>
        </w:rPr>
        <w:t>福州日源汽车零部件有限公司成立于2026年8月14日，注册地位于福建省闽侯县青口镇祥宏南路1366号，法定代表人为朱传发。经营范围包括一般项目：汽车零部件及配件制造；普通货物仓储服务（不含危险化学品等需许可审批的项目）。</w:t>
      </w:r>
    </w:p>
    <w:p w14:paraId="68EA760D">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随着我国经济快速增长，城镇化</w:t>
      </w:r>
      <w:r>
        <w:rPr>
          <w:rFonts w:hint="eastAsia" w:cs="Times New Roman"/>
          <w:color w:val="auto"/>
          <w:highlight w:val="none"/>
          <w:lang w:eastAsia="zh-CN"/>
        </w:rPr>
        <w:t>水平</w:t>
      </w:r>
      <w:r>
        <w:rPr>
          <w:rFonts w:hint="eastAsia" w:ascii="Times New Roman" w:hAnsi="Times New Roman" w:eastAsia="宋体" w:cs="Times New Roman"/>
          <w:color w:val="auto"/>
          <w:highlight w:val="none"/>
        </w:rPr>
        <w:t>不断提高，交通运输</w:t>
      </w:r>
      <w:r>
        <w:rPr>
          <w:rFonts w:hint="eastAsia" w:cs="Times New Roman"/>
          <w:color w:val="auto"/>
          <w:highlight w:val="none"/>
          <w:lang w:eastAsia="zh-CN"/>
        </w:rPr>
        <w:t>设施</w:t>
      </w:r>
      <w:r>
        <w:rPr>
          <w:rFonts w:hint="eastAsia" w:ascii="Times New Roman" w:hAnsi="Times New Roman" w:eastAsia="宋体" w:cs="Times New Roman"/>
          <w:color w:val="auto"/>
          <w:highlight w:val="none"/>
        </w:rPr>
        <w:t>不断完善，汽车消费成为主流，巨大的消费潜力为我国汽车市场不断发展提供了可靠的市场保障，随着汽车产销量的增加，汽车配件的需求量不断上涨。</w:t>
      </w:r>
    </w:p>
    <w:p w14:paraId="55E8E43F">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青口投资区是以机械、轻工、建工为三大主导产业的省级投资区，主要发展汽车、机械、电子等产业，汽车产业占主导地位。</w:t>
      </w:r>
    </w:p>
    <w:p w14:paraId="54E0C1A8">
      <w:pPr>
        <w:pStyle w:val="1336"/>
        <w:ind w:firstLine="480"/>
        <w:rPr>
          <w:rFonts w:hint="default" w:cs="Times New Roman"/>
          <w:color w:val="auto"/>
          <w:highlight w:val="none"/>
          <w:lang w:val="en-US" w:eastAsia="zh-CN"/>
        </w:rPr>
      </w:pPr>
      <w:r>
        <w:rPr>
          <w:rFonts w:hint="eastAsia" w:ascii="Times New Roman" w:hAnsi="Times New Roman" w:eastAsia="宋体" w:cs="Times New Roman"/>
          <w:color w:val="auto"/>
          <w:highlight w:val="none"/>
        </w:rPr>
        <w:t>为迎合市场需求，公司拟投资1000万元建设</w:t>
      </w:r>
      <w:r>
        <w:rPr>
          <w:rFonts w:hint="eastAsia" w:cs="Times New Roman"/>
          <w:color w:val="auto"/>
          <w:highlight w:val="none"/>
          <w:lang w:eastAsia="zh-CN"/>
        </w:rPr>
        <w:t>福州日源汽车零部件加工生产项目</w:t>
      </w:r>
      <w:r>
        <w:rPr>
          <w:rFonts w:hint="eastAsia" w:ascii="Times New Roman" w:hAnsi="Times New Roman" w:eastAsia="宋体" w:cs="Times New Roman"/>
          <w:color w:val="auto"/>
          <w:highlight w:val="none"/>
        </w:rPr>
        <w:t>。项目</w:t>
      </w:r>
      <w:r>
        <w:rPr>
          <w:rFonts w:hint="eastAsia" w:cs="Times New Roman"/>
          <w:color w:val="auto"/>
          <w:highlight w:val="none"/>
          <w:lang w:val="en-US" w:eastAsia="zh-CN"/>
        </w:rPr>
        <w:t>租赁福州鑫旺物流服务有限公司厂房，租赁面积为18377.76平方米，包含1#-3#厂房建筑面积2567.22平方米，一层钢混结构；一期扩建厂房建筑面积3665.17平方米，3层钢混结构；3#厂房建筑面积12145.37平方米，4层钢结构。因产权证厂房表述易误解，故本项目将1#-3#厂房统一表述为</w:t>
      </w:r>
      <w:r>
        <w:rPr>
          <w:rFonts w:hint="eastAsia" w:cs="Times New Roman"/>
          <w:color w:val="auto"/>
          <w:highlight w:val="none"/>
          <w:u w:val="none"/>
          <w:lang w:val="en-US" w:eastAsia="zh-CN"/>
        </w:rPr>
        <w:t>A库厂房</w:t>
      </w:r>
      <w:r>
        <w:rPr>
          <w:rFonts w:hint="eastAsia" w:cs="Times New Roman"/>
          <w:color w:val="auto"/>
          <w:highlight w:val="none"/>
          <w:lang w:val="en-US" w:eastAsia="zh-CN"/>
        </w:rPr>
        <w:t>，A库厂房建筑面积为2567.22平方米，一期扩建厂房统一表述为办公楼，办公楼建筑面积为3665.17平方米，3#厂房统一表述为B库厂房，B库厂房建筑面积为12145.37平方米。</w:t>
      </w:r>
    </w:p>
    <w:p w14:paraId="5B66330E">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项目</w:t>
      </w:r>
      <w:r>
        <w:rPr>
          <w:rFonts w:hint="eastAsia" w:cs="Times New Roman"/>
          <w:color w:val="auto"/>
          <w:highlight w:val="none"/>
          <w:lang w:val="en-US" w:eastAsia="zh-CN"/>
        </w:rPr>
        <w:t>拟购置注塑机、自动化涂装生产线及配套环保设备，原材料外购改性PP塑料粒、ABS塑料粒、稀释剂等，拟建设年产前后保险杆总成15万套生产线、前格栅总成15万套生产线。</w:t>
      </w:r>
    </w:p>
    <w:p w14:paraId="50C8F170">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本项目租用</w:t>
      </w:r>
      <w:r>
        <w:rPr>
          <w:rFonts w:hint="eastAsia" w:cs="Times New Roman"/>
          <w:color w:val="auto"/>
          <w:highlight w:val="none"/>
          <w:lang w:eastAsia="zh-CN"/>
        </w:rPr>
        <w:t>福州鑫旺物流服务有限公司</w:t>
      </w:r>
      <w:r>
        <w:rPr>
          <w:rFonts w:hint="eastAsia" w:ascii="Times New Roman" w:hAnsi="Times New Roman" w:eastAsia="宋体" w:cs="Times New Roman"/>
          <w:color w:val="auto"/>
          <w:highlight w:val="none"/>
          <w:lang w:val="en-US" w:eastAsia="zh-CN"/>
        </w:rPr>
        <w:t>已建</w:t>
      </w:r>
      <w:r>
        <w:rPr>
          <w:rFonts w:hint="eastAsia" w:ascii="Times New Roman" w:hAnsi="Times New Roman" w:eastAsia="宋体" w:cs="Times New Roman"/>
          <w:color w:val="auto"/>
          <w:highlight w:val="none"/>
        </w:rPr>
        <w:t>厂房，设备经安装后可直接进入营运期，因此本项目施工期对环境的影响主要是设备安装调试过程中产生的噪声。本项目不涉及土建等施工工程，项目施工期对环境影响较小。</w:t>
      </w:r>
    </w:p>
    <w:p w14:paraId="6961F83D">
      <w:pPr>
        <w:pStyle w:val="3"/>
        <w:numPr>
          <w:ilvl w:val="1"/>
          <w:numId w:val="0"/>
        </w:numPr>
        <w:bidi w:val="0"/>
        <w:rPr>
          <w:color w:val="auto"/>
          <w:highlight w:val="none"/>
        </w:rPr>
      </w:pPr>
      <w:bookmarkStart w:id="188" w:name="_Toc4142"/>
      <w:bookmarkStart w:id="189" w:name="_Toc3709"/>
      <w:r>
        <w:rPr>
          <w:color w:val="auto"/>
          <w:highlight w:val="none"/>
        </w:rPr>
        <w:t>1.2</w:t>
      </w:r>
      <w:r>
        <w:rPr>
          <w:rFonts w:hint="eastAsia"/>
          <w:color w:val="auto"/>
          <w:highlight w:val="none"/>
          <w:lang w:val="en-US" w:eastAsia="zh-CN"/>
        </w:rPr>
        <w:t xml:space="preserve"> </w:t>
      </w:r>
      <w:r>
        <w:rPr>
          <w:color w:val="auto"/>
          <w:highlight w:val="none"/>
        </w:rPr>
        <w:t>项目特点</w:t>
      </w:r>
      <w:bookmarkEnd w:id="188"/>
      <w:bookmarkEnd w:id="189"/>
    </w:p>
    <w:p w14:paraId="4507BD89">
      <w:pPr>
        <w:pStyle w:val="1319"/>
        <w:ind w:firstLine="480"/>
        <w:rPr>
          <w:color w:val="auto"/>
          <w:highlight w:val="none"/>
        </w:rPr>
      </w:pPr>
      <w:r>
        <w:rPr>
          <w:rFonts w:ascii="Times New Roman" w:hAnsi="Times New Roman" w:eastAsia="宋体" w:cs="Times New Roman"/>
          <w:color w:val="auto"/>
          <w:highlight w:val="none"/>
        </w:rPr>
        <w:t>（1）本项目位于</w:t>
      </w:r>
      <w:r>
        <w:rPr>
          <w:rFonts w:hint="eastAsia" w:ascii="Times New Roman" w:hAnsi="Times New Roman" w:eastAsia="宋体" w:cs="Times New Roman"/>
          <w:color w:val="auto"/>
          <w:highlight w:val="none"/>
          <w:lang w:eastAsia="zh-CN" w:bidi="he-IL"/>
        </w:rPr>
        <w:t>福建省福州市闽侯县青口镇（青口汽车城内）</w:t>
      </w:r>
      <w:r>
        <w:rPr>
          <w:rFonts w:ascii="Times New Roman" w:hAnsi="Times New Roman" w:eastAsia="宋体" w:cs="Times New Roman"/>
          <w:color w:val="auto"/>
          <w:highlight w:val="none"/>
          <w:lang w:bidi="he-IL"/>
        </w:rPr>
        <w:t>，</w:t>
      </w:r>
      <w:r>
        <w:rPr>
          <w:rFonts w:hint="eastAsia" w:ascii="Times New Roman" w:hAnsi="Times New Roman" w:eastAsia="宋体" w:cs="Times New Roman"/>
          <w:color w:val="auto"/>
          <w:highlight w:val="none"/>
          <w:lang w:eastAsia="zh-CN" w:bidi="he-IL"/>
        </w:rPr>
        <w:t>位于</w:t>
      </w:r>
      <w:r>
        <w:rPr>
          <w:rFonts w:hint="eastAsia" w:ascii="Times New Roman" w:hAnsi="Times New Roman" w:eastAsia="宋体" w:cs="Times New Roman"/>
          <w:color w:val="auto"/>
          <w:highlight w:val="none"/>
          <w:lang w:bidi="he-IL"/>
        </w:rPr>
        <w:t>福州青口投资区规划</w:t>
      </w:r>
      <w:r>
        <w:rPr>
          <w:rFonts w:hint="eastAsia" w:ascii="Times New Roman" w:hAnsi="Times New Roman" w:eastAsia="宋体" w:cs="Times New Roman"/>
          <w:color w:val="auto"/>
          <w:highlight w:val="none"/>
          <w:lang w:eastAsia="zh-CN" w:bidi="he-IL"/>
        </w:rPr>
        <w:t>范围</w:t>
      </w:r>
      <w:r>
        <w:rPr>
          <w:rFonts w:hint="eastAsia" w:cs="Times New Roman"/>
          <w:color w:val="auto"/>
          <w:highlight w:val="none"/>
          <w:lang w:val="en-US" w:eastAsia="zh-CN" w:bidi="he-IL"/>
        </w:rPr>
        <w:t>内</w:t>
      </w:r>
      <w:r>
        <w:rPr>
          <w:rFonts w:ascii="Times New Roman" w:hAnsi="Times New Roman" w:eastAsia="宋体" w:cs="Times New Roman"/>
          <w:color w:val="auto"/>
          <w:highlight w:val="none"/>
          <w:lang w:bidi="he-IL"/>
        </w:rPr>
        <w:t>，</w:t>
      </w:r>
      <w:r>
        <w:rPr>
          <w:rFonts w:ascii="Times New Roman" w:hAnsi="Times New Roman" w:eastAsia="宋体" w:cs="Times New Roman"/>
          <w:color w:val="auto"/>
          <w:highlight w:val="none"/>
        </w:rPr>
        <w:t>区域</w:t>
      </w:r>
      <w:r>
        <w:rPr>
          <w:rFonts w:hint="eastAsia" w:cs="Times New Roman"/>
          <w:color w:val="auto"/>
          <w:highlight w:val="none"/>
          <w:lang w:eastAsia="zh-CN"/>
        </w:rPr>
        <w:t>内</w:t>
      </w:r>
      <w:r>
        <w:rPr>
          <w:rFonts w:ascii="Times New Roman" w:hAnsi="Times New Roman" w:eastAsia="宋体" w:cs="Times New Roman"/>
          <w:color w:val="auto"/>
          <w:highlight w:val="none"/>
        </w:rPr>
        <w:t>污水管网等基础设施配套完善，</w:t>
      </w:r>
      <w:r>
        <w:rPr>
          <w:rFonts w:hint="eastAsia" w:ascii="Times New Roman" w:hAnsi="Times New Roman" w:eastAsia="宋体" w:cs="Times New Roman"/>
          <w:color w:val="auto"/>
          <w:highlight w:val="none"/>
          <w:lang w:eastAsia="zh-CN"/>
        </w:rPr>
        <w:t>排水条件良好。</w:t>
      </w:r>
      <w:r>
        <w:rPr>
          <w:color w:val="auto"/>
          <w:highlight w:val="none"/>
        </w:rPr>
        <w:t>本项目废水分为生活污水与生产废水，废水处置方式如下：生活污水经出租方已建化粪池处理后，纳入市政污水管网，排入青口汽车工业开发区污水处理厂进一步处理。生产废水共</w:t>
      </w:r>
      <w:r>
        <w:rPr>
          <w:rFonts w:hint="eastAsia"/>
          <w:color w:val="auto"/>
          <w:highlight w:val="none"/>
          <w:lang w:val="en-US" w:eastAsia="zh-CN"/>
        </w:rPr>
        <w:t>五</w:t>
      </w:r>
      <w:r>
        <w:rPr>
          <w:color w:val="auto"/>
          <w:highlight w:val="none"/>
        </w:rPr>
        <w:t>类，其中注塑工序冷却水</w:t>
      </w:r>
      <w:r>
        <w:rPr>
          <w:rFonts w:hint="eastAsia"/>
          <w:color w:val="auto"/>
          <w:highlight w:val="none"/>
          <w:lang w:eastAsia="zh-CN"/>
        </w:rPr>
        <w:t>、</w:t>
      </w:r>
      <w:r>
        <w:rPr>
          <w:color w:val="auto"/>
          <w:highlight w:val="none"/>
        </w:rPr>
        <w:t>本项目冰水机配套的设备冷却水</w:t>
      </w:r>
      <w:r>
        <w:rPr>
          <w:rFonts w:hint="eastAsia"/>
          <w:color w:val="auto"/>
          <w:highlight w:val="none"/>
          <w:lang w:val="en-US" w:eastAsia="zh-CN"/>
        </w:rPr>
        <w:t>与热洁炉换热器冷却水</w:t>
      </w:r>
      <w:r>
        <w:rPr>
          <w:color w:val="auto"/>
          <w:highlight w:val="none"/>
        </w:rPr>
        <w:t>均为间接冷却水，水质基本不受污染，经降温后全部循环使用不外排，仅定期补充蒸发、风吹带来的水量损耗；锅炉排污水</w:t>
      </w:r>
      <w:r>
        <w:rPr>
          <w:rFonts w:hint="eastAsia"/>
          <w:color w:val="auto"/>
          <w:highlight w:val="none"/>
          <w:lang w:val="en-US" w:eastAsia="zh-CN"/>
        </w:rPr>
        <w:t>与</w:t>
      </w:r>
      <w:r>
        <w:rPr>
          <w:color w:val="auto"/>
          <w:highlight w:val="none"/>
        </w:rPr>
        <w:t>纯水制备产生的反渗透浓水</w:t>
      </w:r>
      <w:r>
        <w:rPr>
          <w:rFonts w:hint="eastAsia"/>
          <w:color w:val="auto"/>
          <w:highlight w:val="none"/>
          <w:lang w:val="en-US" w:eastAsia="zh-CN"/>
        </w:rPr>
        <w:t>的</w:t>
      </w:r>
      <w:r>
        <w:rPr>
          <w:color w:val="auto"/>
          <w:highlight w:val="none"/>
        </w:rPr>
        <w:t>水质相对清洁，不含重金属及有毒有害物质，经厂区污水总排口</w:t>
      </w:r>
      <w:r>
        <w:rPr>
          <w:rFonts w:hint="eastAsia"/>
          <w:color w:val="auto"/>
          <w:highlight w:val="none"/>
          <w:lang w:eastAsia="zh-CN"/>
        </w:rPr>
        <w:t>排入</w:t>
      </w:r>
      <w:r>
        <w:rPr>
          <w:color w:val="auto"/>
          <w:highlight w:val="none"/>
        </w:rPr>
        <w:t>市政污水管网。</w:t>
      </w:r>
    </w:p>
    <w:p w14:paraId="636BA6CB">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lang w:bidi="he-IL"/>
        </w:rPr>
        <w:t>（2）建设性质为</w:t>
      </w:r>
      <w:r>
        <w:rPr>
          <w:rFonts w:hint="eastAsia" w:cs="Times New Roman"/>
          <w:color w:val="auto"/>
          <w:highlight w:val="none"/>
          <w:lang w:eastAsia="zh-CN" w:bidi="he-IL"/>
        </w:rPr>
        <w:t>“</w:t>
      </w:r>
      <w:r>
        <w:rPr>
          <w:rFonts w:hint="eastAsia" w:cs="Times New Roman"/>
          <w:color w:val="auto"/>
          <w:highlight w:val="none"/>
          <w:lang w:val="en-US" w:eastAsia="zh-CN" w:bidi="he-IL"/>
        </w:rPr>
        <w:t>新</w:t>
      </w:r>
      <w:r>
        <w:rPr>
          <w:rFonts w:ascii="Times New Roman" w:hAnsi="Times New Roman" w:eastAsia="宋体" w:cs="Times New Roman"/>
          <w:color w:val="auto"/>
          <w:highlight w:val="none"/>
          <w:lang w:bidi="he-IL"/>
        </w:rPr>
        <w:t>建</w:t>
      </w:r>
      <w:r>
        <w:rPr>
          <w:rFonts w:hint="eastAsia" w:cs="Times New Roman"/>
          <w:color w:val="auto"/>
          <w:highlight w:val="none"/>
          <w:lang w:eastAsia="zh-CN" w:bidi="he-IL"/>
        </w:rPr>
        <w:t>”</w:t>
      </w:r>
      <w:r>
        <w:rPr>
          <w:rFonts w:ascii="Times New Roman" w:hAnsi="Times New Roman" w:eastAsia="宋体" w:cs="Times New Roman"/>
          <w:color w:val="auto"/>
          <w:highlight w:val="none"/>
          <w:lang w:bidi="he-IL"/>
        </w:rPr>
        <w:t>，行业类别为</w:t>
      </w:r>
      <w:r>
        <w:rPr>
          <w:rFonts w:hint="eastAsia" w:cs="Times New Roman"/>
          <w:color w:val="auto"/>
          <w:highlight w:val="none"/>
          <w:lang w:eastAsia="zh-CN" w:bidi="he-IL"/>
        </w:rPr>
        <w:t>“</w:t>
      </w:r>
      <w:r>
        <w:rPr>
          <w:rFonts w:ascii="Times New Roman" w:hAnsi="Times New Roman" w:eastAsia="宋体" w:cs="Times New Roman"/>
          <w:color w:val="auto"/>
          <w:highlight w:val="none"/>
          <w:lang w:bidi="he-IL"/>
        </w:rPr>
        <w:t>C3670 汽车零部件及汽车配件生产</w:t>
      </w:r>
      <w:r>
        <w:rPr>
          <w:rFonts w:hint="eastAsia" w:cs="Times New Roman"/>
          <w:color w:val="auto"/>
          <w:highlight w:val="none"/>
          <w:lang w:eastAsia="zh-CN" w:bidi="he-IL"/>
        </w:rPr>
        <w:t>”</w:t>
      </w:r>
      <w:r>
        <w:rPr>
          <w:rFonts w:ascii="Times New Roman" w:hAnsi="Times New Roman" w:eastAsia="宋体" w:cs="Times New Roman"/>
          <w:color w:val="auto"/>
          <w:highlight w:val="none"/>
          <w:lang w:bidi="he-IL"/>
        </w:rPr>
        <w:t>；</w:t>
      </w:r>
      <w:r>
        <w:rPr>
          <w:rFonts w:ascii="Times New Roman" w:hAnsi="Times New Roman" w:eastAsia="宋体" w:cs="Times New Roman"/>
          <w:color w:val="auto"/>
          <w:highlight w:val="none"/>
        </w:rPr>
        <w:t>已于202</w:t>
      </w:r>
      <w:r>
        <w:rPr>
          <w:rFonts w:hint="eastAsia" w:cs="Times New Roman"/>
          <w:color w:val="auto"/>
          <w:highlight w:val="none"/>
          <w:lang w:val="en-US" w:eastAsia="zh-CN"/>
        </w:rPr>
        <w:t>6</w:t>
      </w:r>
      <w:r>
        <w:rPr>
          <w:rFonts w:ascii="Times New Roman" w:hAnsi="Times New Roman" w:eastAsia="宋体" w:cs="Times New Roman"/>
          <w:color w:val="auto"/>
          <w:highlight w:val="none"/>
        </w:rPr>
        <w:t>年</w:t>
      </w:r>
      <w:r>
        <w:rPr>
          <w:rFonts w:hint="eastAsia" w:cs="Times New Roman"/>
          <w:color w:val="auto"/>
          <w:highlight w:val="none"/>
          <w:lang w:val="en-US" w:eastAsia="zh-CN"/>
        </w:rPr>
        <w:t>10</w:t>
      </w:r>
      <w:r>
        <w:rPr>
          <w:rFonts w:ascii="Times New Roman" w:hAnsi="Times New Roman" w:eastAsia="宋体" w:cs="Times New Roman"/>
          <w:color w:val="auto"/>
          <w:highlight w:val="none"/>
        </w:rPr>
        <w:t>月</w:t>
      </w:r>
      <w:r>
        <w:rPr>
          <w:rFonts w:hint="eastAsia"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2</w:t>
      </w:r>
      <w:r>
        <w:rPr>
          <w:rFonts w:ascii="Times New Roman" w:hAnsi="Times New Roman" w:eastAsia="宋体" w:cs="Times New Roman"/>
          <w:color w:val="auto"/>
          <w:highlight w:val="none"/>
        </w:rPr>
        <w:t>日取得</w:t>
      </w:r>
      <w:r>
        <w:rPr>
          <w:rFonts w:hint="eastAsia" w:ascii="Times New Roman" w:hAnsi="Times New Roman" w:eastAsia="宋体" w:cs="Times New Roman"/>
          <w:color w:val="auto"/>
          <w:highlight w:val="none"/>
          <w:lang w:eastAsia="zh-CN"/>
        </w:rPr>
        <w:t>闽侯县</w:t>
      </w:r>
      <w:r>
        <w:rPr>
          <w:rFonts w:hint="eastAsia" w:cs="Times New Roman"/>
          <w:color w:val="auto"/>
          <w:highlight w:val="none"/>
          <w:lang w:val="en-US" w:eastAsia="zh-CN"/>
        </w:rPr>
        <w:t>发展和改革局</w:t>
      </w:r>
      <w:r>
        <w:rPr>
          <w:rFonts w:ascii="Times New Roman" w:hAnsi="Times New Roman" w:eastAsia="宋体" w:cs="Times New Roman"/>
          <w:color w:val="auto"/>
          <w:highlight w:val="none"/>
        </w:rPr>
        <w:t>出具的《福建省投资项目备案证明（</w:t>
      </w:r>
      <w:r>
        <w:rPr>
          <w:rFonts w:hint="eastAsia" w:ascii="Times New Roman" w:hAnsi="Times New Roman" w:eastAsia="宋体" w:cs="Times New Roman"/>
          <w:color w:val="auto"/>
          <w:highlight w:val="none"/>
          <w:lang w:val="en-US" w:eastAsia="zh-CN"/>
        </w:rPr>
        <w:t>内资</w:t>
      </w:r>
      <w:r>
        <w:rPr>
          <w:rFonts w:ascii="Times New Roman" w:hAnsi="Times New Roman" w:eastAsia="宋体" w:cs="Times New Roman"/>
          <w:color w:val="auto"/>
          <w:highlight w:val="none"/>
        </w:rPr>
        <w:t>）》（编号：</w:t>
      </w:r>
      <w:r>
        <w:rPr>
          <w:rFonts w:hint="eastAsia" w:ascii="Times New Roman" w:hAnsi="Times New Roman" w:eastAsia="宋体" w:cs="Times New Roman"/>
          <w:color w:val="auto"/>
          <w:highlight w:val="none"/>
          <w:lang w:eastAsia="zh-CN"/>
        </w:rPr>
        <w:t>闽</w:t>
      </w:r>
      <w:r>
        <w:rPr>
          <w:rFonts w:hint="eastAsia" w:cs="Times New Roman"/>
          <w:color w:val="auto"/>
          <w:highlight w:val="none"/>
          <w:lang w:val="en-US" w:eastAsia="zh-CN"/>
        </w:rPr>
        <w:t>发改</w:t>
      </w:r>
      <w:r>
        <w:rPr>
          <w:rFonts w:hint="eastAsia" w:ascii="Times New Roman" w:hAnsi="Times New Roman" w:eastAsia="宋体" w:cs="Times New Roman"/>
          <w:color w:val="auto"/>
          <w:highlight w:val="none"/>
          <w:lang w:eastAsia="zh-CN"/>
        </w:rPr>
        <w:t>备[202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eastAsia="zh-CN"/>
        </w:rPr>
        <w:t>]A08</w:t>
      </w:r>
      <w:r>
        <w:rPr>
          <w:rFonts w:hint="eastAsia" w:cs="Times New Roman"/>
          <w:color w:val="auto"/>
          <w:highlight w:val="none"/>
          <w:lang w:val="en-US" w:eastAsia="zh-CN"/>
        </w:rPr>
        <w:t>0808</w:t>
      </w:r>
      <w:r>
        <w:rPr>
          <w:rFonts w:hint="eastAsia" w:ascii="Times New Roman" w:hAnsi="Times New Roman" w:eastAsia="宋体" w:cs="Times New Roman"/>
          <w:color w:val="auto"/>
          <w:highlight w:val="none"/>
          <w:lang w:eastAsia="zh-CN"/>
        </w:rPr>
        <w:t>号</w:t>
      </w:r>
      <w:r>
        <w:rPr>
          <w:rFonts w:ascii="Times New Roman" w:hAnsi="Times New Roman" w:eastAsia="宋体" w:cs="Times New Roman"/>
          <w:color w:val="auto"/>
          <w:highlight w:val="none"/>
        </w:rPr>
        <w:t>）。</w:t>
      </w:r>
    </w:p>
    <w:p w14:paraId="7934220D">
      <w:pPr>
        <w:pStyle w:val="1336"/>
        <w:ind w:firstLine="480"/>
        <w:rPr>
          <w:rFonts w:hint="eastAsia" w:eastAsia="宋体"/>
          <w:color w:val="auto"/>
          <w:highlight w:val="none"/>
          <w:lang w:eastAsia="zh-CN"/>
        </w:rPr>
      </w:pPr>
      <w:r>
        <w:rPr>
          <w:rFonts w:ascii="Times New Roman" w:hAnsi="Times New Roman" w:eastAsia="宋体" w:cs="Times New Roman"/>
          <w:color w:val="auto"/>
          <w:highlight w:val="none"/>
        </w:rPr>
        <w:t>（3）</w:t>
      </w:r>
      <w:r>
        <w:rPr>
          <w:rFonts w:hint="eastAsia" w:ascii="Times New Roman" w:hAnsi="Times New Roman" w:eastAsia="宋体" w:cs="Times New Roman"/>
          <w:color w:val="auto"/>
          <w:highlight w:val="none"/>
          <w:lang w:eastAsia="zh-CN"/>
        </w:rPr>
        <w:t>本项目所生产的</w:t>
      </w:r>
      <w:r>
        <w:rPr>
          <w:rFonts w:hint="eastAsia" w:cs="Times New Roman"/>
          <w:color w:val="auto"/>
          <w:highlight w:val="none"/>
          <w:lang w:val="en-US" w:eastAsia="zh-CN"/>
        </w:rPr>
        <w:t>前后保险杆及前格栅包含</w:t>
      </w:r>
      <w:r>
        <w:rPr>
          <w:rFonts w:hint="eastAsia" w:ascii="Times New Roman" w:hAnsi="Times New Roman" w:eastAsia="宋体" w:cs="Times New Roman"/>
          <w:color w:val="auto"/>
          <w:highlight w:val="none"/>
          <w:lang w:val="en-US" w:eastAsia="zh-CN"/>
        </w:rPr>
        <w:t>塑料构件，该类塑料构件由本项目</w:t>
      </w:r>
      <w:r>
        <w:rPr>
          <w:rFonts w:hint="eastAsia" w:cs="Times New Roman"/>
          <w:color w:val="auto"/>
          <w:highlight w:val="none"/>
          <w:lang w:val="en-US" w:eastAsia="zh-CN"/>
        </w:rPr>
        <w:t>自行完成</w:t>
      </w:r>
      <w:r>
        <w:rPr>
          <w:rFonts w:hint="eastAsia" w:ascii="Times New Roman" w:hAnsi="Times New Roman" w:eastAsia="宋体" w:cs="Times New Roman"/>
          <w:color w:val="auto"/>
          <w:highlight w:val="none"/>
          <w:lang w:val="en-US" w:eastAsia="zh-CN"/>
        </w:rPr>
        <w:t>注塑生产。</w:t>
      </w:r>
    </w:p>
    <w:p w14:paraId="76BA1801">
      <w:pPr>
        <w:pStyle w:val="3"/>
        <w:numPr>
          <w:ilvl w:val="0"/>
          <w:numId w:val="0"/>
        </w:numPr>
        <w:tabs>
          <w:tab w:val="left" w:pos="432"/>
          <w:tab w:val="clear" w:pos="720"/>
        </w:tabs>
        <w:bidi w:val="0"/>
        <w:ind w:leftChars="0"/>
        <w:outlineLvl w:val="1"/>
        <w:rPr>
          <w:color w:val="auto"/>
          <w:highlight w:val="none"/>
        </w:rPr>
      </w:pPr>
      <w:bookmarkStart w:id="190" w:name="_Toc10859"/>
      <w:bookmarkStart w:id="191" w:name="_Toc24939"/>
      <w:r>
        <w:rPr>
          <w:color w:val="auto"/>
          <w:highlight w:val="none"/>
        </w:rPr>
        <w:t>1.3</w:t>
      </w:r>
      <w:r>
        <w:rPr>
          <w:rFonts w:hint="eastAsia"/>
          <w:color w:val="auto"/>
          <w:highlight w:val="none"/>
          <w:lang w:val="en-US" w:eastAsia="zh-CN"/>
        </w:rPr>
        <w:t xml:space="preserve"> </w:t>
      </w:r>
      <w:r>
        <w:rPr>
          <w:color w:val="auto"/>
          <w:highlight w:val="none"/>
        </w:rPr>
        <w:t>环境影响评价的工作过程</w:t>
      </w:r>
      <w:bookmarkEnd w:id="190"/>
      <w:bookmarkEnd w:id="191"/>
    </w:p>
    <w:p w14:paraId="2DC89EA8">
      <w:pPr>
        <w:rPr>
          <w:rFonts w:ascii="Times New Roman" w:hAnsi="Times New Roman" w:eastAsia="宋体" w:cs="Times New Roman"/>
          <w:bCs/>
          <w:color w:val="auto"/>
          <w:kern w:val="0"/>
          <w:sz w:val="24"/>
          <w:szCs w:val="24"/>
          <w:highlight w:val="none"/>
          <w:lang w:val="en-US" w:eastAsia="zh-CN" w:bidi="ar-SA"/>
        </w:rPr>
      </w:pPr>
      <w:r>
        <w:rPr>
          <w:rFonts w:ascii="Times New Roman" w:hAnsi="Times New Roman" w:eastAsia="宋体" w:cs="Times New Roman"/>
          <w:bCs/>
          <w:color w:val="auto"/>
          <w:kern w:val="0"/>
          <w:sz w:val="24"/>
          <w:szCs w:val="24"/>
          <w:highlight w:val="none"/>
          <w:lang w:val="en-US" w:eastAsia="zh-CN" w:bidi="ar-SA"/>
        </w:rPr>
        <w:t>本项目行业类别为</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C3670汽车零部件及汽车配件生产</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，根据《</w:t>
      </w:r>
      <w:r>
        <w:rPr>
          <w:rFonts w:hint="eastAsia" w:cs="Times New Roman"/>
          <w:bCs/>
          <w:color w:val="auto"/>
          <w:kern w:val="0"/>
          <w:sz w:val="24"/>
          <w:szCs w:val="24"/>
          <w:highlight w:val="none"/>
          <w:lang w:val="en-US" w:eastAsia="zh-CN" w:bidi="ar-SA"/>
        </w:rPr>
        <w:t>中华人民共和国生态环境法典</w:t>
      </w:r>
      <w:r>
        <w:rPr>
          <w:rFonts w:ascii="Times New Roman" w:hAnsi="Times New Roman" w:eastAsia="宋体" w:cs="Times New Roman"/>
          <w:bCs/>
          <w:color w:val="auto"/>
          <w:kern w:val="0"/>
          <w:sz w:val="24"/>
          <w:szCs w:val="24"/>
          <w:highlight w:val="none"/>
          <w:lang w:val="en-US" w:eastAsia="zh-CN" w:bidi="ar-SA"/>
        </w:rPr>
        <w:t>》《建设项目环境影响评价分类管理名录》（2021年版）中的有关规定，本项目涉及名录中两类相关情形：第一类为</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三十三、汽车制造业36——71、汽车零部件及配件制造367</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下的</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年用溶剂型涂料（含稀释剂）10吨及以上</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；第二类为</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二十六、橡胶和塑料制品业29——53、塑料制品业292</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下的</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年用溶剂型涂料（含稀释剂）10吨及以上</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。本项目新增溶剂型涂料（含稀释剂）年用量为8</w:t>
      </w:r>
      <w:r>
        <w:rPr>
          <w:rFonts w:hint="eastAsia" w:cs="Times New Roman"/>
          <w:bCs/>
          <w:color w:val="auto"/>
          <w:kern w:val="0"/>
          <w:sz w:val="24"/>
          <w:szCs w:val="24"/>
          <w:highlight w:val="none"/>
          <w:lang w:val="en-US" w:eastAsia="zh-CN" w:bidi="ar-SA"/>
        </w:rPr>
        <w:t>4.13</w:t>
      </w:r>
      <w:r>
        <w:rPr>
          <w:rFonts w:ascii="Times New Roman" w:hAnsi="Times New Roman" w:eastAsia="宋体" w:cs="Times New Roman"/>
          <w:bCs/>
          <w:color w:val="auto"/>
          <w:kern w:val="0"/>
          <w:sz w:val="24"/>
          <w:szCs w:val="24"/>
          <w:highlight w:val="none"/>
          <w:lang w:val="en-US" w:eastAsia="zh-CN" w:bidi="ar-SA"/>
        </w:rPr>
        <w:t>吨，符合</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年用溶剂型涂料（含稀释剂）10吨及以上的</w:t>
      </w:r>
      <w:r>
        <w:rPr>
          <w:rFonts w:hint="eastAsia" w:cs="Times New Roman"/>
          <w:bCs/>
          <w:color w:val="auto"/>
          <w:kern w:val="0"/>
          <w:sz w:val="24"/>
          <w:szCs w:val="24"/>
          <w:highlight w:val="none"/>
          <w:lang w:val="en-US" w:eastAsia="zh-CN" w:bidi="ar-SA"/>
        </w:rPr>
        <w:t>”</w:t>
      </w:r>
      <w:r>
        <w:rPr>
          <w:rFonts w:ascii="Times New Roman" w:hAnsi="Times New Roman" w:eastAsia="宋体" w:cs="Times New Roman"/>
          <w:bCs/>
          <w:color w:val="auto"/>
          <w:kern w:val="0"/>
          <w:sz w:val="24"/>
          <w:szCs w:val="24"/>
          <w:highlight w:val="none"/>
          <w:lang w:val="en-US" w:eastAsia="zh-CN" w:bidi="ar-SA"/>
        </w:rPr>
        <w:t>情形，应编制</w:t>
      </w:r>
      <w:r>
        <w:rPr>
          <w:rFonts w:hint="eastAsia" w:cs="Times New Roman"/>
          <w:bCs/>
          <w:color w:val="auto"/>
          <w:kern w:val="0"/>
          <w:sz w:val="24"/>
          <w:szCs w:val="24"/>
          <w:highlight w:val="none"/>
          <w:lang w:val="en-US" w:eastAsia="zh-CN" w:bidi="ar-SA"/>
        </w:rPr>
        <w:t>生态</w:t>
      </w:r>
      <w:r>
        <w:rPr>
          <w:rFonts w:ascii="Times New Roman" w:hAnsi="Times New Roman" w:eastAsia="宋体" w:cs="Times New Roman"/>
          <w:bCs/>
          <w:color w:val="auto"/>
          <w:kern w:val="0"/>
          <w:sz w:val="24"/>
          <w:szCs w:val="24"/>
          <w:highlight w:val="none"/>
          <w:lang w:val="en-US" w:eastAsia="zh-CN" w:bidi="ar-SA"/>
        </w:rPr>
        <w:t>环境影响报告书。</w:t>
      </w:r>
    </w:p>
    <w:p w14:paraId="791DEA5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表1.3-1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《建设项目环境影响评价分类管理名录》摘录</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2791"/>
        <w:gridCol w:w="2694"/>
        <w:gridCol w:w="1844"/>
        <w:gridCol w:w="1098"/>
      </w:tblGrid>
      <w:tr w14:paraId="48D3E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870" w:type="pct"/>
            <w:gridSpan w:val="2"/>
            <w:tcBorders>
              <w:bottom w:val="single" w:color="auto" w:sz="6" w:space="0"/>
              <w:tl2br w:val="single" w:color="auto" w:sz="4" w:space="0"/>
            </w:tcBorders>
            <w:shd w:val="clear" w:color="auto" w:fill="auto"/>
            <w:noWrap w:val="0"/>
            <w:vAlign w:val="center"/>
          </w:tcPr>
          <w:p w14:paraId="3147DD7B">
            <w:pPr>
              <w:pStyle w:val="1358"/>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项目类别</w:t>
            </w:r>
          </w:p>
          <w:p w14:paraId="302BF69C">
            <w:pPr>
              <w:pStyle w:val="1358"/>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环评类别</w:t>
            </w:r>
          </w:p>
        </w:tc>
        <w:tc>
          <w:tcPr>
            <w:tcW w:w="1496" w:type="pct"/>
            <w:tcBorders>
              <w:bottom w:val="single" w:color="auto" w:sz="6" w:space="0"/>
            </w:tcBorders>
            <w:shd w:val="clear" w:color="auto" w:fill="BFBFBF"/>
            <w:noWrap w:val="0"/>
            <w:vAlign w:val="center"/>
          </w:tcPr>
          <w:p w14:paraId="310DD18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报告书</w:t>
            </w:r>
          </w:p>
        </w:tc>
        <w:tc>
          <w:tcPr>
            <w:tcW w:w="1024" w:type="pct"/>
            <w:tcBorders>
              <w:bottom w:val="single" w:color="auto" w:sz="6" w:space="0"/>
            </w:tcBorders>
            <w:noWrap w:val="0"/>
            <w:vAlign w:val="center"/>
          </w:tcPr>
          <w:p w14:paraId="27D942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报告表</w:t>
            </w:r>
          </w:p>
        </w:tc>
        <w:tc>
          <w:tcPr>
            <w:tcW w:w="609" w:type="pct"/>
            <w:tcBorders>
              <w:bottom w:val="single" w:color="auto" w:sz="6" w:space="0"/>
            </w:tcBorders>
            <w:noWrap w:val="0"/>
            <w:vAlign w:val="center"/>
          </w:tcPr>
          <w:p w14:paraId="6EE9291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登记表</w:t>
            </w:r>
          </w:p>
        </w:tc>
      </w:tr>
      <w:tr w14:paraId="3952CF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000" w:type="pct"/>
            <w:gridSpan w:val="5"/>
            <w:tcBorders>
              <w:top w:val="single" w:color="auto" w:sz="6" w:space="0"/>
              <w:tl2br w:val="nil"/>
              <w:tr2bl w:val="nil"/>
            </w:tcBorders>
            <w:noWrap w:val="0"/>
            <w:vAlign w:val="center"/>
          </w:tcPr>
          <w:p w14:paraId="3D54EB00">
            <w:pPr>
              <w:pStyle w:val="1358"/>
              <w:jc w:val="both"/>
              <w:rPr>
                <w:rFonts w:ascii="Times New Roman" w:hAnsi="Times New Roman" w:eastAsia="宋体" w:cs="Times New Roman"/>
                <w:b/>
                <w:color w:val="auto"/>
                <w:highlight w:val="none"/>
              </w:rPr>
            </w:pPr>
            <w:r>
              <w:rPr>
                <w:rFonts w:ascii="Times New Roman" w:hAnsi="Times New Roman" w:eastAsia="宋体" w:cs="Times New Roman"/>
                <w:b/>
                <w:color w:val="auto"/>
                <w:highlight w:val="none"/>
              </w:rPr>
              <w:t>三十三、汽车制造业36</w:t>
            </w:r>
          </w:p>
        </w:tc>
      </w:tr>
      <w:tr w14:paraId="2AC79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20" w:type="pct"/>
            <w:tcBorders>
              <w:tl2br w:val="nil"/>
              <w:tr2bl w:val="nil"/>
            </w:tcBorders>
            <w:shd w:val="clear" w:color="auto" w:fill="auto"/>
            <w:noWrap w:val="0"/>
            <w:vAlign w:val="center"/>
          </w:tcPr>
          <w:p w14:paraId="204C99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71</w:t>
            </w:r>
          </w:p>
        </w:tc>
        <w:tc>
          <w:tcPr>
            <w:tcW w:w="1550" w:type="pct"/>
            <w:tcBorders>
              <w:tl2br w:val="nil"/>
              <w:tr2bl w:val="nil"/>
            </w:tcBorders>
            <w:shd w:val="clear" w:color="auto" w:fill="auto"/>
            <w:noWrap w:val="0"/>
            <w:vAlign w:val="center"/>
          </w:tcPr>
          <w:p w14:paraId="1F3424E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汽车整车制造361；汽车用发动机制造362；改装汽车制造363；低速汽车制造364；电车制造365；汽车车身、挂车制造366；汽车零部件及配件制造367</w:t>
            </w:r>
          </w:p>
        </w:tc>
        <w:tc>
          <w:tcPr>
            <w:tcW w:w="1496" w:type="pct"/>
            <w:tcBorders>
              <w:tl2br w:val="nil"/>
              <w:tr2bl w:val="nil"/>
            </w:tcBorders>
            <w:shd w:val="clear" w:color="auto" w:fill="BFBFBF"/>
            <w:noWrap w:val="0"/>
            <w:vAlign w:val="center"/>
          </w:tcPr>
          <w:p w14:paraId="562FD42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汽车整车制造（仅组装的除外）；汽车用发动机制造（仅组装的除外）；有电镀工艺的；年用溶剂型涂料（含稀释剂）10吨及以上的</w:t>
            </w:r>
          </w:p>
        </w:tc>
        <w:tc>
          <w:tcPr>
            <w:tcW w:w="1024" w:type="pct"/>
            <w:tcBorders>
              <w:tl2br w:val="nil"/>
              <w:tr2bl w:val="nil"/>
            </w:tcBorders>
            <w:noWrap w:val="0"/>
            <w:vAlign w:val="center"/>
          </w:tcPr>
          <w:p w14:paraId="794D28F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其他（年用非溶剂型低VOCs含量涂料10吨以下的除外）</w:t>
            </w:r>
          </w:p>
        </w:tc>
        <w:tc>
          <w:tcPr>
            <w:tcW w:w="609" w:type="pct"/>
            <w:tcBorders>
              <w:tl2br w:val="nil"/>
              <w:tr2bl w:val="nil"/>
            </w:tcBorders>
            <w:noWrap w:val="0"/>
            <w:vAlign w:val="center"/>
          </w:tcPr>
          <w:p w14:paraId="26BAA95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r w14:paraId="2B6E0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000" w:type="pct"/>
            <w:gridSpan w:val="5"/>
            <w:tcBorders>
              <w:tl2br w:val="nil"/>
              <w:tr2bl w:val="nil"/>
            </w:tcBorders>
            <w:shd w:val="clear" w:color="auto" w:fill="auto"/>
            <w:noWrap w:val="0"/>
            <w:vAlign w:val="center"/>
          </w:tcPr>
          <w:p w14:paraId="2480D6D9">
            <w:pPr>
              <w:pStyle w:val="1358"/>
              <w:jc w:val="left"/>
              <w:rPr>
                <w:rFonts w:ascii="Times New Roman" w:hAnsi="Times New Roman" w:eastAsia="宋体" w:cs="Times New Roman"/>
                <w:color w:val="auto"/>
                <w:highlight w:val="none"/>
              </w:rPr>
            </w:pPr>
            <w:r>
              <w:rPr>
                <w:rFonts w:hint="eastAsia"/>
                <w:b/>
                <w:bCs/>
                <w:color w:val="auto"/>
                <w:highlight w:val="none"/>
                <w:lang w:val="en-US" w:eastAsia="zh-CN"/>
              </w:rPr>
              <w:t>二十六、橡胶和塑料制品业29</w:t>
            </w:r>
          </w:p>
        </w:tc>
      </w:tr>
      <w:tr w14:paraId="2D91B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20" w:type="pct"/>
            <w:tcBorders>
              <w:tl2br w:val="nil"/>
              <w:tr2bl w:val="nil"/>
            </w:tcBorders>
            <w:shd w:val="clear" w:color="auto" w:fill="auto"/>
            <w:noWrap w:val="0"/>
            <w:vAlign w:val="center"/>
          </w:tcPr>
          <w:p w14:paraId="748F87C2">
            <w:pPr>
              <w:pStyle w:val="1358"/>
              <w:rPr>
                <w:rFonts w:ascii="Times New Roman" w:hAnsi="Times New Roman" w:eastAsia="宋体" w:cs="Times New Roman"/>
                <w:color w:val="auto"/>
                <w:highlight w:val="none"/>
              </w:rPr>
            </w:pPr>
            <w:r>
              <w:rPr>
                <w:rFonts w:hint="eastAsia"/>
                <w:color w:val="auto"/>
                <w:highlight w:val="none"/>
                <w:lang w:val="en-US" w:eastAsia="zh-CN"/>
              </w:rPr>
              <w:t>53</w:t>
            </w:r>
          </w:p>
        </w:tc>
        <w:tc>
          <w:tcPr>
            <w:tcW w:w="1550" w:type="pct"/>
            <w:tcBorders>
              <w:tl2br w:val="nil"/>
              <w:tr2bl w:val="nil"/>
            </w:tcBorders>
            <w:shd w:val="clear" w:color="auto" w:fill="auto"/>
            <w:noWrap w:val="0"/>
            <w:vAlign w:val="center"/>
          </w:tcPr>
          <w:p w14:paraId="3704026F">
            <w:pPr>
              <w:pStyle w:val="1358"/>
              <w:rPr>
                <w:rFonts w:ascii="Times New Roman" w:hAnsi="Times New Roman" w:eastAsia="宋体" w:cs="Times New Roman"/>
                <w:color w:val="auto"/>
                <w:highlight w:val="none"/>
              </w:rPr>
            </w:pPr>
            <w:r>
              <w:rPr>
                <w:rFonts w:hint="eastAsia"/>
                <w:color w:val="auto"/>
                <w:highlight w:val="none"/>
                <w:lang w:val="en-US" w:eastAsia="zh-CN"/>
              </w:rPr>
              <w:t>塑料制品业292</w:t>
            </w:r>
          </w:p>
        </w:tc>
        <w:tc>
          <w:tcPr>
            <w:tcW w:w="1496" w:type="pct"/>
            <w:tcBorders>
              <w:tl2br w:val="nil"/>
              <w:tr2bl w:val="nil"/>
            </w:tcBorders>
            <w:shd w:val="clear" w:color="auto" w:fill="BFBFBF"/>
            <w:noWrap w:val="0"/>
            <w:vAlign w:val="center"/>
          </w:tcPr>
          <w:p w14:paraId="2D7770C3">
            <w:pPr>
              <w:pStyle w:val="1358"/>
              <w:rPr>
                <w:rFonts w:ascii="Times New Roman" w:hAnsi="Times New Roman" w:eastAsia="宋体" w:cs="Times New Roman"/>
                <w:color w:val="auto"/>
                <w:highlight w:val="none"/>
              </w:rPr>
            </w:pPr>
            <w:r>
              <w:rPr>
                <w:rFonts w:hint="eastAsia"/>
                <w:color w:val="auto"/>
                <w:highlight w:val="none"/>
                <w:lang w:val="en-US" w:eastAsia="zh-CN"/>
              </w:rPr>
              <w:t>以再生塑料为原料生产的；有电镀工艺的；年用溶剂型胶粘剂10吨及以上的；年用溶剂型涂料（含稀释剂）10吨及以上的</w:t>
            </w:r>
          </w:p>
        </w:tc>
        <w:tc>
          <w:tcPr>
            <w:tcW w:w="1024" w:type="pct"/>
            <w:tcBorders>
              <w:tl2br w:val="nil"/>
              <w:tr2bl w:val="nil"/>
            </w:tcBorders>
            <w:noWrap w:val="0"/>
            <w:vAlign w:val="center"/>
          </w:tcPr>
          <w:p w14:paraId="1252DABC">
            <w:pPr>
              <w:pStyle w:val="1358"/>
              <w:rPr>
                <w:rFonts w:ascii="Times New Roman" w:hAnsi="Times New Roman" w:eastAsia="宋体" w:cs="Times New Roman"/>
                <w:color w:val="auto"/>
                <w:highlight w:val="none"/>
              </w:rPr>
            </w:pPr>
            <w:r>
              <w:rPr>
                <w:rFonts w:hint="eastAsia"/>
                <w:color w:val="auto"/>
                <w:highlight w:val="none"/>
                <w:lang w:val="en-US" w:eastAsia="zh-CN"/>
              </w:rPr>
              <w:t>其他（年用非溶剂型VOCs含量涂料10吨以下的除外）</w:t>
            </w:r>
          </w:p>
        </w:tc>
        <w:tc>
          <w:tcPr>
            <w:tcW w:w="609" w:type="pct"/>
            <w:tcBorders>
              <w:tl2br w:val="nil"/>
              <w:tr2bl w:val="nil"/>
            </w:tcBorders>
            <w:noWrap w:val="0"/>
            <w:vAlign w:val="center"/>
          </w:tcPr>
          <w:p w14:paraId="3E1F860C">
            <w:pPr>
              <w:pStyle w:val="1358"/>
              <w:rPr>
                <w:rFonts w:ascii="Times New Roman" w:hAnsi="Times New Roman" w:eastAsia="宋体" w:cs="Times New Roman"/>
                <w:color w:val="auto"/>
                <w:highlight w:val="none"/>
              </w:rPr>
            </w:pPr>
            <w:r>
              <w:rPr>
                <w:color w:val="auto"/>
                <w:highlight w:val="none"/>
              </w:rPr>
              <w:t>/</w:t>
            </w:r>
          </w:p>
        </w:tc>
      </w:tr>
    </w:tbl>
    <w:p w14:paraId="50E77F9A">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为此，</w:t>
      </w:r>
      <w:r>
        <w:rPr>
          <w:rFonts w:hint="eastAsia" w:cs="Times New Roman"/>
          <w:color w:val="auto"/>
          <w:highlight w:val="none"/>
          <w:lang w:eastAsia="zh-CN"/>
        </w:rPr>
        <w:t>福州日源汽车零部件有限公司</w:t>
      </w:r>
      <w:r>
        <w:rPr>
          <w:rFonts w:ascii="Times New Roman" w:hAnsi="Times New Roman" w:eastAsia="宋体" w:cs="Times New Roman"/>
          <w:color w:val="auto"/>
          <w:highlight w:val="none"/>
        </w:rPr>
        <w:t>于202</w:t>
      </w:r>
      <w:r>
        <w:rPr>
          <w:rFonts w:hint="eastAsia" w:cs="Times New Roman"/>
          <w:color w:val="auto"/>
          <w:highlight w:val="none"/>
          <w:lang w:val="en-US" w:eastAsia="zh-CN"/>
        </w:rPr>
        <w:t>6</w:t>
      </w:r>
      <w:r>
        <w:rPr>
          <w:rFonts w:ascii="Times New Roman" w:hAnsi="Times New Roman" w:eastAsia="宋体" w:cs="Times New Roman"/>
          <w:color w:val="auto"/>
          <w:highlight w:val="none"/>
        </w:rPr>
        <w:t>年</w:t>
      </w:r>
      <w:r>
        <w:rPr>
          <w:rFonts w:hint="eastAsia" w:cs="Times New Roman"/>
          <w:color w:val="auto"/>
          <w:highlight w:val="none"/>
          <w:lang w:val="en-US" w:eastAsia="zh-CN"/>
        </w:rPr>
        <w:t>8</w:t>
      </w:r>
      <w:r>
        <w:rPr>
          <w:rFonts w:ascii="Times New Roman" w:hAnsi="Times New Roman" w:eastAsia="宋体" w:cs="Times New Roman"/>
          <w:color w:val="auto"/>
          <w:highlight w:val="none"/>
        </w:rPr>
        <w:t>月</w:t>
      </w:r>
      <w:r>
        <w:rPr>
          <w:rFonts w:hint="eastAsia" w:cs="Times New Roman"/>
          <w:color w:val="auto"/>
          <w:highlight w:val="none"/>
          <w:lang w:val="en-US" w:eastAsia="zh-CN"/>
        </w:rPr>
        <w:t>15</w:t>
      </w:r>
      <w:r>
        <w:rPr>
          <w:rFonts w:ascii="Times New Roman" w:hAnsi="Times New Roman" w:eastAsia="宋体" w:cs="Times New Roman"/>
          <w:color w:val="auto"/>
          <w:highlight w:val="none"/>
        </w:rPr>
        <w:t>日委托</w:t>
      </w:r>
      <w:r>
        <w:rPr>
          <w:rFonts w:hint="eastAsia" w:ascii="Times New Roman" w:hAnsi="Times New Roman" w:eastAsia="宋体" w:cs="Times New Roman"/>
          <w:color w:val="auto"/>
          <w:highlight w:val="none"/>
          <w:lang w:eastAsia="zh-CN"/>
        </w:rPr>
        <w:t>福州朴诚至信环保科技有限公司</w:t>
      </w:r>
      <w:r>
        <w:rPr>
          <w:rFonts w:ascii="Times New Roman" w:hAnsi="Times New Roman" w:eastAsia="宋体" w:cs="Times New Roman"/>
          <w:color w:val="auto"/>
          <w:highlight w:val="none"/>
        </w:rPr>
        <w:t>承担该项目的</w:t>
      </w:r>
      <w:r>
        <w:rPr>
          <w:rFonts w:hint="eastAsia" w:cs="Times New Roman"/>
          <w:color w:val="auto"/>
          <w:highlight w:val="none"/>
          <w:lang w:val="en-US" w:eastAsia="zh-CN"/>
        </w:rPr>
        <w:t>生态</w:t>
      </w:r>
      <w:r>
        <w:rPr>
          <w:rFonts w:ascii="Times New Roman" w:hAnsi="Times New Roman" w:eastAsia="宋体" w:cs="Times New Roman"/>
          <w:color w:val="auto"/>
          <w:highlight w:val="none"/>
        </w:rPr>
        <w:t>环境影响评价工作</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委托书见附件1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。本次环评主要</w:t>
      </w:r>
      <w:r>
        <w:rPr>
          <w:rFonts w:hint="eastAsia" w:ascii="Times New Roman" w:hAnsi="Times New Roman" w:eastAsia="宋体" w:cs="Times New Roman"/>
          <w:color w:val="auto"/>
          <w:highlight w:val="none"/>
          <w:lang w:eastAsia="zh-CN"/>
        </w:rPr>
        <w:t>分为</w:t>
      </w:r>
      <w:r>
        <w:rPr>
          <w:rFonts w:ascii="Times New Roman" w:hAnsi="Times New Roman" w:eastAsia="宋体" w:cs="Times New Roman"/>
          <w:color w:val="auto"/>
          <w:highlight w:val="none"/>
        </w:rPr>
        <w:t>以下几个工作阶段：</w:t>
      </w:r>
    </w:p>
    <w:p w14:paraId="557CACC3">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第一阶段：评价单位接受项目</w:t>
      </w:r>
      <w:r>
        <w:rPr>
          <w:rFonts w:hint="eastAsia" w:cs="Times New Roman"/>
          <w:color w:val="auto"/>
          <w:highlight w:val="none"/>
          <w:lang w:val="en-US" w:eastAsia="zh-CN"/>
        </w:rPr>
        <w:t>生态</w:t>
      </w:r>
      <w:r>
        <w:rPr>
          <w:rFonts w:ascii="Times New Roman" w:hAnsi="Times New Roman" w:eastAsia="宋体" w:cs="Times New Roman"/>
          <w:color w:val="auto"/>
          <w:highlight w:val="none"/>
        </w:rPr>
        <w:t>环境影响评价委托后，根据建设单位提供的资料，先确定项目是否符合国家和地方有关法律法规、政策及相关规划；随后根据建设单位提供的关于本项目的资料，进行初步的工程分析，识别环境影响因素、筛选评价因子，明确评价重点、环境保护目标，确定评价工作等级、评价范围和标准。</w:t>
      </w:r>
    </w:p>
    <w:p w14:paraId="585C544F">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第二阶段：进行评价范围内的环境状况调查、监测与评价，了解环境现状情况；进行详细的工程分析，确定各污染因素污染源强，然后进行各环境要素影响预测与评价、各专题环境影响分析与评价。</w:t>
      </w:r>
    </w:p>
    <w:p w14:paraId="5C3270AE">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第三阶段：对项目拟采取环保措施进行技术经济论证，给出项目环境可行结论。在此基础上，本公司编制完成了《</w:t>
      </w:r>
      <w:r>
        <w:rPr>
          <w:rFonts w:hint="eastAsia" w:cs="Times New Roman"/>
          <w:color w:val="auto"/>
          <w:highlight w:val="none"/>
          <w:lang w:eastAsia="zh-CN"/>
        </w:rPr>
        <w:t>福州日源汽车零部件加工生产项目</w:t>
      </w:r>
      <w:r>
        <w:rPr>
          <w:rFonts w:hint="eastAsia" w:cs="Times New Roman"/>
          <w:color w:val="auto"/>
          <w:highlight w:val="none"/>
          <w:lang w:val="en-US" w:eastAsia="zh-CN"/>
        </w:rPr>
        <w:t>生态</w:t>
      </w:r>
      <w:r>
        <w:rPr>
          <w:rFonts w:ascii="Times New Roman" w:hAnsi="Times New Roman" w:eastAsia="宋体" w:cs="Times New Roman"/>
          <w:color w:val="auto"/>
          <w:highlight w:val="none"/>
        </w:rPr>
        <w:t>环境影响报告书》，供建设单位上报生态环境主管部门审查。</w:t>
      </w:r>
    </w:p>
    <w:p w14:paraId="1B008DDA">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drawing>
          <wp:inline distT="0" distB="0" distL="114300" distR="114300">
            <wp:extent cx="5024755" cy="6205220"/>
            <wp:effectExtent l="0" t="0" r="4445" b="508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40"/>
                    <a:stretch>
                      <a:fillRect/>
                    </a:stretch>
                  </pic:blipFill>
                  <pic:spPr>
                    <a:xfrm>
                      <a:off x="0" y="0"/>
                      <a:ext cx="5024755" cy="6205220"/>
                    </a:xfrm>
                    <a:prstGeom prst="rect">
                      <a:avLst/>
                    </a:prstGeom>
                    <a:noFill/>
                    <a:ln>
                      <a:noFill/>
                    </a:ln>
                  </pic:spPr>
                </pic:pic>
              </a:graphicData>
            </a:graphic>
          </wp:inline>
        </w:drawing>
      </w:r>
    </w:p>
    <w:p w14:paraId="0E88CA96">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图1.3-1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 建设项目环境影响评价工作程序图</w:t>
      </w:r>
    </w:p>
    <w:p w14:paraId="05267940">
      <w:pPr>
        <w:pStyle w:val="3"/>
        <w:numPr>
          <w:ilvl w:val="1"/>
          <w:numId w:val="0"/>
        </w:numPr>
        <w:bidi w:val="0"/>
        <w:rPr>
          <w:color w:val="auto"/>
          <w:highlight w:val="none"/>
        </w:rPr>
      </w:pPr>
      <w:bookmarkStart w:id="192" w:name="_Toc277115049"/>
      <w:bookmarkStart w:id="193" w:name="_Toc523646132"/>
      <w:bookmarkStart w:id="194" w:name="_Toc500940389"/>
      <w:bookmarkStart w:id="195" w:name="_Toc515445093"/>
      <w:bookmarkStart w:id="196" w:name="_Toc529434122"/>
      <w:bookmarkStart w:id="197" w:name="_Toc30010"/>
      <w:bookmarkStart w:id="198" w:name="_Toc487047224"/>
      <w:bookmarkStart w:id="199" w:name="_Toc23697"/>
      <w:r>
        <w:rPr>
          <w:color w:val="auto"/>
          <w:highlight w:val="none"/>
        </w:rPr>
        <w:t>1.4</w:t>
      </w:r>
      <w:r>
        <w:rPr>
          <w:rFonts w:hint="eastAsia"/>
          <w:color w:val="auto"/>
          <w:highlight w:val="none"/>
          <w:lang w:val="en-US" w:eastAsia="zh-CN"/>
        </w:rPr>
        <w:t xml:space="preserve"> </w:t>
      </w:r>
      <w:r>
        <w:rPr>
          <w:color w:val="auto"/>
          <w:highlight w:val="none"/>
        </w:rPr>
        <w:t>分析判定相关情况</w:t>
      </w:r>
      <w:bookmarkEnd w:id="192"/>
      <w:bookmarkEnd w:id="193"/>
      <w:bookmarkEnd w:id="194"/>
      <w:bookmarkEnd w:id="195"/>
      <w:bookmarkEnd w:id="196"/>
      <w:bookmarkEnd w:id="197"/>
      <w:bookmarkEnd w:id="198"/>
      <w:bookmarkEnd w:id="199"/>
    </w:p>
    <w:p w14:paraId="3F1E2C75">
      <w:pPr>
        <w:pStyle w:val="4"/>
        <w:numPr>
          <w:ilvl w:val="2"/>
          <w:numId w:val="0"/>
        </w:numPr>
        <w:tabs>
          <w:tab w:val="clear" w:pos="720"/>
        </w:tabs>
        <w:bidi w:val="0"/>
        <w:rPr>
          <w:color w:val="auto"/>
          <w:highlight w:val="none"/>
        </w:rPr>
      </w:pPr>
      <w:bookmarkStart w:id="200" w:name="_Toc25789"/>
      <w:r>
        <w:rPr>
          <w:color w:val="auto"/>
          <w:highlight w:val="none"/>
        </w:rPr>
        <w:t>1.4.1</w:t>
      </w:r>
      <w:r>
        <w:rPr>
          <w:rFonts w:hint="eastAsia"/>
          <w:color w:val="auto"/>
          <w:highlight w:val="none"/>
          <w:lang w:val="en-US" w:eastAsia="zh-CN"/>
        </w:rPr>
        <w:t xml:space="preserve"> </w:t>
      </w:r>
      <w:r>
        <w:rPr>
          <w:color w:val="auto"/>
          <w:highlight w:val="none"/>
        </w:rPr>
        <w:t>产业政策符合性判定</w:t>
      </w:r>
      <w:bookmarkEnd w:id="200"/>
    </w:p>
    <w:p w14:paraId="486F3B5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对照</w:t>
      </w:r>
      <w:r>
        <w:rPr>
          <w:rFonts w:hint="eastAsia" w:ascii="Times New Roman" w:hAnsi="Times New Roman" w:eastAsia="宋体" w:cs="Times New Roman"/>
          <w:color w:val="auto"/>
          <w:highlight w:val="none"/>
          <w:lang w:eastAsia="zh-CN"/>
        </w:rPr>
        <w:t>《产业结构调整指导目录（2024年本）》</w:t>
      </w:r>
      <w:r>
        <w:rPr>
          <w:rFonts w:ascii="Times New Roman" w:hAnsi="Times New Roman" w:eastAsia="宋体" w:cs="Times New Roman"/>
          <w:color w:val="auto"/>
          <w:highlight w:val="none"/>
        </w:rPr>
        <w:t>，该项目不属于</w:t>
      </w:r>
      <w:r>
        <w:rPr>
          <w:rFonts w:hint="eastAsia" w:cs="Times New Roman"/>
          <w:color w:val="auto"/>
          <w:highlight w:val="none"/>
          <w:lang w:eastAsia="zh-CN"/>
        </w:rPr>
        <w:t>“</w:t>
      </w:r>
      <w:r>
        <w:rPr>
          <w:rFonts w:ascii="Times New Roman" w:hAnsi="Times New Roman" w:eastAsia="宋体" w:cs="Times New Roman"/>
          <w:color w:val="auto"/>
          <w:highlight w:val="none"/>
        </w:rPr>
        <w:t>鼓励类</w:t>
      </w:r>
      <w:r>
        <w:rPr>
          <w:rFonts w:hint="eastAsia" w:cs="Times New Roman"/>
          <w:color w:val="auto"/>
          <w:highlight w:val="none"/>
          <w:lang w:eastAsia="zh-CN"/>
        </w:rPr>
        <w:t>”““</w:t>
      </w:r>
      <w:r>
        <w:rPr>
          <w:rFonts w:ascii="Times New Roman" w:hAnsi="Times New Roman" w:eastAsia="宋体" w:cs="Times New Roman"/>
          <w:color w:val="auto"/>
          <w:highlight w:val="none"/>
        </w:rPr>
        <w:t>限制类</w:t>
      </w:r>
      <w:r>
        <w:rPr>
          <w:rFonts w:hint="eastAsia" w:cs="Times New Roman"/>
          <w:color w:val="auto"/>
          <w:highlight w:val="none"/>
          <w:lang w:eastAsia="zh-CN"/>
        </w:rPr>
        <w:t>”</w:t>
      </w:r>
      <w:r>
        <w:rPr>
          <w:rFonts w:ascii="Times New Roman" w:hAnsi="Times New Roman" w:eastAsia="宋体" w:cs="Times New Roman"/>
          <w:color w:val="auto"/>
          <w:highlight w:val="none"/>
        </w:rPr>
        <w:t>和</w:t>
      </w:r>
      <w:r>
        <w:rPr>
          <w:rFonts w:hint="eastAsia" w:cs="Times New Roman"/>
          <w:color w:val="auto"/>
          <w:highlight w:val="none"/>
          <w:lang w:eastAsia="zh-CN"/>
        </w:rPr>
        <w:t>“</w:t>
      </w:r>
      <w:r>
        <w:rPr>
          <w:rFonts w:ascii="Times New Roman" w:hAnsi="Times New Roman" w:eastAsia="宋体" w:cs="Times New Roman"/>
          <w:color w:val="auto"/>
          <w:highlight w:val="none"/>
        </w:rPr>
        <w:t>淘汰类</w:t>
      </w:r>
      <w:r>
        <w:rPr>
          <w:rFonts w:hint="eastAsia" w:cs="Times New Roman"/>
          <w:color w:val="auto"/>
          <w:highlight w:val="none"/>
          <w:lang w:eastAsia="zh-CN"/>
        </w:rPr>
        <w:t>”</w:t>
      </w:r>
      <w:r>
        <w:rPr>
          <w:rFonts w:ascii="Times New Roman" w:hAnsi="Times New Roman" w:eastAsia="宋体" w:cs="Times New Roman"/>
          <w:color w:val="auto"/>
          <w:highlight w:val="none"/>
        </w:rPr>
        <w:t>项目。根据《促进产业结构调整暂行规定</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第十三条</w:t>
      </w:r>
      <w:r>
        <w:rPr>
          <w:rFonts w:hint="eastAsia" w:cs="Times New Roman"/>
          <w:color w:val="auto"/>
          <w:highlight w:val="none"/>
          <w:lang w:eastAsia="zh-CN"/>
        </w:rPr>
        <w:t>“</w:t>
      </w:r>
      <w:r>
        <w:rPr>
          <w:rFonts w:ascii="Times New Roman" w:hAnsi="Times New Roman" w:eastAsia="宋体" w:cs="Times New Roman"/>
          <w:color w:val="auto"/>
          <w:highlight w:val="none"/>
        </w:rPr>
        <w:t>不属于鼓励类、限制类和淘汰类，且符合国家有关</w:t>
      </w:r>
      <w:r>
        <w:rPr>
          <w:rFonts w:hint="eastAsia" w:ascii="Times New Roman" w:hAnsi="Times New Roman" w:eastAsia="宋体" w:cs="Times New Roman"/>
          <w:color w:val="auto"/>
          <w:highlight w:val="none"/>
          <w:lang w:eastAsia="zh-CN"/>
        </w:rPr>
        <w:t>法律法规</w:t>
      </w:r>
      <w:r>
        <w:rPr>
          <w:rFonts w:ascii="Times New Roman" w:hAnsi="Times New Roman" w:eastAsia="宋体" w:cs="Times New Roman"/>
          <w:color w:val="auto"/>
          <w:highlight w:val="none"/>
        </w:rPr>
        <w:t>规定的，为允许类</w:t>
      </w:r>
      <w:r>
        <w:rPr>
          <w:rFonts w:hint="eastAsia" w:cs="Times New Roman"/>
          <w:color w:val="auto"/>
          <w:highlight w:val="none"/>
          <w:lang w:eastAsia="zh-CN"/>
        </w:rPr>
        <w:t>”</w:t>
      </w:r>
      <w:r>
        <w:rPr>
          <w:rFonts w:ascii="Times New Roman" w:hAnsi="Times New Roman" w:eastAsia="宋体" w:cs="Times New Roman"/>
          <w:color w:val="auto"/>
          <w:highlight w:val="none"/>
        </w:rPr>
        <w:t>的规定</w:t>
      </w:r>
      <w:r>
        <w:rPr>
          <w:rFonts w:hint="eastAsia" w:cs="Times New Roman"/>
          <w:color w:val="auto"/>
          <w:highlight w:val="none"/>
          <w:lang w:eastAsia="zh-CN"/>
        </w:rPr>
        <w:t>，该项目属于允许类。</w:t>
      </w:r>
    </w:p>
    <w:p w14:paraId="4F9C0BB8">
      <w:pPr>
        <w:pStyle w:val="1336"/>
        <w:ind w:firstLine="480"/>
        <w:rPr>
          <w:rFonts w:ascii="Times New Roman" w:hAnsi="Times New Roman" w:eastAsia="宋体" w:cs="Times New Roman"/>
          <w:color w:val="auto"/>
          <w:highlight w:val="none"/>
          <w:lang w:bidi="he-IL"/>
        </w:rPr>
      </w:pPr>
      <w:r>
        <w:rPr>
          <w:rFonts w:ascii="Times New Roman" w:hAnsi="Times New Roman" w:eastAsia="宋体" w:cs="Times New Roman"/>
          <w:color w:val="auto"/>
          <w:highlight w:val="none"/>
        </w:rPr>
        <w:t>项目已于</w:t>
      </w:r>
      <w:r>
        <w:rPr>
          <w:rFonts w:hint="eastAsia" w:ascii="Times New Roman" w:hAnsi="Times New Roman" w:eastAsia="宋体" w:cs="Times New Roman"/>
          <w:color w:val="auto"/>
          <w:highlight w:val="none"/>
        </w:rPr>
        <w:t>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rPr>
        <w:t>年</w:t>
      </w:r>
      <w:r>
        <w:rPr>
          <w:rFonts w:hint="eastAsia" w:cs="Times New Roman"/>
          <w:color w:val="auto"/>
          <w:highlight w:val="none"/>
          <w:lang w:val="en-US" w:eastAsia="zh-CN"/>
        </w:rPr>
        <w:t>10</w:t>
      </w:r>
      <w:r>
        <w:rPr>
          <w:rFonts w:hint="eastAsia" w:ascii="Times New Roman" w:hAnsi="Times New Roman" w:eastAsia="宋体" w:cs="Times New Roman"/>
          <w:color w:val="auto"/>
          <w:highlight w:val="none"/>
        </w:rPr>
        <w:t>月</w:t>
      </w:r>
      <w:r>
        <w:rPr>
          <w:rFonts w:hint="eastAsia" w:cs="Times New Roman"/>
          <w:color w:val="auto"/>
          <w:highlight w:val="none"/>
          <w:lang w:val="en-US" w:eastAsia="zh-CN"/>
        </w:rPr>
        <w:t>1</w:t>
      </w:r>
      <w:r>
        <w:rPr>
          <w:rFonts w:hint="eastAsia" w:ascii="Times New Roman" w:hAnsi="Times New Roman" w:eastAsia="宋体" w:cs="Times New Roman"/>
          <w:color w:val="auto"/>
          <w:highlight w:val="none"/>
        </w:rPr>
        <w:t>2日取得闽侯县</w:t>
      </w:r>
      <w:r>
        <w:rPr>
          <w:rFonts w:hint="eastAsia" w:cs="Times New Roman"/>
          <w:color w:val="auto"/>
          <w:highlight w:val="none"/>
          <w:lang w:val="en-US" w:eastAsia="zh-CN"/>
        </w:rPr>
        <w:t>发展和改革</w:t>
      </w:r>
      <w:r>
        <w:rPr>
          <w:rFonts w:hint="eastAsia" w:ascii="Times New Roman" w:hAnsi="Times New Roman" w:eastAsia="宋体" w:cs="Times New Roman"/>
          <w:color w:val="auto"/>
          <w:highlight w:val="none"/>
        </w:rPr>
        <w:t>局出具的《福建省投资项目备案证明（内资）》（编号：闽</w:t>
      </w:r>
      <w:r>
        <w:rPr>
          <w:rFonts w:hint="eastAsia" w:cs="Times New Roman"/>
          <w:color w:val="auto"/>
          <w:highlight w:val="none"/>
          <w:lang w:val="en-US" w:eastAsia="zh-CN"/>
        </w:rPr>
        <w:t>发改</w:t>
      </w:r>
      <w:r>
        <w:rPr>
          <w:rFonts w:hint="eastAsia" w:ascii="Times New Roman" w:hAnsi="Times New Roman" w:eastAsia="宋体" w:cs="Times New Roman"/>
          <w:color w:val="auto"/>
          <w:highlight w:val="none"/>
        </w:rPr>
        <w:t>备[202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rPr>
        <w:t>]A080</w:t>
      </w:r>
      <w:r>
        <w:rPr>
          <w:rFonts w:hint="eastAsia" w:cs="Times New Roman"/>
          <w:color w:val="auto"/>
          <w:highlight w:val="none"/>
          <w:lang w:val="en-US" w:eastAsia="zh-CN"/>
        </w:rPr>
        <w:t>808</w:t>
      </w:r>
      <w:r>
        <w:rPr>
          <w:rFonts w:hint="eastAsia" w:ascii="Times New Roman" w:hAnsi="Times New Roman" w:eastAsia="宋体" w:cs="Times New Roman"/>
          <w:color w:val="auto"/>
          <w:highlight w:val="none"/>
        </w:rPr>
        <w:t>号）</w:t>
      </w:r>
      <w:r>
        <w:rPr>
          <w:rFonts w:ascii="Times New Roman" w:hAnsi="Times New Roman" w:eastAsia="宋体" w:cs="Times New Roman"/>
          <w:color w:val="auto"/>
          <w:highlight w:val="none"/>
          <w:lang w:bidi="he-IL"/>
        </w:rPr>
        <w:t>。</w:t>
      </w:r>
    </w:p>
    <w:p w14:paraId="43B91851">
      <w:pPr>
        <w:pStyle w:val="1336"/>
        <w:ind w:firstLine="480"/>
        <w:rPr>
          <w:rFonts w:ascii="Times New Roman" w:hAnsi="Times New Roman" w:eastAsia="宋体" w:cs="Times New Roman"/>
          <w:color w:val="auto"/>
          <w:highlight w:val="none"/>
          <w:lang w:bidi="he-IL"/>
        </w:rPr>
      </w:pPr>
      <w:r>
        <w:rPr>
          <w:rFonts w:ascii="Times New Roman" w:hAnsi="Times New Roman" w:eastAsia="宋体" w:cs="Times New Roman"/>
          <w:color w:val="auto"/>
          <w:highlight w:val="none"/>
          <w:lang w:bidi="he-IL"/>
        </w:rPr>
        <w:t>综上所述，项目建设是符合国家和地方产业政策的。</w:t>
      </w:r>
    </w:p>
    <w:p w14:paraId="7445A375">
      <w:pPr>
        <w:pStyle w:val="4"/>
        <w:numPr>
          <w:ilvl w:val="2"/>
          <w:numId w:val="0"/>
        </w:numPr>
        <w:tabs>
          <w:tab w:val="clear" w:pos="720"/>
        </w:tabs>
        <w:bidi w:val="0"/>
        <w:rPr>
          <w:rFonts w:hint="eastAsia"/>
          <w:color w:val="auto"/>
          <w:highlight w:val="none"/>
        </w:rPr>
      </w:pPr>
      <w:bookmarkStart w:id="201" w:name="_Toc7956"/>
      <w:r>
        <w:rPr>
          <w:color w:val="auto"/>
          <w:highlight w:val="none"/>
        </w:rPr>
        <w:t>1.4.2</w:t>
      </w:r>
      <w:r>
        <w:rPr>
          <w:rFonts w:hint="eastAsia"/>
          <w:color w:val="auto"/>
          <w:highlight w:val="none"/>
          <w:lang w:val="en-US" w:eastAsia="zh-CN"/>
        </w:rPr>
        <w:t xml:space="preserve"> 与</w:t>
      </w:r>
      <w:r>
        <w:rPr>
          <w:rFonts w:hint="eastAsia"/>
          <w:color w:val="auto"/>
          <w:highlight w:val="none"/>
        </w:rPr>
        <w:t>规划符合性分析</w:t>
      </w:r>
      <w:bookmarkEnd w:id="201"/>
    </w:p>
    <w:p w14:paraId="7672D770">
      <w:pPr>
        <w:pStyle w:val="5"/>
        <w:numPr>
          <w:ilvl w:val="3"/>
          <w:numId w:val="0"/>
        </w:numPr>
        <w:bidi w:val="0"/>
        <w:ind w:leftChars="0"/>
        <w:rPr>
          <w:rFonts w:hint="eastAsia"/>
          <w:color w:val="auto"/>
          <w:highlight w:val="none"/>
        </w:rPr>
      </w:pPr>
      <w:r>
        <w:rPr>
          <w:rFonts w:hint="eastAsia"/>
          <w:color w:val="auto"/>
          <w:highlight w:val="none"/>
          <w:lang w:val="en-US" w:eastAsia="zh-CN"/>
        </w:rPr>
        <w:t xml:space="preserve">1.4.2.1 </w:t>
      </w:r>
      <w:r>
        <w:rPr>
          <w:rFonts w:hint="eastAsia"/>
          <w:color w:val="auto"/>
          <w:highlight w:val="none"/>
        </w:rPr>
        <w:t>与《青口汽车城控制性详细规划》符合性分析</w:t>
      </w:r>
    </w:p>
    <w:p w14:paraId="6347B50B">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根据《青口汽车城控制性详细规划》的相关内容，青口汽车城发展定位为中国东南部，以汽车产业为主导的现代化、综合性汽车新城。</w:t>
      </w:r>
    </w:p>
    <w:p w14:paraId="0EC18352">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规划形成</w:t>
      </w:r>
      <w:r>
        <w:rPr>
          <w:rFonts w:hint="eastAsia" w:cs="Times New Roman"/>
          <w:color w:val="auto"/>
          <w:highlight w:val="none"/>
          <w:lang w:eastAsia="zh-CN"/>
        </w:rPr>
        <w:t>“</w:t>
      </w:r>
      <w:r>
        <w:rPr>
          <w:rFonts w:hint="eastAsia" w:ascii="Times New Roman" w:hAnsi="Times New Roman" w:eastAsia="宋体" w:cs="Times New Roman"/>
          <w:color w:val="auto"/>
          <w:highlight w:val="none"/>
        </w:rPr>
        <w:t>一心、三廊道、四组团</w:t>
      </w:r>
      <w:r>
        <w:rPr>
          <w:rFonts w:hint="eastAsia" w:cs="Times New Roman"/>
          <w:color w:val="auto"/>
          <w:highlight w:val="none"/>
          <w:lang w:eastAsia="zh-CN"/>
        </w:rPr>
        <w:t>”</w:t>
      </w:r>
      <w:r>
        <w:rPr>
          <w:rFonts w:hint="eastAsia" w:ascii="Times New Roman" w:hAnsi="Times New Roman" w:eastAsia="宋体" w:cs="Times New Roman"/>
          <w:color w:val="auto"/>
          <w:highlight w:val="none"/>
        </w:rPr>
        <w:t>的规划结构，其中，汽车核心产业组团：依托现有汽车产业，发展以整车制造组装产业为主，零配件生产为辅的汽车制造组装中心产业区。内部少量与汽车产业无关</w:t>
      </w:r>
      <w:r>
        <w:rPr>
          <w:rFonts w:hint="eastAsia" w:cs="Times New Roman"/>
          <w:color w:val="auto"/>
          <w:highlight w:val="none"/>
          <w:lang w:eastAsia="zh-CN"/>
        </w:rPr>
        <w:t>的</w:t>
      </w:r>
      <w:r>
        <w:rPr>
          <w:rFonts w:hint="eastAsia" w:ascii="Times New Roman" w:hAnsi="Times New Roman" w:eastAsia="宋体" w:cs="Times New Roman"/>
          <w:color w:val="auto"/>
          <w:highlight w:val="none"/>
        </w:rPr>
        <w:t>村办企业逐渐搬迁整合升级为与汽车相关产业。提升中心工业区产能。以千家山及周边居住用地为配套服务中心。</w:t>
      </w:r>
    </w:p>
    <w:p w14:paraId="767502DD">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本项目为汽车零部件及配件制造，属于汽车产业体系，位于青口汽车城汽车核心产业组团内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符合《青口汽车城控制性详细规划》的相关要求。</w:t>
      </w:r>
    </w:p>
    <w:p w14:paraId="7EACD3E2">
      <w:pPr>
        <w:pStyle w:val="5"/>
        <w:numPr>
          <w:ilvl w:val="3"/>
          <w:numId w:val="0"/>
        </w:numPr>
        <w:bidi w:val="0"/>
        <w:ind w:leftChars="0"/>
        <w:rPr>
          <w:rFonts w:hint="eastAsia"/>
          <w:color w:val="auto"/>
          <w:highlight w:val="none"/>
        </w:rPr>
      </w:pPr>
      <w:r>
        <w:rPr>
          <w:rFonts w:hint="eastAsia"/>
          <w:color w:val="auto"/>
          <w:highlight w:val="none"/>
          <w:lang w:val="en-US" w:eastAsia="zh-CN"/>
        </w:rPr>
        <w:t>1.4</w:t>
      </w:r>
      <w:r>
        <w:rPr>
          <w:rFonts w:hint="eastAsia"/>
          <w:color w:val="auto"/>
          <w:highlight w:val="none"/>
        </w:rPr>
        <w:t>.2.2</w:t>
      </w:r>
      <w:r>
        <w:rPr>
          <w:rFonts w:hint="eastAsia"/>
          <w:color w:val="auto"/>
          <w:highlight w:val="none"/>
          <w:lang w:val="en-US" w:eastAsia="zh-CN"/>
        </w:rPr>
        <w:t xml:space="preserve"> 与规划环评符合性分析</w:t>
      </w:r>
    </w:p>
    <w:p w14:paraId="52B0D72E">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本项目位于福建闽侯</w:t>
      </w:r>
      <w:r>
        <w:rPr>
          <w:rFonts w:hint="eastAsia" w:ascii="Times New Roman" w:hAnsi="Times New Roman" w:eastAsia="宋体" w:cs="Times New Roman"/>
          <w:color w:val="auto"/>
          <w:highlight w:val="none"/>
          <w:lang w:val="en-US" w:eastAsia="zh-CN"/>
        </w:rPr>
        <w:t>青口镇</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属于福州青口投资区规划范围内，</w:t>
      </w:r>
      <w:r>
        <w:rPr>
          <w:rFonts w:hint="eastAsia" w:ascii="Times New Roman" w:hAnsi="Times New Roman" w:eastAsia="宋体" w:cs="Times New Roman"/>
          <w:color w:val="auto"/>
          <w:highlight w:val="none"/>
          <w:lang w:eastAsia="zh-CN"/>
        </w:rPr>
        <w:t>根据</w:t>
      </w:r>
      <w:r>
        <w:rPr>
          <w:rFonts w:hint="eastAsia" w:ascii="Times New Roman" w:hAnsi="Times New Roman" w:eastAsia="宋体" w:cs="Times New Roman"/>
          <w:color w:val="auto"/>
          <w:highlight w:val="none"/>
        </w:rPr>
        <w:t>《福州青口投资区环境影响跟踪评价报告书》中产业政策要求：禁止在规划区及其上游汇水区域新建畜禽养殖项目，现有畜禽养殖项目应在规划中期内全部搬迁取缔。对于电子、食品、轻工、石材、建材</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主要指粉磨站、管桩制造</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等现有行业应</w:t>
      </w:r>
      <w:r>
        <w:rPr>
          <w:rFonts w:hint="eastAsia" w:ascii="Times New Roman" w:hAnsi="Times New Roman" w:eastAsia="宋体" w:cs="Times New Roman"/>
          <w:color w:val="auto"/>
          <w:highlight w:val="none"/>
          <w:lang w:eastAsia="zh-CN"/>
        </w:rPr>
        <w:t>限制</w:t>
      </w:r>
      <w:r>
        <w:rPr>
          <w:rFonts w:hint="eastAsia" w:ascii="Times New Roman" w:hAnsi="Times New Roman" w:eastAsia="宋体" w:cs="Times New Roman"/>
          <w:color w:val="auto"/>
          <w:highlight w:val="none"/>
        </w:rPr>
        <w:t>其生产规模和用地规模的进一步扩大</w:t>
      </w:r>
      <w:r>
        <w:rPr>
          <w:rFonts w:hint="eastAsia" w:ascii="Times New Roman" w:hAnsi="Times New Roman" w:eastAsia="宋体" w:cs="Times New Roman"/>
          <w:color w:val="auto"/>
          <w:highlight w:val="none"/>
          <w:lang w:eastAsia="zh-CN"/>
        </w:rPr>
        <w:t>，在</w:t>
      </w:r>
      <w:r>
        <w:rPr>
          <w:rFonts w:hint="eastAsia" w:ascii="Times New Roman" w:hAnsi="Times New Roman" w:eastAsia="宋体" w:cs="Times New Roman"/>
          <w:color w:val="auto"/>
          <w:highlight w:val="none"/>
        </w:rPr>
        <w:t>规划区内限制新建此类项目，鼓励与汽车工业、汽车零配件加工等机械加工行业相关的产业进入规划区。鼓励发展循环经济。本项目属于汽车零部件及配件制造，与规划环评相符。</w:t>
      </w:r>
    </w:p>
    <w:p w14:paraId="0C0CDB00">
      <w:pPr>
        <w:pStyle w:val="4"/>
        <w:numPr>
          <w:ilvl w:val="2"/>
          <w:numId w:val="0"/>
        </w:numPr>
        <w:tabs>
          <w:tab w:val="clear" w:pos="720"/>
        </w:tabs>
        <w:bidi w:val="0"/>
        <w:rPr>
          <w:rFonts w:hint="eastAsia"/>
          <w:color w:val="auto"/>
          <w:highlight w:val="none"/>
          <w:lang w:val="en-US" w:eastAsia="zh-CN"/>
        </w:rPr>
      </w:pPr>
      <w:bookmarkStart w:id="202" w:name="_Toc24108"/>
      <w:bookmarkStart w:id="203" w:name="_Toc11113"/>
      <w:r>
        <w:rPr>
          <w:color w:val="auto"/>
          <w:highlight w:val="none"/>
        </w:rPr>
        <w:t>1.4.</w:t>
      </w:r>
      <w:r>
        <w:rPr>
          <w:rFonts w:hint="eastAsia"/>
          <w:color w:val="auto"/>
          <w:highlight w:val="none"/>
          <w:lang w:val="en-US" w:eastAsia="zh-CN"/>
        </w:rPr>
        <w:t>3 与《闽侯县国土空间总体规划（</w:t>
      </w:r>
      <w:r>
        <w:rPr>
          <w:rFonts w:hint="default"/>
          <w:color w:val="auto"/>
          <w:highlight w:val="none"/>
          <w:lang w:val="en-US" w:eastAsia="zh-CN"/>
        </w:rPr>
        <w:t>2021-2035</w:t>
      </w:r>
      <w:r>
        <w:rPr>
          <w:rFonts w:hint="eastAsia"/>
          <w:color w:val="auto"/>
          <w:highlight w:val="none"/>
          <w:lang w:val="en-US" w:eastAsia="zh-CN"/>
        </w:rPr>
        <w:t>年）》符合性分析</w:t>
      </w:r>
      <w:bookmarkEnd w:id="202"/>
      <w:bookmarkEnd w:id="203"/>
    </w:p>
    <w:p w14:paraId="5F0445E3">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《闽侯县国土空间总体规划（</w:t>
      </w:r>
      <w:r>
        <w:rPr>
          <w:rFonts w:hint="default" w:ascii="Times New Roman" w:hAnsi="Times New Roman" w:eastAsia="宋体" w:cs="Times New Roman"/>
          <w:bCs/>
          <w:color w:val="auto"/>
          <w:highlight w:val="none"/>
          <w:lang w:val="en-US" w:eastAsia="zh-CN"/>
        </w:rPr>
        <w:t>2021-2035</w:t>
      </w:r>
      <w:r>
        <w:rPr>
          <w:rFonts w:hint="eastAsia" w:ascii="Times New Roman" w:hAnsi="Times New Roman" w:eastAsia="宋体" w:cs="Times New Roman"/>
          <w:bCs/>
          <w:color w:val="auto"/>
          <w:highlight w:val="none"/>
          <w:lang w:val="en-US" w:eastAsia="zh-CN"/>
        </w:rPr>
        <w:t>年）》简介：</w:t>
      </w:r>
    </w:p>
    <w:p w14:paraId="7DAD5CF5">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kern w:val="2"/>
          <w:sz w:val="24"/>
          <w:szCs w:val="22"/>
          <w:highlight w:val="none"/>
          <w:lang w:val="en-US" w:eastAsia="zh-CN" w:bidi="ar-SA"/>
        </w:rPr>
        <w:t>（1）</w:t>
      </w:r>
      <w:r>
        <w:rPr>
          <w:rFonts w:hint="eastAsia" w:ascii="Times New Roman" w:hAnsi="Times New Roman" w:eastAsia="宋体" w:cs="Times New Roman"/>
          <w:bCs/>
          <w:color w:val="auto"/>
          <w:highlight w:val="none"/>
          <w:lang w:val="en-US" w:eastAsia="zh-CN"/>
        </w:rPr>
        <w:t>国土空间总体格局：构建</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两轴、两区、三心</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的国土空间总体格局，两轴：沿江发展轴、山区发展轴，两区：滨海新城区、特色山区，三心：科学城副中心、荆甘竹新城县域中心，雪峰山城中心。</w:t>
      </w:r>
    </w:p>
    <w:p w14:paraId="7855BB98">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w:t>
      </w:r>
      <w:r>
        <w:rPr>
          <w:rFonts w:hint="default" w:ascii="Times New Roman" w:hAnsi="Times New Roman" w:eastAsia="宋体" w:cs="Times New Roman"/>
          <w:bCs/>
          <w:color w:val="auto"/>
          <w:highlight w:val="none"/>
          <w:lang w:val="en-US" w:eastAsia="zh-CN"/>
        </w:rPr>
        <w:t>2</w:t>
      </w:r>
      <w:r>
        <w:rPr>
          <w:rFonts w:hint="eastAsia" w:ascii="Times New Roman" w:hAnsi="Times New Roman" w:eastAsia="宋体" w:cs="Times New Roman"/>
          <w:bCs/>
          <w:color w:val="auto"/>
          <w:highlight w:val="none"/>
          <w:lang w:val="en-US" w:eastAsia="zh-CN"/>
        </w:rPr>
        <w:t>）国土空间三条控制线划定：严格划定永久基本农田：闽侯县划定永久基本农田保护目标1280平方公里。永久基本农田一经划定，必须严格落实《基本农田保护条例》和《福建省基本农田保护条例》，严控建设占用永久基本农田。科学划定生态保护红线：闽侯县划定生态保护红线目标</w:t>
      </w:r>
      <w:r>
        <w:rPr>
          <w:rFonts w:hint="default" w:ascii="Times New Roman" w:hAnsi="Times New Roman" w:eastAsia="宋体" w:cs="Times New Roman"/>
          <w:bCs/>
          <w:color w:val="auto"/>
          <w:highlight w:val="none"/>
          <w:lang w:val="en-US" w:eastAsia="zh-CN"/>
        </w:rPr>
        <w:t>420</w:t>
      </w:r>
      <w:r>
        <w:rPr>
          <w:rFonts w:hint="eastAsia" w:ascii="Times New Roman" w:hAnsi="Times New Roman" w:eastAsia="宋体" w:cs="Times New Roman"/>
          <w:bCs/>
          <w:color w:val="auto"/>
          <w:highlight w:val="none"/>
          <w:lang w:val="en-US" w:eastAsia="zh-CN"/>
        </w:rPr>
        <w:t>平方公里。实行最严格的生态保护红线管控制度，按照《生态保护红线管理办法》要求执行，除国家重大战略项目外，仅允许对生态功能不破坏的有限人为活动。合理确定城镇开发边界：闽侯县划定城镇开发边界</w:t>
      </w:r>
      <w:r>
        <w:rPr>
          <w:rFonts w:hint="default" w:ascii="Times New Roman" w:hAnsi="Times New Roman" w:eastAsia="宋体" w:cs="Times New Roman"/>
          <w:bCs/>
          <w:color w:val="auto"/>
          <w:highlight w:val="none"/>
          <w:lang w:val="en-US" w:eastAsia="zh-CN"/>
        </w:rPr>
        <w:t>145</w:t>
      </w:r>
      <w:r>
        <w:rPr>
          <w:rFonts w:hint="eastAsia" w:ascii="Times New Roman" w:hAnsi="Times New Roman" w:eastAsia="宋体" w:cs="Times New Roman"/>
          <w:bCs/>
          <w:color w:val="auto"/>
          <w:highlight w:val="none"/>
          <w:lang w:val="en-US" w:eastAsia="zh-CN"/>
        </w:rPr>
        <w:t>平方公里城镇开发边界一经划定，原则上不得调整，因国家重大战略调整</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国家重大项目建设、行政区划调整等确需调整的</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按国土空间规划修改程序进行。</w:t>
      </w:r>
    </w:p>
    <w:p w14:paraId="4FB62461">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val="en-US" w:eastAsia="zh-CN"/>
        </w:rPr>
        <w:t>本项目位于闽侯县青口镇，项目所在位置属于闽侯青口汽车工业园区的工业用地。地块不涉及永久基本农田，且满足《福州市人民政府办公厅关于印发〈福州市生态环境分区管控方案（2023年更新）〉的通知》（榕政办规〔2024〕20号），不涉及闽侯县划定的生态保护红线区域，因此本项目的建设符合闽侯县国土空间总体规划（</w:t>
      </w:r>
      <w:r>
        <w:rPr>
          <w:rFonts w:hint="default" w:ascii="Times New Roman" w:hAnsi="Times New Roman" w:eastAsia="宋体" w:cs="Times New Roman"/>
          <w:bCs/>
          <w:color w:val="auto"/>
          <w:highlight w:val="none"/>
          <w:lang w:val="en-US" w:eastAsia="zh-CN"/>
        </w:rPr>
        <w:t>2021-2035</w:t>
      </w:r>
      <w:r>
        <w:rPr>
          <w:rFonts w:hint="eastAsia" w:ascii="Times New Roman" w:hAnsi="Times New Roman" w:eastAsia="宋体" w:cs="Times New Roman"/>
          <w:bCs/>
          <w:color w:val="auto"/>
          <w:highlight w:val="none"/>
          <w:lang w:val="en-US" w:eastAsia="zh-CN"/>
        </w:rPr>
        <w:t>年）的要求。</w:t>
      </w:r>
    </w:p>
    <w:p w14:paraId="10EE4EB0">
      <w:pPr>
        <w:pStyle w:val="4"/>
        <w:numPr>
          <w:ilvl w:val="2"/>
          <w:numId w:val="0"/>
        </w:numPr>
        <w:tabs>
          <w:tab w:val="clear" w:pos="720"/>
        </w:tabs>
        <w:bidi w:val="0"/>
        <w:rPr>
          <w:color w:val="auto"/>
          <w:highlight w:val="none"/>
        </w:rPr>
      </w:pPr>
      <w:bookmarkStart w:id="204" w:name="_Toc30858"/>
      <w:r>
        <w:rPr>
          <w:color w:val="auto"/>
          <w:highlight w:val="none"/>
        </w:rPr>
        <w:t>1.4.</w:t>
      </w:r>
      <w:r>
        <w:rPr>
          <w:rFonts w:hint="eastAsia"/>
          <w:color w:val="auto"/>
          <w:highlight w:val="none"/>
          <w:lang w:val="en-US" w:eastAsia="zh-CN"/>
        </w:rPr>
        <w:t xml:space="preserve">4 </w:t>
      </w:r>
      <w:r>
        <w:rPr>
          <w:color w:val="auto"/>
          <w:highlight w:val="none"/>
        </w:rPr>
        <w:t>与</w:t>
      </w:r>
      <w:r>
        <w:rPr>
          <w:rFonts w:hint="eastAsia"/>
          <w:color w:val="auto"/>
          <w:highlight w:val="none"/>
          <w:lang w:eastAsia="zh-CN"/>
        </w:rPr>
        <w:t>生态环境分区管控</w:t>
      </w:r>
      <w:r>
        <w:rPr>
          <w:color w:val="auto"/>
          <w:highlight w:val="none"/>
        </w:rPr>
        <w:t>符合性分析</w:t>
      </w:r>
      <w:bookmarkEnd w:id="204"/>
    </w:p>
    <w:p w14:paraId="2D2AB38E">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1</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根据《福州市生态环境分区管控方案（2023年更新）》（榕政办规〔2024〕20号）以及福州市生态环境局《关于发布福州市2024年生态环境分区管控动态更新成果的通知》（榕环保综〔2025〕1号）相关要求分析</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对照全省环境总体准入要求，本项目符合全省陆域的空间布局约束、污染物排放管控的准入要求。项目与全省生态环境总体准入要求符合性分析见表</w:t>
      </w:r>
      <w:r>
        <w:rPr>
          <w:rFonts w:ascii="Times New Roman" w:hAnsi="Times New Roman" w:eastAsia="宋体" w:cs="Times New Roman"/>
          <w:color w:val="auto"/>
          <w:highlight w:val="none"/>
        </w:rPr>
        <w:t>1.4-1。</w:t>
      </w:r>
    </w:p>
    <w:p w14:paraId="41CAB570">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表1.4-1</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与全省生态环境总体准入要求的符合性分析</w:t>
      </w:r>
    </w:p>
    <w:tbl>
      <w:tblPr>
        <w:tblStyle w:val="8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90"/>
        <w:gridCol w:w="502"/>
        <w:gridCol w:w="4321"/>
        <w:gridCol w:w="2625"/>
        <w:gridCol w:w="758"/>
      </w:tblGrid>
      <w:tr w14:paraId="4CEAFE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87" w:type="pct"/>
            <w:tcBorders>
              <w:tl2br w:val="nil"/>
              <w:tr2bl w:val="nil"/>
            </w:tcBorders>
            <w:noWrap w:val="0"/>
            <w:vAlign w:val="center"/>
          </w:tcPr>
          <w:p w14:paraId="624301C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适用范围</w:t>
            </w:r>
          </w:p>
        </w:tc>
        <w:tc>
          <w:tcPr>
            <w:tcW w:w="2710" w:type="pct"/>
            <w:gridSpan w:val="2"/>
            <w:tcBorders>
              <w:tl2br w:val="nil"/>
              <w:tr2bl w:val="nil"/>
            </w:tcBorders>
            <w:noWrap w:val="0"/>
            <w:vAlign w:val="center"/>
          </w:tcPr>
          <w:p w14:paraId="41701A6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准入要求</w:t>
            </w:r>
          </w:p>
        </w:tc>
        <w:tc>
          <w:tcPr>
            <w:tcW w:w="1475" w:type="pct"/>
            <w:tcBorders>
              <w:tl2br w:val="nil"/>
              <w:tr2bl w:val="nil"/>
            </w:tcBorders>
            <w:noWrap w:val="0"/>
            <w:vAlign w:val="center"/>
          </w:tcPr>
          <w:p w14:paraId="6582F99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本项目情况</w:t>
            </w:r>
          </w:p>
        </w:tc>
        <w:tc>
          <w:tcPr>
            <w:tcW w:w="426" w:type="pct"/>
            <w:tcBorders>
              <w:tl2br w:val="nil"/>
              <w:tr2bl w:val="nil"/>
            </w:tcBorders>
            <w:noWrap w:val="0"/>
            <w:vAlign w:val="center"/>
          </w:tcPr>
          <w:p w14:paraId="46CA290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符合性</w:t>
            </w:r>
          </w:p>
        </w:tc>
      </w:tr>
      <w:tr w14:paraId="0C73B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87" w:type="pct"/>
            <w:vMerge w:val="restart"/>
            <w:tcBorders>
              <w:tl2br w:val="nil"/>
              <w:tr2bl w:val="nil"/>
            </w:tcBorders>
            <w:noWrap w:val="0"/>
            <w:vAlign w:val="center"/>
          </w:tcPr>
          <w:p w14:paraId="052892A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全省陆域</w:t>
            </w:r>
          </w:p>
        </w:tc>
        <w:tc>
          <w:tcPr>
            <w:tcW w:w="282" w:type="pct"/>
            <w:tcBorders>
              <w:tl2br w:val="nil"/>
              <w:tr2bl w:val="nil"/>
            </w:tcBorders>
            <w:noWrap w:val="0"/>
            <w:vAlign w:val="center"/>
          </w:tcPr>
          <w:p w14:paraId="7868F74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空间布局约束</w:t>
            </w:r>
          </w:p>
        </w:tc>
        <w:tc>
          <w:tcPr>
            <w:tcW w:w="2428" w:type="pct"/>
            <w:tcBorders>
              <w:tl2br w:val="nil"/>
              <w:tr2bl w:val="nil"/>
            </w:tcBorders>
            <w:noWrap w:val="0"/>
            <w:vAlign w:val="center"/>
          </w:tcPr>
          <w:p w14:paraId="32D102EE">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1.石化、汽车、船舶、冶金、水泥、制浆造纸、印染等重点产业，要符合全省规划布局要求。2.严控钢铁、水泥、平板玻璃等产能过剩行业新增产能，新增产能应实施产能等量或减量置换。</w:t>
            </w:r>
          </w:p>
          <w:p w14:paraId="06EA65EF">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3.除列入国家规划的大型煤电和符合相关要求的等容量替代项目，以及以供热为主的热电联产项目外，原则上不再建设新的煤电项目。</w:t>
            </w:r>
          </w:p>
          <w:p w14:paraId="7CBEE67D">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4.氟化工产业应集中布局在《关于促进我省氟化工产业绿色高效发展的若干意见》中确定的园区，在上述园区之外不再新建氟化工项目，园区之外现有氟化工项目不再扩大规模。</w:t>
            </w:r>
          </w:p>
          <w:p w14:paraId="5AB7AFE5">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5.禁止在水环境质量不能稳定达标的区域内，建设新增相应不达标污染物指标排放量的工业项目。</w:t>
            </w:r>
          </w:p>
          <w:p w14:paraId="6342E550">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6.禁止在通风廊道和主导风向的上风向布局大气重污染企业，推进建成区大气重污染企业搬迁或升级改造、环境风险企业搬迁或关闭退出。7.新建、扩建的涉及重点重金属污染物［1］的有色金属冶炼、电镀、制革、铅蓄电池制造企业布局应符合《福建省进一步加强重金属污染防控实施方案》（闽环保固体〔2022〕17号）要求。禁止低端落后产能向闽江中上游地区、九龙江北溪江东北引桥闸以上、西溪桥闸以上流域、晋江流域上游转移。禁止新建用汞的电石法（聚）氯乙烯生产工艺。</w:t>
            </w:r>
          </w:p>
        </w:tc>
        <w:tc>
          <w:tcPr>
            <w:tcW w:w="1475" w:type="pct"/>
            <w:tcBorders>
              <w:tl2br w:val="nil"/>
              <w:tr2bl w:val="nil"/>
            </w:tcBorders>
            <w:noWrap w:val="0"/>
            <w:vAlign w:val="center"/>
          </w:tcPr>
          <w:p w14:paraId="4512CB3B">
            <w:pPr>
              <w:pStyle w:val="1461"/>
              <w:bidi w:val="0"/>
              <w:rPr>
                <w:rFonts w:hint="eastAsia"/>
                <w:color w:val="auto"/>
                <w:highlight w:val="none"/>
                <w:lang w:val="en-US" w:eastAsia="zh-CN"/>
              </w:rPr>
            </w:pPr>
            <w:r>
              <w:rPr>
                <w:rFonts w:hint="eastAsia"/>
                <w:color w:val="auto"/>
                <w:highlight w:val="none"/>
                <w:lang w:val="en-US" w:eastAsia="zh-CN"/>
              </w:rPr>
              <w:t>1.本项目为</w:t>
            </w:r>
            <w:r>
              <w:rPr>
                <w:rFonts w:hint="default"/>
                <w:color w:val="auto"/>
                <w:highlight w:val="none"/>
                <w:lang w:val="en-US" w:eastAsia="zh-CN"/>
              </w:rPr>
              <w:t>C3670</w:t>
            </w:r>
            <w:r>
              <w:rPr>
                <w:rFonts w:hint="eastAsia"/>
                <w:color w:val="auto"/>
                <w:highlight w:val="none"/>
                <w:lang w:val="en-US" w:eastAsia="zh-CN"/>
              </w:rPr>
              <w:t>汽车零部件及配件制造，所在区域为闽侯县青口镇</w:t>
            </w:r>
            <w:r>
              <w:rPr>
                <w:rFonts w:hint="eastAsia"/>
                <w:color w:val="auto"/>
                <w:highlight w:val="none"/>
                <w:lang w:eastAsia="zh-CN"/>
              </w:rPr>
              <w:t>（</w:t>
            </w:r>
            <w:r>
              <w:rPr>
                <w:rFonts w:hint="eastAsia"/>
                <w:color w:val="auto"/>
                <w:highlight w:val="none"/>
              </w:rPr>
              <w:t>青口汽车城内</w:t>
            </w:r>
            <w:r>
              <w:rPr>
                <w:rFonts w:hint="eastAsia"/>
                <w:color w:val="auto"/>
                <w:highlight w:val="none"/>
                <w:lang w:eastAsia="zh-CN"/>
              </w:rPr>
              <w:t>），</w:t>
            </w:r>
            <w:r>
              <w:rPr>
                <w:rFonts w:hint="eastAsia"/>
                <w:color w:val="auto"/>
                <w:highlight w:val="none"/>
              </w:rPr>
              <w:t>属于福州青口投资区规划范围内，</w:t>
            </w:r>
            <w:r>
              <w:rPr>
                <w:rFonts w:hint="eastAsia"/>
                <w:color w:val="auto"/>
                <w:highlight w:val="none"/>
                <w:lang w:val="en-US" w:eastAsia="zh-CN"/>
              </w:rPr>
              <w:t>符合规划要求；</w:t>
            </w:r>
          </w:p>
          <w:p w14:paraId="0B4A8FC0">
            <w:pPr>
              <w:pStyle w:val="1461"/>
              <w:bidi w:val="0"/>
              <w:rPr>
                <w:rFonts w:hint="eastAsia"/>
                <w:color w:val="auto"/>
                <w:highlight w:val="none"/>
                <w:lang w:val="en-US" w:eastAsia="zh-CN"/>
              </w:rPr>
            </w:pPr>
            <w:r>
              <w:rPr>
                <w:rFonts w:hint="eastAsia"/>
                <w:color w:val="auto"/>
                <w:highlight w:val="none"/>
                <w:lang w:val="en-US" w:eastAsia="zh-CN"/>
              </w:rPr>
              <w:t>2.本项目不涉及钢铁、水泥、平板玻璃等产能过剩行业；</w:t>
            </w:r>
          </w:p>
          <w:p w14:paraId="2C409A40">
            <w:pPr>
              <w:pStyle w:val="1461"/>
              <w:bidi w:val="0"/>
              <w:rPr>
                <w:rFonts w:hint="eastAsia"/>
                <w:color w:val="auto"/>
                <w:highlight w:val="none"/>
                <w:lang w:val="en-US" w:eastAsia="zh-CN"/>
              </w:rPr>
            </w:pPr>
            <w:r>
              <w:rPr>
                <w:rFonts w:hint="eastAsia"/>
                <w:color w:val="auto"/>
                <w:highlight w:val="none"/>
                <w:lang w:val="en-US" w:eastAsia="zh-CN"/>
              </w:rPr>
              <w:t>3.本项目不涉及煤电项目；</w:t>
            </w:r>
          </w:p>
          <w:p w14:paraId="2AD4E11D">
            <w:pPr>
              <w:pStyle w:val="1461"/>
              <w:bidi w:val="0"/>
              <w:rPr>
                <w:rFonts w:hint="eastAsia"/>
                <w:color w:val="auto"/>
                <w:highlight w:val="none"/>
                <w:lang w:eastAsia="zh-CN"/>
              </w:rPr>
            </w:pPr>
            <w:r>
              <w:rPr>
                <w:rFonts w:hint="eastAsia"/>
                <w:color w:val="auto"/>
                <w:highlight w:val="none"/>
                <w:lang w:val="en-US" w:eastAsia="zh-CN"/>
              </w:rPr>
              <w:t>4.本项目不涉及</w:t>
            </w:r>
            <w:r>
              <w:rPr>
                <w:rFonts w:hint="eastAsia"/>
                <w:color w:val="auto"/>
                <w:highlight w:val="none"/>
              </w:rPr>
              <w:t>氟化工</w:t>
            </w:r>
            <w:r>
              <w:rPr>
                <w:rFonts w:hint="eastAsia"/>
                <w:color w:val="auto"/>
                <w:highlight w:val="none"/>
                <w:lang w:eastAsia="zh-CN"/>
              </w:rPr>
              <w:t>；</w:t>
            </w:r>
          </w:p>
          <w:p w14:paraId="686ED32C">
            <w:pPr>
              <w:pStyle w:val="1461"/>
              <w:bidi w:val="0"/>
              <w:rPr>
                <w:rFonts w:hint="eastAsia"/>
                <w:color w:val="auto"/>
                <w:highlight w:val="none"/>
                <w:lang w:val="en-US" w:eastAsia="zh-CN"/>
              </w:rPr>
            </w:pPr>
            <w:r>
              <w:rPr>
                <w:rFonts w:hint="eastAsia"/>
                <w:color w:val="auto"/>
                <w:highlight w:val="none"/>
                <w:lang w:val="en-US" w:eastAsia="zh-CN"/>
              </w:rPr>
              <w:t>5.本项目所在位置为水环境质量稳定达标区域；</w:t>
            </w:r>
          </w:p>
          <w:p w14:paraId="07FC90E3">
            <w:pPr>
              <w:pStyle w:val="1461"/>
              <w:bidi w:val="0"/>
              <w:rPr>
                <w:rFonts w:hint="eastAsia"/>
                <w:color w:val="auto"/>
                <w:highlight w:val="none"/>
                <w:lang w:val="en-US" w:eastAsia="zh-CN"/>
              </w:rPr>
            </w:pPr>
            <w:r>
              <w:rPr>
                <w:rFonts w:hint="eastAsia"/>
                <w:color w:val="auto"/>
                <w:highlight w:val="none"/>
                <w:lang w:val="en-US" w:eastAsia="zh-CN"/>
              </w:rPr>
              <w:t>6.本项目不属于大气重污染企业；</w:t>
            </w:r>
          </w:p>
          <w:p w14:paraId="1789359D">
            <w:pPr>
              <w:pStyle w:val="1461"/>
              <w:bidi w:val="0"/>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7.本项目不涉及</w:t>
            </w:r>
            <w:r>
              <w:rPr>
                <w:rFonts w:hint="eastAsia" w:ascii="Times New Roman" w:hAnsi="Times New Roman" w:eastAsia="宋体" w:cs="Times New Roman"/>
                <w:color w:val="auto"/>
                <w:highlight w:val="none"/>
              </w:rPr>
              <w:t>重点重金属污染物［1］的有色金属冶炼、电镀、制革、铅蓄电池制造</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本项目不涉及</w:t>
            </w:r>
            <w:r>
              <w:rPr>
                <w:rFonts w:hint="eastAsia" w:ascii="Times New Roman" w:hAnsi="Times New Roman" w:eastAsia="宋体" w:cs="Times New Roman"/>
                <w:color w:val="auto"/>
                <w:highlight w:val="none"/>
              </w:rPr>
              <w:t>汞的电石法（聚）氯乙烯生产工艺</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项目涉及工艺为涂装和注塑等。</w:t>
            </w:r>
          </w:p>
          <w:p w14:paraId="723DDF04">
            <w:pPr>
              <w:pStyle w:val="1358"/>
              <w:rPr>
                <w:rFonts w:ascii="Times New Roman" w:hAnsi="Times New Roman" w:eastAsia="宋体" w:cs="Times New Roman"/>
                <w:color w:val="auto"/>
                <w:highlight w:val="none"/>
              </w:rPr>
            </w:pPr>
          </w:p>
        </w:tc>
        <w:tc>
          <w:tcPr>
            <w:tcW w:w="426" w:type="pct"/>
            <w:tcBorders>
              <w:tl2br w:val="nil"/>
              <w:tr2bl w:val="nil"/>
            </w:tcBorders>
            <w:noWrap w:val="0"/>
            <w:vAlign w:val="center"/>
          </w:tcPr>
          <w:p w14:paraId="002E87E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符合</w:t>
            </w:r>
          </w:p>
        </w:tc>
      </w:tr>
      <w:tr w14:paraId="5CB15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87" w:type="pct"/>
            <w:vMerge w:val="continue"/>
            <w:tcBorders>
              <w:tl2br w:val="nil"/>
              <w:tr2bl w:val="nil"/>
            </w:tcBorders>
            <w:noWrap w:val="0"/>
            <w:vAlign w:val="center"/>
          </w:tcPr>
          <w:p w14:paraId="75077C66">
            <w:pPr>
              <w:pStyle w:val="1358"/>
              <w:rPr>
                <w:rFonts w:ascii="Times New Roman" w:hAnsi="Times New Roman" w:eastAsia="宋体" w:cs="Times New Roman"/>
                <w:color w:val="auto"/>
                <w:highlight w:val="none"/>
              </w:rPr>
            </w:pPr>
          </w:p>
        </w:tc>
        <w:tc>
          <w:tcPr>
            <w:tcW w:w="282" w:type="pct"/>
            <w:tcBorders>
              <w:tl2br w:val="nil"/>
              <w:tr2bl w:val="nil"/>
            </w:tcBorders>
            <w:noWrap w:val="0"/>
            <w:vAlign w:val="center"/>
          </w:tcPr>
          <w:p w14:paraId="115B07B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污染物排放管控</w:t>
            </w:r>
          </w:p>
        </w:tc>
        <w:tc>
          <w:tcPr>
            <w:tcW w:w="2428" w:type="pct"/>
            <w:tcBorders>
              <w:tl2br w:val="nil"/>
              <w:tr2bl w:val="nil"/>
            </w:tcBorders>
            <w:noWrap w:val="0"/>
            <w:vAlign w:val="center"/>
          </w:tcPr>
          <w:p w14:paraId="270826FE">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建设项目新增的主要污染物（含VOCs）排放量应按要求实行等量或倍量替代。重点行业建设项目新增的主要污染物排放量应同时满足《关于加强重点行业建设项目区域削减措施监督管理的通知》（环办环评〔2020〕36号）的要求。涉及新增总磷排放的建设项目应符合相关削减替代要求。新、改、扩建重点行业［2］建设项目要符合</w:t>
            </w:r>
            <w:r>
              <w:rPr>
                <w:rFonts w:hint="eastAsia" w:cs="Times New Roman"/>
                <w:color w:val="auto"/>
                <w:highlight w:val="none"/>
                <w:lang w:eastAsia="zh-CN"/>
              </w:rPr>
              <w:t>“</w:t>
            </w:r>
            <w:r>
              <w:rPr>
                <w:rFonts w:hint="eastAsia" w:ascii="Times New Roman" w:hAnsi="Times New Roman" w:eastAsia="宋体" w:cs="Times New Roman"/>
                <w:color w:val="auto"/>
                <w:highlight w:val="none"/>
              </w:rPr>
              <w:t>闽环保固体〔2022〕17号</w:t>
            </w:r>
            <w:r>
              <w:rPr>
                <w:rFonts w:hint="eastAsia" w:cs="Times New Roman"/>
                <w:color w:val="auto"/>
                <w:highlight w:val="none"/>
                <w:lang w:eastAsia="zh-CN"/>
              </w:rPr>
              <w:t>”</w:t>
            </w:r>
            <w:r>
              <w:rPr>
                <w:rFonts w:hint="eastAsia" w:ascii="Times New Roman" w:hAnsi="Times New Roman" w:eastAsia="宋体" w:cs="Times New Roman"/>
                <w:color w:val="auto"/>
                <w:highlight w:val="none"/>
              </w:rPr>
              <w:t>文件要求</w:t>
            </w:r>
          </w:p>
          <w:p w14:paraId="398AC224">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2.新改扩建钢铁、火电项目应执行超低排放限值，有色项目应当执行大气污染物特别排放限值。水泥行业新改扩建项目严格对照超低排放、能效标杆水平建设实施，现有项目超低排放改造应按</w:t>
            </w:r>
            <w:r>
              <w:rPr>
                <w:rFonts w:hint="eastAsia" w:cs="Times New Roman"/>
                <w:color w:val="auto"/>
                <w:highlight w:val="none"/>
                <w:lang w:eastAsia="zh-CN"/>
              </w:rPr>
              <w:t>“</w:t>
            </w:r>
            <w:r>
              <w:rPr>
                <w:rFonts w:hint="eastAsia" w:ascii="Times New Roman" w:hAnsi="Times New Roman" w:eastAsia="宋体" w:cs="Times New Roman"/>
                <w:color w:val="auto"/>
                <w:highlight w:val="none"/>
              </w:rPr>
              <w:t>闽环规〔2023〕2号</w:t>
            </w:r>
            <w:r>
              <w:rPr>
                <w:rFonts w:hint="eastAsia" w:cs="Times New Roman"/>
                <w:color w:val="auto"/>
                <w:highlight w:val="none"/>
                <w:lang w:eastAsia="zh-CN"/>
              </w:rPr>
              <w:t>”</w:t>
            </w:r>
            <w:r>
              <w:rPr>
                <w:rFonts w:hint="eastAsia" w:ascii="Times New Roman" w:hAnsi="Times New Roman" w:eastAsia="宋体" w:cs="Times New Roman"/>
                <w:color w:val="auto"/>
                <w:highlight w:val="none"/>
              </w:rPr>
              <w:t>文件的时限要求分步推进，2025年底前全面完成［2］［4］。3.近岸海域汇水区域、</w:t>
            </w:r>
            <w:r>
              <w:rPr>
                <w:rFonts w:hint="eastAsia" w:cs="Times New Roman"/>
                <w:color w:val="auto"/>
                <w:highlight w:val="none"/>
                <w:lang w:eastAsia="zh-CN"/>
              </w:rPr>
              <w:t>“</w:t>
            </w:r>
            <w:r>
              <w:rPr>
                <w:rFonts w:hint="eastAsia" w:ascii="Times New Roman" w:hAnsi="Times New Roman" w:eastAsia="宋体" w:cs="Times New Roman"/>
                <w:color w:val="auto"/>
                <w:highlight w:val="none"/>
              </w:rPr>
              <w:t>六江两溪</w:t>
            </w:r>
            <w:r>
              <w:rPr>
                <w:rFonts w:hint="eastAsia" w:cs="Times New Roman"/>
                <w:color w:val="auto"/>
                <w:highlight w:val="none"/>
                <w:lang w:eastAsia="zh-CN"/>
              </w:rPr>
              <w:t>”</w:t>
            </w:r>
            <w:r>
              <w:rPr>
                <w:rFonts w:hint="eastAsia" w:ascii="Times New Roman" w:hAnsi="Times New Roman" w:eastAsia="宋体" w:cs="Times New Roman"/>
                <w:color w:val="auto"/>
                <w:highlight w:val="none"/>
              </w:rPr>
              <w:t>流域以及排入湖泊、水库等封闭、半封闭水域的城镇污水处理设施执行不低于一级A排放标准。到2025年，省级及以上各类开发区、工业园区完成</w:t>
            </w:r>
            <w:r>
              <w:rPr>
                <w:rFonts w:hint="eastAsia" w:cs="Times New Roman"/>
                <w:color w:val="auto"/>
                <w:highlight w:val="none"/>
                <w:lang w:eastAsia="zh-CN"/>
              </w:rPr>
              <w:t>“</w:t>
            </w:r>
            <w:r>
              <w:rPr>
                <w:rFonts w:hint="eastAsia" w:ascii="Times New Roman" w:hAnsi="Times New Roman" w:eastAsia="宋体" w:cs="Times New Roman"/>
                <w:color w:val="auto"/>
                <w:highlight w:val="none"/>
              </w:rPr>
              <w:t>污水零直排区</w:t>
            </w:r>
            <w:r>
              <w:rPr>
                <w:rFonts w:hint="eastAsia" w:cs="Times New Roman"/>
                <w:color w:val="auto"/>
                <w:highlight w:val="none"/>
                <w:lang w:eastAsia="zh-CN"/>
              </w:rPr>
              <w:t>”</w:t>
            </w:r>
            <w:r>
              <w:rPr>
                <w:rFonts w:hint="eastAsia" w:ascii="Times New Roman" w:hAnsi="Times New Roman" w:eastAsia="宋体" w:cs="Times New Roman"/>
                <w:color w:val="auto"/>
                <w:highlight w:val="none"/>
              </w:rPr>
              <w:t>建设，混合处理工业污水和生活污水的污水处理厂达到一级A排放标准。</w:t>
            </w:r>
          </w:p>
          <w:p w14:paraId="5621F941">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优化调整货物运输方式，提升铁路货运比例，推进钢铁、电力、电解铝、焦化等重点工业企业和工业园区货物由公路运输转向铁路运输。5.加强石化、涂料、纺织印染、橡胶、医药等行业新污染物环境风险管控。</w:t>
            </w:r>
          </w:p>
        </w:tc>
        <w:tc>
          <w:tcPr>
            <w:tcW w:w="1475" w:type="pct"/>
            <w:tcBorders>
              <w:tl2br w:val="nil"/>
              <w:tr2bl w:val="nil"/>
            </w:tcBorders>
            <w:noWrap w:val="0"/>
            <w:vAlign w:val="center"/>
          </w:tcPr>
          <w:p w14:paraId="00C8247B">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.本</w:t>
            </w:r>
            <w:r>
              <w:rPr>
                <w:rFonts w:ascii="Times New Roman" w:hAnsi="Times New Roman" w:eastAsia="宋体" w:cs="Times New Roman"/>
                <w:color w:val="auto"/>
                <w:highlight w:val="none"/>
              </w:rPr>
              <w:t>项目位于</w:t>
            </w:r>
            <w:r>
              <w:rPr>
                <w:rFonts w:hint="eastAsia" w:ascii="Times New Roman" w:hAnsi="Times New Roman" w:eastAsia="宋体" w:cs="Times New Roman"/>
                <w:color w:val="auto"/>
                <w:highlight w:val="none"/>
                <w:lang w:eastAsia="zh-CN" w:bidi="he-IL"/>
              </w:rPr>
              <w:t>福建省福州市闽侯县青口镇（青口汽车城内）</w:t>
            </w:r>
            <w:r>
              <w:rPr>
                <w:rFonts w:ascii="Times New Roman" w:hAnsi="Times New Roman" w:eastAsia="宋体" w:cs="Times New Roman"/>
                <w:color w:val="auto"/>
                <w:highlight w:val="none"/>
              </w:rPr>
              <w:t>，属于规定的污染物管控区域。</w:t>
            </w:r>
            <w:r>
              <w:rPr>
                <w:rFonts w:hint="eastAsia" w:cs="Times New Roman"/>
                <w:color w:val="auto"/>
                <w:highlight w:val="none"/>
                <w:lang w:eastAsia="zh-CN"/>
              </w:rPr>
              <w:t>本</w:t>
            </w:r>
            <w:r>
              <w:rPr>
                <w:rFonts w:ascii="Times New Roman" w:hAnsi="Times New Roman" w:eastAsia="宋体" w:cs="Times New Roman"/>
                <w:color w:val="auto"/>
                <w:highlight w:val="none"/>
              </w:rPr>
              <w:t>项目涉及VOC</w:t>
            </w:r>
            <w:r>
              <w:rPr>
                <w:rFonts w:ascii="Times New Roman" w:hAnsi="Times New Roman" w:eastAsia="宋体" w:cs="Times New Roman"/>
                <w:color w:val="auto"/>
                <w:highlight w:val="none"/>
                <w:vertAlign w:val="subscript"/>
              </w:rPr>
              <w:t>S</w:t>
            </w:r>
            <w:r>
              <w:rPr>
                <w:rFonts w:ascii="Times New Roman" w:hAnsi="Times New Roman" w:eastAsia="宋体" w:cs="Times New Roman"/>
                <w:color w:val="auto"/>
                <w:highlight w:val="none"/>
              </w:rPr>
              <w:t>排放，</w:t>
            </w:r>
            <w:r>
              <w:rPr>
                <w:rFonts w:hint="eastAsia" w:ascii="Times New Roman" w:hAnsi="Times New Roman" w:eastAsia="宋体" w:cs="Times New Roman"/>
                <w:color w:val="auto"/>
                <w:highlight w:val="none"/>
                <w:lang w:eastAsia="zh-CN"/>
              </w:rPr>
              <w:t>将严格按照要求实施倍量替代。</w:t>
            </w:r>
          </w:p>
          <w:p w14:paraId="0CD8EDB8">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eastAsia="zh-CN"/>
              </w:rPr>
              <w:t>.本</w:t>
            </w:r>
            <w:r>
              <w:rPr>
                <w:rFonts w:ascii="Times New Roman" w:hAnsi="Times New Roman" w:eastAsia="宋体" w:cs="Times New Roman"/>
                <w:color w:val="auto"/>
                <w:highlight w:val="none"/>
              </w:rPr>
              <w:t>项目主要从事</w:t>
            </w:r>
            <w:r>
              <w:rPr>
                <w:rFonts w:hint="eastAsia" w:ascii="Times New Roman" w:hAnsi="Times New Roman" w:eastAsia="宋体" w:cs="Times New Roman"/>
                <w:color w:val="auto"/>
                <w:highlight w:val="none"/>
                <w:lang w:eastAsia="zh-CN"/>
              </w:rPr>
              <w:t>汽车零部件及配件制造，不属于水泥、有色金属、钢铁、火电类项目。</w:t>
            </w:r>
          </w:p>
          <w:p w14:paraId="291C3820">
            <w:pPr>
              <w:pStyle w:val="1358"/>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本项目废水分为生活污水与生产废水，废水处置方式如下：生产废水共五类，其中注塑工序冷却水、本项目冰水机配套的设备冷却水与热洁炉换热器冷却水均为间接冷却水，水质基本不受污染，经降温后全部循环使用不外排，仅定期补充蒸发、风吹带来的水量损耗；锅炉排污水与纯水制备产生的反渗透浓水的水质相对清洁，不含重金属及有毒有害物质，经厂区污水总排口接入市政污水管网。</w:t>
            </w:r>
          </w:p>
          <w:p w14:paraId="1431CDB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生活污水</w:t>
            </w:r>
            <w:r>
              <w:rPr>
                <w:rFonts w:hint="eastAsia" w:cs="Times New Roman"/>
                <w:color w:val="auto"/>
                <w:highlight w:val="none"/>
                <w:lang w:val="en-US" w:eastAsia="zh-CN"/>
              </w:rPr>
              <w:t>经</w:t>
            </w:r>
            <w:r>
              <w:rPr>
                <w:rFonts w:hint="eastAsia" w:ascii="Times New Roman" w:hAnsi="Times New Roman" w:eastAsia="宋体" w:cs="Times New Roman"/>
                <w:color w:val="auto"/>
                <w:highlight w:val="none"/>
                <w:lang w:val="en-US" w:eastAsia="zh-CN"/>
              </w:rPr>
              <w:t>化粪池处理后通过市政污水管网纳入青口汽车工业开发区污水处理厂集中处理，不排入近岸海域汇水区域、</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六江两溪</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流域以及湖泊、水库等封闭、半封闭水域。</w:t>
            </w:r>
          </w:p>
          <w:p w14:paraId="219E058C">
            <w:pPr>
              <w:pStyle w:val="1461"/>
              <w:bidi w:val="0"/>
              <w:rPr>
                <w:rFonts w:hint="eastAsia" w:ascii="Times New Roman" w:hAnsi="Times New Roman" w:cs="Times New Roman"/>
                <w:color w:val="auto"/>
                <w:highlight w:val="none"/>
                <w:lang w:val="en-US" w:eastAsia="zh-CN"/>
              </w:rPr>
            </w:pPr>
            <w:r>
              <w:rPr>
                <w:rFonts w:hint="eastAsia"/>
                <w:color w:val="auto"/>
                <w:highlight w:val="none"/>
                <w:lang w:val="en-US" w:eastAsia="zh-CN"/>
              </w:rPr>
              <w:t>4.本项目不涉及</w:t>
            </w:r>
            <w:r>
              <w:rPr>
                <w:rFonts w:hint="eastAsia" w:ascii="Times New Roman" w:hAnsi="Times New Roman" w:eastAsia="宋体" w:cs="Times New Roman"/>
                <w:color w:val="auto"/>
                <w:highlight w:val="none"/>
              </w:rPr>
              <w:t>钢铁、电力、电解铝、焦化等</w:t>
            </w:r>
            <w:r>
              <w:rPr>
                <w:rFonts w:hint="eastAsia" w:ascii="Times New Roman" w:hAnsi="Times New Roman" w:cs="Times New Roman"/>
                <w:color w:val="auto"/>
                <w:highlight w:val="none"/>
                <w:lang w:val="en-US" w:eastAsia="zh-CN"/>
              </w:rPr>
              <w:t>行业；</w:t>
            </w:r>
          </w:p>
          <w:p w14:paraId="104B99EB">
            <w:pPr>
              <w:pStyle w:val="1461"/>
              <w:bidi w:val="0"/>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5.本项目不涉及</w:t>
            </w:r>
            <w:r>
              <w:rPr>
                <w:rFonts w:hint="eastAsia" w:ascii="Times New Roman" w:hAnsi="Times New Roman" w:eastAsia="宋体" w:cs="Times New Roman"/>
                <w:color w:val="auto"/>
                <w:highlight w:val="none"/>
              </w:rPr>
              <w:t>石化、涂料、纺织印染、橡胶、医药等行业</w:t>
            </w:r>
            <w:r>
              <w:rPr>
                <w:rFonts w:hint="eastAsia" w:ascii="Times New Roman" w:hAnsi="Times New Roman" w:cs="Times New Roman"/>
                <w:color w:val="auto"/>
                <w:highlight w:val="none"/>
                <w:lang w:eastAsia="zh-CN"/>
              </w:rPr>
              <w:t>。</w:t>
            </w:r>
          </w:p>
        </w:tc>
        <w:tc>
          <w:tcPr>
            <w:tcW w:w="426" w:type="pct"/>
            <w:tcBorders>
              <w:tl2br w:val="nil"/>
              <w:tr2bl w:val="nil"/>
            </w:tcBorders>
            <w:noWrap w:val="0"/>
            <w:vAlign w:val="center"/>
          </w:tcPr>
          <w:p w14:paraId="7702F91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符合</w:t>
            </w:r>
          </w:p>
        </w:tc>
      </w:tr>
      <w:tr w14:paraId="5CB2CE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87" w:type="pct"/>
            <w:tcBorders>
              <w:tl2br w:val="nil"/>
              <w:tr2bl w:val="nil"/>
            </w:tcBorders>
            <w:noWrap w:val="0"/>
            <w:vAlign w:val="center"/>
          </w:tcPr>
          <w:p w14:paraId="3A43DF91">
            <w:pPr>
              <w:pStyle w:val="1358"/>
              <w:rPr>
                <w:rFonts w:ascii="Times New Roman" w:hAnsi="Times New Roman" w:eastAsia="宋体" w:cs="Times New Roman"/>
                <w:color w:val="auto"/>
                <w:highlight w:val="none"/>
              </w:rPr>
            </w:pPr>
          </w:p>
        </w:tc>
        <w:tc>
          <w:tcPr>
            <w:tcW w:w="282" w:type="pct"/>
            <w:tcBorders>
              <w:tl2br w:val="nil"/>
              <w:tr2bl w:val="nil"/>
            </w:tcBorders>
            <w:noWrap w:val="0"/>
            <w:vAlign w:val="center"/>
          </w:tcPr>
          <w:p w14:paraId="24F433FA">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环境风险防控</w:t>
            </w:r>
          </w:p>
        </w:tc>
        <w:tc>
          <w:tcPr>
            <w:tcW w:w="2428" w:type="pct"/>
            <w:tcBorders>
              <w:tl2br w:val="nil"/>
              <w:tr2bl w:val="nil"/>
            </w:tcBorders>
            <w:noWrap w:val="0"/>
            <w:vAlign w:val="center"/>
          </w:tcPr>
          <w:p w14:paraId="1CA62D10">
            <w:pPr>
              <w:pStyle w:val="1358"/>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无</w:t>
            </w:r>
          </w:p>
        </w:tc>
        <w:tc>
          <w:tcPr>
            <w:tcW w:w="1475" w:type="pct"/>
            <w:tcBorders>
              <w:tl2br w:val="nil"/>
              <w:tr2bl w:val="nil"/>
            </w:tcBorders>
            <w:noWrap w:val="0"/>
            <w:vAlign w:val="center"/>
          </w:tcPr>
          <w:p w14:paraId="6E93DCB9">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426" w:type="pct"/>
            <w:tcBorders>
              <w:tl2br w:val="nil"/>
              <w:tr2bl w:val="nil"/>
            </w:tcBorders>
            <w:noWrap w:val="0"/>
            <w:vAlign w:val="center"/>
          </w:tcPr>
          <w:p w14:paraId="0F231462">
            <w:pPr>
              <w:pStyle w:val="1358"/>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r>
      <w:tr w14:paraId="397F1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87" w:type="pct"/>
            <w:tcBorders>
              <w:tl2br w:val="nil"/>
              <w:tr2bl w:val="nil"/>
            </w:tcBorders>
            <w:noWrap w:val="0"/>
            <w:vAlign w:val="center"/>
          </w:tcPr>
          <w:p w14:paraId="1C16080B">
            <w:pPr>
              <w:pStyle w:val="1358"/>
              <w:rPr>
                <w:rFonts w:ascii="Times New Roman" w:hAnsi="Times New Roman" w:eastAsia="宋体" w:cs="Times New Roman"/>
                <w:color w:val="auto"/>
                <w:highlight w:val="none"/>
              </w:rPr>
            </w:pPr>
          </w:p>
        </w:tc>
        <w:tc>
          <w:tcPr>
            <w:tcW w:w="282" w:type="pct"/>
            <w:tcBorders>
              <w:tl2br w:val="nil"/>
              <w:tr2bl w:val="nil"/>
            </w:tcBorders>
            <w:noWrap w:val="0"/>
            <w:vAlign w:val="center"/>
          </w:tcPr>
          <w:p w14:paraId="2FB81EEC">
            <w:pPr>
              <w:pStyle w:val="1358"/>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资源开发效率要求</w:t>
            </w:r>
          </w:p>
        </w:tc>
        <w:tc>
          <w:tcPr>
            <w:tcW w:w="2428" w:type="pct"/>
            <w:tcBorders>
              <w:tl2br w:val="nil"/>
              <w:tr2bl w:val="nil"/>
            </w:tcBorders>
            <w:noWrap w:val="0"/>
            <w:vAlign w:val="center"/>
          </w:tcPr>
          <w:p w14:paraId="1A031F47">
            <w:pPr>
              <w:pStyle w:val="1358"/>
              <w:rPr>
                <w:rFonts w:hint="eastAsia"/>
                <w:color w:val="auto"/>
                <w:highlight w:val="none"/>
                <w:vertAlign w:val="baseline"/>
                <w:lang w:val="en-US" w:eastAsia="zh-CN"/>
              </w:rPr>
            </w:pPr>
            <w:r>
              <w:rPr>
                <w:rFonts w:hint="eastAsia"/>
                <w:color w:val="auto"/>
                <w:highlight w:val="none"/>
                <w:vertAlign w:val="baseline"/>
                <w:lang w:val="en-US" w:eastAsia="zh-CN"/>
              </w:rPr>
              <w:t>1.实施能源消耗总量和强度双控。</w:t>
            </w:r>
          </w:p>
          <w:p w14:paraId="6A5A376B">
            <w:pPr>
              <w:pStyle w:val="1358"/>
              <w:rPr>
                <w:rFonts w:hint="eastAsia"/>
                <w:color w:val="auto"/>
                <w:highlight w:val="none"/>
                <w:vertAlign w:val="baseline"/>
                <w:lang w:val="en-US" w:eastAsia="zh-CN"/>
              </w:rPr>
            </w:pPr>
            <w:r>
              <w:rPr>
                <w:rFonts w:hint="eastAsia"/>
                <w:color w:val="auto"/>
                <w:highlight w:val="none"/>
                <w:vertAlign w:val="baseline"/>
                <w:lang w:val="en-US" w:eastAsia="zh-CN"/>
              </w:rPr>
              <w:t>2.强化产业园区单位土地面积投资强度和效用指标的刚性约束，提高土地利用效率。</w:t>
            </w:r>
          </w:p>
          <w:p w14:paraId="4098A3A1">
            <w:pPr>
              <w:pStyle w:val="1358"/>
              <w:rPr>
                <w:rFonts w:hint="eastAsia"/>
                <w:color w:val="auto"/>
                <w:highlight w:val="none"/>
                <w:vertAlign w:val="baseline"/>
                <w:lang w:val="en-US" w:eastAsia="zh-CN"/>
              </w:rPr>
            </w:pPr>
            <w:r>
              <w:rPr>
                <w:rFonts w:hint="eastAsia"/>
                <w:color w:val="auto"/>
                <w:highlight w:val="none"/>
                <w:vertAlign w:val="baseline"/>
                <w:lang w:val="en-US" w:eastAsia="zh-CN"/>
              </w:rPr>
              <w:t>3.具备使用再生水条件但未充分利用的钢铁、火电、化工、制浆造纸、印染等项目，不得批准其新增取水许可。在沿海地区电力、化工、石化等行业，推行直接利用海水作为循环冷却等工业用水。</w:t>
            </w:r>
          </w:p>
          <w:p w14:paraId="59820742">
            <w:pPr>
              <w:pStyle w:val="1358"/>
              <w:rPr>
                <w:rFonts w:hint="eastAsia"/>
                <w:color w:val="auto"/>
                <w:highlight w:val="none"/>
                <w:vertAlign w:val="baseline"/>
                <w:lang w:val="en-US" w:eastAsia="zh-CN"/>
              </w:rPr>
            </w:pPr>
            <w:r>
              <w:rPr>
                <w:rFonts w:hint="eastAsia"/>
                <w:color w:val="auto"/>
                <w:highlight w:val="none"/>
                <w:vertAlign w:val="baseline"/>
                <w:lang w:val="en-US" w:eastAsia="zh-CN"/>
              </w:rPr>
              <w:t>4.落实“闽环规〔2023〕1号”文件要求，不再新建每小时35蒸吨以下燃煤锅炉，以及每小时10蒸吨及以下燃生物质和其他使用高污染燃料的锅炉。集中供热管网覆盖范围内禁止新建、扩建分散燃煤、燃油等供热锅炉。</w:t>
            </w:r>
          </w:p>
          <w:p w14:paraId="58553ABA">
            <w:pPr>
              <w:pStyle w:val="1358"/>
              <w:rPr>
                <w:rFonts w:hint="eastAsia" w:cs="Times New Roman"/>
                <w:color w:val="auto"/>
                <w:highlight w:val="none"/>
                <w:lang w:val="en-US" w:eastAsia="zh-CN"/>
              </w:rPr>
            </w:pPr>
            <w:r>
              <w:rPr>
                <w:rFonts w:hint="eastAsia"/>
                <w:color w:val="auto"/>
                <w:highlight w:val="none"/>
                <w:vertAlign w:val="baseline"/>
                <w:lang w:val="en-US" w:eastAsia="zh-CN"/>
              </w:rPr>
              <w:t>5.落实“闽环保大气〔2023〕5号”文件要求，按照“提气、转电、控煤”的发展思路，推动陶瓷行业进一步优化用能结构，实现能源消费清洁低碳化。</w:t>
            </w:r>
          </w:p>
        </w:tc>
        <w:tc>
          <w:tcPr>
            <w:tcW w:w="1475" w:type="pct"/>
            <w:tcBorders>
              <w:tl2br w:val="nil"/>
              <w:tr2bl w:val="nil"/>
            </w:tcBorders>
            <w:noWrap w:val="0"/>
            <w:vAlign w:val="center"/>
          </w:tcPr>
          <w:p w14:paraId="60F31053">
            <w:pPr>
              <w:pStyle w:val="1461"/>
              <w:bidi w:val="0"/>
              <w:rPr>
                <w:color w:val="auto"/>
                <w:highlight w:val="none"/>
              </w:rPr>
            </w:pPr>
            <w:r>
              <w:rPr>
                <w:rFonts w:hint="eastAsia"/>
                <w:color w:val="auto"/>
                <w:highlight w:val="none"/>
                <w:lang w:val="en-US" w:eastAsia="zh-CN"/>
              </w:rPr>
              <w:t>1.</w:t>
            </w:r>
            <w:r>
              <w:rPr>
                <w:color w:val="auto"/>
                <w:highlight w:val="none"/>
              </w:rPr>
              <w:t>本项目仅使用天然气、电能两类清洁能源，不使用高污染燃料；</w:t>
            </w:r>
          </w:p>
          <w:p w14:paraId="15CED9F4">
            <w:pPr>
              <w:pStyle w:val="1461"/>
              <w:bidi w:val="0"/>
              <w:rPr>
                <w:color w:val="auto"/>
                <w:highlight w:val="none"/>
              </w:rPr>
            </w:pPr>
            <w:r>
              <w:rPr>
                <w:rFonts w:hint="eastAsia"/>
                <w:color w:val="auto"/>
                <w:highlight w:val="none"/>
                <w:lang w:val="en-US" w:eastAsia="zh-CN"/>
              </w:rPr>
              <w:t>2.</w:t>
            </w:r>
            <w:r>
              <w:rPr>
                <w:color w:val="auto"/>
                <w:highlight w:val="none"/>
              </w:rPr>
              <w:t>本项目对平面布置合理规划，整体土地利用率良好；</w:t>
            </w:r>
          </w:p>
          <w:p w14:paraId="775989AF">
            <w:pPr>
              <w:pStyle w:val="1461"/>
              <w:bidi w:val="0"/>
              <w:rPr>
                <w:color w:val="auto"/>
                <w:highlight w:val="none"/>
              </w:rPr>
            </w:pPr>
            <w:r>
              <w:rPr>
                <w:rFonts w:hint="eastAsia"/>
                <w:color w:val="auto"/>
                <w:highlight w:val="none"/>
                <w:lang w:val="en-US" w:eastAsia="zh-CN"/>
              </w:rPr>
              <w:t>3.</w:t>
            </w:r>
            <w:r>
              <w:rPr>
                <w:color w:val="auto"/>
                <w:highlight w:val="none"/>
              </w:rPr>
              <w:t>本项目不属于钢铁、火电、化工、石化、制浆造纸、印染、陶瓷等限制类行业范畴；</w:t>
            </w:r>
          </w:p>
          <w:p w14:paraId="49A75AF2">
            <w:pPr>
              <w:pStyle w:val="1461"/>
              <w:bidi w:val="0"/>
              <w:rPr>
                <w:color w:val="auto"/>
                <w:highlight w:val="none"/>
              </w:rPr>
            </w:pPr>
            <w:r>
              <w:rPr>
                <w:rFonts w:hint="eastAsia"/>
                <w:color w:val="auto"/>
                <w:highlight w:val="none"/>
                <w:lang w:val="en-US" w:eastAsia="zh-CN"/>
              </w:rPr>
              <w:t>4.</w:t>
            </w:r>
            <w:r>
              <w:rPr>
                <w:color w:val="auto"/>
                <w:highlight w:val="none"/>
              </w:rPr>
              <w:t>本项目不涉及每小时35蒸吨以下燃煤锅炉，也不涉及每小时10蒸吨及以下燃生物质锅炉和其他使用高污染燃料的锅炉。</w:t>
            </w:r>
          </w:p>
          <w:p w14:paraId="49D186C6">
            <w:pPr>
              <w:pStyle w:val="1461"/>
              <w:bidi w:val="0"/>
              <w:rPr>
                <w:rFonts w:hint="default"/>
                <w:color w:val="auto"/>
                <w:highlight w:val="none"/>
                <w:lang w:val="en-US" w:eastAsia="zh-CN"/>
              </w:rPr>
            </w:pPr>
            <w:r>
              <w:rPr>
                <w:rFonts w:hint="eastAsia"/>
                <w:color w:val="auto"/>
                <w:highlight w:val="none"/>
                <w:vertAlign w:val="baseline"/>
                <w:lang w:val="en-US" w:eastAsia="zh-CN"/>
              </w:rPr>
              <w:t>5.本项</w:t>
            </w:r>
            <w:r>
              <w:rPr>
                <w:rFonts w:hint="eastAsia"/>
                <w:color w:val="auto"/>
                <w:highlight w:val="none"/>
                <w:lang w:val="en-US" w:eastAsia="zh-CN"/>
              </w:rPr>
              <w:t>目不涉及陶瓷行业。</w:t>
            </w:r>
          </w:p>
        </w:tc>
        <w:tc>
          <w:tcPr>
            <w:tcW w:w="426" w:type="pct"/>
            <w:tcBorders>
              <w:tl2br w:val="nil"/>
              <w:tr2bl w:val="nil"/>
            </w:tcBorders>
            <w:noWrap w:val="0"/>
            <w:vAlign w:val="center"/>
          </w:tcPr>
          <w:p w14:paraId="6804426E">
            <w:pPr>
              <w:pStyle w:val="1358"/>
              <w:rPr>
                <w:rFonts w:hint="default" w:cs="Times New Roman"/>
                <w:color w:val="auto"/>
                <w:highlight w:val="none"/>
                <w:lang w:val="en-US" w:eastAsia="zh-CN"/>
              </w:rPr>
            </w:pPr>
            <w:r>
              <w:rPr>
                <w:rFonts w:hint="eastAsia" w:cs="Times New Roman"/>
                <w:color w:val="auto"/>
                <w:highlight w:val="none"/>
                <w:lang w:val="en-US" w:eastAsia="zh-CN"/>
              </w:rPr>
              <w:t>符合</w:t>
            </w:r>
          </w:p>
        </w:tc>
      </w:tr>
    </w:tbl>
    <w:p w14:paraId="4E4BC763">
      <w:pPr>
        <w:pStyle w:val="1336"/>
        <w:ind w:firstLine="480"/>
        <w:rPr>
          <w:rFonts w:hint="eastAsia" w:ascii="Times New Roman" w:hAnsi="Times New Roman" w:eastAsia="宋体" w:cs="Times New Roman"/>
          <w:color w:val="auto"/>
          <w:highlight w:val="none"/>
          <w:lang w:val="en-GB"/>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与福州市生态环境分区管控方案符合性分析</w:t>
      </w:r>
    </w:p>
    <w:p w14:paraId="52157679">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福州市生态环境分区管控方案（2023年更新）》（榕政办规〔2024〕20号）以及福州市生态环境局《关于发布福州市2024年生态环境分区管控动态更新成果的通知》（榕环保综〔2025〕1号）相关要求分析，项目所在位置属于福建省福州市陆域区域，位于福建闽侯青口汽车工业园区环境管控单元（环境管控单元编码：ZH35012120001）。符合性分析如下：</w:t>
      </w:r>
    </w:p>
    <w:p w14:paraId="69EE036E">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①与福州市全市总体准入要求的符合性分析</w:t>
      </w:r>
    </w:p>
    <w:p w14:paraId="55C25699">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具体见表1.4-2。</w:t>
      </w:r>
    </w:p>
    <w:p w14:paraId="79DF2A6F">
      <w:pPr>
        <w:pStyle w:val="8"/>
        <w:bidi w:val="0"/>
        <w:rPr>
          <w:rFonts w:hint="default" w:ascii="Times New Roman" w:hAnsi="Times New Roman" w:cs="Times New Roman"/>
          <w:color w:val="auto"/>
          <w:highlight w:val="none"/>
        </w:rPr>
        <w:sectPr>
          <w:headerReference r:id="rId9" w:type="first"/>
          <w:footerReference r:id="rId12" w:type="first"/>
          <w:headerReference r:id="rId7" w:type="default"/>
          <w:footerReference r:id="rId10" w:type="default"/>
          <w:headerReference r:id="rId8" w:type="even"/>
          <w:footerReference r:id="rId11" w:type="even"/>
          <w:pgSz w:w="11906" w:h="16838"/>
          <w:pgMar w:top="1418" w:right="1701" w:bottom="1588" w:left="1418" w:header="1021" w:footer="567" w:gutter="0"/>
          <w:pgBorders w:offsetFrom="page">
            <w:top w:val="none" w:sz="0" w:space="0"/>
            <w:left w:val="none" w:sz="0" w:space="0"/>
            <w:bottom w:val="none" w:sz="0" w:space="0"/>
            <w:right w:val="none" w:sz="0" w:space="0"/>
          </w:pgBorders>
          <w:pgNumType w:fmt="decimal" w:start="1"/>
          <w:cols w:space="720" w:num="1"/>
          <w:docGrid w:type="lines" w:linePitch="326" w:charSpace="0"/>
        </w:sectPr>
      </w:pPr>
    </w:p>
    <w:p w14:paraId="6E81E716">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表1.4-2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与福州市生态环境总体准入要求的符合性分析</w:t>
      </w:r>
    </w:p>
    <w:tbl>
      <w:tblPr>
        <w:tblStyle w:val="80"/>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03"/>
        <w:gridCol w:w="547"/>
        <w:gridCol w:w="9769"/>
        <w:gridCol w:w="2137"/>
        <w:gridCol w:w="782"/>
      </w:tblGrid>
      <w:tr w14:paraId="170240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tcBorders>
              <w:tl2br w:val="nil"/>
              <w:tr2bl w:val="nil"/>
            </w:tcBorders>
            <w:noWrap w:val="0"/>
            <w:vAlign w:val="center"/>
          </w:tcPr>
          <w:p w14:paraId="19F445AE">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适用范围</w:t>
            </w:r>
          </w:p>
        </w:tc>
        <w:tc>
          <w:tcPr>
            <w:tcW w:w="3700" w:type="pct"/>
            <w:gridSpan w:val="2"/>
            <w:tcBorders>
              <w:tl2br w:val="nil"/>
              <w:tr2bl w:val="nil"/>
            </w:tcBorders>
            <w:noWrap w:val="0"/>
            <w:vAlign w:val="center"/>
          </w:tcPr>
          <w:p w14:paraId="5A3B8543">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准入要求</w:t>
            </w:r>
          </w:p>
        </w:tc>
        <w:tc>
          <w:tcPr>
            <w:tcW w:w="766" w:type="pct"/>
            <w:tcBorders>
              <w:tl2br w:val="nil"/>
              <w:tr2bl w:val="nil"/>
            </w:tcBorders>
            <w:noWrap w:val="0"/>
            <w:vAlign w:val="center"/>
          </w:tcPr>
          <w:p w14:paraId="297D728D">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本项目情况</w:t>
            </w:r>
          </w:p>
        </w:tc>
        <w:tc>
          <w:tcPr>
            <w:tcW w:w="280" w:type="pct"/>
            <w:tcBorders>
              <w:tl2br w:val="nil"/>
              <w:tr2bl w:val="nil"/>
            </w:tcBorders>
            <w:noWrap w:val="0"/>
            <w:vAlign w:val="center"/>
          </w:tcPr>
          <w:p w14:paraId="280D924F">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符合性</w:t>
            </w:r>
          </w:p>
        </w:tc>
      </w:tr>
      <w:tr w14:paraId="57029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tcBorders>
              <w:tl2br w:val="nil"/>
              <w:tr2bl w:val="nil"/>
            </w:tcBorders>
            <w:noWrap w:val="0"/>
            <w:vAlign w:val="center"/>
          </w:tcPr>
          <w:p w14:paraId="2AB0CCB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陆域</w:t>
            </w:r>
          </w:p>
        </w:tc>
        <w:tc>
          <w:tcPr>
            <w:tcW w:w="196" w:type="pct"/>
            <w:tcBorders>
              <w:tl2br w:val="nil"/>
              <w:tr2bl w:val="nil"/>
            </w:tcBorders>
            <w:noWrap w:val="0"/>
            <w:vAlign w:val="center"/>
          </w:tcPr>
          <w:p w14:paraId="763D0457">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空间布局约束</w:t>
            </w:r>
          </w:p>
        </w:tc>
        <w:tc>
          <w:tcPr>
            <w:tcW w:w="3504" w:type="pct"/>
            <w:tcBorders>
              <w:tl2br w:val="nil"/>
              <w:tr2bl w:val="nil"/>
            </w:tcBorders>
            <w:noWrap w:val="0"/>
            <w:vAlign w:val="center"/>
          </w:tcPr>
          <w:p w14:paraId="38C04642">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一、优先保护单元中的生态保护红线</w:t>
            </w:r>
          </w:p>
          <w:p w14:paraId="46E4DDD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根据《关于在国土空间规划中统筹划定落实三条控制线的指导意见》《自然资源部生态环境部国家林业和草原局关于加强生态保护红线管理的通知（试行）》，加强生态保护红线管理，严守自然生态安全边界。生态保护红线内，自然保护地核心保护区原则上禁止人为活动，其他区域禁止开发性、生产性建设活动，在符合法律法规的前提下，仅允许以下对生态功能不造成破坏的有限人为活动。生态保护红线内自然保护区、风景名胜区、饮用水水源保护区等区域，依照法律法规执行。</w:t>
            </w:r>
          </w:p>
          <w:p w14:paraId="5C047C2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（1）管护巡护、保护执法、科学研究、调查监测、测绘导航、防灾减灾救灾、军事国防、疫情防控等活动及相关的必要设施修筑。</w:t>
            </w:r>
          </w:p>
          <w:p w14:paraId="5B2F2FC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p w14:paraId="782B2CA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（3）经依法批准的考古调查发掘、古生物化石调查发掘、标本采集和文物保护活动。</w:t>
            </w:r>
          </w:p>
          <w:p w14:paraId="3741D5C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（4）按规定对人工商品林进行抚育采伐，或以提升森林质量、优化栖息地、建设生物防火隔离带等为目的的树种更新，依法开展的竹林采伐经营。</w:t>
            </w:r>
          </w:p>
          <w:p w14:paraId="56C1CE5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（5）不破坏生态功能的适度参观旅游、科普宣教及符合相关规划的配套性服务设施和相关的必要公共设施建设及维护。</w:t>
            </w:r>
          </w:p>
          <w:p w14:paraId="409FE9F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（6）必须且无法避让、符合县级以上国土空间规划的线性基础设施、通讯和防洪、供水设施建设和船舶航行、航道疏浚清淤等活动；已有的合法水利、交通运输等设施运行维护改造。</w:t>
            </w:r>
          </w:p>
          <w:p w14:paraId="089A6D3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w:t>
            </w:r>
          </w:p>
          <w:p w14:paraId="60C2133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（8）依据县级以上国土空间规划和生态保护修复专项规划开展的生态修复。</w:t>
            </w:r>
          </w:p>
          <w:p w14:paraId="6ED5E27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（9）法律法规规定允许的其他人为活动。</w:t>
            </w:r>
          </w:p>
          <w:p w14:paraId="5CCFF60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2.依据《福建省自然资源厅福建省生态环境厅福建省林业局关于进一步加强生态保护红线监管的通知（试行）》（闽自然资发〔2023〕56号），允许占用生态保护红线的重大项目范围：</w:t>
            </w:r>
          </w:p>
          <w:p w14:paraId="10A3881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（1）党中央、国务院发布文件或批准规划中明确具体名称的项目和国务院批准的项目。</w:t>
            </w:r>
          </w:p>
          <w:p w14:paraId="5A2F5CF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（2）中央军委及其有关部门批准的军事国防项目。</w:t>
            </w:r>
          </w:p>
          <w:p w14:paraId="5CE63E7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（3）国家级规划（指国务院及其有关部门正式颁布）明确的交通、水利项目。</w:t>
            </w:r>
          </w:p>
          <w:p w14:paraId="0B807A9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（4）国家级规划明确的电网项目，国家级规划明确的且符合国家产业政策的能源矿产勘查开采、油气管线、水电、核电项目。</w:t>
            </w:r>
          </w:p>
          <w:p w14:paraId="6A99821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（5）为贯彻落实党中央、国务院重大决策部署，国务院投资主管部门或国务院投资主管部门会同有关部门确认的交通、能源、水利等基础设施项目。</w:t>
            </w:r>
          </w:p>
          <w:p w14:paraId="248CD84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（6）按照国家重大项目用地保障工作机制要求，国家发展改革委会同有关部门确认的需中央加大建设用地保障力度，确实难以避让的国家重大项目。</w:t>
            </w:r>
          </w:p>
        </w:tc>
        <w:tc>
          <w:tcPr>
            <w:tcW w:w="766" w:type="pct"/>
            <w:tcBorders>
              <w:tl2br w:val="nil"/>
              <w:tr2bl w:val="nil"/>
            </w:tcBorders>
            <w:noWrap w:val="0"/>
            <w:vAlign w:val="center"/>
          </w:tcPr>
          <w:p w14:paraId="51D8820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本项目位于</w:t>
            </w:r>
            <w:r>
              <w:rPr>
                <w:rFonts w:hint="eastAsia" w:ascii="Times New Roman" w:hAnsi="Times New Roman" w:eastAsia="宋体" w:cs="Times New Roman"/>
                <w:color w:val="auto"/>
                <w:highlight w:val="none"/>
                <w:lang w:eastAsia="zh-CN" w:bidi="he-IL"/>
              </w:rPr>
              <w:t>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不涉及优先保护单元中的生态保护红线</w:t>
            </w:r>
          </w:p>
        </w:tc>
        <w:tc>
          <w:tcPr>
            <w:tcW w:w="280" w:type="pct"/>
            <w:tcBorders>
              <w:tl2br w:val="nil"/>
              <w:tr2bl w:val="nil"/>
            </w:tcBorders>
            <w:noWrap w:val="0"/>
            <w:vAlign w:val="center"/>
          </w:tcPr>
          <w:p w14:paraId="4229C5C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bl>
    <w:p w14:paraId="7067E2E9">
      <w:pPr>
        <w:pStyle w:val="1358"/>
        <w:rPr>
          <w:rFonts w:hint="eastAsia" w:ascii="Times New Roman" w:hAnsi="Times New Roman" w:eastAsia="宋体" w:cs="Times New Roman"/>
          <w:color w:val="auto"/>
          <w:highlight w:val="none"/>
          <w:lang w:val="en-US" w:eastAsia="zh-CN"/>
        </w:rPr>
        <w:sectPr>
          <w:footerReference r:id="rId13" w:type="default"/>
          <w:pgSz w:w="16838" w:h="11906" w:orient="landscape"/>
          <w:pgMar w:top="1418" w:right="1418" w:bottom="1701" w:left="1588" w:header="1021" w:footer="567" w:gutter="0"/>
          <w:pgBorders w:offsetFrom="page">
            <w:top w:val="none" w:sz="0" w:space="0"/>
            <w:left w:val="none" w:sz="0" w:space="0"/>
            <w:bottom w:val="none" w:sz="0" w:space="0"/>
            <w:right w:val="none" w:sz="0" w:space="0"/>
          </w:pgBorders>
          <w:pgNumType w:fmt="decimal"/>
          <w:cols w:space="720" w:num="1"/>
          <w:docGrid w:type="lines" w:linePitch="326" w:charSpace="0"/>
        </w:sectPr>
      </w:pPr>
    </w:p>
    <w:tbl>
      <w:tblPr>
        <w:tblStyle w:val="80"/>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03"/>
        <w:gridCol w:w="547"/>
        <w:gridCol w:w="9769"/>
        <w:gridCol w:w="2137"/>
        <w:gridCol w:w="782"/>
      </w:tblGrid>
      <w:tr w14:paraId="1F35F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vMerge w:val="restart"/>
            <w:tcBorders>
              <w:tl2br w:val="nil"/>
              <w:tr2bl w:val="nil"/>
            </w:tcBorders>
            <w:noWrap w:val="0"/>
            <w:vAlign w:val="center"/>
          </w:tcPr>
          <w:p w14:paraId="788375C8">
            <w:pPr>
              <w:rPr>
                <w:rFonts w:hint="eastAsia"/>
                <w:color w:val="auto"/>
                <w:highlight w:val="none"/>
                <w:lang w:val="en-US" w:eastAsia="zh-CN"/>
              </w:rPr>
            </w:pPr>
          </w:p>
        </w:tc>
        <w:tc>
          <w:tcPr>
            <w:tcW w:w="196" w:type="pct"/>
            <w:vMerge w:val="restart"/>
            <w:tcBorders>
              <w:tl2br w:val="nil"/>
              <w:tr2bl w:val="nil"/>
            </w:tcBorders>
            <w:noWrap w:val="0"/>
            <w:vAlign w:val="center"/>
          </w:tcPr>
          <w:p w14:paraId="6CCB4614">
            <w:pPr>
              <w:pStyle w:val="1358"/>
              <w:rPr>
                <w:rFonts w:hint="eastAsia" w:ascii="Times New Roman" w:hAnsi="Times New Roman" w:eastAsia="宋体" w:cs="Times New Roman"/>
                <w:color w:val="auto"/>
                <w:highlight w:val="none"/>
                <w:lang w:val="en-US" w:eastAsia="zh-CN"/>
              </w:rPr>
            </w:pPr>
          </w:p>
        </w:tc>
        <w:tc>
          <w:tcPr>
            <w:tcW w:w="3504" w:type="pct"/>
            <w:tcBorders>
              <w:tl2br w:val="nil"/>
              <w:tr2bl w:val="nil"/>
            </w:tcBorders>
            <w:noWrap w:val="0"/>
            <w:vAlign w:val="center"/>
          </w:tcPr>
          <w:p w14:paraId="37AAE237">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二、优先保护单元中的一般生态空间</w:t>
            </w:r>
          </w:p>
          <w:p w14:paraId="1F5E65B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1.一般生态空间以保护和修复生态环境、提供生态产品和服务为首要任务，因地制宜地发展不影响主体功能定位的适宜产业。</w:t>
            </w:r>
          </w:p>
          <w:p w14:paraId="0F73E46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2.一般生态空间内未纳入生态保护红线的饮用水水源保护区等各类法定保护地，其管控要求依照相关法律法规执行。</w:t>
            </w:r>
          </w:p>
          <w:p w14:paraId="3D4B3C6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3.一般生态空间内现有合法的水泥厂、矿山开发等生产性设施及生活垃圾处置等民生工程予以保留，应按照法律法规要求落实污染防治和生态保护措施，避免对生态功能造成破坏。</w:t>
            </w:r>
          </w:p>
        </w:tc>
        <w:tc>
          <w:tcPr>
            <w:tcW w:w="766" w:type="pct"/>
            <w:tcBorders>
              <w:tl2br w:val="nil"/>
              <w:tr2bl w:val="nil"/>
            </w:tcBorders>
            <w:noWrap w:val="0"/>
            <w:vAlign w:val="center"/>
          </w:tcPr>
          <w:p w14:paraId="1E16BE81">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本项目位于福建省福州市闽侯县青口镇（青口汽车城内）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不涉及优先保护单元中的一般生态空间</w:t>
            </w:r>
          </w:p>
        </w:tc>
        <w:tc>
          <w:tcPr>
            <w:tcW w:w="280" w:type="pct"/>
            <w:tcBorders>
              <w:tl2br w:val="nil"/>
              <w:tr2bl w:val="nil"/>
            </w:tcBorders>
            <w:noWrap w:val="0"/>
            <w:vAlign w:val="center"/>
          </w:tcPr>
          <w:p w14:paraId="2AF9FC3C">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5C1C2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vMerge w:val="continue"/>
            <w:tcBorders>
              <w:tl2br w:val="nil"/>
              <w:tr2bl w:val="nil"/>
            </w:tcBorders>
            <w:noWrap w:val="0"/>
            <w:vAlign w:val="center"/>
          </w:tcPr>
          <w:p w14:paraId="366F53BE">
            <w:pPr>
              <w:pStyle w:val="1358"/>
              <w:rPr>
                <w:rFonts w:hint="eastAsia" w:ascii="Times New Roman" w:hAnsi="Times New Roman" w:eastAsia="宋体" w:cs="Times New Roman"/>
                <w:color w:val="auto"/>
                <w:highlight w:val="none"/>
                <w:lang w:val="en-US" w:eastAsia="zh-CN"/>
              </w:rPr>
            </w:pPr>
          </w:p>
        </w:tc>
        <w:tc>
          <w:tcPr>
            <w:tcW w:w="196" w:type="pct"/>
            <w:vMerge w:val="continue"/>
            <w:tcBorders>
              <w:tl2br w:val="nil"/>
              <w:tr2bl w:val="nil"/>
            </w:tcBorders>
            <w:noWrap w:val="0"/>
            <w:vAlign w:val="center"/>
          </w:tcPr>
          <w:p w14:paraId="7434A8AE">
            <w:pPr>
              <w:pStyle w:val="1358"/>
              <w:rPr>
                <w:rFonts w:hint="eastAsia" w:ascii="Times New Roman" w:hAnsi="Times New Roman" w:eastAsia="宋体" w:cs="Times New Roman"/>
                <w:color w:val="auto"/>
                <w:highlight w:val="none"/>
                <w:lang w:val="en-US" w:eastAsia="zh-CN"/>
              </w:rPr>
            </w:pPr>
          </w:p>
        </w:tc>
        <w:tc>
          <w:tcPr>
            <w:tcW w:w="3504" w:type="pct"/>
            <w:tcBorders>
              <w:tl2br w:val="nil"/>
              <w:tr2bl w:val="nil"/>
            </w:tcBorders>
            <w:noWrap w:val="0"/>
            <w:vAlign w:val="center"/>
          </w:tcPr>
          <w:p w14:paraId="5CCF6907">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三、其它要求</w:t>
            </w:r>
          </w:p>
          <w:p w14:paraId="7FA08D1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1.福州市石化中上游项目重点在福州江阴港城经济区、可门港经济区化工新材料产业园布局。</w:t>
            </w:r>
          </w:p>
          <w:p w14:paraId="195DA0F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2.禁止在闽江马尾罗星塔以上流域范围新、扩建制革项目，严控新（扩）建植物制浆、印染、合成革及人造革、电镀项目。</w:t>
            </w:r>
          </w:p>
          <w:p w14:paraId="2D547CB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3.禁止在通风廊道和主导风向的上风向布局大气重污染企业，推进建成区大气重污染企业搬迁或升级改造、环境风险企业搬迁或关闭退出。</w:t>
            </w:r>
          </w:p>
          <w:p w14:paraId="29D44A6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4.禁止新、改、扩建生产高VOCs含量有机溶剂型涂料、油墨和胶黏剂的项目。</w:t>
            </w:r>
          </w:p>
          <w:p w14:paraId="6D6A857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5.持续加强闽清等地建陶产业的环境综合治理，充分衔接国土空间规划和生态环境分区管控，并对照产业政策、城市总体发展规划等要求，进一步明确发展定位，优化产业布局和规模。</w:t>
            </w:r>
          </w:p>
          <w:p w14:paraId="271EDE1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6.新建、扩建的涉及重点重金属污染物</w:t>
            </w:r>
            <w:r>
              <w:rPr>
                <w:rFonts w:hint="eastAsia" w:ascii="Times New Roman" w:hAnsi="Times New Roman" w:eastAsia="宋体" w:cs="Times New Roman"/>
                <w:color w:val="auto"/>
                <w:highlight w:val="none"/>
                <w:vertAlign w:val="superscript"/>
                <w:lang w:val="en-US" w:eastAsia="zh-CN"/>
              </w:rPr>
              <w:t>［1］</w:t>
            </w:r>
            <w:r>
              <w:rPr>
                <w:rFonts w:hint="eastAsia" w:ascii="Times New Roman" w:hAnsi="Times New Roman" w:eastAsia="宋体" w:cs="Times New Roman"/>
                <w:color w:val="auto"/>
                <w:highlight w:val="none"/>
                <w:lang w:val="en-US" w:eastAsia="zh-CN"/>
              </w:rPr>
              <w:t>的有色金属冶炼、电镀、制革、铅蓄电池制造企业应优先选择布设在依法合规设立并经规划环评、环境基础设施和环境风险防范措施齐全的产业园区。禁止低端落后产能向闽江中上游地区转移。禁止新建用汞的电石法（聚）氯乙烯生产工艺。加快推进专业电镀企业入园，到2025年底专业电镀企业入园率达到90%以上。</w:t>
            </w:r>
          </w:p>
          <w:p w14:paraId="75E4E9A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7.禁止在流域上游新建、扩建重污染企业和项目。</w:t>
            </w:r>
          </w:p>
          <w:p w14:paraId="63C5120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8.重要敏感水体及富营养化湖库生态缓冲带除相关政府部门批准的科学研究活动外，禁止其它可能对保护区构成危害或不良影响的大规模生产、建设活动。</w:t>
            </w:r>
          </w:p>
          <w:p w14:paraId="46DA5D7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9.新、改、扩建煤电、钢铁、建材、石化、化工等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两高</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项目，严格落实国家、省、市产业规划、产业政策、</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三线一单</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、规划环评，以及产能置换、煤炭消费减量替代、区域污染削减等相关要求。</w:t>
            </w:r>
          </w:p>
          <w:p w14:paraId="26289E3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10.单元内涉及永久基本农田的，应按照《福建省基本农田保护条例》（2010年修正本）、《国土资源部关于全面实行永久基本农田特殊保护的通知》（国土资规〔2018〕1号）、</w:t>
            </w:r>
            <w:r>
              <w:rPr>
                <w:rFonts w:hint="eastAsia" w:cs="Times New Roman"/>
                <w:color w:val="auto"/>
                <w:highlight w:val="none"/>
                <w:lang w:val="en-US" w:eastAsia="zh-CN"/>
              </w:rPr>
              <w:t>《中共中央 国务院</w:t>
            </w:r>
            <w:r>
              <w:rPr>
                <w:rFonts w:hint="eastAsia" w:ascii="Times New Roman" w:hAnsi="Times New Roman" w:eastAsia="宋体" w:cs="Times New Roman"/>
                <w:color w:val="auto"/>
                <w:highlight w:val="none"/>
                <w:lang w:val="en-US" w:eastAsia="zh-CN"/>
              </w:rPr>
              <w:t>关于加强耕地保护和改进占补平衡的意见》（2017年1月9日）等相关文件要求进行严格管理，一般建设项目不得占用永久基本农田，重大建设项目选址确实难以避让永久基本农田的，必须依法依规办理。严禁通过擅自调整县乡国土空间规划，规避占用永久基本农田的审批。禁止随意砍伐防风固沙林和农田保护林。严格按照自然资源部、农业农村部、国家林业和草原局《关于严格耕地用途管制有关问题的通知》（自然资发〔2021〕166号）要求全面落实耕地用途管制。</w:t>
            </w:r>
          </w:p>
        </w:tc>
        <w:tc>
          <w:tcPr>
            <w:tcW w:w="766" w:type="pct"/>
            <w:tcBorders>
              <w:tl2br w:val="nil"/>
              <w:tr2bl w:val="nil"/>
            </w:tcBorders>
            <w:noWrap w:val="0"/>
            <w:vAlign w:val="center"/>
          </w:tcPr>
          <w:p w14:paraId="702A5DB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为</w:t>
            </w:r>
            <w:r>
              <w:rPr>
                <w:rFonts w:hint="eastAsia" w:ascii="Times New Roman" w:hAnsi="Times New Roman" w:eastAsia="宋体" w:cs="Times New Roman"/>
                <w:color w:val="auto"/>
                <w:highlight w:val="none"/>
                <w:lang w:val="en-US" w:eastAsia="zh-CN"/>
              </w:rPr>
              <w:t>汽车零部件及配件制造，位于福建省福州市闽侯县青口镇（青口汽车城内），不涉及福州市石化中上游项目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不属于在闽江马尾罗星塔以上流域范围新、扩建制革项目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不属于在通风廊道和主导风向的上风向布局大气重污染企业</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不属于新、改、扩建生产高VOCs含量有机溶剂型涂料、油墨和胶黏剂的项目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不属于建陶产业</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不属于新建、扩建的涉及重点重金属污染物</w:t>
            </w:r>
            <w:r>
              <w:rPr>
                <w:rFonts w:hint="eastAsia" w:ascii="Times New Roman" w:hAnsi="Times New Roman" w:eastAsia="宋体" w:cs="Times New Roman"/>
                <w:color w:val="auto"/>
                <w:highlight w:val="none"/>
                <w:vertAlign w:val="superscript"/>
                <w:lang w:val="en-US" w:eastAsia="zh-CN"/>
              </w:rPr>
              <w:t>［1］</w:t>
            </w:r>
            <w:r>
              <w:rPr>
                <w:rFonts w:hint="eastAsia" w:ascii="Times New Roman" w:hAnsi="Times New Roman" w:eastAsia="宋体" w:cs="Times New Roman"/>
                <w:color w:val="auto"/>
                <w:highlight w:val="none"/>
                <w:lang w:val="en-US" w:eastAsia="zh-CN"/>
              </w:rPr>
              <w:t>的有色金属冶炼、电镀、制革、铅蓄电池制造企业</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不属于在流域上游新建、扩建重污染企业和项目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不涉及其它可能对保护区构成危害或不良影响的大规模生产、建设活动</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不属于新、改、扩建煤电、钢铁、建材、石化、化工等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两高</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不涉及永久基本农田。</w:t>
            </w:r>
          </w:p>
        </w:tc>
        <w:tc>
          <w:tcPr>
            <w:tcW w:w="280" w:type="pct"/>
            <w:tcBorders>
              <w:tl2br w:val="nil"/>
              <w:tr2bl w:val="nil"/>
            </w:tcBorders>
            <w:noWrap w:val="0"/>
            <w:vAlign w:val="center"/>
          </w:tcPr>
          <w:p w14:paraId="5CDCCC27">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10F2D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vMerge w:val="continue"/>
            <w:tcBorders>
              <w:tl2br w:val="nil"/>
              <w:tr2bl w:val="nil"/>
            </w:tcBorders>
            <w:noWrap w:val="0"/>
            <w:vAlign w:val="center"/>
          </w:tcPr>
          <w:p w14:paraId="56415791">
            <w:pPr>
              <w:pStyle w:val="1358"/>
              <w:rPr>
                <w:rFonts w:hint="eastAsia" w:ascii="Times New Roman" w:hAnsi="Times New Roman" w:eastAsia="宋体" w:cs="Times New Roman"/>
                <w:color w:val="auto"/>
                <w:highlight w:val="none"/>
                <w:lang w:val="en-US" w:eastAsia="zh-CN"/>
              </w:rPr>
            </w:pPr>
          </w:p>
        </w:tc>
        <w:tc>
          <w:tcPr>
            <w:tcW w:w="196" w:type="pct"/>
            <w:tcBorders>
              <w:tl2br w:val="nil"/>
              <w:tr2bl w:val="nil"/>
            </w:tcBorders>
            <w:noWrap w:val="0"/>
            <w:vAlign w:val="center"/>
          </w:tcPr>
          <w:p w14:paraId="6D93866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污染物排放管控</w:t>
            </w:r>
          </w:p>
        </w:tc>
        <w:tc>
          <w:tcPr>
            <w:tcW w:w="3504" w:type="pct"/>
            <w:tcBorders>
              <w:tl2br w:val="nil"/>
              <w:tr2bl w:val="nil"/>
            </w:tcBorders>
            <w:noWrap w:val="0"/>
            <w:vAlign w:val="center"/>
          </w:tcPr>
          <w:p w14:paraId="377EF3B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1.工业类新（改、扩）建项目新增主要污染物（水污染物化学需氧量、氨氮和大气污染物二氧化硫、氮氧化物）排放总量指标应符合区域环境质量和总量控制要求，立足于通过</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以新带老</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、削减存量，努力实现区域、企业自身总量平衡。总量指标来源、审核和监督管理按照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榕环保综〔2017〕90号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等相关文件执行。</w:t>
            </w:r>
          </w:p>
          <w:p w14:paraId="2FD3640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2.新、改、扩建涉VOCs排放项目污染物排放量应满足《福州市</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十四五</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空气质量持续改善计划》（榕环保综〔2023〕40号），应从源头加强控制，使用低（无）VOCs含量的原辅材料。</w:t>
            </w:r>
          </w:p>
          <w:p w14:paraId="76F25EF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严格控制新建、改建、扩建钢铁、水泥、平板玻璃、有色金属冶炼、化工等工业项目。新改扩建钢铁、火电项目应执行超低排放限值，有色项目应当执行大气污染物特别排放限值。重点控制区新建化工、石化应当执行大气污染物特别排放限值。</w:t>
            </w:r>
          </w:p>
          <w:p w14:paraId="5BF139A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4.氟化工、印染、电镀等行业企业实行水污染物特别排放限值。</w:t>
            </w:r>
          </w:p>
          <w:p w14:paraId="365DE8C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5.新、改、扩建重点行业</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建设项目要遵循重点重金属污染物排放</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等量替代</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原则，总量来源原则上应是同一重点行业内的削减量，当同一重点行业无法满足时可从其他重点行业调剂。</w:t>
            </w:r>
          </w:p>
          <w:p w14:paraId="7F8DE93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6.每小时35（含）—65蒸吨燃煤锅炉和位于县级及以上城市建成区内保留的燃煤、燃油、燃生物质锅炉，原则上2024年底前必须全面实现超低排放。</w:t>
            </w:r>
          </w:p>
          <w:p w14:paraId="5E9BB68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7.水泥行业新改扩建项目严格对照超低排放、能效标杆水平建设实施；现有项目超低排放改造应按文件（闽环规〔2023〕2号）的时限要求分步推进，2025年底前全面完成</w:t>
            </w:r>
            <w:r>
              <w:rPr>
                <w:rFonts w:hint="eastAsia" w:ascii="Times New Roman" w:hAnsi="Times New Roman" w:eastAsia="宋体" w:cs="Times New Roman"/>
                <w:color w:val="auto"/>
                <w:highlight w:val="none"/>
                <w:vertAlign w:val="superscript"/>
                <w:lang w:val="en-US" w:eastAsia="zh-CN"/>
              </w:rPr>
              <w:t>［3］［4］</w:t>
            </w:r>
            <w:r>
              <w:rPr>
                <w:rFonts w:hint="eastAsia" w:ascii="Times New Roman" w:hAnsi="Times New Roman" w:eastAsia="宋体" w:cs="Times New Roman"/>
                <w:color w:val="auto"/>
                <w:highlight w:val="none"/>
                <w:lang w:val="en-US" w:eastAsia="zh-CN"/>
              </w:rPr>
              <w:t>。</w:t>
            </w:r>
          </w:p>
          <w:p w14:paraId="07B6F3E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8.化工园区新建项目实施</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禁限控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化学物质管控措施，项目在开展环境影响评价时应严格落实相关要求，严格涉新污染物建设项目源头防控和准入管理。以印染、皮革、农药、医药、涂料等行业为重点，推进有毒有害化学物质替代。严格落实废药品、废农药以及抗生素生产过程中产生的废母液、废反应基和废培养基等废物的收集利用处置要求。</w:t>
            </w:r>
          </w:p>
        </w:tc>
        <w:tc>
          <w:tcPr>
            <w:tcW w:w="766" w:type="pct"/>
            <w:tcBorders>
              <w:tl2br w:val="nil"/>
              <w:tr2bl w:val="nil"/>
            </w:tcBorders>
            <w:noWrap w:val="0"/>
            <w:vAlign w:val="center"/>
          </w:tcPr>
          <w:p w14:paraId="39D21D4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为</w:t>
            </w:r>
            <w:r>
              <w:rPr>
                <w:rFonts w:hint="eastAsia" w:ascii="Times New Roman" w:hAnsi="Times New Roman" w:eastAsia="宋体" w:cs="Times New Roman"/>
                <w:color w:val="auto"/>
                <w:highlight w:val="none"/>
                <w:lang w:val="en-US" w:eastAsia="zh-CN"/>
              </w:rPr>
              <w:t>汽车零部件及配件制造，不属于新建、改建、扩建钢铁、水泥、平板玻璃、有色金属冶炼、化工等工业项目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不属于氟化工、印染、电镀等行业</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不涉及使用燃煤锅炉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不属于水泥行业。本项目位于福建省福州市闽侯县青口镇（青口汽车城内）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不属于化工园区内。</w:t>
            </w:r>
          </w:p>
        </w:tc>
        <w:tc>
          <w:tcPr>
            <w:tcW w:w="280" w:type="pct"/>
            <w:tcBorders>
              <w:tl2br w:val="nil"/>
              <w:tr2bl w:val="nil"/>
            </w:tcBorders>
            <w:noWrap w:val="0"/>
            <w:vAlign w:val="center"/>
          </w:tcPr>
          <w:p w14:paraId="56AD65A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07CE0B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2" w:type="pct"/>
            <w:vMerge w:val="continue"/>
            <w:tcBorders>
              <w:tl2br w:val="nil"/>
              <w:tr2bl w:val="nil"/>
            </w:tcBorders>
            <w:noWrap w:val="0"/>
            <w:vAlign w:val="center"/>
          </w:tcPr>
          <w:p w14:paraId="2BCAFA50">
            <w:pPr>
              <w:pStyle w:val="1358"/>
              <w:rPr>
                <w:rFonts w:hint="eastAsia" w:ascii="Times New Roman" w:hAnsi="Times New Roman" w:eastAsia="宋体" w:cs="Times New Roman"/>
                <w:color w:val="auto"/>
                <w:highlight w:val="none"/>
                <w:lang w:val="en-US" w:eastAsia="zh-CN"/>
              </w:rPr>
            </w:pPr>
          </w:p>
        </w:tc>
        <w:tc>
          <w:tcPr>
            <w:tcW w:w="196" w:type="pct"/>
            <w:tcBorders>
              <w:tl2br w:val="nil"/>
              <w:tr2bl w:val="nil"/>
            </w:tcBorders>
            <w:noWrap w:val="0"/>
            <w:vAlign w:val="center"/>
          </w:tcPr>
          <w:p w14:paraId="3A3B0D2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资源开发效率要求</w:t>
            </w:r>
          </w:p>
        </w:tc>
        <w:tc>
          <w:tcPr>
            <w:tcW w:w="3504" w:type="pct"/>
            <w:tcBorders>
              <w:tl2br w:val="nil"/>
              <w:tr2bl w:val="nil"/>
            </w:tcBorders>
            <w:noWrap w:val="0"/>
            <w:vAlign w:val="center"/>
          </w:tcPr>
          <w:p w14:paraId="76729D2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到2024年底，全市范围内每小时10蒸吨及以下燃煤锅炉全面淘汰；到2025年底，全市范围内每小时35蒸吨以下燃煤锅炉通过集中供热、清洁能源替代、深度治理等方式全面实现转型、升级、退出，县级及以上城市建成区在用锅炉（燃煤、燃油、燃生物质）全面改用电能等清洁能源或治理达到超低排放水平；禁止新建每小时35蒸吨以下燃煤锅炉，以及每小时10蒸吨及以下燃生物质和其他使用高污染燃料的锅炉。集中供热管网覆盖范围内禁止新建、扩建分散燃煤、燃油等供热锅炉。</w:t>
            </w:r>
          </w:p>
          <w:p w14:paraId="4369EB1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2.按照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提气、转电、控煤</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的发展思路，推动陶瓷行业进一步优化用能结构，实现能源消费清洁低碳化。</w:t>
            </w:r>
          </w:p>
        </w:tc>
        <w:tc>
          <w:tcPr>
            <w:tcW w:w="766" w:type="pct"/>
            <w:tcBorders>
              <w:tl2br w:val="nil"/>
              <w:tr2bl w:val="nil"/>
            </w:tcBorders>
            <w:noWrap w:val="0"/>
            <w:vAlign w:val="center"/>
          </w:tcPr>
          <w:p w14:paraId="1A95F26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本项目为汽车零部件及配件制造，不涉及使用燃煤锅炉、不属于陶瓷行业。</w:t>
            </w:r>
          </w:p>
        </w:tc>
        <w:tc>
          <w:tcPr>
            <w:tcW w:w="280" w:type="pct"/>
            <w:tcBorders>
              <w:tl2br w:val="nil"/>
              <w:tr2bl w:val="nil"/>
            </w:tcBorders>
            <w:noWrap w:val="0"/>
            <w:vAlign w:val="center"/>
          </w:tcPr>
          <w:p w14:paraId="663CE32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bl>
    <w:p w14:paraId="2443C76D">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②与福州市陆域环境管控单元准入要求的符合性分析</w:t>
      </w:r>
    </w:p>
    <w:p w14:paraId="4471B97A">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表1.4-3  </w:t>
      </w:r>
      <w:r>
        <w:rPr>
          <w:rFonts w:hint="default" w:ascii="Times New Roman" w:hAnsi="Times New Roman" w:cs="Times New Roman"/>
          <w:color w:val="auto"/>
          <w:highlight w:val="none"/>
          <w:lang w:val="en-GB" w:eastAsia="zh-CN"/>
        </w:rPr>
        <w:t>与</w:t>
      </w:r>
      <w:r>
        <w:rPr>
          <w:rFonts w:hint="default" w:ascii="Times New Roman" w:hAnsi="Times New Roman" w:cs="Times New Roman"/>
          <w:color w:val="auto"/>
          <w:highlight w:val="none"/>
          <w:lang w:val="en-US" w:eastAsia="zh-CN"/>
        </w:rPr>
        <w:t>陆域环境管控单元准入要求</w:t>
      </w:r>
      <w:r>
        <w:rPr>
          <w:rFonts w:hint="default" w:ascii="Times New Roman" w:hAnsi="Times New Roman" w:cs="Times New Roman"/>
          <w:color w:val="auto"/>
          <w:highlight w:val="none"/>
          <w:lang w:val="en-GB" w:eastAsia="zh-CN"/>
        </w:rPr>
        <w:t>（福建闽侯青口汽车工业园区生态环境准入</w:t>
      </w:r>
      <w:r>
        <w:rPr>
          <w:rFonts w:hint="default" w:ascii="Times New Roman" w:hAnsi="Times New Roman" w:cs="Times New Roman"/>
          <w:color w:val="auto"/>
          <w:highlight w:val="none"/>
          <w:lang w:val="en-US" w:eastAsia="zh-CN"/>
        </w:rPr>
        <w:t>清单</w:t>
      </w:r>
      <w:r>
        <w:rPr>
          <w:rFonts w:hint="default" w:ascii="Times New Roman" w:hAnsi="Times New Roman" w:cs="Times New Roman"/>
          <w:color w:val="auto"/>
          <w:highlight w:val="none"/>
          <w:lang w:val="en-GB" w:eastAsia="zh-CN"/>
        </w:rPr>
        <w:t>）的符合性分析</w:t>
      </w:r>
    </w:p>
    <w:tbl>
      <w:tblPr>
        <w:tblStyle w:val="8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158"/>
        <w:gridCol w:w="1141"/>
        <w:gridCol w:w="904"/>
        <w:gridCol w:w="790"/>
        <w:gridCol w:w="5268"/>
        <w:gridCol w:w="3903"/>
        <w:gridCol w:w="777"/>
      </w:tblGrid>
      <w:tr w14:paraId="3F6DF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15" w:type="pct"/>
            <w:tcBorders>
              <w:tl2br w:val="nil"/>
              <w:tr2bl w:val="nil"/>
            </w:tcBorders>
            <w:noWrap w:val="0"/>
            <w:vAlign w:val="center"/>
          </w:tcPr>
          <w:p w14:paraId="0181A20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环境管控单元编码</w:t>
            </w:r>
          </w:p>
        </w:tc>
        <w:tc>
          <w:tcPr>
            <w:tcW w:w="409" w:type="pct"/>
            <w:tcBorders>
              <w:tl2br w:val="nil"/>
              <w:tr2bl w:val="nil"/>
            </w:tcBorders>
            <w:noWrap w:val="0"/>
            <w:vAlign w:val="center"/>
          </w:tcPr>
          <w:p w14:paraId="7E7ED97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环境管控单位名称</w:t>
            </w:r>
          </w:p>
        </w:tc>
        <w:tc>
          <w:tcPr>
            <w:tcW w:w="324" w:type="pct"/>
            <w:tcBorders>
              <w:tl2br w:val="nil"/>
              <w:tr2bl w:val="nil"/>
            </w:tcBorders>
            <w:noWrap w:val="0"/>
            <w:vAlign w:val="center"/>
          </w:tcPr>
          <w:p w14:paraId="1F77BCE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管控单元类别</w:t>
            </w:r>
          </w:p>
        </w:tc>
        <w:tc>
          <w:tcPr>
            <w:tcW w:w="2172" w:type="pct"/>
            <w:gridSpan w:val="2"/>
            <w:tcBorders>
              <w:tl2br w:val="nil"/>
              <w:tr2bl w:val="nil"/>
            </w:tcBorders>
            <w:noWrap w:val="0"/>
            <w:vAlign w:val="center"/>
          </w:tcPr>
          <w:p w14:paraId="2A69010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管控要求</w:t>
            </w:r>
          </w:p>
        </w:tc>
        <w:tc>
          <w:tcPr>
            <w:tcW w:w="1399" w:type="pct"/>
            <w:tcBorders>
              <w:tl2br w:val="nil"/>
              <w:tr2bl w:val="nil"/>
            </w:tcBorders>
            <w:noWrap w:val="0"/>
            <w:vAlign w:val="center"/>
          </w:tcPr>
          <w:p w14:paraId="4EB5DF5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本项目情况</w:t>
            </w:r>
          </w:p>
        </w:tc>
        <w:tc>
          <w:tcPr>
            <w:tcW w:w="278" w:type="pct"/>
            <w:tcBorders>
              <w:tl2br w:val="nil"/>
              <w:tr2bl w:val="nil"/>
            </w:tcBorders>
            <w:noWrap w:val="0"/>
            <w:vAlign w:val="center"/>
          </w:tcPr>
          <w:p w14:paraId="0FEA35D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符合性</w:t>
            </w:r>
          </w:p>
        </w:tc>
      </w:tr>
      <w:tr w14:paraId="0FBF1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15" w:type="pct"/>
            <w:vMerge w:val="restart"/>
            <w:tcBorders>
              <w:tl2br w:val="nil"/>
              <w:tr2bl w:val="nil"/>
            </w:tcBorders>
            <w:noWrap w:val="0"/>
            <w:vAlign w:val="center"/>
          </w:tcPr>
          <w:p w14:paraId="212F80F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ZH35012120001</w:t>
            </w:r>
          </w:p>
        </w:tc>
        <w:tc>
          <w:tcPr>
            <w:tcW w:w="409" w:type="pct"/>
            <w:vMerge w:val="restart"/>
            <w:tcBorders>
              <w:tl2br w:val="nil"/>
              <w:tr2bl w:val="nil"/>
            </w:tcBorders>
            <w:noWrap w:val="0"/>
            <w:vAlign w:val="center"/>
          </w:tcPr>
          <w:p w14:paraId="628F136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福建闽侯青口汽车工业园区</w:t>
            </w:r>
          </w:p>
        </w:tc>
        <w:tc>
          <w:tcPr>
            <w:tcW w:w="324" w:type="pct"/>
            <w:vMerge w:val="restart"/>
            <w:tcBorders>
              <w:tl2br w:val="nil"/>
              <w:tr2bl w:val="nil"/>
            </w:tcBorders>
            <w:noWrap w:val="0"/>
            <w:vAlign w:val="center"/>
          </w:tcPr>
          <w:p w14:paraId="7AE478C0">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重点管控单元</w:t>
            </w:r>
          </w:p>
        </w:tc>
        <w:tc>
          <w:tcPr>
            <w:tcW w:w="283" w:type="pct"/>
            <w:tcBorders>
              <w:tl2br w:val="nil"/>
              <w:tr2bl w:val="nil"/>
            </w:tcBorders>
            <w:noWrap w:val="0"/>
            <w:vAlign w:val="center"/>
          </w:tcPr>
          <w:p w14:paraId="7C695B5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空间布局约束</w:t>
            </w:r>
          </w:p>
        </w:tc>
        <w:tc>
          <w:tcPr>
            <w:tcW w:w="1889" w:type="pct"/>
            <w:tcBorders>
              <w:tl2br w:val="nil"/>
              <w:tr2bl w:val="nil"/>
            </w:tcBorders>
            <w:noWrap w:val="0"/>
            <w:vAlign w:val="center"/>
          </w:tcPr>
          <w:p w14:paraId="27DE059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1、禁止在园区及其上游汇水区域内新建畜禽养殖项目。</w:t>
            </w:r>
          </w:p>
          <w:p w14:paraId="7A9D847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2、现有电镀企业不得进行改、扩建，限制新建电镀企业。</w:t>
            </w:r>
          </w:p>
          <w:p w14:paraId="71A07DC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3、严格限制新建、扩建食品、轻工、石材、建材等与园区规划产业不符的项目。</w:t>
            </w:r>
          </w:p>
          <w:p w14:paraId="48EDE07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4、居住用地周边禁止布局潜在废气扰民的建设项目。</w:t>
            </w:r>
          </w:p>
        </w:tc>
        <w:tc>
          <w:tcPr>
            <w:tcW w:w="1399" w:type="pct"/>
            <w:tcBorders>
              <w:tl2br w:val="nil"/>
              <w:tr2bl w:val="nil"/>
            </w:tcBorders>
            <w:noWrap w:val="0"/>
            <w:vAlign w:val="center"/>
          </w:tcPr>
          <w:p w14:paraId="0539499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1.本项目不属于畜禽养殖项目，且不位于园区及其上游汇水区域内；</w:t>
            </w:r>
          </w:p>
          <w:p w14:paraId="263964C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2.本项目不属于电镀企业；</w:t>
            </w:r>
          </w:p>
          <w:p w14:paraId="5AAAC44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3.本项目为汽车零部件及配件制造，不属于食品、轻工、石材、建材等项目；不属于园区规划产业限制准入的产业；</w:t>
            </w:r>
          </w:p>
          <w:p w14:paraId="7E808B0C">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4.本项目所在地为工业用地，不会造成废气扰民的影响。</w:t>
            </w:r>
          </w:p>
        </w:tc>
        <w:tc>
          <w:tcPr>
            <w:tcW w:w="278" w:type="pct"/>
            <w:tcBorders>
              <w:tl2br w:val="nil"/>
              <w:tr2bl w:val="nil"/>
            </w:tcBorders>
            <w:noWrap w:val="0"/>
            <w:vAlign w:val="center"/>
          </w:tcPr>
          <w:p w14:paraId="2EEFE11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51720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15" w:type="pct"/>
            <w:vMerge w:val="continue"/>
            <w:tcBorders>
              <w:tl2br w:val="nil"/>
              <w:tr2bl w:val="nil"/>
            </w:tcBorders>
            <w:noWrap w:val="0"/>
            <w:vAlign w:val="center"/>
          </w:tcPr>
          <w:p w14:paraId="20C958EB">
            <w:pPr>
              <w:pStyle w:val="1358"/>
              <w:rPr>
                <w:rFonts w:hint="eastAsia" w:ascii="Times New Roman" w:hAnsi="Times New Roman" w:eastAsia="宋体" w:cs="Times New Roman"/>
                <w:color w:val="auto"/>
                <w:highlight w:val="none"/>
                <w:lang w:val="en-US" w:eastAsia="zh-CN"/>
              </w:rPr>
            </w:pPr>
          </w:p>
        </w:tc>
        <w:tc>
          <w:tcPr>
            <w:tcW w:w="409" w:type="pct"/>
            <w:vMerge w:val="continue"/>
            <w:tcBorders>
              <w:tl2br w:val="nil"/>
              <w:tr2bl w:val="nil"/>
            </w:tcBorders>
            <w:noWrap w:val="0"/>
            <w:vAlign w:val="center"/>
          </w:tcPr>
          <w:p w14:paraId="180E6027">
            <w:pPr>
              <w:pStyle w:val="1358"/>
              <w:rPr>
                <w:rFonts w:hint="eastAsia" w:ascii="Times New Roman" w:hAnsi="Times New Roman" w:eastAsia="宋体" w:cs="Times New Roman"/>
                <w:color w:val="auto"/>
                <w:highlight w:val="none"/>
                <w:lang w:val="en-US" w:eastAsia="zh-CN"/>
              </w:rPr>
            </w:pPr>
          </w:p>
        </w:tc>
        <w:tc>
          <w:tcPr>
            <w:tcW w:w="324" w:type="pct"/>
            <w:vMerge w:val="continue"/>
            <w:tcBorders>
              <w:tl2br w:val="nil"/>
              <w:tr2bl w:val="nil"/>
            </w:tcBorders>
            <w:noWrap w:val="0"/>
            <w:vAlign w:val="center"/>
          </w:tcPr>
          <w:p w14:paraId="3536430F">
            <w:pPr>
              <w:pStyle w:val="1358"/>
              <w:rPr>
                <w:rFonts w:hint="eastAsia" w:ascii="Times New Roman" w:hAnsi="Times New Roman" w:eastAsia="宋体" w:cs="Times New Roman"/>
                <w:color w:val="auto"/>
                <w:highlight w:val="none"/>
                <w:lang w:val="en-US" w:eastAsia="zh-CN"/>
              </w:rPr>
            </w:pPr>
          </w:p>
        </w:tc>
        <w:tc>
          <w:tcPr>
            <w:tcW w:w="283" w:type="pct"/>
            <w:tcBorders>
              <w:tl2br w:val="nil"/>
              <w:tr2bl w:val="nil"/>
            </w:tcBorders>
            <w:noWrap w:val="0"/>
            <w:vAlign w:val="center"/>
          </w:tcPr>
          <w:p w14:paraId="12126F30">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污染物排放管控</w:t>
            </w:r>
          </w:p>
        </w:tc>
        <w:tc>
          <w:tcPr>
            <w:tcW w:w="1889" w:type="pct"/>
            <w:tcBorders>
              <w:tl2br w:val="nil"/>
              <w:tr2bl w:val="nil"/>
            </w:tcBorders>
            <w:noWrap w:val="0"/>
            <w:vAlign w:val="center"/>
          </w:tcPr>
          <w:p w14:paraId="5FCE38C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1、完善建设污水收集管网，做到雨污分流，保证园区内所有工业废水、生活污水纳入污水处理厂处理并达标排放。</w:t>
            </w:r>
          </w:p>
          <w:p w14:paraId="2916285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2、根据区域发展需要择机建设电镀中心，实现污染物集中控制。</w:t>
            </w:r>
          </w:p>
          <w:p w14:paraId="7229546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3、落实新增VOCs排放总量控制要求。</w:t>
            </w:r>
          </w:p>
        </w:tc>
        <w:tc>
          <w:tcPr>
            <w:tcW w:w="1399" w:type="pct"/>
            <w:tcBorders>
              <w:tl2br w:val="nil"/>
              <w:tr2bl w:val="nil"/>
            </w:tcBorders>
            <w:noWrap w:val="0"/>
            <w:vAlign w:val="center"/>
          </w:tcPr>
          <w:p w14:paraId="02DC279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1.本项目生活污水依托租赁方已建化粪池处理后纳入市政污水管网，进入青口汽车工业开发区污水处理厂进一步处理；热水炉排水和纯水制备系统浓水</w:t>
            </w:r>
            <w:r>
              <w:rPr>
                <w:rFonts w:hint="eastAsia" w:cs="Times New Roman"/>
                <w:color w:val="auto"/>
                <w:highlight w:val="none"/>
                <w:lang w:val="en-US" w:eastAsia="zh-CN"/>
              </w:rPr>
              <w:t>较为清净</w:t>
            </w:r>
            <w:r>
              <w:rPr>
                <w:rFonts w:hint="eastAsia" w:ascii="Times New Roman" w:hAnsi="Times New Roman" w:eastAsia="宋体" w:cs="Times New Roman"/>
                <w:color w:val="auto"/>
                <w:highlight w:val="none"/>
                <w:lang w:val="en-US" w:eastAsia="zh-CN"/>
              </w:rPr>
              <w:t>，可直接排至厂区总排口；冷却水循环使用不外排。</w:t>
            </w:r>
          </w:p>
          <w:p w14:paraId="522CE66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2.本项目不涉及电镀。</w:t>
            </w:r>
          </w:p>
          <w:p w14:paraId="7BFF6DE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3.项目涉</w:t>
            </w:r>
            <w:r>
              <w:rPr>
                <w:rFonts w:hint="default" w:ascii="Times New Roman" w:hAnsi="Times New Roman" w:eastAsia="宋体" w:cs="Times New Roman"/>
                <w:color w:val="auto"/>
                <w:highlight w:val="none"/>
                <w:lang w:val="en-US" w:eastAsia="zh-CN"/>
              </w:rPr>
              <w:t>VOCs</w:t>
            </w:r>
            <w:r>
              <w:rPr>
                <w:rFonts w:hint="eastAsia" w:ascii="Times New Roman" w:hAnsi="Times New Roman" w:eastAsia="宋体" w:cs="Times New Roman"/>
                <w:color w:val="auto"/>
                <w:highlight w:val="none"/>
                <w:lang w:val="en-US" w:eastAsia="zh-CN"/>
              </w:rPr>
              <w:t>排放，建设单位将严格按照文件规定要求对</w:t>
            </w:r>
            <w:r>
              <w:rPr>
                <w:rFonts w:hint="default" w:ascii="Times New Roman" w:hAnsi="Times New Roman" w:eastAsia="宋体" w:cs="Times New Roman"/>
                <w:color w:val="auto"/>
                <w:highlight w:val="none"/>
                <w:lang w:val="en-US" w:eastAsia="zh-CN"/>
              </w:rPr>
              <w:t>VOCs</w:t>
            </w:r>
            <w:r>
              <w:rPr>
                <w:rFonts w:hint="eastAsia" w:ascii="Times New Roman" w:hAnsi="Times New Roman" w:eastAsia="宋体" w:cs="Times New Roman"/>
                <w:color w:val="auto"/>
                <w:highlight w:val="none"/>
                <w:lang w:val="en-US" w:eastAsia="zh-CN"/>
              </w:rPr>
              <w:t>排放实行倍量替代。</w:t>
            </w:r>
          </w:p>
        </w:tc>
        <w:tc>
          <w:tcPr>
            <w:tcW w:w="278" w:type="pct"/>
            <w:tcBorders>
              <w:tl2br w:val="nil"/>
              <w:tr2bl w:val="nil"/>
            </w:tcBorders>
            <w:noWrap w:val="0"/>
            <w:vAlign w:val="center"/>
          </w:tcPr>
          <w:p w14:paraId="56BD769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71AC4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15" w:type="pct"/>
            <w:vMerge w:val="continue"/>
            <w:tcBorders>
              <w:tl2br w:val="nil"/>
              <w:tr2bl w:val="nil"/>
            </w:tcBorders>
            <w:noWrap w:val="0"/>
            <w:vAlign w:val="center"/>
          </w:tcPr>
          <w:p w14:paraId="08EE7618">
            <w:pPr>
              <w:pStyle w:val="1358"/>
              <w:rPr>
                <w:rFonts w:hint="eastAsia" w:ascii="Times New Roman" w:hAnsi="Times New Roman" w:eastAsia="宋体" w:cs="Times New Roman"/>
                <w:color w:val="auto"/>
                <w:highlight w:val="none"/>
                <w:lang w:val="en-US" w:eastAsia="zh-CN"/>
              </w:rPr>
            </w:pPr>
          </w:p>
        </w:tc>
        <w:tc>
          <w:tcPr>
            <w:tcW w:w="409" w:type="pct"/>
            <w:vMerge w:val="continue"/>
            <w:tcBorders>
              <w:tl2br w:val="nil"/>
              <w:tr2bl w:val="nil"/>
            </w:tcBorders>
            <w:noWrap w:val="0"/>
            <w:vAlign w:val="center"/>
          </w:tcPr>
          <w:p w14:paraId="631BA520">
            <w:pPr>
              <w:pStyle w:val="1358"/>
              <w:rPr>
                <w:rFonts w:hint="eastAsia" w:ascii="Times New Roman" w:hAnsi="Times New Roman" w:eastAsia="宋体" w:cs="Times New Roman"/>
                <w:color w:val="auto"/>
                <w:highlight w:val="none"/>
                <w:lang w:val="en-US" w:eastAsia="zh-CN"/>
              </w:rPr>
            </w:pPr>
          </w:p>
        </w:tc>
        <w:tc>
          <w:tcPr>
            <w:tcW w:w="324" w:type="pct"/>
            <w:vMerge w:val="continue"/>
            <w:tcBorders>
              <w:tl2br w:val="nil"/>
              <w:tr2bl w:val="nil"/>
            </w:tcBorders>
            <w:noWrap w:val="0"/>
            <w:vAlign w:val="center"/>
          </w:tcPr>
          <w:p w14:paraId="74652D6E">
            <w:pPr>
              <w:pStyle w:val="1358"/>
              <w:rPr>
                <w:rFonts w:hint="eastAsia" w:ascii="Times New Roman" w:hAnsi="Times New Roman" w:eastAsia="宋体" w:cs="Times New Roman"/>
                <w:color w:val="auto"/>
                <w:highlight w:val="none"/>
                <w:lang w:val="en-US" w:eastAsia="zh-CN"/>
              </w:rPr>
            </w:pPr>
          </w:p>
        </w:tc>
        <w:tc>
          <w:tcPr>
            <w:tcW w:w="283" w:type="pct"/>
            <w:tcBorders>
              <w:tl2br w:val="nil"/>
              <w:tr2bl w:val="nil"/>
            </w:tcBorders>
            <w:noWrap w:val="0"/>
            <w:vAlign w:val="center"/>
          </w:tcPr>
          <w:p w14:paraId="4B79B82E">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环境风险防控</w:t>
            </w:r>
          </w:p>
        </w:tc>
        <w:tc>
          <w:tcPr>
            <w:tcW w:w="1889" w:type="pct"/>
            <w:tcBorders>
              <w:tl2br w:val="nil"/>
              <w:tr2bl w:val="nil"/>
            </w:tcBorders>
            <w:noWrap w:val="0"/>
            <w:vAlign w:val="center"/>
          </w:tcPr>
          <w:p w14:paraId="3C6E1DA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1、建立健全环境风险防控体系，制定环境风险应急预案，建设事故应急池，成立应急组织机构，防止在处理安全生产事故过程中产生的可能严重污染水体的消防废水、废液直接排入水体。</w:t>
            </w:r>
          </w:p>
          <w:p w14:paraId="74307AA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2、应采取有效措施防止园区建设对区域地下水、土壤造成污染。</w:t>
            </w:r>
          </w:p>
        </w:tc>
        <w:tc>
          <w:tcPr>
            <w:tcW w:w="1399" w:type="pct"/>
            <w:tcBorders>
              <w:tl2br w:val="nil"/>
              <w:tr2bl w:val="nil"/>
            </w:tcBorders>
            <w:noWrap w:val="0"/>
            <w:vAlign w:val="center"/>
          </w:tcPr>
          <w:p w14:paraId="30B0AD97">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本项目环境风险较小，建设</w:t>
            </w:r>
            <w:r>
              <w:rPr>
                <w:rFonts w:hint="eastAsia" w:ascii="Times New Roman" w:hAnsi="Times New Roman" w:eastAsia="宋体" w:cs="Times New Roman"/>
                <w:color w:val="auto"/>
                <w:sz w:val="21"/>
                <w:szCs w:val="21"/>
                <w:highlight w:val="none"/>
                <w:lang w:val="en-US" w:eastAsia="zh-CN"/>
              </w:rPr>
              <w:t>单位</w:t>
            </w:r>
            <w:r>
              <w:rPr>
                <w:rFonts w:hint="default" w:ascii="Times New Roman" w:hAnsi="Times New Roman" w:eastAsia="宋体" w:cs="Times New Roman"/>
                <w:color w:val="auto"/>
                <w:sz w:val="21"/>
                <w:szCs w:val="21"/>
                <w:highlight w:val="none"/>
                <w:lang w:val="en-US" w:eastAsia="zh-CN"/>
              </w:rPr>
              <w:t>采取本评价建议的环境风险防范和减缓措施，</w:t>
            </w:r>
            <w:r>
              <w:rPr>
                <w:rFonts w:hint="eastAsia" w:ascii="Times New Roman" w:hAnsi="Times New Roman" w:eastAsia="宋体" w:cs="Times New Roman"/>
                <w:color w:val="auto"/>
                <w:sz w:val="21"/>
                <w:szCs w:val="21"/>
                <w:highlight w:val="none"/>
                <w:lang w:val="en-US" w:eastAsia="zh-CN"/>
              </w:rPr>
              <w:t>可以</w:t>
            </w:r>
            <w:r>
              <w:rPr>
                <w:rFonts w:hint="default" w:ascii="Times New Roman" w:hAnsi="Times New Roman" w:eastAsia="宋体" w:cs="Times New Roman"/>
                <w:color w:val="auto"/>
                <w:sz w:val="21"/>
                <w:szCs w:val="21"/>
                <w:highlight w:val="none"/>
                <w:lang w:val="en-US" w:eastAsia="zh-CN"/>
              </w:rPr>
              <w:t>杜绝风险事故的发生。本项目的环境风险在可接受范围内</w:t>
            </w:r>
            <w:r>
              <w:rPr>
                <w:rFonts w:hint="eastAsia" w:ascii="Times New Roman" w:hAnsi="Times New Roman" w:eastAsia="宋体" w:cs="Times New Roman"/>
                <w:color w:val="auto"/>
                <w:highlight w:val="none"/>
                <w:lang w:val="en-US" w:eastAsia="zh-CN"/>
              </w:rPr>
              <w:t>。</w:t>
            </w:r>
          </w:p>
        </w:tc>
        <w:tc>
          <w:tcPr>
            <w:tcW w:w="278" w:type="pct"/>
            <w:tcBorders>
              <w:tl2br w:val="nil"/>
              <w:tr2bl w:val="nil"/>
            </w:tcBorders>
            <w:noWrap w:val="0"/>
            <w:vAlign w:val="center"/>
          </w:tcPr>
          <w:p w14:paraId="18DC3D8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62971A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15" w:type="pct"/>
            <w:vMerge w:val="continue"/>
            <w:tcBorders>
              <w:tl2br w:val="nil"/>
              <w:tr2bl w:val="nil"/>
            </w:tcBorders>
            <w:noWrap w:val="0"/>
            <w:vAlign w:val="center"/>
          </w:tcPr>
          <w:p w14:paraId="1B6AC3E3">
            <w:pPr>
              <w:pStyle w:val="1358"/>
              <w:rPr>
                <w:rFonts w:hint="eastAsia" w:ascii="Times New Roman" w:hAnsi="Times New Roman" w:eastAsia="宋体" w:cs="Times New Roman"/>
                <w:color w:val="auto"/>
                <w:highlight w:val="none"/>
                <w:lang w:val="en-US" w:eastAsia="zh-CN"/>
              </w:rPr>
            </w:pPr>
          </w:p>
        </w:tc>
        <w:tc>
          <w:tcPr>
            <w:tcW w:w="409" w:type="pct"/>
            <w:vMerge w:val="continue"/>
            <w:tcBorders>
              <w:tl2br w:val="nil"/>
              <w:tr2bl w:val="nil"/>
            </w:tcBorders>
            <w:noWrap w:val="0"/>
            <w:vAlign w:val="center"/>
          </w:tcPr>
          <w:p w14:paraId="7BCCAD11">
            <w:pPr>
              <w:pStyle w:val="1358"/>
              <w:rPr>
                <w:rFonts w:hint="eastAsia" w:ascii="Times New Roman" w:hAnsi="Times New Roman" w:eastAsia="宋体" w:cs="Times New Roman"/>
                <w:color w:val="auto"/>
                <w:highlight w:val="none"/>
                <w:lang w:val="en-US" w:eastAsia="zh-CN"/>
              </w:rPr>
            </w:pPr>
          </w:p>
        </w:tc>
        <w:tc>
          <w:tcPr>
            <w:tcW w:w="324" w:type="pct"/>
            <w:vMerge w:val="continue"/>
            <w:tcBorders>
              <w:tl2br w:val="nil"/>
              <w:tr2bl w:val="nil"/>
            </w:tcBorders>
            <w:noWrap w:val="0"/>
            <w:vAlign w:val="center"/>
          </w:tcPr>
          <w:p w14:paraId="0336162B">
            <w:pPr>
              <w:pStyle w:val="1358"/>
              <w:rPr>
                <w:rFonts w:hint="eastAsia" w:ascii="Times New Roman" w:hAnsi="Times New Roman" w:eastAsia="宋体" w:cs="Times New Roman"/>
                <w:color w:val="auto"/>
                <w:highlight w:val="none"/>
                <w:lang w:val="en-US" w:eastAsia="zh-CN"/>
              </w:rPr>
            </w:pPr>
          </w:p>
        </w:tc>
        <w:tc>
          <w:tcPr>
            <w:tcW w:w="283" w:type="pct"/>
            <w:tcBorders>
              <w:tl2br w:val="nil"/>
              <w:tr2bl w:val="nil"/>
            </w:tcBorders>
            <w:noWrap w:val="0"/>
            <w:vAlign w:val="center"/>
          </w:tcPr>
          <w:p w14:paraId="5858377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资源开发效率要求</w:t>
            </w:r>
          </w:p>
        </w:tc>
        <w:tc>
          <w:tcPr>
            <w:tcW w:w="1889" w:type="pct"/>
            <w:tcBorders>
              <w:tl2br w:val="nil"/>
              <w:tr2bl w:val="nil"/>
            </w:tcBorders>
            <w:noWrap w:val="0"/>
            <w:vAlign w:val="center"/>
          </w:tcPr>
          <w:p w14:paraId="150EFE9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使用燃煤</w:t>
            </w:r>
            <w:r>
              <w:rPr>
                <w:rFonts w:hint="eastAsia" w:cs="Times New Roman"/>
                <w:color w:val="auto"/>
                <w:highlight w:val="none"/>
                <w:lang w:val="en-US" w:eastAsia="zh-CN"/>
              </w:rPr>
              <w:t>锅炉</w:t>
            </w:r>
            <w:r>
              <w:rPr>
                <w:rFonts w:hint="eastAsia" w:ascii="Times New Roman" w:hAnsi="Times New Roman" w:eastAsia="宋体" w:cs="Times New Roman"/>
                <w:color w:val="auto"/>
                <w:highlight w:val="none"/>
                <w:lang w:val="en-US" w:eastAsia="zh-CN"/>
              </w:rPr>
              <w:t>及燃油锅炉企业尽快进行能源改造，近期可使用生物质颗粒，远期鼓励以LNG或电能替代其他能源。</w:t>
            </w:r>
          </w:p>
        </w:tc>
        <w:tc>
          <w:tcPr>
            <w:tcW w:w="1399" w:type="pct"/>
            <w:tcBorders>
              <w:tl2br w:val="nil"/>
              <w:tr2bl w:val="nil"/>
            </w:tcBorders>
            <w:noWrap w:val="0"/>
            <w:vAlign w:val="center"/>
          </w:tcPr>
          <w:p w14:paraId="52266D77">
            <w:pPr>
              <w:pStyle w:val="1358"/>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本项目用电</w:t>
            </w:r>
            <w:r>
              <w:rPr>
                <w:rFonts w:hint="eastAsia" w:cs="Times New Roman"/>
                <w:color w:val="auto"/>
                <w:highlight w:val="none"/>
                <w:lang w:val="en-US" w:eastAsia="zh-CN"/>
              </w:rPr>
              <w:t>及天然气</w:t>
            </w:r>
            <w:r>
              <w:rPr>
                <w:rFonts w:hint="default" w:ascii="Times New Roman" w:hAnsi="Times New Roman" w:eastAsia="宋体" w:cs="Times New Roman"/>
                <w:color w:val="auto"/>
                <w:highlight w:val="none"/>
                <w:lang w:val="en-US" w:eastAsia="zh-CN"/>
              </w:rPr>
              <w:t>作为能源，未使用高污染燃料</w:t>
            </w:r>
            <w:r>
              <w:rPr>
                <w:rFonts w:hint="eastAsia" w:ascii="Times New Roman" w:hAnsi="Times New Roman" w:eastAsia="宋体" w:cs="Times New Roman"/>
                <w:color w:val="auto"/>
                <w:highlight w:val="none"/>
                <w:lang w:val="en-US" w:eastAsia="zh-CN"/>
              </w:rPr>
              <w:t>。</w:t>
            </w:r>
          </w:p>
        </w:tc>
        <w:tc>
          <w:tcPr>
            <w:tcW w:w="278" w:type="pct"/>
            <w:tcBorders>
              <w:tl2br w:val="nil"/>
              <w:tr2bl w:val="nil"/>
            </w:tcBorders>
            <w:noWrap w:val="0"/>
            <w:vAlign w:val="center"/>
          </w:tcPr>
          <w:p w14:paraId="5341E83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bl>
    <w:p w14:paraId="64159AFA">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根据上述分析，本项目与《福州市生态环境分区管控方案（2023年更新）的通知</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榕政办规</w:t>
      </w:r>
      <w:r>
        <w:rPr>
          <w:rFonts w:hint="eastAsia" w:cs="Times New Roman"/>
          <w:color w:val="auto"/>
          <w:highlight w:val="none"/>
          <w:lang w:val="en-US" w:eastAsia="zh-CN"/>
        </w:rPr>
        <w:t>〔2024〕</w:t>
      </w:r>
      <w:r>
        <w:rPr>
          <w:rFonts w:hint="eastAsia" w:ascii="Times New Roman" w:hAnsi="Times New Roman" w:eastAsia="宋体" w:cs="Times New Roman"/>
          <w:color w:val="auto"/>
          <w:highlight w:val="none"/>
          <w:lang w:val="en-US" w:eastAsia="zh-CN"/>
        </w:rPr>
        <w:t>20号）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《关于发布福州市2024年生态环境分区管控动态更新成果的通知》（榕环保综〔2025〕1号）中的相关规定是符合的。本项目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福建省生态环境分区管控综合查询报告</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详见附件</w:t>
      </w:r>
      <w:r>
        <w:rPr>
          <w:rFonts w:hint="eastAsia" w:cs="Times New Roman"/>
          <w:color w:val="auto"/>
          <w:highlight w:val="none"/>
          <w:lang w:val="en-US" w:eastAsia="zh-CN"/>
        </w:rPr>
        <w:t>12</w:t>
      </w:r>
      <w:r>
        <w:rPr>
          <w:rFonts w:hint="eastAsia" w:ascii="Times New Roman" w:hAnsi="Times New Roman" w:eastAsia="宋体" w:cs="Times New Roman"/>
          <w:color w:val="auto"/>
          <w:highlight w:val="none"/>
          <w:lang w:val="en-US" w:eastAsia="zh-CN"/>
        </w:rPr>
        <w:t>。</w:t>
      </w:r>
    </w:p>
    <w:p w14:paraId="52B13088">
      <w:pPr>
        <w:pStyle w:val="1336"/>
        <w:ind w:firstLine="480"/>
        <w:rPr>
          <w:rFonts w:hint="eastAsia" w:ascii="Times New Roman" w:hAnsi="Times New Roman" w:eastAsia="宋体" w:cs="Times New Roman"/>
          <w:color w:val="auto"/>
          <w:highlight w:val="none"/>
          <w:lang w:val="en-US" w:eastAsia="zh-CN"/>
        </w:rPr>
      </w:pPr>
    </w:p>
    <w:p w14:paraId="55436CCF">
      <w:pPr>
        <w:pStyle w:val="1336"/>
        <w:ind w:firstLine="480"/>
        <w:rPr>
          <w:rFonts w:hint="eastAsia" w:ascii="Times New Roman" w:hAnsi="Times New Roman" w:eastAsia="宋体" w:cs="Times New Roman"/>
          <w:color w:val="auto"/>
          <w:highlight w:val="none"/>
          <w:lang w:val="en-US" w:eastAsia="zh-CN"/>
        </w:rPr>
        <w:sectPr>
          <w:headerReference r:id="rId14" w:type="default"/>
          <w:pgSz w:w="16838" w:h="11906" w:orient="landscape"/>
          <w:pgMar w:top="1418" w:right="1418" w:bottom="1701" w:left="158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5F14F1CA">
      <w:pPr>
        <w:pStyle w:val="3"/>
        <w:numPr>
          <w:ilvl w:val="1"/>
          <w:numId w:val="0"/>
        </w:numPr>
        <w:bidi w:val="0"/>
        <w:rPr>
          <w:color w:val="auto"/>
          <w:highlight w:val="none"/>
        </w:rPr>
      </w:pPr>
      <w:bookmarkStart w:id="205" w:name="_Toc3116"/>
      <w:bookmarkStart w:id="206" w:name="_Toc3644"/>
      <w:r>
        <w:rPr>
          <w:color w:val="auto"/>
          <w:highlight w:val="none"/>
        </w:rPr>
        <w:t>1.5</w:t>
      </w:r>
      <w:r>
        <w:rPr>
          <w:rFonts w:hint="eastAsia"/>
          <w:color w:val="auto"/>
          <w:highlight w:val="none"/>
          <w:lang w:val="en-US" w:eastAsia="zh-CN"/>
        </w:rPr>
        <w:t xml:space="preserve"> </w:t>
      </w:r>
      <w:r>
        <w:rPr>
          <w:color w:val="auto"/>
          <w:highlight w:val="none"/>
        </w:rPr>
        <w:t>主要环境问题</w:t>
      </w:r>
      <w:bookmarkEnd w:id="205"/>
      <w:bookmarkEnd w:id="206"/>
    </w:p>
    <w:p w14:paraId="4F11B278">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本项目以工程分析为基础，把工程分析、环境影响预测与分析、环境风险评价、污染防治措施作为评价重点。项目环评过程中关注的主要环境问题有：</w:t>
      </w:r>
    </w:p>
    <w:p w14:paraId="291BA26D">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rPr>
        <w:t>生产废水共五类，其中注塑工序冷却水、本项目冰水机配套的设备冷却水与热洁炉换热器冷却水均为间接冷却水，水质基本不受污染，经降温后全部循环使用不外排，仅定期补充蒸发、风吹带来的水量损耗；锅炉排污水与纯水制备产生的反渗透浓水的水质相对清洁，不含重金属及有毒有害物质，经厂区污水总排口接入市政污水管网。生活污水化粪池处理后通过市政污水管网纳入青口汽车工业开发区污水处理厂集中处理</w:t>
      </w:r>
      <w:r>
        <w:rPr>
          <w:rFonts w:ascii="Times New Roman" w:hAnsi="Times New Roman" w:eastAsia="宋体" w:cs="Times New Roman"/>
          <w:color w:val="auto"/>
          <w:highlight w:val="none"/>
        </w:rPr>
        <w:t>；评价主要关注</w:t>
      </w:r>
      <w:r>
        <w:rPr>
          <w:rFonts w:hint="eastAsia" w:ascii="Times New Roman" w:hAnsi="Times New Roman" w:eastAsia="宋体" w:cs="Times New Roman"/>
          <w:color w:val="auto"/>
          <w:highlight w:val="none"/>
          <w:lang w:val="en-US" w:eastAsia="zh-CN"/>
        </w:rPr>
        <w:t>生活污水</w:t>
      </w:r>
      <w:r>
        <w:rPr>
          <w:rFonts w:ascii="Times New Roman" w:hAnsi="Times New Roman" w:eastAsia="宋体" w:cs="Times New Roman"/>
          <w:color w:val="auto"/>
          <w:highlight w:val="none"/>
        </w:rPr>
        <w:t>接入</w:t>
      </w:r>
      <w:r>
        <w:rPr>
          <w:rFonts w:hint="eastAsia" w:ascii="Times New Roman" w:hAnsi="Times New Roman" w:eastAsia="宋体" w:cs="Times New Roman"/>
          <w:color w:val="auto"/>
          <w:highlight w:val="none"/>
          <w:lang w:eastAsia="zh-CN"/>
        </w:rPr>
        <w:t>青口汽车工业开发区污水处理厂</w:t>
      </w:r>
      <w:r>
        <w:rPr>
          <w:rFonts w:ascii="Times New Roman" w:hAnsi="Times New Roman" w:eastAsia="宋体" w:cs="Times New Roman"/>
          <w:color w:val="auto"/>
          <w:highlight w:val="none"/>
        </w:rPr>
        <w:t>处理的可行性。</w:t>
      </w:r>
    </w:p>
    <w:p w14:paraId="641552BB">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项目营运期调漆、喷漆、流平、</w:t>
      </w:r>
      <w:r>
        <w:rPr>
          <w:rFonts w:hint="eastAsia" w:cs="Times New Roman"/>
          <w:color w:val="auto"/>
          <w:highlight w:val="none"/>
          <w:lang w:eastAsia="zh-CN"/>
        </w:rPr>
        <w:t>烘干、</w:t>
      </w:r>
      <w:r>
        <w:rPr>
          <w:rFonts w:hint="eastAsia" w:cs="Times New Roman"/>
          <w:color w:val="auto"/>
          <w:highlight w:val="none"/>
          <w:lang w:val="en-US" w:eastAsia="zh-CN"/>
        </w:rPr>
        <w:t>注塑</w:t>
      </w:r>
      <w:r>
        <w:rPr>
          <w:rFonts w:hint="eastAsia" w:ascii="Times New Roman" w:hAnsi="Times New Roman" w:eastAsia="宋体" w:cs="Times New Roman"/>
          <w:color w:val="auto"/>
          <w:highlight w:val="none"/>
        </w:rPr>
        <w:t>等过程产生的有机废气对周边大气环境的影响。</w:t>
      </w:r>
    </w:p>
    <w:p w14:paraId="42FE845A">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（3）项目设备运行噪声对周边声环境的影响。</w:t>
      </w:r>
    </w:p>
    <w:p w14:paraId="0739BD15">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cs="Times New Roman"/>
          <w:color w:val="auto"/>
          <w:highlight w:val="none"/>
          <w:lang w:eastAsia="zh-CN"/>
        </w:rPr>
        <w:t>项目</w:t>
      </w:r>
      <w:r>
        <w:rPr>
          <w:rFonts w:hint="eastAsia" w:ascii="Times New Roman" w:hAnsi="Times New Roman" w:eastAsia="宋体" w:cs="Times New Roman"/>
          <w:color w:val="auto"/>
          <w:highlight w:val="none"/>
          <w:lang w:val="en-US" w:eastAsia="zh-CN"/>
        </w:rPr>
        <w:t>应</w:t>
      </w:r>
      <w:r>
        <w:rPr>
          <w:rFonts w:ascii="Times New Roman" w:hAnsi="Times New Roman" w:eastAsia="宋体" w:cs="Times New Roman"/>
          <w:color w:val="auto"/>
          <w:highlight w:val="none"/>
        </w:rPr>
        <w:t>按规范要求</w:t>
      </w:r>
      <w:r>
        <w:rPr>
          <w:rFonts w:hint="eastAsia" w:cs="Times New Roman"/>
          <w:color w:val="auto"/>
          <w:highlight w:val="none"/>
          <w:lang w:eastAsia="zh-CN"/>
        </w:rPr>
        <w:t>在厂</w:t>
      </w:r>
      <w:r>
        <w:rPr>
          <w:rFonts w:ascii="Times New Roman" w:hAnsi="Times New Roman" w:eastAsia="宋体" w:cs="Times New Roman"/>
          <w:color w:val="auto"/>
          <w:highlight w:val="none"/>
        </w:rPr>
        <w:t>内设置相应规模的固体废物分类暂存设施，防止二次污染。本项目遵循固体废物</w:t>
      </w:r>
      <w:r>
        <w:rPr>
          <w:rFonts w:hint="eastAsia" w:cs="Times New Roman"/>
          <w:color w:val="auto"/>
          <w:highlight w:val="none"/>
          <w:lang w:eastAsia="zh-CN"/>
        </w:rPr>
        <w:t>减量化、资源化、无害化</w:t>
      </w:r>
      <w:r>
        <w:rPr>
          <w:rFonts w:ascii="Times New Roman" w:hAnsi="Times New Roman" w:eastAsia="宋体" w:cs="Times New Roman"/>
          <w:color w:val="auto"/>
          <w:highlight w:val="none"/>
        </w:rPr>
        <w:t>的要求，分别</w:t>
      </w:r>
      <w:r>
        <w:rPr>
          <w:rFonts w:hint="eastAsia" w:cs="Times New Roman"/>
          <w:color w:val="auto"/>
          <w:highlight w:val="none"/>
          <w:lang w:eastAsia="zh-CN"/>
        </w:rPr>
        <w:t>通过</w:t>
      </w:r>
      <w:r>
        <w:rPr>
          <w:rFonts w:ascii="Times New Roman" w:hAnsi="Times New Roman" w:eastAsia="宋体" w:cs="Times New Roman"/>
          <w:color w:val="auto"/>
          <w:highlight w:val="none"/>
        </w:rPr>
        <w:t>回收综合利用、委托处置等</w:t>
      </w:r>
      <w:r>
        <w:rPr>
          <w:rFonts w:hint="eastAsia" w:ascii="Times New Roman" w:hAnsi="Times New Roman" w:eastAsia="宋体" w:cs="Times New Roman"/>
          <w:color w:val="auto"/>
          <w:highlight w:val="none"/>
          <w:lang w:eastAsia="zh-CN"/>
        </w:rPr>
        <w:t>方法</w:t>
      </w:r>
      <w:r>
        <w:rPr>
          <w:rFonts w:ascii="Times New Roman" w:hAnsi="Times New Roman" w:eastAsia="宋体" w:cs="Times New Roman"/>
          <w:color w:val="auto"/>
          <w:highlight w:val="none"/>
        </w:rPr>
        <w:t>得到妥善处理。</w:t>
      </w:r>
    </w:p>
    <w:p w14:paraId="4F09B217">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（5）项目建成后废</w:t>
      </w:r>
      <w:r>
        <w:rPr>
          <w:rFonts w:hint="eastAsia" w:cs="Times New Roman"/>
          <w:color w:val="auto"/>
          <w:highlight w:val="none"/>
          <w:lang w:val="en-US" w:eastAsia="zh-CN"/>
        </w:rPr>
        <w:t>气</w:t>
      </w:r>
      <w:r>
        <w:rPr>
          <w:rFonts w:ascii="Times New Roman" w:hAnsi="Times New Roman" w:eastAsia="宋体" w:cs="Times New Roman"/>
          <w:color w:val="auto"/>
          <w:highlight w:val="none"/>
        </w:rPr>
        <w:t>、</w:t>
      </w:r>
      <w:r>
        <w:rPr>
          <w:rFonts w:hint="eastAsia" w:cs="Times New Roman"/>
          <w:color w:val="auto"/>
          <w:highlight w:val="none"/>
          <w:lang w:val="en-US" w:eastAsia="zh-CN"/>
        </w:rPr>
        <w:t>废水、</w:t>
      </w:r>
      <w:r>
        <w:rPr>
          <w:rFonts w:ascii="Times New Roman" w:hAnsi="Times New Roman" w:eastAsia="宋体" w:cs="Times New Roman"/>
          <w:color w:val="auto"/>
          <w:highlight w:val="none"/>
        </w:rPr>
        <w:t>危险废物等对区域土壤和地下水环境的影响。</w:t>
      </w:r>
    </w:p>
    <w:p w14:paraId="4DD6FF73">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（6）关注项目原辅材料的储存方式及储存量，避免物料发生泄漏对周边环境产生影响。</w:t>
      </w:r>
    </w:p>
    <w:p w14:paraId="43099B62">
      <w:pPr>
        <w:pStyle w:val="3"/>
        <w:numPr>
          <w:ilvl w:val="1"/>
          <w:numId w:val="0"/>
        </w:numPr>
        <w:bidi w:val="0"/>
        <w:rPr>
          <w:color w:val="auto"/>
          <w:highlight w:val="none"/>
        </w:rPr>
      </w:pPr>
      <w:bookmarkStart w:id="207" w:name="_Toc21863"/>
      <w:bookmarkStart w:id="208" w:name="_Toc7060"/>
      <w:r>
        <w:rPr>
          <w:color w:val="auto"/>
          <w:highlight w:val="none"/>
        </w:rPr>
        <w:t>1.6</w:t>
      </w:r>
      <w:r>
        <w:rPr>
          <w:rFonts w:hint="eastAsia"/>
          <w:color w:val="auto"/>
          <w:highlight w:val="none"/>
          <w:lang w:val="en-US" w:eastAsia="zh-CN"/>
        </w:rPr>
        <w:t xml:space="preserve"> </w:t>
      </w:r>
      <w:r>
        <w:rPr>
          <w:color w:val="auto"/>
          <w:highlight w:val="none"/>
        </w:rPr>
        <w:t>报告书主要结论</w:t>
      </w:r>
      <w:bookmarkEnd w:id="207"/>
      <w:bookmarkEnd w:id="208"/>
    </w:p>
    <w:p w14:paraId="5DFEF8DA">
      <w:pPr>
        <w:pStyle w:val="1336"/>
        <w:ind w:firstLine="480"/>
        <w:rPr>
          <w:rFonts w:ascii="Times New Roman" w:hAnsi="Times New Roman" w:eastAsia="宋体" w:cs="Times New Roman"/>
          <w:color w:val="auto"/>
          <w:highlight w:val="none"/>
        </w:rPr>
      </w:pPr>
      <w:r>
        <w:rPr>
          <w:rFonts w:hint="eastAsia" w:cs="Times New Roman"/>
          <w:color w:val="auto"/>
          <w:highlight w:val="none"/>
          <w:lang w:eastAsia="zh-CN"/>
        </w:rPr>
        <w:t>福州日源汽车零部件加工生产项目</w:t>
      </w:r>
      <w:r>
        <w:rPr>
          <w:rFonts w:ascii="Times New Roman" w:hAnsi="Times New Roman" w:eastAsia="宋体" w:cs="Times New Roman"/>
          <w:color w:val="auto"/>
          <w:highlight w:val="none"/>
        </w:rPr>
        <w:t>位于</w:t>
      </w:r>
      <w:r>
        <w:rPr>
          <w:rFonts w:hint="eastAsia" w:ascii="Times New Roman" w:hAnsi="Times New Roman" w:eastAsia="宋体" w:cs="Times New Roman"/>
          <w:color w:val="auto"/>
          <w:highlight w:val="none"/>
          <w:lang w:eastAsia="zh-CN" w:bidi="he-IL"/>
        </w:rPr>
        <w:t>福建省福州市闽侯县</w:t>
      </w:r>
      <w:r>
        <w:rPr>
          <w:rFonts w:hint="eastAsia" w:ascii="Times New Roman" w:hAnsi="Times New Roman" w:eastAsia="宋体" w:cs="Times New Roman"/>
          <w:color w:val="auto"/>
          <w:highlight w:val="none"/>
          <w:lang w:val="en-US" w:eastAsia="zh-CN" w:bidi="he-IL"/>
        </w:rPr>
        <w:t>青口镇</w:t>
      </w:r>
      <w:r>
        <w:rPr>
          <w:rFonts w:hint="eastAsia" w:ascii="Times New Roman" w:hAnsi="Times New Roman" w:eastAsia="宋体" w:cs="Times New Roman"/>
          <w:color w:val="auto"/>
          <w:highlight w:val="none"/>
          <w:lang w:eastAsia="zh-CN" w:bidi="he-IL"/>
        </w:rPr>
        <w:t>（青口汽车城内）</w:t>
      </w:r>
      <w:r>
        <w:rPr>
          <w:rFonts w:ascii="Times New Roman" w:hAnsi="Times New Roman" w:eastAsia="宋体" w:cs="Times New Roman"/>
          <w:color w:val="auto"/>
          <w:highlight w:val="none"/>
          <w:lang w:bidi="he-IL"/>
        </w:rPr>
        <w:t>，</w:t>
      </w:r>
      <w:r>
        <w:rPr>
          <w:rFonts w:ascii="Times New Roman" w:hAnsi="Times New Roman" w:eastAsia="宋体" w:cs="Times New Roman"/>
          <w:color w:val="auto"/>
          <w:highlight w:val="none"/>
        </w:rPr>
        <w:t>项目符合国家和地方产业政策；</w:t>
      </w:r>
      <w:r>
        <w:rPr>
          <w:rFonts w:hint="eastAsia" w:ascii="Times New Roman" w:hAnsi="Times New Roman" w:eastAsia="宋体" w:cs="Times New Roman"/>
          <w:color w:val="auto"/>
          <w:highlight w:val="none"/>
        </w:rPr>
        <w:t>符合闽侯县</w:t>
      </w:r>
      <w:r>
        <w:rPr>
          <w:rFonts w:hint="eastAsia" w:ascii="Times New Roman" w:hAnsi="Times New Roman" w:eastAsia="宋体" w:cs="Times New Roman"/>
          <w:color w:val="auto"/>
          <w:highlight w:val="none"/>
          <w:lang w:val="en-US" w:eastAsia="zh-CN"/>
        </w:rPr>
        <w:t>青口镇</w:t>
      </w:r>
      <w:r>
        <w:rPr>
          <w:rFonts w:hint="eastAsia" w:ascii="Times New Roman" w:hAnsi="Times New Roman" w:eastAsia="宋体" w:cs="Times New Roman"/>
          <w:color w:val="auto"/>
          <w:highlight w:val="none"/>
        </w:rPr>
        <w:t>规划，选址合理；外排污染物能达标排放，项目建设不会造成评价范围内的环境质量降级，造成的环境影响程度在区域环境可接受范围内。只要项目严格执行国家有关环保法律、环境标准，切实执行建设项目</w:t>
      </w:r>
      <w:r>
        <w:rPr>
          <w:rFonts w:hint="eastAsia" w:cs="Times New Roman"/>
          <w:color w:val="auto"/>
          <w:highlight w:val="none"/>
          <w:lang w:eastAsia="zh-CN"/>
        </w:rPr>
        <w:t>“</w:t>
      </w:r>
      <w:r>
        <w:rPr>
          <w:rFonts w:hint="eastAsia" w:ascii="Times New Roman" w:hAnsi="Times New Roman" w:eastAsia="宋体" w:cs="Times New Roman"/>
          <w:color w:val="auto"/>
          <w:highlight w:val="none"/>
        </w:rPr>
        <w:t>三同时</w:t>
      </w:r>
      <w:r>
        <w:rPr>
          <w:rFonts w:hint="eastAsia" w:cs="Times New Roman"/>
          <w:color w:val="auto"/>
          <w:highlight w:val="none"/>
          <w:lang w:eastAsia="zh-CN"/>
        </w:rPr>
        <w:t>”</w:t>
      </w:r>
      <w:r>
        <w:rPr>
          <w:rFonts w:hint="eastAsia" w:ascii="Times New Roman" w:hAnsi="Times New Roman" w:eastAsia="宋体" w:cs="Times New Roman"/>
          <w:color w:val="auto"/>
          <w:highlight w:val="none"/>
        </w:rPr>
        <w:t>制度</w:t>
      </w:r>
      <w:r>
        <w:rPr>
          <w:rFonts w:hint="eastAsia" w:ascii="Times New Roman" w:hAnsi="Times New Roman" w:eastAsia="宋体" w:cs="Times New Roman"/>
          <w:color w:val="auto"/>
          <w:highlight w:val="none"/>
          <w:lang w:eastAsia="zh-CN"/>
        </w:rPr>
        <w:t>，在</w:t>
      </w:r>
      <w:r>
        <w:rPr>
          <w:rFonts w:hint="eastAsia" w:ascii="Times New Roman" w:hAnsi="Times New Roman" w:eastAsia="宋体" w:cs="Times New Roman"/>
          <w:color w:val="auto"/>
          <w:highlight w:val="none"/>
        </w:rPr>
        <w:t>全面落实本报告书提出的各项污染防治对策的情况下，项目具有环境可行性。</w:t>
      </w:r>
    </w:p>
    <w:p w14:paraId="384063E9">
      <w:pPr>
        <w:pStyle w:val="1336"/>
        <w:ind w:firstLine="480"/>
        <w:rPr>
          <w:rFonts w:ascii="Times New Roman" w:hAnsi="Times New Roman" w:eastAsia="宋体" w:cs="Times New Roman"/>
          <w:color w:val="auto"/>
          <w:highlight w:val="none"/>
        </w:rPr>
      </w:pPr>
    </w:p>
    <w:p w14:paraId="12C9A5E4">
      <w:pPr>
        <w:pStyle w:val="25"/>
        <w:ind w:firstLine="480"/>
        <w:rPr>
          <w:rFonts w:ascii="Times New Roman" w:hAnsi="Times New Roman" w:eastAsia="宋体" w:cs="Times New Roman"/>
          <w:color w:val="auto"/>
          <w:highlight w:val="none"/>
        </w:rPr>
      </w:pPr>
    </w:p>
    <w:p w14:paraId="4469FF5E">
      <w:pPr>
        <w:pStyle w:val="2"/>
        <w:numPr>
          <w:ilvl w:val="0"/>
          <w:numId w:val="0"/>
        </w:numPr>
        <w:bidi w:val="0"/>
        <w:ind w:leftChars="0"/>
        <w:rPr>
          <w:color w:val="auto"/>
          <w:highlight w:val="none"/>
        </w:rPr>
      </w:pPr>
      <w:bookmarkStart w:id="209" w:name="_Toc32755"/>
      <w:bookmarkStart w:id="210" w:name="_Toc30512"/>
      <w:r>
        <w:rPr>
          <w:color w:val="auto"/>
          <w:highlight w:val="none"/>
        </w:rPr>
        <w:t>2</w:t>
      </w:r>
      <w:r>
        <w:rPr>
          <w:rFonts w:hint="eastAsia"/>
          <w:color w:val="auto"/>
          <w:highlight w:val="none"/>
          <w:lang w:val="en-US" w:eastAsia="zh-CN"/>
        </w:rPr>
        <w:t xml:space="preserve"> </w:t>
      </w:r>
      <w:r>
        <w:rPr>
          <w:color w:val="auto"/>
          <w:highlight w:val="none"/>
        </w:rPr>
        <w:t>总论</w:t>
      </w:r>
      <w:bookmarkEnd w:id="131"/>
      <w:bookmarkEnd w:id="132"/>
      <w:bookmarkEnd w:id="209"/>
      <w:bookmarkEnd w:id="210"/>
      <w:bookmarkStart w:id="211" w:name="_Toc239586289"/>
    </w:p>
    <w:bookmarkEnd w:id="211"/>
    <w:p w14:paraId="2D81A74C">
      <w:pPr>
        <w:pStyle w:val="3"/>
        <w:numPr>
          <w:ilvl w:val="1"/>
          <w:numId w:val="0"/>
        </w:numPr>
        <w:bidi w:val="0"/>
        <w:rPr>
          <w:color w:val="auto"/>
          <w:highlight w:val="none"/>
        </w:rPr>
      </w:pPr>
      <w:bookmarkStart w:id="212" w:name="_Toc359709189"/>
      <w:bookmarkStart w:id="213" w:name="_Toc359686412"/>
      <w:bookmarkStart w:id="214" w:name="_Toc359708653"/>
      <w:bookmarkStart w:id="215" w:name="_Toc362276128"/>
      <w:bookmarkStart w:id="216" w:name="_Toc359708278"/>
      <w:bookmarkStart w:id="217" w:name="_Toc366254960"/>
      <w:bookmarkStart w:id="218" w:name="_Toc19618"/>
      <w:bookmarkStart w:id="219" w:name="_Toc373835686"/>
      <w:bookmarkStart w:id="220" w:name="_Toc445550185"/>
      <w:bookmarkStart w:id="221" w:name="_Toc7243"/>
      <w:r>
        <w:rPr>
          <w:color w:val="auto"/>
          <w:highlight w:val="none"/>
        </w:rPr>
        <w:t>2.1</w:t>
      </w:r>
      <w:r>
        <w:rPr>
          <w:rFonts w:hint="eastAsia"/>
          <w:color w:val="auto"/>
          <w:highlight w:val="none"/>
          <w:lang w:val="en-US" w:eastAsia="zh-CN"/>
        </w:rPr>
        <w:t xml:space="preserve"> </w:t>
      </w:r>
      <w:r>
        <w:rPr>
          <w:color w:val="auto"/>
          <w:highlight w:val="none"/>
        </w:rPr>
        <w:t>编制依据</w:t>
      </w:r>
      <w:bookmarkEnd w:id="212"/>
      <w:bookmarkEnd w:id="213"/>
      <w:bookmarkEnd w:id="214"/>
      <w:bookmarkEnd w:id="215"/>
      <w:bookmarkEnd w:id="216"/>
      <w:bookmarkEnd w:id="217"/>
      <w:bookmarkEnd w:id="218"/>
      <w:bookmarkEnd w:id="219"/>
      <w:bookmarkEnd w:id="220"/>
      <w:bookmarkEnd w:id="221"/>
    </w:p>
    <w:p w14:paraId="668FB6F3">
      <w:pPr>
        <w:pStyle w:val="4"/>
        <w:numPr>
          <w:ilvl w:val="2"/>
          <w:numId w:val="0"/>
        </w:numPr>
        <w:tabs>
          <w:tab w:val="clear" w:pos="720"/>
        </w:tabs>
        <w:bidi w:val="0"/>
        <w:rPr>
          <w:color w:val="auto"/>
          <w:highlight w:val="none"/>
        </w:rPr>
      </w:pPr>
      <w:bookmarkStart w:id="222" w:name="_Toc31208"/>
      <w:r>
        <w:rPr>
          <w:color w:val="auto"/>
          <w:highlight w:val="none"/>
        </w:rPr>
        <w:t>2.1.1</w:t>
      </w:r>
      <w:r>
        <w:rPr>
          <w:rFonts w:hint="eastAsia"/>
          <w:color w:val="auto"/>
          <w:highlight w:val="none"/>
          <w:lang w:val="en-US" w:eastAsia="zh-CN"/>
        </w:rPr>
        <w:t xml:space="preserve"> </w:t>
      </w:r>
      <w:r>
        <w:rPr>
          <w:color w:val="auto"/>
          <w:highlight w:val="none"/>
        </w:rPr>
        <w:t>国家</w:t>
      </w:r>
      <w:r>
        <w:rPr>
          <w:rFonts w:hint="eastAsia"/>
          <w:color w:val="auto"/>
          <w:highlight w:val="none"/>
          <w:lang w:eastAsia="zh-CN"/>
        </w:rPr>
        <w:t>法律法规</w:t>
      </w:r>
      <w:bookmarkEnd w:id="222"/>
    </w:p>
    <w:p w14:paraId="1301054B">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rPr>
        <w:t>中华人民共和国生态环境法典</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2026年3月12日第十四届全国人民代表大会第四次会议通过</w:t>
      </w:r>
      <w:r>
        <w:rPr>
          <w:rFonts w:hint="eastAsia" w:cs="Times New Roman"/>
          <w:color w:val="auto"/>
          <w:highlight w:val="none"/>
          <w:lang w:eastAsia="zh-CN"/>
        </w:rPr>
        <w:t>，自2026年8月15日起施行</w:t>
      </w:r>
      <w:r>
        <w:rPr>
          <w:rFonts w:ascii="Times New Roman" w:hAnsi="Times New Roman" w:eastAsia="宋体" w:cs="Times New Roman"/>
          <w:color w:val="auto"/>
          <w:highlight w:val="none"/>
        </w:rPr>
        <w:t>；</w:t>
      </w:r>
    </w:p>
    <w:p w14:paraId="2B8A7F98">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（2）《中华人民共和国循环经济促进法》，2018年10月26日修正；</w:t>
      </w:r>
    </w:p>
    <w:p w14:paraId="5785F4E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（3）《中华人民共和国节约能源法》，2018年10月26日修正；</w:t>
      </w:r>
    </w:p>
    <w:p w14:paraId="4B4ECBB6">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（4）《中华人民共和国水法》，2016年9</w:t>
      </w:r>
      <w:r>
        <w:rPr>
          <w:rFonts w:hint="eastAsia" w:cs="Times New Roman"/>
          <w:color w:val="auto"/>
          <w:highlight w:val="none"/>
          <w:lang w:eastAsia="zh-CN"/>
        </w:rPr>
        <w:t>月1日起施行</w:t>
      </w:r>
      <w:r>
        <w:rPr>
          <w:rFonts w:ascii="Times New Roman" w:hAnsi="Times New Roman" w:eastAsia="宋体" w:cs="Times New Roman"/>
          <w:color w:val="auto"/>
          <w:highlight w:val="none"/>
        </w:rPr>
        <w:t>；</w:t>
      </w:r>
    </w:p>
    <w:p w14:paraId="1E675C5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（5）《建设项目环境保护管理条例》（国务院令第682号，2017年</w:t>
      </w:r>
      <w:r>
        <w:rPr>
          <w:rFonts w:hint="eastAsia" w:cs="Times New Roman"/>
          <w:color w:val="auto"/>
          <w:highlight w:val="none"/>
          <w:lang w:val="en-US" w:eastAsia="zh-CN"/>
        </w:rPr>
        <w:t>10</w:t>
      </w:r>
      <w:r>
        <w:rPr>
          <w:rFonts w:ascii="Times New Roman" w:hAnsi="Times New Roman" w:eastAsia="宋体" w:cs="Times New Roman"/>
          <w:color w:val="auto"/>
          <w:highlight w:val="none"/>
        </w:rPr>
        <w:t>月1日）；</w:t>
      </w:r>
    </w:p>
    <w:p w14:paraId="4B060A43">
      <w:pPr>
        <w:pStyle w:val="1336"/>
        <w:ind w:firstLine="480"/>
        <w:rPr>
          <w:rFonts w:hint="eastAsia" w:ascii="Times New Roman" w:hAnsi="Times New Roman" w:cs="Times New Roman"/>
          <w:color w:val="auto"/>
          <w:highlight w:val="none"/>
          <w:lang w:eastAsia="zh-CN"/>
        </w:rPr>
      </w:pPr>
      <w:r>
        <w:rPr>
          <w:rFonts w:ascii="Times New Roman" w:hAnsi="Times New Roman" w:eastAsia="宋体" w:cs="Times New Roman"/>
          <w:color w:val="auto"/>
          <w:highlight w:val="none"/>
        </w:rPr>
        <w:t>（6）《中华人民共和国环境保护税法》，2018年10月26日修正</w:t>
      </w:r>
      <w:r>
        <w:rPr>
          <w:rFonts w:hint="eastAsia" w:ascii="Times New Roman" w:hAnsi="Times New Roman" w:cs="Times New Roman"/>
          <w:color w:val="auto"/>
          <w:highlight w:val="none"/>
          <w:lang w:eastAsia="zh-CN"/>
        </w:rPr>
        <w:t>；</w:t>
      </w:r>
    </w:p>
    <w:p w14:paraId="7CCEAFE1">
      <w:pPr>
        <w:pStyle w:val="1336"/>
        <w:ind w:firstLine="480"/>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（7）《危险化学品安全管理条例》（2013年12月7日修订）</w:t>
      </w:r>
      <w:r>
        <w:rPr>
          <w:rFonts w:hint="eastAsia" w:ascii="Times New Roman" w:hAnsi="Times New Roman" w:cs="Times New Roman"/>
          <w:color w:val="auto"/>
          <w:highlight w:val="none"/>
          <w:lang w:eastAsia="zh-CN"/>
        </w:rPr>
        <w:t>。</w:t>
      </w:r>
    </w:p>
    <w:p w14:paraId="3E41074B">
      <w:pPr>
        <w:pStyle w:val="4"/>
        <w:numPr>
          <w:ilvl w:val="2"/>
          <w:numId w:val="0"/>
        </w:numPr>
        <w:tabs>
          <w:tab w:val="clear" w:pos="720"/>
        </w:tabs>
        <w:bidi w:val="0"/>
        <w:rPr>
          <w:color w:val="auto"/>
          <w:highlight w:val="none"/>
        </w:rPr>
      </w:pPr>
      <w:bookmarkStart w:id="223" w:name="_Toc30197"/>
      <w:r>
        <w:rPr>
          <w:color w:val="auto"/>
          <w:highlight w:val="none"/>
        </w:rPr>
        <w:t>2.1.2</w:t>
      </w:r>
      <w:r>
        <w:rPr>
          <w:rFonts w:hint="eastAsia"/>
          <w:color w:val="auto"/>
          <w:highlight w:val="none"/>
          <w:lang w:val="en-US" w:eastAsia="zh-CN"/>
        </w:rPr>
        <w:t xml:space="preserve"> </w:t>
      </w:r>
      <w:r>
        <w:rPr>
          <w:color w:val="auto"/>
          <w:highlight w:val="none"/>
        </w:rPr>
        <w:t>部门规章和规范性文件</w:t>
      </w:r>
      <w:bookmarkEnd w:id="223"/>
    </w:p>
    <w:p w14:paraId="0C2A0D43">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（1）《建设项目环境影响评价分类管理名录》（2021年版）（生态环境部令第1号修正，2020年11月30日）；</w:t>
      </w:r>
    </w:p>
    <w:p w14:paraId="7DF7D77E">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r>
        <w:rPr>
          <w:rFonts w:hint="eastAsia" w:cs="Times New Roman"/>
          <w:color w:val="auto"/>
          <w:highlight w:val="none"/>
          <w:lang w:eastAsia="zh-CN"/>
        </w:rPr>
        <w:t>《产业结构调整指导目录（2024年本）》</w:t>
      </w:r>
      <w:r>
        <w:rPr>
          <w:rFonts w:ascii="Times New Roman" w:hAnsi="Times New Roman" w:eastAsia="宋体" w:cs="Times New Roman"/>
          <w:color w:val="auto"/>
          <w:highlight w:val="none"/>
        </w:rPr>
        <w:t>；</w:t>
      </w:r>
    </w:p>
    <w:p w14:paraId="776B1FE1">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（3）《国家危险废物名录》（202</w:t>
      </w:r>
      <w:r>
        <w:rPr>
          <w:rFonts w:hint="eastAsia" w:ascii="Times New Roman" w:hAnsi="Times New Roman" w:eastAsia="宋体" w:cs="Times New Roman"/>
          <w:color w:val="auto"/>
          <w:highlight w:val="none"/>
          <w:lang w:val="en-US" w:eastAsia="zh-CN"/>
        </w:rPr>
        <w:t>5</w:t>
      </w:r>
      <w:r>
        <w:rPr>
          <w:rFonts w:ascii="Times New Roman" w:hAnsi="Times New Roman" w:eastAsia="宋体" w:cs="Times New Roman"/>
          <w:color w:val="auto"/>
          <w:highlight w:val="none"/>
        </w:rPr>
        <w:t>年版）；</w:t>
      </w:r>
    </w:p>
    <w:p w14:paraId="4A0EAD16">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（4）《关于印发</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危险废物规范化管理指标体系</w:t>
      </w:r>
      <w:r>
        <w:rPr>
          <w:rFonts w:hint="eastAsia" w:ascii="Times New Roman" w:hAnsi="Times New Roman" w:eastAsia="宋体" w:cs="Times New Roman"/>
          <w:color w:val="auto"/>
          <w:highlight w:val="none"/>
          <w:lang w:eastAsia="zh-CN"/>
        </w:rPr>
        <w:t>〉的通知》</w:t>
      </w:r>
      <w:r>
        <w:rPr>
          <w:rFonts w:ascii="Times New Roman" w:hAnsi="Times New Roman" w:eastAsia="宋体" w:cs="Times New Roman"/>
          <w:color w:val="auto"/>
          <w:highlight w:val="none"/>
        </w:rPr>
        <w:t>（环办〔2015〕99号）；</w:t>
      </w:r>
    </w:p>
    <w:p w14:paraId="4452D5A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（5）《建设项目危险废物环境影响评价指南》（环保部公告2017年第43号）；</w:t>
      </w:r>
    </w:p>
    <w:p w14:paraId="13D116B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（6）《关于印发</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国家重点监控企业自行监测及信息公开办法（试行）</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和</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国家重点监控企业污染源监督性监测及信息公开办法（试行）</w:t>
      </w:r>
      <w:r>
        <w:rPr>
          <w:rFonts w:hint="eastAsia" w:ascii="Times New Roman" w:hAnsi="Times New Roman" w:eastAsia="宋体" w:cs="Times New Roman"/>
          <w:color w:val="auto"/>
          <w:highlight w:val="none"/>
          <w:lang w:eastAsia="zh-CN"/>
        </w:rPr>
        <w:t>〉的通知》</w:t>
      </w:r>
      <w:r>
        <w:rPr>
          <w:rFonts w:ascii="Times New Roman" w:hAnsi="Times New Roman" w:eastAsia="宋体" w:cs="Times New Roman"/>
          <w:color w:val="auto"/>
          <w:highlight w:val="none"/>
        </w:rPr>
        <w:t>（环发〔2013〕81号）；</w:t>
      </w:r>
    </w:p>
    <w:p w14:paraId="2706E4D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r>
        <w:rPr>
          <w:rFonts w:hint="eastAsia" w:ascii="Times New Roman" w:hAnsi="Times New Roman" w:eastAsia="宋体" w:cs="Times New Roman"/>
          <w:color w:val="auto"/>
          <w:highlight w:val="none"/>
        </w:rPr>
        <w:t>《排污许可管理办法》（生态环境部部令第32号），自2024年7月1日起施行</w:t>
      </w:r>
      <w:r>
        <w:rPr>
          <w:rFonts w:ascii="Times New Roman" w:hAnsi="Times New Roman" w:eastAsia="宋体" w:cs="Times New Roman"/>
          <w:color w:val="auto"/>
          <w:highlight w:val="none"/>
        </w:rPr>
        <w:t>；</w:t>
      </w:r>
    </w:p>
    <w:p w14:paraId="06A93B49">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（8）《环境影响评价公众参与办法》（生态环境部令第4号</w:t>
      </w:r>
      <w:r>
        <w:rPr>
          <w:rFonts w:hint="eastAsia" w:cs="Times New Roman"/>
          <w:color w:val="auto"/>
          <w:highlight w:val="none"/>
          <w:lang w:eastAsia="zh-CN"/>
        </w:rPr>
        <w:t>，</w:t>
      </w:r>
      <w:r>
        <w:rPr>
          <w:rFonts w:hint="eastAsia" w:ascii="Times New Roman" w:hAnsi="Times New Roman" w:eastAsia="宋体" w:cs="Times New Roman"/>
          <w:color w:val="auto"/>
          <w:highlight w:val="none"/>
        </w:rPr>
        <w:t>自2019年1月1日起施行</w:t>
      </w:r>
      <w:r>
        <w:rPr>
          <w:rFonts w:ascii="Times New Roman" w:hAnsi="Times New Roman" w:eastAsia="宋体" w:cs="Times New Roman"/>
          <w:color w:val="auto"/>
          <w:highlight w:val="none"/>
        </w:rPr>
        <w:t>）；</w:t>
      </w:r>
    </w:p>
    <w:p w14:paraId="0BDC38F5">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r>
        <w:rPr>
          <w:rFonts w:hint="eastAsia" w:ascii="Times New Roman" w:hAnsi="Times New Roman" w:eastAsia="宋体" w:cs="Times New Roman"/>
          <w:color w:val="auto"/>
          <w:highlight w:val="none"/>
        </w:rPr>
        <w:t>《关于印发</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重点行业挥发性有机物综合治理方案</w:t>
      </w:r>
      <w:r>
        <w:rPr>
          <w:rFonts w:hint="eastAsia" w:ascii="Times New Roman" w:hAnsi="Times New Roman" w:eastAsia="宋体" w:cs="Times New Roman"/>
          <w:color w:val="auto"/>
          <w:highlight w:val="none"/>
          <w:lang w:eastAsia="zh-CN"/>
        </w:rPr>
        <w:t>〉的通知》</w:t>
      </w:r>
      <w:r>
        <w:rPr>
          <w:rFonts w:hint="eastAsia" w:ascii="Times New Roman" w:hAnsi="Times New Roman" w:eastAsia="宋体" w:cs="Times New Roman"/>
          <w:color w:val="auto"/>
          <w:highlight w:val="none"/>
        </w:rPr>
        <w:t>（环大气</w:t>
      </w:r>
      <w:r>
        <w:rPr>
          <w:rFonts w:hint="eastAsia" w:ascii="Times New Roman" w:hAnsi="Times New Roman" w:eastAsia="宋体" w:cs="Times New Roman"/>
          <w:color w:val="auto"/>
          <w:highlight w:val="none"/>
          <w:lang w:eastAsia="zh-CN"/>
        </w:rPr>
        <w:t>〔2019〕53号</w:t>
      </w:r>
      <w:r>
        <w:rPr>
          <w:rFonts w:hint="eastAsia" w:ascii="Times New Roman" w:hAnsi="Times New Roman" w:eastAsia="宋体" w:cs="Times New Roman"/>
          <w:color w:val="auto"/>
          <w:highlight w:val="none"/>
        </w:rPr>
        <w:t>），2019年6月26日</w:t>
      </w:r>
      <w:r>
        <w:rPr>
          <w:rFonts w:ascii="Times New Roman" w:hAnsi="Times New Roman" w:eastAsia="宋体" w:cs="Times New Roman"/>
          <w:color w:val="auto"/>
          <w:highlight w:val="none"/>
        </w:rPr>
        <w:t>；</w:t>
      </w:r>
    </w:p>
    <w:p w14:paraId="7722E46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（10）《挥发性有机物（VOC</w:t>
      </w:r>
      <w:r>
        <w:rPr>
          <w:rFonts w:hint="eastAsia" w:cs="Times New Roman"/>
          <w:color w:val="auto"/>
          <w:sz w:val="28"/>
          <w:highlight w:val="none"/>
          <w:vertAlign w:val="baseline"/>
          <w:lang w:val="en-US" w:eastAsia="zh-CN"/>
        </w:rPr>
        <w:t>s</w:t>
      </w:r>
      <w:r>
        <w:rPr>
          <w:rFonts w:ascii="Times New Roman" w:hAnsi="Times New Roman" w:eastAsia="宋体" w:cs="Times New Roman"/>
          <w:color w:val="auto"/>
          <w:highlight w:val="none"/>
        </w:rPr>
        <w:t>）污染防治技术政策》</w:t>
      </w:r>
      <w:r>
        <w:rPr>
          <w:rFonts w:hint="eastAsia" w:cs="Times New Roman"/>
          <w:color w:val="auto"/>
          <w:highlight w:val="none"/>
          <w:lang w:eastAsia="zh-CN"/>
        </w:rPr>
        <w:t>（</w:t>
      </w:r>
      <w:r>
        <w:rPr>
          <w:rFonts w:hint="eastAsia" w:cs="Times New Roman"/>
          <w:color w:val="auto"/>
          <w:highlight w:val="none"/>
          <w:lang w:val="en-US" w:eastAsia="zh-CN"/>
        </w:rPr>
        <w:t>公告2013年，第31号），自2013年5月24日起实施</w:t>
      </w:r>
      <w:r>
        <w:rPr>
          <w:rFonts w:ascii="Times New Roman" w:hAnsi="Times New Roman" w:eastAsia="宋体" w:cs="Times New Roman"/>
          <w:color w:val="auto"/>
          <w:highlight w:val="none"/>
        </w:rPr>
        <w:t>；</w:t>
      </w:r>
    </w:p>
    <w:p w14:paraId="16CE2BAA">
      <w:pPr>
        <w:pStyle w:val="1336"/>
        <w:ind w:firstLine="480"/>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（11）</w:t>
      </w:r>
      <w:r>
        <w:rPr>
          <w:rFonts w:hint="eastAsia" w:ascii="Times New Roman" w:hAnsi="Times New Roman" w:eastAsia="宋体" w:cs="Times New Roman"/>
          <w:color w:val="auto"/>
          <w:highlight w:val="none"/>
        </w:rPr>
        <w:t>《国务院办公厅关于印发</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加快构建碳排放双控制度体系工作方案</w:t>
      </w:r>
      <w:r>
        <w:rPr>
          <w:rFonts w:hint="eastAsia" w:ascii="Times New Roman" w:hAnsi="Times New Roman" w:eastAsia="宋体" w:cs="Times New Roman"/>
          <w:color w:val="auto"/>
          <w:highlight w:val="none"/>
          <w:lang w:eastAsia="zh-CN"/>
        </w:rPr>
        <w:t>〉的通知》</w:t>
      </w:r>
      <w:r>
        <w:rPr>
          <w:rFonts w:hint="eastAsia" w:ascii="Times New Roman" w:hAnsi="Times New Roman" w:eastAsia="宋体" w:cs="Times New Roman"/>
          <w:color w:val="auto"/>
          <w:highlight w:val="none"/>
        </w:rPr>
        <w:t>（国办发〔2024〕39号），2024年7月30日</w:t>
      </w:r>
      <w:r>
        <w:rPr>
          <w:rFonts w:hint="eastAsia" w:cs="Times New Roman"/>
          <w:color w:val="auto"/>
          <w:highlight w:val="none"/>
          <w:lang w:eastAsia="zh-CN"/>
        </w:rPr>
        <w:t>；</w:t>
      </w:r>
    </w:p>
    <w:p w14:paraId="0588E234">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（12）《危险化学品名录（2015年版）》；</w:t>
      </w:r>
    </w:p>
    <w:p w14:paraId="2ADECDFA">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（13）《环境保护综合名录（20</w:t>
      </w:r>
      <w:r>
        <w:rPr>
          <w:rFonts w:hint="eastAsia" w:ascii="Times New Roman" w:hAnsi="Times New Roman" w:eastAsia="宋体" w:cs="Times New Roman"/>
          <w:color w:val="auto"/>
          <w:highlight w:val="none"/>
          <w:lang w:val="en-US" w:eastAsia="zh-CN"/>
        </w:rPr>
        <w:t>21</w:t>
      </w:r>
      <w:r>
        <w:rPr>
          <w:rFonts w:ascii="Times New Roman" w:hAnsi="Times New Roman" w:eastAsia="宋体" w:cs="Times New Roman"/>
          <w:color w:val="auto"/>
          <w:highlight w:val="none"/>
        </w:rPr>
        <w:t>年版）》；</w:t>
      </w:r>
    </w:p>
    <w:p w14:paraId="3B6B3846">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（14）《关于进一步加强环境影响评价管理防范环境风险的通知》（环发</w:t>
      </w:r>
      <w:r>
        <w:rPr>
          <w:rFonts w:hint="eastAsia" w:ascii="Times New Roman" w:hAnsi="Times New Roman" w:eastAsia="宋体" w:cs="Times New Roman"/>
          <w:color w:val="auto"/>
          <w:highlight w:val="none"/>
          <w:lang w:eastAsia="zh-CN"/>
        </w:rPr>
        <w:t>〔2012〕77号</w:t>
      </w:r>
      <w:r>
        <w:rPr>
          <w:rFonts w:ascii="Times New Roman" w:hAnsi="Times New Roman" w:eastAsia="宋体" w:cs="Times New Roman"/>
          <w:color w:val="auto"/>
          <w:highlight w:val="none"/>
        </w:rPr>
        <w:t>）；</w:t>
      </w:r>
    </w:p>
    <w:p w14:paraId="37A2716A">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（15）《关于切实加强风险防范严格环境影响评价管理的通知》（环发</w:t>
      </w:r>
      <w:r>
        <w:rPr>
          <w:rFonts w:hint="eastAsia" w:ascii="Times New Roman" w:hAnsi="Times New Roman" w:eastAsia="宋体" w:cs="Times New Roman"/>
          <w:color w:val="auto"/>
          <w:highlight w:val="none"/>
          <w:lang w:eastAsia="zh-CN"/>
        </w:rPr>
        <w:t>〔2012〕98号</w:t>
      </w:r>
      <w:r>
        <w:rPr>
          <w:rFonts w:ascii="Times New Roman" w:hAnsi="Times New Roman" w:eastAsia="宋体" w:cs="Times New Roman"/>
          <w:color w:val="auto"/>
          <w:highlight w:val="none"/>
        </w:rPr>
        <w:t>）；</w:t>
      </w:r>
    </w:p>
    <w:p w14:paraId="30BB6A79">
      <w:pPr>
        <w:pStyle w:val="1354"/>
        <w:rPr>
          <w:rFonts w:ascii="Times New Roman" w:hAnsi="Times New Roman" w:eastAsia="宋体" w:cs="Times New Roman"/>
          <w:color w:val="auto"/>
          <w:highlight w:val="none"/>
        </w:rPr>
      </w:pPr>
      <w:r>
        <w:rPr>
          <w:rFonts w:ascii="Times New Roman" w:hAnsi="Times New Roman" w:eastAsia="宋体" w:cs="Times New Roman"/>
          <w:color w:val="auto"/>
          <w:kern w:val="0"/>
          <w:sz w:val="24"/>
          <w:szCs w:val="22"/>
          <w:highlight w:val="none"/>
          <w:lang w:val="en-US" w:eastAsia="zh-CN" w:bidi="ar-SA"/>
        </w:rPr>
        <w:t>（16）《重点行业</w:t>
      </w:r>
      <w:r>
        <w:rPr>
          <w:rFonts w:ascii="Times New Roman" w:hAnsi="Times New Roman" w:eastAsia="宋体" w:cs="Times New Roman"/>
          <w:color w:val="auto"/>
          <w:highlight w:val="none"/>
        </w:rPr>
        <w:t>挥发性有机物综合治理方案》（环大气〔2019〕53号）。</w:t>
      </w:r>
    </w:p>
    <w:p w14:paraId="33D6EAF9">
      <w:pPr>
        <w:pStyle w:val="4"/>
        <w:numPr>
          <w:ilvl w:val="2"/>
          <w:numId w:val="0"/>
        </w:numPr>
        <w:tabs>
          <w:tab w:val="clear" w:pos="720"/>
        </w:tabs>
        <w:bidi w:val="0"/>
        <w:rPr>
          <w:color w:val="auto"/>
          <w:highlight w:val="none"/>
        </w:rPr>
      </w:pPr>
      <w:bookmarkStart w:id="224" w:name="_Toc4132"/>
      <w:r>
        <w:rPr>
          <w:color w:val="auto"/>
          <w:highlight w:val="none"/>
        </w:rPr>
        <w:t>2.1.3</w:t>
      </w:r>
      <w:r>
        <w:rPr>
          <w:rFonts w:hint="eastAsia"/>
          <w:color w:val="auto"/>
          <w:highlight w:val="none"/>
          <w:lang w:val="en-US" w:eastAsia="zh-CN"/>
        </w:rPr>
        <w:t xml:space="preserve"> </w:t>
      </w:r>
      <w:r>
        <w:rPr>
          <w:rFonts w:hint="eastAsia"/>
          <w:color w:val="auto"/>
          <w:highlight w:val="none"/>
          <w:lang w:eastAsia="zh-CN"/>
        </w:rPr>
        <w:t>地方性法规</w:t>
      </w:r>
      <w:r>
        <w:rPr>
          <w:color w:val="auto"/>
          <w:highlight w:val="none"/>
        </w:rPr>
        <w:t>、规章</w:t>
      </w:r>
      <w:bookmarkEnd w:id="224"/>
    </w:p>
    <w:p w14:paraId="6416BC79">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rPr>
        <w:t>）《福建省生态环境保护条例》福建省人民代表大会常务委员会（</w:t>
      </w:r>
      <w:r>
        <w:rPr>
          <w:rFonts w:ascii="Times New Roman" w:hAnsi="Times New Roman" w:eastAsia="宋体" w:cs="Times New Roman"/>
          <w:color w:val="auto"/>
          <w:highlight w:val="none"/>
          <w:u w:val="none"/>
        </w:rPr>
        <w:t>2022</w:t>
      </w:r>
      <w:r>
        <w:rPr>
          <w:rFonts w:hint="eastAsia" w:ascii="Times New Roman" w:hAnsi="Times New Roman" w:eastAsia="宋体" w:cs="Times New Roman"/>
          <w:color w:val="auto"/>
          <w:highlight w:val="none"/>
          <w:u w:val="none"/>
        </w:rPr>
        <w:t>年</w:t>
      </w:r>
      <w:r>
        <w:rPr>
          <w:rFonts w:ascii="Times New Roman" w:hAnsi="Times New Roman" w:eastAsia="宋体" w:cs="Times New Roman"/>
          <w:color w:val="auto"/>
          <w:highlight w:val="none"/>
          <w:u w:val="none"/>
        </w:rPr>
        <w:t>5</w:t>
      </w:r>
      <w:r>
        <w:rPr>
          <w:rFonts w:hint="eastAsia" w:cs="Times New Roman"/>
          <w:color w:val="auto"/>
          <w:highlight w:val="none"/>
          <w:u w:val="none"/>
          <w:lang w:eastAsia="zh-CN"/>
        </w:rPr>
        <w:t>月1日起实施</w:t>
      </w:r>
      <w:r>
        <w:rPr>
          <w:rFonts w:hint="eastAsia" w:ascii="Times New Roman" w:hAnsi="Times New Roman" w:eastAsia="宋体" w:cs="Times New Roman"/>
          <w:color w:val="auto"/>
          <w:highlight w:val="none"/>
          <w:u w:val="none"/>
        </w:rPr>
        <w:t>）；</w:t>
      </w:r>
    </w:p>
    <w:p w14:paraId="2C3A86EB">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ascii="Times New Roman" w:hAnsi="Times New Roman" w:eastAsia="宋体" w:cs="Times New Roman"/>
          <w:color w:val="auto"/>
          <w:highlight w:val="none"/>
          <w:u w:val="none"/>
        </w:rPr>
        <w:t>2</w:t>
      </w:r>
      <w:r>
        <w:rPr>
          <w:rFonts w:hint="eastAsia" w:ascii="Times New Roman" w:hAnsi="Times New Roman" w:eastAsia="宋体" w:cs="Times New Roman"/>
          <w:color w:val="auto"/>
          <w:highlight w:val="none"/>
          <w:u w:val="none"/>
        </w:rPr>
        <w:t>）《福建省大气污染防治条例》，2026年7月24日福建省第十四届人大常委会第二十三次会议修正</w:t>
      </w:r>
      <w:r>
        <w:rPr>
          <w:rFonts w:hint="eastAsia" w:cs="Times New Roman"/>
          <w:color w:val="auto"/>
          <w:highlight w:val="none"/>
          <w:u w:val="none"/>
          <w:lang w:eastAsia="zh-CN"/>
        </w:rPr>
        <w:t>，2026年8月15日</w:t>
      </w:r>
      <w:r>
        <w:rPr>
          <w:rFonts w:hint="eastAsia" w:ascii="Times New Roman" w:hAnsi="Times New Roman" w:eastAsia="宋体" w:cs="Times New Roman"/>
          <w:color w:val="auto"/>
          <w:highlight w:val="none"/>
          <w:u w:val="none"/>
        </w:rPr>
        <w:t>起施行；</w:t>
      </w:r>
    </w:p>
    <w:p w14:paraId="0F00A07D">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（3）《福建省水污染防治条例》，2026年7月24日福建省第十四届人大常委会第二十三次会议修正</w:t>
      </w:r>
      <w:r>
        <w:rPr>
          <w:rFonts w:hint="eastAsia" w:cs="Times New Roman"/>
          <w:color w:val="auto"/>
          <w:highlight w:val="none"/>
          <w:u w:val="none"/>
          <w:lang w:eastAsia="zh-CN"/>
        </w:rPr>
        <w:t>，2026年8月15日</w:t>
      </w:r>
      <w:r>
        <w:rPr>
          <w:rFonts w:hint="eastAsia" w:ascii="Times New Roman" w:hAnsi="Times New Roman" w:eastAsia="宋体" w:cs="Times New Roman"/>
          <w:color w:val="auto"/>
          <w:highlight w:val="none"/>
          <w:u w:val="none"/>
        </w:rPr>
        <w:t>起施行；</w:t>
      </w:r>
    </w:p>
    <w:p w14:paraId="16E9EDD2">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（4）《福建省水污染防治行动计划工作方案》（闽政〔</w:t>
      </w:r>
      <w:r>
        <w:rPr>
          <w:rFonts w:ascii="Times New Roman" w:hAnsi="Times New Roman" w:eastAsia="宋体" w:cs="Times New Roman"/>
          <w:color w:val="auto"/>
          <w:highlight w:val="none"/>
          <w:u w:val="none"/>
        </w:rPr>
        <w:t>2015〕26号）</w:t>
      </w:r>
      <w:r>
        <w:rPr>
          <w:rFonts w:hint="eastAsia" w:ascii="Times New Roman" w:hAnsi="Times New Roman" w:eastAsia="宋体" w:cs="Times New Roman"/>
          <w:color w:val="auto"/>
          <w:highlight w:val="none"/>
          <w:u w:val="none"/>
        </w:rPr>
        <w:t>；</w:t>
      </w:r>
    </w:p>
    <w:p w14:paraId="0F95C97F">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（5）《福建省土壤污染防治条例》，2022年9月1日起施行；</w:t>
      </w:r>
    </w:p>
    <w:p w14:paraId="59E6A879">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rPr>
        <w:t>6</w:t>
      </w:r>
      <w:r>
        <w:rPr>
          <w:rFonts w:hint="eastAsia" w:ascii="Times New Roman" w:hAnsi="Times New Roman" w:eastAsia="宋体" w:cs="Times New Roman"/>
          <w:color w:val="auto"/>
          <w:highlight w:val="none"/>
          <w:u w:val="none"/>
        </w:rPr>
        <w:t>）《福建省固体废物污染环境防治条例》，2024年6月1日起施行；</w:t>
      </w:r>
    </w:p>
    <w:p w14:paraId="4D53D937">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lang w:val="en-US" w:eastAsia="zh-CN"/>
        </w:rPr>
        <w:t>7</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rPr>
        <w:t>《福建省水土保持条例》（</w:t>
      </w:r>
      <w:r>
        <w:rPr>
          <w:rFonts w:ascii="Times New Roman" w:hAnsi="Times New Roman" w:eastAsia="宋体" w:cs="Times New Roman"/>
          <w:color w:val="auto"/>
          <w:highlight w:val="none"/>
          <w:u w:val="none"/>
        </w:rPr>
        <w:t>2022</w:t>
      </w:r>
      <w:r>
        <w:rPr>
          <w:rFonts w:hint="eastAsia" w:ascii="Times New Roman" w:hAnsi="Times New Roman" w:eastAsia="宋体" w:cs="Times New Roman"/>
          <w:color w:val="auto"/>
          <w:highlight w:val="none"/>
          <w:u w:val="none"/>
        </w:rPr>
        <w:t>年</w:t>
      </w:r>
      <w:r>
        <w:rPr>
          <w:rFonts w:ascii="Times New Roman" w:hAnsi="Times New Roman" w:eastAsia="宋体" w:cs="Times New Roman"/>
          <w:color w:val="auto"/>
          <w:highlight w:val="none"/>
          <w:u w:val="none"/>
        </w:rPr>
        <w:t>5</w:t>
      </w:r>
      <w:r>
        <w:rPr>
          <w:rFonts w:hint="eastAsia" w:ascii="Times New Roman" w:hAnsi="Times New Roman" w:eastAsia="宋体" w:cs="Times New Roman"/>
          <w:color w:val="auto"/>
          <w:highlight w:val="none"/>
          <w:u w:val="none"/>
        </w:rPr>
        <w:t>月</w:t>
      </w:r>
      <w:r>
        <w:rPr>
          <w:rFonts w:ascii="Times New Roman" w:hAnsi="Times New Roman" w:eastAsia="宋体" w:cs="Times New Roman"/>
          <w:color w:val="auto"/>
          <w:highlight w:val="none"/>
          <w:u w:val="none"/>
        </w:rPr>
        <w:t>27</w:t>
      </w:r>
      <w:r>
        <w:rPr>
          <w:rFonts w:hint="eastAsia" w:ascii="Times New Roman" w:hAnsi="Times New Roman" w:eastAsia="宋体" w:cs="Times New Roman"/>
          <w:color w:val="auto"/>
          <w:highlight w:val="none"/>
          <w:u w:val="none"/>
        </w:rPr>
        <w:t>日修正）；</w:t>
      </w:r>
    </w:p>
    <w:p w14:paraId="5290507E">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eastAsia="zh-CN"/>
        </w:rPr>
        <w:t>8</w:t>
      </w:r>
      <w:r>
        <w:rPr>
          <w:rFonts w:hint="eastAsia" w:ascii="Times New Roman" w:hAnsi="Times New Roman" w:eastAsia="宋体" w:cs="Times New Roman"/>
          <w:color w:val="auto"/>
          <w:highlight w:val="none"/>
          <w:u w:val="none"/>
        </w:rPr>
        <w:t>）《福建省大气污染防治行动计划实施细则》（闽政办〔</w:t>
      </w:r>
      <w:r>
        <w:rPr>
          <w:rFonts w:ascii="Times New Roman" w:hAnsi="Times New Roman" w:eastAsia="宋体" w:cs="Times New Roman"/>
          <w:color w:val="auto"/>
          <w:highlight w:val="none"/>
          <w:u w:val="none"/>
        </w:rPr>
        <w:t>2014〕72号）</w:t>
      </w:r>
      <w:r>
        <w:rPr>
          <w:rFonts w:hint="eastAsia" w:ascii="Times New Roman" w:hAnsi="Times New Roman" w:eastAsia="宋体" w:cs="Times New Roman"/>
          <w:color w:val="auto"/>
          <w:highlight w:val="none"/>
          <w:u w:val="none"/>
        </w:rPr>
        <w:t>；</w:t>
      </w:r>
    </w:p>
    <w:p w14:paraId="76192322">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eastAsia="zh-CN"/>
        </w:rPr>
        <w:t>9</w:t>
      </w:r>
      <w:r>
        <w:rPr>
          <w:rFonts w:hint="eastAsia" w:ascii="Times New Roman" w:hAnsi="Times New Roman" w:eastAsia="宋体" w:cs="Times New Roman"/>
          <w:color w:val="auto"/>
          <w:highlight w:val="none"/>
          <w:u w:val="none"/>
        </w:rPr>
        <w:t>）《福建省人民政府办公厅关于印发福建省</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十四五</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生态环境保护专项规划的通知》（闽政办〔2021〕59号）；</w:t>
      </w:r>
    </w:p>
    <w:p w14:paraId="7955B8AC">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eastAsia="zh-CN"/>
        </w:rPr>
        <w:t>10</w:t>
      </w:r>
      <w:r>
        <w:rPr>
          <w:rFonts w:hint="eastAsia" w:ascii="Times New Roman" w:hAnsi="Times New Roman" w:eastAsia="宋体" w:cs="Times New Roman"/>
          <w:color w:val="auto"/>
          <w:highlight w:val="none"/>
          <w:u w:val="none"/>
        </w:rPr>
        <w:t>）《福建省人民政府关于印发福建省土壤污染防治行动计划实施方案的通知》（闽政〔</w:t>
      </w:r>
      <w:r>
        <w:rPr>
          <w:rFonts w:ascii="Times New Roman" w:hAnsi="Times New Roman" w:eastAsia="宋体" w:cs="Times New Roman"/>
          <w:color w:val="auto"/>
          <w:highlight w:val="none"/>
          <w:u w:val="none"/>
        </w:rPr>
        <w:t>2016〕45号）</w:t>
      </w:r>
      <w:r>
        <w:rPr>
          <w:rFonts w:hint="eastAsia" w:ascii="Times New Roman" w:hAnsi="Times New Roman" w:eastAsia="宋体" w:cs="Times New Roman"/>
          <w:color w:val="auto"/>
          <w:highlight w:val="none"/>
          <w:u w:val="none"/>
        </w:rPr>
        <w:t>；</w:t>
      </w:r>
    </w:p>
    <w:p w14:paraId="61BA5EA4">
      <w:pPr>
        <w:pStyle w:val="303"/>
        <w:rPr>
          <w:rFonts w:hint="eastAsia" w:ascii="Times New Roman" w:hAnsi="Times New Roman" w:eastAsia="宋体" w:cs="Times New Roman"/>
          <w:color w:val="auto"/>
          <w:highlight w:val="none"/>
          <w:u w:val="none"/>
          <w:lang w:eastAsia="zh-CN"/>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rPr>
        <w:t>1</w:t>
      </w:r>
      <w:r>
        <w:rPr>
          <w:rFonts w:hint="eastAsia" w:ascii="Times New Roman" w:hAnsi="Times New Roman" w:eastAsia="宋体" w:cs="Times New Roman"/>
          <w:color w:val="auto"/>
          <w:highlight w:val="none"/>
          <w:u w:val="none"/>
          <w:lang w:val="en-US" w:eastAsia="zh-CN"/>
        </w:rPr>
        <w:t>1</w:t>
      </w:r>
      <w:r>
        <w:rPr>
          <w:rFonts w:hint="eastAsia" w:ascii="Times New Roman" w:hAnsi="Times New Roman" w:eastAsia="宋体" w:cs="Times New Roman"/>
          <w:color w:val="auto"/>
          <w:highlight w:val="none"/>
          <w:u w:val="none"/>
        </w:rPr>
        <w:t>）《福州市人民政府办公厅关于印发</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u w:val="none"/>
        </w:rPr>
        <w:t>福州市生态环境分区管控方案（2023年更新）</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u w:val="none"/>
        </w:rPr>
        <w:t>的通知》</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rPr>
        <w:t>榕政办规〔2024〕20号</w:t>
      </w:r>
      <w:r>
        <w:rPr>
          <w:rFonts w:hint="eastAsia" w:ascii="Times New Roman" w:hAnsi="Times New Roman" w:eastAsia="宋体" w:cs="Times New Roman"/>
          <w:color w:val="auto"/>
          <w:highlight w:val="none"/>
          <w:u w:val="none"/>
          <w:lang w:eastAsia="zh-CN"/>
        </w:rPr>
        <w:t>）；</w:t>
      </w:r>
    </w:p>
    <w:p w14:paraId="20553438">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rPr>
        <w:t>1</w:t>
      </w:r>
      <w:r>
        <w:rPr>
          <w:rFonts w:hint="eastAsia" w:ascii="Times New Roman" w:hAnsi="Times New Roman" w:eastAsia="宋体" w:cs="Times New Roman"/>
          <w:color w:val="auto"/>
          <w:highlight w:val="none"/>
          <w:u w:val="none"/>
          <w:lang w:val="en-US" w:eastAsia="zh-CN"/>
        </w:rPr>
        <w:t>2</w:t>
      </w: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snapToGrid w:val="0"/>
          <w:color w:val="auto"/>
          <w:highlight w:val="none"/>
          <w:u w:val="none"/>
        </w:rPr>
        <w:t>《福建省生态环境厅 福建省发展和改革委员会</w:t>
      </w:r>
      <w:r>
        <w:rPr>
          <w:rFonts w:hint="eastAsia" w:cs="Times New Roman"/>
          <w:snapToGrid w:val="0"/>
          <w:color w:val="auto"/>
          <w:highlight w:val="none"/>
          <w:u w:val="none"/>
          <w:lang w:eastAsia="zh-CN"/>
        </w:rPr>
        <w:t xml:space="preserve"> 福建省工业和信息化厅 福建省住房和城乡建设厅 福建省交通运输厅</w:t>
      </w:r>
      <w:r>
        <w:rPr>
          <w:rFonts w:hint="eastAsia" w:ascii="Times New Roman" w:hAnsi="Times New Roman" w:eastAsia="宋体" w:cs="Times New Roman"/>
          <w:snapToGrid w:val="0"/>
          <w:color w:val="auto"/>
          <w:highlight w:val="none"/>
          <w:u w:val="none"/>
        </w:rPr>
        <w:t>关于印发</w:t>
      </w:r>
      <w:r>
        <w:rPr>
          <w:rFonts w:hint="eastAsia" w:ascii="Times New Roman" w:hAnsi="Times New Roman" w:eastAsia="宋体" w:cs="Times New Roman"/>
          <w:snapToGrid w:val="0"/>
          <w:color w:val="auto"/>
          <w:highlight w:val="none"/>
          <w:u w:val="none"/>
          <w:lang w:eastAsia="zh-CN"/>
        </w:rPr>
        <w:t>〈</w:t>
      </w:r>
      <w:r>
        <w:rPr>
          <w:rFonts w:hint="eastAsia" w:ascii="Times New Roman" w:hAnsi="Times New Roman" w:eastAsia="宋体" w:cs="Times New Roman"/>
          <w:snapToGrid w:val="0"/>
          <w:color w:val="auto"/>
          <w:highlight w:val="none"/>
          <w:u w:val="none"/>
        </w:rPr>
        <w:t>福建省</w:t>
      </w:r>
      <w:r>
        <w:rPr>
          <w:rFonts w:hint="eastAsia" w:cs="Times New Roman"/>
          <w:snapToGrid w:val="0"/>
          <w:color w:val="auto"/>
          <w:highlight w:val="none"/>
          <w:u w:val="none"/>
          <w:lang w:eastAsia="zh-CN"/>
        </w:rPr>
        <w:t>“</w:t>
      </w:r>
      <w:r>
        <w:rPr>
          <w:rFonts w:hint="eastAsia" w:ascii="Times New Roman" w:hAnsi="Times New Roman" w:eastAsia="宋体" w:cs="Times New Roman"/>
          <w:snapToGrid w:val="0"/>
          <w:color w:val="auto"/>
          <w:highlight w:val="none"/>
          <w:u w:val="none"/>
        </w:rPr>
        <w:t>十四五</w:t>
      </w:r>
      <w:r>
        <w:rPr>
          <w:rFonts w:hint="eastAsia" w:cs="Times New Roman"/>
          <w:snapToGrid w:val="0"/>
          <w:color w:val="auto"/>
          <w:highlight w:val="none"/>
          <w:u w:val="none"/>
          <w:lang w:eastAsia="zh-CN"/>
        </w:rPr>
        <w:t>”</w:t>
      </w:r>
      <w:r>
        <w:rPr>
          <w:rFonts w:hint="eastAsia" w:ascii="Times New Roman" w:hAnsi="Times New Roman" w:eastAsia="宋体" w:cs="Times New Roman"/>
          <w:snapToGrid w:val="0"/>
          <w:color w:val="auto"/>
          <w:highlight w:val="none"/>
          <w:u w:val="none"/>
        </w:rPr>
        <w:t>空气质量改善规划</w:t>
      </w:r>
      <w:r>
        <w:rPr>
          <w:rFonts w:hint="eastAsia" w:ascii="Times New Roman" w:hAnsi="Times New Roman" w:eastAsia="宋体" w:cs="Times New Roman"/>
          <w:snapToGrid w:val="0"/>
          <w:color w:val="auto"/>
          <w:highlight w:val="none"/>
          <w:u w:val="none"/>
          <w:lang w:eastAsia="zh-CN"/>
        </w:rPr>
        <w:t>〉的通知》</w:t>
      </w:r>
      <w:r>
        <w:rPr>
          <w:rFonts w:hint="eastAsia" w:ascii="Times New Roman" w:hAnsi="Times New Roman" w:eastAsia="宋体" w:cs="Times New Roman"/>
          <w:snapToGrid w:val="0"/>
          <w:color w:val="auto"/>
          <w:highlight w:val="none"/>
          <w:u w:val="none"/>
        </w:rPr>
        <w:t>（闽环保大气</w:t>
      </w:r>
      <w:r>
        <w:rPr>
          <w:rFonts w:hint="eastAsia" w:ascii="Times New Roman" w:hAnsi="Times New Roman" w:eastAsia="宋体" w:cs="Times New Roman"/>
          <w:snapToGrid w:val="0"/>
          <w:color w:val="auto"/>
          <w:highlight w:val="none"/>
          <w:u w:val="none"/>
          <w:lang w:eastAsia="zh-CN"/>
        </w:rPr>
        <w:t>〔2022〕2号</w:t>
      </w:r>
      <w:r>
        <w:rPr>
          <w:rFonts w:hint="eastAsia" w:ascii="Times New Roman" w:hAnsi="Times New Roman" w:eastAsia="宋体" w:cs="Times New Roman"/>
          <w:snapToGrid w:val="0"/>
          <w:color w:val="auto"/>
          <w:highlight w:val="none"/>
          <w:u w:val="none"/>
        </w:rPr>
        <w:t>），2022年1月28日；</w:t>
      </w:r>
    </w:p>
    <w:p w14:paraId="182AE191">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highlight w:val="none"/>
          <w:u w:val="none"/>
          <w:lang w:val="en-US"/>
        </w:rPr>
        <w:t>1</w:t>
      </w:r>
      <w:r>
        <w:rPr>
          <w:rFonts w:hint="eastAsia" w:ascii="Times New Roman" w:hAnsi="Times New Roman" w:eastAsia="宋体" w:cs="Times New Roman"/>
          <w:color w:val="auto"/>
          <w:highlight w:val="none"/>
          <w:u w:val="none"/>
          <w:lang w:val="en-US" w:eastAsia="zh-CN"/>
        </w:rPr>
        <w:t>3</w:t>
      </w:r>
      <w:r>
        <w:rPr>
          <w:rFonts w:hint="eastAsia" w:ascii="Times New Roman" w:hAnsi="Times New Roman" w:eastAsia="宋体" w:cs="Times New Roman"/>
          <w:color w:val="auto"/>
          <w:highlight w:val="none"/>
          <w:u w:val="none"/>
        </w:rPr>
        <w:t>）《福建省生态环境厅 福建省自然资源厅 福建省水利厅关于印发</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rPr>
        <w:t>福建省</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十四五</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地下水污染防治规划</w:t>
      </w:r>
      <w:r>
        <w:rPr>
          <w:rFonts w:hint="eastAsia" w:ascii="Times New Roman" w:hAnsi="Times New Roman" w:eastAsia="宋体" w:cs="Times New Roman"/>
          <w:color w:val="auto"/>
          <w:highlight w:val="none"/>
          <w:u w:val="none"/>
          <w:lang w:eastAsia="zh-CN"/>
        </w:rPr>
        <w:t>〉的通知》</w:t>
      </w:r>
      <w:r>
        <w:rPr>
          <w:rFonts w:hint="eastAsia" w:ascii="Times New Roman" w:hAnsi="Times New Roman" w:eastAsia="宋体" w:cs="Times New Roman"/>
          <w:color w:val="auto"/>
          <w:highlight w:val="none"/>
          <w:u w:val="none"/>
        </w:rPr>
        <w:t>（闽环保土</w:t>
      </w:r>
      <w:r>
        <w:rPr>
          <w:rFonts w:hint="eastAsia" w:ascii="Times New Roman" w:hAnsi="Times New Roman" w:eastAsia="宋体" w:cs="Times New Roman"/>
          <w:color w:val="auto"/>
          <w:highlight w:val="none"/>
          <w:u w:val="none"/>
          <w:lang w:eastAsia="zh-CN"/>
        </w:rPr>
        <w:t>〔2022〕2号</w:t>
      </w:r>
      <w:r>
        <w:rPr>
          <w:rFonts w:hint="eastAsia" w:ascii="Times New Roman" w:hAnsi="Times New Roman" w:eastAsia="宋体" w:cs="Times New Roman"/>
          <w:color w:val="auto"/>
          <w:highlight w:val="none"/>
          <w:u w:val="none"/>
        </w:rPr>
        <w:t>），2022年1月24日；</w:t>
      </w:r>
    </w:p>
    <w:p w14:paraId="178616AE">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lang w:val="en-US" w:eastAsia="zh-CN"/>
        </w:rPr>
        <w:t>4</w:t>
      </w:r>
      <w:r>
        <w:rPr>
          <w:rFonts w:hint="eastAsia" w:ascii="Times New Roman" w:hAnsi="Times New Roman" w:eastAsia="宋体" w:cs="Times New Roman"/>
          <w:color w:val="auto"/>
          <w:highlight w:val="none"/>
          <w:u w:val="none"/>
        </w:rPr>
        <w:t>）《福建省</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十四五</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土壤污染防治规划》，2022年1月；</w:t>
      </w:r>
    </w:p>
    <w:p w14:paraId="49B90E4D">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lang w:val="en-US" w:eastAsia="zh-CN"/>
        </w:rPr>
        <w:t>5</w:t>
      </w:r>
      <w:r>
        <w:rPr>
          <w:rFonts w:hint="eastAsia" w:ascii="Times New Roman" w:hAnsi="Times New Roman" w:eastAsia="宋体" w:cs="Times New Roman"/>
          <w:color w:val="auto"/>
          <w:highlight w:val="none"/>
          <w:u w:val="none"/>
        </w:rPr>
        <w:t>）《福建省生态环境厅关于印发</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rPr>
        <w:t>福建省</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十四五</w:t>
      </w:r>
      <w:r>
        <w:rPr>
          <w:rFonts w:hint="eastAsia" w:cs="Times New Roman"/>
          <w:color w:val="auto"/>
          <w:highlight w:val="none"/>
          <w:u w:val="none"/>
          <w:lang w:eastAsia="zh-CN"/>
        </w:rPr>
        <w:t>”</w:t>
      </w:r>
      <w:r>
        <w:rPr>
          <w:rFonts w:hint="eastAsia" w:ascii="Times New Roman" w:hAnsi="Times New Roman" w:eastAsia="宋体" w:cs="Times New Roman"/>
          <w:color w:val="auto"/>
          <w:highlight w:val="none"/>
          <w:u w:val="none"/>
        </w:rPr>
        <w:t>危险废物污染防治规划</w:t>
      </w:r>
      <w:r>
        <w:rPr>
          <w:rFonts w:hint="eastAsia" w:ascii="Times New Roman" w:hAnsi="Times New Roman" w:eastAsia="宋体" w:cs="Times New Roman"/>
          <w:color w:val="auto"/>
          <w:highlight w:val="none"/>
          <w:u w:val="none"/>
          <w:lang w:eastAsia="zh-CN"/>
        </w:rPr>
        <w:t>〉的通知》</w:t>
      </w:r>
      <w:r>
        <w:rPr>
          <w:rFonts w:hint="eastAsia" w:ascii="Times New Roman" w:hAnsi="Times New Roman" w:eastAsia="宋体" w:cs="Times New Roman"/>
          <w:color w:val="auto"/>
          <w:highlight w:val="none"/>
          <w:u w:val="none"/>
        </w:rPr>
        <w:t>（闽环保固体〔2021〕23号）；</w:t>
      </w:r>
    </w:p>
    <w:p w14:paraId="70C12741">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lang w:val="en-US" w:eastAsia="zh-CN"/>
        </w:rPr>
        <w:t>6</w:t>
      </w:r>
      <w:r>
        <w:rPr>
          <w:rFonts w:hint="eastAsia" w:ascii="Times New Roman" w:hAnsi="Times New Roman" w:eastAsia="宋体" w:cs="Times New Roman"/>
          <w:color w:val="auto"/>
          <w:highlight w:val="none"/>
          <w:u w:val="none"/>
        </w:rPr>
        <w:t>）中共福建省委、福建省人民政府印发《福建省深入打好污染防治攻坚战实施方案》，2022年5月31日；</w:t>
      </w:r>
    </w:p>
    <w:p w14:paraId="74FF29D0">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lang w:val="en-US" w:eastAsia="zh-CN"/>
        </w:rPr>
        <w:t>7</w:t>
      </w:r>
      <w:r>
        <w:rPr>
          <w:rFonts w:hint="eastAsia" w:ascii="Times New Roman" w:hAnsi="Times New Roman" w:eastAsia="宋体" w:cs="Times New Roman"/>
          <w:color w:val="auto"/>
          <w:highlight w:val="none"/>
          <w:u w:val="none"/>
        </w:rPr>
        <w:t>）《福建省人民政府办公厅关于印发福建省突发环境事件应急预案的通知》（闽政办</w:t>
      </w:r>
      <w:r>
        <w:rPr>
          <w:rFonts w:hint="eastAsia" w:ascii="Times New Roman" w:hAnsi="Times New Roman" w:eastAsia="宋体" w:cs="Times New Roman"/>
          <w:color w:val="auto"/>
          <w:highlight w:val="none"/>
          <w:u w:val="none"/>
          <w:lang w:eastAsia="zh-CN"/>
        </w:rPr>
        <w:t>〔2015〕102号</w:t>
      </w:r>
      <w:r>
        <w:rPr>
          <w:rFonts w:hint="eastAsia" w:ascii="Times New Roman" w:hAnsi="Times New Roman" w:eastAsia="宋体" w:cs="Times New Roman"/>
          <w:color w:val="auto"/>
          <w:highlight w:val="none"/>
          <w:u w:val="none"/>
        </w:rPr>
        <w:t>），2015年7月12日；</w:t>
      </w:r>
    </w:p>
    <w:p w14:paraId="35D06195">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lang w:val="en-US" w:eastAsia="zh-CN"/>
        </w:rPr>
        <w:t>8</w:t>
      </w:r>
      <w:r>
        <w:rPr>
          <w:rFonts w:hint="eastAsia" w:ascii="Times New Roman" w:hAnsi="Times New Roman" w:eastAsia="宋体" w:cs="Times New Roman"/>
          <w:color w:val="auto"/>
          <w:highlight w:val="none"/>
          <w:u w:val="none"/>
        </w:rPr>
        <w:t>）《福建省生态环境厅关于国家和地方相关大气污染物排放标准执行有关事项的通知》（闽环保大气</w:t>
      </w:r>
      <w:r>
        <w:rPr>
          <w:rFonts w:hint="eastAsia" w:ascii="Times New Roman" w:hAnsi="Times New Roman" w:eastAsia="宋体" w:cs="Times New Roman"/>
          <w:color w:val="auto"/>
          <w:highlight w:val="none"/>
          <w:u w:val="none"/>
          <w:lang w:eastAsia="zh-CN"/>
        </w:rPr>
        <w:t>〔2019〕6号</w:t>
      </w:r>
      <w:r>
        <w:rPr>
          <w:rFonts w:hint="eastAsia" w:ascii="Times New Roman" w:hAnsi="Times New Roman" w:eastAsia="宋体" w:cs="Times New Roman"/>
          <w:color w:val="auto"/>
          <w:highlight w:val="none"/>
          <w:u w:val="none"/>
        </w:rPr>
        <w:t>），2019年6月27日；</w:t>
      </w:r>
    </w:p>
    <w:p w14:paraId="4796E974">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（19）《福建省碳排放权交易管理暂行办法（2020年修正）》（闽政令第176号），2020年8月7日；</w:t>
      </w:r>
    </w:p>
    <w:p w14:paraId="08A86CD3">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（20）《福建省工业和信息化厅 福建省发展和改革委员会 福建省生态环境厅关于印发福建省工业领域碳达峰实施方案的通知》（闽工信规</w:t>
      </w:r>
      <w:r>
        <w:rPr>
          <w:rFonts w:hint="eastAsia" w:ascii="Times New Roman" w:hAnsi="Times New Roman" w:eastAsia="宋体" w:cs="Times New Roman"/>
          <w:color w:val="auto"/>
          <w:highlight w:val="none"/>
          <w:u w:val="none"/>
          <w:lang w:eastAsia="zh-CN"/>
        </w:rPr>
        <w:t>〔2023〕5号</w:t>
      </w:r>
      <w:r>
        <w:rPr>
          <w:rFonts w:hint="eastAsia" w:ascii="Times New Roman" w:hAnsi="Times New Roman" w:eastAsia="宋体" w:cs="Times New Roman"/>
          <w:color w:val="auto"/>
          <w:highlight w:val="none"/>
          <w:u w:val="none"/>
        </w:rPr>
        <w:t>），2023年7月18日；</w:t>
      </w:r>
    </w:p>
    <w:p w14:paraId="121B415F">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（21）《福建省生态功能区划》，福建省人民政府（</w:t>
      </w:r>
      <w:r>
        <w:rPr>
          <w:rFonts w:ascii="Times New Roman" w:hAnsi="Times New Roman" w:eastAsia="宋体" w:cs="Times New Roman"/>
          <w:color w:val="auto"/>
          <w:highlight w:val="none"/>
          <w:u w:val="none"/>
        </w:rPr>
        <w:t>2010</w:t>
      </w:r>
      <w:r>
        <w:rPr>
          <w:rFonts w:hint="eastAsia" w:ascii="Times New Roman" w:hAnsi="Times New Roman" w:eastAsia="宋体" w:cs="Times New Roman"/>
          <w:color w:val="auto"/>
          <w:highlight w:val="none"/>
          <w:u w:val="none"/>
        </w:rPr>
        <w:t>年</w:t>
      </w:r>
      <w:r>
        <w:rPr>
          <w:rFonts w:ascii="Times New Roman" w:hAnsi="Times New Roman" w:eastAsia="宋体" w:cs="Times New Roman"/>
          <w:color w:val="auto"/>
          <w:highlight w:val="none"/>
          <w:u w:val="none"/>
        </w:rPr>
        <w:t>1</w:t>
      </w:r>
      <w:r>
        <w:rPr>
          <w:rFonts w:hint="eastAsia" w:ascii="Times New Roman" w:hAnsi="Times New Roman" w:eastAsia="宋体" w:cs="Times New Roman"/>
          <w:color w:val="auto"/>
          <w:highlight w:val="none"/>
          <w:u w:val="none"/>
        </w:rPr>
        <w:t>月）；</w:t>
      </w:r>
    </w:p>
    <w:p w14:paraId="4102D2F4">
      <w:pPr>
        <w:pStyle w:val="303"/>
        <w:numPr>
          <w:ilvl w:val="0"/>
          <w:numId w:val="0"/>
        </w:numPr>
        <w:ind w:firstLine="480" w:firstLineChars="200"/>
        <w:rPr>
          <w:rFonts w:hint="eastAsia" w:ascii="Times New Roman" w:hAnsi="Times New Roman" w:eastAsia="宋体" w:cs="Times New Roman"/>
          <w:color w:val="auto"/>
          <w:highlight w:val="none"/>
          <w:u w:val="none"/>
        </w:rPr>
      </w:pPr>
      <w:r>
        <w:rPr>
          <w:rFonts w:hint="eastAsia" w:ascii="Times New Roman" w:hAnsi="Times New Roman" w:eastAsia="宋体" w:cs="Times New Roman"/>
          <w:snapToGrid w:val="0"/>
          <w:color w:val="auto"/>
          <w:sz w:val="24"/>
          <w:highlight w:val="none"/>
          <w:lang w:val="en-US" w:eastAsia="zh-CN" w:bidi="ar-SA"/>
        </w:rPr>
        <w:t>（22）</w:t>
      </w:r>
      <w:r>
        <w:rPr>
          <w:rFonts w:hint="eastAsia" w:ascii="Times New Roman" w:hAnsi="Times New Roman" w:eastAsia="宋体" w:cs="Times New Roman"/>
          <w:color w:val="auto"/>
          <w:highlight w:val="none"/>
          <w:u w:val="none"/>
        </w:rPr>
        <w:t>《福建省人民政府关于印发</w:t>
      </w:r>
      <w:r>
        <w:rPr>
          <w:rFonts w:hint="eastAsia" w:ascii="Times New Roman" w:hAnsi="Times New Roman" w:eastAsia="宋体" w:cs="Times New Roman"/>
          <w:color w:val="auto"/>
          <w:highlight w:val="none"/>
          <w:u w:val="none"/>
          <w:lang w:eastAsia="zh-CN"/>
        </w:rPr>
        <w:t>〈</w:t>
      </w:r>
      <w:r>
        <w:rPr>
          <w:rFonts w:hint="eastAsia" w:ascii="Times New Roman" w:hAnsi="Times New Roman" w:eastAsia="宋体" w:cs="Times New Roman"/>
          <w:color w:val="auto"/>
          <w:highlight w:val="none"/>
          <w:u w:val="none"/>
        </w:rPr>
        <w:t>福建省空气质量持续改善实施方案</w:t>
      </w:r>
      <w:r>
        <w:rPr>
          <w:rFonts w:hint="eastAsia" w:ascii="Times New Roman" w:hAnsi="Times New Roman" w:eastAsia="宋体" w:cs="Times New Roman"/>
          <w:color w:val="auto"/>
          <w:highlight w:val="none"/>
          <w:u w:val="none"/>
          <w:lang w:eastAsia="zh-CN"/>
        </w:rPr>
        <w:t>〉的通知》</w:t>
      </w:r>
      <w:r>
        <w:rPr>
          <w:rFonts w:hint="eastAsia" w:ascii="Times New Roman" w:hAnsi="Times New Roman" w:eastAsia="宋体" w:cs="Times New Roman"/>
          <w:color w:val="auto"/>
          <w:highlight w:val="none"/>
          <w:u w:val="none"/>
        </w:rPr>
        <w:t>（闽政文</w:t>
      </w:r>
      <w:r>
        <w:rPr>
          <w:rFonts w:hint="eastAsia" w:ascii="Times New Roman" w:hAnsi="Times New Roman" w:eastAsia="宋体" w:cs="Times New Roman"/>
          <w:color w:val="auto"/>
          <w:highlight w:val="none"/>
          <w:u w:val="none"/>
          <w:lang w:eastAsia="zh-CN"/>
        </w:rPr>
        <w:t>〔2024〕361号</w:t>
      </w:r>
      <w:r>
        <w:rPr>
          <w:rFonts w:hint="eastAsia" w:ascii="Times New Roman" w:hAnsi="Times New Roman" w:eastAsia="宋体" w:cs="Times New Roman"/>
          <w:color w:val="auto"/>
          <w:highlight w:val="none"/>
          <w:u w:val="none"/>
        </w:rPr>
        <w:t>），2024年11月1日；</w:t>
      </w:r>
    </w:p>
    <w:p w14:paraId="0E0222DE">
      <w:pPr>
        <w:pStyle w:val="303"/>
        <w:numPr>
          <w:ilvl w:val="0"/>
          <w:numId w:val="0"/>
        </w:numPr>
        <w:ind w:firstLine="480" w:firstLineChars="200"/>
        <w:rPr>
          <w:rFonts w:hint="eastAsia" w:ascii="Times New Roman" w:hAnsi="Times New Roman" w:eastAsia="宋体" w:cs="Times New Roman"/>
          <w:color w:val="auto"/>
          <w:highlight w:val="none"/>
          <w:u w:val="none"/>
          <w:lang w:eastAsia="zh-CN"/>
        </w:rPr>
      </w:pPr>
      <w:r>
        <w:rPr>
          <w:rFonts w:hint="eastAsia" w:ascii="Times New Roman" w:hAnsi="Times New Roman" w:eastAsia="宋体" w:cs="Times New Roman"/>
          <w:snapToGrid w:val="0"/>
          <w:color w:val="auto"/>
          <w:sz w:val="24"/>
          <w:highlight w:val="none"/>
          <w:lang w:val="en-US" w:eastAsia="zh-CN" w:bidi="ar-SA"/>
        </w:rPr>
        <w:t>（23）</w:t>
      </w:r>
      <w:r>
        <w:rPr>
          <w:rFonts w:hint="eastAsia" w:ascii="Times New Roman" w:hAnsi="Times New Roman" w:eastAsia="宋体" w:cs="Times New Roman"/>
          <w:color w:val="auto"/>
          <w:highlight w:val="none"/>
          <w:u w:val="none"/>
        </w:rPr>
        <w:t>《福建省人民政府办公厅关于印发福建省新污染物治理工作方案的通知》，2023年1月1日</w:t>
      </w:r>
      <w:r>
        <w:rPr>
          <w:rFonts w:hint="eastAsia" w:ascii="Times New Roman" w:hAnsi="Times New Roman" w:eastAsia="宋体" w:cs="Times New Roman"/>
          <w:color w:val="auto"/>
          <w:highlight w:val="none"/>
          <w:u w:val="none"/>
          <w:lang w:eastAsia="zh-CN"/>
        </w:rPr>
        <w:t>；</w:t>
      </w:r>
    </w:p>
    <w:p w14:paraId="53FF8F20">
      <w:pPr>
        <w:pStyle w:val="303"/>
        <w:rPr>
          <w:rFonts w:hint="eastAsia" w:ascii="Times New Roman" w:hAnsi="Times New Roman" w:eastAsia="宋体" w:cs="Times New Roman"/>
          <w:color w:val="auto"/>
          <w:highlight w:val="none"/>
          <w:u w:val="none"/>
          <w:lang w:eastAsia="zh-CN"/>
        </w:rPr>
      </w:pPr>
      <w:r>
        <w:rPr>
          <w:rFonts w:hint="eastAsia" w:ascii="Times New Roman" w:hAnsi="Times New Roman" w:eastAsia="宋体" w:cs="Times New Roman"/>
          <w:color w:val="auto"/>
          <w:highlight w:val="none"/>
          <w:u w:val="none"/>
        </w:rPr>
        <w:t>（2</w:t>
      </w:r>
      <w:r>
        <w:rPr>
          <w:rFonts w:hint="eastAsia" w:ascii="Times New Roman" w:hAnsi="Times New Roman" w:eastAsia="宋体" w:cs="Times New Roman"/>
          <w:color w:val="auto"/>
          <w:highlight w:val="none"/>
          <w:u w:val="none"/>
          <w:lang w:val="en-US" w:eastAsia="zh-CN"/>
        </w:rPr>
        <w:t>4</w:t>
      </w:r>
      <w:r>
        <w:rPr>
          <w:rFonts w:hint="eastAsia" w:ascii="Times New Roman" w:hAnsi="Times New Roman" w:eastAsia="宋体" w:cs="Times New Roman"/>
          <w:color w:val="auto"/>
          <w:highlight w:val="none"/>
          <w:u w:val="none"/>
        </w:rPr>
        <w:t>）《福州市水污染防治行动计划工作方案》（榕政综〔2015〕390号）</w:t>
      </w:r>
      <w:r>
        <w:rPr>
          <w:rFonts w:hint="eastAsia" w:ascii="Times New Roman" w:hAnsi="Times New Roman" w:eastAsia="宋体" w:cs="Times New Roman"/>
          <w:color w:val="auto"/>
          <w:highlight w:val="none"/>
          <w:u w:val="none"/>
          <w:lang w:eastAsia="zh-CN"/>
        </w:rPr>
        <w:t>；</w:t>
      </w:r>
    </w:p>
    <w:p w14:paraId="4F1C62C2">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（2</w:t>
      </w:r>
      <w:r>
        <w:rPr>
          <w:rFonts w:hint="eastAsia" w:ascii="Times New Roman" w:hAnsi="Times New Roman" w:eastAsia="宋体" w:cs="Times New Roman"/>
          <w:color w:val="auto"/>
          <w:highlight w:val="none"/>
          <w:u w:val="none"/>
          <w:lang w:val="en-US" w:eastAsia="zh-CN"/>
        </w:rPr>
        <w:t>5</w:t>
      </w:r>
      <w:r>
        <w:rPr>
          <w:rFonts w:hint="eastAsia" w:ascii="Times New Roman" w:hAnsi="Times New Roman" w:eastAsia="宋体" w:cs="Times New Roman"/>
          <w:color w:val="auto"/>
          <w:highlight w:val="none"/>
          <w:u w:val="none"/>
        </w:rPr>
        <w:t>）《福州市大气污染防治行动计划实施细则》（榕政综〔201</w:t>
      </w:r>
      <w:r>
        <w:rPr>
          <w:rFonts w:ascii="Times New Roman" w:hAnsi="Times New Roman" w:eastAsia="宋体" w:cs="Times New Roman"/>
          <w:color w:val="auto"/>
          <w:highlight w:val="none"/>
          <w:u w:val="none"/>
        </w:rPr>
        <w:t>4</w:t>
      </w:r>
      <w:r>
        <w:rPr>
          <w:rFonts w:hint="eastAsia" w:ascii="Times New Roman" w:hAnsi="Times New Roman" w:eastAsia="宋体" w:cs="Times New Roman"/>
          <w:color w:val="auto"/>
          <w:highlight w:val="none"/>
          <w:u w:val="none"/>
        </w:rPr>
        <w:t>〕</w:t>
      </w:r>
      <w:r>
        <w:rPr>
          <w:rFonts w:ascii="Times New Roman" w:hAnsi="Times New Roman" w:eastAsia="宋体" w:cs="Times New Roman"/>
          <w:color w:val="auto"/>
          <w:highlight w:val="none"/>
          <w:u w:val="none"/>
        </w:rPr>
        <w:t>27</w:t>
      </w:r>
      <w:r>
        <w:rPr>
          <w:rFonts w:hint="eastAsia" w:ascii="Times New Roman" w:hAnsi="Times New Roman" w:eastAsia="宋体" w:cs="Times New Roman"/>
          <w:color w:val="auto"/>
          <w:highlight w:val="none"/>
          <w:u w:val="none"/>
        </w:rPr>
        <w:t>号）；</w:t>
      </w:r>
    </w:p>
    <w:p w14:paraId="4D27EB7E">
      <w:pPr>
        <w:pStyle w:val="303"/>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（2</w:t>
      </w:r>
      <w:r>
        <w:rPr>
          <w:rFonts w:hint="eastAsia" w:ascii="Times New Roman" w:hAnsi="Times New Roman" w:eastAsia="宋体" w:cs="Times New Roman"/>
          <w:color w:val="auto"/>
          <w:highlight w:val="none"/>
          <w:u w:val="none"/>
          <w:lang w:val="en-US" w:eastAsia="zh-CN"/>
        </w:rPr>
        <w:t>6</w:t>
      </w:r>
      <w:r>
        <w:rPr>
          <w:rFonts w:hint="eastAsia" w:ascii="Times New Roman" w:hAnsi="Times New Roman" w:eastAsia="宋体" w:cs="Times New Roman"/>
          <w:color w:val="auto"/>
          <w:highlight w:val="none"/>
          <w:u w:val="none"/>
        </w:rPr>
        <w:t>）《福州市土壤污染防治行动计划实施方案》（榕政综〔2017〕36号）</w:t>
      </w:r>
      <w:r>
        <w:rPr>
          <w:rFonts w:hint="eastAsia" w:ascii="Times New Roman" w:hAnsi="Times New Roman" w:eastAsia="宋体" w:cs="Times New Roman"/>
          <w:color w:val="auto"/>
          <w:highlight w:val="none"/>
          <w:u w:val="none"/>
          <w:lang w:eastAsia="zh-CN"/>
        </w:rPr>
        <w:t>；</w:t>
      </w:r>
    </w:p>
    <w:p w14:paraId="07700C60">
      <w:pPr>
        <w:pStyle w:val="303"/>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highlight w:val="none"/>
          <w:u w:val="none"/>
        </w:rPr>
        <w:t>（2</w:t>
      </w:r>
      <w:r>
        <w:rPr>
          <w:rFonts w:hint="eastAsia" w:ascii="Times New Roman" w:hAnsi="Times New Roman" w:eastAsia="宋体" w:cs="Times New Roman"/>
          <w:color w:val="auto"/>
          <w:highlight w:val="none"/>
          <w:u w:val="none"/>
          <w:lang w:val="en-US" w:eastAsia="zh-CN"/>
        </w:rPr>
        <w:t>7</w:t>
      </w:r>
      <w:r>
        <w:rPr>
          <w:rFonts w:hint="eastAsia" w:ascii="Times New Roman" w:hAnsi="Times New Roman" w:eastAsia="宋体" w:cs="Times New Roman"/>
          <w:color w:val="auto"/>
          <w:highlight w:val="none"/>
          <w:u w:val="none"/>
        </w:rPr>
        <w:t>）</w:t>
      </w:r>
      <w:r>
        <w:rPr>
          <w:rFonts w:hint="eastAsia" w:ascii="Times New Roman" w:hAnsi="Times New Roman" w:eastAsia="宋体" w:cs="Times New Roman"/>
          <w:color w:val="auto"/>
          <w:kern w:val="2"/>
          <w:sz w:val="24"/>
          <w:szCs w:val="24"/>
          <w:highlight w:val="none"/>
          <w:lang w:val="en-US" w:eastAsia="zh-CN" w:bidi="ar-SA"/>
        </w:rPr>
        <w:t>《闽侯县国土空间总体规划（</w:t>
      </w:r>
      <w:r>
        <w:rPr>
          <w:rFonts w:hint="default" w:ascii="Times New Roman" w:hAnsi="Times New Roman" w:eastAsia="宋体" w:cs="Times New Roman"/>
          <w:color w:val="auto"/>
          <w:kern w:val="2"/>
          <w:sz w:val="24"/>
          <w:szCs w:val="24"/>
          <w:highlight w:val="none"/>
          <w:lang w:val="en-US" w:eastAsia="zh-CN" w:bidi="ar-SA"/>
        </w:rPr>
        <w:t>2021</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2035</w:t>
      </w:r>
      <w:r>
        <w:rPr>
          <w:rFonts w:hint="eastAsia" w:ascii="Times New Roman" w:hAnsi="Times New Roman" w:eastAsia="宋体" w:cs="Times New Roman"/>
          <w:color w:val="auto"/>
          <w:kern w:val="2"/>
          <w:sz w:val="24"/>
          <w:szCs w:val="24"/>
          <w:highlight w:val="none"/>
          <w:lang w:val="en-US" w:eastAsia="zh-CN" w:bidi="ar-SA"/>
        </w:rPr>
        <w:t>年）》；</w:t>
      </w:r>
    </w:p>
    <w:p w14:paraId="0CF511F8">
      <w:pPr>
        <w:pStyle w:val="303"/>
        <w:rPr>
          <w:rFonts w:hint="eastAsia" w:ascii="Times New Roman" w:hAnsi="Times New Roman" w:eastAsia="宋体" w:cs="Times New Roman"/>
          <w:color w:val="auto"/>
          <w:highlight w:val="none"/>
          <w:u w:val="none"/>
          <w:lang w:eastAsia="zh-CN"/>
        </w:rPr>
      </w:pPr>
      <w:r>
        <w:rPr>
          <w:rFonts w:hint="eastAsia" w:ascii="Times New Roman" w:hAnsi="Times New Roman" w:eastAsia="宋体" w:cs="Times New Roman"/>
          <w:color w:val="auto"/>
          <w:kern w:val="2"/>
          <w:sz w:val="24"/>
          <w:szCs w:val="24"/>
          <w:highlight w:val="none"/>
          <w:lang w:val="en-US" w:eastAsia="zh-CN" w:bidi="ar-SA"/>
        </w:rPr>
        <w:t>（28）</w:t>
      </w:r>
      <w:r>
        <w:rPr>
          <w:rFonts w:hint="eastAsia" w:ascii="Times New Roman" w:hAnsi="Times New Roman" w:eastAsia="宋体" w:cs="Times New Roman"/>
          <w:color w:val="auto"/>
          <w:highlight w:val="none"/>
          <w:lang w:val="en-US" w:eastAsia="zh-CN"/>
        </w:rPr>
        <w:t>《关于发布福州市2024年生态环境分区管控动态更新成果的通知》（榕环保综〔2025〕1号）</w:t>
      </w:r>
      <w:r>
        <w:rPr>
          <w:rFonts w:hint="eastAsia" w:ascii="Times New Roman" w:hAnsi="Times New Roman" w:eastAsia="宋体" w:cs="Times New Roman"/>
          <w:color w:val="auto"/>
          <w:kern w:val="2"/>
          <w:sz w:val="24"/>
          <w:szCs w:val="24"/>
          <w:highlight w:val="none"/>
          <w:lang w:val="en-US" w:eastAsia="zh-CN" w:bidi="ar-SA"/>
        </w:rPr>
        <w:t>。</w:t>
      </w:r>
    </w:p>
    <w:p w14:paraId="66C67620">
      <w:pPr>
        <w:pStyle w:val="4"/>
        <w:numPr>
          <w:ilvl w:val="2"/>
          <w:numId w:val="0"/>
        </w:numPr>
        <w:tabs>
          <w:tab w:val="clear" w:pos="720"/>
        </w:tabs>
        <w:bidi w:val="0"/>
        <w:rPr>
          <w:color w:val="auto"/>
          <w:highlight w:val="none"/>
        </w:rPr>
      </w:pPr>
      <w:bookmarkStart w:id="225" w:name="_Toc2242"/>
      <w:r>
        <w:rPr>
          <w:color w:val="auto"/>
          <w:highlight w:val="none"/>
        </w:rPr>
        <w:t>2.1.4</w:t>
      </w:r>
      <w:r>
        <w:rPr>
          <w:rFonts w:hint="eastAsia"/>
          <w:color w:val="auto"/>
          <w:highlight w:val="none"/>
          <w:lang w:val="en-US" w:eastAsia="zh-CN"/>
        </w:rPr>
        <w:t xml:space="preserve"> </w:t>
      </w:r>
      <w:r>
        <w:rPr>
          <w:color w:val="auto"/>
          <w:highlight w:val="none"/>
        </w:rPr>
        <w:t>评价技术规范</w:t>
      </w:r>
      <w:bookmarkEnd w:id="225"/>
    </w:p>
    <w:p w14:paraId="185A6CD3">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（1）《建设项目环境影响评价技术导则 总纲》（</w:t>
      </w:r>
      <w:r>
        <w:rPr>
          <w:rFonts w:hint="eastAsia" w:cs="Times New Roman"/>
          <w:color w:val="auto"/>
          <w:highlight w:val="none"/>
          <w:lang w:eastAsia="zh-CN"/>
        </w:rPr>
        <w:t>HJ 2</w:t>
      </w:r>
      <w:r>
        <w:rPr>
          <w:rFonts w:ascii="Times New Roman" w:hAnsi="Times New Roman" w:eastAsia="宋体" w:cs="Times New Roman"/>
          <w:color w:val="auto"/>
          <w:highlight w:val="none"/>
        </w:rPr>
        <w:t>.1-2016）；</w:t>
      </w:r>
    </w:p>
    <w:p w14:paraId="66AC950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（2）《环境影响评价技术导则 大气环境》（</w:t>
      </w:r>
      <w:r>
        <w:rPr>
          <w:rFonts w:hint="eastAsia" w:cs="Times New Roman"/>
          <w:color w:val="auto"/>
          <w:highlight w:val="none"/>
          <w:lang w:eastAsia="zh-CN"/>
        </w:rPr>
        <w:t>HJ 2</w:t>
      </w:r>
      <w:r>
        <w:rPr>
          <w:rFonts w:ascii="Times New Roman" w:hAnsi="Times New Roman" w:eastAsia="宋体" w:cs="Times New Roman"/>
          <w:color w:val="auto"/>
          <w:highlight w:val="none"/>
        </w:rPr>
        <w:t>.2-2018）；</w:t>
      </w:r>
    </w:p>
    <w:p w14:paraId="4FCE7745">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（3）《环境影响评价技术导则 地表水环境》（</w:t>
      </w:r>
      <w:r>
        <w:rPr>
          <w:rFonts w:hint="eastAsia" w:cs="Times New Roman"/>
          <w:color w:val="auto"/>
          <w:highlight w:val="none"/>
          <w:lang w:eastAsia="zh-CN"/>
        </w:rPr>
        <w:t>HJ 2</w:t>
      </w:r>
      <w:r>
        <w:rPr>
          <w:rFonts w:ascii="Times New Roman" w:hAnsi="Times New Roman" w:eastAsia="宋体" w:cs="Times New Roman"/>
          <w:color w:val="auto"/>
          <w:highlight w:val="none"/>
        </w:rPr>
        <w:t>.3-2018）；</w:t>
      </w:r>
    </w:p>
    <w:p w14:paraId="24FBEBC3">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（4）《环境影响评价技术导则 地下水环境》（</w:t>
      </w:r>
      <w:r>
        <w:rPr>
          <w:rFonts w:hint="eastAsia" w:cs="Times New Roman"/>
          <w:color w:val="auto"/>
          <w:highlight w:val="none"/>
          <w:lang w:eastAsia="zh-CN"/>
        </w:rPr>
        <w:t>HJ 610</w:t>
      </w:r>
      <w:r>
        <w:rPr>
          <w:rFonts w:ascii="Times New Roman" w:hAnsi="Times New Roman" w:eastAsia="宋体" w:cs="Times New Roman"/>
          <w:color w:val="auto"/>
          <w:highlight w:val="none"/>
        </w:rPr>
        <w:t>-2016）；</w:t>
      </w:r>
    </w:p>
    <w:p w14:paraId="17C961C3">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（5）《环境影响评价技术导则 声环境》（</w:t>
      </w:r>
      <w:r>
        <w:rPr>
          <w:rFonts w:hint="eastAsia" w:cs="Times New Roman"/>
          <w:color w:val="auto"/>
          <w:szCs w:val="22"/>
          <w:highlight w:val="none"/>
          <w:lang w:eastAsia="zh-CN"/>
        </w:rPr>
        <w:t>HJ 2</w:t>
      </w:r>
      <w:r>
        <w:rPr>
          <w:rFonts w:ascii="Times New Roman" w:hAnsi="Times New Roman" w:eastAsia="宋体" w:cs="Times New Roman"/>
          <w:color w:val="auto"/>
          <w:szCs w:val="22"/>
          <w:highlight w:val="none"/>
        </w:rPr>
        <w:t>.4-2021）（2022年7月1日起实施）；</w:t>
      </w:r>
    </w:p>
    <w:p w14:paraId="7AD9381F">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（6）《环境影响评价技术导则 生态影响》（</w:t>
      </w:r>
      <w:r>
        <w:rPr>
          <w:rFonts w:hint="eastAsia" w:cs="Times New Roman"/>
          <w:color w:val="auto"/>
          <w:szCs w:val="22"/>
          <w:highlight w:val="none"/>
          <w:lang w:eastAsia="zh-CN"/>
        </w:rPr>
        <w:t>HJ 19</w:t>
      </w:r>
      <w:r>
        <w:rPr>
          <w:rFonts w:ascii="Times New Roman" w:hAnsi="Times New Roman" w:eastAsia="宋体" w:cs="Times New Roman"/>
          <w:color w:val="auto"/>
          <w:szCs w:val="22"/>
          <w:highlight w:val="none"/>
        </w:rPr>
        <w:t>-2022）（2022年7月1日起实施）；</w:t>
      </w:r>
    </w:p>
    <w:p w14:paraId="6AA75B3D">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（7）《建设项目环境风险评价技术导则》（HJ 169-2018）；</w:t>
      </w:r>
    </w:p>
    <w:p w14:paraId="191EE70B">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（8）《固定污染源排污许可分类管理名录（2019年版）》；</w:t>
      </w:r>
    </w:p>
    <w:p w14:paraId="6CB8208C">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（9）《排污许可证申请与核发技术规范 汽车制造业》（</w:t>
      </w:r>
      <w:r>
        <w:rPr>
          <w:rFonts w:hint="eastAsia" w:cs="Times New Roman"/>
          <w:color w:val="auto"/>
          <w:szCs w:val="22"/>
          <w:highlight w:val="none"/>
          <w:lang w:eastAsia="zh-CN"/>
        </w:rPr>
        <w:t>HJ 971-2026</w:t>
      </w:r>
      <w:r>
        <w:rPr>
          <w:rFonts w:ascii="Times New Roman" w:hAnsi="Times New Roman" w:eastAsia="宋体" w:cs="Times New Roman"/>
          <w:color w:val="auto"/>
          <w:szCs w:val="22"/>
          <w:highlight w:val="none"/>
        </w:rPr>
        <w:t>）</w:t>
      </w:r>
      <w:r>
        <w:rPr>
          <w:rFonts w:hint="eastAsia" w:cs="Times New Roman"/>
          <w:color w:val="auto"/>
          <w:szCs w:val="22"/>
          <w:highlight w:val="none"/>
          <w:lang w:eastAsia="zh-CN"/>
        </w:rPr>
        <w:t>（</w:t>
      </w:r>
      <w:r>
        <w:rPr>
          <w:rFonts w:hint="eastAsia" w:cs="Times New Roman"/>
          <w:color w:val="auto"/>
          <w:szCs w:val="22"/>
          <w:highlight w:val="none"/>
          <w:lang w:val="en-US" w:eastAsia="zh-CN"/>
        </w:rPr>
        <w:t>2027年1月1日起实施）</w:t>
      </w:r>
      <w:r>
        <w:rPr>
          <w:rFonts w:ascii="Times New Roman" w:hAnsi="Times New Roman" w:eastAsia="宋体" w:cs="Times New Roman"/>
          <w:color w:val="auto"/>
          <w:szCs w:val="22"/>
          <w:highlight w:val="none"/>
        </w:rPr>
        <w:t>；</w:t>
      </w:r>
    </w:p>
    <w:p w14:paraId="5D0596DA">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（10）《排污许可证申请与核发技术规范 总则》（</w:t>
      </w:r>
      <w:r>
        <w:rPr>
          <w:rFonts w:hint="eastAsia" w:cs="Times New Roman"/>
          <w:color w:val="auto"/>
          <w:szCs w:val="22"/>
          <w:highlight w:val="none"/>
          <w:lang w:eastAsia="zh-CN"/>
        </w:rPr>
        <w:t>HJ 942</w:t>
      </w:r>
      <w:r>
        <w:rPr>
          <w:rFonts w:ascii="Times New Roman" w:hAnsi="Times New Roman" w:eastAsia="宋体" w:cs="Times New Roman"/>
          <w:color w:val="auto"/>
          <w:szCs w:val="22"/>
          <w:highlight w:val="none"/>
        </w:rPr>
        <w:t>-2018）；</w:t>
      </w:r>
    </w:p>
    <w:p w14:paraId="0A952E0B">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（11）《排污单位自行监测技术指南总则》（HJ 819-2017）；</w:t>
      </w:r>
    </w:p>
    <w:p w14:paraId="392A7DDA">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（12）《建设项目竣工环境保护验收暂行办法》（2017年11月22日印发）；</w:t>
      </w:r>
    </w:p>
    <w:p w14:paraId="4443345D">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（13）《污染源源强核算技术指南 准则》（</w:t>
      </w:r>
      <w:r>
        <w:rPr>
          <w:rFonts w:hint="eastAsia" w:cs="Times New Roman"/>
          <w:color w:val="auto"/>
          <w:szCs w:val="22"/>
          <w:highlight w:val="none"/>
          <w:lang w:eastAsia="zh-CN"/>
        </w:rPr>
        <w:t>HJ 884</w:t>
      </w:r>
      <w:r>
        <w:rPr>
          <w:rFonts w:ascii="Times New Roman" w:hAnsi="Times New Roman" w:eastAsia="宋体" w:cs="Times New Roman"/>
          <w:color w:val="auto"/>
          <w:szCs w:val="22"/>
          <w:highlight w:val="none"/>
        </w:rPr>
        <w:t>-2018）；</w:t>
      </w:r>
    </w:p>
    <w:p w14:paraId="59120D40">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（14）《危险化学品重大危险源辨识》（GB 18218-2018）；</w:t>
      </w:r>
    </w:p>
    <w:p w14:paraId="31328768">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（15）《固体废物鉴别标准 通则》（</w:t>
      </w:r>
      <w:r>
        <w:rPr>
          <w:rFonts w:hint="eastAsia" w:cs="Times New Roman"/>
          <w:color w:val="auto"/>
          <w:szCs w:val="22"/>
          <w:highlight w:val="none"/>
          <w:lang w:eastAsia="zh-CN"/>
        </w:rPr>
        <w:t>GB 34330-2025</w:t>
      </w:r>
      <w:r>
        <w:rPr>
          <w:rFonts w:ascii="Times New Roman" w:hAnsi="Times New Roman" w:eastAsia="宋体" w:cs="Times New Roman"/>
          <w:color w:val="auto"/>
          <w:szCs w:val="22"/>
          <w:highlight w:val="none"/>
        </w:rPr>
        <w:t>）；</w:t>
      </w:r>
    </w:p>
    <w:p w14:paraId="10E337BB">
      <w:pPr>
        <w:widowControl/>
        <w:adjustRightInd w:val="0"/>
        <w:snapToGrid w:val="0"/>
        <w:ind w:firstLine="480"/>
        <w:rPr>
          <w:rFonts w:ascii="Times New Roman" w:hAnsi="Times New Roman" w:eastAsia="宋体" w:cs="Times New Roman"/>
          <w:color w:val="auto"/>
          <w:szCs w:val="22"/>
          <w:highlight w:val="none"/>
        </w:rPr>
      </w:pPr>
      <w:r>
        <w:rPr>
          <w:rFonts w:ascii="Times New Roman" w:hAnsi="Times New Roman" w:eastAsia="宋体" w:cs="Times New Roman"/>
          <w:color w:val="auto"/>
          <w:szCs w:val="22"/>
          <w:highlight w:val="none"/>
        </w:rPr>
        <w:t>（16）</w:t>
      </w:r>
      <w:r>
        <w:rPr>
          <w:rFonts w:hint="eastAsia" w:ascii="Times New Roman" w:hAnsi="Times New Roman" w:eastAsia="宋体" w:cs="Times New Roman"/>
          <w:color w:val="auto"/>
          <w:szCs w:val="22"/>
          <w:highlight w:val="none"/>
        </w:rPr>
        <w:t>《污染源源强核算技术指南 汽车制造》（</w:t>
      </w:r>
      <w:r>
        <w:rPr>
          <w:rFonts w:hint="eastAsia" w:cs="Times New Roman"/>
          <w:color w:val="auto"/>
          <w:szCs w:val="22"/>
          <w:highlight w:val="none"/>
          <w:lang w:eastAsia="zh-CN"/>
        </w:rPr>
        <w:t>HJ 1097</w:t>
      </w:r>
      <w:r>
        <w:rPr>
          <w:rFonts w:hint="eastAsia" w:ascii="Times New Roman" w:hAnsi="Times New Roman" w:eastAsia="宋体" w:cs="Times New Roman"/>
          <w:color w:val="auto"/>
          <w:szCs w:val="22"/>
          <w:highlight w:val="none"/>
        </w:rPr>
        <w:t>-2020）；</w:t>
      </w:r>
    </w:p>
    <w:p w14:paraId="1786D31F">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（17）《一般工业固体废物贮存和填埋污染控制标准》（</w:t>
      </w:r>
      <w:r>
        <w:rPr>
          <w:rFonts w:hint="eastAsia" w:cs="Times New Roman"/>
          <w:color w:val="auto"/>
          <w:highlight w:val="none"/>
          <w:lang w:eastAsia="zh-CN"/>
        </w:rPr>
        <w:t>GB 18599</w:t>
      </w:r>
      <w:r>
        <w:rPr>
          <w:rFonts w:ascii="Times New Roman" w:hAnsi="Times New Roman" w:eastAsia="宋体" w:cs="Times New Roman"/>
          <w:color w:val="auto"/>
          <w:highlight w:val="none"/>
        </w:rPr>
        <w:t>-2020），生态环境部公告2020年第65号；</w:t>
      </w:r>
    </w:p>
    <w:p w14:paraId="465058AD">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（18）《一般固体废物分类与代码》（GB/</w:t>
      </w:r>
      <w:r>
        <w:rPr>
          <w:rFonts w:hint="eastAsia" w:cs="Times New Roman"/>
          <w:color w:val="auto"/>
          <w:highlight w:val="none"/>
          <w:lang w:eastAsia="zh-CN"/>
        </w:rPr>
        <w:t>T 39198</w:t>
      </w:r>
      <w:r>
        <w:rPr>
          <w:rFonts w:ascii="Times New Roman" w:hAnsi="Times New Roman" w:eastAsia="宋体" w:cs="Times New Roman"/>
          <w:color w:val="auto"/>
          <w:highlight w:val="none"/>
        </w:rPr>
        <w:t>-2020）；</w:t>
      </w:r>
    </w:p>
    <w:p w14:paraId="7F68A019">
      <w:pPr>
        <w:pStyle w:val="1336"/>
        <w:ind w:firstLine="480"/>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（19）《固体废物分类与代码目录》</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2024年1月22日印发</w:t>
      </w:r>
      <w:r>
        <w:rPr>
          <w:rFonts w:hint="eastAsia" w:ascii="Times New Roman" w:hAnsi="Times New Roman" w:eastAsia="宋体" w:cs="Times New Roman"/>
          <w:color w:val="auto"/>
          <w:highlight w:val="none"/>
          <w:lang w:eastAsia="zh-CN"/>
        </w:rPr>
        <w:t>）；</w:t>
      </w:r>
    </w:p>
    <w:p w14:paraId="07A900D7">
      <w:pPr>
        <w:pStyle w:val="133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20</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《建筑设计防火规范》</w:t>
      </w:r>
      <w:r>
        <w:rPr>
          <w:rFonts w:hint="eastAsia" w:ascii="Times New Roman" w:hAnsi="Times New Roman" w:eastAsia="宋体" w:cs="Times New Roman"/>
          <w:color w:val="auto"/>
          <w:highlight w:val="none"/>
        </w:rPr>
        <w:t>GB 50016-2014（2018年版）</w:t>
      </w:r>
      <w:r>
        <w:rPr>
          <w:rFonts w:hint="eastAsia" w:ascii="Times New Roman" w:hAnsi="Times New Roman" w:eastAsia="宋体" w:cs="Times New Roman"/>
          <w:color w:val="auto"/>
          <w:highlight w:val="none"/>
          <w:lang w:eastAsia="zh-CN"/>
        </w:rPr>
        <w:t>；</w:t>
      </w:r>
    </w:p>
    <w:p w14:paraId="168D5891">
      <w:pPr>
        <w:pStyle w:val="1336"/>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21</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《低挥发性有机化合物含量涂料产品技术要求》（</w:t>
      </w:r>
      <w:r>
        <w:rPr>
          <w:rFonts w:hint="default" w:ascii="Times New Roman" w:hAnsi="Times New Roman" w:eastAsia="宋体" w:cs="Times New Roman"/>
          <w:color w:val="auto"/>
          <w:highlight w:val="none"/>
          <w:lang w:val="en-US" w:eastAsia="zh-CN"/>
        </w:rPr>
        <w:t>GB/</w:t>
      </w:r>
      <w:r>
        <w:rPr>
          <w:rFonts w:hint="eastAsia" w:cs="Times New Roman"/>
          <w:color w:val="auto"/>
          <w:highlight w:val="none"/>
          <w:lang w:val="en-US" w:eastAsia="zh-CN"/>
        </w:rPr>
        <w:t>T 38597-</w:t>
      </w:r>
      <w:r>
        <w:rPr>
          <w:rFonts w:hint="default" w:ascii="Times New Roman" w:hAnsi="Times New Roman" w:eastAsia="宋体" w:cs="Times New Roman"/>
          <w:color w:val="auto"/>
          <w:highlight w:val="none"/>
          <w:lang w:val="en-US" w:eastAsia="zh-CN"/>
        </w:rPr>
        <w:t>2020</w:t>
      </w:r>
      <w:r>
        <w:rPr>
          <w:rFonts w:hint="eastAsia" w:ascii="Times New Roman" w:hAnsi="Times New Roman" w:eastAsia="宋体" w:cs="Times New Roman"/>
          <w:color w:val="auto"/>
          <w:highlight w:val="none"/>
          <w:lang w:val="en-US" w:eastAsia="zh-CN"/>
        </w:rPr>
        <w:t>）；</w:t>
      </w:r>
    </w:p>
    <w:p w14:paraId="394ED0BA">
      <w:pPr>
        <w:pStyle w:val="1336"/>
        <w:ind w:firstLine="480"/>
        <w:rPr>
          <w:rFonts w:hint="eastAsia" w:cs="Times New Roman"/>
          <w:color w:val="auto"/>
          <w:highlight w:val="none"/>
          <w:u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u w:val="none"/>
        </w:rPr>
        <w:t>《危险废物贮存污染控制标准》（</w:t>
      </w:r>
      <w:r>
        <w:rPr>
          <w:rFonts w:hint="eastAsia" w:cs="Times New Roman"/>
          <w:color w:val="auto"/>
          <w:highlight w:val="none"/>
          <w:u w:val="none"/>
          <w:lang w:eastAsia="zh-CN"/>
        </w:rPr>
        <w:t>GB 18597</w:t>
      </w:r>
      <w:r>
        <w:rPr>
          <w:rFonts w:hint="eastAsia" w:ascii="Times New Roman" w:hAnsi="Times New Roman" w:eastAsia="宋体" w:cs="Times New Roman"/>
          <w:color w:val="auto"/>
          <w:highlight w:val="none"/>
          <w:u w:val="none"/>
        </w:rPr>
        <w:t>-</w:t>
      </w:r>
      <w:r>
        <w:rPr>
          <w:rFonts w:ascii="Times New Roman" w:hAnsi="Times New Roman" w:eastAsia="宋体" w:cs="Times New Roman"/>
          <w:color w:val="auto"/>
          <w:highlight w:val="none"/>
          <w:u w:val="none"/>
        </w:rPr>
        <w:t>2023</w:t>
      </w:r>
      <w:r>
        <w:rPr>
          <w:rFonts w:hint="eastAsia" w:ascii="Times New Roman" w:hAnsi="Times New Roman" w:eastAsia="宋体" w:cs="Times New Roman"/>
          <w:color w:val="auto"/>
          <w:highlight w:val="none"/>
          <w:u w:val="none"/>
        </w:rPr>
        <w:t>）</w:t>
      </w:r>
      <w:r>
        <w:rPr>
          <w:rFonts w:hint="eastAsia" w:cs="Times New Roman"/>
          <w:color w:val="auto"/>
          <w:highlight w:val="none"/>
          <w:u w:val="none"/>
          <w:lang w:eastAsia="zh-CN"/>
        </w:rPr>
        <w:t>；</w:t>
      </w:r>
    </w:p>
    <w:p w14:paraId="65681136">
      <w:pPr>
        <w:pStyle w:val="1336"/>
        <w:ind w:firstLine="480"/>
        <w:rPr>
          <w:rFonts w:hint="eastAsia" w:cs="Times New Roman"/>
          <w:color w:val="auto"/>
          <w:highlight w:val="none"/>
          <w:u w:val="none"/>
          <w:lang w:val="en-US" w:eastAsia="zh-CN"/>
        </w:rPr>
      </w:pPr>
      <w:r>
        <w:rPr>
          <w:rFonts w:hint="eastAsia" w:cs="Times New Roman"/>
          <w:color w:val="auto"/>
          <w:highlight w:val="none"/>
          <w:u w:val="none"/>
          <w:lang w:eastAsia="zh-CN"/>
        </w:rPr>
        <w:t>（</w:t>
      </w:r>
      <w:r>
        <w:rPr>
          <w:rFonts w:hint="eastAsia" w:cs="Times New Roman"/>
          <w:color w:val="auto"/>
          <w:highlight w:val="none"/>
          <w:u w:val="none"/>
          <w:lang w:val="en-US" w:eastAsia="zh-CN"/>
        </w:rPr>
        <w:t>23）《排污许可证申请与核发技术规范 橡胶和塑料制品工业》（HJ1122-2020）；</w:t>
      </w:r>
    </w:p>
    <w:p w14:paraId="133C4D0A">
      <w:pPr>
        <w:pStyle w:val="1336"/>
        <w:ind w:firstLine="480"/>
        <w:rPr>
          <w:rFonts w:hint="eastAsia" w:cs="Times New Roman"/>
          <w:color w:val="auto"/>
          <w:highlight w:val="none"/>
          <w:u w:val="none"/>
          <w:lang w:eastAsia="zh-CN"/>
        </w:rPr>
      </w:pPr>
      <w:r>
        <w:rPr>
          <w:rFonts w:hint="eastAsia" w:cs="Times New Roman"/>
          <w:color w:val="auto"/>
          <w:highlight w:val="none"/>
          <w:u w:val="none"/>
          <w:lang w:val="en-US" w:eastAsia="zh-CN"/>
        </w:rPr>
        <w:t>（24）《排污许可证申请与核发技术规范 锅炉》（HJ953.2-2026）</w:t>
      </w:r>
      <w:r>
        <w:rPr>
          <w:rFonts w:hint="eastAsia" w:cs="Times New Roman"/>
          <w:color w:val="auto"/>
          <w:szCs w:val="22"/>
          <w:highlight w:val="none"/>
          <w:lang w:eastAsia="zh-CN"/>
        </w:rPr>
        <w:t>（</w:t>
      </w:r>
      <w:r>
        <w:rPr>
          <w:rFonts w:hint="eastAsia" w:cs="Times New Roman"/>
          <w:color w:val="auto"/>
          <w:szCs w:val="22"/>
          <w:highlight w:val="none"/>
          <w:lang w:val="en-US" w:eastAsia="zh-CN"/>
        </w:rPr>
        <w:t>2027年1月1日起实施）</w:t>
      </w:r>
      <w:r>
        <w:rPr>
          <w:rFonts w:hint="eastAsia" w:cs="Times New Roman"/>
          <w:color w:val="auto"/>
          <w:highlight w:val="none"/>
          <w:u w:val="none"/>
          <w:lang w:val="en-US" w:eastAsia="zh-CN"/>
        </w:rPr>
        <w:t>。</w:t>
      </w:r>
    </w:p>
    <w:p w14:paraId="470C1BDA">
      <w:pPr>
        <w:pStyle w:val="4"/>
        <w:numPr>
          <w:ilvl w:val="2"/>
          <w:numId w:val="0"/>
        </w:numPr>
        <w:tabs>
          <w:tab w:val="clear" w:pos="720"/>
        </w:tabs>
        <w:bidi w:val="0"/>
        <w:rPr>
          <w:color w:val="auto"/>
          <w:highlight w:val="none"/>
        </w:rPr>
      </w:pPr>
      <w:bookmarkStart w:id="226" w:name="_Toc13014"/>
      <w:r>
        <w:rPr>
          <w:color w:val="auto"/>
          <w:highlight w:val="none"/>
        </w:rPr>
        <w:t>2.1.5</w:t>
      </w:r>
      <w:r>
        <w:rPr>
          <w:rFonts w:hint="eastAsia"/>
          <w:color w:val="auto"/>
          <w:highlight w:val="none"/>
          <w:lang w:val="en-US" w:eastAsia="zh-CN"/>
        </w:rPr>
        <w:t xml:space="preserve"> </w:t>
      </w:r>
      <w:r>
        <w:rPr>
          <w:color w:val="auto"/>
          <w:highlight w:val="none"/>
        </w:rPr>
        <w:t>与项目相关的规划、文件及资料</w:t>
      </w:r>
      <w:bookmarkEnd w:id="226"/>
    </w:p>
    <w:p w14:paraId="02AD16C2">
      <w:pPr>
        <w:pStyle w:val="1336"/>
        <w:ind w:firstLine="480"/>
        <w:rPr>
          <w:rFonts w:hint="eastAsia" w:ascii="Times New Roman" w:hAnsi="Times New Roman" w:eastAsia="宋体" w:cs="Times New Roman"/>
          <w:color w:val="auto"/>
          <w:highlight w:val="none"/>
          <w:lang w:val="en-US" w:eastAsia="zh-CN"/>
        </w:rPr>
      </w:pPr>
      <w:bookmarkStart w:id="227" w:name="_Toc5858"/>
      <w:bookmarkStart w:id="228" w:name="_Toc2791"/>
      <w:bookmarkStart w:id="229" w:name="_Toc70238739"/>
      <w:bookmarkStart w:id="230" w:name="_Toc81301556"/>
      <w:bookmarkStart w:id="231" w:name="_Toc80693906"/>
      <w:bookmarkStart w:id="232" w:name="_Toc500940399"/>
      <w:bookmarkStart w:id="233" w:name="_Toc277115055"/>
      <w:bookmarkStart w:id="234" w:name="_Toc529434132"/>
      <w:bookmarkStart w:id="235" w:name="_Toc111286667"/>
      <w:bookmarkStart w:id="236" w:name="_Toc314069240"/>
      <w:bookmarkStart w:id="237" w:name="_Toc515445103"/>
      <w:bookmarkStart w:id="238" w:name="_Toc90287035"/>
      <w:bookmarkStart w:id="239" w:name="_Toc435437632"/>
      <w:bookmarkStart w:id="240" w:name="_Toc155669347"/>
      <w:r>
        <w:rPr>
          <w:rFonts w:hint="eastAsia" w:ascii="Times New Roman" w:hAnsi="Times New Roman" w:eastAsia="宋体" w:cs="Times New Roman"/>
          <w:color w:val="auto"/>
          <w:highlight w:val="none"/>
          <w:lang w:val="en-US" w:eastAsia="zh-CN"/>
        </w:rPr>
        <w:t>（1）《青口汽车城控制性详细规划》</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侯自然综〔2021〕288号</w:t>
      </w:r>
      <w:r>
        <w:rPr>
          <w:rFonts w:hint="eastAsia" w:cs="Times New Roman"/>
          <w:color w:val="auto"/>
          <w:highlight w:val="none"/>
          <w:lang w:val="en-US" w:eastAsia="zh-CN"/>
        </w:rPr>
        <w:t>）；</w:t>
      </w:r>
    </w:p>
    <w:p w14:paraId="75B58286">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（2）《福州青口投资区环境影响报告书》，原福州市环境保护局；</w:t>
      </w:r>
    </w:p>
    <w:p w14:paraId="3CE7C805">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（3）《福州市环境保护局关于福州青口投资区环境影响报告书审批意见的函》（榕环保函〔2004〕39号）；</w:t>
      </w:r>
    </w:p>
    <w:p w14:paraId="095F7B57">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（4）《福州青口投资区环境影响跟踪评价报告》，原福州市环境保护局；</w:t>
      </w:r>
    </w:p>
    <w:p w14:paraId="4AAADAFE">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（5）《福州市环境保护局关于福州青口投资区环境影响跟踪评价报告书审查工作有关意见的复函》（榕环保函〔2016〕40号）；</w:t>
      </w:r>
    </w:p>
    <w:p w14:paraId="3AA5B185">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（6）《福建省投资项目备案证明》（编号：闽</w:t>
      </w:r>
      <w:r>
        <w:rPr>
          <w:rFonts w:hint="eastAsia" w:cs="Times New Roman"/>
          <w:color w:val="auto"/>
          <w:highlight w:val="none"/>
          <w:lang w:val="en-US" w:eastAsia="zh-CN"/>
        </w:rPr>
        <w:t>发改</w:t>
      </w:r>
      <w:r>
        <w:rPr>
          <w:rFonts w:hint="eastAsia" w:ascii="Times New Roman" w:hAnsi="Times New Roman" w:eastAsia="宋体" w:cs="Times New Roman"/>
          <w:color w:val="auto"/>
          <w:highlight w:val="none"/>
          <w:lang w:val="en-US" w:eastAsia="zh-CN"/>
        </w:rPr>
        <w:t>备[202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]A080</w:t>
      </w:r>
      <w:r>
        <w:rPr>
          <w:rFonts w:hint="eastAsia" w:cs="Times New Roman"/>
          <w:color w:val="auto"/>
          <w:highlight w:val="none"/>
          <w:lang w:val="en-US" w:eastAsia="zh-CN"/>
        </w:rPr>
        <w:t>808</w:t>
      </w:r>
      <w:r>
        <w:rPr>
          <w:rFonts w:hint="eastAsia" w:ascii="Times New Roman" w:hAnsi="Times New Roman" w:eastAsia="宋体" w:cs="Times New Roman"/>
          <w:color w:val="auto"/>
          <w:highlight w:val="none"/>
          <w:lang w:val="en-US" w:eastAsia="zh-CN"/>
        </w:rPr>
        <w:t>号）；</w:t>
      </w:r>
    </w:p>
    <w:p w14:paraId="5637BABC">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r>
        <w:rPr>
          <w:rFonts w:hint="eastAsia" w:cs="Times New Roman"/>
          <w:color w:val="auto"/>
          <w:highlight w:val="none"/>
          <w:lang w:val="en-US" w:eastAsia="zh-CN"/>
        </w:rPr>
        <w:t>生态</w:t>
      </w:r>
      <w:r>
        <w:rPr>
          <w:rFonts w:hint="eastAsia" w:ascii="Times New Roman" w:hAnsi="Times New Roman" w:eastAsia="宋体" w:cs="Times New Roman"/>
          <w:color w:val="auto"/>
          <w:highlight w:val="none"/>
          <w:lang w:val="en-US" w:eastAsia="zh-CN"/>
        </w:rPr>
        <w:t>环境影响评价委托书》，202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年</w:t>
      </w:r>
      <w:r>
        <w:rPr>
          <w:rFonts w:hint="eastAsia" w:cs="Times New Roman"/>
          <w:color w:val="auto"/>
          <w:highlight w:val="none"/>
          <w:lang w:val="en-US" w:eastAsia="zh-CN"/>
        </w:rPr>
        <w:t>8</w:t>
      </w:r>
      <w:r>
        <w:rPr>
          <w:rFonts w:hint="eastAsia" w:ascii="Times New Roman" w:hAnsi="Times New Roman" w:eastAsia="宋体" w:cs="Times New Roman"/>
          <w:color w:val="auto"/>
          <w:highlight w:val="none"/>
          <w:lang w:val="en-US" w:eastAsia="zh-CN"/>
        </w:rPr>
        <w:t>月</w:t>
      </w:r>
      <w:r>
        <w:rPr>
          <w:rFonts w:hint="eastAsia" w:cs="Times New Roman"/>
          <w:color w:val="auto"/>
          <w:highlight w:val="none"/>
          <w:lang w:val="en-US" w:eastAsia="zh-CN"/>
        </w:rPr>
        <w:t>15</w:t>
      </w:r>
      <w:r>
        <w:rPr>
          <w:rFonts w:hint="eastAsia" w:ascii="Times New Roman" w:hAnsi="Times New Roman" w:eastAsia="宋体" w:cs="Times New Roman"/>
          <w:color w:val="auto"/>
          <w:highlight w:val="none"/>
          <w:lang w:val="en-US" w:eastAsia="zh-CN"/>
        </w:rPr>
        <w:t>日；</w:t>
      </w:r>
    </w:p>
    <w:p w14:paraId="25C6C466">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（8）建设单位提供的其他技术资料。</w:t>
      </w:r>
    </w:p>
    <w:bookmarkEnd w:id="227"/>
    <w:bookmarkEnd w:id="228"/>
    <w:p w14:paraId="66570302">
      <w:pPr>
        <w:pStyle w:val="3"/>
        <w:numPr>
          <w:ilvl w:val="1"/>
          <w:numId w:val="0"/>
        </w:numPr>
        <w:bidi w:val="0"/>
        <w:rPr>
          <w:color w:val="auto"/>
          <w:highlight w:val="none"/>
        </w:rPr>
      </w:pPr>
      <w:bookmarkStart w:id="241" w:name="_Toc10045"/>
      <w:bookmarkStart w:id="242" w:name="_Toc31875"/>
      <w:r>
        <w:rPr>
          <w:color w:val="auto"/>
          <w:highlight w:val="none"/>
        </w:rPr>
        <w:t>2.2</w:t>
      </w:r>
      <w:r>
        <w:rPr>
          <w:rFonts w:hint="eastAsia"/>
          <w:color w:val="auto"/>
          <w:highlight w:val="none"/>
          <w:lang w:val="en-US" w:eastAsia="zh-CN"/>
        </w:rPr>
        <w:t xml:space="preserve"> </w:t>
      </w:r>
      <w:r>
        <w:rPr>
          <w:color w:val="auto"/>
          <w:highlight w:val="none"/>
        </w:rPr>
        <w:t>环境影响识别</w:t>
      </w:r>
      <w:bookmarkEnd w:id="229"/>
      <w:bookmarkEnd w:id="230"/>
      <w:bookmarkEnd w:id="231"/>
      <w:r>
        <w:rPr>
          <w:color w:val="auto"/>
          <w:highlight w:val="none"/>
        </w:rPr>
        <w:t>及评价因子筛选</w:t>
      </w:r>
      <w:bookmarkEnd w:id="232"/>
      <w:bookmarkEnd w:id="233"/>
      <w:bookmarkEnd w:id="234"/>
      <w:bookmarkEnd w:id="235"/>
      <w:bookmarkEnd w:id="236"/>
      <w:bookmarkEnd w:id="237"/>
      <w:bookmarkEnd w:id="238"/>
      <w:bookmarkEnd w:id="239"/>
      <w:bookmarkEnd w:id="240"/>
      <w:bookmarkEnd w:id="241"/>
      <w:bookmarkEnd w:id="242"/>
    </w:p>
    <w:p w14:paraId="6CBA9F1A">
      <w:pPr>
        <w:pStyle w:val="4"/>
        <w:numPr>
          <w:ilvl w:val="2"/>
          <w:numId w:val="0"/>
        </w:numPr>
        <w:tabs>
          <w:tab w:val="clear" w:pos="720"/>
        </w:tabs>
        <w:bidi w:val="0"/>
        <w:rPr>
          <w:color w:val="auto"/>
          <w:highlight w:val="none"/>
        </w:rPr>
      </w:pPr>
      <w:bookmarkStart w:id="243" w:name="_Toc500940400"/>
      <w:bookmarkStart w:id="244" w:name="_Toc523646143"/>
      <w:bookmarkStart w:id="245" w:name="_Toc529434133"/>
      <w:bookmarkStart w:id="246" w:name="_Toc31920"/>
      <w:bookmarkStart w:id="247" w:name="_Toc515445104"/>
      <w:r>
        <w:rPr>
          <w:color w:val="auto"/>
          <w:highlight w:val="none"/>
        </w:rPr>
        <w:t>2.2.1</w:t>
      </w:r>
      <w:r>
        <w:rPr>
          <w:rFonts w:hint="eastAsia"/>
          <w:color w:val="auto"/>
          <w:highlight w:val="none"/>
          <w:lang w:val="en-US" w:eastAsia="zh-CN"/>
        </w:rPr>
        <w:t xml:space="preserve"> </w:t>
      </w:r>
      <w:r>
        <w:rPr>
          <w:color w:val="auto"/>
          <w:highlight w:val="none"/>
        </w:rPr>
        <w:t>环境影响因素识别</w:t>
      </w:r>
      <w:bookmarkEnd w:id="243"/>
      <w:bookmarkEnd w:id="244"/>
      <w:bookmarkEnd w:id="245"/>
      <w:bookmarkEnd w:id="246"/>
      <w:bookmarkEnd w:id="247"/>
    </w:p>
    <w:p w14:paraId="1B874BFA">
      <w:pPr>
        <w:pStyle w:val="1319"/>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根据本项目仅在</w:t>
      </w:r>
      <w:r>
        <w:rPr>
          <w:rFonts w:hint="eastAsia" w:cs="Times New Roman"/>
          <w:color w:val="auto"/>
          <w:highlight w:val="none"/>
          <w:lang w:val="en-US" w:eastAsia="zh-CN"/>
        </w:rPr>
        <w:t>租赁的已建厂房内</w:t>
      </w:r>
      <w:r>
        <w:rPr>
          <w:rFonts w:hint="eastAsia" w:ascii="Times New Roman" w:hAnsi="Times New Roman" w:eastAsia="宋体" w:cs="Times New Roman"/>
          <w:color w:val="auto"/>
          <w:highlight w:val="none"/>
        </w:rPr>
        <w:t>增加设备，不涉及土建，因此主要影响在运行阶段，根据运行阶段工艺流程和污染物排放特征，以及项目所处地区环境状况，采用矩阵法对项目可能产生的环境影响活动及受本项目影响的环境要素进行识别</w:t>
      </w:r>
      <w:r>
        <w:rPr>
          <w:rFonts w:ascii="Times New Roman" w:hAnsi="Times New Roman" w:eastAsia="宋体" w:cs="Times New Roman"/>
          <w:color w:val="auto"/>
          <w:highlight w:val="none"/>
        </w:rPr>
        <w:t>，筛选结果见表2.2-1。</w:t>
      </w:r>
    </w:p>
    <w:p w14:paraId="6BE5A617">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表2.2-1  主要环境影响因素识别矩阵</w:t>
      </w:r>
    </w:p>
    <w:tbl>
      <w:tblPr>
        <w:tblStyle w:val="80"/>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52"/>
        <w:gridCol w:w="1113"/>
        <w:gridCol w:w="520"/>
        <w:gridCol w:w="527"/>
        <w:gridCol w:w="691"/>
        <w:gridCol w:w="481"/>
        <w:gridCol w:w="520"/>
        <w:gridCol w:w="513"/>
        <w:gridCol w:w="520"/>
        <w:gridCol w:w="796"/>
        <w:gridCol w:w="554"/>
        <w:gridCol w:w="612"/>
        <w:gridCol w:w="529"/>
        <w:gridCol w:w="598"/>
      </w:tblGrid>
      <w:tr w14:paraId="2AF77D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8" w:hRule="atLeast"/>
        </w:trPr>
        <w:tc>
          <w:tcPr>
            <w:tcW w:w="977" w:type="pct"/>
            <w:gridSpan w:val="2"/>
            <w:vMerge w:val="restart"/>
            <w:tcBorders>
              <w:tl2br w:val="nil"/>
              <w:tr2bl w:val="nil"/>
            </w:tcBorders>
            <w:noWrap w:val="0"/>
            <w:vAlign w:val="center"/>
          </w:tcPr>
          <w:p w14:paraId="623FE53A">
            <w:pPr>
              <w:pStyle w:val="1358"/>
              <w:spacing w:line="240" w:lineRule="auto"/>
              <w:rPr>
                <w:rFonts w:ascii="Times New Roman" w:hAnsi="Times New Roman" w:eastAsia="宋体" w:cs="Times New Roman"/>
                <w:color w:val="auto"/>
                <w:highlight w:val="none"/>
              </w:rPr>
            </w:pPr>
            <w:bookmarkStart w:id="248" w:name="_Toc500940401"/>
            <w:bookmarkStart w:id="249" w:name="_Toc529434134"/>
            <w:bookmarkStart w:id="250" w:name="_Toc515445105"/>
            <w:bookmarkStart w:id="251" w:name="_Toc523646144"/>
            <w:r>
              <w:rPr>
                <w:rFonts w:ascii="Times New Roman" w:hAnsi="Times New Roman" w:eastAsia="宋体" w:cs="Times New Roman"/>
                <w:color w:val="auto"/>
                <w:highlight w:val="none"/>
                <w:lang w:val="en-US" w:eastAsia="zh-CN"/>
              </w:rPr>
              <w:t>影响因子</w:t>
            </w:r>
            <w:r>
              <w:rPr>
                <w:rFonts w:ascii="Times New Roman" w:hAnsi="Times New Roman" w:eastAsia="宋体" w:cs="Times New Roman"/>
                <w:color w:val="auto"/>
                <w:highlight w:val="none"/>
                <w:lang w:val="en-US" w:eastAsia="zh-CN"/>
              </w:rPr>
              <w:br w:type="textWrapping"/>
            </w:r>
            <w:r>
              <w:rPr>
                <w:rFonts w:ascii="Times New Roman" w:hAnsi="Times New Roman" w:eastAsia="宋体" w:cs="Times New Roman"/>
                <w:color w:val="auto"/>
                <w:highlight w:val="none"/>
                <w:lang w:val="en-US" w:eastAsia="zh-CN"/>
              </w:rPr>
              <w:t>环境要素</w:t>
            </w:r>
          </w:p>
        </w:tc>
        <w:tc>
          <w:tcPr>
            <w:tcW w:w="2679" w:type="pct"/>
            <w:gridSpan w:val="8"/>
            <w:tcBorders>
              <w:tl2br w:val="nil"/>
              <w:tr2bl w:val="nil"/>
            </w:tcBorders>
            <w:noWrap w:val="0"/>
            <w:vAlign w:val="center"/>
          </w:tcPr>
          <w:p w14:paraId="303FEACC">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不利影响</w:t>
            </w:r>
          </w:p>
        </w:tc>
        <w:tc>
          <w:tcPr>
            <w:tcW w:w="1342" w:type="pct"/>
            <w:gridSpan w:val="4"/>
            <w:tcBorders>
              <w:tl2br w:val="nil"/>
              <w:tr2bl w:val="nil"/>
            </w:tcBorders>
            <w:noWrap w:val="0"/>
            <w:vAlign w:val="center"/>
          </w:tcPr>
          <w:p w14:paraId="107BEE2C">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有利影响</w:t>
            </w:r>
          </w:p>
        </w:tc>
      </w:tr>
      <w:tr w14:paraId="6CC2FC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977" w:type="pct"/>
            <w:gridSpan w:val="2"/>
            <w:vMerge w:val="continue"/>
            <w:tcBorders>
              <w:tl2br w:val="nil"/>
              <w:tr2bl w:val="nil"/>
            </w:tcBorders>
            <w:noWrap w:val="0"/>
            <w:vAlign w:val="center"/>
          </w:tcPr>
          <w:p w14:paraId="4FCC328E">
            <w:pPr>
              <w:pStyle w:val="1358"/>
              <w:spacing w:line="240" w:lineRule="auto"/>
              <w:rPr>
                <w:rFonts w:hint="eastAsia" w:ascii="Times New Roman" w:hAnsi="Times New Roman" w:eastAsia="宋体" w:cs="Times New Roman"/>
                <w:color w:val="auto"/>
                <w:highlight w:val="none"/>
              </w:rPr>
            </w:pPr>
          </w:p>
        </w:tc>
        <w:tc>
          <w:tcPr>
            <w:tcW w:w="305" w:type="pct"/>
            <w:tcBorders>
              <w:tl2br w:val="nil"/>
              <w:tr2bl w:val="nil"/>
            </w:tcBorders>
            <w:noWrap w:val="0"/>
            <w:vAlign w:val="center"/>
          </w:tcPr>
          <w:p w14:paraId="309670BE">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长期</w:t>
            </w:r>
          </w:p>
        </w:tc>
        <w:tc>
          <w:tcPr>
            <w:tcW w:w="309" w:type="pct"/>
            <w:tcBorders>
              <w:tl2br w:val="nil"/>
              <w:tr2bl w:val="nil"/>
            </w:tcBorders>
            <w:noWrap w:val="0"/>
            <w:vAlign w:val="center"/>
          </w:tcPr>
          <w:p w14:paraId="6D7A19E0">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短期</w:t>
            </w:r>
          </w:p>
        </w:tc>
        <w:tc>
          <w:tcPr>
            <w:tcW w:w="405" w:type="pct"/>
            <w:tcBorders>
              <w:tl2br w:val="nil"/>
              <w:tr2bl w:val="nil"/>
            </w:tcBorders>
            <w:noWrap w:val="0"/>
            <w:vAlign w:val="top"/>
          </w:tcPr>
          <w:p w14:paraId="38B9A22F">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不可逆</w:t>
            </w:r>
          </w:p>
        </w:tc>
        <w:tc>
          <w:tcPr>
            <w:tcW w:w="282" w:type="pct"/>
            <w:tcBorders>
              <w:tl2br w:val="nil"/>
              <w:tr2bl w:val="nil"/>
            </w:tcBorders>
            <w:noWrap w:val="0"/>
            <w:vAlign w:val="center"/>
          </w:tcPr>
          <w:p w14:paraId="22723666">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可逆</w:t>
            </w:r>
          </w:p>
        </w:tc>
        <w:tc>
          <w:tcPr>
            <w:tcW w:w="305" w:type="pct"/>
            <w:tcBorders>
              <w:tl2br w:val="nil"/>
              <w:tr2bl w:val="nil"/>
            </w:tcBorders>
            <w:noWrap w:val="0"/>
            <w:vAlign w:val="center"/>
          </w:tcPr>
          <w:p w14:paraId="497E5215">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直接</w:t>
            </w:r>
          </w:p>
        </w:tc>
        <w:tc>
          <w:tcPr>
            <w:tcW w:w="301" w:type="pct"/>
            <w:tcBorders>
              <w:tl2br w:val="nil"/>
              <w:tr2bl w:val="nil"/>
            </w:tcBorders>
            <w:noWrap w:val="0"/>
            <w:vAlign w:val="center"/>
          </w:tcPr>
          <w:p w14:paraId="29B0C914">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间接</w:t>
            </w:r>
          </w:p>
        </w:tc>
        <w:tc>
          <w:tcPr>
            <w:tcW w:w="305" w:type="pct"/>
            <w:tcBorders>
              <w:tl2br w:val="nil"/>
              <w:tr2bl w:val="nil"/>
            </w:tcBorders>
            <w:noWrap w:val="0"/>
            <w:vAlign w:val="center"/>
          </w:tcPr>
          <w:p w14:paraId="487D2B1A">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累积</w:t>
            </w:r>
          </w:p>
        </w:tc>
        <w:tc>
          <w:tcPr>
            <w:tcW w:w="463" w:type="pct"/>
            <w:tcBorders>
              <w:tl2br w:val="nil"/>
              <w:tr2bl w:val="nil"/>
            </w:tcBorders>
            <w:noWrap w:val="0"/>
            <w:vAlign w:val="center"/>
          </w:tcPr>
          <w:p w14:paraId="14738281">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非累积</w:t>
            </w:r>
          </w:p>
        </w:tc>
        <w:tc>
          <w:tcPr>
            <w:tcW w:w="325" w:type="pct"/>
            <w:tcBorders>
              <w:tl2br w:val="nil"/>
              <w:tr2bl w:val="nil"/>
            </w:tcBorders>
            <w:noWrap w:val="0"/>
            <w:vAlign w:val="center"/>
          </w:tcPr>
          <w:p w14:paraId="78E573B4">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长期</w:t>
            </w:r>
          </w:p>
        </w:tc>
        <w:tc>
          <w:tcPr>
            <w:tcW w:w="359" w:type="pct"/>
            <w:tcBorders>
              <w:tl2br w:val="nil"/>
              <w:tr2bl w:val="nil"/>
            </w:tcBorders>
            <w:noWrap w:val="0"/>
            <w:vAlign w:val="center"/>
          </w:tcPr>
          <w:p w14:paraId="514F9AFA">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短期</w:t>
            </w:r>
          </w:p>
        </w:tc>
        <w:tc>
          <w:tcPr>
            <w:tcW w:w="310" w:type="pct"/>
            <w:tcBorders>
              <w:tl2br w:val="nil"/>
              <w:tr2bl w:val="nil"/>
            </w:tcBorders>
            <w:noWrap w:val="0"/>
            <w:vAlign w:val="center"/>
          </w:tcPr>
          <w:p w14:paraId="780F8A60">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直接</w:t>
            </w:r>
          </w:p>
        </w:tc>
        <w:tc>
          <w:tcPr>
            <w:tcW w:w="347" w:type="pct"/>
            <w:tcBorders>
              <w:tl2br w:val="nil"/>
              <w:tr2bl w:val="nil"/>
            </w:tcBorders>
            <w:noWrap w:val="0"/>
            <w:vAlign w:val="center"/>
          </w:tcPr>
          <w:p w14:paraId="00133AA8">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间接</w:t>
            </w:r>
          </w:p>
        </w:tc>
      </w:tr>
      <w:tr w14:paraId="4492E2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restart"/>
            <w:tcBorders>
              <w:tl2br w:val="nil"/>
              <w:tr2bl w:val="nil"/>
            </w:tcBorders>
            <w:noWrap w:val="0"/>
            <w:vAlign w:val="center"/>
          </w:tcPr>
          <w:p w14:paraId="06E7CAB9">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环境</w:t>
            </w:r>
            <w:r>
              <w:rPr>
                <w:rFonts w:ascii="Times New Roman" w:hAnsi="Times New Roman" w:eastAsia="宋体" w:cs="Times New Roman"/>
                <w:color w:val="auto"/>
                <w:highlight w:val="none"/>
                <w:lang w:val="en-US" w:eastAsia="zh-CN"/>
              </w:rPr>
              <w:br w:type="textWrapping"/>
            </w:r>
            <w:r>
              <w:rPr>
                <w:rFonts w:ascii="Times New Roman" w:hAnsi="Times New Roman" w:eastAsia="宋体" w:cs="Times New Roman"/>
                <w:color w:val="auto"/>
                <w:highlight w:val="none"/>
                <w:lang w:val="en-US" w:eastAsia="zh-CN"/>
              </w:rPr>
              <w:t>质量</w:t>
            </w:r>
          </w:p>
        </w:tc>
        <w:tc>
          <w:tcPr>
            <w:tcW w:w="653" w:type="pct"/>
            <w:tcBorders>
              <w:tl2br w:val="nil"/>
              <w:tr2bl w:val="nil"/>
            </w:tcBorders>
            <w:noWrap w:val="0"/>
            <w:vAlign w:val="center"/>
          </w:tcPr>
          <w:p w14:paraId="6BDCC429">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空气质量</w:t>
            </w:r>
          </w:p>
        </w:tc>
        <w:tc>
          <w:tcPr>
            <w:tcW w:w="305" w:type="pct"/>
            <w:tcBorders>
              <w:tl2br w:val="nil"/>
              <w:tr2bl w:val="nil"/>
            </w:tcBorders>
            <w:noWrap w:val="0"/>
            <w:vAlign w:val="top"/>
          </w:tcPr>
          <w:p w14:paraId="17129A1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9" w:type="pct"/>
            <w:tcBorders>
              <w:tl2br w:val="nil"/>
              <w:tr2bl w:val="nil"/>
            </w:tcBorders>
            <w:noWrap w:val="0"/>
            <w:vAlign w:val="top"/>
          </w:tcPr>
          <w:p w14:paraId="7BCBB2EF">
            <w:pPr>
              <w:pStyle w:val="1358"/>
              <w:spacing w:line="240" w:lineRule="auto"/>
              <w:rPr>
                <w:rFonts w:hint="eastAsia" w:ascii="Times New Roman" w:hAnsi="Times New Roman" w:eastAsia="宋体" w:cs="Times New Roman"/>
                <w:color w:val="auto"/>
                <w:highlight w:val="none"/>
              </w:rPr>
            </w:pPr>
          </w:p>
        </w:tc>
        <w:tc>
          <w:tcPr>
            <w:tcW w:w="405" w:type="pct"/>
            <w:tcBorders>
              <w:tl2br w:val="nil"/>
              <w:tr2bl w:val="nil"/>
            </w:tcBorders>
            <w:noWrap w:val="0"/>
            <w:vAlign w:val="top"/>
          </w:tcPr>
          <w:p w14:paraId="4E93C70E">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0F06AAE3">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5" w:type="pct"/>
            <w:tcBorders>
              <w:tl2br w:val="nil"/>
              <w:tr2bl w:val="nil"/>
            </w:tcBorders>
            <w:noWrap w:val="0"/>
            <w:vAlign w:val="top"/>
          </w:tcPr>
          <w:p w14:paraId="35953659">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1" w:type="pct"/>
            <w:tcBorders>
              <w:tl2br w:val="nil"/>
              <w:tr2bl w:val="nil"/>
            </w:tcBorders>
            <w:noWrap w:val="0"/>
            <w:vAlign w:val="top"/>
          </w:tcPr>
          <w:p w14:paraId="6DF0C9D6">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382BA9DB">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79F1972C">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136B035F">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70340848">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5FA58270">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2A2D34E5">
            <w:pPr>
              <w:pStyle w:val="1358"/>
              <w:spacing w:line="240" w:lineRule="auto"/>
              <w:rPr>
                <w:rFonts w:hint="default" w:ascii="Times New Roman" w:hAnsi="Times New Roman" w:eastAsia="宋体" w:cs="Times New Roman"/>
                <w:color w:val="auto"/>
                <w:highlight w:val="none"/>
              </w:rPr>
            </w:pPr>
          </w:p>
        </w:tc>
      </w:tr>
      <w:tr w14:paraId="0B7897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22D65B88">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7793A98A">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水环境</w:t>
            </w:r>
          </w:p>
        </w:tc>
        <w:tc>
          <w:tcPr>
            <w:tcW w:w="305" w:type="pct"/>
            <w:tcBorders>
              <w:tl2br w:val="nil"/>
              <w:tr2bl w:val="nil"/>
            </w:tcBorders>
            <w:noWrap w:val="0"/>
            <w:vAlign w:val="top"/>
          </w:tcPr>
          <w:p w14:paraId="30C946A4">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9" w:type="pct"/>
            <w:tcBorders>
              <w:tl2br w:val="nil"/>
              <w:tr2bl w:val="nil"/>
            </w:tcBorders>
            <w:noWrap w:val="0"/>
            <w:vAlign w:val="top"/>
          </w:tcPr>
          <w:p w14:paraId="19F1784E">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2F5B68C4">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4776D635">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5" w:type="pct"/>
            <w:tcBorders>
              <w:tl2br w:val="nil"/>
              <w:tr2bl w:val="nil"/>
            </w:tcBorders>
            <w:noWrap w:val="0"/>
            <w:vAlign w:val="top"/>
          </w:tcPr>
          <w:p w14:paraId="45FFAFDD">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14F8F612">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5" w:type="pct"/>
            <w:tcBorders>
              <w:tl2br w:val="nil"/>
              <w:tr2bl w:val="nil"/>
            </w:tcBorders>
            <w:noWrap w:val="0"/>
            <w:vAlign w:val="top"/>
          </w:tcPr>
          <w:p w14:paraId="70D80026">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10BF45AA">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65266637">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3DCB60C1">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7FFF8195">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7CCF13D2">
            <w:pPr>
              <w:pStyle w:val="1358"/>
              <w:spacing w:line="240" w:lineRule="auto"/>
              <w:rPr>
                <w:rFonts w:hint="default" w:ascii="Times New Roman" w:hAnsi="Times New Roman" w:eastAsia="宋体" w:cs="Times New Roman"/>
                <w:color w:val="auto"/>
                <w:highlight w:val="none"/>
              </w:rPr>
            </w:pPr>
          </w:p>
        </w:tc>
      </w:tr>
      <w:tr w14:paraId="39EB9F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762C1D2B">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277663E0">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声环境</w:t>
            </w:r>
          </w:p>
        </w:tc>
        <w:tc>
          <w:tcPr>
            <w:tcW w:w="305" w:type="pct"/>
            <w:tcBorders>
              <w:tl2br w:val="nil"/>
              <w:tr2bl w:val="nil"/>
            </w:tcBorders>
            <w:noWrap w:val="0"/>
            <w:vAlign w:val="top"/>
          </w:tcPr>
          <w:p w14:paraId="228C5FFF">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9" w:type="pct"/>
            <w:tcBorders>
              <w:tl2br w:val="nil"/>
              <w:tr2bl w:val="nil"/>
            </w:tcBorders>
            <w:noWrap w:val="0"/>
            <w:vAlign w:val="top"/>
          </w:tcPr>
          <w:p w14:paraId="7A1F8F07">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1E3C8435">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244DCA3C">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5" w:type="pct"/>
            <w:tcBorders>
              <w:tl2br w:val="nil"/>
              <w:tr2bl w:val="nil"/>
            </w:tcBorders>
            <w:noWrap w:val="0"/>
            <w:vAlign w:val="top"/>
          </w:tcPr>
          <w:p w14:paraId="703ACDB4">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3F2CA002">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5" w:type="pct"/>
            <w:tcBorders>
              <w:tl2br w:val="nil"/>
              <w:tr2bl w:val="nil"/>
            </w:tcBorders>
            <w:noWrap w:val="0"/>
            <w:vAlign w:val="top"/>
          </w:tcPr>
          <w:p w14:paraId="48F4F459">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1B70B3FD">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16AEB79F">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2BB8734F">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616FE841">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171CD329">
            <w:pPr>
              <w:pStyle w:val="1358"/>
              <w:spacing w:line="240" w:lineRule="auto"/>
              <w:rPr>
                <w:rFonts w:hint="default" w:ascii="Times New Roman" w:hAnsi="Times New Roman" w:eastAsia="宋体" w:cs="Times New Roman"/>
                <w:color w:val="auto"/>
                <w:highlight w:val="none"/>
              </w:rPr>
            </w:pPr>
          </w:p>
        </w:tc>
      </w:tr>
      <w:tr w14:paraId="7D6B63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081DA64E">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34B48ED6">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固体废物</w:t>
            </w:r>
          </w:p>
        </w:tc>
        <w:tc>
          <w:tcPr>
            <w:tcW w:w="305" w:type="pct"/>
            <w:tcBorders>
              <w:tl2br w:val="nil"/>
              <w:tr2bl w:val="nil"/>
            </w:tcBorders>
            <w:noWrap w:val="0"/>
            <w:vAlign w:val="top"/>
          </w:tcPr>
          <w:p w14:paraId="499A03D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9" w:type="pct"/>
            <w:tcBorders>
              <w:tl2br w:val="nil"/>
              <w:tr2bl w:val="nil"/>
            </w:tcBorders>
            <w:noWrap w:val="0"/>
            <w:vAlign w:val="top"/>
          </w:tcPr>
          <w:p w14:paraId="476E2C5D">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1AB6005B">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6BC7A294">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2E3A9C66">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01" w:type="pct"/>
            <w:tcBorders>
              <w:tl2br w:val="nil"/>
              <w:tr2bl w:val="nil"/>
            </w:tcBorders>
            <w:noWrap w:val="0"/>
            <w:vAlign w:val="top"/>
          </w:tcPr>
          <w:p w14:paraId="75391166">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7A4DD02B">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463" w:type="pct"/>
            <w:tcBorders>
              <w:tl2br w:val="nil"/>
              <w:tr2bl w:val="nil"/>
            </w:tcBorders>
            <w:noWrap w:val="0"/>
            <w:vAlign w:val="top"/>
          </w:tcPr>
          <w:p w14:paraId="44229F5D">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3445D8BB">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6DF6D132">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7855291E">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515E07E9">
            <w:pPr>
              <w:pStyle w:val="1358"/>
              <w:spacing w:line="240" w:lineRule="auto"/>
              <w:rPr>
                <w:rFonts w:hint="default" w:ascii="Times New Roman" w:hAnsi="Times New Roman" w:eastAsia="宋体" w:cs="Times New Roman"/>
                <w:color w:val="auto"/>
                <w:highlight w:val="none"/>
              </w:rPr>
            </w:pPr>
          </w:p>
        </w:tc>
      </w:tr>
      <w:tr w14:paraId="0CD518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8" w:hRule="atLeast"/>
        </w:trPr>
        <w:tc>
          <w:tcPr>
            <w:tcW w:w="324" w:type="pct"/>
            <w:vMerge w:val="restart"/>
            <w:tcBorders>
              <w:tl2br w:val="nil"/>
              <w:tr2bl w:val="nil"/>
            </w:tcBorders>
            <w:noWrap w:val="0"/>
            <w:vAlign w:val="center"/>
          </w:tcPr>
          <w:p w14:paraId="150285D3">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生态</w:t>
            </w:r>
            <w:r>
              <w:rPr>
                <w:rFonts w:ascii="Times New Roman" w:hAnsi="Times New Roman" w:eastAsia="宋体" w:cs="Times New Roman"/>
                <w:color w:val="auto"/>
                <w:highlight w:val="none"/>
                <w:lang w:val="en-US" w:eastAsia="zh-CN"/>
              </w:rPr>
              <w:br w:type="textWrapping"/>
            </w:r>
            <w:r>
              <w:rPr>
                <w:rFonts w:ascii="Times New Roman" w:hAnsi="Times New Roman" w:eastAsia="宋体" w:cs="Times New Roman"/>
                <w:color w:val="auto"/>
                <w:highlight w:val="none"/>
                <w:lang w:val="en-US" w:eastAsia="zh-CN"/>
              </w:rPr>
              <w:t>环境</w:t>
            </w:r>
          </w:p>
        </w:tc>
        <w:tc>
          <w:tcPr>
            <w:tcW w:w="653" w:type="pct"/>
            <w:tcBorders>
              <w:tl2br w:val="nil"/>
              <w:tr2bl w:val="nil"/>
            </w:tcBorders>
            <w:noWrap w:val="0"/>
            <w:vAlign w:val="center"/>
          </w:tcPr>
          <w:p w14:paraId="29CCBA99">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自然景观</w:t>
            </w:r>
          </w:p>
        </w:tc>
        <w:tc>
          <w:tcPr>
            <w:tcW w:w="305" w:type="pct"/>
            <w:tcBorders>
              <w:tl2br w:val="nil"/>
              <w:tr2bl w:val="nil"/>
            </w:tcBorders>
            <w:noWrap w:val="0"/>
            <w:vAlign w:val="top"/>
          </w:tcPr>
          <w:p w14:paraId="75D017F6">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14DDE2F5">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04CBC2C8">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72E54C3A">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62BE7559">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0AD74D9E">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65D42CF0">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5FA01202">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7503B628">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507B407E">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7D83C3ED">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5D09FD6F">
            <w:pPr>
              <w:pStyle w:val="1358"/>
              <w:spacing w:line="240" w:lineRule="auto"/>
              <w:rPr>
                <w:rFonts w:hint="default" w:ascii="Times New Roman" w:hAnsi="Times New Roman" w:eastAsia="宋体" w:cs="Times New Roman"/>
                <w:color w:val="auto"/>
                <w:highlight w:val="none"/>
              </w:rPr>
            </w:pPr>
          </w:p>
        </w:tc>
      </w:tr>
      <w:tr w14:paraId="367BA9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5F0EC701">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6AA75004">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植被</w:t>
            </w:r>
          </w:p>
        </w:tc>
        <w:tc>
          <w:tcPr>
            <w:tcW w:w="305" w:type="pct"/>
            <w:tcBorders>
              <w:tl2br w:val="nil"/>
              <w:tr2bl w:val="nil"/>
            </w:tcBorders>
            <w:noWrap w:val="0"/>
            <w:vAlign w:val="top"/>
          </w:tcPr>
          <w:p w14:paraId="28FA9B68">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565F249D">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6D65BFDC">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1AF7F28D">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5FFB11FB">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702BE1B4">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0B1AFE22">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0BD1AA07">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4595F3CA">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2D705291">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3FAA55DA">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32A5E3DD">
            <w:pPr>
              <w:pStyle w:val="1358"/>
              <w:spacing w:line="240" w:lineRule="auto"/>
              <w:rPr>
                <w:rFonts w:hint="default" w:ascii="Times New Roman" w:hAnsi="Times New Roman" w:eastAsia="宋体" w:cs="Times New Roman"/>
                <w:color w:val="auto"/>
                <w:highlight w:val="none"/>
              </w:rPr>
            </w:pPr>
          </w:p>
        </w:tc>
      </w:tr>
      <w:tr w14:paraId="239D30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4B1396A0">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534E8D03">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动植物生境</w:t>
            </w:r>
          </w:p>
        </w:tc>
        <w:tc>
          <w:tcPr>
            <w:tcW w:w="305" w:type="pct"/>
            <w:tcBorders>
              <w:tl2br w:val="nil"/>
              <w:tr2bl w:val="nil"/>
            </w:tcBorders>
            <w:noWrap w:val="0"/>
            <w:vAlign w:val="top"/>
          </w:tcPr>
          <w:p w14:paraId="051212ED">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1A42E380">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09DC1CBF">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09765268">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2814F45B">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0D24F448">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5AC27985">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2A2CE945">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74E8678C">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0EA5840B">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1ADA5AE7">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7B5A74BF">
            <w:pPr>
              <w:pStyle w:val="1358"/>
              <w:spacing w:line="240" w:lineRule="auto"/>
              <w:rPr>
                <w:rFonts w:hint="default" w:ascii="Times New Roman" w:hAnsi="Times New Roman" w:eastAsia="宋体" w:cs="Times New Roman"/>
                <w:color w:val="auto"/>
                <w:highlight w:val="none"/>
              </w:rPr>
            </w:pPr>
          </w:p>
        </w:tc>
      </w:tr>
      <w:tr w14:paraId="48C30F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4B20D5C6">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3769F7BC">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水土流失</w:t>
            </w:r>
          </w:p>
        </w:tc>
        <w:tc>
          <w:tcPr>
            <w:tcW w:w="305" w:type="pct"/>
            <w:tcBorders>
              <w:tl2br w:val="nil"/>
              <w:tr2bl w:val="nil"/>
            </w:tcBorders>
            <w:noWrap w:val="0"/>
            <w:vAlign w:val="top"/>
          </w:tcPr>
          <w:p w14:paraId="2451F871">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65853651">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01150CB2">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196238AE">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523B9334">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16CE5156">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44AF18E9">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218DB238">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41A12B3A">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750FAEA6">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53EA231F">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43DC44C5">
            <w:pPr>
              <w:pStyle w:val="1358"/>
              <w:spacing w:line="240" w:lineRule="auto"/>
              <w:rPr>
                <w:rFonts w:hint="default" w:ascii="Times New Roman" w:hAnsi="Times New Roman" w:eastAsia="宋体" w:cs="Times New Roman"/>
                <w:color w:val="auto"/>
                <w:highlight w:val="none"/>
              </w:rPr>
            </w:pPr>
          </w:p>
        </w:tc>
      </w:tr>
      <w:tr w14:paraId="7A8523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restart"/>
            <w:tcBorders>
              <w:tl2br w:val="nil"/>
              <w:tr2bl w:val="nil"/>
            </w:tcBorders>
            <w:noWrap w:val="0"/>
            <w:vAlign w:val="center"/>
          </w:tcPr>
          <w:p w14:paraId="1D722FBF">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社会</w:t>
            </w:r>
            <w:r>
              <w:rPr>
                <w:rFonts w:ascii="Times New Roman" w:hAnsi="Times New Roman" w:eastAsia="宋体" w:cs="Times New Roman"/>
                <w:color w:val="auto"/>
                <w:highlight w:val="none"/>
                <w:lang w:val="en-US" w:eastAsia="zh-CN"/>
              </w:rPr>
              <w:br w:type="textWrapping"/>
            </w:r>
            <w:r>
              <w:rPr>
                <w:rFonts w:ascii="Times New Roman" w:hAnsi="Times New Roman" w:eastAsia="宋体" w:cs="Times New Roman"/>
                <w:color w:val="auto"/>
                <w:highlight w:val="none"/>
                <w:lang w:val="en-US" w:eastAsia="zh-CN"/>
              </w:rPr>
              <w:t>经济</w:t>
            </w:r>
          </w:p>
        </w:tc>
        <w:tc>
          <w:tcPr>
            <w:tcW w:w="653" w:type="pct"/>
            <w:tcBorders>
              <w:tl2br w:val="nil"/>
              <w:tr2bl w:val="nil"/>
            </w:tcBorders>
            <w:noWrap w:val="0"/>
            <w:vAlign w:val="center"/>
          </w:tcPr>
          <w:p w14:paraId="45D74C6E">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农业生产</w:t>
            </w:r>
          </w:p>
        </w:tc>
        <w:tc>
          <w:tcPr>
            <w:tcW w:w="305" w:type="pct"/>
            <w:tcBorders>
              <w:tl2br w:val="nil"/>
              <w:tr2bl w:val="nil"/>
            </w:tcBorders>
            <w:noWrap w:val="0"/>
            <w:vAlign w:val="top"/>
          </w:tcPr>
          <w:p w14:paraId="20AC059C">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3AFB3650">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4C4DA339">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6D9A8F29">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1AB1C7D1">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1F4C9425">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551A281F">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276C971D">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6F0B9880">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2A4787E4">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498B8275">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159D5DA9">
            <w:pPr>
              <w:pStyle w:val="1358"/>
              <w:spacing w:line="240" w:lineRule="auto"/>
              <w:rPr>
                <w:rFonts w:hint="default" w:ascii="Times New Roman" w:hAnsi="Times New Roman" w:eastAsia="宋体" w:cs="Times New Roman"/>
                <w:color w:val="auto"/>
                <w:highlight w:val="none"/>
              </w:rPr>
            </w:pPr>
          </w:p>
        </w:tc>
      </w:tr>
      <w:tr w14:paraId="45B4F7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31A0D682">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23E01E63">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交通运输</w:t>
            </w:r>
          </w:p>
        </w:tc>
        <w:tc>
          <w:tcPr>
            <w:tcW w:w="305" w:type="pct"/>
            <w:tcBorders>
              <w:tl2br w:val="nil"/>
              <w:tr2bl w:val="nil"/>
            </w:tcBorders>
            <w:noWrap w:val="0"/>
            <w:vAlign w:val="top"/>
          </w:tcPr>
          <w:p w14:paraId="6BF524B1">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609B1063">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1869DA00">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5FC429E4">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4E9487A4">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4C10F690">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196B9F5D">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4C7954A7">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79CF76B1">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59" w:type="pct"/>
            <w:tcBorders>
              <w:tl2br w:val="nil"/>
              <w:tr2bl w:val="nil"/>
            </w:tcBorders>
            <w:noWrap w:val="0"/>
            <w:vAlign w:val="top"/>
          </w:tcPr>
          <w:p w14:paraId="37C27EBA">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00F9381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47" w:type="pct"/>
            <w:tcBorders>
              <w:tl2br w:val="nil"/>
              <w:tr2bl w:val="nil"/>
            </w:tcBorders>
            <w:noWrap w:val="0"/>
            <w:vAlign w:val="top"/>
          </w:tcPr>
          <w:p w14:paraId="5792585E">
            <w:pPr>
              <w:pStyle w:val="1358"/>
              <w:spacing w:line="240" w:lineRule="auto"/>
              <w:rPr>
                <w:rFonts w:hint="default" w:ascii="Times New Roman" w:hAnsi="Times New Roman" w:eastAsia="宋体" w:cs="Times New Roman"/>
                <w:color w:val="auto"/>
                <w:highlight w:val="none"/>
              </w:rPr>
            </w:pPr>
          </w:p>
        </w:tc>
      </w:tr>
      <w:tr w14:paraId="61728C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2AD771AE">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0F43611D">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经济发展</w:t>
            </w:r>
          </w:p>
        </w:tc>
        <w:tc>
          <w:tcPr>
            <w:tcW w:w="305" w:type="pct"/>
            <w:tcBorders>
              <w:tl2br w:val="nil"/>
              <w:tr2bl w:val="nil"/>
            </w:tcBorders>
            <w:noWrap w:val="0"/>
            <w:vAlign w:val="top"/>
          </w:tcPr>
          <w:p w14:paraId="4C5D5494">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1C8686FE">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143DAAFF">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0A581566">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3D58EF41">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28F3161E">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2CD73B4D">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27BE81E7">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2D4E2872">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59" w:type="pct"/>
            <w:tcBorders>
              <w:tl2br w:val="nil"/>
              <w:tr2bl w:val="nil"/>
            </w:tcBorders>
            <w:noWrap w:val="0"/>
            <w:vAlign w:val="top"/>
          </w:tcPr>
          <w:p w14:paraId="3C7F2950">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0BE9F65E">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47" w:type="pct"/>
            <w:tcBorders>
              <w:tl2br w:val="nil"/>
              <w:tr2bl w:val="nil"/>
            </w:tcBorders>
            <w:noWrap w:val="0"/>
            <w:vAlign w:val="top"/>
          </w:tcPr>
          <w:p w14:paraId="162B2D96">
            <w:pPr>
              <w:pStyle w:val="1358"/>
              <w:spacing w:line="240" w:lineRule="auto"/>
              <w:rPr>
                <w:rFonts w:hint="default" w:ascii="Times New Roman" w:hAnsi="Times New Roman" w:eastAsia="宋体" w:cs="Times New Roman"/>
                <w:color w:val="auto"/>
                <w:highlight w:val="none"/>
              </w:rPr>
            </w:pPr>
          </w:p>
        </w:tc>
      </w:tr>
      <w:tr w14:paraId="39609A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75F3A37D">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386BFDE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人群健康</w:t>
            </w:r>
          </w:p>
        </w:tc>
        <w:tc>
          <w:tcPr>
            <w:tcW w:w="305" w:type="pct"/>
            <w:tcBorders>
              <w:tl2br w:val="nil"/>
              <w:tr2bl w:val="nil"/>
            </w:tcBorders>
            <w:noWrap w:val="0"/>
            <w:vAlign w:val="top"/>
          </w:tcPr>
          <w:p w14:paraId="26ABFD16">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72535130">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39657210">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1B7478C5">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11797169">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29427A37">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3F07036E">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33B2629E">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1A7A570D">
            <w:pPr>
              <w:pStyle w:val="1358"/>
              <w:spacing w:line="240" w:lineRule="auto"/>
              <w:rPr>
                <w:rFonts w:hint="default" w:ascii="Times New Roman" w:hAnsi="Times New Roman" w:eastAsia="宋体" w:cs="Times New Roman"/>
                <w:color w:val="auto"/>
                <w:highlight w:val="none"/>
              </w:rPr>
            </w:pPr>
          </w:p>
        </w:tc>
        <w:tc>
          <w:tcPr>
            <w:tcW w:w="359" w:type="pct"/>
            <w:tcBorders>
              <w:tl2br w:val="nil"/>
              <w:tr2bl w:val="nil"/>
            </w:tcBorders>
            <w:noWrap w:val="0"/>
            <w:vAlign w:val="top"/>
          </w:tcPr>
          <w:p w14:paraId="7BFB7BE9">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0CCC6118">
            <w:pPr>
              <w:pStyle w:val="1358"/>
              <w:spacing w:line="240" w:lineRule="auto"/>
              <w:rPr>
                <w:rFonts w:hint="default" w:ascii="Times New Roman" w:hAnsi="Times New Roman" w:eastAsia="宋体" w:cs="Times New Roman"/>
                <w:color w:val="auto"/>
                <w:highlight w:val="none"/>
              </w:rPr>
            </w:pPr>
          </w:p>
        </w:tc>
        <w:tc>
          <w:tcPr>
            <w:tcW w:w="347" w:type="pct"/>
            <w:tcBorders>
              <w:tl2br w:val="nil"/>
              <w:tr2bl w:val="nil"/>
            </w:tcBorders>
            <w:noWrap w:val="0"/>
            <w:vAlign w:val="top"/>
          </w:tcPr>
          <w:p w14:paraId="3C8DF552">
            <w:pPr>
              <w:pStyle w:val="1358"/>
              <w:spacing w:line="240" w:lineRule="auto"/>
              <w:rPr>
                <w:rFonts w:hint="default" w:ascii="Times New Roman" w:hAnsi="Times New Roman" w:eastAsia="宋体" w:cs="Times New Roman"/>
                <w:color w:val="auto"/>
                <w:highlight w:val="none"/>
              </w:rPr>
            </w:pPr>
          </w:p>
        </w:tc>
      </w:tr>
      <w:tr w14:paraId="31CA60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24" w:type="pct"/>
            <w:vMerge w:val="continue"/>
            <w:tcBorders>
              <w:tl2br w:val="nil"/>
              <w:tr2bl w:val="nil"/>
            </w:tcBorders>
            <w:noWrap w:val="0"/>
            <w:vAlign w:val="center"/>
          </w:tcPr>
          <w:p w14:paraId="0EA836F4">
            <w:pPr>
              <w:pStyle w:val="1358"/>
              <w:spacing w:line="240" w:lineRule="auto"/>
              <w:rPr>
                <w:rFonts w:hint="eastAsia" w:ascii="Times New Roman" w:hAnsi="Times New Roman" w:eastAsia="宋体" w:cs="Times New Roman"/>
                <w:color w:val="auto"/>
                <w:highlight w:val="none"/>
              </w:rPr>
            </w:pPr>
          </w:p>
        </w:tc>
        <w:tc>
          <w:tcPr>
            <w:tcW w:w="653" w:type="pct"/>
            <w:tcBorders>
              <w:tl2br w:val="nil"/>
              <w:tr2bl w:val="nil"/>
            </w:tcBorders>
            <w:noWrap w:val="0"/>
            <w:vAlign w:val="center"/>
          </w:tcPr>
          <w:p w14:paraId="51BAF7F6">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生活质量</w:t>
            </w:r>
          </w:p>
        </w:tc>
        <w:tc>
          <w:tcPr>
            <w:tcW w:w="305" w:type="pct"/>
            <w:tcBorders>
              <w:tl2br w:val="nil"/>
              <w:tr2bl w:val="nil"/>
            </w:tcBorders>
            <w:noWrap w:val="0"/>
            <w:vAlign w:val="top"/>
          </w:tcPr>
          <w:p w14:paraId="3A175B96">
            <w:pPr>
              <w:pStyle w:val="1358"/>
              <w:spacing w:line="240" w:lineRule="auto"/>
              <w:rPr>
                <w:rFonts w:hint="default" w:ascii="Times New Roman" w:hAnsi="Times New Roman" w:eastAsia="宋体" w:cs="Times New Roman"/>
                <w:color w:val="auto"/>
                <w:highlight w:val="none"/>
              </w:rPr>
            </w:pPr>
          </w:p>
        </w:tc>
        <w:tc>
          <w:tcPr>
            <w:tcW w:w="309" w:type="pct"/>
            <w:tcBorders>
              <w:tl2br w:val="nil"/>
              <w:tr2bl w:val="nil"/>
            </w:tcBorders>
            <w:noWrap w:val="0"/>
            <w:vAlign w:val="top"/>
          </w:tcPr>
          <w:p w14:paraId="0EDC8D4A">
            <w:pPr>
              <w:pStyle w:val="1358"/>
              <w:spacing w:line="240" w:lineRule="auto"/>
              <w:rPr>
                <w:rFonts w:hint="default" w:ascii="Times New Roman" w:hAnsi="Times New Roman" w:eastAsia="宋体" w:cs="Times New Roman"/>
                <w:color w:val="auto"/>
                <w:highlight w:val="none"/>
              </w:rPr>
            </w:pPr>
          </w:p>
        </w:tc>
        <w:tc>
          <w:tcPr>
            <w:tcW w:w="405" w:type="pct"/>
            <w:tcBorders>
              <w:tl2br w:val="nil"/>
              <w:tr2bl w:val="nil"/>
            </w:tcBorders>
            <w:noWrap w:val="0"/>
            <w:vAlign w:val="top"/>
          </w:tcPr>
          <w:p w14:paraId="261555EB">
            <w:pPr>
              <w:pStyle w:val="1358"/>
              <w:spacing w:line="240" w:lineRule="auto"/>
              <w:rPr>
                <w:rFonts w:hint="default" w:ascii="Times New Roman" w:hAnsi="Times New Roman" w:eastAsia="宋体" w:cs="Times New Roman"/>
                <w:color w:val="auto"/>
                <w:highlight w:val="none"/>
              </w:rPr>
            </w:pPr>
          </w:p>
        </w:tc>
        <w:tc>
          <w:tcPr>
            <w:tcW w:w="282" w:type="pct"/>
            <w:tcBorders>
              <w:tl2br w:val="nil"/>
              <w:tr2bl w:val="nil"/>
            </w:tcBorders>
            <w:noWrap w:val="0"/>
            <w:vAlign w:val="top"/>
          </w:tcPr>
          <w:p w14:paraId="3DB81F5C">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7200B828">
            <w:pPr>
              <w:pStyle w:val="1358"/>
              <w:spacing w:line="240" w:lineRule="auto"/>
              <w:rPr>
                <w:rFonts w:hint="default" w:ascii="Times New Roman" w:hAnsi="Times New Roman" w:eastAsia="宋体" w:cs="Times New Roman"/>
                <w:color w:val="auto"/>
                <w:highlight w:val="none"/>
              </w:rPr>
            </w:pPr>
          </w:p>
        </w:tc>
        <w:tc>
          <w:tcPr>
            <w:tcW w:w="301" w:type="pct"/>
            <w:tcBorders>
              <w:tl2br w:val="nil"/>
              <w:tr2bl w:val="nil"/>
            </w:tcBorders>
            <w:noWrap w:val="0"/>
            <w:vAlign w:val="top"/>
          </w:tcPr>
          <w:p w14:paraId="2C6CA9F4">
            <w:pPr>
              <w:pStyle w:val="1358"/>
              <w:spacing w:line="240" w:lineRule="auto"/>
              <w:rPr>
                <w:rFonts w:hint="default" w:ascii="Times New Roman" w:hAnsi="Times New Roman" w:eastAsia="宋体" w:cs="Times New Roman"/>
                <w:color w:val="auto"/>
                <w:highlight w:val="none"/>
              </w:rPr>
            </w:pPr>
          </w:p>
        </w:tc>
        <w:tc>
          <w:tcPr>
            <w:tcW w:w="305" w:type="pct"/>
            <w:tcBorders>
              <w:tl2br w:val="nil"/>
              <w:tr2bl w:val="nil"/>
            </w:tcBorders>
            <w:noWrap w:val="0"/>
            <w:vAlign w:val="top"/>
          </w:tcPr>
          <w:p w14:paraId="60F12EF4">
            <w:pPr>
              <w:pStyle w:val="1358"/>
              <w:spacing w:line="240" w:lineRule="auto"/>
              <w:rPr>
                <w:rFonts w:hint="default" w:ascii="Times New Roman" w:hAnsi="Times New Roman" w:eastAsia="宋体" w:cs="Times New Roman"/>
                <w:color w:val="auto"/>
                <w:highlight w:val="none"/>
              </w:rPr>
            </w:pPr>
          </w:p>
        </w:tc>
        <w:tc>
          <w:tcPr>
            <w:tcW w:w="463" w:type="pct"/>
            <w:tcBorders>
              <w:tl2br w:val="nil"/>
              <w:tr2bl w:val="nil"/>
            </w:tcBorders>
            <w:noWrap w:val="0"/>
            <w:vAlign w:val="top"/>
          </w:tcPr>
          <w:p w14:paraId="44B08662">
            <w:pPr>
              <w:pStyle w:val="1358"/>
              <w:spacing w:line="240" w:lineRule="auto"/>
              <w:rPr>
                <w:rFonts w:hint="default" w:ascii="Times New Roman" w:hAnsi="Times New Roman" w:eastAsia="宋体" w:cs="Times New Roman"/>
                <w:color w:val="auto"/>
                <w:highlight w:val="none"/>
              </w:rPr>
            </w:pPr>
          </w:p>
        </w:tc>
        <w:tc>
          <w:tcPr>
            <w:tcW w:w="325" w:type="pct"/>
            <w:tcBorders>
              <w:tl2br w:val="nil"/>
              <w:tr2bl w:val="nil"/>
            </w:tcBorders>
            <w:noWrap w:val="0"/>
            <w:vAlign w:val="top"/>
          </w:tcPr>
          <w:p w14:paraId="2F83FB9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59" w:type="pct"/>
            <w:tcBorders>
              <w:tl2br w:val="nil"/>
              <w:tr2bl w:val="nil"/>
            </w:tcBorders>
            <w:noWrap w:val="0"/>
            <w:vAlign w:val="top"/>
          </w:tcPr>
          <w:p w14:paraId="4D731026">
            <w:pPr>
              <w:pStyle w:val="1358"/>
              <w:spacing w:line="240" w:lineRule="auto"/>
              <w:rPr>
                <w:rFonts w:hint="default" w:ascii="Times New Roman" w:hAnsi="Times New Roman" w:eastAsia="宋体" w:cs="Times New Roman"/>
                <w:color w:val="auto"/>
                <w:highlight w:val="none"/>
              </w:rPr>
            </w:pPr>
          </w:p>
        </w:tc>
        <w:tc>
          <w:tcPr>
            <w:tcW w:w="310" w:type="pct"/>
            <w:tcBorders>
              <w:tl2br w:val="nil"/>
              <w:tr2bl w:val="nil"/>
            </w:tcBorders>
            <w:noWrap w:val="0"/>
            <w:vAlign w:val="top"/>
          </w:tcPr>
          <w:p w14:paraId="22FEF857">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w:t>
            </w:r>
          </w:p>
        </w:tc>
        <w:tc>
          <w:tcPr>
            <w:tcW w:w="347" w:type="pct"/>
            <w:tcBorders>
              <w:tl2br w:val="nil"/>
              <w:tr2bl w:val="nil"/>
            </w:tcBorders>
            <w:noWrap w:val="0"/>
            <w:vAlign w:val="top"/>
          </w:tcPr>
          <w:p w14:paraId="10D9F7B2">
            <w:pPr>
              <w:pStyle w:val="1358"/>
              <w:spacing w:line="240" w:lineRule="auto"/>
              <w:rPr>
                <w:rFonts w:hint="default" w:ascii="Times New Roman" w:hAnsi="Times New Roman" w:eastAsia="宋体" w:cs="Times New Roman"/>
                <w:color w:val="auto"/>
                <w:highlight w:val="none"/>
              </w:rPr>
            </w:pPr>
          </w:p>
        </w:tc>
      </w:tr>
      <w:tr w14:paraId="53EBCB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000" w:type="pct"/>
            <w:gridSpan w:val="14"/>
            <w:tcBorders>
              <w:tl2br w:val="nil"/>
              <w:tr2bl w:val="nil"/>
            </w:tcBorders>
            <w:noWrap w:val="0"/>
            <w:vAlign w:val="top"/>
          </w:tcPr>
          <w:p w14:paraId="3FD582F8">
            <w:pPr>
              <w:pStyle w:val="1358"/>
              <w:spacing w:line="240" w:lineRule="auto"/>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注：▲中度影响，△轻度影响，空白为影响很小或无影响</w:t>
            </w:r>
          </w:p>
        </w:tc>
      </w:tr>
    </w:tbl>
    <w:p w14:paraId="67CA7294">
      <w:pPr>
        <w:rPr>
          <w:rFonts w:hint="eastAsia" w:ascii="Times New Roman" w:hAnsi="Times New Roman" w:eastAsia="宋体" w:cs="Times New Roman"/>
          <w:color w:val="auto"/>
          <w:highlight w:val="none"/>
          <w:u w:val="none"/>
        </w:rPr>
      </w:pPr>
      <w:r>
        <w:rPr>
          <w:rFonts w:hint="eastAsia" w:ascii="Times New Roman" w:hAnsi="Times New Roman" w:eastAsia="宋体" w:cs="Times New Roman"/>
          <w:color w:val="auto"/>
          <w:highlight w:val="none"/>
          <w:u w:val="none"/>
        </w:rPr>
        <w:t>从</w:t>
      </w:r>
      <w:r>
        <w:rPr>
          <w:rFonts w:ascii="Times New Roman" w:hAnsi="Times New Roman" w:eastAsia="宋体" w:cs="Times New Roman"/>
          <w:color w:val="auto"/>
          <w:highlight w:val="none"/>
          <w:u w:val="none"/>
        </w:rPr>
        <w:fldChar w:fldCharType="begin"/>
      </w:r>
      <w:r>
        <w:rPr>
          <w:rFonts w:hint="eastAsia" w:ascii="Times New Roman" w:hAnsi="Times New Roman" w:eastAsia="宋体" w:cs="Times New Roman"/>
          <w:color w:val="auto"/>
          <w:highlight w:val="none"/>
          <w:u w:val="none"/>
        </w:rPr>
        <w:instrText xml:space="preserve">REF _Ref49882187 \h</w:instrText>
      </w:r>
      <w:r>
        <w:rPr>
          <w:rFonts w:ascii="Times New Roman" w:hAnsi="Times New Roman" w:eastAsia="宋体" w:cs="Times New Roman"/>
          <w:color w:val="auto"/>
          <w:highlight w:val="none"/>
          <w:u w:val="none"/>
        </w:rPr>
        <w:instrText xml:space="preserve">  \* MERGEFORMAT </w:instrText>
      </w:r>
      <w:r>
        <w:rPr>
          <w:rFonts w:ascii="Times New Roman" w:hAnsi="Times New Roman" w:eastAsia="宋体" w:cs="Times New Roman"/>
          <w:color w:val="auto"/>
          <w:highlight w:val="none"/>
          <w:u w:val="none"/>
        </w:rPr>
        <w:fldChar w:fldCharType="separate"/>
      </w:r>
      <w:r>
        <w:rPr>
          <w:rFonts w:hint="eastAsia" w:ascii="Times New Roman" w:hAnsi="Times New Roman" w:eastAsia="宋体" w:cs="Times New Roman"/>
          <w:color w:val="auto"/>
          <w:highlight w:val="none"/>
          <w:u w:val="none"/>
        </w:rPr>
        <w:t>表</w:t>
      </w:r>
      <w:r>
        <w:rPr>
          <w:rFonts w:ascii="Times New Roman" w:hAnsi="Times New Roman" w:eastAsia="宋体" w:cs="Times New Roman"/>
          <w:color w:val="auto"/>
          <w:highlight w:val="none"/>
          <w:u w:val="none"/>
        </w:rPr>
        <w:t>2.2</w:t>
      </w:r>
      <w:r>
        <w:rPr>
          <w:rFonts w:hint="eastAsia" w:cs="Times New Roman"/>
          <w:color w:val="auto"/>
          <w:highlight w:val="none"/>
          <w:u w:val="none"/>
          <w:lang w:eastAsia="zh-CN"/>
        </w:rPr>
        <w:t>-</w:t>
      </w:r>
      <w:r>
        <w:rPr>
          <w:rFonts w:ascii="Times New Roman" w:hAnsi="Times New Roman" w:eastAsia="宋体" w:cs="Times New Roman"/>
          <w:color w:val="auto"/>
          <w:highlight w:val="none"/>
          <w:u w:val="none"/>
        </w:rPr>
        <w:t>1</w:t>
      </w:r>
      <w:r>
        <w:rPr>
          <w:rFonts w:ascii="Times New Roman" w:hAnsi="Times New Roman" w:eastAsia="宋体" w:cs="Times New Roman"/>
          <w:color w:val="auto"/>
          <w:highlight w:val="none"/>
          <w:u w:val="none"/>
        </w:rPr>
        <w:fldChar w:fldCharType="end"/>
      </w:r>
      <w:r>
        <w:rPr>
          <w:rFonts w:hint="eastAsia" w:ascii="Times New Roman" w:hAnsi="Times New Roman" w:eastAsia="宋体" w:cs="Times New Roman"/>
          <w:color w:val="auto"/>
          <w:highlight w:val="none"/>
          <w:u w:val="none"/>
        </w:rPr>
        <w:t>可以看出，项目运营期对环境的影响是多方面的，其中最主要的是项目生产废气等对周边大气环境的影响，其次是环境风险和固体废物，运营期的影响则是长期的。</w:t>
      </w:r>
    </w:p>
    <w:p w14:paraId="0AE5D0B1">
      <w:pPr>
        <w:rPr>
          <w:rFonts w:hint="eastAsia" w:ascii="Times New Roman" w:hAnsi="Times New Roman" w:eastAsia="宋体" w:cs="Times New Roman"/>
          <w:bCs/>
          <w:color w:val="auto"/>
          <w:highlight w:val="none"/>
          <w:u w:val="none"/>
        </w:rPr>
      </w:pPr>
      <w:r>
        <w:rPr>
          <w:rFonts w:hint="eastAsia" w:ascii="Times New Roman" w:hAnsi="Times New Roman" w:eastAsia="宋体" w:cs="Times New Roman"/>
          <w:color w:val="auto"/>
          <w:highlight w:val="none"/>
          <w:u w:val="none"/>
        </w:rPr>
        <w:t>对环境的正影响则主要表现在社会经济环境，本项目建设过程中增加就业率，运营期大量原材料的采购有利于经济发展；项目需要工人，有利于劳动就业。</w:t>
      </w:r>
    </w:p>
    <w:p w14:paraId="62A16B1C">
      <w:pPr>
        <w:pStyle w:val="4"/>
        <w:numPr>
          <w:ilvl w:val="2"/>
          <w:numId w:val="0"/>
        </w:numPr>
        <w:tabs>
          <w:tab w:val="clear" w:pos="720"/>
        </w:tabs>
        <w:bidi w:val="0"/>
        <w:rPr>
          <w:color w:val="auto"/>
          <w:highlight w:val="none"/>
        </w:rPr>
      </w:pPr>
      <w:bookmarkStart w:id="252" w:name="_Toc1462"/>
      <w:r>
        <w:rPr>
          <w:color w:val="auto"/>
          <w:highlight w:val="none"/>
        </w:rPr>
        <w:t>2.2.2</w:t>
      </w:r>
      <w:r>
        <w:rPr>
          <w:rFonts w:hint="eastAsia"/>
          <w:color w:val="auto"/>
          <w:highlight w:val="none"/>
          <w:lang w:val="en-US" w:eastAsia="zh-CN"/>
        </w:rPr>
        <w:t xml:space="preserve"> </w:t>
      </w:r>
      <w:r>
        <w:rPr>
          <w:color w:val="auto"/>
          <w:highlight w:val="none"/>
        </w:rPr>
        <w:t>评价因子筛选</w:t>
      </w:r>
      <w:bookmarkEnd w:id="248"/>
      <w:bookmarkEnd w:id="249"/>
      <w:bookmarkEnd w:id="250"/>
      <w:bookmarkEnd w:id="251"/>
      <w:bookmarkEnd w:id="252"/>
    </w:p>
    <w:p w14:paraId="1432416C">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根据建设项目的特点、环境影响的主要特征，结合区域环境功能要求、环境保护目标、评价标准和环境制约因素，筛选确定评价因子，详见表2.2-2。</w:t>
      </w:r>
    </w:p>
    <w:p w14:paraId="6A8DB9AA">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表2.2-2  评价因子一览表</w:t>
      </w:r>
    </w:p>
    <w:tbl>
      <w:tblPr>
        <w:tblStyle w:val="80"/>
        <w:tblW w:w="902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45" w:type="dxa"/>
          <w:left w:w="96" w:type="dxa"/>
          <w:bottom w:w="45" w:type="dxa"/>
          <w:right w:w="96" w:type="dxa"/>
        </w:tblCellMar>
      </w:tblPr>
      <w:tblGrid>
        <w:gridCol w:w="1415"/>
        <w:gridCol w:w="1157"/>
        <w:gridCol w:w="6451"/>
      </w:tblGrid>
      <w:tr w14:paraId="7681F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blHeader/>
          <w:jc w:val="center"/>
        </w:trPr>
        <w:tc>
          <w:tcPr>
            <w:tcW w:w="2572" w:type="dxa"/>
            <w:gridSpan w:val="2"/>
            <w:tcBorders>
              <w:tl2br w:val="nil"/>
              <w:tr2bl w:val="nil"/>
            </w:tcBorders>
            <w:noWrap w:val="0"/>
            <w:vAlign w:val="center"/>
          </w:tcPr>
          <w:p w14:paraId="06FF62F8">
            <w:pPr>
              <w:pStyle w:val="1358"/>
              <w:snapToGrid w:val="0"/>
              <w:rPr>
                <w:rFonts w:hint="default" w:ascii="Times New Roman" w:hAnsi="Times New Roman" w:eastAsia="宋体" w:cs="Times New Roman"/>
                <w:b/>
                <w:color w:val="auto"/>
                <w:highlight w:val="none"/>
                <w:lang w:val="en-US" w:eastAsia="zh-CN"/>
              </w:rPr>
            </w:pPr>
            <w:bookmarkStart w:id="253" w:name="_Toc2724"/>
            <w:r>
              <w:rPr>
                <w:rFonts w:hint="eastAsia" w:ascii="Times New Roman" w:hAnsi="Times New Roman" w:eastAsia="宋体" w:cs="Times New Roman"/>
                <w:b/>
                <w:color w:val="auto"/>
                <w:highlight w:val="none"/>
                <w:lang w:val="en-US" w:eastAsia="zh-CN"/>
              </w:rPr>
              <w:t>评价要素</w:t>
            </w:r>
          </w:p>
        </w:tc>
        <w:tc>
          <w:tcPr>
            <w:tcW w:w="6451" w:type="dxa"/>
            <w:tcBorders>
              <w:tl2br w:val="nil"/>
              <w:tr2bl w:val="nil"/>
            </w:tcBorders>
            <w:noWrap w:val="0"/>
            <w:vAlign w:val="center"/>
          </w:tcPr>
          <w:p w14:paraId="74EA6715">
            <w:pPr>
              <w:pStyle w:val="1358"/>
              <w:snapToGrid w:val="0"/>
              <w:rPr>
                <w:rFonts w:hint="eastAsia" w:ascii="Times New Roman" w:hAnsi="Times New Roman" w:eastAsia="宋体" w:cs="Times New Roman"/>
                <w:b/>
                <w:color w:val="auto"/>
                <w:highlight w:val="none"/>
                <w:lang w:eastAsia="zh-CN"/>
              </w:rPr>
            </w:pPr>
            <w:r>
              <w:rPr>
                <w:rFonts w:hint="eastAsia" w:ascii="Times New Roman" w:hAnsi="Times New Roman" w:eastAsia="宋体" w:cs="Times New Roman"/>
                <w:b/>
                <w:color w:val="auto"/>
                <w:highlight w:val="none"/>
                <w:lang w:eastAsia="zh-CN"/>
              </w:rPr>
              <w:t>评价因子</w:t>
            </w:r>
          </w:p>
        </w:tc>
      </w:tr>
      <w:tr w14:paraId="2A408D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90" w:hRule="atLeast"/>
          <w:jc w:val="center"/>
        </w:trPr>
        <w:tc>
          <w:tcPr>
            <w:tcW w:w="1415" w:type="dxa"/>
            <w:vMerge w:val="restart"/>
            <w:tcBorders>
              <w:tl2br w:val="nil"/>
              <w:tr2bl w:val="nil"/>
            </w:tcBorders>
            <w:noWrap w:val="0"/>
            <w:vAlign w:val="center"/>
          </w:tcPr>
          <w:p w14:paraId="52FC2D95">
            <w:pPr>
              <w:pStyle w:val="1358"/>
              <w:snapToGrid w:val="0"/>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大气环境</w:t>
            </w:r>
          </w:p>
        </w:tc>
        <w:tc>
          <w:tcPr>
            <w:tcW w:w="1157" w:type="dxa"/>
            <w:tcBorders>
              <w:tl2br w:val="nil"/>
              <w:tr2bl w:val="nil"/>
            </w:tcBorders>
            <w:noWrap w:val="0"/>
            <w:vAlign w:val="center"/>
          </w:tcPr>
          <w:p w14:paraId="7E7CBC4E">
            <w:pPr>
              <w:pStyle w:val="1358"/>
              <w:snapToGrid w:val="0"/>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现状调查</w:t>
            </w:r>
          </w:p>
        </w:tc>
        <w:tc>
          <w:tcPr>
            <w:tcW w:w="6451" w:type="dxa"/>
            <w:tcBorders>
              <w:tl2br w:val="nil"/>
              <w:tr2bl w:val="nil"/>
            </w:tcBorders>
            <w:noWrap w:val="0"/>
            <w:vAlign w:val="center"/>
          </w:tcPr>
          <w:p w14:paraId="7B3DAD7E">
            <w:pPr>
              <w:pStyle w:val="1358"/>
              <w:snapToGrid w:val="0"/>
              <w:ind w:firstLine="0" w:firstLineChars="0"/>
              <w:jc w:val="left"/>
              <w:rPr>
                <w:rFonts w:hint="default"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sz w:val="21"/>
                <w:highlight w:val="none"/>
              </w:rPr>
              <w:t>PM</w:t>
            </w:r>
            <w:r>
              <w:rPr>
                <w:rFonts w:ascii="Times New Roman" w:hAnsi="Times New Roman" w:eastAsia="宋体" w:cs="Times New Roman"/>
                <w:color w:val="auto"/>
                <w:sz w:val="21"/>
                <w:highlight w:val="none"/>
                <w:vertAlign w:val="subscript"/>
              </w:rPr>
              <w:t>10</w:t>
            </w:r>
            <w:r>
              <w:rPr>
                <w:rFonts w:ascii="Times New Roman" w:hAnsi="Times New Roman" w:eastAsia="宋体" w:cs="Times New Roman"/>
                <w:color w:val="auto"/>
                <w:sz w:val="21"/>
                <w:highlight w:val="none"/>
              </w:rPr>
              <w:t>、PM</w:t>
            </w:r>
            <w:r>
              <w:rPr>
                <w:rFonts w:ascii="Times New Roman" w:hAnsi="Times New Roman" w:eastAsia="宋体" w:cs="Times New Roman"/>
                <w:color w:val="auto"/>
                <w:sz w:val="21"/>
                <w:highlight w:val="none"/>
                <w:vertAlign w:val="subscript"/>
              </w:rPr>
              <w:t>2.5</w:t>
            </w:r>
            <w:r>
              <w:rPr>
                <w:rFonts w:ascii="Times New Roman" w:hAnsi="Times New Roman" w:eastAsia="宋体" w:cs="Times New Roman"/>
                <w:color w:val="auto"/>
                <w:sz w:val="21"/>
                <w:highlight w:val="none"/>
              </w:rPr>
              <w:t>、SO</w:t>
            </w:r>
            <w:r>
              <w:rPr>
                <w:rFonts w:ascii="Times New Roman" w:hAnsi="Times New Roman" w:eastAsia="宋体" w:cs="Times New Roman"/>
                <w:color w:val="auto"/>
                <w:sz w:val="21"/>
                <w:highlight w:val="none"/>
                <w:vertAlign w:val="subscript"/>
              </w:rPr>
              <w:t>2</w:t>
            </w:r>
            <w:r>
              <w:rPr>
                <w:rFonts w:ascii="Times New Roman" w:hAnsi="Times New Roman" w:eastAsia="宋体" w:cs="Times New Roman"/>
                <w:color w:val="auto"/>
                <w:sz w:val="21"/>
                <w:highlight w:val="none"/>
              </w:rPr>
              <w:t>、NO</w:t>
            </w:r>
            <w:r>
              <w:rPr>
                <w:rFonts w:ascii="Times New Roman" w:hAnsi="Times New Roman" w:eastAsia="宋体" w:cs="Times New Roman"/>
                <w:color w:val="auto"/>
                <w:sz w:val="21"/>
                <w:highlight w:val="none"/>
                <w:vertAlign w:val="subscript"/>
              </w:rPr>
              <w:t>2</w:t>
            </w:r>
            <w:r>
              <w:rPr>
                <w:rFonts w:ascii="Times New Roman" w:hAnsi="Times New Roman" w:eastAsia="宋体" w:cs="Times New Roman"/>
                <w:color w:val="auto"/>
                <w:sz w:val="21"/>
                <w:highlight w:val="none"/>
              </w:rPr>
              <w:t>、CO、O</w:t>
            </w:r>
            <w:r>
              <w:rPr>
                <w:rFonts w:ascii="Times New Roman" w:hAnsi="Times New Roman" w:eastAsia="宋体" w:cs="Times New Roman"/>
                <w:color w:val="auto"/>
                <w:sz w:val="21"/>
                <w:highlight w:val="none"/>
                <w:vertAlign w:val="subscript"/>
              </w:rPr>
              <w:t>3</w:t>
            </w:r>
            <w:r>
              <w:rPr>
                <w:rFonts w:ascii="Times New Roman" w:hAnsi="Times New Roman" w:eastAsia="宋体" w:cs="Times New Roman"/>
                <w:color w:val="auto"/>
                <w:sz w:val="21"/>
                <w:highlight w:val="none"/>
                <w:lang w:bidi="ar"/>
              </w:rPr>
              <w:t>、</w:t>
            </w:r>
            <w:r>
              <w:rPr>
                <w:rFonts w:hint="eastAsia" w:cs="Times New Roman"/>
                <w:color w:val="auto"/>
                <w:sz w:val="21"/>
                <w:highlight w:val="none"/>
                <w:lang w:val="en-US" w:eastAsia="zh-CN" w:bidi="ar"/>
              </w:rPr>
              <w:t>TSP、</w:t>
            </w:r>
            <w:r>
              <w:rPr>
                <w:rFonts w:hint="eastAsia" w:ascii="Times New Roman" w:hAnsi="Times New Roman" w:eastAsia="宋体" w:cs="Times New Roman"/>
                <w:color w:val="auto"/>
                <w:sz w:val="21"/>
                <w:highlight w:val="none"/>
                <w:lang w:val="en-US" w:eastAsia="zh-CN"/>
              </w:rPr>
              <w:t>非甲烷总烃、</w:t>
            </w:r>
            <w:r>
              <w:rPr>
                <w:rFonts w:hint="eastAsia" w:cs="Times New Roman"/>
                <w:color w:val="auto"/>
                <w:sz w:val="21"/>
                <w:highlight w:val="none"/>
                <w:lang w:val="en-US" w:eastAsia="zh-CN"/>
              </w:rPr>
              <w:t>二甲苯、</w:t>
            </w:r>
            <w:r>
              <w:rPr>
                <w:rFonts w:hint="eastAsia" w:ascii="Times New Roman" w:hAnsi="Times New Roman" w:eastAsia="宋体" w:cs="Times New Roman"/>
                <w:color w:val="auto"/>
                <w:sz w:val="21"/>
                <w:highlight w:val="none"/>
                <w:lang w:val="en-US" w:eastAsia="zh-CN"/>
              </w:rPr>
              <w:t>乙酸</w:t>
            </w:r>
            <w:r>
              <w:rPr>
                <w:rFonts w:hint="eastAsia" w:cs="Times New Roman"/>
                <w:color w:val="auto"/>
                <w:sz w:val="21"/>
                <w:highlight w:val="none"/>
                <w:lang w:val="en-US" w:eastAsia="zh-CN"/>
              </w:rPr>
              <w:t>丁</w:t>
            </w:r>
            <w:r>
              <w:rPr>
                <w:rFonts w:hint="eastAsia" w:ascii="Times New Roman" w:hAnsi="Times New Roman" w:eastAsia="宋体" w:cs="Times New Roman"/>
                <w:color w:val="auto"/>
                <w:sz w:val="21"/>
                <w:highlight w:val="none"/>
                <w:lang w:val="en-US" w:eastAsia="zh-CN"/>
              </w:rPr>
              <w:t>酯</w:t>
            </w:r>
            <w:r>
              <w:rPr>
                <w:rFonts w:hint="eastAsia" w:ascii="Times New Roman" w:hAnsi="Times New Roman" w:eastAsia="宋体" w:cs="Times New Roman"/>
                <w:color w:val="auto"/>
                <w:sz w:val="21"/>
                <w:highlight w:val="none"/>
                <w:lang w:eastAsia="zh-CN"/>
              </w:rPr>
              <w:t>、</w:t>
            </w:r>
            <w:r>
              <w:rPr>
                <w:rFonts w:hint="eastAsia" w:cs="Times New Roman"/>
                <w:color w:val="auto"/>
                <w:sz w:val="21"/>
                <w:highlight w:val="none"/>
                <w:lang w:val="en-US" w:eastAsia="zh-CN"/>
              </w:rPr>
              <w:t>挥发性有机物、臭气浓度</w:t>
            </w:r>
          </w:p>
        </w:tc>
      </w:tr>
      <w:tr w14:paraId="7C725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vMerge w:val="continue"/>
            <w:tcBorders>
              <w:tl2br w:val="nil"/>
              <w:tr2bl w:val="nil"/>
            </w:tcBorders>
            <w:noWrap w:val="0"/>
            <w:vAlign w:val="center"/>
          </w:tcPr>
          <w:p w14:paraId="3E3C6245">
            <w:pPr>
              <w:pStyle w:val="1358"/>
              <w:snapToGrid w:val="0"/>
              <w:ind w:firstLine="0" w:firstLineChars="0"/>
              <w:rPr>
                <w:rFonts w:ascii="Times New Roman" w:hAnsi="Times New Roman" w:eastAsia="宋体" w:cs="Times New Roman"/>
                <w:color w:val="auto"/>
                <w:sz w:val="21"/>
                <w:highlight w:val="none"/>
              </w:rPr>
            </w:pPr>
          </w:p>
        </w:tc>
        <w:tc>
          <w:tcPr>
            <w:tcW w:w="1157" w:type="dxa"/>
            <w:tcBorders>
              <w:tl2br w:val="nil"/>
              <w:tr2bl w:val="nil"/>
            </w:tcBorders>
            <w:noWrap w:val="0"/>
            <w:vAlign w:val="center"/>
          </w:tcPr>
          <w:p w14:paraId="48A004B7">
            <w:pPr>
              <w:pStyle w:val="1358"/>
              <w:snapToGrid w:val="0"/>
              <w:ind w:firstLine="0" w:firstLineChars="0"/>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预测评价</w:t>
            </w:r>
          </w:p>
        </w:tc>
        <w:tc>
          <w:tcPr>
            <w:tcW w:w="6451" w:type="dxa"/>
            <w:tcBorders>
              <w:tl2br w:val="nil"/>
              <w:tr2bl w:val="nil"/>
            </w:tcBorders>
            <w:noWrap w:val="0"/>
            <w:vAlign w:val="center"/>
          </w:tcPr>
          <w:p w14:paraId="280E3927">
            <w:pPr>
              <w:pStyle w:val="1358"/>
              <w:snapToGrid w:val="0"/>
              <w:ind w:firstLine="0" w:firstLineChars="0"/>
              <w:jc w:val="left"/>
              <w:rPr>
                <w:rFonts w:hint="default" w:ascii="Times New Roman" w:hAnsi="Times New Roman" w:eastAsia="宋体" w:cs="Times New Roman"/>
                <w:color w:val="auto"/>
                <w:sz w:val="21"/>
                <w:highlight w:val="none"/>
                <w:lang w:val="en-US"/>
              </w:rPr>
            </w:pPr>
            <w:r>
              <w:rPr>
                <w:rFonts w:hint="eastAsia" w:ascii="Times New Roman" w:hAnsi="Times New Roman" w:eastAsia="宋体" w:cs="Times New Roman"/>
                <w:color w:val="auto"/>
                <w:sz w:val="21"/>
                <w:highlight w:val="none"/>
                <w:lang w:val="en-US" w:eastAsia="zh-CN"/>
              </w:rPr>
              <w:t>NMHC（含乙酸丁酯）、二甲苯、</w:t>
            </w:r>
            <w:r>
              <w:rPr>
                <w:rFonts w:hint="eastAsia" w:cs="Times New Roman"/>
                <w:color w:val="auto"/>
                <w:sz w:val="21"/>
                <w:highlight w:val="none"/>
                <w:lang w:val="en-US" w:eastAsia="zh-CN"/>
              </w:rPr>
              <w:t>TSP</w:t>
            </w:r>
            <w:r>
              <w:rPr>
                <w:rFonts w:hint="eastAsia" w:ascii="Times New Roman" w:hAnsi="Times New Roman" w:eastAsia="宋体" w:cs="Times New Roman"/>
                <w:color w:val="auto"/>
                <w:sz w:val="21"/>
                <w:highlight w:val="none"/>
                <w:lang w:val="en-US" w:eastAsia="zh-CN"/>
              </w:rPr>
              <w:t>、SO</w:t>
            </w:r>
            <w:r>
              <w:rPr>
                <w:rFonts w:hint="eastAsia" w:ascii="Times New Roman" w:hAnsi="Times New Roman" w:eastAsia="宋体" w:cs="Times New Roman"/>
                <w:color w:val="auto"/>
                <w:sz w:val="21"/>
                <w:highlight w:val="none"/>
                <w:vertAlign w:val="subscript"/>
                <w:lang w:val="en-US" w:eastAsia="zh-CN"/>
              </w:rPr>
              <w:t>2</w:t>
            </w:r>
            <w:r>
              <w:rPr>
                <w:rFonts w:hint="eastAsia" w:ascii="Times New Roman" w:hAnsi="Times New Roman" w:eastAsia="宋体" w:cs="Times New Roman"/>
                <w:color w:val="auto"/>
                <w:sz w:val="21"/>
                <w:highlight w:val="none"/>
                <w:lang w:val="en-US" w:eastAsia="zh-CN"/>
              </w:rPr>
              <w:t>、NO</w:t>
            </w:r>
            <w:r>
              <w:rPr>
                <w:rFonts w:hint="eastAsia" w:ascii="Times New Roman" w:hAnsi="Times New Roman" w:eastAsia="宋体" w:cs="Times New Roman"/>
                <w:color w:val="auto"/>
                <w:sz w:val="21"/>
                <w:highlight w:val="none"/>
                <w:vertAlign w:val="baseline"/>
                <w:lang w:val="en-US" w:eastAsia="zh-CN"/>
              </w:rPr>
              <w:t>x</w:t>
            </w:r>
          </w:p>
        </w:tc>
      </w:tr>
      <w:tr w14:paraId="1DF88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tcBorders>
              <w:tl2br w:val="nil"/>
              <w:tr2bl w:val="nil"/>
            </w:tcBorders>
            <w:noWrap w:val="0"/>
            <w:vAlign w:val="center"/>
          </w:tcPr>
          <w:p w14:paraId="65CFFD3F">
            <w:pPr>
              <w:pStyle w:val="1358"/>
              <w:snapToGrid w:val="0"/>
              <w:rPr>
                <w:rFonts w:ascii="Times New Roman" w:hAnsi="Times New Roman" w:eastAsia="宋体" w:cs="Times New Roman"/>
                <w:color w:val="auto"/>
                <w:sz w:val="21"/>
                <w:highlight w:val="none"/>
              </w:rPr>
            </w:pPr>
            <w:r>
              <w:rPr>
                <w:rFonts w:ascii="Times New Roman" w:hAnsi="Times New Roman" w:eastAsia="宋体" w:cs="Times New Roman"/>
                <w:color w:val="auto"/>
                <w:sz w:val="21"/>
                <w:highlight w:val="none"/>
              </w:rPr>
              <w:t>地表水环境</w:t>
            </w:r>
          </w:p>
        </w:tc>
        <w:tc>
          <w:tcPr>
            <w:tcW w:w="1157" w:type="dxa"/>
            <w:tcBorders>
              <w:tl2br w:val="nil"/>
              <w:tr2bl w:val="nil"/>
            </w:tcBorders>
            <w:noWrap w:val="0"/>
            <w:vAlign w:val="center"/>
          </w:tcPr>
          <w:p w14:paraId="09173D4F">
            <w:pPr>
              <w:pStyle w:val="1358"/>
              <w:snapToGrid w:val="0"/>
              <w:rPr>
                <w:rFonts w:ascii="Times New Roman" w:hAnsi="Times New Roman" w:eastAsia="宋体" w:cs="Times New Roman"/>
                <w:color w:val="auto"/>
                <w:sz w:val="21"/>
                <w:highlight w:val="none"/>
              </w:rPr>
            </w:pPr>
            <w:r>
              <w:rPr>
                <w:rFonts w:hint="eastAsia" w:ascii="Times New Roman" w:hAnsi="Times New Roman" w:eastAsia="宋体" w:cs="Times New Roman"/>
                <w:color w:val="auto"/>
                <w:sz w:val="21"/>
                <w:highlight w:val="none"/>
                <w:lang w:val="en-US" w:eastAsia="zh-CN"/>
              </w:rPr>
              <w:t>现状调查</w:t>
            </w:r>
          </w:p>
        </w:tc>
        <w:tc>
          <w:tcPr>
            <w:tcW w:w="6451" w:type="dxa"/>
            <w:tcBorders>
              <w:tl2br w:val="nil"/>
              <w:tr2bl w:val="nil"/>
            </w:tcBorders>
            <w:noWrap w:val="0"/>
            <w:vAlign w:val="center"/>
          </w:tcPr>
          <w:p w14:paraId="6E0864E7">
            <w:pPr>
              <w:pStyle w:val="1358"/>
              <w:snapToGrid w:val="0"/>
              <w:ind w:firstLine="0" w:firstLineChars="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sz w:val="21"/>
                <w:highlight w:val="none"/>
              </w:rPr>
              <w:t>水温、pH、COD、BOD</w:t>
            </w:r>
            <w:r>
              <w:rPr>
                <w:rFonts w:ascii="Times New Roman" w:hAnsi="Times New Roman" w:eastAsia="宋体" w:cs="Times New Roman"/>
                <w:color w:val="auto"/>
                <w:sz w:val="21"/>
                <w:highlight w:val="none"/>
                <w:vertAlign w:val="subscript"/>
              </w:rPr>
              <w:t>5</w:t>
            </w:r>
            <w:r>
              <w:rPr>
                <w:rFonts w:ascii="Times New Roman" w:hAnsi="Times New Roman" w:eastAsia="宋体" w:cs="Times New Roman"/>
                <w:color w:val="auto"/>
                <w:sz w:val="21"/>
                <w:highlight w:val="none"/>
              </w:rPr>
              <w:t>、高锰酸盐指数、SS、NH</w:t>
            </w:r>
            <w:r>
              <w:rPr>
                <w:rFonts w:ascii="Times New Roman" w:hAnsi="Times New Roman" w:eastAsia="宋体" w:cs="Times New Roman"/>
                <w:color w:val="auto"/>
                <w:sz w:val="21"/>
                <w:highlight w:val="none"/>
                <w:vertAlign w:val="subscript"/>
              </w:rPr>
              <w:t>3</w:t>
            </w:r>
            <w:r>
              <w:rPr>
                <w:rFonts w:ascii="Times New Roman" w:hAnsi="Times New Roman" w:eastAsia="宋体" w:cs="Times New Roman"/>
                <w:color w:val="auto"/>
                <w:sz w:val="21"/>
                <w:highlight w:val="none"/>
              </w:rPr>
              <w:t>-N、DO、TP、石油类</w:t>
            </w:r>
          </w:p>
        </w:tc>
      </w:tr>
      <w:tr w14:paraId="119B7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tcBorders>
              <w:tl2br w:val="nil"/>
              <w:tr2bl w:val="nil"/>
            </w:tcBorders>
            <w:noWrap w:val="0"/>
            <w:vAlign w:val="center"/>
          </w:tcPr>
          <w:p w14:paraId="01EA4873">
            <w:pPr>
              <w:pStyle w:val="1358"/>
              <w:snapToGrid w:val="0"/>
              <w:rPr>
                <w:rFonts w:ascii="Times New Roman" w:hAnsi="Times New Roman" w:eastAsia="宋体" w:cs="Times New Roman"/>
                <w:color w:val="auto"/>
                <w:sz w:val="21"/>
                <w:highlight w:val="none"/>
              </w:rPr>
            </w:pPr>
            <w:r>
              <w:rPr>
                <w:rFonts w:ascii="Times New Roman" w:hAnsi="Times New Roman" w:eastAsia="宋体" w:cs="Times New Roman"/>
                <w:color w:val="auto"/>
                <w:sz w:val="21"/>
                <w:highlight w:val="none"/>
              </w:rPr>
              <w:t>地下水</w:t>
            </w:r>
          </w:p>
        </w:tc>
        <w:tc>
          <w:tcPr>
            <w:tcW w:w="1157" w:type="dxa"/>
            <w:tcBorders>
              <w:tl2br w:val="nil"/>
              <w:tr2bl w:val="nil"/>
            </w:tcBorders>
            <w:noWrap w:val="0"/>
            <w:vAlign w:val="center"/>
          </w:tcPr>
          <w:p w14:paraId="51006616">
            <w:pPr>
              <w:pStyle w:val="1358"/>
              <w:snapToGrid w:val="0"/>
              <w:ind w:firstLine="0" w:firstLineChars="0"/>
              <w:rPr>
                <w:rFonts w:ascii="Times New Roman" w:hAnsi="Times New Roman" w:eastAsia="宋体" w:cs="Times New Roman"/>
                <w:color w:val="auto"/>
                <w:sz w:val="21"/>
                <w:highlight w:val="none"/>
              </w:rPr>
            </w:pPr>
            <w:r>
              <w:rPr>
                <w:rFonts w:hint="eastAsia" w:ascii="Times New Roman" w:hAnsi="Times New Roman" w:eastAsia="宋体" w:cs="Times New Roman"/>
                <w:color w:val="auto"/>
                <w:sz w:val="21"/>
                <w:highlight w:val="none"/>
                <w:lang w:val="en-US" w:eastAsia="zh-CN"/>
              </w:rPr>
              <w:t>现状调查</w:t>
            </w:r>
          </w:p>
        </w:tc>
        <w:tc>
          <w:tcPr>
            <w:tcW w:w="6451" w:type="dxa"/>
            <w:tcBorders>
              <w:tl2br w:val="nil"/>
              <w:tr2bl w:val="nil"/>
            </w:tcBorders>
            <w:noWrap w:val="0"/>
            <w:vAlign w:val="center"/>
          </w:tcPr>
          <w:p w14:paraId="7AE70FBF">
            <w:pPr>
              <w:pStyle w:val="1358"/>
              <w:snapToGrid w:val="0"/>
              <w:ind w:firstLine="0" w:firstLineChars="0"/>
              <w:jc w:val="left"/>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水位、</w:t>
            </w:r>
            <w:r>
              <w:rPr>
                <w:rFonts w:hint="default" w:ascii="Times New Roman" w:hAnsi="Times New Roman" w:eastAsia="宋体" w:cs="Times New Roman"/>
                <w:color w:val="auto"/>
                <w:kern w:val="0"/>
                <w:sz w:val="21"/>
                <w:szCs w:val="21"/>
                <w:highlight w:val="none"/>
                <w:lang w:val="en-US" w:eastAsia="zh-CN" w:bidi="ar"/>
              </w:rPr>
              <w:t>K</w:t>
            </w:r>
            <w:r>
              <w:rPr>
                <w:rFonts w:hint="eastAsia"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Na</w:t>
            </w:r>
            <w:r>
              <w:rPr>
                <w:rFonts w:hint="eastAsia"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Ca</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Mg</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CO</w:t>
            </w:r>
            <w:r>
              <w:rPr>
                <w:rFonts w:hint="eastAsia" w:ascii="Times New Roman" w:hAnsi="Times New Roman" w:eastAsia="宋体" w:cs="Times New Roman"/>
                <w:color w:val="auto"/>
                <w:kern w:val="0"/>
                <w:sz w:val="21"/>
                <w:szCs w:val="21"/>
                <w:highlight w:val="none"/>
                <w:vertAlign w:val="subscript"/>
                <w:lang w:val="en-US" w:eastAsia="zh-CN" w:bidi="ar"/>
              </w:rPr>
              <w:t>3</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HCO</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Cl</w:t>
            </w:r>
            <w:r>
              <w:rPr>
                <w:rFonts w:hint="default"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SO</w:t>
            </w:r>
            <w:r>
              <w:rPr>
                <w:rFonts w:hint="default" w:ascii="Times New Roman" w:hAnsi="Times New Roman" w:eastAsia="宋体" w:cs="Times New Roman"/>
                <w:color w:val="auto"/>
                <w:kern w:val="0"/>
                <w:sz w:val="21"/>
                <w:szCs w:val="21"/>
                <w:highlight w:val="none"/>
                <w:vertAlign w:val="subscript"/>
                <w:lang w:val="en-US" w:eastAsia="zh-CN" w:bidi="ar"/>
              </w:rPr>
              <w:t>4</w:t>
            </w:r>
            <w:r>
              <w:rPr>
                <w:rFonts w:hint="default"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sz w:val="21"/>
                <w:highlight w:val="none"/>
              </w:rPr>
              <w:t>pH、</w:t>
            </w:r>
            <w:r>
              <w:rPr>
                <w:rFonts w:hint="eastAsia" w:ascii="Times New Roman" w:hAnsi="Times New Roman" w:eastAsia="宋体" w:cs="Times New Roman"/>
                <w:color w:val="auto"/>
                <w:sz w:val="21"/>
                <w:highlight w:val="none"/>
                <w:lang w:val="en-US" w:eastAsia="zh-CN"/>
              </w:rPr>
              <w:t>耗氧量、</w:t>
            </w:r>
            <w:r>
              <w:rPr>
                <w:rFonts w:hint="default" w:ascii="Times New Roman" w:hAnsi="Times New Roman" w:eastAsia="宋体" w:cs="Times New Roman"/>
                <w:color w:val="auto"/>
                <w:sz w:val="21"/>
                <w:highlight w:val="none"/>
              </w:rPr>
              <w:t>溶解性总固体、铁、锰、铜、铅、硝酸盐、亚硝酸盐、氨氮、总硬度、氟化物、硫酸盐、氯化物、挥发性酚类、铬（六价</w:t>
            </w:r>
            <w:r>
              <w:rPr>
                <w:rFonts w:hint="eastAsia" w:ascii="Times New Roman" w:hAnsi="Times New Roman" w:eastAsia="宋体" w:cs="Times New Roman"/>
                <w:color w:val="auto"/>
                <w:sz w:val="21"/>
                <w:highlight w:val="none"/>
                <w:lang w:eastAsia="zh-CN"/>
              </w:rPr>
              <w:t>）</w:t>
            </w:r>
            <w:r>
              <w:rPr>
                <w:rFonts w:hint="eastAsia" w:ascii="Times New Roman" w:hAnsi="Times New Roman" w:eastAsia="宋体" w:cs="Times New Roman"/>
                <w:color w:val="auto"/>
                <w:kern w:val="0"/>
                <w:sz w:val="21"/>
                <w:szCs w:val="21"/>
                <w:highlight w:val="none"/>
                <w:lang w:val="en-US" w:eastAsia="zh-CN" w:bidi="ar"/>
              </w:rPr>
              <w:t>、苯、二甲苯、石油烃（C</w:t>
            </w:r>
            <w:r>
              <w:rPr>
                <w:rFonts w:hint="eastAsia" w:ascii="Times New Roman" w:hAnsi="Times New Roman" w:eastAsia="宋体" w:cs="Times New Roman"/>
                <w:color w:val="auto"/>
                <w:kern w:val="0"/>
                <w:sz w:val="21"/>
                <w:szCs w:val="21"/>
                <w:highlight w:val="none"/>
                <w:vertAlign w:val="subscript"/>
                <w:lang w:val="en-US" w:eastAsia="zh-CN" w:bidi="ar"/>
              </w:rPr>
              <w:t>6</w:t>
            </w:r>
            <w:r>
              <w:rPr>
                <w:rFonts w:hint="eastAsia" w:ascii="Times New Roman" w:hAnsi="Times New Roman" w:eastAsia="宋体" w:cs="Times New Roman"/>
                <w:color w:val="auto"/>
                <w:kern w:val="0"/>
                <w:sz w:val="21"/>
                <w:szCs w:val="21"/>
                <w:highlight w:val="none"/>
                <w:lang w:val="en-US" w:eastAsia="zh-CN" w:bidi="ar"/>
              </w:rPr>
              <w:t>-C</w:t>
            </w:r>
            <w:r>
              <w:rPr>
                <w:rFonts w:hint="eastAsia" w:ascii="Times New Roman" w:hAnsi="Times New Roman" w:eastAsia="宋体" w:cs="Times New Roman"/>
                <w:color w:val="auto"/>
                <w:kern w:val="0"/>
                <w:sz w:val="21"/>
                <w:szCs w:val="21"/>
                <w:highlight w:val="none"/>
                <w:vertAlign w:val="subscript"/>
                <w:lang w:val="en-US" w:eastAsia="zh-CN" w:bidi="ar"/>
              </w:rPr>
              <w:t>9</w:t>
            </w:r>
            <w:r>
              <w:rPr>
                <w:rFonts w:hint="eastAsia" w:ascii="Times New Roman" w:hAnsi="Times New Roman" w:eastAsia="宋体" w:cs="Times New Roman"/>
                <w:color w:val="auto"/>
                <w:kern w:val="0"/>
                <w:sz w:val="21"/>
                <w:szCs w:val="21"/>
                <w:highlight w:val="none"/>
                <w:lang w:val="en-US" w:eastAsia="zh-CN" w:bidi="ar"/>
              </w:rPr>
              <w:t>、C</w:t>
            </w:r>
            <w:r>
              <w:rPr>
                <w:rFonts w:hint="eastAsia" w:ascii="Times New Roman" w:hAnsi="Times New Roman" w:eastAsia="宋体" w:cs="Times New Roman"/>
                <w:color w:val="auto"/>
                <w:kern w:val="0"/>
                <w:sz w:val="21"/>
                <w:szCs w:val="21"/>
                <w:highlight w:val="none"/>
                <w:vertAlign w:val="subscript"/>
                <w:lang w:val="en-US" w:eastAsia="zh-CN" w:bidi="ar"/>
              </w:rPr>
              <w:t>10</w:t>
            </w:r>
            <w:r>
              <w:rPr>
                <w:rFonts w:hint="eastAsia" w:ascii="Times New Roman" w:hAnsi="Times New Roman" w:eastAsia="宋体" w:cs="Times New Roman"/>
                <w:color w:val="auto"/>
                <w:kern w:val="0"/>
                <w:sz w:val="21"/>
                <w:szCs w:val="21"/>
                <w:highlight w:val="none"/>
                <w:lang w:val="en-US" w:eastAsia="zh-CN" w:bidi="ar"/>
              </w:rPr>
              <w:t>-C</w:t>
            </w:r>
            <w:r>
              <w:rPr>
                <w:rFonts w:hint="eastAsia" w:ascii="Times New Roman" w:hAnsi="Times New Roman" w:eastAsia="宋体" w:cs="Times New Roman"/>
                <w:color w:val="auto"/>
                <w:kern w:val="0"/>
                <w:sz w:val="21"/>
                <w:szCs w:val="21"/>
                <w:highlight w:val="none"/>
                <w:vertAlign w:val="subscript"/>
                <w:lang w:val="en-US" w:eastAsia="zh-CN" w:bidi="ar"/>
              </w:rPr>
              <w:t>40</w:t>
            </w:r>
            <w:r>
              <w:rPr>
                <w:rFonts w:hint="eastAsia" w:ascii="Times New Roman" w:hAnsi="Times New Roman" w:eastAsia="宋体" w:cs="Times New Roman"/>
                <w:color w:val="auto"/>
                <w:kern w:val="0"/>
                <w:sz w:val="21"/>
                <w:szCs w:val="21"/>
                <w:highlight w:val="none"/>
                <w:lang w:val="en-US" w:eastAsia="zh-CN" w:bidi="ar"/>
              </w:rPr>
              <w:t>）</w:t>
            </w:r>
          </w:p>
        </w:tc>
      </w:tr>
      <w:tr w14:paraId="0CA3F8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vMerge w:val="restart"/>
            <w:tcBorders>
              <w:tl2br w:val="nil"/>
              <w:tr2bl w:val="nil"/>
            </w:tcBorders>
            <w:noWrap w:val="0"/>
            <w:vAlign w:val="center"/>
          </w:tcPr>
          <w:p w14:paraId="49A3E5F9">
            <w:pPr>
              <w:pStyle w:val="1358"/>
              <w:snapToGrid w:val="0"/>
              <w:ind w:firstLine="0" w:firstLineChars="0"/>
              <w:rPr>
                <w:rFonts w:hint="eastAsia" w:ascii="Times New Roman" w:hAnsi="Times New Roman" w:eastAsia="宋体" w:cs="Times New Roman"/>
                <w:color w:val="auto"/>
                <w:sz w:val="21"/>
                <w:highlight w:val="none"/>
                <w:lang w:val="en-US" w:eastAsia="zh-CN"/>
              </w:rPr>
            </w:pPr>
            <w:r>
              <w:rPr>
                <w:rFonts w:ascii="Times New Roman" w:hAnsi="Times New Roman" w:eastAsia="宋体" w:cs="Times New Roman"/>
                <w:color w:val="auto"/>
                <w:sz w:val="21"/>
                <w:highlight w:val="none"/>
              </w:rPr>
              <w:t>声</w:t>
            </w:r>
            <w:r>
              <w:rPr>
                <w:rFonts w:hint="eastAsia" w:cs="Times New Roman"/>
                <w:color w:val="auto"/>
                <w:sz w:val="21"/>
                <w:highlight w:val="none"/>
                <w:lang w:val="en-US" w:eastAsia="zh-CN"/>
              </w:rPr>
              <w:t>环境</w:t>
            </w:r>
          </w:p>
        </w:tc>
        <w:tc>
          <w:tcPr>
            <w:tcW w:w="1157" w:type="dxa"/>
            <w:tcBorders>
              <w:tl2br w:val="nil"/>
              <w:tr2bl w:val="nil"/>
            </w:tcBorders>
            <w:noWrap w:val="0"/>
            <w:vAlign w:val="center"/>
          </w:tcPr>
          <w:p w14:paraId="3E268860">
            <w:pPr>
              <w:pStyle w:val="1358"/>
              <w:snapToGrid w:val="0"/>
              <w:ind w:firstLine="0" w:firstLineChars="0"/>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现状调查</w:t>
            </w:r>
          </w:p>
        </w:tc>
        <w:tc>
          <w:tcPr>
            <w:tcW w:w="6451" w:type="dxa"/>
            <w:tcBorders>
              <w:tl2br w:val="nil"/>
              <w:tr2bl w:val="nil"/>
            </w:tcBorders>
            <w:noWrap w:val="0"/>
            <w:vAlign w:val="center"/>
          </w:tcPr>
          <w:p w14:paraId="1B40A80C">
            <w:pPr>
              <w:pStyle w:val="1358"/>
              <w:snapToGrid w:val="0"/>
              <w:ind w:firstLine="0" w:firstLineChars="0"/>
              <w:jc w:val="left"/>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等效连续A声级</w:t>
            </w:r>
          </w:p>
        </w:tc>
      </w:tr>
      <w:tr w14:paraId="74810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vMerge w:val="continue"/>
            <w:tcBorders>
              <w:tl2br w:val="nil"/>
              <w:tr2bl w:val="nil"/>
            </w:tcBorders>
            <w:noWrap w:val="0"/>
            <w:vAlign w:val="center"/>
          </w:tcPr>
          <w:p w14:paraId="4E11C70E">
            <w:pPr>
              <w:pStyle w:val="1358"/>
              <w:snapToGrid w:val="0"/>
              <w:ind w:firstLine="0" w:firstLineChars="0"/>
              <w:rPr>
                <w:rFonts w:ascii="Times New Roman" w:hAnsi="Times New Roman" w:eastAsia="宋体" w:cs="Times New Roman"/>
                <w:color w:val="auto"/>
                <w:sz w:val="21"/>
                <w:highlight w:val="none"/>
              </w:rPr>
            </w:pPr>
          </w:p>
        </w:tc>
        <w:tc>
          <w:tcPr>
            <w:tcW w:w="1157" w:type="dxa"/>
            <w:tcBorders>
              <w:tl2br w:val="nil"/>
              <w:tr2bl w:val="nil"/>
            </w:tcBorders>
            <w:noWrap w:val="0"/>
            <w:vAlign w:val="center"/>
          </w:tcPr>
          <w:p w14:paraId="2460412D">
            <w:pPr>
              <w:pStyle w:val="1358"/>
              <w:snapToGrid w:val="0"/>
              <w:ind w:firstLine="0" w:firstLineChars="0"/>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预测评价</w:t>
            </w:r>
          </w:p>
        </w:tc>
        <w:tc>
          <w:tcPr>
            <w:tcW w:w="6451" w:type="dxa"/>
            <w:tcBorders>
              <w:tl2br w:val="nil"/>
              <w:tr2bl w:val="nil"/>
            </w:tcBorders>
            <w:noWrap w:val="0"/>
            <w:vAlign w:val="center"/>
          </w:tcPr>
          <w:p w14:paraId="558DA7C1">
            <w:pPr>
              <w:pStyle w:val="1358"/>
              <w:snapToGrid w:val="0"/>
              <w:ind w:firstLine="0" w:firstLineChars="0"/>
              <w:jc w:val="left"/>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等效连续A声级</w:t>
            </w:r>
          </w:p>
        </w:tc>
      </w:tr>
      <w:tr w14:paraId="3EC77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vMerge w:val="restart"/>
            <w:tcBorders>
              <w:tl2br w:val="nil"/>
              <w:tr2bl w:val="nil"/>
            </w:tcBorders>
            <w:noWrap w:val="0"/>
            <w:vAlign w:val="center"/>
          </w:tcPr>
          <w:p w14:paraId="051D51E5">
            <w:pPr>
              <w:pStyle w:val="1358"/>
              <w:snapToGrid w:val="0"/>
              <w:rPr>
                <w:rFonts w:ascii="Times New Roman" w:hAnsi="Times New Roman" w:eastAsia="宋体" w:cs="Times New Roman"/>
                <w:color w:val="auto"/>
                <w:sz w:val="21"/>
                <w:highlight w:val="none"/>
              </w:rPr>
            </w:pPr>
            <w:r>
              <w:rPr>
                <w:rFonts w:ascii="Times New Roman" w:hAnsi="Times New Roman" w:eastAsia="宋体" w:cs="Times New Roman"/>
                <w:color w:val="auto"/>
                <w:sz w:val="21"/>
                <w:highlight w:val="none"/>
              </w:rPr>
              <w:t>土壤</w:t>
            </w:r>
          </w:p>
        </w:tc>
        <w:tc>
          <w:tcPr>
            <w:tcW w:w="1157" w:type="dxa"/>
            <w:tcBorders>
              <w:tl2br w:val="nil"/>
              <w:tr2bl w:val="nil"/>
            </w:tcBorders>
            <w:noWrap w:val="0"/>
            <w:vAlign w:val="center"/>
          </w:tcPr>
          <w:p w14:paraId="6CD0D5C6">
            <w:pPr>
              <w:pStyle w:val="1358"/>
              <w:snapToGrid w:val="0"/>
              <w:ind w:firstLine="0" w:firstLineChars="0"/>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sz w:val="21"/>
                <w:highlight w:val="none"/>
                <w:lang w:val="en-US" w:eastAsia="zh-CN"/>
              </w:rPr>
              <w:t>现状调查</w:t>
            </w:r>
          </w:p>
        </w:tc>
        <w:tc>
          <w:tcPr>
            <w:tcW w:w="6451" w:type="dxa"/>
            <w:tcBorders>
              <w:tl2br w:val="nil"/>
              <w:tr2bl w:val="nil"/>
            </w:tcBorders>
            <w:shd w:val="clear" w:color="auto" w:fill="auto"/>
            <w:noWrap w:val="0"/>
            <w:vAlign w:val="center"/>
          </w:tcPr>
          <w:p w14:paraId="674E4A58">
            <w:pPr>
              <w:pStyle w:val="1358"/>
              <w:snapToGrid w:val="0"/>
              <w:ind w:firstLine="0" w:firstLineChars="0"/>
              <w:jc w:val="left"/>
              <w:rPr>
                <w:rFonts w:hint="default"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sz w:val="21"/>
                <w:highlight w:val="none"/>
              </w:rPr>
              <w:t>pH值（无量纲）、石油烃（C</w:t>
            </w:r>
            <w:r>
              <w:rPr>
                <w:rFonts w:ascii="Times New Roman" w:hAnsi="Times New Roman" w:eastAsia="宋体" w:cs="Times New Roman"/>
                <w:color w:val="auto"/>
                <w:sz w:val="21"/>
                <w:highlight w:val="none"/>
                <w:vertAlign w:val="subscript"/>
              </w:rPr>
              <w:t>10</w:t>
            </w:r>
            <w:r>
              <w:rPr>
                <w:rFonts w:ascii="Times New Roman" w:hAnsi="Times New Roman" w:eastAsia="宋体" w:cs="Times New Roman"/>
                <w:color w:val="auto"/>
                <w:sz w:val="21"/>
                <w:highlight w:val="none"/>
              </w:rPr>
              <w:t>-C</w:t>
            </w:r>
            <w:r>
              <w:rPr>
                <w:rFonts w:ascii="Times New Roman" w:hAnsi="Times New Roman" w:eastAsia="宋体" w:cs="Times New Roman"/>
                <w:color w:val="auto"/>
                <w:sz w:val="21"/>
                <w:highlight w:val="none"/>
                <w:vertAlign w:val="subscript"/>
              </w:rPr>
              <w:t>40</w:t>
            </w:r>
            <w:r>
              <w:rPr>
                <w:rFonts w:ascii="Times New Roman" w:hAnsi="Times New Roman" w:eastAsia="宋体" w:cs="Times New Roman"/>
                <w:color w:val="auto"/>
                <w:sz w:val="21"/>
                <w:highlight w:val="none"/>
              </w:rPr>
              <w:t>）及《土壤环境质量 建设用地土壤污染风险管控标准（试行）》（GB36600-2018）表1中基本45项：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w:t>
            </w:r>
          </w:p>
        </w:tc>
      </w:tr>
      <w:tr w14:paraId="3B726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vMerge w:val="continue"/>
            <w:tcBorders>
              <w:tl2br w:val="nil"/>
              <w:tr2bl w:val="nil"/>
            </w:tcBorders>
            <w:noWrap w:val="0"/>
            <w:vAlign w:val="center"/>
          </w:tcPr>
          <w:p w14:paraId="726A9163">
            <w:pPr>
              <w:pStyle w:val="1358"/>
              <w:snapToGrid w:val="0"/>
              <w:rPr>
                <w:rFonts w:ascii="Times New Roman" w:hAnsi="Times New Roman" w:eastAsia="宋体" w:cs="Times New Roman"/>
                <w:color w:val="auto"/>
                <w:sz w:val="21"/>
                <w:highlight w:val="none"/>
              </w:rPr>
            </w:pPr>
          </w:p>
        </w:tc>
        <w:tc>
          <w:tcPr>
            <w:tcW w:w="1157" w:type="dxa"/>
            <w:tcBorders>
              <w:tl2br w:val="nil"/>
              <w:tr2bl w:val="nil"/>
            </w:tcBorders>
            <w:noWrap w:val="0"/>
            <w:vAlign w:val="center"/>
          </w:tcPr>
          <w:p w14:paraId="0286C29E">
            <w:pPr>
              <w:pStyle w:val="1358"/>
              <w:snapToGrid w:val="0"/>
              <w:ind w:firstLine="0" w:firstLineChars="0"/>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预测评价</w:t>
            </w:r>
          </w:p>
        </w:tc>
        <w:tc>
          <w:tcPr>
            <w:tcW w:w="6451" w:type="dxa"/>
            <w:tcBorders>
              <w:tl2br w:val="nil"/>
              <w:tr2bl w:val="nil"/>
            </w:tcBorders>
            <w:shd w:val="clear" w:color="auto" w:fill="auto"/>
            <w:noWrap w:val="0"/>
            <w:vAlign w:val="center"/>
          </w:tcPr>
          <w:p w14:paraId="779D4787">
            <w:pPr>
              <w:pStyle w:val="1358"/>
              <w:snapToGrid w:val="0"/>
              <w:ind w:firstLine="0" w:firstLineChars="0"/>
              <w:jc w:val="left"/>
              <w:rPr>
                <w:rFonts w:ascii="Times New Roman" w:hAnsi="Times New Roman" w:eastAsia="宋体" w:cs="Times New Roman"/>
                <w:color w:val="auto"/>
                <w:sz w:val="21"/>
                <w:highlight w:val="none"/>
              </w:rPr>
            </w:pPr>
            <w:r>
              <w:rPr>
                <w:rFonts w:ascii="Times New Roman" w:hAnsi="Times New Roman" w:eastAsia="宋体" w:cs="Times New Roman"/>
                <w:color w:val="auto"/>
                <w:sz w:val="21"/>
                <w:highlight w:val="none"/>
              </w:rPr>
              <w:t>石油烃</w:t>
            </w:r>
          </w:p>
        </w:tc>
      </w:tr>
      <w:tr w14:paraId="027C94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1415" w:type="dxa"/>
            <w:tcBorders>
              <w:tl2br w:val="nil"/>
              <w:tr2bl w:val="nil"/>
            </w:tcBorders>
            <w:noWrap w:val="0"/>
            <w:vAlign w:val="center"/>
          </w:tcPr>
          <w:p w14:paraId="436591A4">
            <w:pPr>
              <w:pStyle w:val="1358"/>
              <w:snapToGrid w:val="0"/>
              <w:rPr>
                <w:rFonts w:ascii="Times New Roman" w:hAnsi="Times New Roman" w:eastAsia="宋体" w:cs="Times New Roman"/>
                <w:color w:val="auto"/>
                <w:sz w:val="21"/>
                <w:highlight w:val="none"/>
              </w:rPr>
            </w:pPr>
            <w:r>
              <w:rPr>
                <w:rFonts w:ascii="Times New Roman" w:hAnsi="Times New Roman" w:eastAsia="宋体" w:cs="Times New Roman"/>
                <w:color w:val="auto"/>
                <w:sz w:val="21"/>
                <w:highlight w:val="none"/>
              </w:rPr>
              <w:t>风险</w:t>
            </w:r>
          </w:p>
        </w:tc>
        <w:tc>
          <w:tcPr>
            <w:tcW w:w="1157" w:type="dxa"/>
            <w:tcBorders>
              <w:tl2br w:val="nil"/>
              <w:tr2bl w:val="nil"/>
            </w:tcBorders>
            <w:noWrap w:val="0"/>
            <w:vAlign w:val="center"/>
          </w:tcPr>
          <w:p w14:paraId="249C0B79">
            <w:pPr>
              <w:pStyle w:val="1358"/>
              <w:snapToGrid w:val="0"/>
              <w:rPr>
                <w:rFonts w:ascii="Times New Roman" w:hAnsi="Times New Roman" w:eastAsia="宋体" w:cs="Times New Roman"/>
                <w:color w:val="auto"/>
                <w:sz w:val="21"/>
                <w:highlight w:val="none"/>
              </w:rPr>
            </w:pPr>
            <w:r>
              <w:rPr>
                <w:rFonts w:hint="eastAsia" w:ascii="Times New Roman" w:hAnsi="Times New Roman" w:eastAsia="宋体" w:cs="Times New Roman"/>
                <w:color w:val="auto"/>
                <w:sz w:val="21"/>
                <w:highlight w:val="none"/>
                <w:lang w:val="en-US" w:eastAsia="zh-CN"/>
              </w:rPr>
              <w:t>预测评价</w:t>
            </w:r>
          </w:p>
        </w:tc>
        <w:tc>
          <w:tcPr>
            <w:tcW w:w="6451" w:type="dxa"/>
            <w:tcBorders>
              <w:tl2br w:val="nil"/>
              <w:tr2bl w:val="nil"/>
            </w:tcBorders>
            <w:noWrap w:val="0"/>
            <w:vAlign w:val="center"/>
          </w:tcPr>
          <w:p w14:paraId="71971B9E">
            <w:pPr>
              <w:keepNext w:val="0"/>
              <w:keepLines w:val="0"/>
              <w:widowControl/>
              <w:suppressLineNumbers w:val="0"/>
              <w:snapToGrid w:val="0"/>
              <w:ind w:left="0" w:leftChars="0" w:firstLine="0" w:firstLineChars="0"/>
              <w:jc w:val="left"/>
              <w:rPr>
                <w:rFonts w:ascii="Times New Roman" w:hAnsi="Times New Roman" w:eastAsia="宋体" w:cs="Times New Roman"/>
                <w:color w:val="auto"/>
                <w:sz w:val="21"/>
                <w:highlight w:val="none"/>
              </w:rPr>
            </w:pPr>
            <w:r>
              <w:rPr>
                <w:rFonts w:hint="eastAsia" w:ascii="Times New Roman" w:hAnsi="宋体" w:eastAsia="宋体" w:cs="宋体"/>
                <w:color w:val="auto"/>
                <w:kern w:val="0"/>
                <w:sz w:val="21"/>
                <w:szCs w:val="21"/>
                <w:highlight w:val="none"/>
                <w:lang w:val="en-US" w:eastAsia="zh-CN" w:bidi="ar"/>
              </w:rPr>
              <w:t>生产、储存、运输过程可能产生的环境风险源</w:t>
            </w:r>
          </w:p>
        </w:tc>
      </w:tr>
    </w:tbl>
    <w:p w14:paraId="2873BFCD">
      <w:pPr>
        <w:pStyle w:val="3"/>
        <w:numPr>
          <w:ilvl w:val="0"/>
          <w:numId w:val="0"/>
        </w:numPr>
        <w:tabs>
          <w:tab w:val="clear" w:pos="720"/>
        </w:tabs>
        <w:bidi w:val="0"/>
        <w:ind w:left="0" w:leftChars="0" w:firstLine="0" w:firstLineChars="0"/>
        <w:outlineLvl w:val="1"/>
        <w:rPr>
          <w:color w:val="auto"/>
          <w:highlight w:val="none"/>
        </w:rPr>
      </w:pPr>
      <w:bookmarkStart w:id="254" w:name="_Toc10864"/>
      <w:r>
        <w:rPr>
          <w:color w:val="auto"/>
          <w:highlight w:val="none"/>
        </w:rPr>
        <w:t>2.3</w:t>
      </w:r>
      <w:r>
        <w:rPr>
          <w:rFonts w:hint="eastAsia"/>
          <w:color w:val="auto"/>
          <w:highlight w:val="none"/>
          <w:lang w:val="en-US" w:eastAsia="zh-CN"/>
        </w:rPr>
        <w:t xml:space="preserve"> </w:t>
      </w:r>
      <w:r>
        <w:rPr>
          <w:color w:val="auto"/>
          <w:highlight w:val="none"/>
        </w:rPr>
        <w:t>环境功能区划及环境质量标准</w:t>
      </w:r>
      <w:bookmarkEnd w:id="253"/>
      <w:bookmarkEnd w:id="254"/>
    </w:p>
    <w:p w14:paraId="4B329ABC">
      <w:pPr>
        <w:pStyle w:val="4"/>
        <w:numPr>
          <w:ilvl w:val="2"/>
          <w:numId w:val="0"/>
        </w:numPr>
        <w:tabs>
          <w:tab w:val="clear" w:pos="720"/>
        </w:tabs>
        <w:bidi w:val="0"/>
        <w:rPr>
          <w:color w:val="auto"/>
          <w:highlight w:val="none"/>
        </w:rPr>
      </w:pPr>
      <w:bookmarkStart w:id="255" w:name="_Toc10130"/>
      <w:r>
        <w:rPr>
          <w:color w:val="auto"/>
          <w:highlight w:val="none"/>
        </w:rPr>
        <w:t>2.3.1</w:t>
      </w:r>
      <w:r>
        <w:rPr>
          <w:rFonts w:hint="eastAsia"/>
          <w:color w:val="auto"/>
          <w:highlight w:val="none"/>
          <w:lang w:val="en-US" w:eastAsia="zh-CN"/>
        </w:rPr>
        <w:t xml:space="preserve"> </w:t>
      </w:r>
      <w:r>
        <w:rPr>
          <w:color w:val="auto"/>
          <w:highlight w:val="none"/>
        </w:rPr>
        <w:t>水环境功能区划及环境质量标准</w:t>
      </w:r>
      <w:bookmarkEnd w:id="255"/>
    </w:p>
    <w:p w14:paraId="3AD6A7AF">
      <w:pPr>
        <w:pStyle w:val="1336"/>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福州市地表水环境功能区划定方案</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榕政综〔2006〕40号</w:t>
      </w:r>
      <w:r>
        <w:rPr>
          <w:rFonts w:hint="default" w:ascii="Times New Roman" w:hAnsi="Times New Roman" w:eastAsia="宋体" w:cs="Times New Roman"/>
          <w:color w:val="auto"/>
          <w:highlight w:val="none"/>
        </w:rPr>
        <w:t>），本项目附近流域为中房溪</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陶江</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，纳污水域（青口汽车工业开发区污水处理厂尾水排放口）处于</w:t>
      </w:r>
      <w:r>
        <w:rPr>
          <w:rFonts w:hint="eastAsia" w:cs="Times New Roman"/>
          <w:color w:val="auto"/>
          <w:highlight w:val="none"/>
          <w:lang w:eastAsia="zh-CN"/>
        </w:rPr>
        <w:t>“</w:t>
      </w:r>
      <w:r>
        <w:rPr>
          <w:rFonts w:hint="default" w:ascii="Times New Roman" w:hAnsi="Times New Roman" w:eastAsia="宋体" w:cs="Times New Roman"/>
          <w:color w:val="auto"/>
          <w:highlight w:val="none"/>
        </w:rPr>
        <w:t>梅溪桥-与中房溪汇合口</w:t>
      </w:r>
      <w:r>
        <w:rPr>
          <w:rFonts w:hint="eastAsia" w:cs="Times New Roman"/>
          <w:color w:val="auto"/>
          <w:highlight w:val="none"/>
          <w:lang w:eastAsia="zh-CN"/>
        </w:rPr>
        <w:t>”</w:t>
      </w:r>
      <w:r>
        <w:rPr>
          <w:rFonts w:hint="default" w:ascii="Times New Roman" w:hAnsi="Times New Roman" w:eastAsia="宋体" w:cs="Times New Roman"/>
          <w:color w:val="auto"/>
          <w:highlight w:val="none"/>
        </w:rPr>
        <w:t>断面，该断面功能排序为工业、景观用水，水质保护目标为Ⅲ类，区划主要依据工业、景观用水，水质执行《地表水环境质量标准》（GB 3838-2002）中Ⅲ类标准，详见表</w:t>
      </w:r>
      <w:r>
        <w:rPr>
          <w:rFonts w:hint="default" w:ascii="Times New Roman" w:hAnsi="Times New Roman" w:eastAsia="宋体" w:cs="Times New Roman"/>
          <w:color w:val="auto"/>
          <w:highlight w:val="none"/>
          <w:lang w:val="en-US" w:eastAsia="zh-CN"/>
        </w:rPr>
        <w:t>2.3-1</w:t>
      </w:r>
      <w:r>
        <w:rPr>
          <w:rFonts w:hint="default" w:ascii="Times New Roman" w:hAnsi="Times New Roman" w:eastAsia="宋体" w:cs="Times New Roman"/>
          <w:color w:val="auto"/>
          <w:highlight w:val="none"/>
        </w:rPr>
        <w:t>。</w:t>
      </w:r>
    </w:p>
    <w:p w14:paraId="7C2E5613">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表2.3-1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《地表水环境质量标准》</w:t>
      </w:r>
      <w:r>
        <w:rPr>
          <w:rFonts w:hint="default" w:ascii="Times New Roman" w:hAnsi="Times New Roman" w:cs="Times New Roman"/>
          <w:color w:val="auto"/>
          <w:highlight w:val="none"/>
          <w:lang w:eastAsia="zh-CN"/>
        </w:rPr>
        <w:t>（</w:t>
      </w:r>
      <w:r>
        <w:rPr>
          <w:rFonts w:hint="eastAsia" w:cs="Times New Roman"/>
          <w:color w:val="auto"/>
          <w:highlight w:val="none"/>
          <w:lang w:eastAsia="zh-CN"/>
        </w:rPr>
        <w:t>GB 3838</w:t>
      </w:r>
      <w:r>
        <w:rPr>
          <w:rFonts w:hint="default" w:ascii="Times New Roman" w:hAnsi="Times New Roman" w:cs="Times New Roman"/>
          <w:color w:val="auto"/>
          <w:highlight w:val="none"/>
        </w:rPr>
        <w:t>-2002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摘录</w:t>
      </w:r>
      <w:r>
        <w:rPr>
          <w:rFonts w:hint="default" w:ascii="Times New Roman" w:hAnsi="Times New Roman" w:cs="Times New Roman"/>
          <w:color w:val="auto"/>
          <w:highlight w:val="none"/>
          <w:lang w:eastAsia="zh-CN"/>
        </w:rPr>
        <w:t>）</w:t>
      </w:r>
      <w:r>
        <w:rPr>
          <w:rFonts w:hint="eastAsia" w:cs="Times New Roman"/>
          <w:color w:val="auto"/>
          <w:highlight w:val="none"/>
          <w:lang w:eastAsia="zh-CN"/>
        </w:rPr>
        <w:t xml:space="preserve"> 单位</w:t>
      </w:r>
      <w:r>
        <w:rPr>
          <w:rFonts w:hint="default" w:ascii="Times New Roman" w:hAnsi="Times New Roman" w:cs="Times New Roman"/>
          <w:color w:val="auto"/>
          <w:highlight w:val="none"/>
        </w:rPr>
        <w:t>：除pH外为mg/L</w:t>
      </w:r>
    </w:p>
    <w:tbl>
      <w:tblPr>
        <w:tblStyle w:val="8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67"/>
        <w:gridCol w:w="2608"/>
        <w:gridCol w:w="1366"/>
        <w:gridCol w:w="1097"/>
        <w:gridCol w:w="1225"/>
        <w:gridCol w:w="1306"/>
      </w:tblGrid>
      <w:tr w14:paraId="6056B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32A4967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2693" w:type="dxa"/>
            <w:tcBorders>
              <w:tl2br w:val="nil"/>
              <w:tr2bl w:val="nil"/>
            </w:tcBorders>
            <w:shd w:val="clear" w:color="auto" w:fill="auto"/>
            <w:noWrap w:val="0"/>
            <w:vAlign w:val="center"/>
          </w:tcPr>
          <w:p w14:paraId="6C41217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w:t>
            </w:r>
          </w:p>
        </w:tc>
        <w:tc>
          <w:tcPr>
            <w:tcW w:w="1418" w:type="dxa"/>
            <w:tcBorders>
              <w:tl2br w:val="nil"/>
              <w:tr2bl w:val="nil"/>
            </w:tcBorders>
            <w:shd w:val="clear" w:color="auto" w:fill="auto"/>
            <w:noWrap w:val="0"/>
            <w:vAlign w:val="center"/>
          </w:tcPr>
          <w:p w14:paraId="4111EA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Ⅱ类</w:t>
            </w:r>
          </w:p>
        </w:tc>
        <w:tc>
          <w:tcPr>
            <w:tcW w:w="1134" w:type="dxa"/>
            <w:tcBorders>
              <w:tl2br w:val="nil"/>
              <w:tr2bl w:val="nil"/>
            </w:tcBorders>
            <w:shd w:val="clear" w:color="auto" w:fill="D7D7D7"/>
            <w:noWrap w:val="0"/>
            <w:vAlign w:val="center"/>
          </w:tcPr>
          <w:p w14:paraId="1A9B769E">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Ⅲ类</w:t>
            </w:r>
          </w:p>
        </w:tc>
        <w:tc>
          <w:tcPr>
            <w:tcW w:w="1275" w:type="dxa"/>
            <w:tcBorders>
              <w:tl2br w:val="nil"/>
              <w:tr2bl w:val="nil"/>
            </w:tcBorders>
            <w:noWrap w:val="0"/>
            <w:vAlign w:val="center"/>
          </w:tcPr>
          <w:p w14:paraId="43C9C51C">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Ⅳ类</w:t>
            </w:r>
          </w:p>
        </w:tc>
        <w:tc>
          <w:tcPr>
            <w:tcW w:w="1359" w:type="dxa"/>
            <w:tcBorders>
              <w:tl2br w:val="nil"/>
              <w:tr2bl w:val="nil"/>
            </w:tcBorders>
            <w:noWrap w:val="0"/>
            <w:vAlign w:val="center"/>
          </w:tcPr>
          <w:p w14:paraId="78A7E8EB">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Ⅴ类</w:t>
            </w:r>
          </w:p>
        </w:tc>
      </w:tr>
      <w:tr w14:paraId="05CA2B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noWrap w:val="0"/>
            <w:vAlign w:val="center"/>
          </w:tcPr>
          <w:p w14:paraId="0C863C7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2693" w:type="dxa"/>
            <w:tcBorders>
              <w:tl2br w:val="nil"/>
              <w:tr2bl w:val="nil"/>
            </w:tcBorders>
            <w:noWrap w:val="0"/>
            <w:vAlign w:val="center"/>
          </w:tcPr>
          <w:p w14:paraId="3A703083">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pH</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无量纲</w:t>
            </w:r>
            <w:r>
              <w:rPr>
                <w:rFonts w:hint="eastAsia" w:ascii="Times New Roman" w:hAnsi="Times New Roman" w:eastAsia="宋体" w:cs="Times New Roman"/>
                <w:color w:val="auto"/>
                <w:highlight w:val="none"/>
                <w:lang w:eastAsia="zh-CN"/>
              </w:rPr>
              <w:t>）</w:t>
            </w:r>
          </w:p>
        </w:tc>
        <w:tc>
          <w:tcPr>
            <w:tcW w:w="5186" w:type="dxa"/>
            <w:gridSpan w:val="4"/>
            <w:tcBorders>
              <w:tl2br w:val="nil"/>
              <w:tr2bl w:val="nil"/>
            </w:tcBorders>
            <w:noWrap w:val="0"/>
            <w:vAlign w:val="center"/>
          </w:tcPr>
          <w:p w14:paraId="7994AA3F">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6</w:t>
            </w:r>
            <w:r>
              <w:rPr>
                <w:rFonts w:hint="eastAsia" w:cs="Times New Roman"/>
                <w:color w:val="auto"/>
                <w:highlight w:val="none"/>
                <w:shd w:val="clear" w:color="auto" w:fill="auto"/>
                <w:lang w:eastAsia="zh-CN"/>
              </w:rPr>
              <w:t>~</w:t>
            </w:r>
            <w:r>
              <w:rPr>
                <w:rFonts w:ascii="Times New Roman" w:hAnsi="Times New Roman" w:eastAsia="宋体" w:cs="Times New Roman"/>
                <w:color w:val="auto"/>
                <w:highlight w:val="none"/>
                <w:shd w:val="clear" w:color="auto" w:fill="auto"/>
              </w:rPr>
              <w:t>9</w:t>
            </w:r>
          </w:p>
        </w:tc>
      </w:tr>
      <w:tr w14:paraId="07B68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2869600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c>
          <w:tcPr>
            <w:tcW w:w="2693" w:type="dxa"/>
            <w:tcBorders>
              <w:tl2br w:val="nil"/>
              <w:tr2bl w:val="nil"/>
            </w:tcBorders>
            <w:shd w:val="clear" w:color="auto" w:fill="auto"/>
            <w:noWrap w:val="0"/>
            <w:vAlign w:val="center"/>
          </w:tcPr>
          <w:p w14:paraId="59458BD2">
            <w:pPr>
              <w:pStyle w:val="1358"/>
              <w:rPr>
                <w:rFonts w:ascii="Times New Roman" w:hAnsi="Times New Roman" w:eastAsia="宋体" w:cs="Times New Roman"/>
                <w:color w:val="auto"/>
                <w:highlight w:val="none"/>
              </w:rPr>
            </w:pPr>
            <w:r>
              <w:rPr>
                <w:rFonts w:ascii="Times New Roman" w:hAnsi="Times New Roman" w:eastAsia="宋体" w:cs="Times New Roman"/>
                <w:snapToGrid w:val="0"/>
                <w:color w:val="auto"/>
                <w:kern w:val="18"/>
                <w:highlight w:val="none"/>
              </w:rPr>
              <w:t>溶解氧≥</w:t>
            </w:r>
          </w:p>
        </w:tc>
        <w:tc>
          <w:tcPr>
            <w:tcW w:w="1418" w:type="dxa"/>
            <w:tcBorders>
              <w:tl2br w:val="nil"/>
              <w:tr2bl w:val="nil"/>
            </w:tcBorders>
            <w:shd w:val="clear" w:color="auto" w:fill="auto"/>
            <w:noWrap w:val="0"/>
            <w:vAlign w:val="center"/>
          </w:tcPr>
          <w:p w14:paraId="3B3C4CA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1134" w:type="dxa"/>
            <w:tcBorders>
              <w:tl2br w:val="nil"/>
              <w:tr2bl w:val="nil"/>
            </w:tcBorders>
            <w:shd w:val="clear" w:color="auto" w:fill="D7D7D7"/>
            <w:noWrap w:val="0"/>
            <w:vAlign w:val="center"/>
          </w:tcPr>
          <w:p w14:paraId="5A002852">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5</w:t>
            </w:r>
          </w:p>
        </w:tc>
        <w:tc>
          <w:tcPr>
            <w:tcW w:w="1275" w:type="dxa"/>
            <w:tcBorders>
              <w:tl2br w:val="nil"/>
              <w:tr2bl w:val="nil"/>
            </w:tcBorders>
            <w:noWrap w:val="0"/>
            <w:vAlign w:val="center"/>
          </w:tcPr>
          <w:p w14:paraId="0F040F9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1359" w:type="dxa"/>
            <w:tcBorders>
              <w:tl2br w:val="nil"/>
              <w:tr2bl w:val="nil"/>
            </w:tcBorders>
            <w:noWrap w:val="0"/>
            <w:vAlign w:val="center"/>
          </w:tcPr>
          <w:p w14:paraId="2BD6EBC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r>
      <w:tr w14:paraId="231CC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0315E1C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2693" w:type="dxa"/>
            <w:tcBorders>
              <w:tl2br w:val="nil"/>
              <w:tr2bl w:val="nil"/>
            </w:tcBorders>
            <w:shd w:val="clear" w:color="auto" w:fill="auto"/>
            <w:noWrap w:val="0"/>
            <w:vAlign w:val="center"/>
          </w:tcPr>
          <w:p w14:paraId="5966F22A">
            <w:pPr>
              <w:pStyle w:val="1358"/>
              <w:rPr>
                <w:rFonts w:ascii="Times New Roman" w:hAnsi="Times New Roman" w:eastAsia="宋体" w:cs="Times New Roman"/>
                <w:color w:val="auto"/>
                <w:highlight w:val="none"/>
              </w:rPr>
            </w:pPr>
            <w:r>
              <w:rPr>
                <w:rFonts w:ascii="Times New Roman" w:hAnsi="Times New Roman" w:eastAsia="宋体" w:cs="Times New Roman"/>
                <w:snapToGrid w:val="0"/>
                <w:color w:val="auto"/>
                <w:kern w:val="18"/>
                <w:highlight w:val="none"/>
              </w:rPr>
              <w:t>高锰酸盐指数</w:t>
            </w:r>
            <w:r>
              <w:rPr>
                <w:rFonts w:ascii="Times New Roman" w:hAnsi="Times New Roman" w:eastAsia="宋体" w:cs="Times New Roman"/>
                <w:color w:val="auto"/>
                <w:highlight w:val="none"/>
              </w:rPr>
              <w:t>≤</w:t>
            </w:r>
          </w:p>
        </w:tc>
        <w:tc>
          <w:tcPr>
            <w:tcW w:w="1418" w:type="dxa"/>
            <w:tcBorders>
              <w:tl2br w:val="nil"/>
              <w:tr2bl w:val="nil"/>
            </w:tcBorders>
            <w:shd w:val="clear" w:color="auto" w:fill="auto"/>
            <w:noWrap w:val="0"/>
            <w:vAlign w:val="center"/>
          </w:tcPr>
          <w:p w14:paraId="4F77CAB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1134" w:type="dxa"/>
            <w:tcBorders>
              <w:tl2br w:val="nil"/>
              <w:tr2bl w:val="nil"/>
            </w:tcBorders>
            <w:shd w:val="clear" w:color="auto" w:fill="D7D7D7"/>
            <w:noWrap w:val="0"/>
            <w:vAlign w:val="center"/>
          </w:tcPr>
          <w:p w14:paraId="01745217">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6</w:t>
            </w:r>
          </w:p>
        </w:tc>
        <w:tc>
          <w:tcPr>
            <w:tcW w:w="1275" w:type="dxa"/>
            <w:tcBorders>
              <w:tl2br w:val="nil"/>
              <w:tr2bl w:val="nil"/>
            </w:tcBorders>
            <w:noWrap w:val="0"/>
            <w:vAlign w:val="center"/>
          </w:tcPr>
          <w:p w14:paraId="45F1535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1359" w:type="dxa"/>
            <w:tcBorders>
              <w:tl2br w:val="nil"/>
              <w:tr2bl w:val="nil"/>
            </w:tcBorders>
            <w:noWrap w:val="0"/>
            <w:vAlign w:val="center"/>
          </w:tcPr>
          <w:p w14:paraId="03537B5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r>
      <w:tr w14:paraId="5B91F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02" w:hRule="exact"/>
          <w:jc w:val="center"/>
        </w:trPr>
        <w:tc>
          <w:tcPr>
            <w:tcW w:w="795" w:type="dxa"/>
            <w:tcBorders>
              <w:tl2br w:val="nil"/>
              <w:tr2bl w:val="nil"/>
            </w:tcBorders>
            <w:shd w:val="clear" w:color="auto" w:fill="auto"/>
            <w:noWrap w:val="0"/>
            <w:vAlign w:val="center"/>
          </w:tcPr>
          <w:p w14:paraId="405C560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2693" w:type="dxa"/>
            <w:tcBorders>
              <w:tl2br w:val="nil"/>
              <w:tr2bl w:val="nil"/>
            </w:tcBorders>
            <w:shd w:val="clear" w:color="auto" w:fill="auto"/>
            <w:noWrap w:val="0"/>
            <w:vAlign w:val="center"/>
          </w:tcPr>
          <w:p w14:paraId="71256C05">
            <w:pPr>
              <w:pStyle w:val="1358"/>
              <w:rPr>
                <w:rFonts w:ascii="Times New Roman" w:hAnsi="Times New Roman" w:eastAsia="宋体" w:cs="Times New Roman"/>
                <w:color w:val="auto"/>
                <w:highlight w:val="none"/>
              </w:rPr>
            </w:pPr>
            <w:r>
              <w:rPr>
                <w:rFonts w:ascii="Times New Roman" w:hAnsi="Times New Roman" w:eastAsia="宋体" w:cs="Times New Roman"/>
                <w:snapToGrid w:val="0"/>
                <w:color w:val="auto"/>
                <w:kern w:val="18"/>
                <w:highlight w:val="none"/>
              </w:rPr>
              <w:t>化学需氧量</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snapToGrid w:val="0"/>
                <w:color w:val="auto"/>
                <w:kern w:val="18"/>
                <w:highlight w:val="none"/>
              </w:rPr>
              <w:t>COD</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color w:val="auto"/>
                <w:highlight w:val="none"/>
              </w:rPr>
              <w:t>≤</w:t>
            </w:r>
          </w:p>
        </w:tc>
        <w:tc>
          <w:tcPr>
            <w:tcW w:w="1418" w:type="dxa"/>
            <w:tcBorders>
              <w:tl2br w:val="nil"/>
              <w:tr2bl w:val="nil"/>
            </w:tcBorders>
            <w:shd w:val="clear" w:color="auto" w:fill="auto"/>
            <w:noWrap w:val="0"/>
            <w:vAlign w:val="center"/>
          </w:tcPr>
          <w:p w14:paraId="2580AF9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1134" w:type="dxa"/>
            <w:tcBorders>
              <w:tl2br w:val="nil"/>
              <w:tr2bl w:val="nil"/>
            </w:tcBorders>
            <w:shd w:val="clear" w:color="auto" w:fill="D7D7D7"/>
            <w:noWrap w:val="0"/>
            <w:vAlign w:val="center"/>
          </w:tcPr>
          <w:p w14:paraId="58A5865D">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20</w:t>
            </w:r>
          </w:p>
        </w:tc>
        <w:tc>
          <w:tcPr>
            <w:tcW w:w="1275" w:type="dxa"/>
            <w:tcBorders>
              <w:tl2br w:val="nil"/>
              <w:tr2bl w:val="nil"/>
            </w:tcBorders>
            <w:noWrap w:val="0"/>
            <w:vAlign w:val="center"/>
          </w:tcPr>
          <w:p w14:paraId="7DED346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w:t>
            </w:r>
          </w:p>
        </w:tc>
        <w:tc>
          <w:tcPr>
            <w:tcW w:w="1359" w:type="dxa"/>
            <w:tcBorders>
              <w:tl2br w:val="nil"/>
              <w:tr2bl w:val="nil"/>
            </w:tcBorders>
            <w:noWrap w:val="0"/>
            <w:vAlign w:val="center"/>
          </w:tcPr>
          <w:p w14:paraId="4517350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w:t>
            </w:r>
          </w:p>
        </w:tc>
      </w:tr>
      <w:tr w14:paraId="597CD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7D568CD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2693" w:type="dxa"/>
            <w:tcBorders>
              <w:tl2br w:val="nil"/>
              <w:tr2bl w:val="nil"/>
            </w:tcBorders>
            <w:shd w:val="clear" w:color="auto" w:fill="auto"/>
            <w:noWrap w:val="0"/>
            <w:vAlign w:val="center"/>
          </w:tcPr>
          <w:p w14:paraId="46683D65">
            <w:pPr>
              <w:pStyle w:val="1358"/>
              <w:rPr>
                <w:rFonts w:ascii="Times New Roman" w:hAnsi="Times New Roman" w:eastAsia="宋体" w:cs="Times New Roman"/>
                <w:snapToGrid w:val="0"/>
                <w:color w:val="auto"/>
                <w:kern w:val="18"/>
                <w:highlight w:val="none"/>
              </w:rPr>
            </w:pPr>
            <w:r>
              <w:rPr>
                <w:rFonts w:ascii="Times New Roman" w:hAnsi="Times New Roman" w:eastAsia="宋体" w:cs="Times New Roman"/>
                <w:snapToGrid w:val="0"/>
                <w:color w:val="auto"/>
                <w:kern w:val="18"/>
                <w:highlight w:val="none"/>
              </w:rPr>
              <w:t>氨氮</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snapToGrid w:val="0"/>
                <w:color w:val="auto"/>
                <w:kern w:val="18"/>
                <w:highlight w:val="none"/>
              </w:rPr>
              <w:t>NH</w:t>
            </w:r>
            <w:r>
              <w:rPr>
                <w:rFonts w:ascii="Times New Roman" w:hAnsi="Times New Roman" w:eastAsia="宋体" w:cs="Times New Roman"/>
                <w:snapToGrid w:val="0"/>
                <w:color w:val="auto"/>
                <w:kern w:val="18"/>
                <w:highlight w:val="none"/>
                <w:vertAlign w:val="subscript"/>
              </w:rPr>
              <w:t>3</w:t>
            </w:r>
            <w:r>
              <w:rPr>
                <w:rFonts w:ascii="Times New Roman" w:hAnsi="Times New Roman" w:eastAsia="宋体" w:cs="Times New Roman"/>
                <w:snapToGrid w:val="0"/>
                <w:color w:val="auto"/>
                <w:kern w:val="18"/>
                <w:highlight w:val="none"/>
              </w:rPr>
              <w:t>-N</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color w:val="auto"/>
                <w:highlight w:val="none"/>
              </w:rPr>
              <w:t>≤</w:t>
            </w:r>
          </w:p>
        </w:tc>
        <w:tc>
          <w:tcPr>
            <w:tcW w:w="1418" w:type="dxa"/>
            <w:tcBorders>
              <w:tl2br w:val="nil"/>
              <w:tr2bl w:val="nil"/>
            </w:tcBorders>
            <w:shd w:val="clear" w:color="auto" w:fill="auto"/>
            <w:noWrap w:val="0"/>
            <w:vAlign w:val="center"/>
          </w:tcPr>
          <w:p w14:paraId="4D909DD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w:t>
            </w:r>
          </w:p>
        </w:tc>
        <w:tc>
          <w:tcPr>
            <w:tcW w:w="1134" w:type="dxa"/>
            <w:tcBorders>
              <w:tl2br w:val="nil"/>
              <w:tr2bl w:val="nil"/>
            </w:tcBorders>
            <w:shd w:val="clear" w:color="auto" w:fill="D7D7D7"/>
            <w:noWrap w:val="0"/>
            <w:vAlign w:val="center"/>
          </w:tcPr>
          <w:p w14:paraId="1320D82E">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1.0</w:t>
            </w:r>
          </w:p>
        </w:tc>
        <w:tc>
          <w:tcPr>
            <w:tcW w:w="1275" w:type="dxa"/>
            <w:tcBorders>
              <w:tl2br w:val="nil"/>
              <w:tr2bl w:val="nil"/>
            </w:tcBorders>
            <w:noWrap w:val="0"/>
            <w:vAlign w:val="center"/>
          </w:tcPr>
          <w:p w14:paraId="13F7978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1359" w:type="dxa"/>
            <w:tcBorders>
              <w:tl2br w:val="nil"/>
              <w:tr2bl w:val="nil"/>
            </w:tcBorders>
            <w:noWrap w:val="0"/>
            <w:vAlign w:val="center"/>
          </w:tcPr>
          <w:p w14:paraId="0BF2D4F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r>
      <w:tr w14:paraId="46C4D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4AABA27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2693" w:type="dxa"/>
            <w:tcBorders>
              <w:tl2br w:val="nil"/>
              <w:tr2bl w:val="nil"/>
            </w:tcBorders>
            <w:shd w:val="clear" w:color="auto" w:fill="auto"/>
            <w:noWrap w:val="0"/>
            <w:vAlign w:val="center"/>
          </w:tcPr>
          <w:p w14:paraId="16239DE3">
            <w:pPr>
              <w:pStyle w:val="1358"/>
              <w:rPr>
                <w:rFonts w:ascii="Times New Roman" w:hAnsi="Times New Roman" w:eastAsia="宋体" w:cs="Times New Roman"/>
                <w:snapToGrid w:val="0"/>
                <w:color w:val="auto"/>
                <w:kern w:val="18"/>
                <w:highlight w:val="none"/>
              </w:rPr>
            </w:pPr>
            <w:r>
              <w:rPr>
                <w:rFonts w:ascii="Times New Roman" w:hAnsi="Times New Roman" w:eastAsia="宋体" w:cs="Times New Roman"/>
                <w:snapToGrid w:val="0"/>
                <w:color w:val="auto"/>
                <w:kern w:val="18"/>
                <w:highlight w:val="none"/>
              </w:rPr>
              <w:t>五日生化需氧量</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snapToGrid w:val="0"/>
                <w:color w:val="auto"/>
                <w:kern w:val="18"/>
                <w:highlight w:val="none"/>
              </w:rPr>
              <w:t>BOD</w:t>
            </w:r>
            <w:r>
              <w:rPr>
                <w:rFonts w:ascii="Times New Roman" w:hAnsi="Times New Roman" w:eastAsia="宋体" w:cs="Times New Roman"/>
                <w:snapToGrid w:val="0"/>
                <w:color w:val="auto"/>
                <w:kern w:val="18"/>
                <w:highlight w:val="none"/>
                <w:vertAlign w:val="subscript"/>
              </w:rPr>
              <w:t>5</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color w:val="auto"/>
                <w:highlight w:val="none"/>
              </w:rPr>
              <w:t>≤</w:t>
            </w:r>
          </w:p>
        </w:tc>
        <w:tc>
          <w:tcPr>
            <w:tcW w:w="1418" w:type="dxa"/>
            <w:tcBorders>
              <w:tl2br w:val="nil"/>
              <w:tr2bl w:val="nil"/>
            </w:tcBorders>
            <w:shd w:val="clear" w:color="auto" w:fill="auto"/>
            <w:noWrap w:val="0"/>
            <w:vAlign w:val="center"/>
          </w:tcPr>
          <w:p w14:paraId="0DA2432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1134" w:type="dxa"/>
            <w:tcBorders>
              <w:tl2br w:val="nil"/>
              <w:tr2bl w:val="nil"/>
            </w:tcBorders>
            <w:shd w:val="clear" w:color="auto" w:fill="D7D7D7"/>
            <w:noWrap w:val="0"/>
            <w:vAlign w:val="center"/>
          </w:tcPr>
          <w:p w14:paraId="3AFE0223">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4</w:t>
            </w:r>
          </w:p>
        </w:tc>
        <w:tc>
          <w:tcPr>
            <w:tcW w:w="1275" w:type="dxa"/>
            <w:tcBorders>
              <w:tl2br w:val="nil"/>
              <w:tr2bl w:val="nil"/>
            </w:tcBorders>
            <w:noWrap w:val="0"/>
            <w:vAlign w:val="center"/>
          </w:tcPr>
          <w:p w14:paraId="6D4B466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1359" w:type="dxa"/>
            <w:tcBorders>
              <w:tl2br w:val="nil"/>
              <w:tr2bl w:val="nil"/>
            </w:tcBorders>
            <w:noWrap w:val="0"/>
            <w:vAlign w:val="center"/>
          </w:tcPr>
          <w:p w14:paraId="6B3ACD8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r>
      <w:tr w14:paraId="5B5AD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62E4622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p>
        </w:tc>
        <w:tc>
          <w:tcPr>
            <w:tcW w:w="2693" w:type="dxa"/>
            <w:tcBorders>
              <w:tl2br w:val="nil"/>
              <w:tr2bl w:val="nil"/>
            </w:tcBorders>
            <w:shd w:val="clear" w:color="auto" w:fill="auto"/>
            <w:noWrap w:val="0"/>
            <w:vAlign w:val="center"/>
          </w:tcPr>
          <w:p w14:paraId="787556A1">
            <w:pPr>
              <w:pStyle w:val="1358"/>
              <w:rPr>
                <w:rFonts w:ascii="Times New Roman" w:hAnsi="Times New Roman" w:eastAsia="宋体" w:cs="Times New Roman"/>
                <w:snapToGrid w:val="0"/>
                <w:color w:val="auto"/>
                <w:kern w:val="18"/>
                <w:highlight w:val="none"/>
              </w:rPr>
            </w:pPr>
            <w:r>
              <w:rPr>
                <w:rFonts w:ascii="Times New Roman" w:hAnsi="Times New Roman" w:eastAsia="宋体" w:cs="Times New Roman"/>
                <w:snapToGrid w:val="0"/>
                <w:color w:val="auto"/>
                <w:kern w:val="18"/>
                <w:highlight w:val="none"/>
              </w:rPr>
              <w:t>总磷</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snapToGrid w:val="0"/>
                <w:color w:val="auto"/>
                <w:kern w:val="18"/>
                <w:highlight w:val="none"/>
              </w:rPr>
              <w:t>TP</w:t>
            </w:r>
            <w:r>
              <w:rPr>
                <w:rFonts w:hint="eastAsia" w:ascii="Times New Roman" w:hAnsi="Times New Roman" w:eastAsia="宋体" w:cs="Times New Roman"/>
                <w:snapToGrid w:val="0"/>
                <w:color w:val="auto"/>
                <w:kern w:val="18"/>
                <w:highlight w:val="none"/>
                <w:lang w:eastAsia="zh-CN"/>
              </w:rPr>
              <w:t>）</w:t>
            </w:r>
            <w:r>
              <w:rPr>
                <w:rFonts w:ascii="Times New Roman" w:hAnsi="Times New Roman" w:eastAsia="宋体" w:cs="Times New Roman"/>
                <w:color w:val="auto"/>
                <w:highlight w:val="none"/>
              </w:rPr>
              <w:t>≤</w:t>
            </w:r>
          </w:p>
        </w:tc>
        <w:tc>
          <w:tcPr>
            <w:tcW w:w="1418" w:type="dxa"/>
            <w:tcBorders>
              <w:tl2br w:val="nil"/>
              <w:tr2bl w:val="nil"/>
            </w:tcBorders>
            <w:shd w:val="clear" w:color="auto" w:fill="auto"/>
            <w:noWrap w:val="0"/>
            <w:vAlign w:val="center"/>
          </w:tcPr>
          <w:p w14:paraId="4963C74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0.1</w:t>
            </w:r>
          </w:p>
        </w:tc>
        <w:tc>
          <w:tcPr>
            <w:tcW w:w="1134" w:type="dxa"/>
            <w:tcBorders>
              <w:tl2br w:val="nil"/>
              <w:tr2bl w:val="nil"/>
            </w:tcBorders>
            <w:shd w:val="clear" w:color="auto" w:fill="D7D7D7"/>
            <w:noWrap w:val="0"/>
            <w:vAlign w:val="center"/>
          </w:tcPr>
          <w:p w14:paraId="1A50068D">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0.2</w:t>
            </w:r>
          </w:p>
        </w:tc>
        <w:tc>
          <w:tcPr>
            <w:tcW w:w="1275" w:type="dxa"/>
            <w:tcBorders>
              <w:tl2br w:val="nil"/>
              <w:tr2bl w:val="nil"/>
            </w:tcBorders>
            <w:noWrap w:val="0"/>
            <w:vAlign w:val="center"/>
          </w:tcPr>
          <w:p w14:paraId="783A855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0.3</w:t>
            </w:r>
          </w:p>
        </w:tc>
        <w:tc>
          <w:tcPr>
            <w:tcW w:w="1359" w:type="dxa"/>
            <w:tcBorders>
              <w:tl2br w:val="nil"/>
              <w:tr2bl w:val="nil"/>
            </w:tcBorders>
            <w:noWrap w:val="0"/>
            <w:vAlign w:val="center"/>
          </w:tcPr>
          <w:p w14:paraId="3A14471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0.4</w:t>
            </w:r>
          </w:p>
        </w:tc>
      </w:tr>
      <w:tr w14:paraId="357AA9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795" w:type="dxa"/>
            <w:tcBorders>
              <w:tl2br w:val="nil"/>
              <w:tr2bl w:val="nil"/>
            </w:tcBorders>
            <w:shd w:val="clear" w:color="auto" w:fill="auto"/>
            <w:noWrap w:val="0"/>
            <w:vAlign w:val="center"/>
          </w:tcPr>
          <w:p w14:paraId="01FEBE6B">
            <w:pPr>
              <w:pStyle w:val="1358"/>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8</w:t>
            </w:r>
          </w:p>
        </w:tc>
        <w:tc>
          <w:tcPr>
            <w:tcW w:w="2693" w:type="dxa"/>
            <w:tcBorders>
              <w:tl2br w:val="nil"/>
              <w:tr2bl w:val="nil"/>
            </w:tcBorders>
            <w:shd w:val="clear" w:color="auto" w:fill="auto"/>
            <w:noWrap w:val="0"/>
            <w:vAlign w:val="center"/>
          </w:tcPr>
          <w:p w14:paraId="56A9E64D">
            <w:pPr>
              <w:pStyle w:val="1358"/>
              <w:rPr>
                <w:rFonts w:ascii="Times New Roman" w:hAnsi="Times New Roman" w:eastAsia="宋体" w:cs="Times New Roman"/>
                <w:snapToGrid w:val="0"/>
                <w:color w:val="auto"/>
                <w:kern w:val="18"/>
                <w:highlight w:val="none"/>
              </w:rPr>
            </w:pPr>
            <w:r>
              <w:rPr>
                <w:rFonts w:ascii="Times New Roman" w:hAnsi="Times New Roman" w:eastAsia="宋体" w:cs="Times New Roman"/>
                <w:color w:val="auto"/>
                <w:highlight w:val="none"/>
              </w:rPr>
              <w:t>石油类≤</w:t>
            </w:r>
          </w:p>
        </w:tc>
        <w:tc>
          <w:tcPr>
            <w:tcW w:w="1418" w:type="dxa"/>
            <w:tcBorders>
              <w:tl2br w:val="nil"/>
              <w:tr2bl w:val="nil"/>
            </w:tcBorders>
            <w:shd w:val="clear" w:color="auto" w:fill="auto"/>
            <w:noWrap w:val="0"/>
            <w:vAlign w:val="center"/>
          </w:tcPr>
          <w:p w14:paraId="3823A6E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0.05</w:t>
            </w:r>
          </w:p>
        </w:tc>
        <w:tc>
          <w:tcPr>
            <w:tcW w:w="1134" w:type="dxa"/>
            <w:tcBorders>
              <w:tl2br w:val="nil"/>
              <w:tr2bl w:val="nil"/>
            </w:tcBorders>
            <w:shd w:val="clear" w:color="auto" w:fill="D7D7D7"/>
            <w:noWrap w:val="0"/>
            <w:vAlign w:val="center"/>
          </w:tcPr>
          <w:p w14:paraId="7BAFF86B">
            <w:pPr>
              <w:pStyle w:val="1358"/>
              <w:rPr>
                <w:rFonts w:ascii="Times New Roman" w:hAnsi="Times New Roman" w:eastAsia="宋体" w:cs="Times New Roman"/>
                <w:color w:val="auto"/>
                <w:highlight w:val="none"/>
                <w:shd w:val="clear" w:color="auto" w:fill="auto"/>
              </w:rPr>
            </w:pPr>
            <w:r>
              <w:rPr>
                <w:rFonts w:ascii="Times New Roman" w:hAnsi="Times New Roman" w:eastAsia="宋体" w:cs="Times New Roman"/>
                <w:color w:val="auto"/>
                <w:highlight w:val="none"/>
                <w:shd w:val="clear" w:color="auto" w:fill="auto"/>
              </w:rPr>
              <w:t>0.05</w:t>
            </w:r>
          </w:p>
        </w:tc>
        <w:tc>
          <w:tcPr>
            <w:tcW w:w="1275" w:type="dxa"/>
            <w:tcBorders>
              <w:tl2br w:val="nil"/>
              <w:tr2bl w:val="nil"/>
            </w:tcBorders>
            <w:noWrap w:val="0"/>
            <w:vAlign w:val="center"/>
          </w:tcPr>
          <w:p w14:paraId="7B1DF27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w:t>
            </w:r>
          </w:p>
        </w:tc>
        <w:tc>
          <w:tcPr>
            <w:tcW w:w="1359" w:type="dxa"/>
            <w:tcBorders>
              <w:tl2br w:val="nil"/>
              <w:tr2bl w:val="nil"/>
            </w:tcBorders>
            <w:noWrap w:val="0"/>
            <w:vAlign w:val="center"/>
          </w:tcPr>
          <w:p w14:paraId="548264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r>
    </w:tbl>
    <w:p w14:paraId="22E74B44">
      <w:pPr>
        <w:pStyle w:val="4"/>
        <w:numPr>
          <w:ilvl w:val="2"/>
          <w:numId w:val="0"/>
        </w:numPr>
        <w:tabs>
          <w:tab w:val="clear" w:pos="720"/>
        </w:tabs>
        <w:bidi w:val="0"/>
        <w:rPr>
          <w:color w:val="auto"/>
          <w:highlight w:val="none"/>
        </w:rPr>
      </w:pPr>
      <w:bookmarkStart w:id="256" w:name="_Toc11822"/>
      <w:r>
        <w:rPr>
          <w:color w:val="auto"/>
          <w:highlight w:val="none"/>
        </w:rPr>
        <w:t>2.3.2</w:t>
      </w:r>
      <w:r>
        <w:rPr>
          <w:rFonts w:hint="eastAsia"/>
          <w:color w:val="auto"/>
          <w:highlight w:val="none"/>
          <w:lang w:val="en-US" w:eastAsia="zh-CN"/>
        </w:rPr>
        <w:t xml:space="preserve"> </w:t>
      </w:r>
      <w:r>
        <w:rPr>
          <w:color w:val="auto"/>
          <w:highlight w:val="none"/>
        </w:rPr>
        <w:t>环境空气功能区划及环境质量标准</w:t>
      </w:r>
      <w:bookmarkEnd w:id="256"/>
    </w:p>
    <w:p w14:paraId="6C0230DF">
      <w:pPr>
        <w:pStyle w:val="1336"/>
        <w:ind w:firstLine="480"/>
        <w:rPr>
          <w:rFonts w:ascii="Times New Roman" w:hAnsi="Times New Roman" w:eastAsia="宋体" w:cs="Times New Roman"/>
          <w:color w:val="auto"/>
          <w:highlight w:val="none"/>
          <w:lang w:val="en-GB"/>
        </w:rPr>
      </w:pPr>
      <w:r>
        <w:rPr>
          <w:rFonts w:hint="eastAsia" w:ascii="Times New Roman" w:hAnsi="Times New Roman" w:eastAsia="宋体" w:cs="Times New Roman"/>
          <w:color w:val="auto"/>
          <w:highlight w:val="none"/>
          <w:lang w:val="en-GB"/>
        </w:rPr>
        <w:t>本项目位于福建省福州市闽侯县青口镇青口投资区，根据《福州市环境空气质量功能区划</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报批稿</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榕政综</w:t>
      </w:r>
      <w:r>
        <w:rPr>
          <w:rFonts w:hint="eastAsia" w:ascii="Times New Roman" w:hAnsi="Times New Roman" w:eastAsia="宋体" w:cs="Times New Roman"/>
          <w:color w:val="auto"/>
          <w:highlight w:val="none"/>
          <w:lang w:val="en-GB" w:eastAsia="zh-CN"/>
        </w:rPr>
        <w:t>〔2014〕30号），</w:t>
      </w:r>
      <w:r>
        <w:rPr>
          <w:rFonts w:hint="eastAsia" w:ascii="Times New Roman" w:hAnsi="Times New Roman" w:eastAsia="宋体" w:cs="Times New Roman"/>
          <w:color w:val="auto"/>
          <w:highlight w:val="none"/>
          <w:lang w:val="en-GB"/>
        </w:rPr>
        <w:t>项目所在区域环境空气功能</w:t>
      </w:r>
      <w:r>
        <w:rPr>
          <w:rFonts w:hint="eastAsia" w:cs="Times New Roman"/>
          <w:color w:val="auto"/>
          <w:highlight w:val="none"/>
          <w:lang w:val="en-GB" w:eastAsia="zh-CN"/>
        </w:rPr>
        <w:t>区划</w:t>
      </w:r>
      <w:r>
        <w:rPr>
          <w:rFonts w:hint="eastAsia" w:ascii="Times New Roman" w:hAnsi="Times New Roman" w:eastAsia="宋体" w:cs="Times New Roman"/>
          <w:color w:val="auto"/>
          <w:highlight w:val="none"/>
          <w:lang w:val="en-GB"/>
        </w:rPr>
        <w:t>为二类区。环境空气质量执行</w:t>
      </w:r>
      <w:r>
        <w:rPr>
          <w:rFonts w:hint="eastAsia" w:cs="Times New Roman"/>
          <w:color w:val="auto"/>
          <w:highlight w:val="none"/>
          <w:lang w:val="en-GB" w:eastAsia="zh-CN"/>
        </w:rPr>
        <w:t>《环境空气质量标准》（GB 3095-2026）</w:t>
      </w:r>
      <w:r>
        <w:rPr>
          <w:rFonts w:hint="eastAsia" w:ascii="Times New Roman" w:hAnsi="Times New Roman" w:eastAsia="宋体" w:cs="Times New Roman"/>
          <w:color w:val="auto"/>
          <w:highlight w:val="none"/>
          <w:lang w:val="en-GB"/>
        </w:rPr>
        <w:t>中的二级标准；TSP执行《环境空气质量标准》</w:t>
      </w:r>
      <w:r>
        <w:rPr>
          <w:rFonts w:hint="eastAsia" w:ascii="Times New Roman" w:hAnsi="Times New Roman" w:eastAsia="宋体" w:cs="Times New Roman"/>
          <w:color w:val="auto"/>
          <w:highlight w:val="none"/>
          <w:lang w:val="en-GB" w:eastAsia="zh-CN"/>
        </w:rPr>
        <w:t>（</w:t>
      </w:r>
      <w:r>
        <w:rPr>
          <w:rFonts w:hint="eastAsia" w:cs="Times New Roman"/>
          <w:color w:val="auto"/>
          <w:highlight w:val="none"/>
          <w:lang w:val="en-GB" w:eastAsia="zh-CN"/>
        </w:rPr>
        <w:t>GB 3095-2026</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中二级标准限值；非甲烷总烃参照执行《大气污染物综合排放标准详解》</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国家环境保护局科技标准司</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GB"/>
        </w:rPr>
        <w:t>中的限值；TVOC、二甲苯执行《环境影响评价技术导则 大气环境》（HJ2.2-2018）附录D表D.1其他污染物空气质量浓度参考限值</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主要污染物的浓度</w:t>
      </w:r>
      <w:r>
        <w:rPr>
          <w:rFonts w:ascii="Times New Roman" w:hAnsi="Times New Roman" w:eastAsia="宋体" w:cs="Times New Roman"/>
          <w:color w:val="auto"/>
          <w:highlight w:val="none"/>
          <w:lang w:val="en-GB"/>
        </w:rPr>
        <w:t>标准值详见表2.3-2。</w:t>
      </w:r>
    </w:p>
    <w:p w14:paraId="63C8931F">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表2.3-2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环境空气质量执行标准</w:t>
      </w:r>
    </w:p>
    <w:tbl>
      <w:tblPr>
        <w:tblStyle w:val="80"/>
        <w:tblW w:w="503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244"/>
        <w:gridCol w:w="2143"/>
        <w:gridCol w:w="1730"/>
        <w:gridCol w:w="3253"/>
      </w:tblGrid>
      <w:tr w14:paraId="66C8D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tcBorders>
              <w:tl2br w:val="nil"/>
              <w:tr2bl w:val="nil"/>
            </w:tcBorders>
            <w:noWrap w:val="0"/>
            <w:vAlign w:val="center"/>
          </w:tcPr>
          <w:p w14:paraId="2B66CDD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w:t>
            </w:r>
          </w:p>
        </w:tc>
        <w:tc>
          <w:tcPr>
            <w:tcW w:w="1280" w:type="pct"/>
            <w:tcBorders>
              <w:tl2br w:val="nil"/>
              <w:tr2bl w:val="nil"/>
            </w:tcBorders>
            <w:noWrap w:val="0"/>
            <w:vAlign w:val="center"/>
          </w:tcPr>
          <w:p w14:paraId="06B551A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取值时间</w:t>
            </w:r>
          </w:p>
        </w:tc>
        <w:tc>
          <w:tcPr>
            <w:tcW w:w="1033" w:type="pct"/>
            <w:tcBorders>
              <w:tl2br w:val="nil"/>
              <w:tr2bl w:val="nil"/>
            </w:tcBorders>
            <w:noWrap w:val="0"/>
            <w:vAlign w:val="center"/>
          </w:tcPr>
          <w:p w14:paraId="429C977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浓度限值</w:t>
            </w:r>
          </w:p>
        </w:tc>
        <w:tc>
          <w:tcPr>
            <w:tcW w:w="1943" w:type="pct"/>
            <w:tcBorders>
              <w:tl2br w:val="nil"/>
              <w:tr2bl w:val="nil"/>
            </w:tcBorders>
            <w:noWrap w:val="0"/>
            <w:vAlign w:val="center"/>
          </w:tcPr>
          <w:p w14:paraId="3D0BC85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标准来源</w:t>
            </w:r>
          </w:p>
        </w:tc>
      </w:tr>
      <w:tr w14:paraId="2C2A2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11464BA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SO</w:t>
            </w:r>
            <w:r>
              <w:rPr>
                <w:rFonts w:ascii="Times New Roman" w:hAnsi="Times New Roman" w:eastAsia="宋体" w:cs="Times New Roman"/>
                <w:color w:val="auto"/>
                <w:highlight w:val="none"/>
                <w:vertAlign w:val="subscript"/>
              </w:rPr>
              <w:t>2</w:t>
            </w:r>
          </w:p>
        </w:tc>
        <w:tc>
          <w:tcPr>
            <w:tcW w:w="1280" w:type="pct"/>
            <w:tcBorders>
              <w:tl2br w:val="nil"/>
              <w:tr2bl w:val="nil"/>
            </w:tcBorders>
            <w:noWrap w:val="0"/>
            <w:vAlign w:val="center"/>
          </w:tcPr>
          <w:p w14:paraId="5896870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年平均</w:t>
            </w:r>
          </w:p>
        </w:tc>
        <w:tc>
          <w:tcPr>
            <w:tcW w:w="1033" w:type="pct"/>
            <w:tcBorders>
              <w:tl2br w:val="nil"/>
              <w:tr2bl w:val="nil"/>
            </w:tcBorders>
            <w:noWrap w:val="0"/>
            <w:vAlign w:val="center"/>
          </w:tcPr>
          <w:p w14:paraId="09AA45B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60μg/m</w:t>
            </w:r>
            <w:r>
              <w:rPr>
                <w:rFonts w:ascii="Times New Roman" w:hAnsi="Times New Roman" w:eastAsia="宋体" w:cs="Times New Roman"/>
                <w:color w:val="auto"/>
                <w:highlight w:val="none"/>
                <w:vertAlign w:val="superscript"/>
              </w:rPr>
              <w:t>3</w:t>
            </w:r>
          </w:p>
        </w:tc>
        <w:tc>
          <w:tcPr>
            <w:tcW w:w="1943" w:type="pct"/>
            <w:vMerge w:val="restart"/>
            <w:tcBorders>
              <w:tl2br w:val="nil"/>
              <w:tr2bl w:val="nil"/>
            </w:tcBorders>
            <w:noWrap w:val="0"/>
            <w:vAlign w:val="center"/>
          </w:tcPr>
          <w:p w14:paraId="1669EE47">
            <w:pPr>
              <w:pStyle w:val="1358"/>
              <w:rPr>
                <w:rFonts w:ascii="Times New Roman" w:hAnsi="Times New Roman" w:eastAsia="宋体" w:cs="Times New Roman"/>
                <w:color w:val="auto"/>
                <w:highlight w:val="none"/>
              </w:rPr>
            </w:pPr>
            <w:r>
              <w:rPr>
                <w:color w:val="auto"/>
                <w:highlight w:val="none"/>
              </w:rPr>
              <w:t>《环境空气质量标准》（GB3095-2026）</w:t>
            </w:r>
            <w:r>
              <w:rPr>
                <w:rFonts w:hint="eastAsia"/>
                <w:color w:val="auto"/>
                <w:highlight w:val="none"/>
                <w:lang w:val="en-US" w:eastAsia="zh-CN"/>
              </w:rPr>
              <w:t>中</w:t>
            </w:r>
            <w:r>
              <w:rPr>
                <w:rFonts w:hint="eastAsia" w:ascii="Times New Roman" w:hAnsi="Times New Roman" w:eastAsia="宋体" w:cs="Times New Roman"/>
                <w:color w:val="auto"/>
                <w:kern w:val="2"/>
                <w:sz w:val="21"/>
                <w:szCs w:val="24"/>
                <w:highlight w:val="none"/>
                <w:lang w:val="en-US" w:eastAsia="zh-CN" w:bidi="ar-SA"/>
              </w:rPr>
              <w:t>表1过渡阶段</w:t>
            </w:r>
            <w:r>
              <w:rPr>
                <w:rFonts w:hint="eastAsia"/>
                <w:color w:val="auto"/>
                <w:highlight w:val="none"/>
                <w:lang w:val="en-US" w:eastAsia="zh-CN"/>
              </w:rPr>
              <w:t>（</w:t>
            </w:r>
            <w:r>
              <w:rPr>
                <w:rFonts w:hint="eastAsia"/>
                <w:color w:val="auto"/>
                <w:highlight w:val="none"/>
              </w:rPr>
              <w:t>2026年3月1日至2030年12月31日</w:t>
            </w:r>
            <w:r>
              <w:rPr>
                <w:rFonts w:hint="eastAsia"/>
                <w:color w:val="auto"/>
                <w:highlight w:val="none"/>
                <w:lang w:val="en-US" w:eastAsia="zh-CN"/>
              </w:rPr>
              <w:t>）</w:t>
            </w:r>
            <w:r>
              <w:rPr>
                <w:rFonts w:hint="eastAsia" w:ascii="Times New Roman" w:hAnsi="Times New Roman" w:eastAsia="宋体" w:cs="Times New Roman"/>
                <w:color w:val="auto"/>
                <w:kern w:val="2"/>
                <w:sz w:val="21"/>
                <w:szCs w:val="24"/>
                <w:highlight w:val="none"/>
                <w:lang w:val="en-US" w:eastAsia="zh-CN" w:bidi="ar-SA"/>
              </w:rPr>
              <w:t>二级浓度限值</w:t>
            </w:r>
          </w:p>
        </w:tc>
      </w:tr>
      <w:tr w14:paraId="3D73EA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51E76DD4">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793C52F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6BDADC3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530D1639">
            <w:pPr>
              <w:pStyle w:val="1358"/>
              <w:rPr>
                <w:rFonts w:ascii="Times New Roman" w:hAnsi="Times New Roman" w:eastAsia="宋体" w:cs="Times New Roman"/>
                <w:color w:val="auto"/>
                <w:highlight w:val="none"/>
              </w:rPr>
            </w:pPr>
          </w:p>
        </w:tc>
      </w:tr>
      <w:tr w14:paraId="354F3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3593B48E">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6D87AB2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1小时平均</w:t>
            </w:r>
          </w:p>
        </w:tc>
        <w:tc>
          <w:tcPr>
            <w:tcW w:w="1033" w:type="pct"/>
            <w:tcBorders>
              <w:tl2br w:val="nil"/>
              <w:tr2bl w:val="nil"/>
            </w:tcBorders>
            <w:noWrap w:val="0"/>
            <w:vAlign w:val="center"/>
          </w:tcPr>
          <w:p w14:paraId="11C1023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3E67C656">
            <w:pPr>
              <w:pStyle w:val="1358"/>
              <w:rPr>
                <w:rFonts w:ascii="Times New Roman" w:hAnsi="Times New Roman" w:eastAsia="宋体" w:cs="Times New Roman"/>
                <w:color w:val="auto"/>
                <w:highlight w:val="none"/>
              </w:rPr>
            </w:pPr>
          </w:p>
        </w:tc>
      </w:tr>
      <w:tr w14:paraId="5702CA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465D102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NO</w:t>
            </w:r>
            <w:r>
              <w:rPr>
                <w:rFonts w:ascii="Times New Roman" w:hAnsi="Times New Roman" w:eastAsia="宋体" w:cs="Times New Roman"/>
                <w:color w:val="auto"/>
                <w:highlight w:val="none"/>
                <w:vertAlign w:val="subscript"/>
              </w:rPr>
              <w:t>2</w:t>
            </w:r>
          </w:p>
        </w:tc>
        <w:tc>
          <w:tcPr>
            <w:tcW w:w="1280" w:type="pct"/>
            <w:tcBorders>
              <w:tl2br w:val="nil"/>
              <w:tr2bl w:val="nil"/>
            </w:tcBorders>
            <w:noWrap w:val="0"/>
            <w:vAlign w:val="center"/>
          </w:tcPr>
          <w:p w14:paraId="18E1B4B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年平均</w:t>
            </w:r>
          </w:p>
        </w:tc>
        <w:tc>
          <w:tcPr>
            <w:tcW w:w="1033" w:type="pct"/>
            <w:tcBorders>
              <w:tl2br w:val="nil"/>
              <w:tr2bl w:val="nil"/>
            </w:tcBorders>
            <w:noWrap w:val="0"/>
            <w:vAlign w:val="center"/>
          </w:tcPr>
          <w:p w14:paraId="0F3BC4D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57A641B8">
            <w:pPr>
              <w:pStyle w:val="1358"/>
              <w:rPr>
                <w:rFonts w:ascii="Times New Roman" w:hAnsi="Times New Roman" w:eastAsia="宋体" w:cs="Times New Roman"/>
                <w:color w:val="auto"/>
                <w:highlight w:val="none"/>
              </w:rPr>
            </w:pPr>
          </w:p>
        </w:tc>
      </w:tr>
      <w:tr w14:paraId="45E87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7EDD3CFC">
            <w:pPr>
              <w:pStyle w:val="1358"/>
              <w:rPr>
                <w:rFonts w:ascii="Times New Roman" w:hAnsi="Times New Roman" w:eastAsia="宋体" w:cs="Times New Roman"/>
                <w:color w:val="auto"/>
                <w:sz w:val="24"/>
                <w:highlight w:val="none"/>
              </w:rPr>
            </w:pPr>
          </w:p>
        </w:tc>
        <w:tc>
          <w:tcPr>
            <w:tcW w:w="1280" w:type="pct"/>
            <w:tcBorders>
              <w:tl2br w:val="nil"/>
              <w:tr2bl w:val="nil"/>
            </w:tcBorders>
            <w:noWrap w:val="0"/>
            <w:vAlign w:val="center"/>
          </w:tcPr>
          <w:p w14:paraId="13B0A6E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1D9F64F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101C9CCB">
            <w:pPr>
              <w:pStyle w:val="1358"/>
              <w:rPr>
                <w:rFonts w:ascii="Times New Roman" w:hAnsi="Times New Roman" w:eastAsia="宋体" w:cs="Times New Roman"/>
                <w:color w:val="auto"/>
                <w:highlight w:val="none"/>
              </w:rPr>
            </w:pPr>
          </w:p>
        </w:tc>
      </w:tr>
      <w:tr w14:paraId="5F6589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32E9D8D3">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369D1B0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1小时平均</w:t>
            </w:r>
          </w:p>
        </w:tc>
        <w:tc>
          <w:tcPr>
            <w:tcW w:w="1033" w:type="pct"/>
            <w:tcBorders>
              <w:tl2br w:val="nil"/>
              <w:tr2bl w:val="nil"/>
            </w:tcBorders>
            <w:noWrap w:val="0"/>
            <w:vAlign w:val="center"/>
          </w:tcPr>
          <w:p w14:paraId="795D77E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23CBCBC3">
            <w:pPr>
              <w:pStyle w:val="1358"/>
              <w:rPr>
                <w:rFonts w:ascii="Times New Roman" w:hAnsi="Times New Roman" w:eastAsia="宋体" w:cs="Times New Roman"/>
                <w:color w:val="auto"/>
                <w:highlight w:val="none"/>
              </w:rPr>
            </w:pPr>
          </w:p>
        </w:tc>
      </w:tr>
      <w:tr w14:paraId="773CD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376A6E8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PM</w:t>
            </w:r>
            <w:r>
              <w:rPr>
                <w:rFonts w:ascii="Times New Roman" w:hAnsi="Times New Roman" w:eastAsia="宋体" w:cs="Times New Roman"/>
                <w:color w:val="auto"/>
                <w:highlight w:val="none"/>
                <w:vertAlign w:val="subscript"/>
              </w:rPr>
              <w:t>10</w:t>
            </w:r>
          </w:p>
        </w:tc>
        <w:tc>
          <w:tcPr>
            <w:tcW w:w="1280" w:type="pct"/>
            <w:tcBorders>
              <w:tl2br w:val="nil"/>
              <w:tr2bl w:val="nil"/>
            </w:tcBorders>
            <w:noWrap w:val="0"/>
            <w:vAlign w:val="center"/>
          </w:tcPr>
          <w:p w14:paraId="0EA60DA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年平均</w:t>
            </w:r>
          </w:p>
        </w:tc>
        <w:tc>
          <w:tcPr>
            <w:tcW w:w="1033" w:type="pct"/>
            <w:tcBorders>
              <w:tl2br w:val="nil"/>
              <w:tr2bl w:val="nil"/>
            </w:tcBorders>
            <w:noWrap w:val="0"/>
            <w:vAlign w:val="center"/>
          </w:tcPr>
          <w:p w14:paraId="25171D9B">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60</w:t>
            </w:r>
            <w:r>
              <w:rPr>
                <w:rFonts w:ascii="Times New Roman" w:hAnsi="Times New Roman" w:eastAsia="宋体" w:cs="Times New Roman"/>
                <w:color w:val="auto"/>
                <w:highlight w:val="none"/>
              </w:rPr>
              <w:t>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5186CD46">
            <w:pPr>
              <w:pStyle w:val="1358"/>
              <w:rPr>
                <w:rFonts w:ascii="Times New Roman" w:hAnsi="Times New Roman" w:eastAsia="宋体" w:cs="Times New Roman"/>
                <w:color w:val="auto"/>
                <w:highlight w:val="none"/>
              </w:rPr>
            </w:pPr>
          </w:p>
        </w:tc>
      </w:tr>
      <w:tr w14:paraId="47C6B1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7C0163B6">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37E45A6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1B3C1A6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cs="Times New Roman"/>
                <w:color w:val="auto"/>
                <w:highlight w:val="none"/>
                <w:lang w:val="en-US" w:eastAsia="zh-CN"/>
              </w:rPr>
              <w:t>2</w:t>
            </w:r>
            <w:r>
              <w:rPr>
                <w:rFonts w:ascii="Times New Roman" w:hAnsi="Times New Roman" w:eastAsia="宋体" w:cs="Times New Roman"/>
                <w:color w:val="auto"/>
                <w:highlight w:val="none"/>
              </w:rPr>
              <w:t>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24351C27">
            <w:pPr>
              <w:pStyle w:val="1358"/>
              <w:rPr>
                <w:rFonts w:ascii="Times New Roman" w:hAnsi="Times New Roman" w:eastAsia="宋体" w:cs="Times New Roman"/>
                <w:color w:val="auto"/>
                <w:highlight w:val="none"/>
              </w:rPr>
            </w:pPr>
          </w:p>
        </w:tc>
      </w:tr>
      <w:tr w14:paraId="1BF0F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7FF8310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PM</w:t>
            </w:r>
            <w:r>
              <w:rPr>
                <w:rFonts w:ascii="Times New Roman" w:hAnsi="Times New Roman" w:eastAsia="宋体" w:cs="Times New Roman"/>
                <w:color w:val="auto"/>
                <w:highlight w:val="none"/>
                <w:vertAlign w:val="subscript"/>
              </w:rPr>
              <w:t>2.5</w:t>
            </w:r>
          </w:p>
        </w:tc>
        <w:tc>
          <w:tcPr>
            <w:tcW w:w="1280" w:type="pct"/>
            <w:tcBorders>
              <w:tl2br w:val="nil"/>
              <w:tr2bl w:val="nil"/>
            </w:tcBorders>
            <w:noWrap w:val="0"/>
            <w:vAlign w:val="center"/>
          </w:tcPr>
          <w:p w14:paraId="7BF81A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年平均</w:t>
            </w:r>
          </w:p>
        </w:tc>
        <w:tc>
          <w:tcPr>
            <w:tcW w:w="1033" w:type="pct"/>
            <w:tcBorders>
              <w:tl2br w:val="nil"/>
              <w:tr2bl w:val="nil"/>
            </w:tcBorders>
            <w:noWrap w:val="0"/>
            <w:vAlign w:val="center"/>
          </w:tcPr>
          <w:p w14:paraId="26037DF6">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30</w:t>
            </w:r>
            <w:r>
              <w:rPr>
                <w:rFonts w:ascii="Times New Roman" w:hAnsi="Times New Roman" w:eastAsia="宋体" w:cs="Times New Roman"/>
                <w:color w:val="auto"/>
                <w:highlight w:val="none"/>
              </w:rPr>
              <w:t>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7D0F1284">
            <w:pPr>
              <w:pStyle w:val="1358"/>
              <w:rPr>
                <w:rFonts w:ascii="Times New Roman" w:hAnsi="Times New Roman" w:eastAsia="宋体" w:cs="Times New Roman"/>
                <w:color w:val="auto"/>
                <w:highlight w:val="none"/>
              </w:rPr>
            </w:pPr>
          </w:p>
        </w:tc>
      </w:tr>
      <w:tr w14:paraId="53D13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323FD97D">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764342E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3D914E9A">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60</w:t>
            </w:r>
            <w:r>
              <w:rPr>
                <w:rFonts w:ascii="Times New Roman" w:hAnsi="Times New Roman" w:eastAsia="宋体" w:cs="Times New Roman"/>
                <w:color w:val="auto"/>
                <w:highlight w:val="none"/>
              </w:rPr>
              <w:t>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27F710B9">
            <w:pPr>
              <w:pStyle w:val="1358"/>
              <w:rPr>
                <w:rFonts w:ascii="Times New Roman" w:hAnsi="Times New Roman" w:eastAsia="宋体" w:cs="Times New Roman"/>
                <w:color w:val="auto"/>
                <w:highlight w:val="none"/>
              </w:rPr>
            </w:pPr>
          </w:p>
        </w:tc>
      </w:tr>
      <w:tr w14:paraId="5D5E4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5D445B5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O</w:t>
            </w:r>
            <w:r>
              <w:rPr>
                <w:rFonts w:ascii="Times New Roman" w:hAnsi="Times New Roman" w:eastAsia="宋体" w:cs="Times New Roman"/>
                <w:color w:val="auto"/>
                <w:highlight w:val="none"/>
                <w:vertAlign w:val="subscript"/>
              </w:rPr>
              <w:t>3</w:t>
            </w:r>
          </w:p>
        </w:tc>
        <w:tc>
          <w:tcPr>
            <w:tcW w:w="1280" w:type="pct"/>
            <w:tcBorders>
              <w:tl2br w:val="nil"/>
              <w:tr2bl w:val="nil"/>
            </w:tcBorders>
            <w:noWrap w:val="0"/>
            <w:vAlign w:val="center"/>
          </w:tcPr>
          <w:p w14:paraId="1280088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日最大8小时平均</w:t>
            </w:r>
          </w:p>
        </w:tc>
        <w:tc>
          <w:tcPr>
            <w:tcW w:w="1033" w:type="pct"/>
            <w:tcBorders>
              <w:tl2br w:val="nil"/>
              <w:tr2bl w:val="nil"/>
            </w:tcBorders>
            <w:noWrap w:val="0"/>
            <w:vAlign w:val="center"/>
          </w:tcPr>
          <w:p w14:paraId="40772EA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4D3F911D">
            <w:pPr>
              <w:pStyle w:val="1358"/>
              <w:rPr>
                <w:rFonts w:ascii="Times New Roman" w:hAnsi="Times New Roman" w:eastAsia="宋体" w:cs="Times New Roman"/>
                <w:color w:val="auto"/>
                <w:highlight w:val="none"/>
              </w:rPr>
            </w:pPr>
          </w:p>
        </w:tc>
      </w:tr>
      <w:tr w14:paraId="63B921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76629975">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688B334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1小时平均</w:t>
            </w:r>
          </w:p>
        </w:tc>
        <w:tc>
          <w:tcPr>
            <w:tcW w:w="1033" w:type="pct"/>
            <w:tcBorders>
              <w:tl2br w:val="nil"/>
              <w:tr2bl w:val="nil"/>
            </w:tcBorders>
            <w:noWrap w:val="0"/>
            <w:vAlign w:val="center"/>
          </w:tcPr>
          <w:p w14:paraId="0169AB8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3359F766">
            <w:pPr>
              <w:pStyle w:val="1358"/>
              <w:rPr>
                <w:rFonts w:ascii="Times New Roman" w:hAnsi="Times New Roman" w:eastAsia="宋体" w:cs="Times New Roman"/>
                <w:color w:val="auto"/>
                <w:highlight w:val="none"/>
              </w:rPr>
            </w:pPr>
          </w:p>
        </w:tc>
      </w:tr>
      <w:tr w14:paraId="2C47B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restart"/>
            <w:tcBorders>
              <w:tl2br w:val="nil"/>
              <w:tr2bl w:val="nil"/>
            </w:tcBorders>
            <w:noWrap w:val="0"/>
            <w:vAlign w:val="center"/>
          </w:tcPr>
          <w:p w14:paraId="5D50026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CO</w:t>
            </w:r>
          </w:p>
        </w:tc>
        <w:tc>
          <w:tcPr>
            <w:tcW w:w="1280" w:type="pct"/>
            <w:tcBorders>
              <w:tl2br w:val="nil"/>
              <w:tr2bl w:val="nil"/>
            </w:tcBorders>
            <w:noWrap w:val="0"/>
            <w:vAlign w:val="center"/>
          </w:tcPr>
          <w:p w14:paraId="34AFE0F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67975DA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4mg/m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3510B713">
            <w:pPr>
              <w:pStyle w:val="1358"/>
              <w:rPr>
                <w:rFonts w:ascii="Times New Roman" w:hAnsi="Times New Roman" w:eastAsia="宋体" w:cs="Times New Roman"/>
                <w:color w:val="auto"/>
                <w:highlight w:val="none"/>
              </w:rPr>
            </w:pPr>
          </w:p>
        </w:tc>
      </w:tr>
      <w:tr w14:paraId="3BF39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vMerge w:val="continue"/>
            <w:tcBorders>
              <w:tl2br w:val="nil"/>
              <w:tr2bl w:val="nil"/>
            </w:tcBorders>
            <w:noWrap w:val="0"/>
            <w:vAlign w:val="center"/>
          </w:tcPr>
          <w:p w14:paraId="450DB2FF">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52801EA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1小时平均</w:t>
            </w:r>
          </w:p>
        </w:tc>
        <w:tc>
          <w:tcPr>
            <w:tcW w:w="1033" w:type="pct"/>
            <w:tcBorders>
              <w:tl2br w:val="nil"/>
              <w:tr2bl w:val="nil"/>
            </w:tcBorders>
            <w:noWrap w:val="0"/>
            <w:vAlign w:val="center"/>
          </w:tcPr>
          <w:p w14:paraId="47E34D8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10mg/m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4B9326F0">
            <w:pPr>
              <w:pStyle w:val="1358"/>
              <w:rPr>
                <w:rFonts w:ascii="Times New Roman" w:hAnsi="Times New Roman" w:eastAsia="宋体" w:cs="Times New Roman"/>
                <w:color w:val="auto"/>
                <w:highlight w:val="none"/>
              </w:rPr>
            </w:pPr>
          </w:p>
        </w:tc>
      </w:tr>
      <w:tr w14:paraId="2D404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43" w:type="pct"/>
            <w:vMerge w:val="restart"/>
            <w:tcBorders>
              <w:tl2br w:val="nil"/>
              <w:tr2bl w:val="nil"/>
            </w:tcBorders>
            <w:noWrap w:val="0"/>
            <w:vAlign w:val="center"/>
          </w:tcPr>
          <w:p w14:paraId="714AA361">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总悬浮颗粒物（</w:t>
            </w:r>
            <w:r>
              <w:rPr>
                <w:rFonts w:hint="default" w:ascii="Times New Roman" w:hAnsi="Times New Roman" w:eastAsia="宋体" w:cs="Times New Roman"/>
                <w:color w:val="auto"/>
                <w:highlight w:val="none"/>
                <w:lang w:val="en-US" w:eastAsia="zh-CN"/>
              </w:rPr>
              <w:t>TSP</w:t>
            </w:r>
            <w:r>
              <w:rPr>
                <w:rFonts w:hint="eastAsia" w:ascii="Times New Roman" w:hAnsi="Times New Roman" w:eastAsia="宋体" w:cs="Times New Roman"/>
                <w:color w:val="auto"/>
                <w:highlight w:val="none"/>
                <w:lang w:val="en-US" w:eastAsia="zh-CN"/>
              </w:rPr>
              <w:t>）</w:t>
            </w:r>
          </w:p>
        </w:tc>
        <w:tc>
          <w:tcPr>
            <w:tcW w:w="1280" w:type="pct"/>
            <w:tcBorders>
              <w:tl2br w:val="nil"/>
              <w:tr2bl w:val="nil"/>
            </w:tcBorders>
            <w:noWrap w:val="0"/>
            <w:vAlign w:val="center"/>
          </w:tcPr>
          <w:p w14:paraId="55320620">
            <w:pPr>
              <w:pStyle w:val="1358"/>
              <w:ind w:firstLine="0" w:firstLineChars="0"/>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年平均</w:t>
            </w:r>
          </w:p>
        </w:tc>
        <w:tc>
          <w:tcPr>
            <w:tcW w:w="1033" w:type="pct"/>
            <w:tcBorders>
              <w:tl2br w:val="nil"/>
              <w:tr2bl w:val="nil"/>
            </w:tcBorders>
            <w:noWrap w:val="0"/>
            <w:vAlign w:val="center"/>
          </w:tcPr>
          <w:p w14:paraId="0F86BB3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200μg/m</w:t>
            </w:r>
            <w:r>
              <w:rPr>
                <w:rFonts w:ascii="Times New Roman" w:hAnsi="Times New Roman" w:eastAsia="宋体" w:cs="Times New Roman"/>
                <w:color w:val="auto"/>
                <w:highlight w:val="none"/>
                <w:vertAlign w:val="superscript"/>
              </w:rPr>
              <w:t>3</w:t>
            </w:r>
          </w:p>
        </w:tc>
        <w:tc>
          <w:tcPr>
            <w:tcW w:w="1943" w:type="pct"/>
            <w:vMerge w:val="restart"/>
            <w:tcBorders>
              <w:tl2br w:val="nil"/>
              <w:tr2bl w:val="nil"/>
            </w:tcBorders>
            <w:noWrap w:val="0"/>
            <w:vAlign w:val="center"/>
          </w:tcPr>
          <w:p w14:paraId="2ED6D0B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zh-CN"/>
              </w:rPr>
              <w:t>《环境空气质量标准》（GB3095-2026）</w:t>
            </w:r>
            <w:r>
              <w:rPr>
                <w:rFonts w:hint="eastAsia" w:ascii="Times New Roman" w:hAnsi="Times New Roman" w:eastAsia="宋体" w:cs="Times New Roman"/>
                <w:color w:val="auto"/>
                <w:highlight w:val="none"/>
                <w:lang w:val="en-US" w:eastAsia="zh-CN"/>
              </w:rPr>
              <w:t>中表2环境空气污染物其他项目浓度限值</w:t>
            </w:r>
          </w:p>
        </w:tc>
      </w:tr>
      <w:tr w14:paraId="7255C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43" w:type="pct"/>
            <w:vMerge w:val="continue"/>
            <w:tcBorders>
              <w:tl2br w:val="nil"/>
              <w:tr2bl w:val="nil"/>
            </w:tcBorders>
            <w:noWrap w:val="0"/>
            <w:vAlign w:val="center"/>
          </w:tcPr>
          <w:p w14:paraId="0F09A247">
            <w:pPr>
              <w:pStyle w:val="1358"/>
              <w:rPr>
                <w:rFonts w:ascii="Times New Roman" w:hAnsi="Times New Roman" w:eastAsia="宋体" w:cs="Times New Roman"/>
                <w:color w:val="auto"/>
                <w:highlight w:val="none"/>
              </w:rPr>
            </w:pPr>
          </w:p>
        </w:tc>
        <w:tc>
          <w:tcPr>
            <w:tcW w:w="1280" w:type="pct"/>
            <w:tcBorders>
              <w:tl2br w:val="nil"/>
              <w:tr2bl w:val="nil"/>
            </w:tcBorders>
            <w:noWrap w:val="0"/>
            <w:vAlign w:val="center"/>
          </w:tcPr>
          <w:p w14:paraId="14650BC3">
            <w:pPr>
              <w:pStyle w:val="1358"/>
              <w:ind w:firstLine="0" w:firstLineChars="0"/>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24小时平均</w:t>
            </w:r>
          </w:p>
        </w:tc>
        <w:tc>
          <w:tcPr>
            <w:tcW w:w="1033" w:type="pct"/>
            <w:tcBorders>
              <w:tl2br w:val="nil"/>
              <w:tr2bl w:val="nil"/>
            </w:tcBorders>
            <w:noWrap w:val="0"/>
            <w:vAlign w:val="center"/>
          </w:tcPr>
          <w:p w14:paraId="1D90683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ascii="Times New Roman" w:hAnsi="Times New Roman" w:eastAsia="宋体" w:cs="Times New Roman"/>
                <w:color w:val="auto"/>
                <w:highlight w:val="none"/>
              </w:rPr>
              <w:t>00μg/m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56D7433F">
            <w:pPr>
              <w:pStyle w:val="1358"/>
              <w:rPr>
                <w:rFonts w:hint="eastAsia" w:ascii="Times New Roman" w:hAnsi="Times New Roman" w:eastAsia="宋体" w:cs="Times New Roman"/>
                <w:color w:val="auto"/>
                <w:highlight w:val="none"/>
                <w:lang w:val="en-US" w:eastAsia="zh-CN"/>
              </w:rPr>
            </w:pPr>
          </w:p>
        </w:tc>
      </w:tr>
      <w:tr w14:paraId="2EC0A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tcBorders>
              <w:tl2br w:val="nil"/>
              <w:tr2bl w:val="nil"/>
            </w:tcBorders>
            <w:noWrap w:val="0"/>
            <w:vAlign w:val="center"/>
          </w:tcPr>
          <w:p w14:paraId="4F295D9B">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非甲烷总烃</w:t>
            </w:r>
          </w:p>
        </w:tc>
        <w:tc>
          <w:tcPr>
            <w:tcW w:w="1280" w:type="pct"/>
            <w:tcBorders>
              <w:tl2br w:val="nil"/>
              <w:tr2bl w:val="nil"/>
            </w:tcBorders>
            <w:noWrap w:val="0"/>
            <w:vAlign w:val="center"/>
          </w:tcPr>
          <w:p w14:paraId="0AAB50F3">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一次值</w:t>
            </w:r>
          </w:p>
        </w:tc>
        <w:tc>
          <w:tcPr>
            <w:tcW w:w="1033" w:type="pct"/>
            <w:tcBorders>
              <w:tl2br w:val="nil"/>
              <w:tr2bl w:val="nil"/>
            </w:tcBorders>
            <w:noWrap w:val="0"/>
            <w:vAlign w:val="center"/>
          </w:tcPr>
          <w:p w14:paraId="0FA1BAB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2.0mg/m</w:t>
            </w:r>
            <w:r>
              <w:rPr>
                <w:rFonts w:ascii="Times New Roman" w:hAnsi="Times New Roman" w:eastAsia="宋体" w:cs="Times New Roman"/>
                <w:color w:val="auto"/>
                <w:highlight w:val="none"/>
                <w:vertAlign w:val="superscript"/>
              </w:rPr>
              <w:t>3</w:t>
            </w:r>
          </w:p>
        </w:tc>
        <w:tc>
          <w:tcPr>
            <w:tcW w:w="1943" w:type="pct"/>
            <w:tcBorders>
              <w:tl2br w:val="nil"/>
              <w:tr2bl w:val="nil"/>
            </w:tcBorders>
            <w:noWrap w:val="0"/>
            <w:vAlign w:val="center"/>
          </w:tcPr>
          <w:p w14:paraId="3EBBBD8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《大气污染物综合排放标准详解》</w:t>
            </w:r>
          </w:p>
        </w:tc>
      </w:tr>
      <w:tr w14:paraId="1CE3A4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tcBorders>
              <w:tl2br w:val="nil"/>
              <w:tr2bl w:val="nil"/>
            </w:tcBorders>
            <w:noWrap w:val="0"/>
            <w:vAlign w:val="center"/>
          </w:tcPr>
          <w:p w14:paraId="08CD2922">
            <w:pPr>
              <w:pStyle w:val="1358"/>
              <w:ind w:firstLine="0" w:firstLineChars="0"/>
              <w:rPr>
                <w:rFonts w:ascii="Times New Roman" w:hAnsi="Times New Roman" w:eastAsia="宋体" w:cs="Times New Roman"/>
                <w:color w:val="auto"/>
                <w:highlight w:val="none"/>
                <w:lang w:bidi="ar"/>
              </w:rPr>
            </w:pPr>
            <w:r>
              <w:rPr>
                <w:rFonts w:hint="eastAsia" w:ascii="Times New Roman" w:hAnsi="Times New Roman" w:eastAsia="宋体" w:cs="Times New Roman"/>
                <w:color w:val="auto"/>
                <w:highlight w:val="none"/>
                <w:lang w:val="en-US" w:eastAsia="zh-CN" w:bidi="ar"/>
              </w:rPr>
              <w:t>TVOC</w:t>
            </w:r>
          </w:p>
        </w:tc>
        <w:tc>
          <w:tcPr>
            <w:tcW w:w="1280" w:type="pct"/>
            <w:tcBorders>
              <w:tl2br w:val="nil"/>
              <w:tr2bl w:val="nil"/>
            </w:tcBorders>
            <w:noWrap w:val="0"/>
            <w:vAlign w:val="center"/>
          </w:tcPr>
          <w:p w14:paraId="542977A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8小时平均</w:t>
            </w:r>
          </w:p>
        </w:tc>
        <w:tc>
          <w:tcPr>
            <w:tcW w:w="1033" w:type="pct"/>
            <w:tcBorders>
              <w:tl2br w:val="nil"/>
              <w:tr2bl w:val="nil"/>
            </w:tcBorders>
            <w:noWrap w:val="0"/>
            <w:vAlign w:val="center"/>
          </w:tcPr>
          <w:p w14:paraId="4C00D473">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0.6</w:t>
            </w:r>
            <w:r>
              <w:rPr>
                <w:rFonts w:ascii="Times New Roman" w:hAnsi="Times New Roman" w:eastAsia="宋体" w:cs="Times New Roman"/>
                <w:color w:val="auto"/>
                <w:highlight w:val="none"/>
              </w:rPr>
              <w:t>mg/m</w:t>
            </w:r>
            <w:r>
              <w:rPr>
                <w:rFonts w:ascii="Times New Roman" w:hAnsi="Times New Roman" w:eastAsia="宋体" w:cs="Times New Roman"/>
                <w:color w:val="auto"/>
                <w:highlight w:val="none"/>
                <w:vertAlign w:val="superscript"/>
              </w:rPr>
              <w:t>3</w:t>
            </w:r>
          </w:p>
        </w:tc>
        <w:tc>
          <w:tcPr>
            <w:tcW w:w="1943" w:type="pct"/>
            <w:vMerge w:val="restart"/>
            <w:tcBorders>
              <w:tl2br w:val="nil"/>
              <w:tr2bl w:val="nil"/>
            </w:tcBorders>
            <w:noWrap w:val="0"/>
            <w:vAlign w:val="center"/>
          </w:tcPr>
          <w:p w14:paraId="1D6FFFE8">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环境影响</w:t>
            </w:r>
            <w:r>
              <w:rPr>
                <w:rFonts w:hint="eastAsia" w:ascii="Times New Roman" w:hAnsi="Times New Roman" w:eastAsia="宋体" w:cs="Times New Roman"/>
                <w:color w:val="auto"/>
                <w:highlight w:val="none"/>
              </w:rPr>
              <w:t>评价技术导则</w:t>
            </w:r>
            <w:r>
              <w:rPr>
                <w:rFonts w:hint="eastAsia" w:cs="Times New Roman"/>
                <w:color w:val="auto"/>
                <w:highlight w:val="none"/>
                <w:lang w:eastAsia="zh-CN"/>
              </w:rPr>
              <w:t xml:space="preserve"> </w:t>
            </w:r>
            <w:r>
              <w:rPr>
                <w:rFonts w:hint="eastAsia" w:ascii="Times New Roman" w:hAnsi="Times New Roman" w:eastAsia="宋体" w:cs="Times New Roman"/>
                <w:color w:val="auto"/>
                <w:highlight w:val="none"/>
              </w:rPr>
              <w:t>大气环境》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附录D表D.1其他污染物</w:t>
            </w:r>
            <w:r>
              <w:rPr>
                <w:rFonts w:hint="eastAsia" w:ascii="Times New Roman" w:hAnsi="Times New Roman" w:eastAsia="宋体" w:cs="Times New Roman"/>
                <w:color w:val="auto"/>
                <w:highlight w:val="none"/>
                <w:lang w:eastAsia="zh-CN"/>
              </w:rPr>
              <w:t>空气质量</w:t>
            </w:r>
            <w:r>
              <w:rPr>
                <w:rFonts w:hint="eastAsia" w:ascii="Times New Roman" w:hAnsi="Times New Roman" w:eastAsia="宋体" w:cs="Times New Roman"/>
                <w:color w:val="auto"/>
                <w:highlight w:val="none"/>
              </w:rPr>
              <w:t>浓度参考限值</w:t>
            </w:r>
          </w:p>
        </w:tc>
      </w:tr>
      <w:tr w14:paraId="3DF7DB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3" w:type="pct"/>
            <w:tcBorders>
              <w:tl2br w:val="nil"/>
              <w:tr2bl w:val="nil"/>
            </w:tcBorders>
            <w:noWrap w:val="0"/>
            <w:vAlign w:val="center"/>
          </w:tcPr>
          <w:p w14:paraId="6BF838B9">
            <w:pPr>
              <w:pStyle w:val="1358"/>
              <w:ind w:firstLine="0" w:firstLineChars="0"/>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二甲苯</w:t>
            </w:r>
          </w:p>
        </w:tc>
        <w:tc>
          <w:tcPr>
            <w:tcW w:w="1280" w:type="pct"/>
            <w:tcBorders>
              <w:tl2br w:val="nil"/>
              <w:tr2bl w:val="nil"/>
            </w:tcBorders>
            <w:noWrap w:val="0"/>
            <w:vAlign w:val="center"/>
          </w:tcPr>
          <w:p w14:paraId="6AC72B53">
            <w:pPr>
              <w:pStyle w:val="1358"/>
              <w:ind w:firstLine="0" w:firstLineChars="0"/>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1小时平均</w:t>
            </w:r>
          </w:p>
        </w:tc>
        <w:tc>
          <w:tcPr>
            <w:tcW w:w="1033" w:type="pct"/>
            <w:tcBorders>
              <w:tl2br w:val="nil"/>
              <w:tr2bl w:val="nil"/>
            </w:tcBorders>
            <w:noWrap w:val="0"/>
            <w:vAlign w:val="center"/>
          </w:tcPr>
          <w:p w14:paraId="47397759">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0.2</w:t>
            </w:r>
            <w:r>
              <w:rPr>
                <w:rFonts w:ascii="Times New Roman" w:hAnsi="Times New Roman" w:eastAsia="宋体" w:cs="Times New Roman"/>
                <w:color w:val="auto"/>
                <w:highlight w:val="none"/>
              </w:rPr>
              <w:t>mg/m</w:t>
            </w:r>
            <w:r>
              <w:rPr>
                <w:rFonts w:ascii="Times New Roman" w:hAnsi="Times New Roman" w:eastAsia="宋体" w:cs="Times New Roman"/>
                <w:color w:val="auto"/>
                <w:highlight w:val="none"/>
                <w:vertAlign w:val="superscript"/>
              </w:rPr>
              <w:t>3</w:t>
            </w:r>
          </w:p>
        </w:tc>
        <w:tc>
          <w:tcPr>
            <w:tcW w:w="1943" w:type="pct"/>
            <w:vMerge w:val="continue"/>
            <w:tcBorders>
              <w:tl2br w:val="nil"/>
              <w:tr2bl w:val="nil"/>
            </w:tcBorders>
            <w:noWrap w:val="0"/>
            <w:vAlign w:val="center"/>
          </w:tcPr>
          <w:p w14:paraId="3F79DF52">
            <w:pPr>
              <w:pStyle w:val="1358"/>
              <w:ind w:firstLine="0" w:firstLineChars="0"/>
              <w:rPr>
                <w:rFonts w:hint="eastAsia" w:ascii="Times New Roman" w:hAnsi="Times New Roman" w:eastAsia="宋体" w:cs="Times New Roman"/>
                <w:color w:val="auto"/>
                <w:highlight w:val="none"/>
              </w:rPr>
            </w:pPr>
          </w:p>
        </w:tc>
      </w:tr>
    </w:tbl>
    <w:p w14:paraId="7A38D4A1">
      <w:pPr>
        <w:pStyle w:val="4"/>
        <w:numPr>
          <w:ilvl w:val="2"/>
          <w:numId w:val="0"/>
        </w:numPr>
        <w:tabs>
          <w:tab w:val="clear" w:pos="720"/>
        </w:tabs>
        <w:bidi w:val="0"/>
        <w:rPr>
          <w:color w:val="auto"/>
          <w:highlight w:val="none"/>
        </w:rPr>
      </w:pPr>
      <w:bookmarkStart w:id="257" w:name="_Toc8323"/>
      <w:r>
        <w:rPr>
          <w:color w:val="auto"/>
          <w:highlight w:val="none"/>
        </w:rPr>
        <w:t>2.3.3</w:t>
      </w:r>
      <w:r>
        <w:rPr>
          <w:rFonts w:hint="eastAsia"/>
          <w:color w:val="auto"/>
          <w:highlight w:val="none"/>
          <w:lang w:val="en-US" w:eastAsia="zh-CN"/>
        </w:rPr>
        <w:t xml:space="preserve"> </w:t>
      </w:r>
      <w:r>
        <w:rPr>
          <w:color w:val="auto"/>
          <w:highlight w:val="none"/>
        </w:rPr>
        <w:t>声环境功能区划及质量标准</w:t>
      </w:r>
      <w:bookmarkEnd w:id="257"/>
    </w:p>
    <w:p w14:paraId="509DE190">
      <w:pPr>
        <w:pStyle w:val="1336"/>
        <w:ind w:firstLine="480"/>
        <w:rPr>
          <w:rFonts w:ascii="Times New Roman" w:hAnsi="Times New Roman" w:eastAsia="宋体" w:cs="Times New Roman"/>
          <w:color w:val="auto"/>
          <w:highlight w:val="none"/>
          <w:lang w:val="en-GB"/>
        </w:rPr>
      </w:pPr>
      <w:r>
        <w:rPr>
          <w:rFonts w:hint="eastAsia" w:ascii="Times New Roman" w:hAnsi="Times New Roman" w:eastAsia="宋体" w:cs="Times New Roman"/>
          <w:color w:val="auto"/>
          <w:highlight w:val="none"/>
          <w:lang w:val="en-GB"/>
        </w:rPr>
        <w:t>根据《福州市城区声环境功能区划图（2021）》（详见附图</w:t>
      </w: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val="en-GB"/>
        </w:rPr>
        <w:t>），项目所在区域划为3类功能区，</w:t>
      </w:r>
      <w:r>
        <w:rPr>
          <w:rFonts w:ascii="Times New Roman" w:hAnsi="Times New Roman" w:eastAsia="宋体" w:cs="Times New Roman"/>
          <w:color w:val="auto"/>
          <w:highlight w:val="none"/>
          <w:lang w:val="en-GB"/>
        </w:rPr>
        <w:t>执行《声环境质量标准》</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val="en-GB"/>
        </w:rPr>
        <w:t>GB3096</w:t>
      </w:r>
      <w:r>
        <w:rPr>
          <w:rFonts w:ascii="Times New Roman" w:hAnsi="Times New Roman" w:eastAsia="宋体" w:cs="Times New Roman"/>
          <w:color w:val="auto"/>
          <w:highlight w:val="none"/>
        </w:rPr>
        <w:t>-</w:t>
      </w:r>
      <w:r>
        <w:rPr>
          <w:rFonts w:ascii="Times New Roman" w:hAnsi="Times New Roman" w:eastAsia="宋体" w:cs="Times New Roman"/>
          <w:color w:val="auto"/>
          <w:highlight w:val="none"/>
          <w:lang w:val="en-GB"/>
        </w:rPr>
        <w:t>2008</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val="en-GB"/>
        </w:rPr>
        <w:t>中3类标准</w:t>
      </w:r>
      <w:r>
        <w:rPr>
          <w:rFonts w:hint="eastAsia" w:cs="Times New Roman"/>
          <w:color w:val="auto"/>
          <w:highlight w:val="none"/>
          <w:lang w:val="en-GB" w:eastAsia="zh-CN"/>
        </w:rPr>
        <w:t>；</w:t>
      </w:r>
      <w:r>
        <w:rPr>
          <w:rFonts w:hint="eastAsia" w:cs="Times New Roman"/>
          <w:color w:val="auto"/>
          <w:highlight w:val="none"/>
          <w:lang w:val="en-US" w:eastAsia="zh-CN"/>
        </w:rPr>
        <w:t>其中，项目东南侧距祥宏南路约30m执行《声环境质量标准》（GB3096-2008）中4a类标准</w:t>
      </w:r>
      <w:r>
        <w:rPr>
          <w:rFonts w:hint="eastAsia" w:ascii="Times New Roman" w:hAnsi="Times New Roman" w:eastAsia="宋体" w:cs="Times New Roman"/>
          <w:color w:val="auto"/>
          <w:highlight w:val="none"/>
          <w:lang w:val="en-GB" w:eastAsia="zh-CN"/>
        </w:rPr>
        <w:t>，</w:t>
      </w:r>
      <w:r>
        <w:rPr>
          <w:rFonts w:hint="eastAsia" w:ascii="Times New Roman" w:hAnsi="Times New Roman" w:eastAsia="宋体" w:cs="Times New Roman"/>
          <w:color w:val="auto"/>
          <w:highlight w:val="none"/>
          <w:lang w:val="en-US" w:eastAsia="zh-CN"/>
        </w:rPr>
        <w:t>标准</w:t>
      </w:r>
      <w:r>
        <w:rPr>
          <w:rFonts w:ascii="Times New Roman" w:hAnsi="Times New Roman" w:eastAsia="宋体" w:cs="Times New Roman"/>
          <w:color w:val="auto"/>
          <w:highlight w:val="none"/>
          <w:lang w:val="en-GB"/>
        </w:rPr>
        <w:t>详见表2.3-3。</w:t>
      </w:r>
    </w:p>
    <w:p w14:paraId="002630C4">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表2.3-3</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GB"/>
        </w:rPr>
        <w:t>《声环境质量标准》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GB"/>
        </w:rPr>
        <w:t>GB3096</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GB"/>
        </w:rPr>
        <w:t>2008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摘录</w:t>
      </w:r>
      <w:r>
        <w:rPr>
          <w:rFonts w:hint="default" w:ascii="Times New Roman" w:hAnsi="Times New Roman" w:cs="Times New Roman"/>
          <w:color w:val="auto"/>
          <w:highlight w:val="none"/>
          <w:lang w:eastAsia="zh-CN"/>
        </w:rPr>
        <w:t>）</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3023"/>
        <w:gridCol w:w="3921"/>
      </w:tblGrid>
      <w:tr w14:paraId="5C5E92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9" w:type="pct"/>
            <w:tcBorders>
              <w:tl2br w:val="nil"/>
              <w:tr2bl w:val="nil"/>
            </w:tcBorders>
            <w:noWrap w:val="0"/>
            <w:vAlign w:val="center"/>
          </w:tcPr>
          <w:p w14:paraId="7F095C59">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类别</w:t>
            </w:r>
          </w:p>
        </w:tc>
        <w:tc>
          <w:tcPr>
            <w:tcW w:w="4070" w:type="pct"/>
            <w:gridSpan w:val="2"/>
            <w:tcBorders>
              <w:tl2br w:val="nil"/>
              <w:tr2bl w:val="nil"/>
            </w:tcBorders>
            <w:noWrap w:val="0"/>
            <w:vAlign w:val="center"/>
          </w:tcPr>
          <w:p w14:paraId="2D8AD0CB">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标准限值</w:t>
            </w:r>
          </w:p>
        </w:tc>
      </w:tr>
      <w:tr w14:paraId="547B8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9" w:type="pct"/>
            <w:vMerge w:val="restart"/>
            <w:tcBorders>
              <w:tl2br w:val="nil"/>
              <w:tr2bl w:val="nil"/>
            </w:tcBorders>
            <w:noWrap w:val="0"/>
            <w:vAlign w:val="center"/>
          </w:tcPr>
          <w:p w14:paraId="074CC099">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3类</w:t>
            </w:r>
          </w:p>
        </w:tc>
        <w:tc>
          <w:tcPr>
            <w:tcW w:w="1772" w:type="pct"/>
            <w:tcBorders>
              <w:tl2br w:val="nil"/>
              <w:tr2bl w:val="nil"/>
            </w:tcBorders>
            <w:noWrap w:val="0"/>
            <w:vAlign w:val="center"/>
          </w:tcPr>
          <w:p w14:paraId="0CC366A0">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昼间</w:t>
            </w:r>
          </w:p>
        </w:tc>
        <w:tc>
          <w:tcPr>
            <w:tcW w:w="2298" w:type="pct"/>
            <w:tcBorders>
              <w:tl2br w:val="nil"/>
              <w:tr2bl w:val="nil"/>
            </w:tcBorders>
            <w:noWrap w:val="0"/>
            <w:vAlign w:val="center"/>
          </w:tcPr>
          <w:p w14:paraId="4CF356B4">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65dB</w:t>
            </w:r>
            <w:r>
              <w:rPr>
                <w:rFonts w:hint="eastAsia" w:cs="Times New Roman"/>
                <w:color w:val="auto"/>
                <w:highlight w:val="none"/>
                <w:lang w:eastAsia="zh-CN" w:bidi="ar"/>
              </w:rPr>
              <w:t>(</w:t>
            </w:r>
            <w:r>
              <w:rPr>
                <w:rFonts w:ascii="Times New Roman" w:hAnsi="Times New Roman" w:eastAsia="宋体" w:cs="Times New Roman"/>
                <w:color w:val="auto"/>
                <w:highlight w:val="none"/>
                <w:lang w:bidi="ar"/>
              </w:rPr>
              <w:t>A</w:t>
            </w:r>
            <w:r>
              <w:rPr>
                <w:rFonts w:hint="eastAsia" w:cs="Times New Roman"/>
                <w:color w:val="auto"/>
                <w:highlight w:val="none"/>
                <w:lang w:eastAsia="zh-CN" w:bidi="ar"/>
              </w:rPr>
              <w:t>)</w:t>
            </w:r>
          </w:p>
        </w:tc>
      </w:tr>
      <w:tr w14:paraId="2D7BA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9" w:type="pct"/>
            <w:vMerge w:val="continue"/>
            <w:tcBorders>
              <w:tl2br w:val="nil"/>
              <w:tr2bl w:val="nil"/>
            </w:tcBorders>
            <w:noWrap w:val="0"/>
            <w:vAlign w:val="center"/>
          </w:tcPr>
          <w:p w14:paraId="7795C5D6">
            <w:pPr>
              <w:pStyle w:val="1358"/>
              <w:rPr>
                <w:rFonts w:ascii="Times New Roman" w:hAnsi="Times New Roman" w:eastAsia="宋体" w:cs="Times New Roman"/>
                <w:color w:val="auto"/>
                <w:highlight w:val="none"/>
                <w:lang w:bidi="ar"/>
              </w:rPr>
            </w:pPr>
          </w:p>
        </w:tc>
        <w:tc>
          <w:tcPr>
            <w:tcW w:w="1772" w:type="pct"/>
            <w:tcBorders>
              <w:tl2br w:val="nil"/>
              <w:tr2bl w:val="nil"/>
            </w:tcBorders>
            <w:noWrap w:val="0"/>
            <w:vAlign w:val="center"/>
          </w:tcPr>
          <w:p w14:paraId="0D99A8D5">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夜间</w:t>
            </w:r>
          </w:p>
        </w:tc>
        <w:tc>
          <w:tcPr>
            <w:tcW w:w="2298" w:type="pct"/>
            <w:tcBorders>
              <w:tl2br w:val="nil"/>
              <w:tr2bl w:val="nil"/>
            </w:tcBorders>
            <w:noWrap w:val="0"/>
            <w:vAlign w:val="center"/>
          </w:tcPr>
          <w:p w14:paraId="1F116B85">
            <w:pPr>
              <w:pStyle w:val="1358"/>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55dB</w:t>
            </w:r>
            <w:r>
              <w:rPr>
                <w:rFonts w:hint="eastAsia" w:cs="Times New Roman"/>
                <w:color w:val="auto"/>
                <w:highlight w:val="none"/>
                <w:lang w:eastAsia="zh-CN" w:bidi="ar"/>
              </w:rPr>
              <w:t>(</w:t>
            </w:r>
            <w:r>
              <w:rPr>
                <w:rFonts w:ascii="Times New Roman" w:hAnsi="Times New Roman" w:eastAsia="宋体" w:cs="Times New Roman"/>
                <w:color w:val="auto"/>
                <w:highlight w:val="none"/>
                <w:lang w:bidi="ar"/>
              </w:rPr>
              <w:t>A</w:t>
            </w:r>
            <w:r>
              <w:rPr>
                <w:rFonts w:hint="eastAsia" w:cs="Times New Roman"/>
                <w:color w:val="auto"/>
                <w:highlight w:val="none"/>
                <w:lang w:eastAsia="zh-CN" w:bidi="ar"/>
              </w:rPr>
              <w:t>)</w:t>
            </w:r>
          </w:p>
        </w:tc>
      </w:tr>
      <w:tr w14:paraId="070BA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9" w:type="pct"/>
            <w:vMerge w:val="restart"/>
            <w:tcBorders>
              <w:tl2br w:val="nil"/>
              <w:tr2bl w:val="nil"/>
            </w:tcBorders>
            <w:noWrap w:val="0"/>
            <w:vAlign w:val="center"/>
          </w:tcPr>
          <w:p w14:paraId="6025F5C9">
            <w:pPr>
              <w:pStyle w:val="1358"/>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4a类</w:t>
            </w:r>
          </w:p>
        </w:tc>
        <w:tc>
          <w:tcPr>
            <w:tcW w:w="3023" w:type="dxa"/>
            <w:tcBorders>
              <w:tl2br w:val="nil"/>
              <w:tr2bl w:val="nil"/>
            </w:tcBorders>
            <w:noWrap w:val="0"/>
            <w:vAlign w:val="center"/>
          </w:tcPr>
          <w:p w14:paraId="5AF73784">
            <w:pPr>
              <w:pStyle w:val="1358"/>
              <w:ind w:firstLine="0" w:firstLineChars="0"/>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昼间</w:t>
            </w:r>
          </w:p>
        </w:tc>
        <w:tc>
          <w:tcPr>
            <w:tcW w:w="3921" w:type="dxa"/>
            <w:tcBorders>
              <w:tl2br w:val="nil"/>
              <w:tr2bl w:val="nil"/>
            </w:tcBorders>
            <w:noWrap w:val="0"/>
            <w:vAlign w:val="center"/>
          </w:tcPr>
          <w:p w14:paraId="53CB2C66">
            <w:pPr>
              <w:pStyle w:val="1358"/>
              <w:ind w:firstLine="0" w:firstLineChars="0"/>
              <w:rPr>
                <w:rFonts w:ascii="Times New Roman" w:hAnsi="Times New Roman" w:eastAsia="宋体" w:cs="Times New Roman"/>
                <w:color w:val="auto"/>
                <w:highlight w:val="none"/>
                <w:lang w:bidi="ar"/>
              </w:rPr>
            </w:pPr>
            <w:r>
              <w:rPr>
                <w:rFonts w:hint="eastAsia" w:ascii="Times New Roman" w:hAnsi="Times New Roman" w:eastAsia="宋体" w:cs="Times New Roman"/>
                <w:color w:val="auto"/>
                <w:highlight w:val="none"/>
                <w:lang w:val="en-US" w:eastAsia="zh-CN" w:bidi="ar"/>
              </w:rPr>
              <w:t>70</w:t>
            </w:r>
            <w:r>
              <w:rPr>
                <w:rFonts w:ascii="Times New Roman" w:hAnsi="Times New Roman" w:eastAsia="宋体" w:cs="Times New Roman"/>
                <w:color w:val="auto"/>
                <w:highlight w:val="none"/>
                <w:lang w:bidi="ar"/>
              </w:rPr>
              <w:t>dB</w:t>
            </w:r>
            <w:r>
              <w:rPr>
                <w:rFonts w:hint="eastAsia" w:cs="Times New Roman"/>
                <w:color w:val="auto"/>
                <w:highlight w:val="none"/>
                <w:lang w:eastAsia="zh-CN" w:bidi="ar"/>
              </w:rPr>
              <w:t>(</w:t>
            </w:r>
            <w:r>
              <w:rPr>
                <w:rFonts w:ascii="Times New Roman" w:hAnsi="Times New Roman" w:eastAsia="宋体" w:cs="Times New Roman"/>
                <w:color w:val="auto"/>
                <w:highlight w:val="none"/>
                <w:lang w:bidi="ar"/>
              </w:rPr>
              <w:t>A</w:t>
            </w:r>
            <w:r>
              <w:rPr>
                <w:rFonts w:hint="eastAsia" w:cs="Times New Roman"/>
                <w:color w:val="auto"/>
                <w:highlight w:val="none"/>
                <w:lang w:eastAsia="zh-CN" w:bidi="ar"/>
              </w:rPr>
              <w:t>)</w:t>
            </w:r>
          </w:p>
        </w:tc>
      </w:tr>
      <w:tr w14:paraId="3C1BC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9" w:type="pct"/>
            <w:vMerge w:val="continue"/>
            <w:tcBorders>
              <w:tl2br w:val="nil"/>
              <w:tr2bl w:val="nil"/>
            </w:tcBorders>
            <w:noWrap w:val="0"/>
            <w:vAlign w:val="center"/>
          </w:tcPr>
          <w:p w14:paraId="695772A0">
            <w:pPr>
              <w:pStyle w:val="1358"/>
              <w:rPr>
                <w:rFonts w:ascii="Times New Roman" w:hAnsi="Times New Roman" w:eastAsia="宋体" w:cs="Times New Roman"/>
                <w:color w:val="auto"/>
                <w:highlight w:val="none"/>
                <w:lang w:bidi="ar"/>
              </w:rPr>
            </w:pPr>
          </w:p>
        </w:tc>
        <w:tc>
          <w:tcPr>
            <w:tcW w:w="3023" w:type="dxa"/>
            <w:tcBorders>
              <w:tl2br w:val="nil"/>
              <w:tr2bl w:val="nil"/>
            </w:tcBorders>
            <w:noWrap w:val="0"/>
            <w:vAlign w:val="center"/>
          </w:tcPr>
          <w:p w14:paraId="13D3EA65">
            <w:pPr>
              <w:pStyle w:val="1358"/>
              <w:ind w:firstLine="0" w:firstLineChars="0"/>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夜间</w:t>
            </w:r>
          </w:p>
        </w:tc>
        <w:tc>
          <w:tcPr>
            <w:tcW w:w="3921" w:type="dxa"/>
            <w:tcBorders>
              <w:tl2br w:val="nil"/>
              <w:tr2bl w:val="nil"/>
            </w:tcBorders>
            <w:noWrap w:val="0"/>
            <w:vAlign w:val="center"/>
          </w:tcPr>
          <w:p w14:paraId="597DBCE1">
            <w:pPr>
              <w:pStyle w:val="1358"/>
              <w:ind w:firstLine="0" w:firstLineChars="0"/>
              <w:rPr>
                <w:rFonts w:ascii="Times New Roman" w:hAnsi="Times New Roman" w:eastAsia="宋体" w:cs="Times New Roman"/>
                <w:color w:val="auto"/>
                <w:highlight w:val="none"/>
                <w:lang w:bidi="ar"/>
              </w:rPr>
            </w:pPr>
            <w:r>
              <w:rPr>
                <w:rFonts w:ascii="Times New Roman" w:hAnsi="Times New Roman" w:eastAsia="宋体" w:cs="Times New Roman"/>
                <w:color w:val="auto"/>
                <w:highlight w:val="none"/>
                <w:lang w:bidi="ar"/>
              </w:rPr>
              <w:t>55dB</w:t>
            </w:r>
            <w:r>
              <w:rPr>
                <w:rFonts w:hint="eastAsia" w:cs="Times New Roman"/>
                <w:color w:val="auto"/>
                <w:highlight w:val="none"/>
                <w:lang w:eastAsia="zh-CN" w:bidi="ar"/>
              </w:rPr>
              <w:t>(</w:t>
            </w:r>
            <w:r>
              <w:rPr>
                <w:rFonts w:ascii="Times New Roman" w:hAnsi="Times New Roman" w:eastAsia="宋体" w:cs="Times New Roman"/>
                <w:color w:val="auto"/>
                <w:highlight w:val="none"/>
                <w:lang w:bidi="ar"/>
              </w:rPr>
              <w:t>A</w:t>
            </w:r>
            <w:r>
              <w:rPr>
                <w:rFonts w:hint="eastAsia" w:cs="Times New Roman"/>
                <w:color w:val="auto"/>
                <w:highlight w:val="none"/>
                <w:lang w:eastAsia="zh-CN" w:bidi="ar"/>
              </w:rPr>
              <w:t>)</w:t>
            </w:r>
          </w:p>
        </w:tc>
      </w:tr>
    </w:tbl>
    <w:p w14:paraId="63DF2D8B">
      <w:pPr>
        <w:pStyle w:val="4"/>
        <w:numPr>
          <w:ilvl w:val="2"/>
          <w:numId w:val="0"/>
        </w:numPr>
        <w:tabs>
          <w:tab w:val="clear" w:pos="720"/>
        </w:tabs>
        <w:bidi w:val="0"/>
        <w:rPr>
          <w:color w:val="auto"/>
          <w:highlight w:val="none"/>
        </w:rPr>
      </w:pPr>
      <w:bookmarkStart w:id="258" w:name="_Toc30327"/>
      <w:r>
        <w:rPr>
          <w:color w:val="auto"/>
          <w:highlight w:val="none"/>
        </w:rPr>
        <w:t>2.3.4</w:t>
      </w:r>
      <w:r>
        <w:rPr>
          <w:rFonts w:hint="eastAsia"/>
          <w:color w:val="auto"/>
          <w:highlight w:val="none"/>
          <w:lang w:val="en-US" w:eastAsia="zh-CN"/>
        </w:rPr>
        <w:t xml:space="preserve"> </w:t>
      </w:r>
      <w:r>
        <w:rPr>
          <w:color w:val="auto"/>
          <w:highlight w:val="none"/>
        </w:rPr>
        <w:t>地下水环境功能区划及质量标准</w:t>
      </w:r>
      <w:bookmarkEnd w:id="258"/>
    </w:p>
    <w:p w14:paraId="0A97F494">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项目区域地下水没有进行功能分区，依据我国地下水水质现状、人体健康基准值及地下水质量保护目标，并参照生活饮用水、工业用水水质要求，评价区域地下水水质执行《地下水质量标准》（GB/</w:t>
      </w:r>
      <w:r>
        <w:rPr>
          <w:rFonts w:hint="eastAsia" w:ascii="Times New Roman" w:hAnsi="Times New Roman" w:eastAsia="宋体" w:cs="Times New Roman"/>
          <w:color w:val="auto"/>
          <w:highlight w:val="none"/>
          <w:lang w:eastAsia="zh-CN"/>
        </w:rPr>
        <w:t>T 14848</w:t>
      </w:r>
      <w:r>
        <w:rPr>
          <w:rFonts w:ascii="Times New Roman" w:hAnsi="Times New Roman" w:eastAsia="宋体" w:cs="Times New Roman"/>
          <w:color w:val="auto"/>
          <w:highlight w:val="none"/>
        </w:rPr>
        <w:t>-2017）</w:t>
      </w:r>
      <w:r>
        <w:rPr>
          <w:rFonts w:hint="default" w:ascii="Times New Roman" w:hAnsi="Times New Roman" w:eastAsia="微软雅黑" w:cs="Times New Roman"/>
          <w:color w:val="auto"/>
          <w:highlight w:val="none"/>
        </w:rPr>
        <w:t>Ⅳ</w:t>
      </w:r>
      <w:r>
        <w:rPr>
          <w:rFonts w:ascii="Times New Roman" w:hAnsi="Times New Roman" w:eastAsia="宋体" w:cs="Times New Roman"/>
          <w:color w:val="auto"/>
          <w:highlight w:val="none"/>
        </w:rPr>
        <w:t>类标准。标准值详见表2.3-4。</w:t>
      </w:r>
    </w:p>
    <w:p w14:paraId="5CA1ACD1">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表2.3-4</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《地下水质量标准》（GB/T14848-2017）（摘录）</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2583"/>
        <w:gridCol w:w="2713"/>
        <w:gridCol w:w="2172"/>
      </w:tblGrid>
      <w:tr w14:paraId="43DBE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09EBAEA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1514" w:type="pct"/>
            <w:tcBorders>
              <w:tl2br w:val="nil"/>
              <w:tr2bl w:val="nil"/>
            </w:tcBorders>
            <w:noWrap w:val="0"/>
            <w:vAlign w:val="center"/>
          </w:tcPr>
          <w:p w14:paraId="7C3A448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指标</w:t>
            </w:r>
          </w:p>
        </w:tc>
        <w:tc>
          <w:tcPr>
            <w:tcW w:w="1590" w:type="pct"/>
            <w:tcBorders>
              <w:tl2br w:val="nil"/>
              <w:tr2bl w:val="nil"/>
            </w:tcBorders>
            <w:noWrap w:val="0"/>
            <w:vAlign w:val="center"/>
          </w:tcPr>
          <w:p w14:paraId="05368CD4">
            <w:pPr>
              <w:pStyle w:val="1358"/>
              <w:rPr>
                <w:rFonts w:ascii="Times New Roman" w:hAnsi="Times New Roman" w:eastAsia="宋体" w:cs="Times New Roman"/>
                <w:color w:val="auto"/>
                <w:highlight w:val="none"/>
              </w:rPr>
            </w:pPr>
            <w:r>
              <w:rPr>
                <w:rFonts w:hint="default" w:ascii="Times New Roman" w:hAnsi="Times New Roman" w:eastAsia="微软雅黑" w:cs="Times New Roman"/>
                <w:color w:val="auto"/>
                <w:highlight w:val="none"/>
              </w:rPr>
              <w:t>Ⅳ</w:t>
            </w:r>
            <w:r>
              <w:rPr>
                <w:rFonts w:ascii="Times New Roman" w:hAnsi="Times New Roman" w:eastAsia="宋体" w:cs="Times New Roman"/>
                <w:color w:val="auto"/>
                <w:highlight w:val="none"/>
              </w:rPr>
              <w:t>类标准限值</w:t>
            </w:r>
          </w:p>
        </w:tc>
        <w:tc>
          <w:tcPr>
            <w:tcW w:w="1273" w:type="pct"/>
            <w:tcBorders>
              <w:tl2br w:val="nil"/>
              <w:tr2bl w:val="nil"/>
            </w:tcBorders>
            <w:noWrap w:val="0"/>
            <w:vAlign w:val="top"/>
          </w:tcPr>
          <w:p w14:paraId="1B77BCA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单位</w:t>
            </w:r>
          </w:p>
        </w:tc>
      </w:tr>
      <w:tr w14:paraId="2FC2B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4E144A3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1514" w:type="pct"/>
            <w:tcBorders>
              <w:tl2br w:val="nil"/>
              <w:tr2bl w:val="nil"/>
            </w:tcBorders>
            <w:noWrap w:val="0"/>
            <w:vAlign w:val="center"/>
          </w:tcPr>
          <w:p w14:paraId="6A1CBF6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pH</w:t>
            </w:r>
          </w:p>
        </w:tc>
        <w:tc>
          <w:tcPr>
            <w:tcW w:w="1590" w:type="pct"/>
            <w:tcBorders>
              <w:tl2br w:val="nil"/>
              <w:tr2bl w:val="nil"/>
            </w:tcBorders>
            <w:noWrap w:val="0"/>
            <w:vAlign w:val="center"/>
          </w:tcPr>
          <w:p w14:paraId="213F09AF">
            <w:pPr>
              <w:pStyle w:val="1358"/>
              <w:rPr>
                <w:rFonts w:hint="eastAsia" w:cs="Times New Roman"/>
                <w:color w:val="auto"/>
                <w:highlight w:val="none"/>
                <w:lang w:val="en-US" w:eastAsia="zh-CN"/>
              </w:rPr>
            </w:pPr>
            <w:r>
              <w:rPr>
                <w:rFonts w:hint="eastAsia" w:cs="Times New Roman"/>
                <w:color w:val="auto"/>
                <w:highlight w:val="none"/>
                <w:lang w:val="en-US" w:eastAsia="zh-CN"/>
              </w:rPr>
              <w:t>5.5≤pH＜6.5</w:t>
            </w:r>
          </w:p>
          <w:p w14:paraId="39A47131">
            <w:pPr>
              <w:pStyle w:val="1358"/>
              <w:rPr>
                <w:rFonts w:hint="default"/>
                <w:color w:val="auto"/>
                <w:highlight w:val="none"/>
                <w:lang w:val="en-US" w:eastAsia="zh-CN"/>
              </w:rPr>
            </w:pPr>
            <w:r>
              <w:rPr>
                <w:rFonts w:hint="eastAsia" w:cs="Times New Roman"/>
                <w:color w:val="auto"/>
                <w:highlight w:val="none"/>
                <w:lang w:val="en-US" w:eastAsia="zh-CN"/>
              </w:rPr>
              <w:t>8.5≤pH＜9.0</w:t>
            </w:r>
          </w:p>
        </w:tc>
        <w:tc>
          <w:tcPr>
            <w:tcW w:w="1273" w:type="pct"/>
            <w:tcBorders>
              <w:tl2br w:val="nil"/>
              <w:tr2bl w:val="nil"/>
            </w:tcBorders>
            <w:noWrap w:val="0"/>
            <w:vAlign w:val="top"/>
          </w:tcPr>
          <w:p w14:paraId="6C9DF95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无量纲</w:t>
            </w:r>
          </w:p>
        </w:tc>
      </w:tr>
      <w:tr w14:paraId="4A2F5B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40F8E4B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c>
          <w:tcPr>
            <w:tcW w:w="1514" w:type="pct"/>
            <w:tcBorders>
              <w:tl2br w:val="nil"/>
              <w:tr2bl w:val="nil"/>
            </w:tcBorders>
            <w:noWrap w:val="0"/>
            <w:vAlign w:val="center"/>
          </w:tcPr>
          <w:p w14:paraId="7733DE6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总硬度</w:t>
            </w:r>
          </w:p>
        </w:tc>
        <w:tc>
          <w:tcPr>
            <w:tcW w:w="1590" w:type="pct"/>
            <w:tcBorders>
              <w:tl2br w:val="nil"/>
              <w:tr2bl w:val="nil"/>
            </w:tcBorders>
            <w:noWrap w:val="0"/>
            <w:vAlign w:val="center"/>
          </w:tcPr>
          <w:p w14:paraId="0D086889">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6</w:t>
            </w:r>
            <w:r>
              <w:rPr>
                <w:rFonts w:ascii="Times New Roman" w:hAnsi="Times New Roman" w:eastAsia="宋体" w:cs="Times New Roman"/>
                <w:color w:val="auto"/>
                <w:highlight w:val="none"/>
              </w:rPr>
              <w:t>50</w:t>
            </w:r>
          </w:p>
        </w:tc>
        <w:tc>
          <w:tcPr>
            <w:tcW w:w="1273" w:type="pct"/>
            <w:tcBorders>
              <w:tl2br w:val="nil"/>
              <w:tr2bl w:val="nil"/>
            </w:tcBorders>
            <w:noWrap w:val="0"/>
            <w:vAlign w:val="top"/>
          </w:tcPr>
          <w:p w14:paraId="32CCD9E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483DA2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70A2609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1514" w:type="pct"/>
            <w:tcBorders>
              <w:tl2br w:val="nil"/>
              <w:tr2bl w:val="nil"/>
            </w:tcBorders>
            <w:noWrap w:val="0"/>
            <w:vAlign w:val="center"/>
          </w:tcPr>
          <w:p w14:paraId="49ADAE3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溶解性总固体</w:t>
            </w:r>
          </w:p>
        </w:tc>
        <w:tc>
          <w:tcPr>
            <w:tcW w:w="1590" w:type="pct"/>
            <w:tcBorders>
              <w:tl2br w:val="nil"/>
              <w:tr2bl w:val="nil"/>
            </w:tcBorders>
            <w:noWrap w:val="0"/>
            <w:vAlign w:val="center"/>
          </w:tcPr>
          <w:p w14:paraId="1E897D92">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2</w:t>
            </w:r>
            <w:r>
              <w:rPr>
                <w:rFonts w:ascii="Times New Roman" w:hAnsi="Times New Roman" w:eastAsia="宋体" w:cs="Times New Roman"/>
                <w:color w:val="auto"/>
                <w:highlight w:val="none"/>
              </w:rPr>
              <w:t>000</w:t>
            </w:r>
          </w:p>
        </w:tc>
        <w:tc>
          <w:tcPr>
            <w:tcW w:w="1273" w:type="pct"/>
            <w:tcBorders>
              <w:tl2br w:val="nil"/>
              <w:tr2bl w:val="nil"/>
            </w:tcBorders>
            <w:noWrap w:val="0"/>
            <w:vAlign w:val="top"/>
          </w:tcPr>
          <w:p w14:paraId="4D2C156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2E65B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71991EE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1514" w:type="pct"/>
            <w:tcBorders>
              <w:tl2br w:val="nil"/>
              <w:tr2bl w:val="nil"/>
            </w:tcBorders>
            <w:noWrap w:val="0"/>
            <w:vAlign w:val="center"/>
          </w:tcPr>
          <w:p w14:paraId="24D373C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硫酸盐</w:t>
            </w:r>
          </w:p>
        </w:tc>
        <w:tc>
          <w:tcPr>
            <w:tcW w:w="1590" w:type="pct"/>
            <w:tcBorders>
              <w:tl2br w:val="nil"/>
              <w:tr2bl w:val="nil"/>
            </w:tcBorders>
            <w:noWrap w:val="0"/>
            <w:vAlign w:val="center"/>
          </w:tcPr>
          <w:p w14:paraId="5468DDD0">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3</w:t>
            </w:r>
            <w:r>
              <w:rPr>
                <w:rFonts w:ascii="Times New Roman" w:hAnsi="Times New Roman" w:eastAsia="宋体" w:cs="Times New Roman"/>
                <w:color w:val="auto"/>
                <w:highlight w:val="none"/>
              </w:rPr>
              <w:t>50</w:t>
            </w:r>
          </w:p>
        </w:tc>
        <w:tc>
          <w:tcPr>
            <w:tcW w:w="1273" w:type="pct"/>
            <w:tcBorders>
              <w:tl2br w:val="nil"/>
              <w:tr2bl w:val="nil"/>
            </w:tcBorders>
            <w:noWrap w:val="0"/>
            <w:vAlign w:val="top"/>
          </w:tcPr>
          <w:p w14:paraId="0625B4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04F35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22" w:type="pct"/>
            <w:tcBorders>
              <w:tl2br w:val="nil"/>
              <w:tr2bl w:val="nil"/>
            </w:tcBorders>
            <w:noWrap w:val="0"/>
            <w:vAlign w:val="center"/>
          </w:tcPr>
          <w:p w14:paraId="2DCF808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1514" w:type="pct"/>
            <w:tcBorders>
              <w:tl2br w:val="nil"/>
              <w:tr2bl w:val="nil"/>
            </w:tcBorders>
            <w:noWrap w:val="0"/>
            <w:vAlign w:val="center"/>
          </w:tcPr>
          <w:p w14:paraId="0D2FBBC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氯化物</w:t>
            </w:r>
          </w:p>
        </w:tc>
        <w:tc>
          <w:tcPr>
            <w:tcW w:w="1590" w:type="pct"/>
            <w:tcBorders>
              <w:tl2br w:val="nil"/>
              <w:tr2bl w:val="nil"/>
            </w:tcBorders>
            <w:noWrap w:val="0"/>
            <w:vAlign w:val="center"/>
          </w:tcPr>
          <w:p w14:paraId="3202F380">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3</w:t>
            </w:r>
            <w:r>
              <w:rPr>
                <w:rFonts w:ascii="Times New Roman" w:hAnsi="Times New Roman" w:eastAsia="宋体" w:cs="Times New Roman"/>
                <w:color w:val="auto"/>
                <w:highlight w:val="none"/>
              </w:rPr>
              <w:t>50</w:t>
            </w:r>
          </w:p>
        </w:tc>
        <w:tc>
          <w:tcPr>
            <w:tcW w:w="1273" w:type="pct"/>
            <w:tcBorders>
              <w:tl2br w:val="nil"/>
              <w:tr2bl w:val="nil"/>
            </w:tcBorders>
            <w:noWrap w:val="0"/>
            <w:vAlign w:val="top"/>
          </w:tcPr>
          <w:p w14:paraId="17B9C9B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627DA3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556A8B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1514" w:type="pct"/>
            <w:tcBorders>
              <w:tl2br w:val="nil"/>
              <w:tr2bl w:val="nil"/>
            </w:tcBorders>
            <w:noWrap w:val="0"/>
            <w:vAlign w:val="center"/>
          </w:tcPr>
          <w:p w14:paraId="295067F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铁</w:t>
            </w:r>
          </w:p>
        </w:tc>
        <w:tc>
          <w:tcPr>
            <w:tcW w:w="1590" w:type="pct"/>
            <w:tcBorders>
              <w:tl2br w:val="nil"/>
              <w:tr2bl w:val="nil"/>
            </w:tcBorders>
            <w:noWrap w:val="0"/>
            <w:vAlign w:val="center"/>
          </w:tcPr>
          <w:p w14:paraId="3DE20F82">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2.0</w:t>
            </w:r>
          </w:p>
        </w:tc>
        <w:tc>
          <w:tcPr>
            <w:tcW w:w="1273" w:type="pct"/>
            <w:tcBorders>
              <w:tl2br w:val="nil"/>
              <w:tr2bl w:val="nil"/>
            </w:tcBorders>
            <w:noWrap w:val="0"/>
            <w:vAlign w:val="top"/>
          </w:tcPr>
          <w:p w14:paraId="3EDDF59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532E6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3608D7C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p>
        </w:tc>
        <w:tc>
          <w:tcPr>
            <w:tcW w:w="1514" w:type="pct"/>
            <w:tcBorders>
              <w:tl2br w:val="nil"/>
              <w:tr2bl w:val="nil"/>
            </w:tcBorders>
            <w:noWrap w:val="0"/>
            <w:vAlign w:val="center"/>
          </w:tcPr>
          <w:p w14:paraId="33D513A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锰</w:t>
            </w:r>
          </w:p>
        </w:tc>
        <w:tc>
          <w:tcPr>
            <w:tcW w:w="1590" w:type="pct"/>
            <w:tcBorders>
              <w:tl2br w:val="nil"/>
              <w:tr2bl w:val="nil"/>
            </w:tcBorders>
            <w:noWrap w:val="0"/>
            <w:vAlign w:val="center"/>
          </w:tcPr>
          <w:p w14:paraId="712A5B53">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1.50</w:t>
            </w:r>
          </w:p>
        </w:tc>
        <w:tc>
          <w:tcPr>
            <w:tcW w:w="1273" w:type="pct"/>
            <w:tcBorders>
              <w:tl2br w:val="nil"/>
              <w:tr2bl w:val="nil"/>
            </w:tcBorders>
            <w:noWrap w:val="0"/>
            <w:vAlign w:val="top"/>
          </w:tcPr>
          <w:p w14:paraId="6DE213F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50AC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3652C91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w:t>
            </w:r>
          </w:p>
        </w:tc>
        <w:tc>
          <w:tcPr>
            <w:tcW w:w="1514" w:type="pct"/>
            <w:tcBorders>
              <w:tl2br w:val="nil"/>
              <w:tr2bl w:val="nil"/>
            </w:tcBorders>
            <w:noWrap w:val="0"/>
            <w:vAlign w:val="center"/>
          </w:tcPr>
          <w:p w14:paraId="0858DE7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铜</w:t>
            </w:r>
          </w:p>
        </w:tc>
        <w:tc>
          <w:tcPr>
            <w:tcW w:w="1590" w:type="pct"/>
            <w:tcBorders>
              <w:tl2br w:val="nil"/>
              <w:tr2bl w:val="nil"/>
            </w:tcBorders>
            <w:noWrap w:val="0"/>
            <w:vAlign w:val="center"/>
          </w:tcPr>
          <w:p w14:paraId="329626AB">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1.50</w:t>
            </w:r>
          </w:p>
        </w:tc>
        <w:tc>
          <w:tcPr>
            <w:tcW w:w="1273" w:type="pct"/>
            <w:tcBorders>
              <w:tl2br w:val="nil"/>
              <w:tr2bl w:val="nil"/>
            </w:tcBorders>
            <w:noWrap w:val="0"/>
            <w:vAlign w:val="top"/>
          </w:tcPr>
          <w:p w14:paraId="3582C3E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4CA714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64F2302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p>
        </w:tc>
        <w:tc>
          <w:tcPr>
            <w:tcW w:w="1514" w:type="pct"/>
            <w:tcBorders>
              <w:tl2br w:val="nil"/>
              <w:tr2bl w:val="nil"/>
            </w:tcBorders>
            <w:noWrap w:val="0"/>
            <w:vAlign w:val="center"/>
          </w:tcPr>
          <w:p w14:paraId="7C0B541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挥发性酚类</w:t>
            </w:r>
          </w:p>
        </w:tc>
        <w:tc>
          <w:tcPr>
            <w:tcW w:w="1590" w:type="pct"/>
            <w:tcBorders>
              <w:tl2br w:val="nil"/>
              <w:tr2bl w:val="nil"/>
            </w:tcBorders>
            <w:noWrap w:val="0"/>
            <w:vAlign w:val="center"/>
          </w:tcPr>
          <w:p w14:paraId="30CAAD3B">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0.0</w:t>
            </w:r>
            <w:r>
              <w:rPr>
                <w:rFonts w:hint="eastAsia" w:cs="Times New Roman"/>
                <w:color w:val="auto"/>
                <w:highlight w:val="none"/>
                <w:lang w:val="en-US" w:eastAsia="zh-CN"/>
              </w:rPr>
              <w:t>1</w:t>
            </w:r>
          </w:p>
        </w:tc>
        <w:tc>
          <w:tcPr>
            <w:tcW w:w="1273" w:type="pct"/>
            <w:tcBorders>
              <w:tl2br w:val="nil"/>
              <w:tr2bl w:val="nil"/>
            </w:tcBorders>
            <w:noWrap w:val="0"/>
            <w:vAlign w:val="top"/>
          </w:tcPr>
          <w:p w14:paraId="340817F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54ED7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1E0C132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1514" w:type="pct"/>
            <w:tcBorders>
              <w:tl2br w:val="nil"/>
              <w:tr2bl w:val="nil"/>
            </w:tcBorders>
            <w:noWrap w:val="0"/>
            <w:vAlign w:val="center"/>
          </w:tcPr>
          <w:p w14:paraId="4860F13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阴离子表面活性剂</w:t>
            </w:r>
          </w:p>
        </w:tc>
        <w:tc>
          <w:tcPr>
            <w:tcW w:w="1590" w:type="pct"/>
            <w:tcBorders>
              <w:tl2br w:val="nil"/>
              <w:tr2bl w:val="nil"/>
            </w:tcBorders>
            <w:noWrap w:val="0"/>
            <w:vAlign w:val="center"/>
          </w:tcPr>
          <w:p w14:paraId="58A7AE8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0.3</w:t>
            </w:r>
          </w:p>
        </w:tc>
        <w:tc>
          <w:tcPr>
            <w:tcW w:w="1273" w:type="pct"/>
            <w:tcBorders>
              <w:tl2br w:val="nil"/>
              <w:tr2bl w:val="nil"/>
            </w:tcBorders>
            <w:noWrap w:val="0"/>
            <w:vAlign w:val="top"/>
          </w:tcPr>
          <w:p w14:paraId="78B3DCF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054372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293CEC0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11</w:t>
            </w:r>
          </w:p>
        </w:tc>
        <w:tc>
          <w:tcPr>
            <w:tcW w:w="1514" w:type="pct"/>
            <w:tcBorders>
              <w:tl2br w:val="nil"/>
              <w:tr2bl w:val="nil"/>
            </w:tcBorders>
            <w:noWrap w:val="0"/>
            <w:vAlign w:val="center"/>
          </w:tcPr>
          <w:p w14:paraId="7E14AE0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耗氧量（COD</w:t>
            </w:r>
            <w:r>
              <w:rPr>
                <w:rFonts w:ascii="Times New Roman" w:hAnsi="Times New Roman" w:eastAsia="宋体" w:cs="Times New Roman"/>
                <w:color w:val="auto"/>
                <w:highlight w:val="none"/>
                <w:vertAlign w:val="subscript"/>
              </w:rPr>
              <w:t>Mn</w:t>
            </w:r>
            <w:r>
              <w:rPr>
                <w:rFonts w:ascii="Times New Roman" w:hAnsi="Times New Roman" w:eastAsia="宋体" w:cs="Times New Roman"/>
                <w:color w:val="auto"/>
                <w:highlight w:val="none"/>
              </w:rPr>
              <w:t>）</w:t>
            </w:r>
          </w:p>
        </w:tc>
        <w:tc>
          <w:tcPr>
            <w:tcW w:w="1590" w:type="pct"/>
            <w:tcBorders>
              <w:tl2br w:val="nil"/>
              <w:tr2bl w:val="nil"/>
            </w:tcBorders>
            <w:noWrap w:val="0"/>
            <w:vAlign w:val="center"/>
          </w:tcPr>
          <w:p w14:paraId="6AE6E249">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10.0</w:t>
            </w:r>
          </w:p>
        </w:tc>
        <w:tc>
          <w:tcPr>
            <w:tcW w:w="1273" w:type="pct"/>
            <w:tcBorders>
              <w:tl2br w:val="nil"/>
              <w:tr2bl w:val="nil"/>
            </w:tcBorders>
            <w:noWrap w:val="0"/>
            <w:vAlign w:val="top"/>
          </w:tcPr>
          <w:p w14:paraId="3A7FB7B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238C4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38A815F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w:t>
            </w:r>
          </w:p>
        </w:tc>
        <w:tc>
          <w:tcPr>
            <w:tcW w:w="1514" w:type="pct"/>
            <w:tcBorders>
              <w:tl2br w:val="nil"/>
              <w:tr2bl w:val="nil"/>
            </w:tcBorders>
            <w:noWrap w:val="0"/>
            <w:vAlign w:val="center"/>
          </w:tcPr>
          <w:p w14:paraId="1CB21B3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氨氮</w:t>
            </w:r>
          </w:p>
        </w:tc>
        <w:tc>
          <w:tcPr>
            <w:tcW w:w="1590" w:type="pct"/>
            <w:tcBorders>
              <w:tl2br w:val="nil"/>
              <w:tr2bl w:val="nil"/>
            </w:tcBorders>
            <w:noWrap w:val="0"/>
            <w:vAlign w:val="center"/>
          </w:tcPr>
          <w:p w14:paraId="6042E947">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1</w:t>
            </w:r>
            <w:r>
              <w:rPr>
                <w:rFonts w:ascii="Times New Roman" w:hAnsi="Times New Roman" w:eastAsia="宋体" w:cs="Times New Roman"/>
                <w:color w:val="auto"/>
                <w:highlight w:val="none"/>
              </w:rPr>
              <w:t>.50</w:t>
            </w:r>
          </w:p>
        </w:tc>
        <w:tc>
          <w:tcPr>
            <w:tcW w:w="1273" w:type="pct"/>
            <w:tcBorders>
              <w:tl2br w:val="nil"/>
              <w:tr2bl w:val="nil"/>
            </w:tcBorders>
            <w:noWrap w:val="0"/>
            <w:vAlign w:val="top"/>
          </w:tcPr>
          <w:p w14:paraId="6D07C7B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5E1D1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147783B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13</w:t>
            </w:r>
          </w:p>
        </w:tc>
        <w:tc>
          <w:tcPr>
            <w:tcW w:w="1514" w:type="pct"/>
            <w:tcBorders>
              <w:tl2br w:val="nil"/>
              <w:tr2bl w:val="nil"/>
            </w:tcBorders>
            <w:noWrap w:val="0"/>
            <w:vAlign w:val="center"/>
          </w:tcPr>
          <w:p w14:paraId="69BED3A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钠</w:t>
            </w:r>
          </w:p>
        </w:tc>
        <w:tc>
          <w:tcPr>
            <w:tcW w:w="1590" w:type="pct"/>
            <w:tcBorders>
              <w:tl2br w:val="nil"/>
              <w:tr2bl w:val="nil"/>
            </w:tcBorders>
            <w:noWrap w:val="0"/>
            <w:vAlign w:val="center"/>
          </w:tcPr>
          <w:p w14:paraId="646058D0">
            <w:pPr>
              <w:pStyle w:val="1358"/>
              <w:rPr>
                <w:rFonts w:ascii="Times New Roman" w:hAnsi="Times New Roman" w:eastAsia="宋体" w:cs="Times New Roman"/>
                <w:color w:val="auto"/>
                <w:highlight w:val="none"/>
              </w:rPr>
            </w:pPr>
            <w:r>
              <w:rPr>
                <w:rFonts w:hint="eastAsia" w:cs="Times New Roman"/>
                <w:color w:val="auto"/>
                <w:highlight w:val="none"/>
                <w:lang w:val="en-US" w:eastAsia="zh-CN"/>
              </w:rPr>
              <w:t>4</w:t>
            </w:r>
            <w:r>
              <w:rPr>
                <w:rFonts w:ascii="Times New Roman" w:hAnsi="Times New Roman" w:eastAsia="宋体" w:cs="Times New Roman"/>
                <w:color w:val="auto"/>
                <w:highlight w:val="none"/>
              </w:rPr>
              <w:t>00</w:t>
            </w:r>
          </w:p>
        </w:tc>
        <w:tc>
          <w:tcPr>
            <w:tcW w:w="1273" w:type="pct"/>
            <w:tcBorders>
              <w:tl2br w:val="nil"/>
              <w:tr2bl w:val="nil"/>
            </w:tcBorders>
            <w:noWrap w:val="0"/>
            <w:vAlign w:val="top"/>
          </w:tcPr>
          <w:p w14:paraId="08505AA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2584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501A545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14</w:t>
            </w:r>
          </w:p>
        </w:tc>
        <w:tc>
          <w:tcPr>
            <w:tcW w:w="1514" w:type="pct"/>
            <w:tcBorders>
              <w:tl2br w:val="nil"/>
              <w:tr2bl w:val="nil"/>
            </w:tcBorders>
            <w:noWrap w:val="0"/>
            <w:vAlign w:val="center"/>
          </w:tcPr>
          <w:p w14:paraId="2E0C9C6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总大肠菌群</w:t>
            </w:r>
          </w:p>
        </w:tc>
        <w:tc>
          <w:tcPr>
            <w:tcW w:w="1590" w:type="pct"/>
            <w:tcBorders>
              <w:tl2br w:val="nil"/>
              <w:tr2bl w:val="nil"/>
            </w:tcBorders>
            <w:noWrap w:val="0"/>
            <w:vAlign w:val="center"/>
          </w:tcPr>
          <w:p w14:paraId="4248A6F1">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100</w:t>
            </w:r>
          </w:p>
        </w:tc>
        <w:tc>
          <w:tcPr>
            <w:tcW w:w="1273" w:type="pct"/>
            <w:tcBorders>
              <w:tl2br w:val="nil"/>
              <w:tr2bl w:val="nil"/>
            </w:tcBorders>
            <w:noWrap w:val="0"/>
            <w:vAlign w:val="top"/>
          </w:tcPr>
          <w:p w14:paraId="6AE98B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MPN/100mL</w:t>
            </w:r>
          </w:p>
        </w:tc>
      </w:tr>
      <w:tr w14:paraId="06491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09862D3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1514" w:type="pct"/>
            <w:tcBorders>
              <w:tl2br w:val="nil"/>
              <w:tr2bl w:val="nil"/>
            </w:tcBorders>
            <w:noWrap w:val="0"/>
            <w:vAlign w:val="center"/>
          </w:tcPr>
          <w:p w14:paraId="7A50B43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菌落总数</w:t>
            </w:r>
          </w:p>
        </w:tc>
        <w:tc>
          <w:tcPr>
            <w:tcW w:w="1590" w:type="pct"/>
            <w:tcBorders>
              <w:tl2br w:val="nil"/>
              <w:tr2bl w:val="nil"/>
            </w:tcBorders>
            <w:noWrap w:val="0"/>
            <w:vAlign w:val="center"/>
          </w:tcPr>
          <w:p w14:paraId="5F8CA2A5">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1000</w:t>
            </w:r>
          </w:p>
        </w:tc>
        <w:tc>
          <w:tcPr>
            <w:tcW w:w="1273" w:type="pct"/>
            <w:tcBorders>
              <w:tl2br w:val="nil"/>
              <w:tr2bl w:val="nil"/>
            </w:tcBorders>
            <w:noWrap w:val="0"/>
            <w:vAlign w:val="top"/>
          </w:tcPr>
          <w:p w14:paraId="3442CCE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CFU/100mL</w:t>
            </w:r>
          </w:p>
        </w:tc>
      </w:tr>
      <w:tr w14:paraId="7CEA5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594583B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w:t>
            </w:r>
          </w:p>
        </w:tc>
        <w:tc>
          <w:tcPr>
            <w:tcW w:w="1514" w:type="pct"/>
            <w:tcBorders>
              <w:tl2br w:val="nil"/>
              <w:tr2bl w:val="nil"/>
            </w:tcBorders>
            <w:noWrap w:val="0"/>
            <w:vAlign w:val="center"/>
          </w:tcPr>
          <w:p w14:paraId="55414E5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亚硝酸盐</w:t>
            </w:r>
          </w:p>
        </w:tc>
        <w:tc>
          <w:tcPr>
            <w:tcW w:w="1590" w:type="pct"/>
            <w:tcBorders>
              <w:tl2br w:val="nil"/>
              <w:tr2bl w:val="nil"/>
            </w:tcBorders>
            <w:noWrap w:val="0"/>
            <w:vAlign w:val="center"/>
          </w:tcPr>
          <w:p w14:paraId="0AC0F219">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4.80</w:t>
            </w:r>
          </w:p>
        </w:tc>
        <w:tc>
          <w:tcPr>
            <w:tcW w:w="1273" w:type="pct"/>
            <w:tcBorders>
              <w:tl2br w:val="nil"/>
              <w:tr2bl w:val="nil"/>
            </w:tcBorders>
            <w:noWrap w:val="0"/>
            <w:vAlign w:val="top"/>
          </w:tcPr>
          <w:p w14:paraId="3AB5F82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720A2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6138D67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17</w:t>
            </w:r>
          </w:p>
        </w:tc>
        <w:tc>
          <w:tcPr>
            <w:tcW w:w="1514" w:type="pct"/>
            <w:tcBorders>
              <w:tl2br w:val="nil"/>
              <w:tr2bl w:val="nil"/>
            </w:tcBorders>
            <w:noWrap w:val="0"/>
            <w:vAlign w:val="center"/>
          </w:tcPr>
          <w:p w14:paraId="5896ADC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硝酸盐</w:t>
            </w:r>
          </w:p>
        </w:tc>
        <w:tc>
          <w:tcPr>
            <w:tcW w:w="1590" w:type="pct"/>
            <w:tcBorders>
              <w:tl2br w:val="nil"/>
              <w:tr2bl w:val="nil"/>
            </w:tcBorders>
            <w:noWrap w:val="0"/>
            <w:vAlign w:val="center"/>
          </w:tcPr>
          <w:p w14:paraId="31803573">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30.0</w:t>
            </w:r>
          </w:p>
        </w:tc>
        <w:tc>
          <w:tcPr>
            <w:tcW w:w="1273" w:type="pct"/>
            <w:tcBorders>
              <w:tl2br w:val="nil"/>
              <w:tr2bl w:val="nil"/>
            </w:tcBorders>
            <w:noWrap w:val="0"/>
            <w:vAlign w:val="top"/>
          </w:tcPr>
          <w:p w14:paraId="111BCB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CBD6C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568C70B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18</w:t>
            </w:r>
          </w:p>
        </w:tc>
        <w:tc>
          <w:tcPr>
            <w:tcW w:w="1514" w:type="pct"/>
            <w:tcBorders>
              <w:tl2br w:val="nil"/>
              <w:tr2bl w:val="nil"/>
            </w:tcBorders>
            <w:noWrap w:val="0"/>
            <w:vAlign w:val="center"/>
          </w:tcPr>
          <w:p w14:paraId="2B1B832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氰化物</w:t>
            </w:r>
          </w:p>
        </w:tc>
        <w:tc>
          <w:tcPr>
            <w:tcW w:w="1590" w:type="pct"/>
            <w:tcBorders>
              <w:tl2br w:val="nil"/>
              <w:tr2bl w:val="nil"/>
            </w:tcBorders>
            <w:noWrap w:val="0"/>
            <w:vAlign w:val="center"/>
          </w:tcPr>
          <w:p w14:paraId="1C5E15AA">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0.1</w:t>
            </w:r>
          </w:p>
        </w:tc>
        <w:tc>
          <w:tcPr>
            <w:tcW w:w="1273" w:type="pct"/>
            <w:tcBorders>
              <w:tl2br w:val="nil"/>
              <w:tr2bl w:val="nil"/>
            </w:tcBorders>
            <w:noWrap w:val="0"/>
            <w:vAlign w:val="top"/>
          </w:tcPr>
          <w:p w14:paraId="4416755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BC6B3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2AE4125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19</w:t>
            </w:r>
          </w:p>
        </w:tc>
        <w:tc>
          <w:tcPr>
            <w:tcW w:w="1514" w:type="pct"/>
            <w:tcBorders>
              <w:tl2br w:val="nil"/>
              <w:tr2bl w:val="nil"/>
            </w:tcBorders>
            <w:noWrap w:val="0"/>
            <w:vAlign w:val="center"/>
          </w:tcPr>
          <w:p w14:paraId="541A939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氟化物</w:t>
            </w:r>
          </w:p>
        </w:tc>
        <w:tc>
          <w:tcPr>
            <w:tcW w:w="1590" w:type="pct"/>
            <w:tcBorders>
              <w:tl2br w:val="nil"/>
              <w:tr2bl w:val="nil"/>
            </w:tcBorders>
            <w:noWrap w:val="0"/>
            <w:vAlign w:val="center"/>
          </w:tcPr>
          <w:p w14:paraId="05849472">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2.0</w:t>
            </w:r>
          </w:p>
        </w:tc>
        <w:tc>
          <w:tcPr>
            <w:tcW w:w="1273" w:type="pct"/>
            <w:tcBorders>
              <w:tl2br w:val="nil"/>
              <w:tr2bl w:val="nil"/>
            </w:tcBorders>
            <w:noWrap w:val="0"/>
            <w:vAlign w:val="top"/>
          </w:tcPr>
          <w:p w14:paraId="51B4314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0A9F5E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2BE93D3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1514" w:type="pct"/>
            <w:tcBorders>
              <w:tl2br w:val="nil"/>
              <w:tr2bl w:val="nil"/>
            </w:tcBorders>
            <w:noWrap w:val="0"/>
            <w:vAlign w:val="center"/>
          </w:tcPr>
          <w:p w14:paraId="6C0F518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汞</w:t>
            </w:r>
          </w:p>
        </w:tc>
        <w:tc>
          <w:tcPr>
            <w:tcW w:w="1590" w:type="pct"/>
            <w:tcBorders>
              <w:tl2br w:val="nil"/>
              <w:tr2bl w:val="nil"/>
            </w:tcBorders>
            <w:noWrap w:val="0"/>
            <w:vAlign w:val="center"/>
          </w:tcPr>
          <w:p w14:paraId="7E9B5B6C">
            <w:pPr>
              <w:pStyle w:val="1358"/>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0.00</w:t>
            </w:r>
            <w:r>
              <w:rPr>
                <w:rFonts w:hint="eastAsia" w:cs="Times New Roman"/>
                <w:color w:val="auto"/>
                <w:highlight w:val="none"/>
                <w:lang w:val="en-US" w:eastAsia="zh-CN"/>
              </w:rPr>
              <w:t>2</w:t>
            </w:r>
          </w:p>
        </w:tc>
        <w:tc>
          <w:tcPr>
            <w:tcW w:w="1273" w:type="pct"/>
            <w:tcBorders>
              <w:tl2br w:val="nil"/>
              <w:tr2bl w:val="nil"/>
            </w:tcBorders>
            <w:noWrap w:val="0"/>
            <w:vAlign w:val="top"/>
          </w:tcPr>
          <w:p w14:paraId="04FAAA5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0722D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6172323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w:t>
            </w:r>
          </w:p>
        </w:tc>
        <w:tc>
          <w:tcPr>
            <w:tcW w:w="1514" w:type="pct"/>
            <w:tcBorders>
              <w:tl2br w:val="nil"/>
              <w:tr2bl w:val="nil"/>
            </w:tcBorders>
            <w:noWrap w:val="0"/>
            <w:vAlign w:val="center"/>
          </w:tcPr>
          <w:p w14:paraId="19D3687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砷</w:t>
            </w:r>
          </w:p>
        </w:tc>
        <w:tc>
          <w:tcPr>
            <w:tcW w:w="1590" w:type="pct"/>
            <w:tcBorders>
              <w:tl2br w:val="nil"/>
              <w:tr2bl w:val="nil"/>
            </w:tcBorders>
            <w:noWrap w:val="0"/>
            <w:vAlign w:val="center"/>
          </w:tcPr>
          <w:p w14:paraId="3A327209">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0.0</w:t>
            </w:r>
            <w:r>
              <w:rPr>
                <w:rFonts w:hint="eastAsia" w:cs="Times New Roman"/>
                <w:color w:val="auto"/>
                <w:highlight w:val="none"/>
                <w:lang w:val="en-US" w:eastAsia="zh-CN"/>
              </w:rPr>
              <w:t>5</w:t>
            </w:r>
          </w:p>
        </w:tc>
        <w:tc>
          <w:tcPr>
            <w:tcW w:w="1273" w:type="pct"/>
            <w:tcBorders>
              <w:tl2br w:val="nil"/>
              <w:tr2bl w:val="nil"/>
            </w:tcBorders>
            <w:noWrap w:val="0"/>
            <w:vAlign w:val="top"/>
          </w:tcPr>
          <w:p w14:paraId="054C3D0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19BD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4CDB0FF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22</w:t>
            </w:r>
          </w:p>
        </w:tc>
        <w:tc>
          <w:tcPr>
            <w:tcW w:w="1514" w:type="pct"/>
            <w:tcBorders>
              <w:tl2br w:val="nil"/>
              <w:tr2bl w:val="nil"/>
            </w:tcBorders>
            <w:noWrap w:val="0"/>
            <w:vAlign w:val="center"/>
          </w:tcPr>
          <w:p w14:paraId="55D939C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镉</w:t>
            </w:r>
          </w:p>
        </w:tc>
        <w:tc>
          <w:tcPr>
            <w:tcW w:w="1590" w:type="pct"/>
            <w:tcBorders>
              <w:tl2br w:val="nil"/>
              <w:tr2bl w:val="nil"/>
            </w:tcBorders>
            <w:noWrap w:val="0"/>
            <w:vAlign w:val="center"/>
          </w:tcPr>
          <w:p w14:paraId="517A9D45">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0.0</w:t>
            </w:r>
            <w:r>
              <w:rPr>
                <w:rFonts w:hint="eastAsia" w:cs="Times New Roman"/>
                <w:color w:val="auto"/>
                <w:highlight w:val="none"/>
                <w:lang w:val="en-US" w:eastAsia="zh-CN"/>
              </w:rPr>
              <w:t>1</w:t>
            </w:r>
          </w:p>
        </w:tc>
        <w:tc>
          <w:tcPr>
            <w:tcW w:w="1273" w:type="pct"/>
            <w:tcBorders>
              <w:tl2br w:val="nil"/>
              <w:tr2bl w:val="nil"/>
            </w:tcBorders>
            <w:noWrap w:val="0"/>
            <w:vAlign w:val="top"/>
          </w:tcPr>
          <w:p w14:paraId="2787278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5526B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6FF9A56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23</w:t>
            </w:r>
          </w:p>
        </w:tc>
        <w:tc>
          <w:tcPr>
            <w:tcW w:w="1514" w:type="pct"/>
            <w:tcBorders>
              <w:tl2br w:val="nil"/>
              <w:tr2bl w:val="nil"/>
            </w:tcBorders>
            <w:noWrap w:val="0"/>
            <w:vAlign w:val="center"/>
          </w:tcPr>
          <w:p w14:paraId="1D7C9115">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铬</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六价</w:t>
            </w:r>
            <w:r>
              <w:rPr>
                <w:rFonts w:hint="eastAsia" w:ascii="Times New Roman" w:hAnsi="Times New Roman" w:eastAsia="宋体" w:cs="Times New Roman"/>
                <w:color w:val="auto"/>
                <w:highlight w:val="none"/>
                <w:lang w:eastAsia="zh-CN"/>
              </w:rPr>
              <w:t>）</w:t>
            </w:r>
          </w:p>
        </w:tc>
        <w:tc>
          <w:tcPr>
            <w:tcW w:w="1590" w:type="pct"/>
            <w:tcBorders>
              <w:tl2br w:val="nil"/>
              <w:tr2bl w:val="nil"/>
            </w:tcBorders>
            <w:noWrap w:val="0"/>
            <w:vAlign w:val="center"/>
          </w:tcPr>
          <w:p w14:paraId="538BCC87">
            <w:pPr>
              <w:pStyle w:val="1358"/>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0.</w:t>
            </w:r>
            <w:r>
              <w:rPr>
                <w:rFonts w:hint="eastAsia" w:cs="Times New Roman"/>
                <w:color w:val="auto"/>
                <w:highlight w:val="none"/>
                <w:lang w:val="en-US" w:eastAsia="zh-CN"/>
              </w:rPr>
              <w:t>10</w:t>
            </w:r>
          </w:p>
        </w:tc>
        <w:tc>
          <w:tcPr>
            <w:tcW w:w="1273" w:type="pct"/>
            <w:tcBorders>
              <w:tl2br w:val="nil"/>
              <w:tr2bl w:val="nil"/>
            </w:tcBorders>
            <w:noWrap w:val="0"/>
            <w:vAlign w:val="top"/>
          </w:tcPr>
          <w:p w14:paraId="0FE1948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37754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5945486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w:t>
            </w:r>
          </w:p>
        </w:tc>
        <w:tc>
          <w:tcPr>
            <w:tcW w:w="1514" w:type="pct"/>
            <w:tcBorders>
              <w:tl2br w:val="nil"/>
              <w:tr2bl w:val="nil"/>
            </w:tcBorders>
            <w:noWrap w:val="0"/>
            <w:vAlign w:val="center"/>
          </w:tcPr>
          <w:p w14:paraId="33DAD02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铅</w:t>
            </w:r>
          </w:p>
        </w:tc>
        <w:tc>
          <w:tcPr>
            <w:tcW w:w="1590" w:type="pct"/>
            <w:tcBorders>
              <w:tl2br w:val="nil"/>
              <w:tr2bl w:val="nil"/>
            </w:tcBorders>
            <w:noWrap w:val="0"/>
            <w:vAlign w:val="center"/>
          </w:tcPr>
          <w:p w14:paraId="46847D67">
            <w:pPr>
              <w:pStyle w:val="1358"/>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0.</w:t>
            </w:r>
            <w:r>
              <w:rPr>
                <w:rFonts w:hint="eastAsia" w:cs="Times New Roman"/>
                <w:color w:val="auto"/>
                <w:highlight w:val="none"/>
                <w:lang w:val="en-US" w:eastAsia="zh-CN"/>
              </w:rPr>
              <w:t>10</w:t>
            </w:r>
          </w:p>
        </w:tc>
        <w:tc>
          <w:tcPr>
            <w:tcW w:w="1273" w:type="pct"/>
            <w:tcBorders>
              <w:tl2br w:val="nil"/>
              <w:tr2bl w:val="nil"/>
            </w:tcBorders>
            <w:noWrap w:val="0"/>
            <w:vAlign w:val="top"/>
          </w:tcPr>
          <w:p w14:paraId="2B0E774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r w14:paraId="100913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2" w:type="pct"/>
            <w:tcBorders>
              <w:tl2br w:val="nil"/>
              <w:tr2bl w:val="nil"/>
            </w:tcBorders>
            <w:noWrap w:val="0"/>
            <w:vAlign w:val="center"/>
          </w:tcPr>
          <w:p w14:paraId="282F3B7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w:t>
            </w:r>
          </w:p>
        </w:tc>
        <w:tc>
          <w:tcPr>
            <w:tcW w:w="1514" w:type="pct"/>
            <w:tcBorders>
              <w:tl2br w:val="nil"/>
              <w:tr2bl w:val="nil"/>
            </w:tcBorders>
            <w:noWrap w:val="0"/>
            <w:vAlign w:val="center"/>
          </w:tcPr>
          <w:p w14:paraId="46E8B5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镍</w:t>
            </w:r>
          </w:p>
        </w:tc>
        <w:tc>
          <w:tcPr>
            <w:tcW w:w="1590" w:type="pct"/>
            <w:tcBorders>
              <w:tl2br w:val="nil"/>
              <w:tr2bl w:val="nil"/>
            </w:tcBorders>
            <w:noWrap w:val="0"/>
            <w:vAlign w:val="center"/>
          </w:tcPr>
          <w:p w14:paraId="02DB431F">
            <w:pPr>
              <w:pStyle w:val="1358"/>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0.</w:t>
            </w:r>
            <w:r>
              <w:rPr>
                <w:rFonts w:hint="eastAsia" w:cs="Times New Roman"/>
                <w:color w:val="auto"/>
                <w:highlight w:val="none"/>
                <w:lang w:val="en-US" w:eastAsia="zh-CN"/>
              </w:rPr>
              <w:t>10</w:t>
            </w:r>
          </w:p>
        </w:tc>
        <w:tc>
          <w:tcPr>
            <w:tcW w:w="1273" w:type="pct"/>
            <w:tcBorders>
              <w:tl2br w:val="nil"/>
              <w:tr2bl w:val="nil"/>
            </w:tcBorders>
            <w:noWrap w:val="0"/>
            <w:vAlign w:val="top"/>
          </w:tcPr>
          <w:p w14:paraId="06FABB4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r>
    </w:tbl>
    <w:p w14:paraId="7072D976">
      <w:pPr>
        <w:pStyle w:val="4"/>
        <w:numPr>
          <w:ilvl w:val="2"/>
          <w:numId w:val="0"/>
        </w:numPr>
        <w:tabs>
          <w:tab w:val="clear" w:pos="720"/>
        </w:tabs>
        <w:bidi w:val="0"/>
        <w:rPr>
          <w:color w:val="auto"/>
          <w:highlight w:val="none"/>
        </w:rPr>
      </w:pPr>
      <w:bookmarkStart w:id="259" w:name="_Toc28525"/>
      <w:r>
        <w:rPr>
          <w:color w:val="auto"/>
          <w:highlight w:val="none"/>
        </w:rPr>
        <w:t>2.3.5</w:t>
      </w:r>
      <w:r>
        <w:rPr>
          <w:rFonts w:hint="eastAsia"/>
          <w:color w:val="auto"/>
          <w:highlight w:val="none"/>
          <w:lang w:val="en-US" w:eastAsia="zh-CN"/>
        </w:rPr>
        <w:t xml:space="preserve"> </w:t>
      </w:r>
      <w:r>
        <w:rPr>
          <w:color w:val="auto"/>
          <w:highlight w:val="none"/>
        </w:rPr>
        <w:t>土壤环境功能区划及环境质量标准</w:t>
      </w:r>
      <w:bookmarkEnd w:id="259"/>
    </w:p>
    <w:p w14:paraId="2028753B">
      <w:pPr>
        <w:pStyle w:val="1336"/>
        <w:ind w:firstLine="480"/>
        <w:rPr>
          <w:rFonts w:ascii="Times New Roman" w:hAnsi="Times New Roman" w:eastAsia="宋体" w:cs="Times New Roman"/>
          <w:color w:val="auto"/>
          <w:szCs w:val="28"/>
          <w:highlight w:val="none"/>
        </w:rPr>
      </w:pPr>
      <w:r>
        <w:rPr>
          <w:rStyle w:val="1320"/>
          <w:rFonts w:ascii="Times New Roman" w:hAnsi="Times New Roman" w:eastAsia="宋体" w:cs="Times New Roman"/>
          <w:color w:val="auto"/>
          <w:kern w:val="2"/>
          <w:highlight w:val="none"/>
        </w:rPr>
        <w:t>项目位于</w:t>
      </w:r>
      <w:r>
        <w:rPr>
          <w:rFonts w:hint="eastAsia" w:ascii="Times New Roman" w:hAnsi="Times New Roman" w:eastAsia="宋体" w:cs="Times New Roman"/>
          <w:color w:val="auto"/>
          <w:highlight w:val="none"/>
          <w:lang w:eastAsia="zh-CN" w:bidi="he-IL"/>
        </w:rPr>
        <w:t>福建省福州市闽侯县青口镇（青口汽车城内）</w:t>
      </w:r>
      <w:r>
        <w:rPr>
          <w:rStyle w:val="1320"/>
          <w:rFonts w:ascii="Times New Roman" w:hAnsi="Times New Roman" w:eastAsia="宋体" w:cs="Times New Roman"/>
          <w:color w:val="auto"/>
          <w:kern w:val="2"/>
          <w:highlight w:val="none"/>
        </w:rPr>
        <w:t>，</w:t>
      </w:r>
      <w:r>
        <w:rPr>
          <w:rFonts w:ascii="Times New Roman" w:hAnsi="Times New Roman" w:eastAsia="宋体" w:cs="Times New Roman"/>
          <w:color w:val="auto"/>
          <w:szCs w:val="28"/>
          <w:highlight w:val="none"/>
        </w:rPr>
        <w:t>项目区内外土壤均属于第二类用地中的工业用地，执行《土壤环境质量 建设用地土壤污染风险管控标准</w:t>
      </w:r>
      <w:r>
        <w:rPr>
          <w:rFonts w:hint="eastAsia" w:ascii="Times New Roman" w:hAnsi="Times New Roman" w:eastAsia="宋体" w:cs="Times New Roman"/>
          <w:color w:val="auto"/>
          <w:szCs w:val="28"/>
          <w:highlight w:val="none"/>
          <w:lang w:eastAsia="zh-CN"/>
        </w:rPr>
        <w:t>（</w:t>
      </w:r>
      <w:r>
        <w:rPr>
          <w:rFonts w:ascii="Times New Roman" w:hAnsi="Times New Roman" w:eastAsia="宋体" w:cs="Times New Roman"/>
          <w:color w:val="auto"/>
          <w:szCs w:val="28"/>
          <w:highlight w:val="none"/>
        </w:rPr>
        <w:t>试行</w:t>
      </w:r>
      <w:r>
        <w:rPr>
          <w:rFonts w:hint="eastAsia" w:ascii="Times New Roman" w:hAnsi="Times New Roman" w:eastAsia="宋体" w:cs="Times New Roman"/>
          <w:color w:val="auto"/>
          <w:szCs w:val="28"/>
          <w:highlight w:val="none"/>
          <w:lang w:eastAsia="zh-CN"/>
        </w:rPr>
        <w:t>）</w:t>
      </w:r>
      <w:r>
        <w:rPr>
          <w:rFonts w:ascii="Times New Roman" w:hAnsi="Times New Roman" w:eastAsia="宋体" w:cs="Times New Roman"/>
          <w:color w:val="auto"/>
          <w:szCs w:val="28"/>
          <w:highlight w:val="none"/>
        </w:rPr>
        <w:t>》</w:t>
      </w:r>
      <w:r>
        <w:rPr>
          <w:rFonts w:hint="eastAsia" w:ascii="Times New Roman" w:hAnsi="Times New Roman" w:eastAsia="宋体" w:cs="Times New Roman"/>
          <w:color w:val="auto"/>
          <w:szCs w:val="28"/>
          <w:highlight w:val="none"/>
          <w:lang w:eastAsia="zh-CN"/>
        </w:rPr>
        <w:t>（</w:t>
      </w:r>
      <w:r>
        <w:rPr>
          <w:rFonts w:ascii="Times New Roman" w:hAnsi="Times New Roman" w:eastAsia="宋体" w:cs="Times New Roman"/>
          <w:color w:val="auto"/>
          <w:szCs w:val="28"/>
          <w:highlight w:val="none"/>
        </w:rPr>
        <w:t>GB36600-2018</w:t>
      </w:r>
      <w:r>
        <w:rPr>
          <w:rFonts w:hint="eastAsia" w:ascii="Times New Roman" w:hAnsi="Times New Roman" w:eastAsia="宋体" w:cs="Times New Roman"/>
          <w:color w:val="auto"/>
          <w:szCs w:val="28"/>
          <w:highlight w:val="none"/>
          <w:lang w:eastAsia="zh-CN"/>
        </w:rPr>
        <w:t>）</w:t>
      </w:r>
      <w:r>
        <w:rPr>
          <w:rFonts w:ascii="Times New Roman" w:hAnsi="Times New Roman" w:eastAsia="宋体" w:cs="Times New Roman"/>
          <w:color w:val="auto"/>
          <w:szCs w:val="28"/>
          <w:highlight w:val="none"/>
        </w:rPr>
        <w:t>表1中第二类用地筛选值。标准值详见表2.3-5。</w:t>
      </w:r>
    </w:p>
    <w:p w14:paraId="25DDF8D1">
      <w:pPr>
        <w:pStyle w:val="8"/>
        <w:bidi w:val="0"/>
        <w:rPr>
          <w:rFonts w:hint="default" w:ascii="Times New Roman" w:hAnsi="Times New Roman" w:cs="Times New Roman"/>
          <w:color w:val="auto"/>
          <w:highlight w:val="none"/>
          <w:lang w:val="en-US" w:eastAsia="zh-CN"/>
        </w:rPr>
      </w:pPr>
      <w:bookmarkStart w:id="260" w:name="_Toc233802609"/>
      <w:bookmarkStart w:id="261" w:name="_Toc236565687"/>
      <w:r>
        <w:rPr>
          <w:rFonts w:hint="default" w:ascii="Times New Roman" w:hAnsi="Times New Roman" w:cs="Times New Roman"/>
          <w:color w:val="auto"/>
          <w:highlight w:val="none"/>
          <w:lang w:val="en-US" w:eastAsia="zh-CN"/>
        </w:rPr>
        <w:t>表2.3-5</w:t>
      </w:r>
      <w:bookmarkEnd w:id="260"/>
      <w:bookmarkEnd w:id="261"/>
      <w:r>
        <w:rPr>
          <w:rFonts w:hint="default" w:ascii="Times New Roman" w:hAnsi="Times New Roman" w:cs="Times New Roman"/>
          <w:color w:val="auto"/>
          <w:highlight w:val="none"/>
          <w:lang w:val="en-US" w:eastAsia="zh-CN"/>
        </w:rPr>
        <w:t xml:space="preserve">  《土壤环境质量 建设用地土壤污染风险管控标准（试行）》（GB36600-2018）</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05"/>
        <w:gridCol w:w="1413"/>
        <w:gridCol w:w="1400"/>
        <w:gridCol w:w="1222"/>
        <w:gridCol w:w="1222"/>
        <w:gridCol w:w="1222"/>
        <w:gridCol w:w="1229"/>
      </w:tblGrid>
      <w:tr w14:paraId="4C30C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vMerge w:val="restart"/>
            <w:tcBorders>
              <w:tl2br w:val="nil"/>
              <w:tr2bl w:val="nil"/>
            </w:tcBorders>
            <w:noWrap w:val="0"/>
            <w:vAlign w:val="center"/>
          </w:tcPr>
          <w:p w14:paraId="27146E7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850" w:type="pct"/>
            <w:vMerge w:val="restart"/>
            <w:tcBorders>
              <w:tl2br w:val="nil"/>
              <w:tr2bl w:val="nil"/>
            </w:tcBorders>
            <w:noWrap w:val="0"/>
            <w:vAlign w:val="center"/>
          </w:tcPr>
          <w:p w14:paraId="051FD1E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污染物项目</w:t>
            </w:r>
          </w:p>
        </w:tc>
        <w:tc>
          <w:tcPr>
            <w:tcW w:w="842" w:type="pct"/>
            <w:vMerge w:val="restart"/>
            <w:tcBorders>
              <w:tl2br w:val="nil"/>
              <w:tr2bl w:val="nil"/>
            </w:tcBorders>
            <w:noWrap w:val="0"/>
            <w:vAlign w:val="center"/>
          </w:tcPr>
          <w:p w14:paraId="32DC380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CAS编号</w:t>
            </w:r>
          </w:p>
        </w:tc>
        <w:tc>
          <w:tcPr>
            <w:tcW w:w="1470" w:type="pct"/>
            <w:gridSpan w:val="2"/>
            <w:tcBorders>
              <w:tl2br w:val="nil"/>
              <w:tr2bl w:val="nil"/>
            </w:tcBorders>
            <w:noWrap w:val="0"/>
            <w:vAlign w:val="center"/>
          </w:tcPr>
          <w:p w14:paraId="36974EDC">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筛选值</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mg/kg</w:t>
            </w:r>
            <w:r>
              <w:rPr>
                <w:rFonts w:hint="eastAsia" w:ascii="Times New Roman" w:hAnsi="Times New Roman" w:eastAsia="宋体" w:cs="Times New Roman"/>
                <w:color w:val="auto"/>
                <w:highlight w:val="none"/>
                <w:lang w:eastAsia="zh-CN"/>
              </w:rPr>
              <w:t>）</w:t>
            </w:r>
          </w:p>
        </w:tc>
        <w:tc>
          <w:tcPr>
            <w:tcW w:w="1472" w:type="pct"/>
            <w:gridSpan w:val="2"/>
            <w:tcBorders>
              <w:tl2br w:val="nil"/>
              <w:tr2bl w:val="nil"/>
            </w:tcBorders>
            <w:noWrap w:val="0"/>
            <w:vAlign w:val="center"/>
          </w:tcPr>
          <w:p w14:paraId="0076036A">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管制值</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mg/kg</w:t>
            </w:r>
            <w:r>
              <w:rPr>
                <w:rFonts w:hint="eastAsia" w:ascii="Times New Roman" w:hAnsi="Times New Roman" w:eastAsia="宋体" w:cs="Times New Roman"/>
                <w:color w:val="auto"/>
                <w:highlight w:val="none"/>
                <w:lang w:eastAsia="zh-CN"/>
              </w:rPr>
              <w:t>）</w:t>
            </w:r>
          </w:p>
        </w:tc>
      </w:tr>
      <w:tr w14:paraId="43581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vMerge w:val="continue"/>
            <w:tcBorders>
              <w:tl2br w:val="nil"/>
              <w:tr2bl w:val="nil"/>
            </w:tcBorders>
            <w:shd w:val="clear" w:color="auto" w:fill="auto"/>
            <w:noWrap w:val="0"/>
            <w:vAlign w:val="center"/>
          </w:tcPr>
          <w:p w14:paraId="263BB76B">
            <w:pPr>
              <w:pStyle w:val="1358"/>
              <w:rPr>
                <w:rFonts w:ascii="Times New Roman" w:hAnsi="Times New Roman" w:eastAsia="宋体" w:cs="Times New Roman"/>
                <w:color w:val="auto"/>
                <w:highlight w:val="none"/>
              </w:rPr>
            </w:pPr>
          </w:p>
        </w:tc>
        <w:tc>
          <w:tcPr>
            <w:tcW w:w="850" w:type="pct"/>
            <w:vMerge w:val="continue"/>
            <w:tcBorders>
              <w:tl2br w:val="nil"/>
              <w:tr2bl w:val="nil"/>
            </w:tcBorders>
            <w:shd w:val="clear" w:color="auto" w:fill="auto"/>
            <w:noWrap w:val="0"/>
            <w:vAlign w:val="center"/>
          </w:tcPr>
          <w:p w14:paraId="15179EB2">
            <w:pPr>
              <w:pStyle w:val="1358"/>
              <w:rPr>
                <w:rFonts w:ascii="Times New Roman" w:hAnsi="Times New Roman" w:eastAsia="宋体" w:cs="Times New Roman"/>
                <w:color w:val="auto"/>
                <w:highlight w:val="none"/>
              </w:rPr>
            </w:pPr>
          </w:p>
        </w:tc>
        <w:tc>
          <w:tcPr>
            <w:tcW w:w="842" w:type="pct"/>
            <w:vMerge w:val="continue"/>
            <w:tcBorders>
              <w:tl2br w:val="nil"/>
              <w:tr2bl w:val="nil"/>
            </w:tcBorders>
            <w:shd w:val="clear" w:color="auto" w:fill="auto"/>
            <w:noWrap w:val="0"/>
            <w:vAlign w:val="center"/>
          </w:tcPr>
          <w:p w14:paraId="6BF423F3">
            <w:pPr>
              <w:pStyle w:val="1358"/>
              <w:rPr>
                <w:rFonts w:ascii="Times New Roman" w:hAnsi="Times New Roman" w:eastAsia="宋体" w:cs="Times New Roman"/>
                <w:color w:val="auto"/>
                <w:highlight w:val="none"/>
              </w:rPr>
            </w:pPr>
          </w:p>
        </w:tc>
        <w:tc>
          <w:tcPr>
            <w:tcW w:w="735" w:type="pct"/>
            <w:tcBorders>
              <w:tl2br w:val="nil"/>
              <w:tr2bl w:val="nil"/>
            </w:tcBorders>
            <w:shd w:val="clear" w:color="auto" w:fill="auto"/>
            <w:noWrap w:val="0"/>
            <w:vAlign w:val="center"/>
          </w:tcPr>
          <w:p w14:paraId="7C7F8ED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第一类用地</w:t>
            </w:r>
          </w:p>
        </w:tc>
        <w:tc>
          <w:tcPr>
            <w:tcW w:w="735" w:type="pct"/>
            <w:tcBorders>
              <w:tl2br w:val="nil"/>
              <w:tr2bl w:val="nil"/>
            </w:tcBorders>
            <w:shd w:val="clear" w:color="auto" w:fill="D9D9D9"/>
            <w:noWrap w:val="0"/>
            <w:vAlign w:val="center"/>
          </w:tcPr>
          <w:p w14:paraId="2F8CEC6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第二类用地</w:t>
            </w:r>
          </w:p>
        </w:tc>
        <w:tc>
          <w:tcPr>
            <w:tcW w:w="735" w:type="pct"/>
            <w:tcBorders>
              <w:tl2br w:val="nil"/>
              <w:tr2bl w:val="nil"/>
            </w:tcBorders>
            <w:noWrap w:val="0"/>
            <w:vAlign w:val="center"/>
          </w:tcPr>
          <w:p w14:paraId="27EB065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第一类用地</w:t>
            </w:r>
          </w:p>
        </w:tc>
        <w:tc>
          <w:tcPr>
            <w:tcW w:w="736" w:type="pct"/>
            <w:tcBorders>
              <w:tl2br w:val="nil"/>
              <w:tr2bl w:val="nil"/>
            </w:tcBorders>
            <w:noWrap w:val="0"/>
            <w:vAlign w:val="center"/>
          </w:tcPr>
          <w:p w14:paraId="06770E9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第二类用地</w:t>
            </w:r>
          </w:p>
        </w:tc>
      </w:tr>
      <w:tr w14:paraId="051DA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tcBorders>
              <w:tl2br w:val="nil"/>
              <w:tr2bl w:val="nil"/>
            </w:tcBorders>
            <w:shd w:val="clear" w:color="auto" w:fill="D9D9D9"/>
            <w:noWrap w:val="0"/>
            <w:vAlign w:val="center"/>
          </w:tcPr>
          <w:p w14:paraId="3914BA8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重金属和无机物</w:t>
            </w:r>
          </w:p>
        </w:tc>
      </w:tr>
      <w:tr w14:paraId="1DA06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61C556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850" w:type="pct"/>
            <w:tcBorders>
              <w:tl2br w:val="nil"/>
              <w:tr2bl w:val="nil"/>
            </w:tcBorders>
            <w:shd w:val="clear" w:color="auto" w:fill="auto"/>
            <w:noWrap w:val="0"/>
            <w:vAlign w:val="center"/>
          </w:tcPr>
          <w:p w14:paraId="0807798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砷</w:t>
            </w:r>
          </w:p>
        </w:tc>
        <w:tc>
          <w:tcPr>
            <w:tcW w:w="842" w:type="pct"/>
            <w:tcBorders>
              <w:tl2br w:val="nil"/>
              <w:tr2bl w:val="nil"/>
            </w:tcBorders>
            <w:shd w:val="clear" w:color="auto" w:fill="auto"/>
            <w:noWrap w:val="0"/>
            <w:vAlign w:val="center"/>
          </w:tcPr>
          <w:p w14:paraId="1398AE5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7440-38-2</w:t>
            </w:r>
          </w:p>
        </w:tc>
        <w:tc>
          <w:tcPr>
            <w:tcW w:w="735" w:type="pct"/>
            <w:tcBorders>
              <w:tl2br w:val="nil"/>
              <w:tr2bl w:val="nil"/>
            </w:tcBorders>
            <w:shd w:val="clear" w:color="auto" w:fill="auto"/>
            <w:noWrap w:val="0"/>
            <w:vAlign w:val="center"/>
          </w:tcPr>
          <w:p w14:paraId="30470E6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r>
              <w:rPr>
                <w:rFonts w:hint="eastAsia" w:ascii="宋体" w:hAnsi="宋体" w:eastAsia="宋体" w:cs="宋体"/>
                <w:color w:val="auto"/>
                <w:highlight w:val="none"/>
                <w:vertAlign w:val="superscript"/>
              </w:rPr>
              <w:t>①</w:t>
            </w:r>
          </w:p>
        </w:tc>
        <w:tc>
          <w:tcPr>
            <w:tcW w:w="735" w:type="pct"/>
            <w:tcBorders>
              <w:tl2br w:val="nil"/>
              <w:tr2bl w:val="nil"/>
            </w:tcBorders>
            <w:shd w:val="clear" w:color="auto" w:fill="D9D9D9"/>
            <w:noWrap w:val="0"/>
            <w:vAlign w:val="center"/>
          </w:tcPr>
          <w:p w14:paraId="1274BEA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60</w:t>
            </w:r>
            <w:r>
              <w:rPr>
                <w:rFonts w:hint="eastAsia" w:ascii="宋体" w:hAnsi="宋体" w:eastAsia="宋体" w:cs="宋体"/>
                <w:color w:val="auto"/>
                <w:highlight w:val="none"/>
                <w:vertAlign w:val="superscript"/>
              </w:rPr>
              <w:t>①</w:t>
            </w:r>
          </w:p>
        </w:tc>
        <w:tc>
          <w:tcPr>
            <w:tcW w:w="735" w:type="pct"/>
            <w:tcBorders>
              <w:tl2br w:val="nil"/>
              <w:tr2bl w:val="nil"/>
            </w:tcBorders>
            <w:noWrap w:val="0"/>
            <w:vAlign w:val="center"/>
          </w:tcPr>
          <w:p w14:paraId="43D4AD5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w:t>
            </w:r>
          </w:p>
        </w:tc>
        <w:tc>
          <w:tcPr>
            <w:tcW w:w="736" w:type="pct"/>
            <w:tcBorders>
              <w:tl2br w:val="nil"/>
              <w:tr2bl w:val="nil"/>
            </w:tcBorders>
            <w:noWrap w:val="0"/>
            <w:vAlign w:val="center"/>
          </w:tcPr>
          <w:p w14:paraId="3B973DF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140</w:t>
            </w:r>
          </w:p>
        </w:tc>
      </w:tr>
      <w:tr w14:paraId="35ECC8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0AF464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c>
          <w:tcPr>
            <w:tcW w:w="850" w:type="pct"/>
            <w:tcBorders>
              <w:tl2br w:val="nil"/>
              <w:tr2bl w:val="nil"/>
            </w:tcBorders>
            <w:shd w:val="clear" w:color="auto" w:fill="auto"/>
            <w:noWrap w:val="0"/>
            <w:vAlign w:val="center"/>
          </w:tcPr>
          <w:p w14:paraId="01FB52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镉</w:t>
            </w:r>
          </w:p>
        </w:tc>
        <w:tc>
          <w:tcPr>
            <w:tcW w:w="842" w:type="pct"/>
            <w:tcBorders>
              <w:tl2br w:val="nil"/>
              <w:tr2bl w:val="nil"/>
            </w:tcBorders>
            <w:shd w:val="clear" w:color="auto" w:fill="auto"/>
            <w:noWrap w:val="0"/>
            <w:vAlign w:val="center"/>
          </w:tcPr>
          <w:p w14:paraId="3F2CDCE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7440-43-9</w:t>
            </w:r>
          </w:p>
        </w:tc>
        <w:tc>
          <w:tcPr>
            <w:tcW w:w="735" w:type="pct"/>
            <w:tcBorders>
              <w:tl2br w:val="nil"/>
              <w:tr2bl w:val="nil"/>
            </w:tcBorders>
            <w:shd w:val="clear" w:color="auto" w:fill="auto"/>
            <w:noWrap w:val="0"/>
            <w:vAlign w:val="center"/>
          </w:tcPr>
          <w:p w14:paraId="7BD14CC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735" w:type="pct"/>
            <w:tcBorders>
              <w:tl2br w:val="nil"/>
              <w:tr2bl w:val="nil"/>
            </w:tcBorders>
            <w:shd w:val="clear" w:color="auto" w:fill="D9D9D9"/>
            <w:noWrap w:val="0"/>
            <w:vAlign w:val="center"/>
          </w:tcPr>
          <w:p w14:paraId="2BD5CB2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65</w:t>
            </w:r>
          </w:p>
        </w:tc>
        <w:tc>
          <w:tcPr>
            <w:tcW w:w="735" w:type="pct"/>
            <w:tcBorders>
              <w:tl2br w:val="nil"/>
              <w:tr2bl w:val="nil"/>
            </w:tcBorders>
            <w:noWrap w:val="0"/>
            <w:vAlign w:val="center"/>
          </w:tcPr>
          <w:p w14:paraId="188262E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47</w:t>
            </w:r>
          </w:p>
        </w:tc>
        <w:tc>
          <w:tcPr>
            <w:tcW w:w="736" w:type="pct"/>
            <w:tcBorders>
              <w:tl2br w:val="nil"/>
              <w:tr2bl w:val="nil"/>
            </w:tcBorders>
            <w:noWrap w:val="0"/>
            <w:vAlign w:val="center"/>
          </w:tcPr>
          <w:p w14:paraId="352C506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172</w:t>
            </w:r>
          </w:p>
        </w:tc>
      </w:tr>
      <w:tr w14:paraId="6F9EF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1EC8C6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850" w:type="pct"/>
            <w:tcBorders>
              <w:tl2br w:val="nil"/>
              <w:tr2bl w:val="nil"/>
            </w:tcBorders>
            <w:shd w:val="clear" w:color="auto" w:fill="auto"/>
            <w:noWrap w:val="0"/>
            <w:vAlign w:val="center"/>
          </w:tcPr>
          <w:p w14:paraId="0A99B1C5">
            <w:pPr>
              <w:pStyle w:val="135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铬</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六价</w:t>
            </w:r>
            <w:r>
              <w:rPr>
                <w:rFonts w:hint="eastAsia" w:ascii="Times New Roman" w:hAnsi="Times New Roman" w:eastAsia="宋体" w:cs="Times New Roman"/>
                <w:color w:val="auto"/>
                <w:highlight w:val="none"/>
                <w:lang w:eastAsia="zh-CN"/>
              </w:rPr>
              <w:t>）</w:t>
            </w:r>
          </w:p>
        </w:tc>
        <w:tc>
          <w:tcPr>
            <w:tcW w:w="842" w:type="pct"/>
            <w:tcBorders>
              <w:tl2br w:val="nil"/>
              <w:tr2bl w:val="nil"/>
            </w:tcBorders>
            <w:shd w:val="clear" w:color="auto" w:fill="auto"/>
            <w:noWrap w:val="0"/>
            <w:vAlign w:val="center"/>
          </w:tcPr>
          <w:p w14:paraId="0E51DE0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18540-29-9</w:t>
            </w:r>
          </w:p>
        </w:tc>
        <w:tc>
          <w:tcPr>
            <w:tcW w:w="735" w:type="pct"/>
            <w:tcBorders>
              <w:tl2br w:val="nil"/>
              <w:tr2bl w:val="nil"/>
            </w:tcBorders>
            <w:shd w:val="clear" w:color="auto" w:fill="auto"/>
            <w:noWrap w:val="0"/>
            <w:vAlign w:val="center"/>
          </w:tcPr>
          <w:p w14:paraId="242D1A7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w:t>
            </w:r>
          </w:p>
        </w:tc>
        <w:tc>
          <w:tcPr>
            <w:tcW w:w="735" w:type="pct"/>
            <w:tcBorders>
              <w:tl2br w:val="nil"/>
              <w:tr2bl w:val="nil"/>
            </w:tcBorders>
            <w:shd w:val="clear" w:color="auto" w:fill="D9D9D9"/>
            <w:noWrap w:val="0"/>
            <w:vAlign w:val="center"/>
          </w:tcPr>
          <w:p w14:paraId="543110D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5.7</w:t>
            </w:r>
          </w:p>
        </w:tc>
        <w:tc>
          <w:tcPr>
            <w:tcW w:w="735" w:type="pct"/>
            <w:tcBorders>
              <w:tl2br w:val="nil"/>
              <w:tr2bl w:val="nil"/>
            </w:tcBorders>
            <w:noWrap w:val="0"/>
            <w:vAlign w:val="center"/>
          </w:tcPr>
          <w:p w14:paraId="00AB2D2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w:t>
            </w:r>
          </w:p>
        </w:tc>
        <w:tc>
          <w:tcPr>
            <w:tcW w:w="736" w:type="pct"/>
            <w:tcBorders>
              <w:tl2br w:val="nil"/>
              <w:tr2bl w:val="nil"/>
            </w:tcBorders>
            <w:noWrap w:val="0"/>
            <w:vAlign w:val="center"/>
          </w:tcPr>
          <w:p w14:paraId="077E05D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78</w:t>
            </w:r>
          </w:p>
        </w:tc>
      </w:tr>
      <w:tr w14:paraId="2D079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AB37E1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850" w:type="pct"/>
            <w:tcBorders>
              <w:tl2br w:val="nil"/>
              <w:tr2bl w:val="nil"/>
            </w:tcBorders>
            <w:shd w:val="clear" w:color="auto" w:fill="auto"/>
            <w:noWrap w:val="0"/>
            <w:vAlign w:val="center"/>
          </w:tcPr>
          <w:p w14:paraId="75FAAA1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铜</w:t>
            </w:r>
          </w:p>
        </w:tc>
        <w:tc>
          <w:tcPr>
            <w:tcW w:w="842" w:type="pct"/>
            <w:tcBorders>
              <w:tl2br w:val="nil"/>
              <w:tr2bl w:val="nil"/>
            </w:tcBorders>
            <w:shd w:val="clear" w:color="auto" w:fill="auto"/>
            <w:noWrap w:val="0"/>
            <w:vAlign w:val="center"/>
          </w:tcPr>
          <w:p w14:paraId="59E157B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7440-50-8</w:t>
            </w:r>
          </w:p>
        </w:tc>
        <w:tc>
          <w:tcPr>
            <w:tcW w:w="735" w:type="pct"/>
            <w:tcBorders>
              <w:tl2br w:val="nil"/>
              <w:tr2bl w:val="nil"/>
            </w:tcBorders>
            <w:shd w:val="clear" w:color="auto" w:fill="auto"/>
            <w:noWrap w:val="0"/>
            <w:vAlign w:val="center"/>
          </w:tcPr>
          <w:p w14:paraId="53F6B1C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2000</w:t>
            </w:r>
          </w:p>
        </w:tc>
        <w:tc>
          <w:tcPr>
            <w:tcW w:w="735" w:type="pct"/>
            <w:tcBorders>
              <w:tl2br w:val="nil"/>
              <w:tr2bl w:val="nil"/>
            </w:tcBorders>
            <w:shd w:val="clear" w:color="auto" w:fill="D9D9D9"/>
            <w:noWrap w:val="0"/>
            <w:vAlign w:val="center"/>
          </w:tcPr>
          <w:p w14:paraId="3078E56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18000</w:t>
            </w:r>
          </w:p>
        </w:tc>
        <w:tc>
          <w:tcPr>
            <w:tcW w:w="735" w:type="pct"/>
            <w:tcBorders>
              <w:tl2br w:val="nil"/>
              <w:tr2bl w:val="nil"/>
            </w:tcBorders>
            <w:noWrap w:val="0"/>
            <w:vAlign w:val="center"/>
          </w:tcPr>
          <w:p w14:paraId="49F5A10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8000</w:t>
            </w:r>
          </w:p>
        </w:tc>
        <w:tc>
          <w:tcPr>
            <w:tcW w:w="736" w:type="pct"/>
            <w:tcBorders>
              <w:tl2br w:val="nil"/>
              <w:tr2bl w:val="nil"/>
            </w:tcBorders>
            <w:noWrap w:val="0"/>
            <w:vAlign w:val="center"/>
          </w:tcPr>
          <w:p w14:paraId="75A3034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36000</w:t>
            </w:r>
          </w:p>
        </w:tc>
      </w:tr>
      <w:tr w14:paraId="31991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379A31A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850" w:type="pct"/>
            <w:tcBorders>
              <w:tl2br w:val="nil"/>
              <w:tr2bl w:val="nil"/>
            </w:tcBorders>
            <w:shd w:val="clear" w:color="auto" w:fill="auto"/>
            <w:noWrap w:val="0"/>
            <w:vAlign w:val="center"/>
          </w:tcPr>
          <w:p w14:paraId="2A49C14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铅</w:t>
            </w:r>
          </w:p>
        </w:tc>
        <w:tc>
          <w:tcPr>
            <w:tcW w:w="842" w:type="pct"/>
            <w:tcBorders>
              <w:tl2br w:val="nil"/>
              <w:tr2bl w:val="nil"/>
            </w:tcBorders>
            <w:shd w:val="clear" w:color="auto" w:fill="auto"/>
            <w:noWrap w:val="0"/>
            <w:vAlign w:val="center"/>
          </w:tcPr>
          <w:p w14:paraId="4CE3166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7439-92-1</w:t>
            </w:r>
          </w:p>
        </w:tc>
        <w:tc>
          <w:tcPr>
            <w:tcW w:w="735" w:type="pct"/>
            <w:tcBorders>
              <w:tl2br w:val="nil"/>
              <w:tr2bl w:val="nil"/>
            </w:tcBorders>
            <w:shd w:val="clear" w:color="auto" w:fill="auto"/>
            <w:noWrap w:val="0"/>
            <w:vAlign w:val="center"/>
          </w:tcPr>
          <w:p w14:paraId="488206F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400</w:t>
            </w:r>
          </w:p>
        </w:tc>
        <w:tc>
          <w:tcPr>
            <w:tcW w:w="735" w:type="pct"/>
            <w:tcBorders>
              <w:tl2br w:val="nil"/>
              <w:tr2bl w:val="nil"/>
            </w:tcBorders>
            <w:shd w:val="clear" w:color="auto" w:fill="D9D9D9"/>
            <w:noWrap w:val="0"/>
            <w:vAlign w:val="center"/>
          </w:tcPr>
          <w:p w14:paraId="2BA5DB6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800</w:t>
            </w:r>
          </w:p>
        </w:tc>
        <w:tc>
          <w:tcPr>
            <w:tcW w:w="735" w:type="pct"/>
            <w:tcBorders>
              <w:tl2br w:val="nil"/>
              <w:tr2bl w:val="nil"/>
            </w:tcBorders>
            <w:noWrap w:val="0"/>
            <w:vAlign w:val="center"/>
          </w:tcPr>
          <w:p w14:paraId="5287716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800</w:t>
            </w:r>
          </w:p>
        </w:tc>
        <w:tc>
          <w:tcPr>
            <w:tcW w:w="736" w:type="pct"/>
            <w:tcBorders>
              <w:tl2br w:val="nil"/>
              <w:tr2bl w:val="nil"/>
            </w:tcBorders>
            <w:noWrap w:val="0"/>
            <w:vAlign w:val="center"/>
          </w:tcPr>
          <w:p w14:paraId="0FC4E3D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2500</w:t>
            </w:r>
          </w:p>
        </w:tc>
      </w:tr>
      <w:tr w14:paraId="4D490E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28A7FC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850" w:type="pct"/>
            <w:tcBorders>
              <w:tl2br w:val="nil"/>
              <w:tr2bl w:val="nil"/>
            </w:tcBorders>
            <w:shd w:val="clear" w:color="auto" w:fill="auto"/>
            <w:noWrap w:val="0"/>
            <w:vAlign w:val="center"/>
          </w:tcPr>
          <w:p w14:paraId="24C8273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汞</w:t>
            </w:r>
          </w:p>
        </w:tc>
        <w:tc>
          <w:tcPr>
            <w:tcW w:w="842" w:type="pct"/>
            <w:tcBorders>
              <w:tl2br w:val="nil"/>
              <w:tr2bl w:val="nil"/>
            </w:tcBorders>
            <w:shd w:val="clear" w:color="auto" w:fill="auto"/>
            <w:noWrap w:val="0"/>
            <w:vAlign w:val="center"/>
          </w:tcPr>
          <w:p w14:paraId="3B9F195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7439-97-6</w:t>
            </w:r>
          </w:p>
        </w:tc>
        <w:tc>
          <w:tcPr>
            <w:tcW w:w="735" w:type="pct"/>
            <w:tcBorders>
              <w:tl2br w:val="nil"/>
              <w:tr2bl w:val="nil"/>
            </w:tcBorders>
            <w:shd w:val="clear" w:color="auto" w:fill="auto"/>
            <w:noWrap w:val="0"/>
            <w:vAlign w:val="center"/>
          </w:tcPr>
          <w:p w14:paraId="5C22924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w:t>
            </w:r>
          </w:p>
        </w:tc>
        <w:tc>
          <w:tcPr>
            <w:tcW w:w="735" w:type="pct"/>
            <w:tcBorders>
              <w:tl2br w:val="nil"/>
              <w:tr2bl w:val="nil"/>
            </w:tcBorders>
            <w:shd w:val="clear" w:color="auto" w:fill="D9D9D9"/>
            <w:noWrap w:val="0"/>
            <w:vAlign w:val="center"/>
          </w:tcPr>
          <w:p w14:paraId="08078C4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38</w:t>
            </w:r>
          </w:p>
        </w:tc>
        <w:tc>
          <w:tcPr>
            <w:tcW w:w="735" w:type="pct"/>
            <w:tcBorders>
              <w:tl2br w:val="nil"/>
              <w:tr2bl w:val="nil"/>
            </w:tcBorders>
            <w:noWrap w:val="0"/>
            <w:vAlign w:val="center"/>
          </w:tcPr>
          <w:p w14:paraId="26B9C12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33</w:t>
            </w:r>
          </w:p>
        </w:tc>
        <w:tc>
          <w:tcPr>
            <w:tcW w:w="736" w:type="pct"/>
            <w:tcBorders>
              <w:tl2br w:val="nil"/>
              <w:tr2bl w:val="nil"/>
            </w:tcBorders>
            <w:noWrap w:val="0"/>
            <w:vAlign w:val="center"/>
          </w:tcPr>
          <w:p w14:paraId="3555A3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82</w:t>
            </w:r>
          </w:p>
        </w:tc>
      </w:tr>
      <w:tr w14:paraId="1D3142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391908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p>
        </w:tc>
        <w:tc>
          <w:tcPr>
            <w:tcW w:w="850" w:type="pct"/>
            <w:tcBorders>
              <w:tl2br w:val="nil"/>
              <w:tr2bl w:val="nil"/>
            </w:tcBorders>
            <w:shd w:val="clear" w:color="auto" w:fill="auto"/>
            <w:noWrap w:val="0"/>
            <w:vAlign w:val="center"/>
          </w:tcPr>
          <w:p w14:paraId="76D1908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镍</w:t>
            </w:r>
          </w:p>
        </w:tc>
        <w:tc>
          <w:tcPr>
            <w:tcW w:w="842" w:type="pct"/>
            <w:tcBorders>
              <w:tl2br w:val="nil"/>
              <w:tr2bl w:val="nil"/>
            </w:tcBorders>
            <w:shd w:val="clear" w:color="auto" w:fill="auto"/>
            <w:noWrap w:val="0"/>
            <w:vAlign w:val="center"/>
          </w:tcPr>
          <w:p w14:paraId="42B8573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7440-02-0</w:t>
            </w:r>
          </w:p>
        </w:tc>
        <w:tc>
          <w:tcPr>
            <w:tcW w:w="735" w:type="pct"/>
            <w:tcBorders>
              <w:tl2br w:val="nil"/>
              <w:tr2bl w:val="nil"/>
            </w:tcBorders>
            <w:shd w:val="clear" w:color="auto" w:fill="auto"/>
            <w:noWrap w:val="0"/>
            <w:vAlign w:val="center"/>
          </w:tcPr>
          <w:p w14:paraId="3243EE8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150</w:t>
            </w:r>
          </w:p>
        </w:tc>
        <w:tc>
          <w:tcPr>
            <w:tcW w:w="735" w:type="pct"/>
            <w:tcBorders>
              <w:tl2br w:val="nil"/>
              <w:tr2bl w:val="nil"/>
            </w:tcBorders>
            <w:shd w:val="clear" w:color="auto" w:fill="D9D9D9"/>
            <w:noWrap w:val="0"/>
            <w:vAlign w:val="center"/>
          </w:tcPr>
          <w:p w14:paraId="1A8831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900</w:t>
            </w:r>
          </w:p>
        </w:tc>
        <w:tc>
          <w:tcPr>
            <w:tcW w:w="735" w:type="pct"/>
            <w:tcBorders>
              <w:tl2br w:val="nil"/>
              <w:tr2bl w:val="nil"/>
            </w:tcBorders>
            <w:noWrap w:val="0"/>
            <w:vAlign w:val="center"/>
          </w:tcPr>
          <w:p w14:paraId="1F8B190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600</w:t>
            </w:r>
          </w:p>
        </w:tc>
        <w:tc>
          <w:tcPr>
            <w:tcW w:w="736" w:type="pct"/>
            <w:tcBorders>
              <w:tl2br w:val="nil"/>
              <w:tr2bl w:val="nil"/>
            </w:tcBorders>
            <w:noWrap w:val="0"/>
            <w:vAlign w:val="center"/>
          </w:tcPr>
          <w:p w14:paraId="7EDB190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2000</w:t>
            </w:r>
          </w:p>
        </w:tc>
      </w:tr>
      <w:tr w14:paraId="08D476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tcBorders>
              <w:tl2br w:val="nil"/>
              <w:tr2bl w:val="nil"/>
            </w:tcBorders>
            <w:shd w:val="clear" w:color="auto" w:fill="D9D9D9"/>
            <w:noWrap w:val="0"/>
            <w:vAlign w:val="center"/>
          </w:tcPr>
          <w:p w14:paraId="5EAD6BF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挥发性有机物</w:t>
            </w:r>
          </w:p>
        </w:tc>
      </w:tr>
      <w:tr w14:paraId="6C036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399A02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w:t>
            </w:r>
          </w:p>
        </w:tc>
        <w:tc>
          <w:tcPr>
            <w:tcW w:w="850" w:type="pct"/>
            <w:tcBorders>
              <w:tl2br w:val="nil"/>
              <w:tr2bl w:val="nil"/>
            </w:tcBorders>
            <w:shd w:val="clear" w:color="auto" w:fill="auto"/>
            <w:noWrap w:val="0"/>
            <w:vAlign w:val="center"/>
          </w:tcPr>
          <w:p w14:paraId="415230C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四氯化碳</w:t>
            </w:r>
          </w:p>
        </w:tc>
        <w:tc>
          <w:tcPr>
            <w:tcW w:w="842" w:type="pct"/>
            <w:tcBorders>
              <w:tl2br w:val="nil"/>
              <w:tr2bl w:val="nil"/>
            </w:tcBorders>
            <w:shd w:val="clear" w:color="auto" w:fill="auto"/>
            <w:noWrap w:val="0"/>
            <w:vAlign w:val="center"/>
          </w:tcPr>
          <w:p w14:paraId="0D71462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56-23-8</w:t>
            </w:r>
          </w:p>
        </w:tc>
        <w:tc>
          <w:tcPr>
            <w:tcW w:w="735" w:type="pct"/>
            <w:tcBorders>
              <w:tl2br w:val="nil"/>
              <w:tr2bl w:val="nil"/>
            </w:tcBorders>
            <w:shd w:val="clear" w:color="auto" w:fill="auto"/>
            <w:noWrap w:val="0"/>
            <w:vAlign w:val="center"/>
          </w:tcPr>
          <w:p w14:paraId="52E6813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0.9</w:t>
            </w:r>
          </w:p>
        </w:tc>
        <w:tc>
          <w:tcPr>
            <w:tcW w:w="735" w:type="pct"/>
            <w:tcBorders>
              <w:tl2br w:val="nil"/>
              <w:tr2bl w:val="nil"/>
            </w:tcBorders>
            <w:shd w:val="clear" w:color="auto" w:fill="D9D9D9"/>
            <w:noWrap w:val="0"/>
            <w:vAlign w:val="center"/>
          </w:tcPr>
          <w:p w14:paraId="0830608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p>
        </w:tc>
        <w:tc>
          <w:tcPr>
            <w:tcW w:w="735" w:type="pct"/>
            <w:tcBorders>
              <w:tl2br w:val="nil"/>
              <w:tr2bl w:val="nil"/>
            </w:tcBorders>
            <w:noWrap w:val="0"/>
            <w:vAlign w:val="center"/>
          </w:tcPr>
          <w:p w14:paraId="5810299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p>
        </w:tc>
        <w:tc>
          <w:tcPr>
            <w:tcW w:w="736" w:type="pct"/>
            <w:tcBorders>
              <w:tl2br w:val="nil"/>
              <w:tr2bl w:val="nil"/>
            </w:tcBorders>
            <w:noWrap w:val="0"/>
            <w:vAlign w:val="center"/>
          </w:tcPr>
          <w:p w14:paraId="359B460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36</w:t>
            </w:r>
          </w:p>
        </w:tc>
      </w:tr>
      <w:tr w14:paraId="262CB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3E9B5F9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p>
        </w:tc>
        <w:tc>
          <w:tcPr>
            <w:tcW w:w="850" w:type="pct"/>
            <w:tcBorders>
              <w:tl2br w:val="nil"/>
              <w:tr2bl w:val="nil"/>
            </w:tcBorders>
            <w:shd w:val="clear" w:color="auto" w:fill="auto"/>
            <w:noWrap w:val="0"/>
            <w:vAlign w:val="center"/>
          </w:tcPr>
          <w:p w14:paraId="599FA57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氯仿</w:t>
            </w:r>
          </w:p>
        </w:tc>
        <w:tc>
          <w:tcPr>
            <w:tcW w:w="842" w:type="pct"/>
            <w:tcBorders>
              <w:tl2br w:val="nil"/>
              <w:tr2bl w:val="nil"/>
            </w:tcBorders>
            <w:shd w:val="clear" w:color="auto" w:fill="auto"/>
            <w:noWrap w:val="0"/>
            <w:vAlign w:val="center"/>
          </w:tcPr>
          <w:p w14:paraId="79F9ED1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67-66-3</w:t>
            </w:r>
          </w:p>
        </w:tc>
        <w:tc>
          <w:tcPr>
            <w:tcW w:w="735" w:type="pct"/>
            <w:tcBorders>
              <w:tl2br w:val="nil"/>
              <w:tr2bl w:val="nil"/>
            </w:tcBorders>
            <w:shd w:val="clear" w:color="auto" w:fill="auto"/>
            <w:noWrap w:val="0"/>
            <w:vAlign w:val="center"/>
          </w:tcPr>
          <w:p w14:paraId="2353D5B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0.3</w:t>
            </w:r>
          </w:p>
        </w:tc>
        <w:tc>
          <w:tcPr>
            <w:tcW w:w="735" w:type="pct"/>
            <w:tcBorders>
              <w:tl2br w:val="nil"/>
              <w:tr2bl w:val="nil"/>
            </w:tcBorders>
            <w:shd w:val="clear" w:color="auto" w:fill="D9D9D9"/>
            <w:noWrap w:val="0"/>
            <w:vAlign w:val="center"/>
          </w:tcPr>
          <w:p w14:paraId="089AC2A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0.9</w:t>
            </w:r>
          </w:p>
        </w:tc>
        <w:tc>
          <w:tcPr>
            <w:tcW w:w="735" w:type="pct"/>
            <w:tcBorders>
              <w:tl2br w:val="nil"/>
              <w:tr2bl w:val="nil"/>
            </w:tcBorders>
            <w:noWrap w:val="0"/>
            <w:vAlign w:val="center"/>
          </w:tcPr>
          <w:p w14:paraId="464EBFC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736" w:type="pct"/>
            <w:tcBorders>
              <w:tl2br w:val="nil"/>
              <w:tr2bl w:val="nil"/>
            </w:tcBorders>
            <w:noWrap w:val="0"/>
            <w:vAlign w:val="center"/>
          </w:tcPr>
          <w:p w14:paraId="12404AC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r>
      <w:tr w14:paraId="3C22F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102CBF1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850" w:type="pct"/>
            <w:tcBorders>
              <w:tl2br w:val="nil"/>
              <w:tr2bl w:val="nil"/>
            </w:tcBorders>
            <w:shd w:val="clear" w:color="auto" w:fill="auto"/>
            <w:noWrap w:val="0"/>
            <w:vAlign w:val="center"/>
          </w:tcPr>
          <w:p w14:paraId="21061B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氯甲烷</w:t>
            </w:r>
          </w:p>
        </w:tc>
        <w:tc>
          <w:tcPr>
            <w:tcW w:w="842" w:type="pct"/>
            <w:tcBorders>
              <w:tl2br w:val="nil"/>
              <w:tr2bl w:val="nil"/>
            </w:tcBorders>
            <w:shd w:val="clear" w:color="auto" w:fill="auto"/>
            <w:noWrap w:val="0"/>
            <w:vAlign w:val="center"/>
          </w:tcPr>
          <w:p w14:paraId="24D2527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74-87-3</w:t>
            </w:r>
          </w:p>
        </w:tc>
        <w:tc>
          <w:tcPr>
            <w:tcW w:w="735" w:type="pct"/>
            <w:tcBorders>
              <w:tl2br w:val="nil"/>
              <w:tr2bl w:val="nil"/>
            </w:tcBorders>
            <w:shd w:val="clear" w:color="auto" w:fill="auto"/>
            <w:noWrap w:val="0"/>
            <w:vAlign w:val="center"/>
          </w:tcPr>
          <w:p w14:paraId="5987F85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w:t>
            </w:r>
          </w:p>
        </w:tc>
        <w:tc>
          <w:tcPr>
            <w:tcW w:w="735" w:type="pct"/>
            <w:tcBorders>
              <w:tl2br w:val="nil"/>
              <w:tr2bl w:val="nil"/>
            </w:tcBorders>
            <w:shd w:val="clear" w:color="auto" w:fill="D9D9D9"/>
            <w:noWrap w:val="0"/>
            <w:vAlign w:val="center"/>
          </w:tcPr>
          <w:p w14:paraId="510B25E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37</w:t>
            </w:r>
          </w:p>
        </w:tc>
        <w:tc>
          <w:tcPr>
            <w:tcW w:w="735" w:type="pct"/>
            <w:tcBorders>
              <w:tl2br w:val="nil"/>
              <w:tr2bl w:val="nil"/>
            </w:tcBorders>
            <w:noWrap w:val="0"/>
            <w:vAlign w:val="center"/>
          </w:tcPr>
          <w:p w14:paraId="5113043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w:t>
            </w:r>
          </w:p>
        </w:tc>
        <w:tc>
          <w:tcPr>
            <w:tcW w:w="736" w:type="pct"/>
            <w:tcBorders>
              <w:tl2br w:val="nil"/>
              <w:tr2bl w:val="nil"/>
            </w:tcBorders>
            <w:noWrap w:val="0"/>
            <w:vAlign w:val="center"/>
          </w:tcPr>
          <w:p w14:paraId="5A3ED9E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w:t>
            </w:r>
          </w:p>
        </w:tc>
      </w:tr>
      <w:tr w14:paraId="687E5D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1C61BB1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11</w:t>
            </w:r>
          </w:p>
        </w:tc>
        <w:tc>
          <w:tcPr>
            <w:tcW w:w="850" w:type="pct"/>
            <w:tcBorders>
              <w:tl2br w:val="nil"/>
              <w:tr2bl w:val="nil"/>
            </w:tcBorders>
            <w:shd w:val="clear" w:color="auto" w:fill="auto"/>
            <w:noWrap w:val="0"/>
            <w:vAlign w:val="center"/>
          </w:tcPr>
          <w:p w14:paraId="01E77AC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1-二氯乙烷</w:t>
            </w:r>
          </w:p>
        </w:tc>
        <w:tc>
          <w:tcPr>
            <w:tcW w:w="842" w:type="pct"/>
            <w:tcBorders>
              <w:tl2br w:val="nil"/>
              <w:tr2bl w:val="nil"/>
            </w:tcBorders>
            <w:shd w:val="clear" w:color="auto" w:fill="auto"/>
            <w:noWrap w:val="0"/>
            <w:vAlign w:val="center"/>
          </w:tcPr>
          <w:p w14:paraId="1AA94BC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75-34-3</w:t>
            </w:r>
          </w:p>
        </w:tc>
        <w:tc>
          <w:tcPr>
            <w:tcW w:w="735" w:type="pct"/>
            <w:tcBorders>
              <w:tl2br w:val="nil"/>
              <w:tr2bl w:val="nil"/>
            </w:tcBorders>
            <w:shd w:val="clear" w:color="auto" w:fill="auto"/>
            <w:noWrap w:val="0"/>
            <w:vAlign w:val="center"/>
          </w:tcPr>
          <w:p w14:paraId="227C5B8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735" w:type="pct"/>
            <w:tcBorders>
              <w:tl2br w:val="nil"/>
              <w:tr2bl w:val="nil"/>
            </w:tcBorders>
            <w:shd w:val="clear" w:color="auto" w:fill="D9D9D9"/>
            <w:noWrap w:val="0"/>
            <w:vAlign w:val="center"/>
          </w:tcPr>
          <w:p w14:paraId="27DDEC1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p>
        </w:tc>
        <w:tc>
          <w:tcPr>
            <w:tcW w:w="735" w:type="pct"/>
            <w:tcBorders>
              <w:tl2br w:val="nil"/>
              <w:tr2bl w:val="nil"/>
            </w:tcBorders>
            <w:noWrap w:val="0"/>
            <w:vAlign w:val="center"/>
          </w:tcPr>
          <w:p w14:paraId="7BB6116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736" w:type="pct"/>
            <w:tcBorders>
              <w:tl2br w:val="nil"/>
              <w:tr2bl w:val="nil"/>
            </w:tcBorders>
            <w:noWrap w:val="0"/>
            <w:vAlign w:val="center"/>
          </w:tcPr>
          <w:p w14:paraId="7E8FD72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100</w:t>
            </w:r>
          </w:p>
        </w:tc>
      </w:tr>
      <w:tr w14:paraId="5AB1B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D77CFF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w:t>
            </w:r>
          </w:p>
        </w:tc>
        <w:tc>
          <w:tcPr>
            <w:tcW w:w="850" w:type="pct"/>
            <w:tcBorders>
              <w:tl2br w:val="nil"/>
              <w:tr2bl w:val="nil"/>
            </w:tcBorders>
            <w:shd w:val="clear" w:color="auto" w:fill="auto"/>
            <w:noWrap w:val="0"/>
            <w:vAlign w:val="center"/>
          </w:tcPr>
          <w:p w14:paraId="3CAE886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2-二氯乙烷</w:t>
            </w:r>
          </w:p>
        </w:tc>
        <w:tc>
          <w:tcPr>
            <w:tcW w:w="842" w:type="pct"/>
            <w:tcBorders>
              <w:tl2br w:val="nil"/>
              <w:tr2bl w:val="nil"/>
            </w:tcBorders>
            <w:shd w:val="clear" w:color="auto" w:fill="auto"/>
            <w:noWrap w:val="0"/>
            <w:vAlign w:val="center"/>
          </w:tcPr>
          <w:p w14:paraId="04D4119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107-06-2</w:t>
            </w:r>
          </w:p>
        </w:tc>
        <w:tc>
          <w:tcPr>
            <w:tcW w:w="735" w:type="pct"/>
            <w:tcBorders>
              <w:tl2br w:val="nil"/>
              <w:tr2bl w:val="nil"/>
            </w:tcBorders>
            <w:shd w:val="clear" w:color="auto" w:fill="auto"/>
            <w:noWrap w:val="0"/>
            <w:vAlign w:val="center"/>
          </w:tcPr>
          <w:p w14:paraId="6766C40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0.52</w:t>
            </w:r>
          </w:p>
        </w:tc>
        <w:tc>
          <w:tcPr>
            <w:tcW w:w="735" w:type="pct"/>
            <w:tcBorders>
              <w:tl2br w:val="nil"/>
              <w:tr2bl w:val="nil"/>
            </w:tcBorders>
            <w:shd w:val="clear" w:color="auto" w:fill="D9D9D9"/>
            <w:noWrap w:val="0"/>
            <w:vAlign w:val="center"/>
          </w:tcPr>
          <w:p w14:paraId="67CC185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735" w:type="pct"/>
            <w:tcBorders>
              <w:tl2br w:val="nil"/>
              <w:tr2bl w:val="nil"/>
            </w:tcBorders>
            <w:noWrap w:val="0"/>
            <w:vAlign w:val="center"/>
          </w:tcPr>
          <w:p w14:paraId="488F247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736" w:type="pct"/>
            <w:tcBorders>
              <w:tl2br w:val="nil"/>
              <w:tr2bl w:val="nil"/>
            </w:tcBorders>
            <w:noWrap w:val="0"/>
            <w:vAlign w:val="center"/>
          </w:tcPr>
          <w:p w14:paraId="11EA90D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w:t>
            </w:r>
          </w:p>
        </w:tc>
      </w:tr>
      <w:tr w14:paraId="155E04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BA6B19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13</w:t>
            </w:r>
          </w:p>
        </w:tc>
        <w:tc>
          <w:tcPr>
            <w:tcW w:w="850" w:type="pct"/>
            <w:tcBorders>
              <w:tl2br w:val="nil"/>
              <w:tr2bl w:val="nil"/>
            </w:tcBorders>
            <w:shd w:val="clear" w:color="auto" w:fill="auto"/>
            <w:noWrap w:val="0"/>
            <w:vAlign w:val="center"/>
          </w:tcPr>
          <w:p w14:paraId="5DE8887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1-二氯乙烯</w:t>
            </w:r>
          </w:p>
        </w:tc>
        <w:tc>
          <w:tcPr>
            <w:tcW w:w="842" w:type="pct"/>
            <w:tcBorders>
              <w:tl2br w:val="nil"/>
              <w:tr2bl w:val="nil"/>
            </w:tcBorders>
            <w:shd w:val="clear" w:color="auto" w:fill="auto"/>
            <w:noWrap w:val="0"/>
            <w:vAlign w:val="center"/>
          </w:tcPr>
          <w:p w14:paraId="19D02F0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75-35-4</w:t>
            </w:r>
          </w:p>
        </w:tc>
        <w:tc>
          <w:tcPr>
            <w:tcW w:w="735" w:type="pct"/>
            <w:tcBorders>
              <w:tl2br w:val="nil"/>
              <w:tr2bl w:val="nil"/>
            </w:tcBorders>
            <w:shd w:val="clear" w:color="auto" w:fill="auto"/>
            <w:noWrap w:val="0"/>
            <w:vAlign w:val="center"/>
          </w:tcPr>
          <w:p w14:paraId="606215E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w:t>
            </w:r>
          </w:p>
        </w:tc>
        <w:tc>
          <w:tcPr>
            <w:tcW w:w="735" w:type="pct"/>
            <w:tcBorders>
              <w:tl2br w:val="nil"/>
              <w:tr2bl w:val="nil"/>
            </w:tcBorders>
            <w:shd w:val="clear" w:color="auto" w:fill="D9D9D9"/>
            <w:noWrap w:val="0"/>
            <w:vAlign w:val="center"/>
          </w:tcPr>
          <w:p w14:paraId="6C51AE7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66</w:t>
            </w:r>
          </w:p>
        </w:tc>
        <w:tc>
          <w:tcPr>
            <w:tcW w:w="735" w:type="pct"/>
            <w:tcBorders>
              <w:tl2br w:val="nil"/>
              <w:tr2bl w:val="nil"/>
            </w:tcBorders>
            <w:noWrap w:val="0"/>
            <w:vAlign w:val="center"/>
          </w:tcPr>
          <w:p w14:paraId="4A13B8D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w:t>
            </w:r>
          </w:p>
        </w:tc>
        <w:tc>
          <w:tcPr>
            <w:tcW w:w="736" w:type="pct"/>
            <w:tcBorders>
              <w:tl2br w:val="nil"/>
              <w:tr2bl w:val="nil"/>
            </w:tcBorders>
            <w:noWrap w:val="0"/>
            <w:vAlign w:val="center"/>
          </w:tcPr>
          <w:p w14:paraId="414844C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w:t>
            </w:r>
          </w:p>
        </w:tc>
      </w:tr>
      <w:tr w14:paraId="59E5DD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2421A8A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14</w:t>
            </w:r>
          </w:p>
        </w:tc>
        <w:tc>
          <w:tcPr>
            <w:tcW w:w="850" w:type="pct"/>
            <w:tcBorders>
              <w:tl2br w:val="nil"/>
              <w:tr2bl w:val="nil"/>
            </w:tcBorders>
            <w:shd w:val="clear" w:color="auto" w:fill="auto"/>
            <w:noWrap w:val="0"/>
            <w:vAlign w:val="center"/>
          </w:tcPr>
          <w:p w14:paraId="3D2E0E9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顺-1</w:t>
            </w:r>
            <w:r>
              <w:rPr>
                <w:rFonts w:hint="eastAsia" w:cs="Times New Roman"/>
                <w:color w:val="auto"/>
                <w:highlight w:val="none"/>
                <w:lang w:eastAsia="zh-CN"/>
              </w:rPr>
              <w:t>,</w:t>
            </w:r>
            <w:r>
              <w:rPr>
                <w:rFonts w:ascii="Times New Roman" w:hAnsi="Times New Roman" w:eastAsia="宋体" w:cs="Times New Roman"/>
                <w:color w:val="auto"/>
                <w:highlight w:val="none"/>
              </w:rPr>
              <w:t>2-二氯乙烯</w:t>
            </w:r>
          </w:p>
        </w:tc>
        <w:tc>
          <w:tcPr>
            <w:tcW w:w="842" w:type="pct"/>
            <w:tcBorders>
              <w:tl2br w:val="nil"/>
              <w:tr2bl w:val="nil"/>
            </w:tcBorders>
            <w:shd w:val="clear" w:color="auto" w:fill="auto"/>
            <w:noWrap w:val="0"/>
            <w:vAlign w:val="center"/>
          </w:tcPr>
          <w:p w14:paraId="6FED9B9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156-59-2</w:t>
            </w:r>
          </w:p>
        </w:tc>
        <w:tc>
          <w:tcPr>
            <w:tcW w:w="735" w:type="pct"/>
            <w:tcBorders>
              <w:tl2br w:val="nil"/>
              <w:tr2bl w:val="nil"/>
            </w:tcBorders>
            <w:shd w:val="clear" w:color="auto" w:fill="auto"/>
            <w:noWrap w:val="0"/>
            <w:vAlign w:val="center"/>
          </w:tcPr>
          <w:p w14:paraId="329DD4F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66</w:t>
            </w:r>
          </w:p>
        </w:tc>
        <w:tc>
          <w:tcPr>
            <w:tcW w:w="735" w:type="pct"/>
            <w:tcBorders>
              <w:tl2br w:val="nil"/>
              <w:tr2bl w:val="nil"/>
            </w:tcBorders>
            <w:shd w:val="clear" w:color="auto" w:fill="D9D9D9"/>
            <w:noWrap w:val="0"/>
            <w:vAlign w:val="center"/>
          </w:tcPr>
          <w:p w14:paraId="591826C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596</w:t>
            </w:r>
          </w:p>
        </w:tc>
        <w:tc>
          <w:tcPr>
            <w:tcW w:w="735" w:type="pct"/>
            <w:tcBorders>
              <w:tl2br w:val="nil"/>
              <w:tr2bl w:val="nil"/>
            </w:tcBorders>
            <w:noWrap w:val="0"/>
            <w:vAlign w:val="center"/>
          </w:tcPr>
          <w:p w14:paraId="4E23814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w:t>
            </w:r>
          </w:p>
        </w:tc>
        <w:tc>
          <w:tcPr>
            <w:tcW w:w="736" w:type="pct"/>
            <w:tcBorders>
              <w:tl2br w:val="nil"/>
              <w:tr2bl w:val="nil"/>
            </w:tcBorders>
            <w:noWrap w:val="0"/>
            <w:vAlign w:val="center"/>
          </w:tcPr>
          <w:p w14:paraId="737296C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2000</w:t>
            </w:r>
          </w:p>
        </w:tc>
      </w:tr>
      <w:tr w14:paraId="3B6093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4CFE3F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850" w:type="pct"/>
            <w:tcBorders>
              <w:tl2br w:val="nil"/>
              <w:tr2bl w:val="nil"/>
            </w:tcBorders>
            <w:shd w:val="clear" w:color="auto" w:fill="auto"/>
            <w:noWrap w:val="0"/>
            <w:vAlign w:val="center"/>
          </w:tcPr>
          <w:p w14:paraId="2F7684E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反-1</w:t>
            </w:r>
            <w:r>
              <w:rPr>
                <w:rFonts w:hint="eastAsia" w:cs="Times New Roman"/>
                <w:color w:val="auto"/>
                <w:highlight w:val="none"/>
                <w:lang w:eastAsia="zh-CN"/>
              </w:rPr>
              <w:t>,</w:t>
            </w:r>
            <w:r>
              <w:rPr>
                <w:rFonts w:ascii="Times New Roman" w:hAnsi="Times New Roman" w:eastAsia="宋体" w:cs="Times New Roman"/>
                <w:color w:val="auto"/>
                <w:highlight w:val="none"/>
              </w:rPr>
              <w:t>2-二氯乙烯</w:t>
            </w:r>
          </w:p>
        </w:tc>
        <w:tc>
          <w:tcPr>
            <w:tcW w:w="842" w:type="pct"/>
            <w:tcBorders>
              <w:tl2br w:val="nil"/>
              <w:tr2bl w:val="nil"/>
            </w:tcBorders>
            <w:shd w:val="clear" w:color="auto" w:fill="auto"/>
            <w:noWrap w:val="0"/>
            <w:vAlign w:val="center"/>
          </w:tcPr>
          <w:p w14:paraId="393F920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156-60-5</w:t>
            </w:r>
          </w:p>
        </w:tc>
        <w:tc>
          <w:tcPr>
            <w:tcW w:w="735" w:type="pct"/>
            <w:tcBorders>
              <w:tl2br w:val="nil"/>
              <w:tr2bl w:val="nil"/>
            </w:tcBorders>
            <w:shd w:val="clear" w:color="auto" w:fill="auto"/>
            <w:noWrap w:val="0"/>
            <w:vAlign w:val="center"/>
          </w:tcPr>
          <w:p w14:paraId="5A7A0EB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735" w:type="pct"/>
            <w:tcBorders>
              <w:tl2br w:val="nil"/>
              <w:tr2bl w:val="nil"/>
            </w:tcBorders>
            <w:shd w:val="clear" w:color="auto" w:fill="D9D9D9"/>
            <w:noWrap w:val="0"/>
            <w:vAlign w:val="center"/>
          </w:tcPr>
          <w:p w14:paraId="5591367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54</w:t>
            </w:r>
          </w:p>
        </w:tc>
        <w:tc>
          <w:tcPr>
            <w:tcW w:w="735" w:type="pct"/>
            <w:tcBorders>
              <w:tl2br w:val="nil"/>
              <w:tr2bl w:val="nil"/>
            </w:tcBorders>
            <w:noWrap w:val="0"/>
            <w:vAlign w:val="center"/>
          </w:tcPr>
          <w:p w14:paraId="6150B67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31</w:t>
            </w:r>
          </w:p>
        </w:tc>
        <w:tc>
          <w:tcPr>
            <w:tcW w:w="736" w:type="pct"/>
            <w:tcBorders>
              <w:tl2br w:val="nil"/>
              <w:tr2bl w:val="nil"/>
            </w:tcBorders>
            <w:noWrap w:val="0"/>
            <w:vAlign w:val="center"/>
          </w:tcPr>
          <w:p w14:paraId="155E7E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w:t>
            </w:r>
          </w:p>
        </w:tc>
      </w:tr>
      <w:tr w14:paraId="5428D3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40E326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w:t>
            </w:r>
          </w:p>
        </w:tc>
        <w:tc>
          <w:tcPr>
            <w:tcW w:w="850" w:type="pct"/>
            <w:tcBorders>
              <w:tl2br w:val="nil"/>
              <w:tr2bl w:val="nil"/>
            </w:tcBorders>
            <w:shd w:val="clear" w:color="auto" w:fill="auto"/>
            <w:noWrap w:val="0"/>
            <w:vAlign w:val="center"/>
          </w:tcPr>
          <w:p w14:paraId="0AC3CA7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二氯甲烷</w:t>
            </w:r>
          </w:p>
        </w:tc>
        <w:tc>
          <w:tcPr>
            <w:tcW w:w="842" w:type="pct"/>
            <w:tcBorders>
              <w:tl2br w:val="nil"/>
              <w:tr2bl w:val="nil"/>
            </w:tcBorders>
            <w:shd w:val="clear" w:color="auto" w:fill="auto"/>
            <w:noWrap w:val="0"/>
            <w:vAlign w:val="center"/>
          </w:tcPr>
          <w:p w14:paraId="3F01F1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75-09-2</w:t>
            </w:r>
          </w:p>
        </w:tc>
        <w:tc>
          <w:tcPr>
            <w:tcW w:w="735" w:type="pct"/>
            <w:tcBorders>
              <w:tl2br w:val="nil"/>
              <w:tr2bl w:val="nil"/>
            </w:tcBorders>
            <w:shd w:val="clear" w:color="auto" w:fill="auto"/>
            <w:noWrap w:val="0"/>
            <w:vAlign w:val="center"/>
          </w:tcPr>
          <w:p w14:paraId="07BC3C4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94</w:t>
            </w:r>
          </w:p>
        </w:tc>
        <w:tc>
          <w:tcPr>
            <w:tcW w:w="735" w:type="pct"/>
            <w:tcBorders>
              <w:tl2br w:val="nil"/>
              <w:tr2bl w:val="nil"/>
            </w:tcBorders>
            <w:shd w:val="clear" w:color="auto" w:fill="D9D9D9"/>
            <w:noWrap w:val="0"/>
            <w:vAlign w:val="center"/>
          </w:tcPr>
          <w:p w14:paraId="0CD1563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616</w:t>
            </w:r>
          </w:p>
        </w:tc>
        <w:tc>
          <w:tcPr>
            <w:tcW w:w="735" w:type="pct"/>
            <w:tcBorders>
              <w:tl2br w:val="nil"/>
              <w:tr2bl w:val="nil"/>
            </w:tcBorders>
            <w:noWrap w:val="0"/>
            <w:vAlign w:val="center"/>
          </w:tcPr>
          <w:p w14:paraId="3EED047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300</w:t>
            </w:r>
          </w:p>
        </w:tc>
        <w:tc>
          <w:tcPr>
            <w:tcW w:w="736" w:type="pct"/>
            <w:tcBorders>
              <w:tl2br w:val="nil"/>
              <w:tr2bl w:val="nil"/>
            </w:tcBorders>
            <w:noWrap w:val="0"/>
            <w:vAlign w:val="center"/>
          </w:tcPr>
          <w:p w14:paraId="7CFF889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2000</w:t>
            </w:r>
          </w:p>
        </w:tc>
      </w:tr>
      <w:tr w14:paraId="7431C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DF6FFD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17</w:t>
            </w:r>
          </w:p>
        </w:tc>
        <w:tc>
          <w:tcPr>
            <w:tcW w:w="850" w:type="pct"/>
            <w:tcBorders>
              <w:tl2br w:val="nil"/>
              <w:tr2bl w:val="nil"/>
            </w:tcBorders>
            <w:shd w:val="clear" w:color="auto" w:fill="auto"/>
            <w:noWrap w:val="0"/>
            <w:vAlign w:val="center"/>
          </w:tcPr>
          <w:p w14:paraId="7AFB7F2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2-二氯丙烷</w:t>
            </w:r>
          </w:p>
        </w:tc>
        <w:tc>
          <w:tcPr>
            <w:tcW w:w="842" w:type="pct"/>
            <w:tcBorders>
              <w:tl2br w:val="nil"/>
              <w:tr2bl w:val="nil"/>
            </w:tcBorders>
            <w:shd w:val="clear" w:color="auto" w:fill="auto"/>
            <w:noWrap w:val="0"/>
            <w:vAlign w:val="center"/>
          </w:tcPr>
          <w:p w14:paraId="6ABD65C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78-87-5</w:t>
            </w:r>
          </w:p>
        </w:tc>
        <w:tc>
          <w:tcPr>
            <w:tcW w:w="735" w:type="pct"/>
            <w:tcBorders>
              <w:tl2br w:val="nil"/>
              <w:tr2bl w:val="nil"/>
            </w:tcBorders>
            <w:shd w:val="clear" w:color="auto" w:fill="auto"/>
            <w:noWrap w:val="0"/>
            <w:vAlign w:val="center"/>
          </w:tcPr>
          <w:p w14:paraId="58AF7E5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735" w:type="pct"/>
            <w:tcBorders>
              <w:tl2br w:val="nil"/>
              <w:tr2bl w:val="nil"/>
            </w:tcBorders>
            <w:shd w:val="clear" w:color="auto" w:fill="D9D9D9"/>
            <w:noWrap w:val="0"/>
            <w:vAlign w:val="center"/>
          </w:tcPr>
          <w:p w14:paraId="1C3657C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735" w:type="pct"/>
            <w:tcBorders>
              <w:tl2br w:val="nil"/>
              <w:tr2bl w:val="nil"/>
            </w:tcBorders>
            <w:noWrap w:val="0"/>
            <w:vAlign w:val="center"/>
          </w:tcPr>
          <w:p w14:paraId="72BAC7A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736" w:type="pct"/>
            <w:tcBorders>
              <w:tl2br w:val="nil"/>
              <w:tr2bl w:val="nil"/>
            </w:tcBorders>
            <w:noWrap w:val="0"/>
            <w:vAlign w:val="center"/>
          </w:tcPr>
          <w:p w14:paraId="2121329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47</w:t>
            </w:r>
          </w:p>
        </w:tc>
      </w:tr>
      <w:tr w14:paraId="1A13C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16AEDD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18</w:t>
            </w:r>
          </w:p>
        </w:tc>
        <w:tc>
          <w:tcPr>
            <w:tcW w:w="850" w:type="pct"/>
            <w:tcBorders>
              <w:tl2br w:val="nil"/>
              <w:tr2bl w:val="nil"/>
            </w:tcBorders>
            <w:shd w:val="clear" w:color="auto" w:fill="auto"/>
            <w:noWrap w:val="0"/>
            <w:vAlign w:val="center"/>
          </w:tcPr>
          <w:p w14:paraId="55DCF0D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w:t>
            </w:r>
            <w:r>
              <w:rPr>
                <w:rFonts w:hint="eastAsia" w:cs="Times New Roman"/>
                <w:color w:val="auto"/>
                <w:highlight w:val="none"/>
                <w:lang w:eastAsia="zh-CN"/>
              </w:rPr>
              <w:t>,</w:t>
            </w:r>
            <w:r>
              <w:rPr>
                <w:rFonts w:ascii="Times New Roman" w:hAnsi="Times New Roman" w:eastAsia="宋体" w:cs="Times New Roman"/>
                <w:color w:val="auto"/>
                <w:highlight w:val="none"/>
              </w:rPr>
              <w:t>1</w:t>
            </w:r>
            <w:r>
              <w:rPr>
                <w:rFonts w:hint="eastAsia" w:cs="Times New Roman"/>
                <w:color w:val="auto"/>
                <w:highlight w:val="none"/>
                <w:lang w:eastAsia="zh-CN"/>
              </w:rPr>
              <w:t>,</w:t>
            </w:r>
            <w:r>
              <w:rPr>
                <w:rFonts w:ascii="Times New Roman" w:hAnsi="Times New Roman" w:eastAsia="宋体" w:cs="Times New Roman"/>
                <w:color w:val="auto"/>
                <w:highlight w:val="none"/>
              </w:rPr>
              <w:t>2-四氯乙烷</w:t>
            </w:r>
          </w:p>
        </w:tc>
        <w:tc>
          <w:tcPr>
            <w:tcW w:w="842" w:type="pct"/>
            <w:tcBorders>
              <w:tl2br w:val="nil"/>
              <w:tr2bl w:val="nil"/>
            </w:tcBorders>
            <w:shd w:val="clear" w:color="auto" w:fill="auto"/>
            <w:noWrap w:val="0"/>
            <w:vAlign w:val="center"/>
          </w:tcPr>
          <w:p w14:paraId="4782FC5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630-20-6</w:t>
            </w:r>
          </w:p>
        </w:tc>
        <w:tc>
          <w:tcPr>
            <w:tcW w:w="735" w:type="pct"/>
            <w:tcBorders>
              <w:tl2br w:val="nil"/>
              <w:tr2bl w:val="nil"/>
            </w:tcBorders>
            <w:shd w:val="clear" w:color="auto" w:fill="auto"/>
            <w:noWrap w:val="0"/>
            <w:vAlign w:val="center"/>
          </w:tcPr>
          <w:p w14:paraId="63DC98C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2.6</w:t>
            </w:r>
          </w:p>
        </w:tc>
        <w:tc>
          <w:tcPr>
            <w:tcW w:w="735" w:type="pct"/>
            <w:tcBorders>
              <w:tl2br w:val="nil"/>
              <w:tr2bl w:val="nil"/>
            </w:tcBorders>
            <w:shd w:val="clear" w:color="auto" w:fill="D9D9D9"/>
            <w:noWrap w:val="0"/>
            <w:vAlign w:val="center"/>
          </w:tcPr>
          <w:p w14:paraId="0C81EB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735" w:type="pct"/>
            <w:tcBorders>
              <w:tl2br w:val="nil"/>
              <w:tr2bl w:val="nil"/>
            </w:tcBorders>
            <w:noWrap w:val="0"/>
            <w:vAlign w:val="center"/>
          </w:tcPr>
          <w:p w14:paraId="1E8B1F3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26</w:t>
            </w:r>
          </w:p>
        </w:tc>
        <w:tc>
          <w:tcPr>
            <w:tcW w:w="736" w:type="pct"/>
            <w:tcBorders>
              <w:tl2br w:val="nil"/>
              <w:tr2bl w:val="nil"/>
            </w:tcBorders>
            <w:noWrap w:val="0"/>
            <w:vAlign w:val="center"/>
          </w:tcPr>
          <w:p w14:paraId="0F90389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100</w:t>
            </w:r>
          </w:p>
        </w:tc>
      </w:tr>
      <w:tr w14:paraId="368CE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5E9EA4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19</w:t>
            </w:r>
          </w:p>
        </w:tc>
        <w:tc>
          <w:tcPr>
            <w:tcW w:w="850" w:type="pct"/>
            <w:tcBorders>
              <w:tl2br w:val="nil"/>
              <w:tr2bl w:val="nil"/>
            </w:tcBorders>
            <w:shd w:val="clear" w:color="auto" w:fill="auto"/>
            <w:noWrap w:val="0"/>
            <w:vAlign w:val="center"/>
          </w:tcPr>
          <w:p w14:paraId="4DA8C46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w:t>
            </w:r>
            <w:r>
              <w:rPr>
                <w:rFonts w:hint="eastAsia" w:cs="Times New Roman"/>
                <w:color w:val="auto"/>
                <w:highlight w:val="none"/>
                <w:lang w:eastAsia="zh-CN"/>
              </w:rPr>
              <w:t>,</w:t>
            </w:r>
            <w:r>
              <w:rPr>
                <w:rFonts w:ascii="Times New Roman" w:hAnsi="Times New Roman" w:eastAsia="宋体" w:cs="Times New Roman"/>
                <w:color w:val="auto"/>
                <w:highlight w:val="none"/>
              </w:rPr>
              <w:t>2</w:t>
            </w:r>
            <w:r>
              <w:rPr>
                <w:rFonts w:hint="eastAsia" w:cs="Times New Roman"/>
                <w:color w:val="auto"/>
                <w:highlight w:val="none"/>
                <w:lang w:eastAsia="zh-CN"/>
              </w:rPr>
              <w:t>,</w:t>
            </w:r>
            <w:r>
              <w:rPr>
                <w:rFonts w:ascii="Times New Roman" w:hAnsi="Times New Roman" w:eastAsia="宋体" w:cs="Times New Roman"/>
                <w:color w:val="auto"/>
                <w:highlight w:val="none"/>
              </w:rPr>
              <w:t>2-四氯乙烷</w:t>
            </w:r>
          </w:p>
        </w:tc>
        <w:tc>
          <w:tcPr>
            <w:tcW w:w="842" w:type="pct"/>
            <w:tcBorders>
              <w:tl2br w:val="nil"/>
              <w:tr2bl w:val="nil"/>
            </w:tcBorders>
            <w:shd w:val="clear" w:color="auto" w:fill="auto"/>
            <w:noWrap w:val="0"/>
            <w:vAlign w:val="center"/>
          </w:tcPr>
          <w:p w14:paraId="732586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79-34-5</w:t>
            </w:r>
          </w:p>
        </w:tc>
        <w:tc>
          <w:tcPr>
            <w:tcW w:w="735" w:type="pct"/>
            <w:tcBorders>
              <w:tl2br w:val="nil"/>
              <w:tr2bl w:val="nil"/>
            </w:tcBorders>
            <w:shd w:val="clear" w:color="auto" w:fill="auto"/>
            <w:noWrap w:val="0"/>
            <w:vAlign w:val="center"/>
          </w:tcPr>
          <w:p w14:paraId="0412842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w:t>
            </w:r>
          </w:p>
        </w:tc>
        <w:tc>
          <w:tcPr>
            <w:tcW w:w="735" w:type="pct"/>
            <w:tcBorders>
              <w:tl2br w:val="nil"/>
              <w:tr2bl w:val="nil"/>
            </w:tcBorders>
            <w:shd w:val="clear" w:color="auto" w:fill="D9D9D9"/>
            <w:noWrap w:val="0"/>
            <w:vAlign w:val="center"/>
          </w:tcPr>
          <w:p w14:paraId="611405B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6.8</w:t>
            </w:r>
          </w:p>
        </w:tc>
        <w:tc>
          <w:tcPr>
            <w:tcW w:w="735" w:type="pct"/>
            <w:tcBorders>
              <w:tl2br w:val="nil"/>
              <w:tr2bl w:val="nil"/>
            </w:tcBorders>
            <w:noWrap w:val="0"/>
            <w:vAlign w:val="center"/>
          </w:tcPr>
          <w:p w14:paraId="6BCA7DF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14</w:t>
            </w:r>
          </w:p>
        </w:tc>
        <w:tc>
          <w:tcPr>
            <w:tcW w:w="736" w:type="pct"/>
            <w:tcBorders>
              <w:tl2br w:val="nil"/>
              <w:tr2bl w:val="nil"/>
            </w:tcBorders>
            <w:noWrap w:val="0"/>
            <w:vAlign w:val="center"/>
          </w:tcPr>
          <w:p w14:paraId="3EDCB97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w:t>
            </w:r>
          </w:p>
        </w:tc>
      </w:tr>
      <w:tr w14:paraId="3C9EF5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B14A5C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850" w:type="pct"/>
            <w:tcBorders>
              <w:tl2br w:val="nil"/>
              <w:tr2bl w:val="nil"/>
            </w:tcBorders>
            <w:shd w:val="clear" w:color="auto" w:fill="auto"/>
            <w:noWrap w:val="0"/>
            <w:vAlign w:val="center"/>
          </w:tcPr>
          <w:p w14:paraId="5E64DF1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四氯乙烯</w:t>
            </w:r>
          </w:p>
        </w:tc>
        <w:tc>
          <w:tcPr>
            <w:tcW w:w="842" w:type="pct"/>
            <w:tcBorders>
              <w:tl2br w:val="nil"/>
              <w:tr2bl w:val="nil"/>
            </w:tcBorders>
            <w:shd w:val="clear" w:color="auto" w:fill="auto"/>
            <w:noWrap w:val="0"/>
            <w:vAlign w:val="center"/>
          </w:tcPr>
          <w:p w14:paraId="09F70E3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127-18-4</w:t>
            </w:r>
          </w:p>
        </w:tc>
        <w:tc>
          <w:tcPr>
            <w:tcW w:w="735" w:type="pct"/>
            <w:tcBorders>
              <w:tl2br w:val="nil"/>
              <w:tr2bl w:val="nil"/>
            </w:tcBorders>
            <w:shd w:val="clear" w:color="auto" w:fill="auto"/>
            <w:noWrap w:val="0"/>
            <w:vAlign w:val="center"/>
          </w:tcPr>
          <w:p w14:paraId="546AE72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11</w:t>
            </w:r>
          </w:p>
        </w:tc>
        <w:tc>
          <w:tcPr>
            <w:tcW w:w="735" w:type="pct"/>
            <w:tcBorders>
              <w:tl2br w:val="nil"/>
              <w:tr2bl w:val="nil"/>
            </w:tcBorders>
            <w:shd w:val="clear" w:color="auto" w:fill="D9D9D9"/>
            <w:noWrap w:val="0"/>
            <w:vAlign w:val="center"/>
          </w:tcPr>
          <w:p w14:paraId="0F841B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53</w:t>
            </w:r>
          </w:p>
        </w:tc>
        <w:tc>
          <w:tcPr>
            <w:tcW w:w="735" w:type="pct"/>
            <w:tcBorders>
              <w:tl2br w:val="nil"/>
              <w:tr2bl w:val="nil"/>
            </w:tcBorders>
            <w:noWrap w:val="0"/>
            <w:vAlign w:val="center"/>
          </w:tcPr>
          <w:p w14:paraId="56B22B5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34</w:t>
            </w:r>
          </w:p>
        </w:tc>
        <w:tc>
          <w:tcPr>
            <w:tcW w:w="736" w:type="pct"/>
            <w:tcBorders>
              <w:tl2br w:val="nil"/>
              <w:tr2bl w:val="nil"/>
            </w:tcBorders>
            <w:noWrap w:val="0"/>
            <w:vAlign w:val="center"/>
          </w:tcPr>
          <w:p w14:paraId="5E77A5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183</w:t>
            </w:r>
          </w:p>
        </w:tc>
      </w:tr>
      <w:tr w14:paraId="70A95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28D5CFB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w:t>
            </w:r>
          </w:p>
        </w:tc>
        <w:tc>
          <w:tcPr>
            <w:tcW w:w="850" w:type="pct"/>
            <w:tcBorders>
              <w:tl2br w:val="nil"/>
              <w:tr2bl w:val="nil"/>
            </w:tcBorders>
            <w:shd w:val="clear" w:color="auto" w:fill="auto"/>
            <w:noWrap w:val="0"/>
            <w:vAlign w:val="center"/>
          </w:tcPr>
          <w:p w14:paraId="261A760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w:t>
            </w:r>
            <w:r>
              <w:rPr>
                <w:rFonts w:hint="eastAsia" w:cs="Times New Roman"/>
                <w:color w:val="auto"/>
                <w:highlight w:val="none"/>
                <w:lang w:eastAsia="zh-CN"/>
              </w:rPr>
              <w:t>,</w:t>
            </w:r>
            <w:r>
              <w:rPr>
                <w:rFonts w:ascii="Times New Roman" w:hAnsi="Times New Roman" w:eastAsia="宋体" w:cs="Times New Roman"/>
                <w:color w:val="auto"/>
                <w:highlight w:val="none"/>
              </w:rPr>
              <w:t>1-三氯乙烷</w:t>
            </w:r>
          </w:p>
        </w:tc>
        <w:tc>
          <w:tcPr>
            <w:tcW w:w="842" w:type="pct"/>
            <w:tcBorders>
              <w:tl2br w:val="nil"/>
              <w:tr2bl w:val="nil"/>
            </w:tcBorders>
            <w:shd w:val="clear" w:color="auto" w:fill="auto"/>
            <w:noWrap w:val="0"/>
            <w:vAlign w:val="center"/>
          </w:tcPr>
          <w:p w14:paraId="400B711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72-55-6</w:t>
            </w:r>
          </w:p>
        </w:tc>
        <w:tc>
          <w:tcPr>
            <w:tcW w:w="735" w:type="pct"/>
            <w:tcBorders>
              <w:tl2br w:val="nil"/>
              <w:tr2bl w:val="nil"/>
            </w:tcBorders>
            <w:shd w:val="clear" w:color="auto" w:fill="auto"/>
            <w:noWrap w:val="0"/>
            <w:vAlign w:val="center"/>
          </w:tcPr>
          <w:p w14:paraId="38E47F9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701</w:t>
            </w:r>
          </w:p>
        </w:tc>
        <w:tc>
          <w:tcPr>
            <w:tcW w:w="735" w:type="pct"/>
            <w:tcBorders>
              <w:tl2br w:val="nil"/>
              <w:tr2bl w:val="nil"/>
            </w:tcBorders>
            <w:shd w:val="clear" w:color="auto" w:fill="D9D9D9"/>
            <w:noWrap w:val="0"/>
            <w:vAlign w:val="center"/>
          </w:tcPr>
          <w:p w14:paraId="09E637F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840</w:t>
            </w:r>
          </w:p>
        </w:tc>
        <w:tc>
          <w:tcPr>
            <w:tcW w:w="735" w:type="pct"/>
            <w:tcBorders>
              <w:tl2br w:val="nil"/>
              <w:tr2bl w:val="nil"/>
            </w:tcBorders>
            <w:noWrap w:val="0"/>
            <w:vAlign w:val="center"/>
          </w:tcPr>
          <w:p w14:paraId="371624C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840</w:t>
            </w:r>
          </w:p>
        </w:tc>
        <w:tc>
          <w:tcPr>
            <w:tcW w:w="736" w:type="pct"/>
            <w:tcBorders>
              <w:tl2br w:val="nil"/>
              <w:tr2bl w:val="nil"/>
            </w:tcBorders>
            <w:noWrap w:val="0"/>
            <w:vAlign w:val="center"/>
          </w:tcPr>
          <w:p w14:paraId="06EF479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840</w:t>
            </w:r>
          </w:p>
        </w:tc>
      </w:tr>
      <w:tr w14:paraId="7B91C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D99748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22</w:t>
            </w:r>
          </w:p>
        </w:tc>
        <w:tc>
          <w:tcPr>
            <w:tcW w:w="850" w:type="pct"/>
            <w:tcBorders>
              <w:tl2br w:val="nil"/>
              <w:tr2bl w:val="nil"/>
            </w:tcBorders>
            <w:shd w:val="clear" w:color="auto" w:fill="auto"/>
            <w:noWrap w:val="0"/>
            <w:vAlign w:val="center"/>
          </w:tcPr>
          <w:p w14:paraId="33C1F05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w:t>
            </w:r>
            <w:r>
              <w:rPr>
                <w:rFonts w:hint="eastAsia" w:cs="Times New Roman"/>
                <w:color w:val="auto"/>
                <w:highlight w:val="none"/>
                <w:lang w:eastAsia="zh-CN"/>
              </w:rPr>
              <w:t>,</w:t>
            </w:r>
            <w:r>
              <w:rPr>
                <w:rFonts w:ascii="Times New Roman" w:hAnsi="Times New Roman" w:eastAsia="宋体" w:cs="Times New Roman"/>
                <w:color w:val="auto"/>
                <w:highlight w:val="none"/>
              </w:rPr>
              <w:t>2-三氯乙烷</w:t>
            </w:r>
          </w:p>
        </w:tc>
        <w:tc>
          <w:tcPr>
            <w:tcW w:w="842" w:type="pct"/>
            <w:tcBorders>
              <w:tl2br w:val="nil"/>
              <w:tr2bl w:val="nil"/>
            </w:tcBorders>
            <w:shd w:val="clear" w:color="auto" w:fill="auto"/>
            <w:noWrap w:val="0"/>
            <w:vAlign w:val="center"/>
          </w:tcPr>
          <w:p w14:paraId="5EA9498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79-00-5</w:t>
            </w:r>
          </w:p>
        </w:tc>
        <w:tc>
          <w:tcPr>
            <w:tcW w:w="735" w:type="pct"/>
            <w:tcBorders>
              <w:tl2br w:val="nil"/>
              <w:tr2bl w:val="nil"/>
            </w:tcBorders>
            <w:shd w:val="clear" w:color="auto" w:fill="auto"/>
            <w:noWrap w:val="0"/>
            <w:vAlign w:val="center"/>
          </w:tcPr>
          <w:p w14:paraId="48879FF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0.6</w:t>
            </w:r>
          </w:p>
        </w:tc>
        <w:tc>
          <w:tcPr>
            <w:tcW w:w="735" w:type="pct"/>
            <w:tcBorders>
              <w:tl2br w:val="nil"/>
              <w:tr2bl w:val="nil"/>
            </w:tcBorders>
            <w:shd w:val="clear" w:color="auto" w:fill="D9D9D9"/>
            <w:noWrap w:val="0"/>
            <w:vAlign w:val="center"/>
          </w:tcPr>
          <w:p w14:paraId="098B0D0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p>
        </w:tc>
        <w:tc>
          <w:tcPr>
            <w:tcW w:w="735" w:type="pct"/>
            <w:tcBorders>
              <w:tl2br w:val="nil"/>
              <w:tr2bl w:val="nil"/>
            </w:tcBorders>
            <w:noWrap w:val="0"/>
            <w:vAlign w:val="center"/>
          </w:tcPr>
          <w:p w14:paraId="3935320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736" w:type="pct"/>
            <w:tcBorders>
              <w:tl2br w:val="nil"/>
              <w:tr2bl w:val="nil"/>
            </w:tcBorders>
            <w:noWrap w:val="0"/>
            <w:vAlign w:val="center"/>
          </w:tcPr>
          <w:p w14:paraId="39F019A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r>
      <w:tr w14:paraId="0D2EE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25BC725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23</w:t>
            </w:r>
          </w:p>
        </w:tc>
        <w:tc>
          <w:tcPr>
            <w:tcW w:w="850" w:type="pct"/>
            <w:tcBorders>
              <w:tl2br w:val="nil"/>
              <w:tr2bl w:val="nil"/>
            </w:tcBorders>
            <w:shd w:val="clear" w:color="auto" w:fill="auto"/>
            <w:noWrap w:val="0"/>
            <w:vAlign w:val="center"/>
          </w:tcPr>
          <w:p w14:paraId="1E7BE9B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三氯乙烯</w:t>
            </w:r>
          </w:p>
        </w:tc>
        <w:tc>
          <w:tcPr>
            <w:tcW w:w="842" w:type="pct"/>
            <w:tcBorders>
              <w:tl2br w:val="nil"/>
              <w:tr2bl w:val="nil"/>
            </w:tcBorders>
            <w:shd w:val="clear" w:color="auto" w:fill="auto"/>
            <w:noWrap w:val="0"/>
            <w:vAlign w:val="center"/>
          </w:tcPr>
          <w:p w14:paraId="767A33D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79-01-6</w:t>
            </w:r>
          </w:p>
        </w:tc>
        <w:tc>
          <w:tcPr>
            <w:tcW w:w="735" w:type="pct"/>
            <w:tcBorders>
              <w:tl2br w:val="nil"/>
              <w:tr2bl w:val="nil"/>
            </w:tcBorders>
            <w:shd w:val="clear" w:color="auto" w:fill="auto"/>
            <w:noWrap w:val="0"/>
            <w:vAlign w:val="center"/>
          </w:tcPr>
          <w:p w14:paraId="58131D6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0.7</w:t>
            </w:r>
          </w:p>
        </w:tc>
        <w:tc>
          <w:tcPr>
            <w:tcW w:w="735" w:type="pct"/>
            <w:tcBorders>
              <w:tl2br w:val="nil"/>
              <w:tr2bl w:val="nil"/>
            </w:tcBorders>
            <w:shd w:val="clear" w:color="auto" w:fill="D9D9D9"/>
            <w:noWrap w:val="0"/>
            <w:vAlign w:val="center"/>
          </w:tcPr>
          <w:p w14:paraId="345DD5D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p>
        </w:tc>
        <w:tc>
          <w:tcPr>
            <w:tcW w:w="735" w:type="pct"/>
            <w:tcBorders>
              <w:tl2br w:val="nil"/>
              <w:tr2bl w:val="nil"/>
            </w:tcBorders>
            <w:noWrap w:val="0"/>
            <w:vAlign w:val="center"/>
          </w:tcPr>
          <w:p w14:paraId="08ED76A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p>
        </w:tc>
        <w:tc>
          <w:tcPr>
            <w:tcW w:w="736" w:type="pct"/>
            <w:tcBorders>
              <w:tl2br w:val="nil"/>
              <w:tr2bl w:val="nil"/>
            </w:tcBorders>
            <w:noWrap w:val="0"/>
            <w:vAlign w:val="center"/>
          </w:tcPr>
          <w:p w14:paraId="0D49240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r>
      <w:tr w14:paraId="40AE56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576062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24</w:t>
            </w:r>
          </w:p>
        </w:tc>
        <w:tc>
          <w:tcPr>
            <w:tcW w:w="850" w:type="pct"/>
            <w:tcBorders>
              <w:tl2br w:val="nil"/>
              <w:tr2bl w:val="nil"/>
            </w:tcBorders>
            <w:shd w:val="clear" w:color="auto" w:fill="auto"/>
            <w:noWrap w:val="0"/>
            <w:vAlign w:val="center"/>
          </w:tcPr>
          <w:p w14:paraId="76816A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w:t>
            </w:r>
            <w:r>
              <w:rPr>
                <w:rFonts w:hint="eastAsia" w:cs="Times New Roman"/>
                <w:color w:val="auto"/>
                <w:highlight w:val="none"/>
                <w:lang w:eastAsia="zh-CN"/>
              </w:rPr>
              <w:t>,</w:t>
            </w:r>
            <w:r>
              <w:rPr>
                <w:rFonts w:ascii="Times New Roman" w:hAnsi="Times New Roman" w:eastAsia="宋体" w:cs="Times New Roman"/>
                <w:color w:val="auto"/>
                <w:highlight w:val="none"/>
              </w:rPr>
              <w:t>3-三氯丙烷</w:t>
            </w:r>
          </w:p>
        </w:tc>
        <w:tc>
          <w:tcPr>
            <w:tcW w:w="842" w:type="pct"/>
            <w:tcBorders>
              <w:tl2br w:val="nil"/>
              <w:tr2bl w:val="nil"/>
            </w:tcBorders>
            <w:shd w:val="clear" w:color="auto" w:fill="auto"/>
            <w:noWrap w:val="0"/>
            <w:vAlign w:val="center"/>
          </w:tcPr>
          <w:p w14:paraId="549A8E6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96-18-4</w:t>
            </w:r>
          </w:p>
        </w:tc>
        <w:tc>
          <w:tcPr>
            <w:tcW w:w="735" w:type="pct"/>
            <w:tcBorders>
              <w:tl2br w:val="nil"/>
              <w:tr2bl w:val="nil"/>
            </w:tcBorders>
            <w:shd w:val="clear" w:color="auto" w:fill="auto"/>
            <w:noWrap w:val="0"/>
            <w:vAlign w:val="center"/>
          </w:tcPr>
          <w:p w14:paraId="4E6E595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0.05</w:t>
            </w:r>
          </w:p>
        </w:tc>
        <w:tc>
          <w:tcPr>
            <w:tcW w:w="735" w:type="pct"/>
            <w:tcBorders>
              <w:tl2br w:val="nil"/>
              <w:tr2bl w:val="nil"/>
            </w:tcBorders>
            <w:shd w:val="clear" w:color="auto" w:fill="D9D9D9"/>
            <w:noWrap w:val="0"/>
            <w:vAlign w:val="center"/>
          </w:tcPr>
          <w:p w14:paraId="30E0205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w:t>
            </w:r>
          </w:p>
        </w:tc>
        <w:tc>
          <w:tcPr>
            <w:tcW w:w="735" w:type="pct"/>
            <w:tcBorders>
              <w:tl2br w:val="nil"/>
              <w:tr2bl w:val="nil"/>
            </w:tcBorders>
            <w:noWrap w:val="0"/>
            <w:vAlign w:val="center"/>
          </w:tcPr>
          <w:p w14:paraId="080839D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w:t>
            </w:r>
          </w:p>
        </w:tc>
        <w:tc>
          <w:tcPr>
            <w:tcW w:w="736" w:type="pct"/>
            <w:tcBorders>
              <w:tl2br w:val="nil"/>
              <w:tr2bl w:val="nil"/>
            </w:tcBorders>
            <w:noWrap w:val="0"/>
            <w:vAlign w:val="center"/>
          </w:tcPr>
          <w:p w14:paraId="421EDFC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r>
      <w:tr w14:paraId="7A4270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4558BB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w:t>
            </w:r>
          </w:p>
        </w:tc>
        <w:tc>
          <w:tcPr>
            <w:tcW w:w="850" w:type="pct"/>
            <w:tcBorders>
              <w:tl2br w:val="nil"/>
              <w:tr2bl w:val="nil"/>
            </w:tcBorders>
            <w:shd w:val="clear" w:color="auto" w:fill="auto"/>
            <w:noWrap w:val="0"/>
            <w:vAlign w:val="center"/>
          </w:tcPr>
          <w:p w14:paraId="36E8280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氯乙烯</w:t>
            </w:r>
          </w:p>
        </w:tc>
        <w:tc>
          <w:tcPr>
            <w:tcW w:w="842" w:type="pct"/>
            <w:tcBorders>
              <w:tl2br w:val="nil"/>
              <w:tr2bl w:val="nil"/>
            </w:tcBorders>
            <w:shd w:val="clear" w:color="auto" w:fill="auto"/>
            <w:noWrap w:val="0"/>
            <w:vAlign w:val="center"/>
          </w:tcPr>
          <w:p w14:paraId="2D02502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75-01-4</w:t>
            </w:r>
          </w:p>
        </w:tc>
        <w:tc>
          <w:tcPr>
            <w:tcW w:w="735" w:type="pct"/>
            <w:tcBorders>
              <w:tl2br w:val="nil"/>
              <w:tr2bl w:val="nil"/>
            </w:tcBorders>
            <w:shd w:val="clear" w:color="auto" w:fill="auto"/>
            <w:noWrap w:val="0"/>
            <w:vAlign w:val="center"/>
          </w:tcPr>
          <w:p w14:paraId="16EB30B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0.12</w:t>
            </w:r>
          </w:p>
        </w:tc>
        <w:tc>
          <w:tcPr>
            <w:tcW w:w="735" w:type="pct"/>
            <w:tcBorders>
              <w:tl2br w:val="nil"/>
              <w:tr2bl w:val="nil"/>
            </w:tcBorders>
            <w:shd w:val="clear" w:color="auto" w:fill="D9D9D9"/>
            <w:noWrap w:val="0"/>
            <w:vAlign w:val="center"/>
          </w:tcPr>
          <w:p w14:paraId="3065334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0.43</w:t>
            </w:r>
          </w:p>
        </w:tc>
        <w:tc>
          <w:tcPr>
            <w:tcW w:w="735" w:type="pct"/>
            <w:tcBorders>
              <w:tl2br w:val="nil"/>
              <w:tr2bl w:val="nil"/>
            </w:tcBorders>
            <w:noWrap w:val="0"/>
            <w:vAlign w:val="center"/>
          </w:tcPr>
          <w:p w14:paraId="5FAE968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w:t>
            </w:r>
          </w:p>
        </w:tc>
        <w:tc>
          <w:tcPr>
            <w:tcW w:w="736" w:type="pct"/>
            <w:tcBorders>
              <w:tl2br w:val="nil"/>
              <w:tr2bl w:val="nil"/>
            </w:tcBorders>
            <w:noWrap w:val="0"/>
            <w:vAlign w:val="center"/>
          </w:tcPr>
          <w:p w14:paraId="4D87DF7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4.3</w:t>
            </w:r>
          </w:p>
        </w:tc>
      </w:tr>
      <w:tr w14:paraId="2F7FE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5511A33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26</w:t>
            </w:r>
          </w:p>
        </w:tc>
        <w:tc>
          <w:tcPr>
            <w:tcW w:w="850" w:type="pct"/>
            <w:tcBorders>
              <w:tl2br w:val="nil"/>
              <w:tr2bl w:val="nil"/>
            </w:tcBorders>
            <w:shd w:val="clear" w:color="auto" w:fill="auto"/>
            <w:noWrap w:val="0"/>
            <w:vAlign w:val="center"/>
          </w:tcPr>
          <w:p w14:paraId="0A05ED8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苯</w:t>
            </w:r>
          </w:p>
        </w:tc>
        <w:tc>
          <w:tcPr>
            <w:tcW w:w="842" w:type="pct"/>
            <w:tcBorders>
              <w:tl2br w:val="nil"/>
              <w:tr2bl w:val="nil"/>
            </w:tcBorders>
            <w:shd w:val="clear" w:color="auto" w:fill="auto"/>
            <w:noWrap w:val="0"/>
            <w:vAlign w:val="center"/>
          </w:tcPr>
          <w:p w14:paraId="7BC4570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71-43-2</w:t>
            </w:r>
          </w:p>
        </w:tc>
        <w:tc>
          <w:tcPr>
            <w:tcW w:w="735" w:type="pct"/>
            <w:tcBorders>
              <w:tl2br w:val="nil"/>
              <w:tr2bl w:val="nil"/>
            </w:tcBorders>
            <w:shd w:val="clear" w:color="auto" w:fill="auto"/>
            <w:noWrap w:val="0"/>
            <w:vAlign w:val="center"/>
          </w:tcPr>
          <w:p w14:paraId="3AF32D1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735" w:type="pct"/>
            <w:tcBorders>
              <w:tl2br w:val="nil"/>
              <w:tr2bl w:val="nil"/>
            </w:tcBorders>
            <w:shd w:val="clear" w:color="auto" w:fill="D9D9D9"/>
            <w:noWrap w:val="0"/>
            <w:vAlign w:val="center"/>
          </w:tcPr>
          <w:p w14:paraId="1F665FB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735" w:type="pct"/>
            <w:tcBorders>
              <w:tl2br w:val="nil"/>
              <w:tr2bl w:val="nil"/>
            </w:tcBorders>
            <w:noWrap w:val="0"/>
            <w:vAlign w:val="center"/>
          </w:tcPr>
          <w:p w14:paraId="0F83A2A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736" w:type="pct"/>
            <w:tcBorders>
              <w:tl2br w:val="nil"/>
              <w:tr2bl w:val="nil"/>
            </w:tcBorders>
            <w:noWrap w:val="0"/>
            <w:vAlign w:val="center"/>
          </w:tcPr>
          <w:p w14:paraId="0F5D8C5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w:t>
            </w:r>
          </w:p>
        </w:tc>
      </w:tr>
      <w:tr w14:paraId="5BDA7D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5BC556C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27</w:t>
            </w:r>
          </w:p>
        </w:tc>
        <w:tc>
          <w:tcPr>
            <w:tcW w:w="850" w:type="pct"/>
            <w:tcBorders>
              <w:tl2br w:val="nil"/>
              <w:tr2bl w:val="nil"/>
            </w:tcBorders>
            <w:shd w:val="clear" w:color="auto" w:fill="auto"/>
            <w:noWrap w:val="0"/>
            <w:vAlign w:val="center"/>
          </w:tcPr>
          <w:p w14:paraId="7894B4B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氯苯</w:t>
            </w:r>
          </w:p>
        </w:tc>
        <w:tc>
          <w:tcPr>
            <w:tcW w:w="842" w:type="pct"/>
            <w:tcBorders>
              <w:tl2br w:val="nil"/>
              <w:tr2bl w:val="nil"/>
            </w:tcBorders>
            <w:shd w:val="clear" w:color="auto" w:fill="auto"/>
            <w:noWrap w:val="0"/>
            <w:vAlign w:val="center"/>
          </w:tcPr>
          <w:p w14:paraId="02B7EB5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80-90-7</w:t>
            </w:r>
          </w:p>
        </w:tc>
        <w:tc>
          <w:tcPr>
            <w:tcW w:w="735" w:type="pct"/>
            <w:tcBorders>
              <w:tl2br w:val="nil"/>
              <w:tr2bl w:val="nil"/>
            </w:tcBorders>
            <w:shd w:val="clear" w:color="auto" w:fill="auto"/>
            <w:noWrap w:val="0"/>
            <w:vAlign w:val="center"/>
          </w:tcPr>
          <w:p w14:paraId="1417C19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68</w:t>
            </w:r>
          </w:p>
        </w:tc>
        <w:tc>
          <w:tcPr>
            <w:tcW w:w="735" w:type="pct"/>
            <w:tcBorders>
              <w:tl2br w:val="nil"/>
              <w:tr2bl w:val="nil"/>
            </w:tcBorders>
            <w:shd w:val="clear" w:color="auto" w:fill="D9D9D9"/>
            <w:noWrap w:val="0"/>
            <w:vAlign w:val="center"/>
          </w:tcPr>
          <w:p w14:paraId="3A6D74C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270</w:t>
            </w:r>
          </w:p>
        </w:tc>
        <w:tc>
          <w:tcPr>
            <w:tcW w:w="735" w:type="pct"/>
            <w:tcBorders>
              <w:tl2br w:val="nil"/>
              <w:tr2bl w:val="nil"/>
            </w:tcBorders>
            <w:noWrap w:val="0"/>
            <w:vAlign w:val="center"/>
          </w:tcPr>
          <w:p w14:paraId="5CE19FD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w:t>
            </w:r>
          </w:p>
        </w:tc>
        <w:tc>
          <w:tcPr>
            <w:tcW w:w="736" w:type="pct"/>
            <w:tcBorders>
              <w:tl2br w:val="nil"/>
              <w:tr2bl w:val="nil"/>
            </w:tcBorders>
            <w:noWrap w:val="0"/>
            <w:vAlign w:val="center"/>
          </w:tcPr>
          <w:p w14:paraId="150EAA6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1000</w:t>
            </w:r>
          </w:p>
        </w:tc>
      </w:tr>
      <w:tr w14:paraId="2EAD8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2132FE9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p>
        </w:tc>
        <w:tc>
          <w:tcPr>
            <w:tcW w:w="850" w:type="pct"/>
            <w:tcBorders>
              <w:tl2br w:val="nil"/>
              <w:tr2bl w:val="nil"/>
            </w:tcBorders>
            <w:shd w:val="clear" w:color="auto" w:fill="auto"/>
            <w:noWrap w:val="0"/>
            <w:vAlign w:val="center"/>
          </w:tcPr>
          <w:p w14:paraId="1C1F89C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2-二氯苯</w:t>
            </w:r>
          </w:p>
        </w:tc>
        <w:tc>
          <w:tcPr>
            <w:tcW w:w="842" w:type="pct"/>
            <w:tcBorders>
              <w:tl2br w:val="nil"/>
              <w:tr2bl w:val="nil"/>
            </w:tcBorders>
            <w:shd w:val="clear" w:color="auto" w:fill="auto"/>
            <w:noWrap w:val="0"/>
            <w:vAlign w:val="center"/>
          </w:tcPr>
          <w:p w14:paraId="2E93A3F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95-50-1</w:t>
            </w:r>
          </w:p>
        </w:tc>
        <w:tc>
          <w:tcPr>
            <w:tcW w:w="735" w:type="pct"/>
            <w:tcBorders>
              <w:tl2br w:val="nil"/>
              <w:tr2bl w:val="nil"/>
            </w:tcBorders>
            <w:shd w:val="clear" w:color="auto" w:fill="auto"/>
            <w:noWrap w:val="0"/>
            <w:vAlign w:val="center"/>
          </w:tcPr>
          <w:p w14:paraId="2CC5457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560</w:t>
            </w:r>
          </w:p>
        </w:tc>
        <w:tc>
          <w:tcPr>
            <w:tcW w:w="735" w:type="pct"/>
            <w:tcBorders>
              <w:tl2br w:val="nil"/>
              <w:tr2bl w:val="nil"/>
            </w:tcBorders>
            <w:shd w:val="clear" w:color="auto" w:fill="D9D9D9"/>
            <w:noWrap w:val="0"/>
            <w:vAlign w:val="center"/>
          </w:tcPr>
          <w:p w14:paraId="4255266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560</w:t>
            </w:r>
          </w:p>
        </w:tc>
        <w:tc>
          <w:tcPr>
            <w:tcW w:w="735" w:type="pct"/>
            <w:tcBorders>
              <w:tl2br w:val="nil"/>
              <w:tr2bl w:val="nil"/>
            </w:tcBorders>
            <w:noWrap w:val="0"/>
            <w:vAlign w:val="center"/>
          </w:tcPr>
          <w:p w14:paraId="47F9C02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560</w:t>
            </w:r>
          </w:p>
        </w:tc>
        <w:tc>
          <w:tcPr>
            <w:tcW w:w="736" w:type="pct"/>
            <w:tcBorders>
              <w:tl2br w:val="nil"/>
              <w:tr2bl w:val="nil"/>
            </w:tcBorders>
            <w:noWrap w:val="0"/>
            <w:vAlign w:val="center"/>
          </w:tcPr>
          <w:p w14:paraId="4BC37F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560</w:t>
            </w:r>
          </w:p>
        </w:tc>
      </w:tr>
      <w:tr w14:paraId="195C4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13556E7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29</w:t>
            </w:r>
          </w:p>
        </w:tc>
        <w:tc>
          <w:tcPr>
            <w:tcW w:w="850" w:type="pct"/>
            <w:tcBorders>
              <w:tl2br w:val="nil"/>
              <w:tr2bl w:val="nil"/>
            </w:tcBorders>
            <w:shd w:val="clear" w:color="auto" w:fill="auto"/>
            <w:noWrap w:val="0"/>
            <w:vAlign w:val="center"/>
          </w:tcPr>
          <w:p w14:paraId="2542E9F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4-二氯苯</w:t>
            </w:r>
          </w:p>
        </w:tc>
        <w:tc>
          <w:tcPr>
            <w:tcW w:w="842" w:type="pct"/>
            <w:tcBorders>
              <w:tl2br w:val="nil"/>
              <w:tr2bl w:val="nil"/>
            </w:tcBorders>
            <w:shd w:val="clear" w:color="auto" w:fill="auto"/>
            <w:noWrap w:val="0"/>
            <w:vAlign w:val="center"/>
          </w:tcPr>
          <w:p w14:paraId="00F193F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106-46-7</w:t>
            </w:r>
          </w:p>
        </w:tc>
        <w:tc>
          <w:tcPr>
            <w:tcW w:w="735" w:type="pct"/>
            <w:tcBorders>
              <w:tl2br w:val="nil"/>
              <w:tr2bl w:val="nil"/>
            </w:tcBorders>
            <w:shd w:val="clear" w:color="auto" w:fill="auto"/>
            <w:noWrap w:val="0"/>
            <w:vAlign w:val="center"/>
          </w:tcPr>
          <w:p w14:paraId="0EF3DE4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w:t>
            </w:r>
          </w:p>
        </w:tc>
        <w:tc>
          <w:tcPr>
            <w:tcW w:w="735" w:type="pct"/>
            <w:tcBorders>
              <w:tl2br w:val="nil"/>
              <w:tr2bl w:val="nil"/>
            </w:tcBorders>
            <w:shd w:val="clear" w:color="auto" w:fill="D9D9D9"/>
            <w:noWrap w:val="0"/>
            <w:vAlign w:val="center"/>
          </w:tcPr>
          <w:p w14:paraId="5AC1CF0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735" w:type="pct"/>
            <w:tcBorders>
              <w:tl2br w:val="nil"/>
              <w:tr2bl w:val="nil"/>
            </w:tcBorders>
            <w:noWrap w:val="0"/>
            <w:vAlign w:val="center"/>
          </w:tcPr>
          <w:p w14:paraId="132AE4A5">
            <w:pPr>
              <w:pStyle w:val="1358"/>
              <w:rPr>
                <w:rFonts w:ascii="Times New Roman" w:hAnsi="Times New Roman" w:eastAsia="宋体" w:cs="Times New Roman"/>
                <w:color w:val="auto"/>
                <w:highlight w:val="none"/>
              </w:rPr>
            </w:pPr>
          </w:p>
        </w:tc>
        <w:tc>
          <w:tcPr>
            <w:tcW w:w="736" w:type="pct"/>
            <w:tcBorders>
              <w:tl2br w:val="nil"/>
              <w:tr2bl w:val="nil"/>
            </w:tcBorders>
            <w:noWrap w:val="0"/>
            <w:vAlign w:val="center"/>
          </w:tcPr>
          <w:p w14:paraId="05E9BF1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200</w:t>
            </w:r>
          </w:p>
        </w:tc>
      </w:tr>
      <w:tr w14:paraId="40F02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CDC97F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w:t>
            </w:r>
          </w:p>
        </w:tc>
        <w:tc>
          <w:tcPr>
            <w:tcW w:w="850" w:type="pct"/>
            <w:tcBorders>
              <w:tl2br w:val="nil"/>
              <w:tr2bl w:val="nil"/>
            </w:tcBorders>
            <w:shd w:val="clear" w:color="auto" w:fill="auto"/>
            <w:noWrap w:val="0"/>
            <w:vAlign w:val="center"/>
          </w:tcPr>
          <w:p w14:paraId="1B142DF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乙苯</w:t>
            </w:r>
          </w:p>
        </w:tc>
        <w:tc>
          <w:tcPr>
            <w:tcW w:w="842" w:type="pct"/>
            <w:tcBorders>
              <w:tl2br w:val="nil"/>
              <w:tr2bl w:val="nil"/>
            </w:tcBorders>
            <w:shd w:val="clear" w:color="auto" w:fill="auto"/>
            <w:noWrap w:val="0"/>
            <w:vAlign w:val="center"/>
          </w:tcPr>
          <w:p w14:paraId="07555D7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100-41-4</w:t>
            </w:r>
          </w:p>
        </w:tc>
        <w:tc>
          <w:tcPr>
            <w:tcW w:w="735" w:type="pct"/>
            <w:tcBorders>
              <w:tl2br w:val="nil"/>
              <w:tr2bl w:val="nil"/>
            </w:tcBorders>
            <w:shd w:val="clear" w:color="auto" w:fill="auto"/>
            <w:noWrap w:val="0"/>
            <w:vAlign w:val="center"/>
          </w:tcPr>
          <w:p w14:paraId="500E937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7.2</w:t>
            </w:r>
          </w:p>
        </w:tc>
        <w:tc>
          <w:tcPr>
            <w:tcW w:w="735" w:type="pct"/>
            <w:tcBorders>
              <w:tl2br w:val="nil"/>
              <w:tr2bl w:val="nil"/>
            </w:tcBorders>
            <w:shd w:val="clear" w:color="auto" w:fill="D9D9D9"/>
            <w:noWrap w:val="0"/>
            <w:vAlign w:val="center"/>
          </w:tcPr>
          <w:p w14:paraId="31F682E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p>
        </w:tc>
        <w:tc>
          <w:tcPr>
            <w:tcW w:w="735" w:type="pct"/>
            <w:tcBorders>
              <w:tl2br w:val="nil"/>
              <w:tr2bl w:val="nil"/>
            </w:tcBorders>
            <w:noWrap w:val="0"/>
            <w:vAlign w:val="center"/>
          </w:tcPr>
          <w:p w14:paraId="4D788D3C">
            <w:pPr>
              <w:pStyle w:val="1358"/>
              <w:rPr>
                <w:rFonts w:ascii="Times New Roman" w:hAnsi="Times New Roman" w:eastAsia="宋体" w:cs="Times New Roman"/>
                <w:color w:val="auto"/>
                <w:highlight w:val="none"/>
              </w:rPr>
            </w:pPr>
          </w:p>
        </w:tc>
        <w:tc>
          <w:tcPr>
            <w:tcW w:w="736" w:type="pct"/>
            <w:tcBorders>
              <w:tl2br w:val="nil"/>
              <w:tr2bl w:val="nil"/>
            </w:tcBorders>
            <w:noWrap w:val="0"/>
            <w:vAlign w:val="center"/>
          </w:tcPr>
          <w:p w14:paraId="731F282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280</w:t>
            </w:r>
          </w:p>
        </w:tc>
      </w:tr>
      <w:tr w14:paraId="40C21D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234176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31</w:t>
            </w:r>
          </w:p>
        </w:tc>
        <w:tc>
          <w:tcPr>
            <w:tcW w:w="850" w:type="pct"/>
            <w:tcBorders>
              <w:tl2br w:val="nil"/>
              <w:tr2bl w:val="nil"/>
            </w:tcBorders>
            <w:shd w:val="clear" w:color="auto" w:fill="auto"/>
            <w:noWrap w:val="0"/>
            <w:vAlign w:val="center"/>
          </w:tcPr>
          <w:p w14:paraId="7C36335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苯乙烯</w:t>
            </w:r>
          </w:p>
        </w:tc>
        <w:tc>
          <w:tcPr>
            <w:tcW w:w="842" w:type="pct"/>
            <w:tcBorders>
              <w:tl2br w:val="nil"/>
              <w:tr2bl w:val="nil"/>
            </w:tcBorders>
            <w:shd w:val="clear" w:color="auto" w:fill="auto"/>
            <w:noWrap w:val="0"/>
            <w:vAlign w:val="center"/>
          </w:tcPr>
          <w:p w14:paraId="69D7646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100-42-5</w:t>
            </w:r>
          </w:p>
        </w:tc>
        <w:tc>
          <w:tcPr>
            <w:tcW w:w="735" w:type="pct"/>
            <w:tcBorders>
              <w:tl2br w:val="nil"/>
              <w:tr2bl w:val="nil"/>
            </w:tcBorders>
            <w:shd w:val="clear" w:color="auto" w:fill="auto"/>
            <w:noWrap w:val="0"/>
            <w:vAlign w:val="center"/>
          </w:tcPr>
          <w:p w14:paraId="5206EAF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1290</w:t>
            </w:r>
          </w:p>
        </w:tc>
        <w:tc>
          <w:tcPr>
            <w:tcW w:w="735" w:type="pct"/>
            <w:tcBorders>
              <w:tl2br w:val="nil"/>
              <w:tr2bl w:val="nil"/>
            </w:tcBorders>
            <w:shd w:val="clear" w:color="auto" w:fill="D9D9D9"/>
            <w:noWrap w:val="0"/>
            <w:vAlign w:val="center"/>
          </w:tcPr>
          <w:p w14:paraId="700A009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1290</w:t>
            </w:r>
          </w:p>
        </w:tc>
        <w:tc>
          <w:tcPr>
            <w:tcW w:w="735" w:type="pct"/>
            <w:tcBorders>
              <w:tl2br w:val="nil"/>
              <w:tr2bl w:val="nil"/>
            </w:tcBorders>
            <w:noWrap w:val="0"/>
            <w:vAlign w:val="center"/>
          </w:tcPr>
          <w:p w14:paraId="4FD990A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1290</w:t>
            </w:r>
          </w:p>
        </w:tc>
        <w:tc>
          <w:tcPr>
            <w:tcW w:w="736" w:type="pct"/>
            <w:tcBorders>
              <w:tl2br w:val="nil"/>
              <w:tr2bl w:val="nil"/>
            </w:tcBorders>
            <w:noWrap w:val="0"/>
            <w:vAlign w:val="center"/>
          </w:tcPr>
          <w:p w14:paraId="2AAEDDD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1290</w:t>
            </w:r>
          </w:p>
        </w:tc>
      </w:tr>
      <w:tr w14:paraId="08868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D5527A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32</w:t>
            </w:r>
          </w:p>
        </w:tc>
        <w:tc>
          <w:tcPr>
            <w:tcW w:w="850" w:type="pct"/>
            <w:tcBorders>
              <w:tl2br w:val="nil"/>
              <w:tr2bl w:val="nil"/>
            </w:tcBorders>
            <w:shd w:val="clear" w:color="auto" w:fill="auto"/>
            <w:noWrap w:val="0"/>
            <w:vAlign w:val="center"/>
          </w:tcPr>
          <w:p w14:paraId="3C5ADF9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甲苯</w:t>
            </w:r>
          </w:p>
        </w:tc>
        <w:tc>
          <w:tcPr>
            <w:tcW w:w="842" w:type="pct"/>
            <w:tcBorders>
              <w:tl2br w:val="nil"/>
              <w:tr2bl w:val="nil"/>
            </w:tcBorders>
            <w:shd w:val="clear" w:color="auto" w:fill="auto"/>
            <w:noWrap w:val="0"/>
            <w:vAlign w:val="center"/>
          </w:tcPr>
          <w:p w14:paraId="7BB6731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108-88-3</w:t>
            </w:r>
          </w:p>
        </w:tc>
        <w:tc>
          <w:tcPr>
            <w:tcW w:w="735" w:type="pct"/>
            <w:tcBorders>
              <w:tl2br w:val="nil"/>
              <w:tr2bl w:val="nil"/>
            </w:tcBorders>
            <w:shd w:val="clear" w:color="auto" w:fill="auto"/>
            <w:noWrap w:val="0"/>
            <w:vAlign w:val="center"/>
          </w:tcPr>
          <w:p w14:paraId="3689C69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1200</w:t>
            </w:r>
          </w:p>
        </w:tc>
        <w:tc>
          <w:tcPr>
            <w:tcW w:w="735" w:type="pct"/>
            <w:tcBorders>
              <w:tl2br w:val="nil"/>
              <w:tr2bl w:val="nil"/>
            </w:tcBorders>
            <w:shd w:val="clear" w:color="auto" w:fill="D9D9D9"/>
            <w:noWrap w:val="0"/>
            <w:vAlign w:val="center"/>
          </w:tcPr>
          <w:p w14:paraId="321AF2C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1200</w:t>
            </w:r>
          </w:p>
        </w:tc>
        <w:tc>
          <w:tcPr>
            <w:tcW w:w="735" w:type="pct"/>
            <w:tcBorders>
              <w:tl2br w:val="nil"/>
              <w:tr2bl w:val="nil"/>
            </w:tcBorders>
            <w:noWrap w:val="0"/>
            <w:vAlign w:val="center"/>
          </w:tcPr>
          <w:p w14:paraId="2CFAE49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1200</w:t>
            </w:r>
          </w:p>
        </w:tc>
        <w:tc>
          <w:tcPr>
            <w:tcW w:w="736" w:type="pct"/>
            <w:tcBorders>
              <w:tl2br w:val="nil"/>
              <w:tr2bl w:val="nil"/>
            </w:tcBorders>
            <w:noWrap w:val="0"/>
            <w:vAlign w:val="center"/>
          </w:tcPr>
          <w:p w14:paraId="63BD33A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1200</w:t>
            </w:r>
          </w:p>
        </w:tc>
      </w:tr>
      <w:tr w14:paraId="64CA9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94E08D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33</w:t>
            </w:r>
          </w:p>
        </w:tc>
        <w:tc>
          <w:tcPr>
            <w:tcW w:w="850" w:type="pct"/>
            <w:tcBorders>
              <w:tl2br w:val="nil"/>
              <w:tr2bl w:val="nil"/>
            </w:tcBorders>
            <w:shd w:val="clear" w:color="auto" w:fill="auto"/>
            <w:noWrap w:val="0"/>
            <w:vAlign w:val="center"/>
          </w:tcPr>
          <w:p w14:paraId="6D17C31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间二甲苯+对二甲苯</w:t>
            </w:r>
          </w:p>
        </w:tc>
        <w:tc>
          <w:tcPr>
            <w:tcW w:w="842" w:type="pct"/>
            <w:tcBorders>
              <w:tl2br w:val="nil"/>
              <w:tr2bl w:val="nil"/>
            </w:tcBorders>
            <w:shd w:val="clear" w:color="auto" w:fill="auto"/>
            <w:noWrap w:val="0"/>
            <w:vAlign w:val="center"/>
          </w:tcPr>
          <w:p w14:paraId="2F94D43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108-38-3</w:t>
            </w:r>
          </w:p>
          <w:p w14:paraId="76387BD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106-42-3</w:t>
            </w:r>
          </w:p>
        </w:tc>
        <w:tc>
          <w:tcPr>
            <w:tcW w:w="735" w:type="pct"/>
            <w:tcBorders>
              <w:tl2br w:val="nil"/>
              <w:tr2bl w:val="nil"/>
            </w:tcBorders>
            <w:shd w:val="clear" w:color="auto" w:fill="auto"/>
            <w:noWrap w:val="0"/>
            <w:vAlign w:val="center"/>
          </w:tcPr>
          <w:p w14:paraId="61E9AF2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w:t>
            </w:r>
          </w:p>
        </w:tc>
        <w:tc>
          <w:tcPr>
            <w:tcW w:w="735" w:type="pct"/>
            <w:tcBorders>
              <w:tl2br w:val="nil"/>
              <w:tr2bl w:val="nil"/>
            </w:tcBorders>
            <w:shd w:val="clear" w:color="auto" w:fill="D9D9D9"/>
            <w:noWrap w:val="0"/>
            <w:vAlign w:val="center"/>
          </w:tcPr>
          <w:p w14:paraId="123F2CF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570</w:t>
            </w:r>
          </w:p>
        </w:tc>
        <w:tc>
          <w:tcPr>
            <w:tcW w:w="735" w:type="pct"/>
            <w:tcBorders>
              <w:tl2br w:val="nil"/>
              <w:tr2bl w:val="nil"/>
            </w:tcBorders>
            <w:noWrap w:val="0"/>
            <w:vAlign w:val="center"/>
          </w:tcPr>
          <w:p w14:paraId="46D43B0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w:t>
            </w:r>
          </w:p>
        </w:tc>
        <w:tc>
          <w:tcPr>
            <w:tcW w:w="736" w:type="pct"/>
            <w:tcBorders>
              <w:tl2br w:val="nil"/>
              <w:tr2bl w:val="nil"/>
            </w:tcBorders>
            <w:noWrap w:val="0"/>
            <w:vAlign w:val="center"/>
          </w:tcPr>
          <w:p w14:paraId="1D71A77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570</w:t>
            </w:r>
          </w:p>
        </w:tc>
      </w:tr>
      <w:tr w14:paraId="1CBA3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E607B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34</w:t>
            </w:r>
          </w:p>
        </w:tc>
        <w:tc>
          <w:tcPr>
            <w:tcW w:w="850" w:type="pct"/>
            <w:tcBorders>
              <w:tl2br w:val="nil"/>
              <w:tr2bl w:val="nil"/>
            </w:tcBorders>
            <w:shd w:val="clear" w:color="auto" w:fill="auto"/>
            <w:noWrap w:val="0"/>
            <w:vAlign w:val="center"/>
          </w:tcPr>
          <w:p w14:paraId="4A7A7D3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邻二甲苯</w:t>
            </w:r>
          </w:p>
        </w:tc>
        <w:tc>
          <w:tcPr>
            <w:tcW w:w="842" w:type="pct"/>
            <w:tcBorders>
              <w:tl2br w:val="nil"/>
              <w:tr2bl w:val="nil"/>
            </w:tcBorders>
            <w:shd w:val="clear" w:color="auto" w:fill="auto"/>
            <w:noWrap w:val="0"/>
            <w:vAlign w:val="center"/>
          </w:tcPr>
          <w:p w14:paraId="7F7D6F9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95-47-6</w:t>
            </w:r>
          </w:p>
        </w:tc>
        <w:tc>
          <w:tcPr>
            <w:tcW w:w="735" w:type="pct"/>
            <w:tcBorders>
              <w:tl2br w:val="nil"/>
              <w:tr2bl w:val="nil"/>
            </w:tcBorders>
            <w:shd w:val="clear" w:color="auto" w:fill="auto"/>
            <w:noWrap w:val="0"/>
            <w:vAlign w:val="center"/>
          </w:tcPr>
          <w:p w14:paraId="76CF8B6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222</w:t>
            </w:r>
          </w:p>
        </w:tc>
        <w:tc>
          <w:tcPr>
            <w:tcW w:w="735" w:type="pct"/>
            <w:tcBorders>
              <w:tl2br w:val="nil"/>
              <w:tr2bl w:val="nil"/>
            </w:tcBorders>
            <w:shd w:val="clear" w:color="auto" w:fill="D9D9D9"/>
            <w:noWrap w:val="0"/>
            <w:vAlign w:val="center"/>
          </w:tcPr>
          <w:p w14:paraId="67C0EDE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640</w:t>
            </w:r>
          </w:p>
        </w:tc>
        <w:tc>
          <w:tcPr>
            <w:tcW w:w="735" w:type="pct"/>
            <w:tcBorders>
              <w:tl2br w:val="nil"/>
              <w:tr2bl w:val="nil"/>
            </w:tcBorders>
            <w:noWrap w:val="0"/>
            <w:vAlign w:val="center"/>
          </w:tcPr>
          <w:p w14:paraId="1AE7AC0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640</w:t>
            </w:r>
          </w:p>
        </w:tc>
        <w:tc>
          <w:tcPr>
            <w:tcW w:w="736" w:type="pct"/>
            <w:tcBorders>
              <w:tl2br w:val="nil"/>
              <w:tr2bl w:val="nil"/>
            </w:tcBorders>
            <w:noWrap w:val="0"/>
            <w:vAlign w:val="center"/>
          </w:tcPr>
          <w:p w14:paraId="3DBDE4D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640</w:t>
            </w:r>
          </w:p>
        </w:tc>
      </w:tr>
      <w:tr w14:paraId="1A9FE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tcBorders>
              <w:tl2br w:val="nil"/>
              <w:tr2bl w:val="nil"/>
            </w:tcBorders>
            <w:shd w:val="clear" w:color="auto" w:fill="D9D9D9"/>
            <w:noWrap w:val="0"/>
            <w:vAlign w:val="center"/>
          </w:tcPr>
          <w:p w14:paraId="38F4175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半挥发有机物</w:t>
            </w:r>
          </w:p>
        </w:tc>
      </w:tr>
      <w:tr w14:paraId="715ED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2B3E14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35</w:t>
            </w:r>
          </w:p>
        </w:tc>
        <w:tc>
          <w:tcPr>
            <w:tcW w:w="850" w:type="pct"/>
            <w:tcBorders>
              <w:tl2br w:val="nil"/>
              <w:tr2bl w:val="nil"/>
            </w:tcBorders>
            <w:shd w:val="clear" w:color="auto" w:fill="auto"/>
            <w:noWrap w:val="0"/>
            <w:vAlign w:val="center"/>
          </w:tcPr>
          <w:p w14:paraId="056559F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硝基苯</w:t>
            </w:r>
          </w:p>
        </w:tc>
        <w:tc>
          <w:tcPr>
            <w:tcW w:w="842" w:type="pct"/>
            <w:tcBorders>
              <w:tl2br w:val="nil"/>
              <w:tr2bl w:val="nil"/>
            </w:tcBorders>
            <w:shd w:val="clear" w:color="auto" w:fill="auto"/>
            <w:noWrap w:val="0"/>
            <w:vAlign w:val="center"/>
          </w:tcPr>
          <w:p w14:paraId="3187CFB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98-95-3</w:t>
            </w:r>
          </w:p>
        </w:tc>
        <w:tc>
          <w:tcPr>
            <w:tcW w:w="735" w:type="pct"/>
            <w:tcBorders>
              <w:tl2br w:val="nil"/>
              <w:tr2bl w:val="nil"/>
            </w:tcBorders>
            <w:shd w:val="clear" w:color="auto" w:fill="auto"/>
            <w:noWrap w:val="0"/>
            <w:vAlign w:val="center"/>
          </w:tcPr>
          <w:p w14:paraId="36547C8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34</w:t>
            </w:r>
          </w:p>
        </w:tc>
        <w:tc>
          <w:tcPr>
            <w:tcW w:w="735" w:type="pct"/>
            <w:tcBorders>
              <w:tl2br w:val="nil"/>
              <w:tr2bl w:val="nil"/>
            </w:tcBorders>
            <w:shd w:val="clear" w:color="auto" w:fill="D9D9D9"/>
            <w:noWrap w:val="0"/>
            <w:vAlign w:val="center"/>
          </w:tcPr>
          <w:p w14:paraId="616C304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76</w:t>
            </w:r>
          </w:p>
        </w:tc>
        <w:tc>
          <w:tcPr>
            <w:tcW w:w="735" w:type="pct"/>
            <w:tcBorders>
              <w:tl2br w:val="nil"/>
              <w:tr2bl w:val="nil"/>
            </w:tcBorders>
            <w:noWrap w:val="0"/>
            <w:vAlign w:val="center"/>
          </w:tcPr>
          <w:p w14:paraId="4A41DE3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190</w:t>
            </w:r>
          </w:p>
        </w:tc>
        <w:tc>
          <w:tcPr>
            <w:tcW w:w="736" w:type="pct"/>
            <w:tcBorders>
              <w:tl2br w:val="nil"/>
              <w:tr2bl w:val="nil"/>
            </w:tcBorders>
            <w:noWrap w:val="0"/>
            <w:vAlign w:val="center"/>
          </w:tcPr>
          <w:p w14:paraId="5CCC08C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760</w:t>
            </w:r>
          </w:p>
        </w:tc>
      </w:tr>
      <w:tr w14:paraId="478E3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006550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36</w:t>
            </w:r>
          </w:p>
        </w:tc>
        <w:tc>
          <w:tcPr>
            <w:tcW w:w="850" w:type="pct"/>
            <w:tcBorders>
              <w:tl2br w:val="nil"/>
              <w:tr2bl w:val="nil"/>
            </w:tcBorders>
            <w:shd w:val="clear" w:color="auto" w:fill="auto"/>
            <w:noWrap w:val="0"/>
            <w:vAlign w:val="center"/>
          </w:tcPr>
          <w:p w14:paraId="71E1D4D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苯胺</w:t>
            </w:r>
          </w:p>
        </w:tc>
        <w:tc>
          <w:tcPr>
            <w:tcW w:w="842" w:type="pct"/>
            <w:tcBorders>
              <w:tl2br w:val="nil"/>
              <w:tr2bl w:val="nil"/>
            </w:tcBorders>
            <w:shd w:val="clear" w:color="auto" w:fill="auto"/>
            <w:noWrap w:val="0"/>
            <w:vAlign w:val="center"/>
          </w:tcPr>
          <w:p w14:paraId="4A2F75B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62-53-3</w:t>
            </w:r>
          </w:p>
        </w:tc>
        <w:tc>
          <w:tcPr>
            <w:tcW w:w="735" w:type="pct"/>
            <w:tcBorders>
              <w:tl2br w:val="nil"/>
              <w:tr2bl w:val="nil"/>
            </w:tcBorders>
            <w:shd w:val="clear" w:color="auto" w:fill="auto"/>
            <w:noWrap w:val="0"/>
            <w:vAlign w:val="center"/>
          </w:tcPr>
          <w:p w14:paraId="5AE9F8D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92</w:t>
            </w:r>
          </w:p>
        </w:tc>
        <w:tc>
          <w:tcPr>
            <w:tcW w:w="735" w:type="pct"/>
            <w:tcBorders>
              <w:tl2br w:val="nil"/>
              <w:tr2bl w:val="nil"/>
            </w:tcBorders>
            <w:shd w:val="clear" w:color="auto" w:fill="D9D9D9"/>
            <w:noWrap w:val="0"/>
            <w:vAlign w:val="center"/>
          </w:tcPr>
          <w:p w14:paraId="12C38F2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260</w:t>
            </w:r>
          </w:p>
        </w:tc>
        <w:tc>
          <w:tcPr>
            <w:tcW w:w="735" w:type="pct"/>
            <w:tcBorders>
              <w:tl2br w:val="nil"/>
              <w:tr2bl w:val="nil"/>
            </w:tcBorders>
            <w:noWrap w:val="0"/>
            <w:vAlign w:val="center"/>
          </w:tcPr>
          <w:p w14:paraId="1127F15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211</w:t>
            </w:r>
          </w:p>
        </w:tc>
        <w:tc>
          <w:tcPr>
            <w:tcW w:w="736" w:type="pct"/>
            <w:tcBorders>
              <w:tl2br w:val="nil"/>
              <w:tr2bl w:val="nil"/>
            </w:tcBorders>
            <w:noWrap w:val="0"/>
            <w:vAlign w:val="center"/>
          </w:tcPr>
          <w:p w14:paraId="094FFC2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663</w:t>
            </w:r>
          </w:p>
        </w:tc>
      </w:tr>
      <w:tr w14:paraId="29BA1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458D319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37</w:t>
            </w:r>
          </w:p>
        </w:tc>
        <w:tc>
          <w:tcPr>
            <w:tcW w:w="850" w:type="pct"/>
            <w:tcBorders>
              <w:tl2br w:val="nil"/>
              <w:tr2bl w:val="nil"/>
            </w:tcBorders>
            <w:shd w:val="clear" w:color="auto" w:fill="auto"/>
            <w:noWrap w:val="0"/>
            <w:vAlign w:val="center"/>
          </w:tcPr>
          <w:p w14:paraId="382B2FE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2-氯酚</w:t>
            </w:r>
          </w:p>
        </w:tc>
        <w:tc>
          <w:tcPr>
            <w:tcW w:w="842" w:type="pct"/>
            <w:tcBorders>
              <w:tl2br w:val="nil"/>
              <w:tr2bl w:val="nil"/>
            </w:tcBorders>
            <w:shd w:val="clear" w:color="auto" w:fill="auto"/>
            <w:noWrap w:val="0"/>
            <w:vAlign w:val="center"/>
          </w:tcPr>
          <w:p w14:paraId="355BD34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95-57-8</w:t>
            </w:r>
          </w:p>
        </w:tc>
        <w:tc>
          <w:tcPr>
            <w:tcW w:w="735" w:type="pct"/>
            <w:tcBorders>
              <w:tl2br w:val="nil"/>
              <w:tr2bl w:val="nil"/>
            </w:tcBorders>
            <w:shd w:val="clear" w:color="auto" w:fill="auto"/>
            <w:noWrap w:val="0"/>
            <w:vAlign w:val="center"/>
          </w:tcPr>
          <w:p w14:paraId="4E6881A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250</w:t>
            </w:r>
          </w:p>
        </w:tc>
        <w:tc>
          <w:tcPr>
            <w:tcW w:w="735" w:type="pct"/>
            <w:tcBorders>
              <w:tl2br w:val="nil"/>
              <w:tr2bl w:val="nil"/>
            </w:tcBorders>
            <w:shd w:val="clear" w:color="auto" w:fill="D9D9D9"/>
            <w:noWrap w:val="0"/>
            <w:vAlign w:val="center"/>
          </w:tcPr>
          <w:p w14:paraId="32F8952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2256</w:t>
            </w:r>
          </w:p>
        </w:tc>
        <w:tc>
          <w:tcPr>
            <w:tcW w:w="735" w:type="pct"/>
            <w:tcBorders>
              <w:tl2br w:val="nil"/>
              <w:tr2bl w:val="nil"/>
            </w:tcBorders>
            <w:noWrap w:val="0"/>
            <w:vAlign w:val="center"/>
          </w:tcPr>
          <w:p w14:paraId="5A6D8FB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w:t>
            </w:r>
          </w:p>
        </w:tc>
        <w:tc>
          <w:tcPr>
            <w:tcW w:w="736" w:type="pct"/>
            <w:tcBorders>
              <w:tl2br w:val="nil"/>
              <w:tr2bl w:val="nil"/>
            </w:tcBorders>
            <w:noWrap w:val="0"/>
            <w:vAlign w:val="center"/>
          </w:tcPr>
          <w:p w14:paraId="04387A2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4500</w:t>
            </w:r>
          </w:p>
        </w:tc>
      </w:tr>
      <w:tr w14:paraId="6DBA5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7D80ED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38</w:t>
            </w:r>
          </w:p>
        </w:tc>
        <w:tc>
          <w:tcPr>
            <w:tcW w:w="850" w:type="pct"/>
            <w:tcBorders>
              <w:tl2br w:val="nil"/>
              <w:tr2bl w:val="nil"/>
            </w:tcBorders>
            <w:shd w:val="clear" w:color="auto" w:fill="auto"/>
            <w:noWrap w:val="0"/>
            <w:vAlign w:val="center"/>
          </w:tcPr>
          <w:p w14:paraId="2321F77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苯并[a]蒽</w:t>
            </w:r>
          </w:p>
        </w:tc>
        <w:tc>
          <w:tcPr>
            <w:tcW w:w="842" w:type="pct"/>
            <w:tcBorders>
              <w:tl2br w:val="nil"/>
              <w:tr2bl w:val="nil"/>
            </w:tcBorders>
            <w:shd w:val="clear" w:color="auto" w:fill="auto"/>
            <w:noWrap w:val="0"/>
            <w:vAlign w:val="center"/>
          </w:tcPr>
          <w:p w14:paraId="683215B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56-55-3</w:t>
            </w:r>
          </w:p>
        </w:tc>
        <w:tc>
          <w:tcPr>
            <w:tcW w:w="735" w:type="pct"/>
            <w:tcBorders>
              <w:tl2br w:val="nil"/>
              <w:tr2bl w:val="nil"/>
            </w:tcBorders>
            <w:shd w:val="clear" w:color="auto" w:fill="auto"/>
            <w:noWrap w:val="0"/>
            <w:vAlign w:val="center"/>
          </w:tcPr>
          <w:p w14:paraId="5768AB5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5" w:type="pct"/>
            <w:tcBorders>
              <w:tl2br w:val="nil"/>
              <w:tr2bl w:val="nil"/>
            </w:tcBorders>
            <w:shd w:val="clear" w:color="auto" w:fill="D9D9D9"/>
            <w:noWrap w:val="0"/>
            <w:vAlign w:val="center"/>
          </w:tcPr>
          <w:p w14:paraId="7904F59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735" w:type="pct"/>
            <w:tcBorders>
              <w:tl2br w:val="nil"/>
              <w:tr2bl w:val="nil"/>
            </w:tcBorders>
            <w:noWrap w:val="0"/>
            <w:vAlign w:val="center"/>
          </w:tcPr>
          <w:p w14:paraId="2FDED50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6" w:type="pct"/>
            <w:tcBorders>
              <w:tl2br w:val="nil"/>
              <w:tr2bl w:val="nil"/>
            </w:tcBorders>
            <w:noWrap w:val="0"/>
            <w:vAlign w:val="center"/>
          </w:tcPr>
          <w:p w14:paraId="6959C8C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w:t>
            </w:r>
          </w:p>
        </w:tc>
      </w:tr>
      <w:tr w14:paraId="148D4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94D2E5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39</w:t>
            </w:r>
          </w:p>
        </w:tc>
        <w:tc>
          <w:tcPr>
            <w:tcW w:w="850" w:type="pct"/>
            <w:tcBorders>
              <w:tl2br w:val="nil"/>
              <w:tr2bl w:val="nil"/>
            </w:tcBorders>
            <w:shd w:val="clear" w:color="auto" w:fill="auto"/>
            <w:noWrap w:val="0"/>
            <w:vAlign w:val="center"/>
          </w:tcPr>
          <w:p w14:paraId="00D7C40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苯并[a]芘</w:t>
            </w:r>
          </w:p>
        </w:tc>
        <w:tc>
          <w:tcPr>
            <w:tcW w:w="842" w:type="pct"/>
            <w:tcBorders>
              <w:tl2br w:val="nil"/>
              <w:tr2bl w:val="nil"/>
            </w:tcBorders>
            <w:shd w:val="clear" w:color="auto" w:fill="auto"/>
            <w:noWrap w:val="0"/>
            <w:vAlign w:val="center"/>
          </w:tcPr>
          <w:p w14:paraId="65D05E0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50-32-8</w:t>
            </w:r>
          </w:p>
        </w:tc>
        <w:tc>
          <w:tcPr>
            <w:tcW w:w="735" w:type="pct"/>
            <w:tcBorders>
              <w:tl2br w:val="nil"/>
              <w:tr2bl w:val="nil"/>
            </w:tcBorders>
            <w:shd w:val="clear" w:color="auto" w:fill="auto"/>
            <w:noWrap w:val="0"/>
            <w:vAlign w:val="center"/>
          </w:tcPr>
          <w:p w14:paraId="6ED2A8A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0.55</w:t>
            </w:r>
          </w:p>
        </w:tc>
        <w:tc>
          <w:tcPr>
            <w:tcW w:w="735" w:type="pct"/>
            <w:tcBorders>
              <w:tl2br w:val="nil"/>
              <w:tr2bl w:val="nil"/>
            </w:tcBorders>
            <w:shd w:val="clear" w:color="auto" w:fill="D9D9D9"/>
            <w:noWrap w:val="0"/>
            <w:vAlign w:val="center"/>
          </w:tcPr>
          <w:p w14:paraId="46F389C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735" w:type="pct"/>
            <w:tcBorders>
              <w:tl2br w:val="nil"/>
              <w:tr2bl w:val="nil"/>
            </w:tcBorders>
            <w:noWrap w:val="0"/>
            <w:vAlign w:val="center"/>
          </w:tcPr>
          <w:p w14:paraId="54ABC73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6" w:type="pct"/>
            <w:tcBorders>
              <w:tl2br w:val="nil"/>
              <w:tr2bl w:val="nil"/>
            </w:tcBorders>
            <w:noWrap w:val="0"/>
            <w:vAlign w:val="center"/>
          </w:tcPr>
          <w:p w14:paraId="610C31F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r>
      <w:tr w14:paraId="070D7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2A0235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w:t>
            </w:r>
          </w:p>
        </w:tc>
        <w:tc>
          <w:tcPr>
            <w:tcW w:w="850" w:type="pct"/>
            <w:tcBorders>
              <w:tl2br w:val="nil"/>
              <w:tr2bl w:val="nil"/>
            </w:tcBorders>
            <w:shd w:val="clear" w:color="auto" w:fill="auto"/>
            <w:noWrap w:val="0"/>
            <w:vAlign w:val="center"/>
          </w:tcPr>
          <w:p w14:paraId="2D287BAD">
            <w:pPr>
              <w:pStyle w:val="1358"/>
              <w:rPr>
                <w:rFonts w:ascii="Times New Roman" w:hAnsi="Times New Roman" w:eastAsia="宋体" w:cs="Times New Roman"/>
                <w:color w:val="auto"/>
                <w:highlight w:val="none"/>
              </w:rPr>
            </w:pPr>
            <w:r>
              <w:rPr>
                <w:rFonts w:hint="eastAsia" w:cs="Times New Roman"/>
                <w:color w:val="auto"/>
                <w:highlight w:val="none"/>
                <w:lang w:eastAsia="zh-CN"/>
              </w:rPr>
              <w:t>苯并[b]荧蒽</w:t>
            </w:r>
          </w:p>
        </w:tc>
        <w:tc>
          <w:tcPr>
            <w:tcW w:w="842" w:type="pct"/>
            <w:tcBorders>
              <w:tl2br w:val="nil"/>
              <w:tr2bl w:val="nil"/>
            </w:tcBorders>
            <w:shd w:val="clear" w:color="auto" w:fill="auto"/>
            <w:noWrap w:val="0"/>
            <w:vAlign w:val="center"/>
          </w:tcPr>
          <w:p w14:paraId="6B7D160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205-99-2</w:t>
            </w:r>
          </w:p>
        </w:tc>
        <w:tc>
          <w:tcPr>
            <w:tcW w:w="735" w:type="pct"/>
            <w:tcBorders>
              <w:tl2br w:val="nil"/>
              <w:tr2bl w:val="nil"/>
            </w:tcBorders>
            <w:shd w:val="clear" w:color="auto" w:fill="auto"/>
            <w:noWrap w:val="0"/>
            <w:vAlign w:val="center"/>
          </w:tcPr>
          <w:p w14:paraId="2D2D2A8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5" w:type="pct"/>
            <w:tcBorders>
              <w:tl2br w:val="nil"/>
              <w:tr2bl w:val="nil"/>
            </w:tcBorders>
            <w:shd w:val="clear" w:color="auto" w:fill="D9D9D9"/>
            <w:noWrap w:val="0"/>
            <w:vAlign w:val="center"/>
          </w:tcPr>
          <w:p w14:paraId="6E3D0DF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735" w:type="pct"/>
            <w:tcBorders>
              <w:tl2br w:val="nil"/>
              <w:tr2bl w:val="nil"/>
            </w:tcBorders>
            <w:noWrap w:val="0"/>
            <w:vAlign w:val="center"/>
          </w:tcPr>
          <w:p w14:paraId="2F95A8B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6" w:type="pct"/>
            <w:tcBorders>
              <w:tl2br w:val="nil"/>
              <w:tr2bl w:val="nil"/>
            </w:tcBorders>
            <w:noWrap w:val="0"/>
            <w:vAlign w:val="center"/>
          </w:tcPr>
          <w:p w14:paraId="1A4707E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w:t>
            </w:r>
          </w:p>
        </w:tc>
      </w:tr>
      <w:tr w14:paraId="79414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3F323FD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41</w:t>
            </w:r>
          </w:p>
        </w:tc>
        <w:tc>
          <w:tcPr>
            <w:tcW w:w="850" w:type="pct"/>
            <w:tcBorders>
              <w:tl2br w:val="nil"/>
              <w:tr2bl w:val="nil"/>
            </w:tcBorders>
            <w:shd w:val="clear" w:color="auto" w:fill="auto"/>
            <w:noWrap w:val="0"/>
            <w:vAlign w:val="center"/>
          </w:tcPr>
          <w:p w14:paraId="3F1D8F9A">
            <w:pPr>
              <w:pStyle w:val="1358"/>
              <w:rPr>
                <w:rFonts w:ascii="Times New Roman" w:hAnsi="Times New Roman" w:eastAsia="宋体" w:cs="Times New Roman"/>
                <w:color w:val="auto"/>
                <w:highlight w:val="none"/>
              </w:rPr>
            </w:pPr>
            <w:r>
              <w:rPr>
                <w:rFonts w:hint="eastAsia" w:cs="Times New Roman"/>
                <w:color w:val="auto"/>
                <w:highlight w:val="none"/>
                <w:lang w:eastAsia="zh-CN"/>
              </w:rPr>
              <w:t>苯并[k]荧蒽</w:t>
            </w:r>
          </w:p>
        </w:tc>
        <w:tc>
          <w:tcPr>
            <w:tcW w:w="842" w:type="pct"/>
            <w:tcBorders>
              <w:tl2br w:val="nil"/>
              <w:tr2bl w:val="nil"/>
            </w:tcBorders>
            <w:shd w:val="clear" w:color="auto" w:fill="auto"/>
            <w:noWrap w:val="0"/>
            <w:vAlign w:val="center"/>
          </w:tcPr>
          <w:p w14:paraId="450024C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207-08-9</w:t>
            </w:r>
          </w:p>
        </w:tc>
        <w:tc>
          <w:tcPr>
            <w:tcW w:w="735" w:type="pct"/>
            <w:tcBorders>
              <w:tl2br w:val="nil"/>
              <w:tr2bl w:val="nil"/>
            </w:tcBorders>
            <w:shd w:val="clear" w:color="auto" w:fill="auto"/>
            <w:noWrap w:val="0"/>
            <w:vAlign w:val="center"/>
          </w:tcPr>
          <w:p w14:paraId="4B7DA07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5" w:type="pct"/>
            <w:tcBorders>
              <w:tl2br w:val="nil"/>
              <w:tr2bl w:val="nil"/>
            </w:tcBorders>
            <w:shd w:val="clear" w:color="auto" w:fill="D9D9D9"/>
            <w:noWrap w:val="0"/>
            <w:vAlign w:val="center"/>
          </w:tcPr>
          <w:p w14:paraId="23E528A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w:t>
            </w:r>
          </w:p>
        </w:tc>
        <w:tc>
          <w:tcPr>
            <w:tcW w:w="735" w:type="pct"/>
            <w:tcBorders>
              <w:tl2br w:val="nil"/>
              <w:tr2bl w:val="nil"/>
            </w:tcBorders>
            <w:noWrap w:val="0"/>
            <w:vAlign w:val="center"/>
          </w:tcPr>
          <w:p w14:paraId="594191D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550</w:t>
            </w:r>
          </w:p>
        </w:tc>
        <w:tc>
          <w:tcPr>
            <w:tcW w:w="736" w:type="pct"/>
            <w:tcBorders>
              <w:tl2br w:val="nil"/>
              <w:tr2bl w:val="nil"/>
            </w:tcBorders>
            <w:noWrap w:val="0"/>
            <w:vAlign w:val="center"/>
          </w:tcPr>
          <w:p w14:paraId="2C4BC32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1500</w:t>
            </w:r>
          </w:p>
        </w:tc>
      </w:tr>
      <w:tr w14:paraId="306D0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1EB3E05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42</w:t>
            </w:r>
          </w:p>
        </w:tc>
        <w:tc>
          <w:tcPr>
            <w:tcW w:w="850" w:type="pct"/>
            <w:tcBorders>
              <w:tl2br w:val="nil"/>
              <w:tr2bl w:val="nil"/>
            </w:tcBorders>
            <w:shd w:val="clear" w:color="auto" w:fill="auto"/>
            <w:noWrap w:val="0"/>
            <w:vAlign w:val="center"/>
          </w:tcPr>
          <w:p w14:paraId="041DB0C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䓛</w:t>
            </w:r>
          </w:p>
        </w:tc>
        <w:tc>
          <w:tcPr>
            <w:tcW w:w="842" w:type="pct"/>
            <w:tcBorders>
              <w:tl2br w:val="nil"/>
              <w:tr2bl w:val="nil"/>
            </w:tcBorders>
            <w:shd w:val="clear" w:color="auto" w:fill="auto"/>
            <w:noWrap w:val="0"/>
            <w:vAlign w:val="center"/>
          </w:tcPr>
          <w:p w14:paraId="02AF99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218-01-9</w:t>
            </w:r>
          </w:p>
        </w:tc>
        <w:tc>
          <w:tcPr>
            <w:tcW w:w="735" w:type="pct"/>
            <w:tcBorders>
              <w:tl2br w:val="nil"/>
              <w:tr2bl w:val="nil"/>
            </w:tcBorders>
            <w:shd w:val="clear" w:color="auto" w:fill="auto"/>
            <w:noWrap w:val="0"/>
            <w:vAlign w:val="center"/>
          </w:tcPr>
          <w:p w14:paraId="7DD513A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490</w:t>
            </w:r>
          </w:p>
        </w:tc>
        <w:tc>
          <w:tcPr>
            <w:tcW w:w="735" w:type="pct"/>
            <w:tcBorders>
              <w:tl2br w:val="nil"/>
              <w:tr2bl w:val="nil"/>
            </w:tcBorders>
            <w:shd w:val="clear" w:color="auto" w:fill="D9D9D9"/>
            <w:noWrap w:val="0"/>
            <w:vAlign w:val="center"/>
          </w:tcPr>
          <w:p w14:paraId="0D0DE82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1293</w:t>
            </w:r>
          </w:p>
        </w:tc>
        <w:tc>
          <w:tcPr>
            <w:tcW w:w="735" w:type="pct"/>
            <w:tcBorders>
              <w:tl2br w:val="nil"/>
              <w:tr2bl w:val="nil"/>
            </w:tcBorders>
            <w:noWrap w:val="0"/>
            <w:vAlign w:val="center"/>
          </w:tcPr>
          <w:p w14:paraId="6840C94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4900</w:t>
            </w:r>
          </w:p>
        </w:tc>
        <w:tc>
          <w:tcPr>
            <w:tcW w:w="736" w:type="pct"/>
            <w:tcBorders>
              <w:tl2br w:val="nil"/>
              <w:tr2bl w:val="nil"/>
            </w:tcBorders>
            <w:noWrap w:val="0"/>
            <w:vAlign w:val="center"/>
          </w:tcPr>
          <w:p w14:paraId="5D2BCB3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12900</w:t>
            </w:r>
          </w:p>
        </w:tc>
      </w:tr>
      <w:tr w14:paraId="7F163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3F895A1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43</w:t>
            </w:r>
          </w:p>
        </w:tc>
        <w:tc>
          <w:tcPr>
            <w:tcW w:w="850" w:type="pct"/>
            <w:tcBorders>
              <w:tl2br w:val="nil"/>
              <w:tr2bl w:val="nil"/>
            </w:tcBorders>
            <w:shd w:val="clear" w:color="auto" w:fill="auto"/>
            <w:noWrap w:val="0"/>
            <w:vAlign w:val="center"/>
          </w:tcPr>
          <w:p w14:paraId="1F4A644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二苯并[a，h]蒽</w:t>
            </w:r>
          </w:p>
        </w:tc>
        <w:tc>
          <w:tcPr>
            <w:tcW w:w="842" w:type="pct"/>
            <w:tcBorders>
              <w:tl2br w:val="nil"/>
              <w:tr2bl w:val="nil"/>
            </w:tcBorders>
            <w:shd w:val="clear" w:color="auto" w:fill="auto"/>
            <w:noWrap w:val="0"/>
            <w:vAlign w:val="center"/>
          </w:tcPr>
          <w:p w14:paraId="336878E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23-07-3</w:t>
            </w:r>
          </w:p>
        </w:tc>
        <w:tc>
          <w:tcPr>
            <w:tcW w:w="735" w:type="pct"/>
            <w:tcBorders>
              <w:tl2br w:val="nil"/>
              <w:tr2bl w:val="nil"/>
            </w:tcBorders>
            <w:shd w:val="clear" w:color="auto" w:fill="auto"/>
            <w:noWrap w:val="0"/>
            <w:vAlign w:val="center"/>
          </w:tcPr>
          <w:p w14:paraId="7935253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0.55</w:t>
            </w:r>
          </w:p>
        </w:tc>
        <w:tc>
          <w:tcPr>
            <w:tcW w:w="735" w:type="pct"/>
            <w:tcBorders>
              <w:tl2br w:val="nil"/>
              <w:tr2bl w:val="nil"/>
            </w:tcBorders>
            <w:shd w:val="clear" w:color="auto" w:fill="D9D9D9"/>
            <w:noWrap w:val="0"/>
            <w:vAlign w:val="center"/>
          </w:tcPr>
          <w:p w14:paraId="00ADB1B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735" w:type="pct"/>
            <w:tcBorders>
              <w:tl2br w:val="nil"/>
              <w:tr2bl w:val="nil"/>
            </w:tcBorders>
            <w:noWrap w:val="0"/>
            <w:vAlign w:val="center"/>
          </w:tcPr>
          <w:p w14:paraId="628154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6" w:type="pct"/>
            <w:tcBorders>
              <w:tl2br w:val="nil"/>
              <w:tr2bl w:val="nil"/>
            </w:tcBorders>
            <w:noWrap w:val="0"/>
            <w:vAlign w:val="center"/>
          </w:tcPr>
          <w:p w14:paraId="56858CE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r>
      <w:tr w14:paraId="06C892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736CB2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44</w:t>
            </w:r>
          </w:p>
        </w:tc>
        <w:tc>
          <w:tcPr>
            <w:tcW w:w="850" w:type="pct"/>
            <w:tcBorders>
              <w:tl2br w:val="nil"/>
              <w:tr2bl w:val="nil"/>
            </w:tcBorders>
            <w:shd w:val="clear" w:color="auto" w:fill="auto"/>
            <w:noWrap w:val="0"/>
            <w:vAlign w:val="center"/>
          </w:tcPr>
          <w:p w14:paraId="70BD468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茚并[1</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3-cd]芘</w:t>
            </w:r>
          </w:p>
        </w:tc>
        <w:tc>
          <w:tcPr>
            <w:tcW w:w="842" w:type="pct"/>
            <w:tcBorders>
              <w:tl2br w:val="nil"/>
              <w:tr2bl w:val="nil"/>
            </w:tcBorders>
            <w:shd w:val="clear" w:color="auto" w:fill="auto"/>
            <w:noWrap w:val="0"/>
            <w:vAlign w:val="center"/>
          </w:tcPr>
          <w:p w14:paraId="08D3FBF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193-39-5</w:t>
            </w:r>
          </w:p>
        </w:tc>
        <w:tc>
          <w:tcPr>
            <w:tcW w:w="735" w:type="pct"/>
            <w:tcBorders>
              <w:tl2br w:val="nil"/>
              <w:tr2bl w:val="nil"/>
            </w:tcBorders>
            <w:shd w:val="clear" w:color="auto" w:fill="auto"/>
            <w:noWrap w:val="0"/>
            <w:vAlign w:val="center"/>
          </w:tcPr>
          <w:p w14:paraId="1002B6A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5" w:type="pct"/>
            <w:tcBorders>
              <w:tl2br w:val="nil"/>
              <w:tr2bl w:val="nil"/>
            </w:tcBorders>
            <w:shd w:val="clear" w:color="auto" w:fill="D9D9D9"/>
            <w:noWrap w:val="0"/>
            <w:vAlign w:val="center"/>
          </w:tcPr>
          <w:p w14:paraId="0171242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p>
        </w:tc>
        <w:tc>
          <w:tcPr>
            <w:tcW w:w="735" w:type="pct"/>
            <w:tcBorders>
              <w:tl2br w:val="nil"/>
              <w:tr2bl w:val="nil"/>
            </w:tcBorders>
            <w:noWrap w:val="0"/>
            <w:vAlign w:val="center"/>
          </w:tcPr>
          <w:p w14:paraId="641FC8E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55</w:t>
            </w:r>
          </w:p>
        </w:tc>
        <w:tc>
          <w:tcPr>
            <w:tcW w:w="736" w:type="pct"/>
            <w:tcBorders>
              <w:tl2br w:val="nil"/>
              <w:tr2bl w:val="nil"/>
            </w:tcBorders>
            <w:noWrap w:val="0"/>
            <w:vAlign w:val="center"/>
          </w:tcPr>
          <w:p w14:paraId="7F4BEF2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w:t>
            </w:r>
          </w:p>
        </w:tc>
      </w:tr>
      <w:tr w14:paraId="08F53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6317291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45</w:t>
            </w:r>
          </w:p>
        </w:tc>
        <w:tc>
          <w:tcPr>
            <w:tcW w:w="850" w:type="pct"/>
            <w:tcBorders>
              <w:tl2br w:val="nil"/>
              <w:tr2bl w:val="nil"/>
            </w:tcBorders>
            <w:shd w:val="clear" w:color="auto" w:fill="auto"/>
            <w:noWrap w:val="0"/>
            <w:vAlign w:val="center"/>
          </w:tcPr>
          <w:p w14:paraId="5F053C0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萘</w:t>
            </w:r>
          </w:p>
        </w:tc>
        <w:tc>
          <w:tcPr>
            <w:tcW w:w="842" w:type="pct"/>
            <w:tcBorders>
              <w:tl2br w:val="nil"/>
              <w:tr2bl w:val="nil"/>
            </w:tcBorders>
            <w:shd w:val="clear" w:color="auto" w:fill="auto"/>
            <w:noWrap w:val="0"/>
            <w:vAlign w:val="center"/>
          </w:tcPr>
          <w:p w14:paraId="2DC222E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91-20-3</w:t>
            </w:r>
          </w:p>
        </w:tc>
        <w:tc>
          <w:tcPr>
            <w:tcW w:w="735" w:type="pct"/>
            <w:tcBorders>
              <w:tl2br w:val="nil"/>
              <w:tr2bl w:val="nil"/>
            </w:tcBorders>
            <w:shd w:val="clear" w:color="auto" w:fill="auto"/>
            <w:noWrap w:val="0"/>
            <w:vAlign w:val="center"/>
          </w:tcPr>
          <w:p w14:paraId="5C028A9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w:t>
            </w:r>
          </w:p>
        </w:tc>
        <w:tc>
          <w:tcPr>
            <w:tcW w:w="735" w:type="pct"/>
            <w:tcBorders>
              <w:tl2br w:val="nil"/>
              <w:tr2bl w:val="nil"/>
            </w:tcBorders>
            <w:shd w:val="clear" w:color="auto" w:fill="D9D9D9"/>
            <w:noWrap w:val="0"/>
            <w:vAlign w:val="center"/>
          </w:tcPr>
          <w:p w14:paraId="61767FB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70</w:t>
            </w:r>
          </w:p>
        </w:tc>
        <w:tc>
          <w:tcPr>
            <w:tcW w:w="735" w:type="pct"/>
            <w:tcBorders>
              <w:tl2br w:val="nil"/>
              <w:tr2bl w:val="nil"/>
            </w:tcBorders>
            <w:noWrap w:val="0"/>
            <w:vAlign w:val="center"/>
          </w:tcPr>
          <w:p w14:paraId="46DD7A7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255</w:t>
            </w:r>
          </w:p>
        </w:tc>
        <w:tc>
          <w:tcPr>
            <w:tcW w:w="736" w:type="pct"/>
            <w:tcBorders>
              <w:tl2br w:val="nil"/>
              <w:tr2bl w:val="nil"/>
            </w:tcBorders>
            <w:noWrap w:val="0"/>
            <w:vAlign w:val="center"/>
          </w:tcPr>
          <w:p w14:paraId="7A7957B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700</w:t>
            </w:r>
          </w:p>
        </w:tc>
      </w:tr>
      <w:tr w14:paraId="211042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tcBorders>
              <w:tl2br w:val="nil"/>
              <w:tr2bl w:val="nil"/>
            </w:tcBorders>
            <w:shd w:val="clear" w:color="auto" w:fill="D7D7D7"/>
            <w:noWrap w:val="0"/>
            <w:vAlign w:val="center"/>
          </w:tcPr>
          <w:p w14:paraId="4F241C67">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石油烃类</w:t>
            </w:r>
          </w:p>
        </w:tc>
      </w:tr>
      <w:tr w14:paraId="3D0934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4" w:type="pct"/>
            <w:tcBorders>
              <w:tl2br w:val="nil"/>
              <w:tr2bl w:val="nil"/>
            </w:tcBorders>
            <w:shd w:val="clear" w:color="auto" w:fill="auto"/>
            <w:noWrap w:val="0"/>
            <w:vAlign w:val="center"/>
          </w:tcPr>
          <w:p w14:paraId="001850D8">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46</w:t>
            </w:r>
          </w:p>
        </w:tc>
        <w:tc>
          <w:tcPr>
            <w:tcW w:w="850" w:type="pct"/>
            <w:tcBorders>
              <w:tl2br w:val="nil"/>
              <w:tr2bl w:val="nil"/>
            </w:tcBorders>
            <w:shd w:val="clear" w:color="auto" w:fill="auto"/>
            <w:noWrap w:val="0"/>
            <w:vAlign w:val="center"/>
          </w:tcPr>
          <w:p w14:paraId="3E38D05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石油烃</w:t>
            </w:r>
          </w:p>
        </w:tc>
        <w:tc>
          <w:tcPr>
            <w:tcW w:w="842" w:type="pct"/>
            <w:tcBorders>
              <w:tl2br w:val="nil"/>
              <w:tr2bl w:val="nil"/>
            </w:tcBorders>
            <w:shd w:val="clear" w:color="auto" w:fill="auto"/>
            <w:noWrap w:val="0"/>
            <w:vAlign w:val="center"/>
          </w:tcPr>
          <w:p w14:paraId="1269B7D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735" w:type="pct"/>
            <w:tcBorders>
              <w:tl2br w:val="nil"/>
              <w:tr2bl w:val="nil"/>
            </w:tcBorders>
            <w:shd w:val="clear" w:color="auto" w:fill="auto"/>
            <w:noWrap w:val="0"/>
            <w:vAlign w:val="center"/>
          </w:tcPr>
          <w:p w14:paraId="50BBE09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826</w:t>
            </w:r>
          </w:p>
        </w:tc>
        <w:tc>
          <w:tcPr>
            <w:tcW w:w="735" w:type="pct"/>
            <w:tcBorders>
              <w:tl2br w:val="nil"/>
              <w:tr2bl w:val="nil"/>
            </w:tcBorders>
            <w:shd w:val="clear" w:color="auto" w:fill="D9D9D9"/>
            <w:noWrap w:val="0"/>
            <w:vAlign w:val="center"/>
          </w:tcPr>
          <w:p w14:paraId="021116F2">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4500</w:t>
            </w:r>
          </w:p>
        </w:tc>
        <w:tc>
          <w:tcPr>
            <w:tcW w:w="735" w:type="pct"/>
            <w:tcBorders>
              <w:tl2br w:val="nil"/>
              <w:tr2bl w:val="nil"/>
            </w:tcBorders>
            <w:noWrap w:val="0"/>
            <w:vAlign w:val="center"/>
          </w:tcPr>
          <w:p w14:paraId="5FDD30D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5000</w:t>
            </w:r>
          </w:p>
        </w:tc>
        <w:tc>
          <w:tcPr>
            <w:tcW w:w="736" w:type="pct"/>
            <w:tcBorders>
              <w:tl2br w:val="nil"/>
              <w:tr2bl w:val="nil"/>
            </w:tcBorders>
            <w:noWrap w:val="0"/>
            <w:vAlign w:val="center"/>
          </w:tcPr>
          <w:p w14:paraId="1A3CE03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9000</w:t>
            </w:r>
          </w:p>
        </w:tc>
      </w:tr>
      <w:tr w14:paraId="59B14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tcBorders>
              <w:tl2br w:val="nil"/>
              <w:tr2bl w:val="nil"/>
            </w:tcBorders>
            <w:noWrap w:val="0"/>
            <w:vAlign w:val="center"/>
          </w:tcPr>
          <w:p w14:paraId="438253E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w:t>
            </w:r>
            <w:r>
              <w:rPr>
                <w:rFonts w:hint="eastAsia" w:ascii="宋体" w:hAnsi="宋体" w:eastAsia="宋体" w:cs="宋体"/>
                <w:color w:val="auto"/>
                <w:highlight w:val="none"/>
              </w:rPr>
              <w:t>①</w:t>
            </w:r>
            <w:r>
              <w:rPr>
                <w:rFonts w:ascii="Times New Roman" w:hAnsi="Times New Roman" w:eastAsia="宋体" w:cs="Times New Roman"/>
                <w:color w:val="auto"/>
                <w:highlight w:val="none"/>
              </w:rPr>
              <w:t>具体地块土壤中污染物检测含量超过筛选值，</w:t>
            </w:r>
            <w:r>
              <w:rPr>
                <w:rFonts w:hint="eastAsia" w:cs="Times New Roman"/>
                <w:color w:val="auto"/>
                <w:highlight w:val="none"/>
                <w:lang w:eastAsia="zh-CN"/>
              </w:rPr>
              <w:t>但</w:t>
            </w:r>
            <w:r>
              <w:rPr>
                <w:rFonts w:ascii="Times New Roman" w:hAnsi="Times New Roman" w:eastAsia="宋体" w:cs="Times New Roman"/>
                <w:color w:val="auto"/>
                <w:highlight w:val="none"/>
              </w:rPr>
              <w:t>低于土壤环境背景值水平的，不纳入污染地块管理。</w:t>
            </w:r>
          </w:p>
        </w:tc>
      </w:tr>
    </w:tbl>
    <w:p w14:paraId="047BDA91">
      <w:pPr>
        <w:pStyle w:val="3"/>
        <w:numPr>
          <w:ilvl w:val="0"/>
          <w:numId w:val="0"/>
        </w:numPr>
        <w:tabs>
          <w:tab w:val="clear" w:pos="720"/>
        </w:tabs>
        <w:bidi w:val="0"/>
        <w:ind w:left="0" w:leftChars="0" w:firstLine="0" w:firstLineChars="0"/>
        <w:outlineLvl w:val="1"/>
        <w:rPr>
          <w:color w:val="auto"/>
          <w:highlight w:val="none"/>
        </w:rPr>
      </w:pPr>
      <w:bookmarkStart w:id="262" w:name="_Toc10021"/>
      <w:bookmarkStart w:id="263" w:name="_Toc20231"/>
      <w:r>
        <w:rPr>
          <w:color w:val="auto"/>
          <w:highlight w:val="none"/>
        </w:rPr>
        <w:t>2.4</w:t>
      </w:r>
      <w:r>
        <w:rPr>
          <w:rFonts w:hint="eastAsia"/>
          <w:color w:val="auto"/>
          <w:highlight w:val="none"/>
          <w:lang w:val="en-US" w:eastAsia="zh-CN"/>
        </w:rPr>
        <w:t xml:space="preserve"> </w:t>
      </w:r>
      <w:r>
        <w:rPr>
          <w:color w:val="auto"/>
          <w:highlight w:val="none"/>
        </w:rPr>
        <w:t>污染物排放标准</w:t>
      </w:r>
      <w:bookmarkEnd w:id="262"/>
      <w:bookmarkEnd w:id="263"/>
    </w:p>
    <w:p w14:paraId="149EAB93">
      <w:pPr>
        <w:pStyle w:val="4"/>
        <w:numPr>
          <w:ilvl w:val="2"/>
          <w:numId w:val="0"/>
        </w:numPr>
        <w:tabs>
          <w:tab w:val="clear" w:pos="720"/>
        </w:tabs>
        <w:bidi w:val="0"/>
        <w:rPr>
          <w:color w:val="auto"/>
          <w:highlight w:val="none"/>
        </w:rPr>
      </w:pPr>
      <w:bookmarkStart w:id="264" w:name="_Toc24571"/>
      <w:r>
        <w:rPr>
          <w:color w:val="auto"/>
          <w:highlight w:val="none"/>
        </w:rPr>
        <w:t>2.4.1</w:t>
      </w:r>
      <w:r>
        <w:rPr>
          <w:rFonts w:hint="eastAsia"/>
          <w:color w:val="auto"/>
          <w:highlight w:val="none"/>
          <w:lang w:val="en-US" w:eastAsia="zh-CN"/>
        </w:rPr>
        <w:t xml:space="preserve"> </w:t>
      </w:r>
      <w:r>
        <w:rPr>
          <w:color w:val="auto"/>
          <w:highlight w:val="none"/>
        </w:rPr>
        <w:t>水污染物排放标准</w:t>
      </w:r>
      <w:bookmarkEnd w:id="264"/>
    </w:p>
    <w:p w14:paraId="3A17B47B">
      <w:pPr>
        <w:adjustRightInd w:val="0"/>
        <w:snapToGrid w:val="0"/>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本项目废水分为生活污水与生产废水，废水处置方式如下：生产废水共五类，其中注塑工序冷却水、本项目冰水机配套的设备冷却水与热洁炉换热器冷却水均为间接冷却水，水质基本不受污染，经降温后全部循环使用不外排，仅定期补充蒸发、风吹带来的水量损耗；锅炉排污水与纯水制备产生的反渗透浓水的水质相对清洁，不含重金属及有毒有害物质，经厂区污水总排口接入市政污水管网。</w:t>
      </w:r>
      <w:r>
        <w:rPr>
          <w:rFonts w:hint="eastAsia" w:ascii="Times New Roman" w:hAnsi="Times New Roman" w:eastAsia="宋体" w:cs="Times New Roman"/>
          <w:color w:val="auto"/>
          <w:highlight w:val="none"/>
        </w:rPr>
        <w:t>生活污水</w:t>
      </w:r>
      <w:r>
        <w:rPr>
          <w:rFonts w:hint="eastAsia" w:cs="Times New Roman"/>
          <w:color w:val="auto"/>
          <w:highlight w:val="none"/>
          <w:lang w:val="en-US" w:eastAsia="zh-CN"/>
        </w:rPr>
        <w:t>经</w:t>
      </w:r>
      <w:r>
        <w:rPr>
          <w:rFonts w:hint="eastAsia" w:ascii="Times New Roman" w:hAnsi="Times New Roman" w:eastAsia="宋体" w:cs="Times New Roman"/>
          <w:color w:val="auto"/>
          <w:highlight w:val="none"/>
        </w:rPr>
        <w:t>化粪池处理后通过市政污水管网纳入青口汽车工业开发区污水处理厂集中处理</w:t>
      </w:r>
      <w:r>
        <w:rPr>
          <w:rFonts w:ascii="Times New Roman" w:hAnsi="Times New Roman" w:eastAsia="宋体" w:cs="Times New Roman"/>
          <w:color w:val="auto"/>
          <w:highlight w:val="none"/>
        </w:rPr>
        <w:t>，排放执行《污水综合排放标准》（GB8978-1996）表4中三级标准要求（氨氮参照《污水排入</w:t>
      </w:r>
      <w:r>
        <w:rPr>
          <w:rFonts w:hint="eastAsia" w:ascii="Times New Roman" w:hAnsi="Times New Roman" w:eastAsia="宋体" w:cs="Times New Roman"/>
          <w:color w:val="auto"/>
          <w:highlight w:val="none"/>
        </w:rPr>
        <w:t>城镇</w:t>
      </w:r>
      <w:r>
        <w:rPr>
          <w:rFonts w:ascii="Times New Roman" w:hAnsi="Times New Roman" w:eastAsia="宋体" w:cs="Times New Roman"/>
          <w:color w:val="auto"/>
          <w:highlight w:val="none"/>
        </w:rPr>
        <w:t>下水道水质标准》（GB/T31962-2015）B级标准）。</w:t>
      </w:r>
    </w:p>
    <w:p w14:paraId="4BFEE5D8">
      <w:pPr>
        <w:adjustRightInd w:val="0"/>
        <w:snapToGrid w:val="0"/>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青口汽车工业开发区污水处理厂</w:t>
      </w:r>
      <w:r>
        <w:rPr>
          <w:rFonts w:ascii="Times New Roman" w:hAnsi="Times New Roman" w:eastAsia="宋体" w:cs="Times New Roman"/>
          <w:color w:val="auto"/>
          <w:highlight w:val="none"/>
        </w:rPr>
        <w:t>尾水排放执行《城镇污水处理厂污染物排放标准》</w:t>
      </w:r>
      <w:r>
        <w:rPr>
          <w:rFonts w:hint="eastAsia" w:ascii="Times New Roman" w:hAnsi="Times New Roman" w:eastAsia="宋体" w:cs="Times New Roman"/>
          <w:color w:val="auto"/>
          <w:highlight w:val="none"/>
          <w:lang w:eastAsia="zh-CN"/>
        </w:rPr>
        <w:t>（</w:t>
      </w:r>
      <w:r>
        <w:rPr>
          <w:rFonts w:hint="eastAsia" w:cs="Times New Roman"/>
          <w:color w:val="auto"/>
          <w:highlight w:val="none"/>
          <w:lang w:eastAsia="zh-CN"/>
        </w:rPr>
        <w:t>GB 18918</w:t>
      </w:r>
      <w:r>
        <w:rPr>
          <w:rFonts w:ascii="Times New Roman" w:hAnsi="Times New Roman" w:eastAsia="宋体" w:cs="Times New Roman"/>
          <w:color w:val="auto"/>
          <w:highlight w:val="none"/>
        </w:rPr>
        <w:t>-2002</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及其修改单表1的</w:t>
      </w:r>
      <w:r>
        <w:rPr>
          <w:rFonts w:hint="eastAsia" w:cs="Times New Roman"/>
          <w:color w:val="auto"/>
          <w:highlight w:val="none"/>
          <w:lang w:eastAsia="zh-CN"/>
        </w:rPr>
        <w:t>一级</w:t>
      </w:r>
      <w:r>
        <w:rPr>
          <w:rFonts w:ascii="Times New Roman" w:hAnsi="Times New Roman" w:eastAsia="宋体" w:cs="Times New Roman"/>
          <w:color w:val="auto"/>
          <w:highlight w:val="none"/>
        </w:rPr>
        <w:t>A标准。</w:t>
      </w:r>
    </w:p>
    <w:p w14:paraId="2B8E25A0">
      <w:pPr>
        <w:adjustRightInd w:val="0"/>
        <w:snapToGrid w:val="0"/>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标准</w:t>
      </w:r>
      <w:r>
        <w:rPr>
          <w:rFonts w:hint="eastAsia" w:cs="Times New Roman"/>
          <w:color w:val="auto"/>
          <w:highlight w:val="none"/>
          <w:lang w:val="en-US" w:eastAsia="zh-CN"/>
        </w:rPr>
        <w:t>限</w:t>
      </w:r>
      <w:r>
        <w:rPr>
          <w:rFonts w:ascii="Times New Roman" w:hAnsi="Times New Roman" w:eastAsia="宋体" w:cs="Times New Roman"/>
          <w:color w:val="auto"/>
          <w:highlight w:val="none"/>
        </w:rPr>
        <w:t>值详见表2.4-1。</w:t>
      </w:r>
    </w:p>
    <w:p w14:paraId="43BFC309">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表2.4-1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污水排放标准一览表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005"/>
        <w:gridCol w:w="757"/>
        <w:gridCol w:w="1175"/>
        <w:gridCol w:w="2339"/>
        <w:gridCol w:w="1439"/>
        <w:gridCol w:w="1712"/>
      </w:tblGrid>
      <w:tr w14:paraId="722132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596" w:type="pct"/>
            <w:tcBorders>
              <w:tl2br w:val="nil"/>
              <w:tr2bl w:val="nil"/>
            </w:tcBorders>
            <w:noWrap w:val="0"/>
            <w:vAlign w:val="center"/>
          </w:tcPr>
          <w:p w14:paraId="057681D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w:t>
            </w:r>
          </w:p>
        </w:tc>
        <w:tc>
          <w:tcPr>
            <w:tcW w:w="449" w:type="pct"/>
            <w:tcBorders>
              <w:tl2br w:val="nil"/>
              <w:tr2bl w:val="nil"/>
            </w:tcBorders>
            <w:noWrap w:val="0"/>
            <w:vAlign w:val="center"/>
          </w:tcPr>
          <w:p w14:paraId="5BC1273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单位</w:t>
            </w:r>
          </w:p>
        </w:tc>
        <w:tc>
          <w:tcPr>
            <w:tcW w:w="697" w:type="pct"/>
            <w:tcBorders>
              <w:tl2br w:val="nil"/>
              <w:tr2bl w:val="nil"/>
            </w:tcBorders>
            <w:noWrap w:val="0"/>
            <w:vAlign w:val="center"/>
          </w:tcPr>
          <w:p w14:paraId="53CFB5D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项目废水排</w:t>
            </w:r>
          </w:p>
          <w:p w14:paraId="3800157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放标准限值</w:t>
            </w:r>
          </w:p>
        </w:tc>
        <w:tc>
          <w:tcPr>
            <w:tcW w:w="1387" w:type="pct"/>
            <w:tcBorders>
              <w:tl2br w:val="nil"/>
              <w:tr2bl w:val="nil"/>
            </w:tcBorders>
            <w:noWrap w:val="0"/>
            <w:vAlign w:val="center"/>
          </w:tcPr>
          <w:p w14:paraId="74DBC6E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标准来源</w:t>
            </w:r>
          </w:p>
        </w:tc>
        <w:tc>
          <w:tcPr>
            <w:tcW w:w="853" w:type="pct"/>
            <w:tcBorders>
              <w:tl2br w:val="nil"/>
              <w:tr2bl w:val="nil"/>
            </w:tcBorders>
            <w:noWrap w:val="0"/>
            <w:vAlign w:val="center"/>
          </w:tcPr>
          <w:p w14:paraId="5D21E79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污水处理厂排放标准限值</w:t>
            </w:r>
          </w:p>
        </w:tc>
        <w:tc>
          <w:tcPr>
            <w:tcW w:w="1015" w:type="pct"/>
            <w:tcBorders>
              <w:tl2br w:val="nil"/>
              <w:tr2bl w:val="nil"/>
            </w:tcBorders>
            <w:noWrap w:val="0"/>
            <w:vAlign w:val="center"/>
          </w:tcPr>
          <w:p w14:paraId="2A4471D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标准来源</w:t>
            </w:r>
          </w:p>
        </w:tc>
      </w:tr>
      <w:tr w14:paraId="5323E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tcBorders>
              <w:tl2br w:val="nil"/>
              <w:tr2bl w:val="nil"/>
            </w:tcBorders>
            <w:noWrap w:val="0"/>
            <w:vAlign w:val="center"/>
          </w:tcPr>
          <w:p w14:paraId="68E2C4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pH</w:t>
            </w:r>
          </w:p>
        </w:tc>
        <w:tc>
          <w:tcPr>
            <w:tcW w:w="449" w:type="pct"/>
            <w:tcBorders>
              <w:tl2br w:val="nil"/>
              <w:tr2bl w:val="nil"/>
            </w:tcBorders>
            <w:noWrap w:val="0"/>
            <w:vAlign w:val="center"/>
          </w:tcPr>
          <w:p w14:paraId="00C0C08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无量纲</w:t>
            </w:r>
          </w:p>
        </w:tc>
        <w:tc>
          <w:tcPr>
            <w:tcW w:w="697" w:type="pct"/>
            <w:tcBorders>
              <w:tl2br w:val="nil"/>
              <w:tr2bl w:val="nil"/>
            </w:tcBorders>
            <w:noWrap w:val="0"/>
            <w:vAlign w:val="center"/>
          </w:tcPr>
          <w:p w14:paraId="62BED76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6～9</w:t>
            </w:r>
          </w:p>
        </w:tc>
        <w:tc>
          <w:tcPr>
            <w:tcW w:w="1387" w:type="pct"/>
            <w:vMerge w:val="restart"/>
            <w:tcBorders>
              <w:tl2br w:val="nil"/>
              <w:tr2bl w:val="nil"/>
            </w:tcBorders>
            <w:noWrap w:val="0"/>
            <w:vAlign w:val="center"/>
          </w:tcPr>
          <w:p w14:paraId="40CF915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《污水综合排放标准》</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GB8978-1996</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表4三级标准（氨氮参照《污水排入</w:t>
            </w:r>
            <w:r>
              <w:rPr>
                <w:rFonts w:hint="eastAsia" w:ascii="Times New Roman" w:hAnsi="Times New Roman" w:eastAsia="宋体" w:cs="Times New Roman"/>
                <w:color w:val="auto"/>
                <w:highlight w:val="none"/>
              </w:rPr>
              <w:t>城镇</w:t>
            </w:r>
            <w:r>
              <w:rPr>
                <w:rFonts w:ascii="Times New Roman" w:hAnsi="Times New Roman" w:eastAsia="宋体" w:cs="Times New Roman"/>
                <w:color w:val="auto"/>
                <w:highlight w:val="none"/>
              </w:rPr>
              <w:t>下水道水质标准》</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GB/T31962-2015</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B级标准）</w:t>
            </w:r>
          </w:p>
        </w:tc>
        <w:tc>
          <w:tcPr>
            <w:tcW w:w="853" w:type="pct"/>
            <w:tcBorders>
              <w:tl2br w:val="nil"/>
              <w:tr2bl w:val="nil"/>
            </w:tcBorders>
            <w:noWrap w:val="0"/>
            <w:vAlign w:val="center"/>
          </w:tcPr>
          <w:p w14:paraId="023716F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6～9</w:t>
            </w:r>
          </w:p>
        </w:tc>
        <w:tc>
          <w:tcPr>
            <w:tcW w:w="1015" w:type="pct"/>
            <w:vMerge w:val="restart"/>
            <w:tcBorders>
              <w:tl2br w:val="nil"/>
              <w:tr2bl w:val="nil"/>
            </w:tcBorders>
            <w:noWrap w:val="0"/>
            <w:vAlign w:val="center"/>
          </w:tcPr>
          <w:p w14:paraId="6D5022E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《城镇污水处理厂污染物排放标准》</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GB18918-2002</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一级A标准</w:t>
            </w:r>
          </w:p>
        </w:tc>
      </w:tr>
      <w:tr w14:paraId="1C74D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tcBorders>
              <w:tl2br w:val="nil"/>
              <w:tr2bl w:val="nil"/>
            </w:tcBorders>
            <w:noWrap w:val="0"/>
            <w:vAlign w:val="center"/>
          </w:tcPr>
          <w:p w14:paraId="58C2D39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COD</w:t>
            </w:r>
          </w:p>
        </w:tc>
        <w:tc>
          <w:tcPr>
            <w:tcW w:w="449" w:type="pct"/>
            <w:tcBorders>
              <w:tl2br w:val="nil"/>
              <w:tr2bl w:val="nil"/>
            </w:tcBorders>
            <w:noWrap w:val="0"/>
            <w:vAlign w:val="center"/>
          </w:tcPr>
          <w:p w14:paraId="7ADE128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c>
          <w:tcPr>
            <w:tcW w:w="697" w:type="pct"/>
            <w:tcBorders>
              <w:tl2br w:val="nil"/>
              <w:tr2bl w:val="nil"/>
            </w:tcBorders>
            <w:noWrap w:val="0"/>
            <w:vAlign w:val="center"/>
          </w:tcPr>
          <w:p w14:paraId="0105938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w:t>
            </w:r>
          </w:p>
        </w:tc>
        <w:tc>
          <w:tcPr>
            <w:tcW w:w="1387" w:type="pct"/>
            <w:vMerge w:val="continue"/>
            <w:tcBorders>
              <w:tl2br w:val="nil"/>
              <w:tr2bl w:val="nil"/>
            </w:tcBorders>
            <w:noWrap w:val="0"/>
            <w:vAlign w:val="center"/>
          </w:tcPr>
          <w:p w14:paraId="2CDC99DA">
            <w:pPr>
              <w:pStyle w:val="1358"/>
              <w:rPr>
                <w:rFonts w:ascii="Times New Roman" w:hAnsi="Times New Roman" w:eastAsia="宋体" w:cs="Times New Roman"/>
                <w:color w:val="auto"/>
                <w:highlight w:val="none"/>
              </w:rPr>
            </w:pPr>
          </w:p>
        </w:tc>
        <w:tc>
          <w:tcPr>
            <w:tcW w:w="853" w:type="pct"/>
            <w:tcBorders>
              <w:tl2br w:val="nil"/>
              <w:tr2bl w:val="nil"/>
            </w:tcBorders>
            <w:noWrap w:val="0"/>
            <w:vAlign w:val="center"/>
          </w:tcPr>
          <w:p w14:paraId="0BF35CB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50</w:t>
            </w:r>
          </w:p>
        </w:tc>
        <w:tc>
          <w:tcPr>
            <w:tcW w:w="1015" w:type="pct"/>
            <w:vMerge w:val="continue"/>
            <w:tcBorders>
              <w:tl2br w:val="nil"/>
              <w:tr2bl w:val="nil"/>
            </w:tcBorders>
            <w:noWrap w:val="0"/>
            <w:vAlign w:val="center"/>
          </w:tcPr>
          <w:p w14:paraId="154A5611">
            <w:pPr>
              <w:pStyle w:val="1358"/>
              <w:rPr>
                <w:rFonts w:ascii="Times New Roman" w:hAnsi="Times New Roman" w:eastAsia="宋体" w:cs="Times New Roman"/>
                <w:color w:val="auto"/>
                <w:highlight w:val="none"/>
              </w:rPr>
            </w:pPr>
          </w:p>
        </w:tc>
      </w:tr>
      <w:tr w14:paraId="2D5EE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tcBorders>
              <w:tl2br w:val="nil"/>
              <w:tr2bl w:val="nil"/>
            </w:tcBorders>
            <w:noWrap w:val="0"/>
            <w:vAlign w:val="center"/>
          </w:tcPr>
          <w:p w14:paraId="4C580AD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BOD</w:t>
            </w:r>
            <w:r>
              <w:rPr>
                <w:rFonts w:ascii="Times New Roman" w:hAnsi="Times New Roman" w:eastAsia="宋体" w:cs="Times New Roman"/>
                <w:color w:val="auto"/>
                <w:highlight w:val="none"/>
                <w:vertAlign w:val="subscript"/>
              </w:rPr>
              <w:t>5</w:t>
            </w:r>
          </w:p>
        </w:tc>
        <w:tc>
          <w:tcPr>
            <w:tcW w:w="449" w:type="pct"/>
            <w:tcBorders>
              <w:tl2br w:val="nil"/>
              <w:tr2bl w:val="nil"/>
            </w:tcBorders>
            <w:noWrap w:val="0"/>
            <w:vAlign w:val="center"/>
          </w:tcPr>
          <w:p w14:paraId="3F07FE4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c>
          <w:tcPr>
            <w:tcW w:w="697" w:type="pct"/>
            <w:tcBorders>
              <w:tl2br w:val="nil"/>
              <w:tr2bl w:val="nil"/>
            </w:tcBorders>
            <w:noWrap w:val="0"/>
            <w:vAlign w:val="center"/>
          </w:tcPr>
          <w:p w14:paraId="4D25491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300</w:t>
            </w:r>
          </w:p>
        </w:tc>
        <w:tc>
          <w:tcPr>
            <w:tcW w:w="1387" w:type="pct"/>
            <w:vMerge w:val="continue"/>
            <w:tcBorders>
              <w:tl2br w:val="nil"/>
              <w:tr2bl w:val="nil"/>
            </w:tcBorders>
            <w:noWrap w:val="0"/>
            <w:vAlign w:val="center"/>
          </w:tcPr>
          <w:p w14:paraId="54616B20">
            <w:pPr>
              <w:pStyle w:val="1358"/>
              <w:rPr>
                <w:rFonts w:ascii="Times New Roman" w:hAnsi="Times New Roman" w:eastAsia="宋体" w:cs="Times New Roman"/>
                <w:color w:val="auto"/>
                <w:highlight w:val="none"/>
              </w:rPr>
            </w:pPr>
          </w:p>
        </w:tc>
        <w:tc>
          <w:tcPr>
            <w:tcW w:w="853" w:type="pct"/>
            <w:tcBorders>
              <w:tl2br w:val="nil"/>
              <w:tr2bl w:val="nil"/>
            </w:tcBorders>
            <w:noWrap w:val="0"/>
            <w:vAlign w:val="center"/>
          </w:tcPr>
          <w:p w14:paraId="39D431B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1015" w:type="pct"/>
            <w:vMerge w:val="continue"/>
            <w:tcBorders>
              <w:tl2br w:val="nil"/>
              <w:tr2bl w:val="nil"/>
            </w:tcBorders>
            <w:noWrap w:val="0"/>
            <w:vAlign w:val="center"/>
          </w:tcPr>
          <w:p w14:paraId="62B2EA34">
            <w:pPr>
              <w:pStyle w:val="1358"/>
              <w:rPr>
                <w:rFonts w:ascii="Times New Roman" w:hAnsi="Times New Roman" w:eastAsia="宋体" w:cs="Times New Roman"/>
                <w:color w:val="auto"/>
                <w:highlight w:val="none"/>
              </w:rPr>
            </w:pPr>
          </w:p>
        </w:tc>
      </w:tr>
      <w:tr w14:paraId="78F75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tcBorders>
              <w:tl2br w:val="nil"/>
              <w:tr2bl w:val="nil"/>
            </w:tcBorders>
            <w:noWrap w:val="0"/>
            <w:vAlign w:val="center"/>
          </w:tcPr>
          <w:p w14:paraId="4A4D567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SS</w:t>
            </w:r>
          </w:p>
        </w:tc>
        <w:tc>
          <w:tcPr>
            <w:tcW w:w="449" w:type="pct"/>
            <w:tcBorders>
              <w:tl2br w:val="nil"/>
              <w:tr2bl w:val="nil"/>
            </w:tcBorders>
            <w:noWrap w:val="0"/>
            <w:vAlign w:val="center"/>
          </w:tcPr>
          <w:p w14:paraId="1147502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c>
          <w:tcPr>
            <w:tcW w:w="697" w:type="pct"/>
            <w:tcBorders>
              <w:tl2br w:val="nil"/>
              <w:tr2bl w:val="nil"/>
            </w:tcBorders>
            <w:noWrap w:val="0"/>
            <w:vAlign w:val="center"/>
          </w:tcPr>
          <w:p w14:paraId="44E0DBB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400</w:t>
            </w:r>
          </w:p>
        </w:tc>
        <w:tc>
          <w:tcPr>
            <w:tcW w:w="1387" w:type="pct"/>
            <w:vMerge w:val="continue"/>
            <w:tcBorders>
              <w:tl2br w:val="nil"/>
              <w:tr2bl w:val="nil"/>
            </w:tcBorders>
            <w:noWrap w:val="0"/>
            <w:vAlign w:val="center"/>
          </w:tcPr>
          <w:p w14:paraId="08BBE67A">
            <w:pPr>
              <w:pStyle w:val="1358"/>
              <w:rPr>
                <w:rFonts w:ascii="Times New Roman" w:hAnsi="Times New Roman" w:eastAsia="宋体" w:cs="Times New Roman"/>
                <w:color w:val="auto"/>
                <w:highlight w:val="none"/>
              </w:rPr>
            </w:pPr>
          </w:p>
        </w:tc>
        <w:tc>
          <w:tcPr>
            <w:tcW w:w="853" w:type="pct"/>
            <w:tcBorders>
              <w:tl2br w:val="nil"/>
              <w:tr2bl w:val="nil"/>
            </w:tcBorders>
            <w:noWrap w:val="0"/>
            <w:vAlign w:val="center"/>
          </w:tcPr>
          <w:p w14:paraId="65911FD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1015" w:type="pct"/>
            <w:vMerge w:val="continue"/>
            <w:tcBorders>
              <w:tl2br w:val="nil"/>
              <w:tr2bl w:val="nil"/>
            </w:tcBorders>
            <w:noWrap w:val="0"/>
            <w:vAlign w:val="center"/>
          </w:tcPr>
          <w:p w14:paraId="15166A8C">
            <w:pPr>
              <w:pStyle w:val="1358"/>
              <w:rPr>
                <w:rFonts w:ascii="Times New Roman" w:hAnsi="Times New Roman" w:eastAsia="宋体" w:cs="Times New Roman"/>
                <w:color w:val="auto"/>
                <w:highlight w:val="none"/>
              </w:rPr>
            </w:pPr>
          </w:p>
        </w:tc>
      </w:tr>
      <w:tr w14:paraId="1A01BE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tcBorders>
              <w:tl2br w:val="nil"/>
              <w:tr2bl w:val="nil"/>
            </w:tcBorders>
            <w:noWrap w:val="0"/>
            <w:vAlign w:val="center"/>
          </w:tcPr>
          <w:p w14:paraId="1B672E8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NH</w:t>
            </w:r>
            <w:r>
              <w:rPr>
                <w:rFonts w:ascii="Times New Roman" w:hAnsi="Times New Roman" w:eastAsia="宋体" w:cs="Times New Roman"/>
                <w:color w:val="auto"/>
                <w:highlight w:val="none"/>
                <w:vertAlign w:val="subscript"/>
              </w:rPr>
              <w:t>3</w:t>
            </w:r>
            <w:r>
              <w:rPr>
                <w:rFonts w:ascii="Times New Roman" w:hAnsi="Times New Roman" w:eastAsia="宋体" w:cs="Times New Roman"/>
                <w:color w:val="auto"/>
                <w:highlight w:val="none"/>
              </w:rPr>
              <w:t>-N</w:t>
            </w:r>
          </w:p>
        </w:tc>
        <w:tc>
          <w:tcPr>
            <w:tcW w:w="449" w:type="pct"/>
            <w:tcBorders>
              <w:tl2br w:val="nil"/>
              <w:tr2bl w:val="nil"/>
            </w:tcBorders>
            <w:noWrap w:val="0"/>
            <w:vAlign w:val="center"/>
          </w:tcPr>
          <w:p w14:paraId="1DD2D8C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mg/L</w:t>
            </w:r>
          </w:p>
        </w:tc>
        <w:tc>
          <w:tcPr>
            <w:tcW w:w="697" w:type="pct"/>
            <w:tcBorders>
              <w:tl2br w:val="nil"/>
              <w:tr2bl w:val="nil"/>
            </w:tcBorders>
            <w:noWrap w:val="0"/>
            <w:vAlign w:val="center"/>
          </w:tcPr>
          <w:p w14:paraId="7DA7864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45</w:t>
            </w:r>
          </w:p>
        </w:tc>
        <w:tc>
          <w:tcPr>
            <w:tcW w:w="1387" w:type="pct"/>
            <w:vMerge w:val="continue"/>
            <w:tcBorders>
              <w:tl2br w:val="nil"/>
              <w:tr2bl w:val="nil"/>
            </w:tcBorders>
            <w:noWrap w:val="0"/>
            <w:vAlign w:val="center"/>
          </w:tcPr>
          <w:p w14:paraId="5D3734A7">
            <w:pPr>
              <w:pStyle w:val="1358"/>
              <w:rPr>
                <w:rFonts w:ascii="Times New Roman" w:hAnsi="Times New Roman" w:eastAsia="宋体" w:cs="Times New Roman"/>
                <w:color w:val="auto"/>
                <w:highlight w:val="none"/>
              </w:rPr>
            </w:pPr>
          </w:p>
        </w:tc>
        <w:tc>
          <w:tcPr>
            <w:tcW w:w="853" w:type="pct"/>
            <w:tcBorders>
              <w:tl2br w:val="nil"/>
              <w:tr2bl w:val="nil"/>
            </w:tcBorders>
            <w:noWrap w:val="0"/>
            <w:vAlign w:val="center"/>
          </w:tcPr>
          <w:p w14:paraId="0DFA2CD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1015" w:type="pct"/>
            <w:vMerge w:val="continue"/>
            <w:tcBorders>
              <w:tl2br w:val="nil"/>
              <w:tr2bl w:val="nil"/>
            </w:tcBorders>
            <w:noWrap w:val="0"/>
            <w:vAlign w:val="center"/>
          </w:tcPr>
          <w:p w14:paraId="0068FB37">
            <w:pPr>
              <w:pStyle w:val="1358"/>
              <w:rPr>
                <w:rFonts w:ascii="Times New Roman" w:hAnsi="Times New Roman" w:eastAsia="宋体" w:cs="Times New Roman"/>
                <w:color w:val="auto"/>
                <w:highlight w:val="none"/>
              </w:rPr>
            </w:pPr>
          </w:p>
        </w:tc>
      </w:tr>
    </w:tbl>
    <w:p w14:paraId="3649BBA8">
      <w:pPr>
        <w:pStyle w:val="4"/>
        <w:numPr>
          <w:ilvl w:val="2"/>
          <w:numId w:val="0"/>
        </w:numPr>
        <w:tabs>
          <w:tab w:val="clear" w:pos="720"/>
        </w:tabs>
        <w:bidi w:val="0"/>
        <w:rPr>
          <w:color w:val="auto"/>
          <w:highlight w:val="none"/>
        </w:rPr>
      </w:pPr>
      <w:bookmarkStart w:id="265" w:name="_Toc12361"/>
      <w:r>
        <w:rPr>
          <w:color w:val="auto"/>
          <w:highlight w:val="none"/>
        </w:rPr>
        <w:t>2.4.2</w:t>
      </w:r>
      <w:r>
        <w:rPr>
          <w:rFonts w:hint="eastAsia"/>
          <w:color w:val="auto"/>
          <w:highlight w:val="none"/>
          <w:lang w:val="en-US" w:eastAsia="zh-CN"/>
        </w:rPr>
        <w:t xml:space="preserve"> </w:t>
      </w:r>
      <w:r>
        <w:rPr>
          <w:color w:val="auto"/>
          <w:highlight w:val="none"/>
        </w:rPr>
        <w:t>大气污染物排放标准</w:t>
      </w:r>
      <w:bookmarkEnd w:id="265"/>
    </w:p>
    <w:p w14:paraId="3CA08E00">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本项目运营期产生的废气主要为调漆、点补工序废气，喷漆、流平、烘干及喷枪清洗工序废气，注塑工序废气，热水炉天然气燃烧废气，固化炉天然气燃烧废气，RTO焚烧炉天然气燃烧废气，塑料粉碎废气、热洁炉废气。各类废气污染物排放标准如下。</w:t>
      </w:r>
    </w:p>
    <w:p w14:paraId="765AC146">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（1）调漆、点补工序废气</w:t>
      </w:r>
    </w:p>
    <w:p w14:paraId="03A74B6A">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调漆、点补工序废气主要包括非甲烷总烃、二甲苯、乙酸丁酯、颗粒物。其中调漆工序废气经二级活性炭吸附（TA002）处理后由20m高排气筒（DA002）排放，点补工序废气经过滤棉过滤＋二级活性炭吸附（TA003）处理后由20m高排气筒（DA003）排放。</w:t>
      </w:r>
    </w:p>
    <w:p w14:paraId="1E62A6B9">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A.有组织排放</w:t>
      </w:r>
    </w:p>
    <w:p w14:paraId="572AB2BE">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二甲苯有组织排放执行《工业涂装工序挥发性有机物排放标准》（DB35/1783-2018）表1“汽车整车制造”排放限值要求，乙酸丁酯参照执行乙酸乙酯与乙酸丁酯合计有组织排放浓度限值要求，即非甲烷总烃≤50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、排放速率≤4.0kg/h，二甲苯≤15mg/m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、排放速率≤1.4kg/h，乙酸乙酯与乙酸丁酯合计≤40mg/m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、排放速率≤2.0kg/h。颗粒物有组织排放执行《大气污染物综合排放标准》（GB 16297-1996）表2二级标准，即颗粒物≤120mg/m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、排放速率≤5.9kg/h。</w:t>
      </w:r>
    </w:p>
    <w:p w14:paraId="6126A58C">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B.无组织排放</w:t>
      </w:r>
    </w:p>
    <w:p w14:paraId="7B3502A3">
      <w:pPr>
        <w:keepNext w:val="0"/>
        <w:keepLines w:val="0"/>
        <w:pageBreakBefore w:val="0"/>
        <w:widowControl w:val="0"/>
        <w:kinsoku/>
        <w:wordWrap/>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二甲苯、乙酸乙酯（乙酸丁酯无组织排放参照执行乙酸乙酯无组织排放限值）无组织排放满足《工业涂装工序挥发性有机物排放标准》（DB35/1783-2018）表3厂区内监控点浓度限值以及表4企业边界监控点浓度限值要求，即厂区内监控点非甲烷总烃≤8.0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，企业边界监控点非甲烷总烃≤2.0mg/m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、二甲苯≤0.2mg/m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、乙酸乙酯≤1.0mg/m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。颗粒物无组织排放满足《大气污染物综合排放标准》（GB 16297-1996）表2无组织排放监控点浓度限值要求，即颗粒物≤1.0mg/m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w:t>
      </w:r>
    </w:p>
    <w:p w14:paraId="2A2BC201">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从严执行要求：厂区内监控点非甲烷总烃执行《挥发性有机物无组织排放控制标准》（GB 37822-2019）附录A表A.1一般排放限值与《工业涂装工序挥发性有机物排放标准》（DB35/1783-2018）表3厂区内监控点浓度限值中的较严值，即监控点处1h平均浓度值≤8.0mg/m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；企业边界监控点非甲烷总烃（≤2.0mg/m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）、二甲苯（≤0.2mg/m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）执行DB35/1783-2018表4即为从严项，严于《大气污染物综合排放标准》（GB 16297-1996）表2同项无组织排放监控浓度限值（非甲烷总烃4.0mg/m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）；企业边界颗粒物≤1.0mg/m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与《合成树脂工业污染物排放标准》（GB 31572-2015）表9限值一致，按≤1.0mg/m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执行。</w:t>
      </w:r>
    </w:p>
    <w:p w14:paraId="7FE1F437">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（2）喷漆、流平、烘干及喷枪清洗工序废气</w:t>
      </w:r>
    </w:p>
    <w:p w14:paraId="16C3898E">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喷漆、流平、烘干工序及喷枪清洗废气主要包括非甲烷总烃、二甲苯、乙酸丁酯、颗粒物，废气经负压收集后通过干式纸盒+过滤棉过滤＋RTO蓄热式焚烧炉（TA001）处理，最终由20m高排气筒（DA001）排放。</w:t>
      </w:r>
    </w:p>
    <w:p w14:paraId="7DA7F49A">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A.有组织排放</w:t>
      </w:r>
    </w:p>
    <w:p w14:paraId="23469EBD">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二甲苯有组织排放执行《工业涂装工序挥发性有机物排放标准》（DB35/1783-2018）表1“汽车整车制造”排放限值要求，乙酸丁酯参照执行乙酸乙酯与乙酸丁酯合计有组织排放浓度限值要求，即非甲烷总烃≤50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、排放速率≤4.0kg/h，二甲苯≤15mg/m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、排放速率≤1.4kg/h，乙酸乙酯与乙酸丁酯合计≤40mg/m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、排放速率≤2.0kg/h。</w:t>
      </w:r>
    </w:p>
    <w:p w14:paraId="4F78C56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颗粒物执行标准交叉：《大气污染物综合排放标准》（GB 16297-1996）表2二级标准为≤120mg/m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、排放速率≤5.9kg/h，《福建省工业炉窑大气污染综合治理方案》（闽环保大气〔2019〕10号）鼓励排放限值为≤30mg/m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。因固化炉、RTO焚烧炉天然气燃烧废气与喷漆、流平、烘干工序废气同属DA001排气筒排放，颗粒物按同一排气筒从严执行原则，最终执行≤30mg/m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，排放速率仍按5.9kg/h执行。</w:t>
      </w:r>
    </w:p>
    <w:p w14:paraId="49812E18">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B.无组织排放</w:t>
      </w:r>
    </w:p>
    <w:p w14:paraId="1C320CFF">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非甲烷总烃、二甲苯、乙酸乙酯无组织排放满足《工业涂装工序挥发性有机物排放标准》（DB35/1783-2018）表3厂区内监控点浓度限值（非甲烷总烃≤8.0mg/m3）以及表4企业边界监控点浓度限值（非甲烷总烃≤2.0mg/m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、二甲苯≤0.2mg/m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、乙酸乙酯≤1.0mg/m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）要求；颗粒物无组织排放满足《大气污染物综合排放标准》（GB 16297-1996）表2无组织排放监控点浓度限值（颗粒物≤1.0mg/m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）要求。厂区内监控点非甲烷总烃同样按《工业涂装工序挥发性有机物排放标准》（DB35/1783-2018）表3厂区内监控点浓度限值从严执行（严于GB 37822-2019附录A表A.1一般排放限值）。</w:t>
      </w:r>
    </w:p>
    <w:p w14:paraId="1BEB7C8F">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（3）注塑工序废气</w:t>
      </w:r>
    </w:p>
    <w:p w14:paraId="661917A3">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注塑工序废气主要包括非甲烷总烃、臭气浓度，废气经集气罩收集后通过二级活性炭吸附（TA004）处理，最终由20m高DA004排气筒排放。</w:t>
      </w:r>
    </w:p>
    <w:p w14:paraId="2B15A069">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A.有组织排放</w:t>
      </w:r>
    </w:p>
    <w:p w14:paraId="2A4E695C">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非甲烷总烃有组织排放执行《合成树脂工业污染物排放标准》（GB 31572-2015）2024年修改单表4排放限值要求，即非甲烷总烃≤100mg/m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；臭气浓度有组织排放执行《恶臭污染物排放标准》（GB 14554-93）表2排放标准，即臭气浓度≤6000（无量纲）。</w:t>
      </w:r>
    </w:p>
    <w:p w14:paraId="2E696D87">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B.无组织排放</w:t>
      </w:r>
    </w:p>
    <w:p w14:paraId="3CA7906F">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非甲烷总烃厂界无组织排放满足《工业涂装工序挥发性有机物排放标准》（DB35/1783-2018）表4企业边界监控点浓度限值要求，即非甲烷总烃≤2.0mg/m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（该限值严于《大气污染物综合排放标准》（GB 16297-1996）表2同项限值4.0mg/m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，与涂装工序企业边界监控点统一按≤2.0mg/m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执行，属从严执行）；非甲烷总烃厂区内无组织排放满足《挥发性有机物无组织排放控制标准》（GB 37822-2019）附录A表A.1一般排放限值要求，即监控点处1h平均浓度值≤10mg/m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、任意一次浓度值≤30mg/m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（该限值宽于DB35/1783-2018表3的≤8.0mg/m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，厂区内监控点1h平均浓度按较严值执行）。臭气浓度无组织排放满足《恶臭污染物排放标准》（GB 14554-93）表1二级标准新扩改建排放限值要求，即臭气浓度≤20（无量纲）。</w:t>
      </w:r>
    </w:p>
    <w:p w14:paraId="41BCF0C4">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（4）热水炉天然气燃烧废气</w:t>
      </w:r>
    </w:p>
    <w:p w14:paraId="791F3748">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热水炉天然气燃烧废气主要包括颗粒物、二氧化硫、氮氧化物、烟气黑度，采用低氮燃烧方式，经不低于8m高的DA005排气筒有组织排放。</w:t>
      </w:r>
    </w:p>
    <w:p w14:paraId="3B26442B">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颗粒物、二氧化硫、氮氧化物、烟气黑度有组织排放执行《锅炉大气污染物排放标准》（GB 13271-2014）表2燃气锅炉排放限值要求，即颗粒物≤20mg/m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、二氧化硫≤50mg/m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、氮氧化物≤200mg/m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、烟气黑度≤1级。</w:t>
      </w:r>
    </w:p>
    <w:p w14:paraId="5DC7DF7D">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（5）固化炉天然气燃烧废气</w:t>
      </w:r>
    </w:p>
    <w:p w14:paraId="4A5E8D5D">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固化炉天然气燃烧废气主要包括颗粒物、二氧化硫、氮氧化物、烟气黑度。固化炉燃烧废气与喷漆室、流平室、油漆烘干室废气一并负压收集，经干式纸盒+过滤棉过滤＋RTO蓄热式焚烧炉（TA001）处理后由20m高DA001排气筒有组织排放。</w:t>
      </w:r>
    </w:p>
    <w:p w14:paraId="092FA9B8">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颗粒物、二氧化硫、氮氧化物有组织排放执行《福建省工业炉窑大气污染综合治理方案》（闽环保大气〔2019〕10号）鼓励排放限值要求，即颗粒物≤30mg/m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、二氧化硫≤200mg/m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、氮氧化物≤300mg/m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；烟气黑度执行《工业炉窑大气污染物排放标准》（GB 9078-1996）表2限值要求，即烟气黑度≤1级。其中颗粒物≤30mg/m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为本项从严执行限值，DA001排气筒颗粒物最终按≤30mg/m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vertAlign w:val="baseline"/>
          <w:lang w:val="en-US" w:eastAsia="zh-CN" w:bidi="ar-SA"/>
        </w:rPr>
        <w:t>执行</w:t>
      </w:r>
      <w:r>
        <w:rPr>
          <w:rFonts w:hint="eastAsia" w:ascii="Times New Roman" w:hAnsi="Times New Roman" w:eastAsia="宋体" w:cs="Times New Roman"/>
          <w:bCs/>
          <w:color w:val="auto"/>
          <w:kern w:val="2"/>
          <w:sz w:val="24"/>
          <w:szCs w:val="24"/>
          <w:highlight w:val="none"/>
          <w:lang w:val="en-US" w:eastAsia="zh-CN" w:bidi="ar-SA"/>
        </w:rPr>
        <w:t>。</w:t>
      </w:r>
    </w:p>
    <w:p w14:paraId="443E0247">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（6）RTO焚烧炉天然气燃烧废气</w:t>
      </w:r>
    </w:p>
    <w:p w14:paraId="1EB0D7EF">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RTO焚烧炉（助燃）天然气燃烧废气主要包括颗粒物、二氧化硫、氮氧化物、烟气黑度。RTO助燃天然气在RTO燃烧室内燃烧，燃烧产物随净化尾气一并经干式纸盒+过滤棉过滤＋RTO蓄热式焚烧炉（TA001）处理后由20m高DA001排气筒有组织排放。</w:t>
      </w:r>
    </w:p>
    <w:p w14:paraId="05C8FD46">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颗粒物、二氧化硫、氮氧化物有组织排放执行《福建省工业炉窑大气污染综合治理方案》（闽环保大气〔2019〕10号）鼓励排放限值要求，即颗粒物≤30mg/m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、二氧化硫≤200mg/m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、氮氧化物≤300mg/m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；烟气黑度执行《工业炉窑大气污染物排放标准》（GB 9078-1996）表2限值要求，即烟气黑度≤1级。</w:t>
      </w:r>
    </w:p>
    <w:p w14:paraId="6793AB9E">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（7）塑料粉碎废气</w:t>
      </w:r>
    </w:p>
    <w:p w14:paraId="6EB94752">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塑料粉碎废气主要包括颗粒物（塑料破碎粉尘）。塑料粉碎废气经集气罩收集、布袋除尘器处理后无组织排放，厂界颗粒物浓度执行《合成树脂工业污染物排放标准》（GB 31572-2015）表9企业边界大气污染物浓度限值要求，即颗粒物≤1.0mg/m³。该限值与《大气污染物综合排放标准》（GB 16297-1996）表2企业边界颗粒物无组织排放监控浓度限值一致，故厂界颗粒物统一按≤1.0mg/m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执行。</w:t>
      </w:r>
    </w:p>
    <w:p w14:paraId="7F8A2F91">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（8）热洁炉废气</w:t>
      </w:r>
    </w:p>
    <w:p w14:paraId="33055945">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热洁炉废气主要包括热洁炉分解产生的有机废气和热洁炉天然气燃烧废气，主要为非甲烷总烃、颗粒物、二氧化硫、氮氧化物、烟气黑度、臭气浓度。</w:t>
      </w:r>
    </w:p>
    <w:p w14:paraId="65DE4F63">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热洁炉分解产生的有机废气经设备直连管道收集后，进入二燃室高温焚烧（TA006）处理，处理达标后与热洁炉天然气燃烧废气一并通过20m高排气筒（DA006）排放。热洁炉采用设备直连管道收集，可有效捕集涂层分解过程中产生的废气，收集方式可行。</w:t>
      </w:r>
    </w:p>
    <w:p w14:paraId="4618A7DB">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非甲烷总烃有组织排放执行《工业涂装工序挥发性有机物排放标准》（DB35/1783-2018）表1“汽车整车制造”排放限值要求，即非甲烷总烃≤50mg/m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、排放速率≤4.0kg/h，</w:t>
      </w:r>
    </w:p>
    <w:p w14:paraId="22293329">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颗粒物执行《福建省工业炉窑大气污染综合治理方案》（闽环保大气〔2019〕10号）鼓励排放限值为≤30mg/m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w:t>
      </w:r>
    </w:p>
    <w:p w14:paraId="6073636F">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vertAlign w:val="baseli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二氧化硫、氮氧化物有组织排放执行《福建省工业炉窑大气污染综合治理方案》（闽环保大气〔2019〕10号）鼓励排放限值要求，即二氧化硫≤200mg/m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、氮氧化物≤300mg/m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；烟气黑度执行《工业炉窑大气污染物排放标准》（GB 9078-1996）表2限值要求，即烟气黑度≤1级。其中颗粒物≤30mg/m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lang w:val="en-US" w:eastAsia="zh-CN" w:bidi="ar-SA"/>
        </w:rPr>
        <w:t>为本项从严执行限值，DA001排气筒颗粒物最终按≤30mg/m</w:t>
      </w:r>
      <w:r>
        <w:rPr>
          <w:rFonts w:hint="eastAsia" w:ascii="Times New Roman" w:hAnsi="Times New Roman" w:eastAsia="宋体" w:cs="Times New Roman"/>
          <w:bCs/>
          <w:color w:val="auto"/>
          <w:kern w:val="2"/>
          <w:sz w:val="24"/>
          <w:szCs w:val="24"/>
          <w:highlight w:val="none"/>
          <w:vertAlign w:val="superscript"/>
          <w:lang w:val="en-US" w:eastAsia="zh-CN" w:bidi="ar-SA"/>
        </w:rPr>
        <w:t>3</w:t>
      </w:r>
      <w:r>
        <w:rPr>
          <w:rFonts w:hint="eastAsia" w:ascii="Times New Roman" w:hAnsi="Times New Roman" w:eastAsia="宋体" w:cs="Times New Roman"/>
          <w:bCs/>
          <w:color w:val="auto"/>
          <w:kern w:val="2"/>
          <w:sz w:val="24"/>
          <w:szCs w:val="24"/>
          <w:highlight w:val="none"/>
          <w:vertAlign w:val="baseline"/>
          <w:lang w:val="en-US" w:eastAsia="zh-CN" w:bidi="ar-SA"/>
        </w:rPr>
        <w:t>执行。</w:t>
      </w:r>
    </w:p>
    <w:p w14:paraId="1B8365D8">
      <w:pPr>
        <w:keepNext w:val="0"/>
        <w:keepLines w:val="0"/>
        <w:pageBreakBefore w:val="0"/>
        <w:widowControl w:val="0"/>
        <w:kinsoku/>
        <w:wordWrap w:val="0"/>
        <w:overflowPunct w:val="0"/>
        <w:topLinePunct/>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臭气浓度有组织排放执行《恶臭污染物排放标准》（GB 14554-93）表2排放标准，即臭气浓度≤6000（无量纲）。</w:t>
      </w:r>
    </w:p>
    <w:p w14:paraId="28824C97">
      <w:pPr>
        <w:keepNext w:val="0"/>
        <w:keepLines w:val="0"/>
        <w:pageBreakBefore w:val="0"/>
        <w:widowControl w:val="0"/>
        <w:kinsoku/>
        <w:wordWrap w:val="0"/>
        <w:overflowPunct w:val="0"/>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注：排气筒高度除须遵守表列排放速率标准值外，还应高出周围200m半径范围的建筑5m以上，不能达到该要求的排气筒，应按其高度对应的表列排放速率标准值严格50%执行（即颗粒物排放速率按2.95kg/h执行）。</w:t>
      </w:r>
    </w:p>
    <w:p w14:paraId="3F6E0D9A">
      <w:pPr>
        <w:rPr>
          <w:rFonts w:hint="default" w:cs="Times New Roman"/>
          <w:color w:val="auto"/>
          <w:highlight w:val="none"/>
          <w:lang w:val="en-US" w:eastAsia="zh-CN"/>
        </w:rPr>
        <w:sectPr>
          <w:headerReference r:id="rId15" w:type="default"/>
          <w:pgSz w:w="11907" w:h="16840"/>
          <w:pgMar w:top="1440" w:right="1797" w:bottom="1440" w:left="1797" w:header="737" w:footer="624" w:gutter="0"/>
          <w:pgBorders w:offsetFrom="page">
            <w:top w:val="none" w:sz="0" w:space="0"/>
            <w:left w:val="none" w:sz="0" w:space="0"/>
            <w:bottom w:val="none" w:sz="0" w:space="0"/>
            <w:right w:val="none" w:sz="0" w:space="0"/>
          </w:pgBorders>
          <w:pgNumType w:fmt="decimal"/>
          <w:cols w:space="720" w:num="1"/>
          <w:docGrid w:linePitch="326" w:charSpace="0"/>
        </w:sectPr>
      </w:pPr>
    </w:p>
    <w:p w14:paraId="6356F5C4">
      <w:pPr>
        <w:keepNext/>
        <w:keepLines/>
        <w:widowControl w:val="0"/>
        <w:bidi w:val="0"/>
        <w:spacing w:line="240" w:lineRule="auto"/>
        <w:ind w:firstLine="0" w:firstLineChars="0"/>
        <w:jc w:val="center"/>
        <w:outlineLvl w:val="6"/>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表2.4-2  废气污染物排放标准一览表</w:t>
      </w:r>
    </w:p>
    <w:tbl>
      <w:tblPr>
        <w:tblStyle w:val="8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7"/>
        <w:gridCol w:w="958"/>
        <w:gridCol w:w="427"/>
        <w:gridCol w:w="1990"/>
        <w:gridCol w:w="1220"/>
        <w:gridCol w:w="1097"/>
        <w:gridCol w:w="2617"/>
        <w:gridCol w:w="1308"/>
        <w:gridCol w:w="1378"/>
        <w:gridCol w:w="2743"/>
      </w:tblGrid>
      <w:tr w14:paraId="52A1BA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blHeader/>
          <w:jc w:val="center"/>
        </w:trPr>
        <w:tc>
          <w:tcPr>
            <w:tcW w:w="150" w:type="pct"/>
            <w:tcBorders>
              <w:tl2br w:val="nil"/>
              <w:tr2bl w:val="nil"/>
            </w:tcBorders>
            <w:shd w:val="clear" w:color="auto" w:fill="auto"/>
            <w:vAlign w:val="center"/>
          </w:tcPr>
          <w:p w14:paraId="0337F5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类别</w:t>
            </w:r>
          </w:p>
        </w:tc>
        <w:tc>
          <w:tcPr>
            <w:tcW w:w="338" w:type="pct"/>
            <w:tcBorders>
              <w:tl2br w:val="nil"/>
              <w:tr2bl w:val="nil"/>
            </w:tcBorders>
            <w:shd w:val="clear" w:color="auto" w:fill="auto"/>
            <w:vAlign w:val="center"/>
          </w:tcPr>
          <w:p w14:paraId="2C814D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工序/设施</w:t>
            </w:r>
          </w:p>
        </w:tc>
        <w:tc>
          <w:tcPr>
            <w:tcW w:w="150" w:type="pct"/>
            <w:tcBorders>
              <w:tl2br w:val="nil"/>
              <w:tr2bl w:val="nil"/>
            </w:tcBorders>
            <w:shd w:val="clear" w:color="auto" w:fill="auto"/>
            <w:vAlign w:val="center"/>
          </w:tcPr>
          <w:p w14:paraId="4C1BE6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排放方式</w:t>
            </w:r>
          </w:p>
        </w:tc>
        <w:tc>
          <w:tcPr>
            <w:tcW w:w="702" w:type="pct"/>
            <w:tcBorders>
              <w:tl2br w:val="nil"/>
              <w:tr2bl w:val="nil"/>
            </w:tcBorders>
            <w:shd w:val="clear" w:color="auto" w:fill="auto"/>
            <w:vAlign w:val="center"/>
          </w:tcPr>
          <w:p w14:paraId="2CAEB6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治理措施</w:t>
            </w:r>
          </w:p>
        </w:tc>
        <w:tc>
          <w:tcPr>
            <w:tcW w:w="430" w:type="pct"/>
            <w:tcBorders>
              <w:tl2br w:val="nil"/>
              <w:tr2bl w:val="nil"/>
            </w:tcBorders>
            <w:shd w:val="clear" w:color="auto" w:fill="auto"/>
            <w:vAlign w:val="center"/>
          </w:tcPr>
          <w:p w14:paraId="0D92B7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排气筒</w:t>
            </w:r>
          </w:p>
        </w:tc>
        <w:tc>
          <w:tcPr>
            <w:tcW w:w="387" w:type="pct"/>
            <w:tcBorders>
              <w:tl2br w:val="nil"/>
              <w:tr2bl w:val="nil"/>
            </w:tcBorders>
            <w:shd w:val="clear" w:color="auto" w:fill="auto"/>
            <w:vAlign w:val="center"/>
          </w:tcPr>
          <w:p w14:paraId="15ECCF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污染物</w:t>
            </w:r>
          </w:p>
        </w:tc>
        <w:tc>
          <w:tcPr>
            <w:tcW w:w="923" w:type="pct"/>
            <w:tcBorders>
              <w:tl2br w:val="nil"/>
              <w:tr2bl w:val="nil"/>
            </w:tcBorders>
            <w:shd w:val="clear" w:color="auto" w:fill="auto"/>
            <w:vAlign w:val="center"/>
          </w:tcPr>
          <w:p w14:paraId="1A53F5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执行标准</w:t>
            </w:r>
          </w:p>
        </w:tc>
        <w:tc>
          <w:tcPr>
            <w:tcW w:w="461" w:type="pct"/>
            <w:tcBorders>
              <w:tl2br w:val="nil"/>
              <w:tr2bl w:val="nil"/>
            </w:tcBorders>
            <w:shd w:val="clear" w:color="auto" w:fill="auto"/>
            <w:vAlign w:val="center"/>
          </w:tcPr>
          <w:p w14:paraId="7C689E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排放浓度限值</w:t>
            </w:r>
          </w:p>
        </w:tc>
        <w:tc>
          <w:tcPr>
            <w:tcW w:w="486" w:type="pct"/>
            <w:tcBorders>
              <w:tl2br w:val="nil"/>
              <w:tr2bl w:val="nil"/>
            </w:tcBorders>
            <w:shd w:val="clear" w:color="auto" w:fill="auto"/>
            <w:vAlign w:val="center"/>
          </w:tcPr>
          <w:p w14:paraId="23D127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排放速率限值</w:t>
            </w:r>
          </w:p>
        </w:tc>
        <w:tc>
          <w:tcPr>
            <w:tcW w:w="967" w:type="pct"/>
            <w:tcBorders>
              <w:tl2br w:val="nil"/>
              <w:tr2bl w:val="nil"/>
            </w:tcBorders>
            <w:shd w:val="clear" w:color="auto" w:fill="auto"/>
            <w:vAlign w:val="center"/>
          </w:tcPr>
          <w:p w14:paraId="070C76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bCs w:val="0"/>
                <w:color w:val="auto"/>
                <w:kern w:val="0"/>
                <w:sz w:val="21"/>
                <w:szCs w:val="22"/>
                <w:highlight w:val="none"/>
                <w:lang w:eastAsia="en-US"/>
              </w:rPr>
            </w:pPr>
            <w:r>
              <w:rPr>
                <w:rFonts w:ascii="Times New Roman" w:hAnsi="Times New Roman" w:eastAsia="宋体" w:cs="Times New Roman"/>
                <w:b/>
                <w:bCs w:val="0"/>
                <w:color w:val="auto"/>
                <w:kern w:val="0"/>
                <w:sz w:val="21"/>
                <w:szCs w:val="22"/>
                <w:highlight w:val="none"/>
                <w:lang w:eastAsia="en-US"/>
              </w:rPr>
              <w:t>从严执行限值（同一排气筒／同一监控点）</w:t>
            </w:r>
          </w:p>
        </w:tc>
      </w:tr>
      <w:tr w14:paraId="043643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restart"/>
            <w:tcBorders>
              <w:tl2br w:val="nil"/>
              <w:tr2bl w:val="nil"/>
            </w:tcBorders>
            <w:shd w:val="clear" w:color="auto" w:fill="auto"/>
            <w:vAlign w:val="center"/>
          </w:tcPr>
          <w:p w14:paraId="663D2C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有机废气</w:t>
            </w:r>
          </w:p>
        </w:tc>
        <w:tc>
          <w:tcPr>
            <w:tcW w:w="338" w:type="pct"/>
            <w:vMerge w:val="restart"/>
            <w:tcBorders>
              <w:tl2br w:val="nil"/>
              <w:tr2bl w:val="nil"/>
            </w:tcBorders>
            <w:shd w:val="clear" w:color="auto" w:fill="auto"/>
            <w:vAlign w:val="center"/>
          </w:tcPr>
          <w:p w14:paraId="49CBD5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调漆工序废气</w:t>
            </w:r>
            <w:r>
              <w:rPr>
                <w:rFonts w:hint="eastAsia" w:ascii="Times New Roman" w:hAnsi="Times New Roman" w:eastAsia="宋体" w:cs="Times New Roman"/>
                <w:b w:val="0"/>
                <w:bCs/>
                <w:color w:val="auto"/>
                <w:kern w:val="0"/>
                <w:sz w:val="21"/>
                <w:szCs w:val="22"/>
                <w:highlight w:val="none"/>
                <w:lang w:val="en-US"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点补工序废气</w:t>
            </w:r>
            <w:r>
              <w:rPr>
                <w:rFonts w:hint="eastAsia" w:ascii="Times New Roman" w:hAnsi="Times New Roman" w:eastAsia="宋体" w:cs="Times New Roman"/>
                <w:b w:val="0"/>
                <w:bCs/>
                <w:color w:val="auto"/>
                <w:kern w:val="0"/>
                <w:sz w:val="21"/>
                <w:szCs w:val="22"/>
                <w:highlight w:val="none"/>
                <w:lang w:val="en-US"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喷漆、流平、烘干</w:t>
            </w:r>
            <w:r>
              <w:rPr>
                <w:rFonts w:hint="eastAsia" w:ascii="Times New Roman" w:hAnsi="Times New Roman" w:cs="Times New Roman"/>
                <w:b w:val="0"/>
                <w:bCs/>
                <w:color w:val="auto"/>
                <w:kern w:val="0"/>
                <w:sz w:val="21"/>
                <w:szCs w:val="22"/>
                <w:highlight w:val="none"/>
                <w:lang w:eastAsia="zh-CN"/>
              </w:rPr>
              <w:t>、喷枪清洗工序废气</w:t>
            </w:r>
          </w:p>
        </w:tc>
        <w:tc>
          <w:tcPr>
            <w:tcW w:w="150" w:type="pct"/>
            <w:vMerge w:val="restart"/>
            <w:tcBorders>
              <w:tl2br w:val="nil"/>
              <w:tr2bl w:val="nil"/>
            </w:tcBorders>
            <w:shd w:val="clear" w:color="auto" w:fill="auto"/>
            <w:vAlign w:val="center"/>
          </w:tcPr>
          <w:p w14:paraId="3ABCD4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有组织</w:t>
            </w:r>
          </w:p>
        </w:tc>
        <w:tc>
          <w:tcPr>
            <w:tcW w:w="702" w:type="pct"/>
            <w:vMerge w:val="restart"/>
            <w:tcBorders>
              <w:tl2br w:val="nil"/>
              <w:tr2bl w:val="nil"/>
            </w:tcBorders>
            <w:shd w:val="clear" w:color="auto" w:fill="auto"/>
            <w:vAlign w:val="center"/>
          </w:tcPr>
          <w:p w14:paraId="4465D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调漆：二级活性炭吸附（TA002）</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点补：</w:t>
            </w:r>
            <w:r>
              <w:rPr>
                <w:rFonts w:hint="eastAsia" w:ascii="Times New Roman" w:hAnsi="Times New Roman" w:cs="Times New Roman"/>
                <w:b w:val="0"/>
                <w:bCs/>
                <w:color w:val="auto"/>
                <w:kern w:val="0"/>
                <w:sz w:val="21"/>
                <w:szCs w:val="22"/>
                <w:highlight w:val="none"/>
                <w:lang w:val="en-US" w:eastAsia="zh-CN"/>
              </w:rPr>
              <w:t>过滤棉过滤</w:t>
            </w:r>
            <w:r>
              <w:rPr>
                <w:rFonts w:ascii="Times New Roman" w:hAnsi="Times New Roman" w:eastAsia="宋体" w:cs="Times New Roman"/>
                <w:b w:val="0"/>
                <w:bCs/>
                <w:color w:val="auto"/>
                <w:kern w:val="0"/>
                <w:sz w:val="21"/>
                <w:szCs w:val="22"/>
                <w:highlight w:val="none"/>
                <w:lang w:eastAsia="en-US"/>
              </w:rPr>
              <w:t>＋二级活性炭吸附（TA003）</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喷漆、流平、烘干：</w:t>
            </w:r>
            <w:r>
              <w:rPr>
                <w:rFonts w:hint="eastAsia" w:ascii="Times New Roman" w:hAnsi="Times New Roman" w:cs="Times New Roman"/>
                <w:b w:val="0"/>
                <w:bCs/>
                <w:color w:val="auto"/>
                <w:kern w:val="0"/>
                <w:sz w:val="21"/>
                <w:szCs w:val="22"/>
                <w:highlight w:val="none"/>
                <w:lang w:val="en-US" w:eastAsia="zh-CN"/>
              </w:rPr>
              <w:t>干式纸盒+过滤棉过滤</w:t>
            </w:r>
            <w:r>
              <w:rPr>
                <w:rFonts w:ascii="Times New Roman" w:hAnsi="Times New Roman" w:eastAsia="宋体" w:cs="Times New Roman"/>
                <w:b w:val="0"/>
                <w:bCs/>
                <w:color w:val="auto"/>
                <w:kern w:val="0"/>
                <w:sz w:val="21"/>
                <w:szCs w:val="22"/>
                <w:highlight w:val="none"/>
                <w:lang w:eastAsia="en-US"/>
              </w:rPr>
              <w:t>＋RTO蓄热式焚烧炉（TA001）</w:t>
            </w:r>
          </w:p>
        </w:tc>
        <w:tc>
          <w:tcPr>
            <w:tcW w:w="430" w:type="pct"/>
            <w:vMerge w:val="restart"/>
            <w:tcBorders>
              <w:tl2br w:val="nil"/>
              <w:tr2bl w:val="nil"/>
            </w:tcBorders>
            <w:shd w:val="clear" w:color="auto" w:fill="auto"/>
            <w:vAlign w:val="center"/>
          </w:tcPr>
          <w:p w14:paraId="3C9113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调漆：DA002（20m）</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点补：DA003（20m）</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喷漆、流平、烘干：DA001（20m）</w:t>
            </w:r>
          </w:p>
        </w:tc>
        <w:tc>
          <w:tcPr>
            <w:tcW w:w="387" w:type="pct"/>
            <w:tcBorders>
              <w:tl2br w:val="nil"/>
              <w:tr2bl w:val="nil"/>
            </w:tcBorders>
            <w:shd w:val="clear" w:color="auto" w:fill="auto"/>
            <w:vAlign w:val="center"/>
          </w:tcPr>
          <w:p w14:paraId="303E77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w:t>
            </w:r>
          </w:p>
        </w:tc>
        <w:tc>
          <w:tcPr>
            <w:tcW w:w="923" w:type="pct"/>
            <w:vMerge w:val="restart"/>
            <w:tcBorders>
              <w:tl2br w:val="nil"/>
              <w:tr2bl w:val="nil"/>
            </w:tcBorders>
            <w:shd w:val="clear" w:color="auto" w:fill="auto"/>
            <w:vAlign w:val="center"/>
          </w:tcPr>
          <w:p w14:paraId="2E7FDF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《工业涂装工序挥发性有机物排放标准》表1</w:t>
            </w:r>
            <w:r>
              <w:rPr>
                <w:rFonts w:hint="eastAsia" w:ascii="Times New Roman" w:hAnsi="Times New Roman"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t>汽车整车制造</w:t>
            </w:r>
            <w:r>
              <w:rPr>
                <w:rFonts w:hint="eastAsia" w:ascii="Times New Roman" w:hAnsi="Times New Roman"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t>排放限值（DB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461" w:type="pct"/>
            <w:tcBorders>
              <w:tl2br w:val="nil"/>
              <w:tr2bl w:val="nil"/>
            </w:tcBorders>
            <w:shd w:val="clear" w:color="auto" w:fill="auto"/>
            <w:vAlign w:val="center"/>
          </w:tcPr>
          <w:p w14:paraId="7E3C2C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≤50mg/m³</w:t>
            </w:r>
          </w:p>
        </w:tc>
        <w:tc>
          <w:tcPr>
            <w:tcW w:w="486" w:type="pct"/>
            <w:tcBorders>
              <w:tl2br w:val="nil"/>
              <w:tr2bl w:val="nil"/>
            </w:tcBorders>
            <w:shd w:val="clear" w:color="auto" w:fill="auto"/>
            <w:vAlign w:val="center"/>
          </w:tcPr>
          <w:p w14:paraId="6CAE90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4.0kg/h</w:t>
            </w:r>
          </w:p>
        </w:tc>
        <w:tc>
          <w:tcPr>
            <w:tcW w:w="967" w:type="pct"/>
            <w:tcBorders>
              <w:tl2br w:val="nil"/>
              <w:tr2bl w:val="nil"/>
            </w:tcBorders>
            <w:shd w:val="clear" w:color="auto" w:fill="auto"/>
            <w:vAlign w:val="center"/>
          </w:tcPr>
          <w:p w14:paraId="2832A5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3B6A6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E762C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627049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7AF85D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49A8D5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6C77BA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050796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二甲苯</w:t>
            </w:r>
          </w:p>
        </w:tc>
        <w:tc>
          <w:tcPr>
            <w:tcW w:w="923" w:type="pct"/>
            <w:vMerge w:val="continue"/>
            <w:tcBorders>
              <w:tl2br w:val="nil"/>
              <w:tr2bl w:val="nil"/>
            </w:tcBorders>
            <w:shd w:val="clear" w:color="auto" w:fill="auto"/>
            <w:vAlign w:val="center"/>
          </w:tcPr>
          <w:p w14:paraId="7DB6BE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42A2CA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≤15mg/m³</w:t>
            </w:r>
          </w:p>
        </w:tc>
        <w:tc>
          <w:tcPr>
            <w:tcW w:w="486" w:type="pct"/>
            <w:tcBorders>
              <w:tl2br w:val="nil"/>
              <w:tr2bl w:val="nil"/>
            </w:tcBorders>
            <w:shd w:val="clear" w:color="auto" w:fill="auto"/>
            <w:vAlign w:val="center"/>
          </w:tcPr>
          <w:p w14:paraId="68A46E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1.4kg/h</w:t>
            </w:r>
          </w:p>
        </w:tc>
        <w:tc>
          <w:tcPr>
            <w:tcW w:w="967" w:type="pct"/>
            <w:tcBorders>
              <w:tl2br w:val="nil"/>
              <w:tr2bl w:val="nil"/>
            </w:tcBorders>
            <w:shd w:val="clear" w:color="auto" w:fill="auto"/>
            <w:vAlign w:val="center"/>
          </w:tcPr>
          <w:p w14:paraId="77AE1B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235A3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F4C78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4EAFE9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6D0353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3BF9CD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5EE736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14FA22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乙酸乙酯与乙酸丁酯合计</w:t>
            </w:r>
          </w:p>
        </w:tc>
        <w:tc>
          <w:tcPr>
            <w:tcW w:w="923" w:type="pct"/>
            <w:vMerge w:val="continue"/>
            <w:tcBorders>
              <w:tl2br w:val="nil"/>
              <w:tr2bl w:val="nil"/>
            </w:tcBorders>
            <w:shd w:val="clear" w:color="auto" w:fill="auto"/>
            <w:vAlign w:val="center"/>
          </w:tcPr>
          <w:p w14:paraId="01896A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3BD91A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≤40mg/m³</w:t>
            </w:r>
          </w:p>
        </w:tc>
        <w:tc>
          <w:tcPr>
            <w:tcW w:w="486" w:type="pct"/>
            <w:tcBorders>
              <w:tl2br w:val="nil"/>
              <w:tr2bl w:val="nil"/>
            </w:tcBorders>
            <w:shd w:val="clear" w:color="auto" w:fill="auto"/>
            <w:vAlign w:val="center"/>
          </w:tcPr>
          <w:p w14:paraId="268780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2.0kg/h</w:t>
            </w:r>
          </w:p>
        </w:tc>
        <w:tc>
          <w:tcPr>
            <w:tcW w:w="967" w:type="pct"/>
            <w:tcBorders>
              <w:tl2br w:val="nil"/>
              <w:tr2bl w:val="nil"/>
            </w:tcBorders>
            <w:shd w:val="clear" w:color="auto" w:fill="auto"/>
            <w:vAlign w:val="center"/>
          </w:tcPr>
          <w:p w14:paraId="5B64CF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3B9FB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DA85E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545B51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028C62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566C6B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22676C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D7D7D7"/>
            <w:vAlign w:val="center"/>
          </w:tcPr>
          <w:p w14:paraId="1E8D38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颗粒物</w:t>
            </w:r>
          </w:p>
        </w:tc>
        <w:tc>
          <w:tcPr>
            <w:tcW w:w="923" w:type="pct"/>
            <w:tcBorders>
              <w:tl2br w:val="nil"/>
              <w:tr2bl w:val="nil"/>
            </w:tcBorders>
            <w:shd w:val="clear" w:color="auto" w:fill="auto"/>
            <w:vAlign w:val="center"/>
          </w:tcPr>
          <w:p w14:paraId="43BE09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《大气污染物综合排放标准》表2二级标准（GB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16297-1996）</w:t>
            </w:r>
          </w:p>
        </w:tc>
        <w:tc>
          <w:tcPr>
            <w:tcW w:w="461" w:type="pct"/>
            <w:tcBorders>
              <w:tl2br w:val="nil"/>
              <w:tr2bl w:val="nil"/>
            </w:tcBorders>
            <w:shd w:val="clear" w:color="auto" w:fill="auto"/>
            <w:vAlign w:val="center"/>
          </w:tcPr>
          <w:p w14:paraId="5853EF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≤120mg/m³</w:t>
            </w:r>
          </w:p>
        </w:tc>
        <w:tc>
          <w:tcPr>
            <w:tcW w:w="486" w:type="pct"/>
            <w:tcBorders>
              <w:tl2br w:val="nil"/>
              <w:tr2bl w:val="nil"/>
            </w:tcBorders>
            <w:shd w:val="clear" w:color="auto" w:fill="auto"/>
            <w:vAlign w:val="center"/>
          </w:tcPr>
          <w:p w14:paraId="78C9FC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2"/>
                <w:highlight w:val="none"/>
                <w:lang w:val="en-US" w:eastAsia="zh-CN"/>
              </w:rPr>
            </w:pPr>
            <w:r>
              <w:rPr>
                <w:rFonts w:ascii="Times New Roman" w:hAnsi="Times New Roman" w:eastAsia="宋体" w:cs="Times New Roman"/>
                <w:b w:val="0"/>
                <w:bCs/>
                <w:color w:val="auto"/>
                <w:kern w:val="0"/>
                <w:sz w:val="21"/>
                <w:szCs w:val="22"/>
                <w:highlight w:val="none"/>
                <w:lang w:eastAsia="en-US"/>
              </w:rPr>
              <w:t>5.9kg/h</w:t>
            </w:r>
            <w:r>
              <w:rPr>
                <w:rFonts w:hint="eastAsia" w:ascii="Times New Roman" w:hAnsi="Times New Roman" w:eastAsia="宋体" w:cs="Times New Roman"/>
                <w:b w:val="0"/>
                <w:bCs/>
                <w:color w:val="auto"/>
                <w:kern w:val="0"/>
                <w:sz w:val="21"/>
                <w:szCs w:val="22"/>
                <w:highlight w:val="none"/>
                <w:lang w:eastAsia="zh-CN"/>
              </w:rPr>
              <w:t>（</w:t>
            </w:r>
            <w:r>
              <w:rPr>
                <w:rFonts w:hint="eastAsia" w:ascii="Times New Roman" w:hAnsi="Times New Roman" w:eastAsia="宋体" w:cs="Times New Roman"/>
                <w:b w:val="0"/>
                <w:bCs/>
                <w:color w:val="auto"/>
                <w:kern w:val="0"/>
                <w:sz w:val="21"/>
                <w:szCs w:val="22"/>
                <w:highlight w:val="none"/>
                <w:lang w:val="en-US" w:eastAsia="zh-CN"/>
              </w:rPr>
              <w:t>2.95</w:t>
            </w:r>
            <w:r>
              <w:rPr>
                <w:rFonts w:ascii="Times New Roman" w:hAnsi="Times New Roman" w:eastAsia="宋体" w:cs="Times New Roman"/>
                <w:b w:val="0"/>
                <w:bCs/>
                <w:color w:val="auto"/>
                <w:kern w:val="0"/>
                <w:sz w:val="21"/>
                <w:szCs w:val="22"/>
                <w:highlight w:val="none"/>
                <w:lang w:eastAsia="en-US"/>
              </w:rPr>
              <w:t>kg/h</w:t>
            </w:r>
            <w:r>
              <w:rPr>
                <w:rFonts w:hint="eastAsia" w:ascii="Times New Roman" w:hAnsi="Times New Roman" w:cs="Times New Roman"/>
                <w:b w:val="0"/>
                <w:bCs/>
                <w:color w:val="auto"/>
                <w:kern w:val="0"/>
                <w:sz w:val="21"/>
                <w:szCs w:val="22"/>
                <w:highlight w:val="none"/>
                <w:lang w:eastAsia="zh-CN"/>
              </w:rPr>
              <w:t>）</w:t>
            </w:r>
            <w:r>
              <w:rPr>
                <w:rFonts w:hint="eastAsia" w:ascii="Times New Roman" w:hAnsi="Times New Roman" w:cs="Times New Roman"/>
                <w:b w:val="0"/>
                <w:bCs/>
                <w:color w:val="auto"/>
                <w:kern w:val="0"/>
                <w:sz w:val="21"/>
                <w:szCs w:val="22"/>
                <w:highlight w:val="none"/>
                <w:lang w:val="en-US" w:eastAsia="zh-CN"/>
              </w:rPr>
              <w:t>*</w:t>
            </w:r>
          </w:p>
        </w:tc>
        <w:tc>
          <w:tcPr>
            <w:tcW w:w="967" w:type="pct"/>
            <w:tcBorders>
              <w:tl2br w:val="nil"/>
              <w:tr2bl w:val="nil"/>
            </w:tcBorders>
            <w:shd w:val="clear" w:color="auto" w:fill="D7D7D7"/>
            <w:vAlign w:val="center"/>
          </w:tcPr>
          <w:p w14:paraId="7DE989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从严执行：≤30mg/m³（同属DA001，与炉窑项取严）；速率限值仍按5.9kg/h</w:t>
            </w:r>
            <w:r>
              <w:rPr>
                <w:rFonts w:hint="eastAsia" w:ascii="Times New Roman" w:hAnsi="Times New Roman" w:eastAsia="宋体" w:cs="Times New Roman"/>
                <w:b w:val="0"/>
                <w:bCs/>
                <w:color w:val="auto"/>
                <w:kern w:val="0"/>
                <w:sz w:val="21"/>
                <w:szCs w:val="22"/>
                <w:highlight w:val="none"/>
                <w:lang w:eastAsia="zh-CN"/>
              </w:rPr>
              <w:t>（</w:t>
            </w:r>
            <w:r>
              <w:rPr>
                <w:rFonts w:hint="eastAsia" w:ascii="Times New Roman" w:hAnsi="Times New Roman" w:eastAsia="宋体" w:cs="Times New Roman"/>
                <w:b w:val="0"/>
                <w:bCs/>
                <w:color w:val="auto"/>
                <w:kern w:val="0"/>
                <w:sz w:val="21"/>
                <w:szCs w:val="22"/>
                <w:highlight w:val="none"/>
                <w:lang w:val="en-US" w:eastAsia="zh-CN"/>
              </w:rPr>
              <w:t>2.95</w:t>
            </w:r>
            <w:r>
              <w:rPr>
                <w:rFonts w:ascii="Times New Roman" w:hAnsi="Times New Roman" w:eastAsia="宋体" w:cs="Times New Roman"/>
                <w:b w:val="0"/>
                <w:bCs/>
                <w:color w:val="auto"/>
                <w:kern w:val="0"/>
                <w:sz w:val="21"/>
                <w:szCs w:val="22"/>
                <w:highlight w:val="none"/>
                <w:lang w:eastAsia="en-US"/>
              </w:rPr>
              <w:t>kg/h</w:t>
            </w:r>
            <w:r>
              <w:rPr>
                <w:rFonts w:hint="eastAsia" w:ascii="Times New Roman" w:hAnsi="Times New Roman" w:cs="Times New Roman"/>
                <w:b w:val="0"/>
                <w:bCs/>
                <w:color w:val="auto"/>
                <w:kern w:val="0"/>
                <w:sz w:val="21"/>
                <w:szCs w:val="22"/>
                <w:highlight w:val="none"/>
                <w:lang w:eastAsia="zh-CN"/>
              </w:rPr>
              <w:t>）</w:t>
            </w:r>
            <w:r>
              <w:rPr>
                <w:rFonts w:hint="eastAsia" w:ascii="Times New Roman" w:hAnsi="Times New Roman" w:cs="Times New Roman"/>
                <w:b w:val="0"/>
                <w:bCs/>
                <w:color w:val="auto"/>
                <w:kern w:val="0"/>
                <w:sz w:val="21"/>
                <w:szCs w:val="22"/>
                <w:highlight w:val="none"/>
                <w:lang w:val="en-US" w:eastAsia="zh-CN"/>
              </w:rPr>
              <w:t>*</w:t>
            </w:r>
          </w:p>
        </w:tc>
      </w:tr>
      <w:tr w14:paraId="3FAFE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1E6C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restart"/>
            <w:tcBorders>
              <w:tl2br w:val="nil"/>
              <w:tr2bl w:val="nil"/>
            </w:tcBorders>
            <w:shd w:val="clear" w:color="auto" w:fill="auto"/>
            <w:vAlign w:val="center"/>
          </w:tcPr>
          <w:p w14:paraId="05477B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注塑工序废气</w:t>
            </w:r>
          </w:p>
        </w:tc>
        <w:tc>
          <w:tcPr>
            <w:tcW w:w="150" w:type="pct"/>
            <w:vMerge w:val="restart"/>
            <w:tcBorders>
              <w:tl2br w:val="nil"/>
              <w:tr2bl w:val="nil"/>
            </w:tcBorders>
            <w:shd w:val="clear" w:color="auto" w:fill="auto"/>
            <w:vAlign w:val="center"/>
          </w:tcPr>
          <w:p w14:paraId="5DF587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有组织</w:t>
            </w:r>
          </w:p>
        </w:tc>
        <w:tc>
          <w:tcPr>
            <w:tcW w:w="702" w:type="pct"/>
            <w:vMerge w:val="restart"/>
            <w:tcBorders>
              <w:tl2br w:val="nil"/>
              <w:tr2bl w:val="nil"/>
            </w:tcBorders>
            <w:shd w:val="clear" w:color="auto" w:fill="auto"/>
            <w:vAlign w:val="center"/>
          </w:tcPr>
          <w:p w14:paraId="54F300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hint="eastAsia" w:ascii="Times New Roman" w:hAnsi="Times New Roman" w:cs="Times New Roman"/>
                <w:b w:val="0"/>
                <w:bCs/>
                <w:color w:val="auto"/>
                <w:kern w:val="0"/>
                <w:sz w:val="21"/>
                <w:szCs w:val="22"/>
                <w:highlight w:val="none"/>
                <w:lang w:val="en-US" w:eastAsia="zh-CN"/>
              </w:rPr>
              <w:t>集气罩</w:t>
            </w:r>
            <w:r>
              <w:rPr>
                <w:rFonts w:ascii="Times New Roman" w:hAnsi="Times New Roman" w:eastAsia="宋体" w:cs="Times New Roman"/>
                <w:b w:val="0"/>
                <w:bCs/>
                <w:color w:val="auto"/>
                <w:kern w:val="0"/>
                <w:sz w:val="21"/>
                <w:szCs w:val="22"/>
                <w:highlight w:val="none"/>
                <w:lang w:eastAsia="en-US"/>
              </w:rPr>
              <w:t>＋二级活性炭吸附（TA004）</w:t>
            </w:r>
          </w:p>
        </w:tc>
        <w:tc>
          <w:tcPr>
            <w:tcW w:w="430" w:type="pct"/>
            <w:vMerge w:val="restart"/>
            <w:tcBorders>
              <w:tl2br w:val="nil"/>
              <w:tr2bl w:val="nil"/>
            </w:tcBorders>
            <w:shd w:val="clear" w:color="auto" w:fill="auto"/>
            <w:vAlign w:val="center"/>
          </w:tcPr>
          <w:p w14:paraId="28DFC3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DA004（20m高排气筒）</w:t>
            </w:r>
          </w:p>
        </w:tc>
        <w:tc>
          <w:tcPr>
            <w:tcW w:w="387" w:type="pct"/>
            <w:tcBorders>
              <w:tl2br w:val="nil"/>
              <w:tr2bl w:val="nil"/>
            </w:tcBorders>
            <w:shd w:val="clear" w:color="auto" w:fill="auto"/>
            <w:vAlign w:val="center"/>
          </w:tcPr>
          <w:p w14:paraId="2E179A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w:t>
            </w:r>
          </w:p>
        </w:tc>
        <w:tc>
          <w:tcPr>
            <w:tcW w:w="923" w:type="pct"/>
            <w:tcBorders>
              <w:tl2br w:val="nil"/>
              <w:tr2bl w:val="nil"/>
            </w:tcBorders>
            <w:shd w:val="clear" w:color="auto" w:fill="auto"/>
            <w:vAlign w:val="center"/>
          </w:tcPr>
          <w:p w14:paraId="1BF106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《合成树脂工业污染物排放标准》2024年修改单表4排放限值（GB 31572-2015）</w:t>
            </w:r>
          </w:p>
        </w:tc>
        <w:tc>
          <w:tcPr>
            <w:tcW w:w="461" w:type="pct"/>
            <w:tcBorders>
              <w:tl2br w:val="nil"/>
              <w:tr2bl w:val="nil"/>
            </w:tcBorders>
            <w:shd w:val="clear" w:color="auto" w:fill="auto"/>
            <w:vAlign w:val="center"/>
          </w:tcPr>
          <w:p w14:paraId="06FC70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≤100mg/m³</w:t>
            </w:r>
          </w:p>
        </w:tc>
        <w:tc>
          <w:tcPr>
            <w:tcW w:w="486" w:type="pct"/>
            <w:tcBorders>
              <w:tl2br w:val="nil"/>
              <w:tr2bl w:val="nil"/>
            </w:tcBorders>
            <w:shd w:val="clear" w:color="auto" w:fill="auto"/>
            <w:vAlign w:val="center"/>
          </w:tcPr>
          <w:p w14:paraId="2DCF07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5A2E8E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2176D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AEDAE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75D11F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6E8A1E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0E5019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00EDF4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4A0041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臭气浓度</w:t>
            </w:r>
          </w:p>
        </w:tc>
        <w:tc>
          <w:tcPr>
            <w:tcW w:w="923" w:type="pct"/>
            <w:tcBorders>
              <w:tl2br w:val="nil"/>
              <w:tr2bl w:val="nil"/>
            </w:tcBorders>
            <w:shd w:val="clear" w:color="auto" w:fill="auto"/>
            <w:vAlign w:val="center"/>
          </w:tcPr>
          <w:p w14:paraId="0C2BAC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《恶臭污染物排放标准》表2排放标准（GB 14554-93）</w:t>
            </w:r>
          </w:p>
        </w:tc>
        <w:tc>
          <w:tcPr>
            <w:tcW w:w="461" w:type="pct"/>
            <w:tcBorders>
              <w:tl2br w:val="nil"/>
              <w:tr2bl w:val="nil"/>
            </w:tcBorders>
            <w:shd w:val="clear" w:color="auto" w:fill="auto"/>
            <w:vAlign w:val="center"/>
          </w:tcPr>
          <w:p w14:paraId="5FCFE0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≤6000（无量纲）</w:t>
            </w:r>
          </w:p>
        </w:tc>
        <w:tc>
          <w:tcPr>
            <w:tcW w:w="486" w:type="pct"/>
            <w:tcBorders>
              <w:tl2br w:val="nil"/>
              <w:tr2bl w:val="nil"/>
            </w:tcBorders>
            <w:shd w:val="clear" w:color="auto" w:fill="auto"/>
            <w:vAlign w:val="center"/>
          </w:tcPr>
          <w:p w14:paraId="104095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03159C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0D3742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4AA647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restart"/>
            <w:tcBorders>
              <w:tl2br w:val="nil"/>
              <w:tr2bl w:val="nil"/>
            </w:tcBorders>
            <w:shd w:val="clear" w:color="auto" w:fill="auto"/>
            <w:vAlign w:val="center"/>
          </w:tcPr>
          <w:p w14:paraId="14F354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调漆、点补、喷漆、流平、烘干</w:t>
            </w:r>
            <w:r>
              <w:rPr>
                <w:rFonts w:hint="eastAsia" w:ascii="Times New Roman" w:hAnsi="Times New Roman" w:cs="Times New Roman"/>
                <w:b w:val="0"/>
                <w:bCs/>
                <w:color w:val="auto"/>
                <w:kern w:val="0"/>
                <w:sz w:val="21"/>
                <w:szCs w:val="22"/>
                <w:highlight w:val="none"/>
                <w:lang w:eastAsia="zh-CN"/>
              </w:rPr>
              <w:t>、喷枪清洗工序废气</w:t>
            </w:r>
            <w:r>
              <w:rPr>
                <w:rFonts w:ascii="Times New Roman" w:hAnsi="Times New Roman" w:eastAsia="宋体" w:cs="Times New Roman"/>
                <w:b w:val="0"/>
                <w:bCs/>
                <w:color w:val="auto"/>
                <w:kern w:val="0"/>
                <w:sz w:val="21"/>
                <w:szCs w:val="22"/>
                <w:highlight w:val="none"/>
                <w:lang w:eastAsia="en-US"/>
              </w:rPr>
              <w:t>工序</w:t>
            </w:r>
          </w:p>
        </w:tc>
        <w:tc>
          <w:tcPr>
            <w:tcW w:w="150" w:type="pct"/>
            <w:vMerge w:val="restart"/>
            <w:tcBorders>
              <w:tl2br w:val="nil"/>
              <w:tr2bl w:val="nil"/>
            </w:tcBorders>
            <w:shd w:val="clear" w:color="auto" w:fill="auto"/>
            <w:vAlign w:val="center"/>
          </w:tcPr>
          <w:p w14:paraId="4D188D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无组织</w:t>
            </w:r>
          </w:p>
        </w:tc>
        <w:tc>
          <w:tcPr>
            <w:tcW w:w="702" w:type="pct"/>
            <w:vMerge w:val="restart"/>
            <w:tcBorders>
              <w:tl2br w:val="nil"/>
              <w:tr2bl w:val="nil"/>
            </w:tcBorders>
            <w:shd w:val="clear" w:color="auto" w:fill="auto"/>
            <w:vAlign w:val="center"/>
          </w:tcPr>
          <w:p w14:paraId="21DE45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430" w:type="pct"/>
            <w:vMerge w:val="restart"/>
            <w:tcBorders>
              <w:tl2br w:val="nil"/>
              <w:tr2bl w:val="nil"/>
            </w:tcBorders>
            <w:shd w:val="clear" w:color="auto" w:fill="auto"/>
            <w:vAlign w:val="center"/>
          </w:tcPr>
          <w:p w14:paraId="607A66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387" w:type="pct"/>
            <w:tcBorders>
              <w:tl2br w:val="nil"/>
              <w:tr2bl w:val="nil"/>
            </w:tcBorders>
            <w:shd w:val="clear" w:color="auto" w:fill="D7D7D7"/>
            <w:vAlign w:val="center"/>
          </w:tcPr>
          <w:p w14:paraId="084E9D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非甲烷总烃（厂区内监控点）</w:t>
            </w:r>
          </w:p>
        </w:tc>
        <w:tc>
          <w:tcPr>
            <w:tcW w:w="923" w:type="pct"/>
            <w:tcBorders>
              <w:tl2br w:val="nil"/>
              <w:tr2bl w:val="nil"/>
            </w:tcBorders>
            <w:shd w:val="clear" w:color="auto" w:fill="auto"/>
            <w:vAlign w:val="center"/>
          </w:tcPr>
          <w:p w14:paraId="609D53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《工业涂装工序挥发性有机物排放标准》表3厂区内监控点浓度限值（DB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461" w:type="pct"/>
            <w:tcBorders>
              <w:tl2br w:val="nil"/>
              <w:tr2bl w:val="nil"/>
            </w:tcBorders>
            <w:shd w:val="clear" w:color="auto" w:fill="auto"/>
            <w:vAlign w:val="center"/>
          </w:tcPr>
          <w:p w14:paraId="4C9CF3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≤8.0mg/m³</w:t>
            </w:r>
          </w:p>
        </w:tc>
        <w:tc>
          <w:tcPr>
            <w:tcW w:w="486" w:type="pct"/>
            <w:tcBorders>
              <w:tl2br w:val="nil"/>
              <w:tr2bl w:val="nil"/>
            </w:tcBorders>
            <w:shd w:val="clear" w:color="auto" w:fill="auto"/>
            <w:vAlign w:val="center"/>
          </w:tcPr>
          <w:p w14:paraId="2C1AC1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2C35FB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厂区内监控点NMHC按较严值执行：DB 35/1783-2018表3≤8.0mg/m³（严于GB 37822-2019表A.1一般排放限值1h平均≤10mg/m³、任意一次≤30mg/m³）</w:t>
            </w:r>
          </w:p>
        </w:tc>
      </w:tr>
      <w:tr w14:paraId="210341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4A227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06B288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37D363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0244A7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27904E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D7D7D7"/>
            <w:vAlign w:val="center"/>
          </w:tcPr>
          <w:p w14:paraId="56EF52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非甲烷总烃（企业边界监控点）</w:t>
            </w:r>
          </w:p>
        </w:tc>
        <w:tc>
          <w:tcPr>
            <w:tcW w:w="923" w:type="pct"/>
            <w:vMerge w:val="restart"/>
            <w:tcBorders>
              <w:tl2br w:val="nil"/>
              <w:tr2bl w:val="nil"/>
            </w:tcBorders>
            <w:shd w:val="clear" w:color="auto" w:fill="auto"/>
            <w:vAlign w:val="center"/>
          </w:tcPr>
          <w:p w14:paraId="6F6955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《工业涂装工序挥发性有机物排放标准》表4企业边界监控点浓度限值（DB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461" w:type="pct"/>
            <w:tcBorders>
              <w:tl2br w:val="nil"/>
              <w:tr2bl w:val="nil"/>
            </w:tcBorders>
            <w:shd w:val="clear" w:color="auto" w:fill="auto"/>
            <w:vAlign w:val="center"/>
          </w:tcPr>
          <w:p w14:paraId="71D604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≤2.0mg/m³</w:t>
            </w:r>
          </w:p>
        </w:tc>
        <w:tc>
          <w:tcPr>
            <w:tcW w:w="486" w:type="pct"/>
            <w:tcBorders>
              <w:tl2br w:val="nil"/>
              <w:tr2bl w:val="nil"/>
            </w:tcBorders>
            <w:shd w:val="clear" w:color="auto" w:fill="auto"/>
            <w:vAlign w:val="center"/>
          </w:tcPr>
          <w:p w14:paraId="6D3B3B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1C205C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本项即为从严项：企业边界NMHC执行≤2.0（严于GB 16297-1996表2同项无组织监控浓度限值4.0）</w:t>
            </w:r>
          </w:p>
        </w:tc>
      </w:tr>
      <w:tr w14:paraId="0DE33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2C0520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4F39C3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45C49E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741AB1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66777A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D7D7D7"/>
            <w:vAlign w:val="center"/>
          </w:tcPr>
          <w:p w14:paraId="5C64C2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二甲苯（企业边界监控点）</w:t>
            </w:r>
          </w:p>
        </w:tc>
        <w:tc>
          <w:tcPr>
            <w:tcW w:w="923" w:type="pct"/>
            <w:vMerge w:val="continue"/>
            <w:tcBorders>
              <w:tl2br w:val="nil"/>
              <w:tr2bl w:val="nil"/>
            </w:tcBorders>
            <w:shd w:val="clear" w:color="auto" w:fill="auto"/>
            <w:vAlign w:val="center"/>
          </w:tcPr>
          <w:p w14:paraId="142D30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595B7B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≤0.2mg/m³</w:t>
            </w:r>
          </w:p>
        </w:tc>
        <w:tc>
          <w:tcPr>
            <w:tcW w:w="486" w:type="pct"/>
            <w:tcBorders>
              <w:tl2br w:val="nil"/>
              <w:tr2bl w:val="nil"/>
            </w:tcBorders>
            <w:shd w:val="clear" w:color="auto" w:fill="auto"/>
            <w:vAlign w:val="center"/>
          </w:tcPr>
          <w:p w14:paraId="2BDF79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3C1659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本项即为从严项：企业边界二甲苯执行≤0.2，严于GB 16297-1996表2同项无组织监控限值</w:t>
            </w:r>
          </w:p>
        </w:tc>
      </w:tr>
      <w:tr w14:paraId="7D7F9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6C1FAE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2591DA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04237C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71254D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6E1310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460F0D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乙酸乙酯（企业边界监控点）</w:t>
            </w:r>
          </w:p>
        </w:tc>
        <w:tc>
          <w:tcPr>
            <w:tcW w:w="923" w:type="pct"/>
            <w:vMerge w:val="continue"/>
            <w:tcBorders>
              <w:tl2br w:val="nil"/>
              <w:tr2bl w:val="nil"/>
            </w:tcBorders>
            <w:shd w:val="clear" w:color="auto" w:fill="auto"/>
            <w:vAlign w:val="center"/>
          </w:tcPr>
          <w:p w14:paraId="4EF2FE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3DE96D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≤1.0mg/m³</w:t>
            </w:r>
          </w:p>
        </w:tc>
        <w:tc>
          <w:tcPr>
            <w:tcW w:w="486" w:type="pct"/>
            <w:tcBorders>
              <w:tl2br w:val="nil"/>
              <w:tr2bl w:val="nil"/>
            </w:tcBorders>
            <w:shd w:val="clear" w:color="auto" w:fill="auto"/>
            <w:vAlign w:val="center"/>
          </w:tcPr>
          <w:p w14:paraId="712D69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5B9547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51BF5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29E450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1FED71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78AD50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077403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04FB47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1A2E64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u w:val="single"/>
                <w:lang w:eastAsia="en-US"/>
              </w:rPr>
              <w:t>颗粒物</w:t>
            </w:r>
          </w:p>
        </w:tc>
        <w:tc>
          <w:tcPr>
            <w:tcW w:w="923" w:type="pct"/>
            <w:tcBorders>
              <w:tl2br w:val="nil"/>
              <w:tr2bl w:val="nil"/>
            </w:tcBorders>
            <w:shd w:val="clear" w:color="auto" w:fill="auto"/>
            <w:vAlign w:val="center"/>
          </w:tcPr>
          <w:p w14:paraId="4F5770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《大气污染物综合排放标准》表2无组织排放监控点浓度限值（GB 16297-1996）</w:t>
            </w:r>
          </w:p>
        </w:tc>
        <w:tc>
          <w:tcPr>
            <w:tcW w:w="461" w:type="pct"/>
            <w:tcBorders>
              <w:tl2br w:val="nil"/>
              <w:tr2bl w:val="nil"/>
            </w:tcBorders>
            <w:shd w:val="clear" w:color="auto" w:fill="auto"/>
            <w:vAlign w:val="center"/>
          </w:tcPr>
          <w:p w14:paraId="49036C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≤1.0mg/m³</w:t>
            </w:r>
          </w:p>
        </w:tc>
        <w:tc>
          <w:tcPr>
            <w:tcW w:w="486" w:type="pct"/>
            <w:tcBorders>
              <w:tl2br w:val="nil"/>
              <w:tr2bl w:val="nil"/>
            </w:tcBorders>
            <w:shd w:val="clear" w:color="auto" w:fill="auto"/>
            <w:vAlign w:val="center"/>
          </w:tcPr>
          <w:p w14:paraId="32EC08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26769A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u w:val="single"/>
                <w:lang w:eastAsia="en-US"/>
              </w:rPr>
              <w:t>交叉但限值一致：企业边界颗粒物≤1.0mg/m³与GB 31572-2015表9相同，按≤1.0mg/m³执行</w:t>
            </w:r>
          </w:p>
        </w:tc>
      </w:tr>
      <w:tr w14:paraId="3579C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83FD6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restart"/>
            <w:tcBorders>
              <w:tl2br w:val="nil"/>
              <w:tr2bl w:val="nil"/>
            </w:tcBorders>
            <w:shd w:val="clear" w:color="auto" w:fill="auto"/>
            <w:vAlign w:val="center"/>
          </w:tcPr>
          <w:p w14:paraId="3A6CD5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注塑工序</w:t>
            </w:r>
          </w:p>
        </w:tc>
        <w:tc>
          <w:tcPr>
            <w:tcW w:w="150" w:type="pct"/>
            <w:vMerge w:val="restart"/>
            <w:tcBorders>
              <w:tl2br w:val="nil"/>
              <w:tr2bl w:val="nil"/>
            </w:tcBorders>
            <w:shd w:val="clear" w:color="auto" w:fill="auto"/>
            <w:vAlign w:val="center"/>
          </w:tcPr>
          <w:p w14:paraId="2F0C63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无组织</w:t>
            </w:r>
          </w:p>
        </w:tc>
        <w:tc>
          <w:tcPr>
            <w:tcW w:w="702" w:type="pct"/>
            <w:vMerge w:val="restart"/>
            <w:tcBorders>
              <w:tl2br w:val="nil"/>
              <w:tr2bl w:val="nil"/>
            </w:tcBorders>
            <w:shd w:val="clear" w:color="auto" w:fill="auto"/>
            <w:vAlign w:val="center"/>
          </w:tcPr>
          <w:p w14:paraId="322741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430" w:type="pct"/>
            <w:vMerge w:val="restart"/>
            <w:tcBorders>
              <w:tl2br w:val="nil"/>
              <w:tr2bl w:val="nil"/>
            </w:tcBorders>
            <w:shd w:val="clear" w:color="auto" w:fill="auto"/>
            <w:vAlign w:val="center"/>
          </w:tcPr>
          <w:p w14:paraId="211AD9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387" w:type="pct"/>
            <w:tcBorders>
              <w:tl2br w:val="nil"/>
              <w:tr2bl w:val="nil"/>
            </w:tcBorders>
            <w:shd w:val="clear" w:color="auto" w:fill="D7D7D7"/>
            <w:vAlign w:val="center"/>
          </w:tcPr>
          <w:p w14:paraId="6B7E0E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非甲烷总烃（企业边界监控点）</w:t>
            </w:r>
          </w:p>
        </w:tc>
        <w:tc>
          <w:tcPr>
            <w:tcW w:w="923" w:type="pct"/>
            <w:tcBorders>
              <w:tl2br w:val="nil"/>
              <w:tr2bl w:val="nil"/>
            </w:tcBorders>
            <w:shd w:val="clear" w:color="auto" w:fill="auto"/>
            <w:vAlign w:val="center"/>
          </w:tcPr>
          <w:p w14:paraId="4A8D0B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《工业涂装工序挥发性有机物排放标准》表4企业边界监控点浓度限值（DB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461" w:type="pct"/>
            <w:tcBorders>
              <w:tl2br w:val="nil"/>
              <w:tr2bl w:val="nil"/>
            </w:tcBorders>
            <w:shd w:val="clear" w:color="auto" w:fill="auto"/>
            <w:vAlign w:val="center"/>
          </w:tcPr>
          <w:p w14:paraId="786AD0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≤2.0mg/m³</w:t>
            </w:r>
          </w:p>
        </w:tc>
        <w:tc>
          <w:tcPr>
            <w:tcW w:w="486" w:type="pct"/>
            <w:tcBorders>
              <w:tl2br w:val="nil"/>
              <w:tr2bl w:val="nil"/>
            </w:tcBorders>
            <w:shd w:val="clear" w:color="auto" w:fill="auto"/>
            <w:vAlign w:val="center"/>
          </w:tcPr>
          <w:p w14:paraId="1C9449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3D324F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从严：与涂装工序同属企业边界监控点，NMHC统一执行≤2.0（严于GB 16297-1996表2同项限值4.0）</w:t>
            </w:r>
          </w:p>
        </w:tc>
      </w:tr>
      <w:tr w14:paraId="5D6AF3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6E6EF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61A353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377CBB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4FA03A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59D8D6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D7D7D7"/>
            <w:vAlign w:val="center"/>
          </w:tcPr>
          <w:p w14:paraId="75F04B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非甲烷总烃（厂区内监控点）</w:t>
            </w:r>
          </w:p>
        </w:tc>
        <w:tc>
          <w:tcPr>
            <w:tcW w:w="923" w:type="pct"/>
            <w:tcBorders>
              <w:tl2br w:val="nil"/>
              <w:tr2bl w:val="nil"/>
            </w:tcBorders>
            <w:shd w:val="clear" w:color="auto" w:fill="auto"/>
            <w:vAlign w:val="center"/>
          </w:tcPr>
          <w:p w14:paraId="605517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《挥发性有机物无组织排放控制标准》附录A表A.1一般排放限值（GB 37822-2019）</w:t>
            </w:r>
          </w:p>
        </w:tc>
        <w:tc>
          <w:tcPr>
            <w:tcW w:w="461" w:type="pct"/>
            <w:tcBorders>
              <w:tl2br w:val="nil"/>
              <w:tr2bl w:val="nil"/>
            </w:tcBorders>
            <w:shd w:val="clear" w:color="auto" w:fill="auto"/>
            <w:vAlign w:val="center"/>
          </w:tcPr>
          <w:p w14:paraId="2FC925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1h平均≤10mg/m³；任意一次≤30mg/m³</w:t>
            </w:r>
          </w:p>
        </w:tc>
        <w:tc>
          <w:tcPr>
            <w:tcW w:w="486" w:type="pct"/>
            <w:tcBorders>
              <w:tl2br w:val="nil"/>
              <w:tr2bl w:val="nil"/>
            </w:tcBorders>
            <w:shd w:val="clear" w:color="auto" w:fill="auto"/>
            <w:vAlign w:val="center"/>
          </w:tcPr>
          <w:p w14:paraId="4C9FE6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232284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厂区内NMHC的1h平均浓度执行较严的DB35/1783-2018表3≤8.0（GB 37822-2019一般排放限值1h均值≤10、任意一次≤30宽于表3，按取严执行）</w:t>
            </w:r>
          </w:p>
        </w:tc>
      </w:tr>
      <w:tr w14:paraId="6A37F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5E2D6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6ECAFA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070108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10EC27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5D26DA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7F6291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臭气浓度</w:t>
            </w:r>
          </w:p>
        </w:tc>
        <w:tc>
          <w:tcPr>
            <w:tcW w:w="923" w:type="pct"/>
            <w:tcBorders>
              <w:tl2br w:val="nil"/>
              <w:tr2bl w:val="nil"/>
            </w:tcBorders>
            <w:shd w:val="clear" w:color="auto" w:fill="auto"/>
            <w:vAlign w:val="center"/>
          </w:tcPr>
          <w:p w14:paraId="443DA6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《恶臭污染物排放标准》表1二级标准新扩改建（GB 14554-93）</w:t>
            </w:r>
          </w:p>
        </w:tc>
        <w:tc>
          <w:tcPr>
            <w:tcW w:w="461" w:type="pct"/>
            <w:tcBorders>
              <w:tl2br w:val="nil"/>
              <w:tr2bl w:val="nil"/>
            </w:tcBorders>
            <w:shd w:val="clear" w:color="auto" w:fill="auto"/>
            <w:vAlign w:val="center"/>
          </w:tcPr>
          <w:p w14:paraId="36FE1E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≤20（无量纲）</w:t>
            </w:r>
          </w:p>
        </w:tc>
        <w:tc>
          <w:tcPr>
            <w:tcW w:w="486" w:type="pct"/>
            <w:tcBorders>
              <w:tl2br w:val="nil"/>
              <w:tr2bl w:val="nil"/>
            </w:tcBorders>
            <w:shd w:val="clear" w:color="auto" w:fill="auto"/>
            <w:vAlign w:val="center"/>
          </w:tcPr>
          <w:p w14:paraId="297E45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625B0B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27A74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restart"/>
            <w:tcBorders>
              <w:tl2br w:val="nil"/>
              <w:tr2bl w:val="nil"/>
            </w:tcBorders>
            <w:shd w:val="clear" w:color="auto" w:fill="auto"/>
            <w:vAlign w:val="center"/>
          </w:tcPr>
          <w:p w14:paraId="4018F5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天然气燃烧废气</w:t>
            </w:r>
          </w:p>
        </w:tc>
        <w:tc>
          <w:tcPr>
            <w:tcW w:w="338" w:type="pct"/>
            <w:vMerge w:val="restart"/>
            <w:tcBorders>
              <w:tl2br w:val="nil"/>
              <w:tr2bl w:val="nil"/>
            </w:tcBorders>
            <w:shd w:val="clear" w:color="auto" w:fill="auto"/>
            <w:vAlign w:val="center"/>
          </w:tcPr>
          <w:p w14:paraId="0BE065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热水炉天然气燃烧废气</w:t>
            </w:r>
          </w:p>
        </w:tc>
        <w:tc>
          <w:tcPr>
            <w:tcW w:w="150" w:type="pct"/>
            <w:vMerge w:val="restart"/>
            <w:tcBorders>
              <w:tl2br w:val="nil"/>
              <w:tr2bl w:val="nil"/>
            </w:tcBorders>
            <w:shd w:val="clear" w:color="auto" w:fill="auto"/>
            <w:vAlign w:val="center"/>
          </w:tcPr>
          <w:p w14:paraId="5628A7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有组织</w:t>
            </w:r>
          </w:p>
        </w:tc>
        <w:tc>
          <w:tcPr>
            <w:tcW w:w="702" w:type="pct"/>
            <w:vMerge w:val="restart"/>
            <w:tcBorders>
              <w:tl2br w:val="nil"/>
              <w:tr2bl w:val="nil"/>
            </w:tcBorders>
            <w:shd w:val="clear" w:color="auto" w:fill="auto"/>
            <w:vAlign w:val="center"/>
          </w:tcPr>
          <w:p w14:paraId="5BF248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低氮燃烧</w:t>
            </w:r>
          </w:p>
        </w:tc>
        <w:tc>
          <w:tcPr>
            <w:tcW w:w="430" w:type="pct"/>
            <w:vMerge w:val="restart"/>
            <w:tcBorders>
              <w:tl2br w:val="nil"/>
              <w:tr2bl w:val="nil"/>
            </w:tcBorders>
            <w:shd w:val="clear" w:color="auto" w:fill="auto"/>
            <w:vAlign w:val="center"/>
          </w:tcPr>
          <w:p w14:paraId="651889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DA005（不低于8m高排气筒）</w:t>
            </w:r>
          </w:p>
        </w:tc>
        <w:tc>
          <w:tcPr>
            <w:tcW w:w="387" w:type="pct"/>
            <w:tcBorders>
              <w:tl2br w:val="nil"/>
              <w:tr2bl w:val="nil"/>
            </w:tcBorders>
            <w:shd w:val="clear" w:color="auto" w:fill="auto"/>
            <w:vAlign w:val="center"/>
          </w:tcPr>
          <w:p w14:paraId="431FF3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颗粒物</w:t>
            </w:r>
          </w:p>
        </w:tc>
        <w:tc>
          <w:tcPr>
            <w:tcW w:w="923" w:type="pct"/>
            <w:vMerge w:val="restart"/>
            <w:tcBorders>
              <w:tl2br w:val="nil"/>
              <w:tr2bl w:val="nil"/>
            </w:tcBorders>
            <w:shd w:val="clear" w:color="auto" w:fill="auto"/>
            <w:vAlign w:val="center"/>
          </w:tcPr>
          <w:p w14:paraId="2DAE4A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《锅炉大气污染物排放标准》表2燃气锅炉排放限值（GB 13271-2014）</w:t>
            </w:r>
          </w:p>
        </w:tc>
        <w:tc>
          <w:tcPr>
            <w:tcW w:w="461" w:type="pct"/>
            <w:tcBorders>
              <w:tl2br w:val="nil"/>
              <w:tr2bl w:val="nil"/>
            </w:tcBorders>
            <w:shd w:val="clear" w:color="auto" w:fill="auto"/>
            <w:vAlign w:val="center"/>
          </w:tcPr>
          <w:p w14:paraId="244BBF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≤20mg/m³</w:t>
            </w:r>
          </w:p>
        </w:tc>
        <w:tc>
          <w:tcPr>
            <w:tcW w:w="486" w:type="pct"/>
            <w:tcBorders>
              <w:tl2br w:val="nil"/>
              <w:tr2bl w:val="nil"/>
            </w:tcBorders>
            <w:shd w:val="clear" w:color="auto" w:fill="auto"/>
            <w:vAlign w:val="center"/>
          </w:tcPr>
          <w:p w14:paraId="04CF7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7DE6FE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4D414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3D2568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1127FB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34250F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5A0FCA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72DE68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0D520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二氧化硫</w:t>
            </w:r>
          </w:p>
        </w:tc>
        <w:tc>
          <w:tcPr>
            <w:tcW w:w="923" w:type="pct"/>
            <w:vMerge w:val="continue"/>
            <w:tcBorders>
              <w:tl2br w:val="nil"/>
              <w:tr2bl w:val="nil"/>
            </w:tcBorders>
            <w:shd w:val="clear" w:color="auto" w:fill="auto"/>
            <w:vAlign w:val="center"/>
          </w:tcPr>
          <w:p w14:paraId="457F51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796689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≤50mg/m³</w:t>
            </w:r>
          </w:p>
        </w:tc>
        <w:tc>
          <w:tcPr>
            <w:tcW w:w="486" w:type="pct"/>
            <w:tcBorders>
              <w:tl2br w:val="nil"/>
              <w:tr2bl w:val="nil"/>
            </w:tcBorders>
            <w:shd w:val="clear" w:color="auto" w:fill="auto"/>
            <w:vAlign w:val="center"/>
          </w:tcPr>
          <w:p w14:paraId="0899C4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6CB8C9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739AA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06A0AD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3994AB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04975A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1F2216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493971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43140A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氮氧化物</w:t>
            </w:r>
          </w:p>
        </w:tc>
        <w:tc>
          <w:tcPr>
            <w:tcW w:w="923" w:type="pct"/>
            <w:vMerge w:val="continue"/>
            <w:tcBorders>
              <w:tl2br w:val="nil"/>
              <w:tr2bl w:val="nil"/>
            </w:tcBorders>
            <w:shd w:val="clear" w:color="auto" w:fill="auto"/>
            <w:vAlign w:val="center"/>
          </w:tcPr>
          <w:p w14:paraId="133A28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01BABD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≤200mg/m³</w:t>
            </w:r>
          </w:p>
        </w:tc>
        <w:tc>
          <w:tcPr>
            <w:tcW w:w="486" w:type="pct"/>
            <w:tcBorders>
              <w:tl2br w:val="nil"/>
              <w:tr2bl w:val="nil"/>
            </w:tcBorders>
            <w:shd w:val="clear" w:color="auto" w:fill="auto"/>
            <w:vAlign w:val="center"/>
          </w:tcPr>
          <w:p w14:paraId="27C327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5EC3A1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7F2C6B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0A3EA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3544D1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19C06D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1C7EE2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64A098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6478C1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烟气黑度</w:t>
            </w:r>
          </w:p>
        </w:tc>
        <w:tc>
          <w:tcPr>
            <w:tcW w:w="923" w:type="pct"/>
            <w:vMerge w:val="continue"/>
            <w:tcBorders>
              <w:tl2br w:val="nil"/>
              <w:tr2bl w:val="nil"/>
            </w:tcBorders>
            <w:shd w:val="clear" w:color="auto" w:fill="auto"/>
            <w:vAlign w:val="center"/>
          </w:tcPr>
          <w:p w14:paraId="7A9C9F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0A7A9D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≤1级</w:t>
            </w:r>
          </w:p>
        </w:tc>
        <w:tc>
          <w:tcPr>
            <w:tcW w:w="486" w:type="pct"/>
            <w:tcBorders>
              <w:tl2br w:val="nil"/>
              <w:tr2bl w:val="nil"/>
            </w:tcBorders>
            <w:shd w:val="clear" w:color="auto" w:fill="auto"/>
            <w:vAlign w:val="center"/>
          </w:tcPr>
          <w:p w14:paraId="0FADEE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03B370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08375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F40FF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restart"/>
            <w:tcBorders>
              <w:tl2br w:val="nil"/>
              <w:tr2bl w:val="nil"/>
            </w:tcBorders>
            <w:shd w:val="clear" w:color="auto" w:fill="auto"/>
            <w:vAlign w:val="center"/>
          </w:tcPr>
          <w:p w14:paraId="02F269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固化炉天然气燃烧废气</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RTO焚烧炉助燃天然气燃烧废气</w:t>
            </w:r>
          </w:p>
        </w:tc>
        <w:tc>
          <w:tcPr>
            <w:tcW w:w="150" w:type="pct"/>
            <w:vMerge w:val="restart"/>
            <w:tcBorders>
              <w:tl2br w:val="nil"/>
              <w:tr2bl w:val="nil"/>
            </w:tcBorders>
            <w:shd w:val="clear" w:color="auto" w:fill="auto"/>
            <w:vAlign w:val="center"/>
          </w:tcPr>
          <w:p w14:paraId="09254D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有组织</w:t>
            </w:r>
          </w:p>
        </w:tc>
        <w:tc>
          <w:tcPr>
            <w:tcW w:w="702" w:type="pct"/>
            <w:vMerge w:val="restart"/>
            <w:tcBorders>
              <w:tl2br w:val="nil"/>
              <w:tr2bl w:val="nil"/>
            </w:tcBorders>
            <w:shd w:val="clear" w:color="auto" w:fill="auto"/>
            <w:vAlign w:val="center"/>
          </w:tcPr>
          <w:p w14:paraId="25A91E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固化炉：与喷漆室、流平室、油漆烘干室废气一并负压收集＋</w:t>
            </w:r>
            <w:r>
              <w:rPr>
                <w:rFonts w:hint="eastAsia" w:ascii="Times New Roman" w:hAnsi="Times New Roman" w:cs="Times New Roman"/>
                <w:b w:val="0"/>
                <w:bCs/>
                <w:color w:val="auto"/>
                <w:kern w:val="0"/>
                <w:sz w:val="21"/>
                <w:szCs w:val="22"/>
                <w:highlight w:val="none"/>
                <w:lang w:val="en-US" w:eastAsia="zh-CN"/>
              </w:rPr>
              <w:t>干式纸盒+过滤棉过滤</w:t>
            </w:r>
            <w:r>
              <w:rPr>
                <w:rFonts w:ascii="Times New Roman" w:hAnsi="Times New Roman" w:eastAsia="宋体" w:cs="Times New Roman"/>
                <w:b w:val="0"/>
                <w:bCs/>
                <w:color w:val="auto"/>
                <w:kern w:val="0"/>
                <w:sz w:val="21"/>
                <w:szCs w:val="22"/>
                <w:highlight w:val="none"/>
                <w:lang w:eastAsia="en-US"/>
              </w:rPr>
              <w:t>＋RTO蓄热式焚烧炉（TA001）</w:t>
            </w:r>
            <w:r>
              <w:rPr>
                <w:rFonts w:hint="eastAsia" w:ascii="Times New Roman" w:hAnsi="Times New Roman" w:eastAsia="宋体"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br w:type="textWrapping"/>
            </w:r>
            <w:r>
              <w:rPr>
                <w:rFonts w:ascii="Times New Roman" w:hAnsi="Times New Roman" w:eastAsia="宋体" w:cs="Times New Roman"/>
                <w:b w:val="0"/>
                <w:bCs/>
                <w:color w:val="auto"/>
                <w:kern w:val="0"/>
                <w:sz w:val="21"/>
                <w:szCs w:val="22"/>
                <w:highlight w:val="none"/>
                <w:lang w:eastAsia="en-US"/>
              </w:rPr>
              <w:t>RTO</w:t>
            </w:r>
            <w:r>
              <w:rPr>
                <w:rFonts w:hint="eastAsia" w:ascii="Times New Roman" w:hAnsi="Times New Roman" w:eastAsia="宋体" w:cs="Times New Roman"/>
                <w:b w:val="0"/>
                <w:bCs/>
                <w:color w:val="auto"/>
                <w:kern w:val="0"/>
                <w:sz w:val="21"/>
                <w:szCs w:val="22"/>
                <w:highlight w:val="none"/>
                <w:lang w:val="en-US" w:eastAsia="zh-CN"/>
              </w:rPr>
              <w:t>焚烧炉</w:t>
            </w:r>
            <w:r>
              <w:rPr>
                <w:rFonts w:ascii="Times New Roman" w:hAnsi="Times New Roman" w:eastAsia="宋体" w:cs="Times New Roman"/>
                <w:b w:val="0"/>
                <w:bCs/>
                <w:color w:val="auto"/>
                <w:kern w:val="0"/>
                <w:sz w:val="21"/>
                <w:szCs w:val="22"/>
                <w:highlight w:val="none"/>
                <w:lang w:eastAsia="en-US"/>
              </w:rPr>
              <w:t>助燃：天然气在RTO燃烧室内燃烧，产物随净化尾气一并排放（TA001）</w:t>
            </w:r>
          </w:p>
        </w:tc>
        <w:tc>
          <w:tcPr>
            <w:tcW w:w="430" w:type="pct"/>
            <w:vMerge w:val="restart"/>
            <w:tcBorders>
              <w:tl2br w:val="nil"/>
              <w:tr2bl w:val="nil"/>
            </w:tcBorders>
            <w:shd w:val="clear" w:color="auto" w:fill="auto"/>
            <w:vAlign w:val="center"/>
          </w:tcPr>
          <w:p w14:paraId="7B0269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DA001（20m高排气筒）</w:t>
            </w:r>
          </w:p>
        </w:tc>
        <w:tc>
          <w:tcPr>
            <w:tcW w:w="387" w:type="pct"/>
            <w:tcBorders>
              <w:tl2br w:val="nil"/>
              <w:tr2bl w:val="nil"/>
            </w:tcBorders>
            <w:shd w:val="clear" w:color="auto" w:fill="D7D7D7"/>
            <w:vAlign w:val="center"/>
          </w:tcPr>
          <w:p w14:paraId="5D0CE6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颗粒物</w:t>
            </w:r>
          </w:p>
        </w:tc>
        <w:tc>
          <w:tcPr>
            <w:tcW w:w="923" w:type="pct"/>
            <w:vMerge w:val="restart"/>
            <w:tcBorders>
              <w:tl2br w:val="nil"/>
              <w:tr2bl w:val="nil"/>
            </w:tcBorders>
            <w:shd w:val="clear" w:color="auto" w:fill="auto"/>
            <w:vAlign w:val="center"/>
          </w:tcPr>
          <w:p w14:paraId="3A6ADE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《福建省工业炉窑大气污染综合治理方案》鼓励排放限值（闽环保大气〔2019〕10号）</w:t>
            </w:r>
          </w:p>
        </w:tc>
        <w:tc>
          <w:tcPr>
            <w:tcW w:w="461" w:type="pct"/>
            <w:tcBorders>
              <w:tl2br w:val="nil"/>
              <w:tr2bl w:val="nil"/>
            </w:tcBorders>
            <w:shd w:val="clear" w:color="auto" w:fill="auto"/>
            <w:vAlign w:val="center"/>
          </w:tcPr>
          <w:p w14:paraId="785998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≤30mg/m³</w:t>
            </w:r>
          </w:p>
        </w:tc>
        <w:tc>
          <w:tcPr>
            <w:tcW w:w="486" w:type="pct"/>
            <w:tcBorders>
              <w:tl2br w:val="nil"/>
              <w:tr2bl w:val="nil"/>
            </w:tcBorders>
            <w:shd w:val="clear" w:color="auto" w:fill="auto"/>
            <w:vAlign w:val="center"/>
          </w:tcPr>
          <w:p w14:paraId="4A47A3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D7D7D7"/>
            <w:vAlign w:val="center"/>
          </w:tcPr>
          <w:p w14:paraId="425F77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本项即为从严项：DA001颗粒物最终执行≤30mg/m³</w:t>
            </w:r>
          </w:p>
        </w:tc>
      </w:tr>
      <w:tr w14:paraId="5238E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15B357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20FD3E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1AF7E6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0D7C52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793D99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28BD05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二氧化硫</w:t>
            </w:r>
          </w:p>
        </w:tc>
        <w:tc>
          <w:tcPr>
            <w:tcW w:w="923" w:type="pct"/>
            <w:vMerge w:val="continue"/>
            <w:tcBorders>
              <w:tl2br w:val="nil"/>
              <w:tr2bl w:val="nil"/>
            </w:tcBorders>
            <w:shd w:val="clear" w:color="auto" w:fill="auto"/>
            <w:vAlign w:val="center"/>
          </w:tcPr>
          <w:p w14:paraId="6D6CF7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4EAB58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≤200mg/m³</w:t>
            </w:r>
          </w:p>
        </w:tc>
        <w:tc>
          <w:tcPr>
            <w:tcW w:w="486" w:type="pct"/>
            <w:tcBorders>
              <w:tl2br w:val="nil"/>
              <w:tr2bl w:val="nil"/>
            </w:tcBorders>
            <w:shd w:val="clear" w:color="auto" w:fill="auto"/>
            <w:vAlign w:val="center"/>
          </w:tcPr>
          <w:p w14:paraId="3F8024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5B5585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636C1C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265134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7364AE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4CC487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6600F8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324110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51538F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氮氧化物</w:t>
            </w:r>
          </w:p>
        </w:tc>
        <w:tc>
          <w:tcPr>
            <w:tcW w:w="923" w:type="pct"/>
            <w:vMerge w:val="continue"/>
            <w:tcBorders>
              <w:tl2br w:val="nil"/>
              <w:tr2bl w:val="nil"/>
            </w:tcBorders>
            <w:shd w:val="clear" w:color="auto" w:fill="auto"/>
            <w:vAlign w:val="center"/>
          </w:tcPr>
          <w:p w14:paraId="05CE22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7D6A72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≤300mg/m³</w:t>
            </w:r>
          </w:p>
        </w:tc>
        <w:tc>
          <w:tcPr>
            <w:tcW w:w="486" w:type="pct"/>
            <w:tcBorders>
              <w:tl2br w:val="nil"/>
              <w:tr2bl w:val="nil"/>
            </w:tcBorders>
            <w:shd w:val="clear" w:color="auto" w:fill="auto"/>
            <w:vAlign w:val="center"/>
          </w:tcPr>
          <w:p w14:paraId="0038FF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373946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378AD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0F2D65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38" w:type="pct"/>
            <w:vMerge w:val="continue"/>
            <w:tcBorders>
              <w:tl2br w:val="nil"/>
              <w:tr2bl w:val="nil"/>
            </w:tcBorders>
            <w:shd w:val="clear" w:color="auto" w:fill="auto"/>
            <w:vAlign w:val="center"/>
          </w:tcPr>
          <w:p w14:paraId="72B047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150" w:type="pct"/>
            <w:vMerge w:val="continue"/>
            <w:tcBorders>
              <w:tl2br w:val="nil"/>
              <w:tr2bl w:val="nil"/>
            </w:tcBorders>
            <w:shd w:val="clear" w:color="auto" w:fill="auto"/>
            <w:vAlign w:val="center"/>
          </w:tcPr>
          <w:p w14:paraId="2E1F06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702" w:type="pct"/>
            <w:vMerge w:val="continue"/>
            <w:tcBorders>
              <w:tl2br w:val="nil"/>
              <w:tr2bl w:val="nil"/>
            </w:tcBorders>
            <w:shd w:val="clear" w:color="auto" w:fill="auto"/>
            <w:vAlign w:val="center"/>
          </w:tcPr>
          <w:p w14:paraId="43A952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02F160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5C013C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烟气黑度</w:t>
            </w:r>
          </w:p>
        </w:tc>
        <w:tc>
          <w:tcPr>
            <w:tcW w:w="923" w:type="pct"/>
            <w:tcBorders>
              <w:tl2br w:val="nil"/>
              <w:tr2bl w:val="nil"/>
            </w:tcBorders>
            <w:shd w:val="clear" w:color="auto" w:fill="auto"/>
            <w:vAlign w:val="center"/>
          </w:tcPr>
          <w:p w14:paraId="05D5C5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《工业炉窑大气污染物排放标准》表2限值（GB 9078-1996）</w:t>
            </w:r>
          </w:p>
        </w:tc>
        <w:tc>
          <w:tcPr>
            <w:tcW w:w="461" w:type="pct"/>
            <w:tcBorders>
              <w:tl2br w:val="nil"/>
              <w:tr2bl w:val="nil"/>
            </w:tcBorders>
            <w:shd w:val="clear" w:color="auto" w:fill="auto"/>
            <w:vAlign w:val="center"/>
          </w:tcPr>
          <w:p w14:paraId="00D1CE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≤1级</w:t>
            </w:r>
          </w:p>
        </w:tc>
        <w:tc>
          <w:tcPr>
            <w:tcW w:w="486" w:type="pct"/>
            <w:tcBorders>
              <w:tl2br w:val="nil"/>
              <w:tr2bl w:val="nil"/>
            </w:tcBorders>
            <w:shd w:val="clear" w:color="auto" w:fill="auto"/>
            <w:vAlign w:val="center"/>
          </w:tcPr>
          <w:p w14:paraId="298579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5E4AA8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r>
      <w:tr w14:paraId="50CCE0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tcBorders>
              <w:tl2br w:val="nil"/>
              <w:tr2bl w:val="nil"/>
            </w:tcBorders>
            <w:shd w:val="clear" w:color="auto" w:fill="auto"/>
            <w:vAlign w:val="center"/>
          </w:tcPr>
          <w:p w14:paraId="6B5355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塑料破碎粉尘</w:t>
            </w:r>
          </w:p>
        </w:tc>
        <w:tc>
          <w:tcPr>
            <w:tcW w:w="338" w:type="pct"/>
            <w:tcBorders>
              <w:tl2br w:val="nil"/>
              <w:tr2bl w:val="nil"/>
            </w:tcBorders>
            <w:shd w:val="clear" w:color="auto" w:fill="auto"/>
            <w:vAlign w:val="center"/>
          </w:tcPr>
          <w:p w14:paraId="3C528E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塑料破碎（粉碎）粉尘</w:t>
            </w:r>
          </w:p>
        </w:tc>
        <w:tc>
          <w:tcPr>
            <w:tcW w:w="150" w:type="pct"/>
            <w:tcBorders>
              <w:tl2br w:val="nil"/>
              <w:tr2bl w:val="nil"/>
            </w:tcBorders>
            <w:shd w:val="clear" w:color="auto" w:fill="auto"/>
            <w:vAlign w:val="center"/>
          </w:tcPr>
          <w:p w14:paraId="580221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21"/>
                <w:szCs w:val="22"/>
                <w:highlight w:val="none"/>
                <w:lang w:eastAsia="zh-CN"/>
              </w:rPr>
            </w:pPr>
            <w:r>
              <w:rPr>
                <w:rFonts w:hint="eastAsia" w:ascii="Times New Roman" w:hAnsi="Times New Roman" w:eastAsia="宋体" w:cs="Times New Roman"/>
                <w:b w:val="0"/>
                <w:bCs/>
                <w:color w:val="auto"/>
                <w:kern w:val="0"/>
                <w:sz w:val="21"/>
                <w:szCs w:val="22"/>
                <w:highlight w:val="none"/>
                <w:lang w:eastAsia="zh-CN"/>
              </w:rPr>
              <w:t>无组织</w:t>
            </w:r>
          </w:p>
        </w:tc>
        <w:tc>
          <w:tcPr>
            <w:tcW w:w="702" w:type="pct"/>
            <w:tcBorders>
              <w:tl2br w:val="nil"/>
              <w:tr2bl w:val="nil"/>
            </w:tcBorders>
            <w:shd w:val="clear" w:color="auto" w:fill="auto"/>
            <w:vAlign w:val="center"/>
          </w:tcPr>
          <w:p w14:paraId="791164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集气罩收集＋布袋除尘器处理后无组织排放</w:t>
            </w:r>
          </w:p>
        </w:tc>
        <w:tc>
          <w:tcPr>
            <w:tcW w:w="430" w:type="pct"/>
            <w:tcBorders>
              <w:tl2br w:val="nil"/>
              <w:tr2bl w:val="nil"/>
            </w:tcBorders>
            <w:shd w:val="clear" w:color="auto" w:fill="auto"/>
            <w:vAlign w:val="center"/>
          </w:tcPr>
          <w:p w14:paraId="399010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387" w:type="pct"/>
            <w:tcBorders>
              <w:tl2br w:val="nil"/>
              <w:tr2bl w:val="nil"/>
            </w:tcBorders>
            <w:shd w:val="clear" w:color="auto" w:fill="auto"/>
            <w:vAlign w:val="center"/>
          </w:tcPr>
          <w:p w14:paraId="314E84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u w:val="single"/>
                <w:lang w:eastAsia="en-US"/>
              </w:rPr>
              <w:t>颗粒物</w:t>
            </w:r>
          </w:p>
        </w:tc>
        <w:tc>
          <w:tcPr>
            <w:tcW w:w="923" w:type="pct"/>
            <w:tcBorders>
              <w:tl2br w:val="nil"/>
              <w:tr2bl w:val="nil"/>
            </w:tcBorders>
            <w:shd w:val="clear" w:color="auto" w:fill="auto"/>
            <w:vAlign w:val="center"/>
          </w:tcPr>
          <w:p w14:paraId="0E42F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《合成树脂工业污染物排放标准》表9企业边界大气污染物浓度限值（GB 31572-2015）</w:t>
            </w:r>
          </w:p>
        </w:tc>
        <w:tc>
          <w:tcPr>
            <w:tcW w:w="461" w:type="pct"/>
            <w:tcBorders>
              <w:tl2br w:val="nil"/>
              <w:tr2bl w:val="nil"/>
            </w:tcBorders>
            <w:shd w:val="clear" w:color="auto" w:fill="auto"/>
            <w:vAlign w:val="center"/>
          </w:tcPr>
          <w:p w14:paraId="74F3B0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≤1.0mg/m³</w:t>
            </w:r>
          </w:p>
        </w:tc>
        <w:tc>
          <w:tcPr>
            <w:tcW w:w="486" w:type="pct"/>
            <w:tcBorders>
              <w:tl2br w:val="nil"/>
              <w:tr2bl w:val="nil"/>
            </w:tcBorders>
            <w:shd w:val="clear" w:color="auto" w:fill="auto"/>
            <w:vAlign w:val="center"/>
          </w:tcPr>
          <w:p w14:paraId="617ADE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6722A0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u w:val="single"/>
                <w:lang w:eastAsia="en-US"/>
              </w:rPr>
              <w:t>交叉但限值一致：企业边界颗粒物≤1.0mg/m³与GB16297-1996表2相同，按≤1.0mg/m³执行</w:t>
            </w:r>
          </w:p>
        </w:tc>
      </w:tr>
      <w:tr w14:paraId="1C79B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restart"/>
            <w:tcBorders>
              <w:tl2br w:val="nil"/>
              <w:tr2bl w:val="nil"/>
            </w:tcBorders>
            <w:shd w:val="clear" w:color="auto" w:fill="auto"/>
            <w:vAlign w:val="center"/>
          </w:tcPr>
          <w:p w14:paraId="39962A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2"/>
                <w:highlight w:val="none"/>
                <w:lang w:val="en-US" w:eastAsia="zh-CN"/>
              </w:rPr>
            </w:pPr>
            <w:r>
              <w:rPr>
                <w:rFonts w:hint="eastAsia" w:ascii="Times New Roman" w:hAnsi="Times New Roman" w:cs="Times New Roman"/>
                <w:b w:val="0"/>
                <w:bCs/>
                <w:color w:val="auto"/>
                <w:kern w:val="0"/>
                <w:sz w:val="21"/>
                <w:szCs w:val="22"/>
                <w:highlight w:val="none"/>
                <w:lang w:val="en-US" w:eastAsia="zh-CN"/>
              </w:rPr>
              <w:t>热洁炉废气</w:t>
            </w:r>
          </w:p>
        </w:tc>
        <w:tc>
          <w:tcPr>
            <w:tcW w:w="338" w:type="pct"/>
            <w:vMerge w:val="restart"/>
            <w:tcBorders>
              <w:tl2br w:val="nil"/>
              <w:tr2bl w:val="nil"/>
            </w:tcBorders>
            <w:shd w:val="clear" w:color="auto" w:fill="auto"/>
            <w:vAlign w:val="center"/>
          </w:tcPr>
          <w:p w14:paraId="6D6836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2"/>
                <w:highlight w:val="none"/>
                <w:lang w:val="en-US" w:eastAsia="zh-CN"/>
              </w:rPr>
            </w:pPr>
            <w:r>
              <w:rPr>
                <w:rFonts w:hint="eastAsia" w:ascii="Times New Roman" w:hAnsi="Times New Roman" w:cs="Times New Roman"/>
                <w:b w:val="0"/>
                <w:bCs/>
                <w:color w:val="auto"/>
                <w:kern w:val="0"/>
                <w:sz w:val="21"/>
                <w:szCs w:val="22"/>
                <w:highlight w:val="none"/>
                <w:lang w:val="en-US" w:eastAsia="zh-CN"/>
              </w:rPr>
              <w:t>热洁炉废气</w:t>
            </w:r>
          </w:p>
        </w:tc>
        <w:tc>
          <w:tcPr>
            <w:tcW w:w="150" w:type="pct"/>
            <w:vMerge w:val="restart"/>
            <w:tcBorders>
              <w:tl2br w:val="nil"/>
              <w:tr2bl w:val="nil"/>
            </w:tcBorders>
            <w:shd w:val="clear" w:color="auto" w:fill="auto"/>
            <w:vAlign w:val="center"/>
          </w:tcPr>
          <w:p w14:paraId="2798A7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2"/>
                <w:highlight w:val="none"/>
                <w:lang w:val="en-US" w:eastAsia="zh-CN"/>
              </w:rPr>
            </w:pPr>
            <w:r>
              <w:rPr>
                <w:rFonts w:hint="eastAsia" w:ascii="Times New Roman" w:hAnsi="Times New Roman" w:cs="Times New Roman"/>
                <w:b w:val="0"/>
                <w:bCs/>
                <w:color w:val="auto"/>
                <w:kern w:val="0"/>
                <w:sz w:val="21"/>
                <w:szCs w:val="22"/>
                <w:highlight w:val="none"/>
                <w:lang w:val="en-US" w:eastAsia="zh-CN"/>
              </w:rPr>
              <w:t>有组织</w:t>
            </w:r>
          </w:p>
        </w:tc>
        <w:tc>
          <w:tcPr>
            <w:tcW w:w="702" w:type="pct"/>
            <w:vMerge w:val="restart"/>
            <w:tcBorders>
              <w:tl2br w:val="nil"/>
              <w:tr2bl w:val="nil"/>
            </w:tcBorders>
            <w:shd w:val="clear" w:color="auto" w:fill="auto"/>
            <w:vAlign w:val="center"/>
          </w:tcPr>
          <w:p w14:paraId="42CF9A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hint="eastAsia" w:ascii="Times New Roman" w:hAnsi="Times New Roman" w:cs="Times New Roman"/>
                <w:b w:val="0"/>
                <w:bCs/>
                <w:color w:val="auto"/>
                <w:kern w:val="0"/>
                <w:sz w:val="21"/>
                <w:szCs w:val="22"/>
                <w:highlight w:val="none"/>
                <w:lang w:eastAsia="zh-CN"/>
              </w:rPr>
              <w:t>二燃室</w:t>
            </w:r>
            <w:r>
              <w:rPr>
                <w:rFonts w:hint="eastAsia" w:ascii="Times New Roman" w:hAnsi="Times New Roman" w:eastAsia="宋体" w:cs="Times New Roman"/>
                <w:b w:val="0"/>
                <w:bCs/>
                <w:color w:val="auto"/>
                <w:kern w:val="0"/>
                <w:sz w:val="21"/>
                <w:szCs w:val="22"/>
                <w:highlight w:val="none"/>
                <w:lang w:eastAsia="en-US"/>
              </w:rPr>
              <w:t>高温焚烧（TA006）处理</w:t>
            </w:r>
          </w:p>
        </w:tc>
        <w:tc>
          <w:tcPr>
            <w:tcW w:w="430" w:type="pct"/>
            <w:vMerge w:val="restart"/>
            <w:tcBorders>
              <w:tl2br w:val="nil"/>
              <w:tr2bl w:val="nil"/>
            </w:tcBorders>
            <w:shd w:val="clear" w:color="auto" w:fill="auto"/>
            <w:vAlign w:val="center"/>
          </w:tcPr>
          <w:p w14:paraId="2DF4D7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DA00</w:t>
            </w:r>
            <w:r>
              <w:rPr>
                <w:rFonts w:hint="eastAsia" w:ascii="Times New Roman" w:hAnsi="Times New Roman" w:cs="Times New Roman"/>
                <w:b w:val="0"/>
                <w:bCs/>
                <w:color w:val="auto"/>
                <w:kern w:val="0"/>
                <w:sz w:val="21"/>
                <w:szCs w:val="22"/>
                <w:highlight w:val="none"/>
                <w:lang w:val="en-US" w:eastAsia="zh-CN"/>
              </w:rPr>
              <w:t>6</w:t>
            </w:r>
            <w:r>
              <w:rPr>
                <w:rFonts w:ascii="Times New Roman" w:hAnsi="Times New Roman" w:eastAsia="宋体" w:cs="Times New Roman"/>
                <w:b w:val="0"/>
                <w:bCs/>
                <w:color w:val="auto"/>
                <w:kern w:val="0"/>
                <w:sz w:val="21"/>
                <w:szCs w:val="22"/>
                <w:highlight w:val="none"/>
                <w:lang w:eastAsia="en-US"/>
              </w:rPr>
              <w:t>（20m高排气筒）</w:t>
            </w:r>
          </w:p>
        </w:tc>
        <w:tc>
          <w:tcPr>
            <w:tcW w:w="387" w:type="pct"/>
            <w:tcBorders>
              <w:tl2br w:val="nil"/>
              <w:tr2bl w:val="nil"/>
            </w:tcBorders>
            <w:shd w:val="clear" w:color="auto" w:fill="auto"/>
            <w:vAlign w:val="center"/>
          </w:tcPr>
          <w:p w14:paraId="250BE3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非甲烷总烃</w:t>
            </w:r>
          </w:p>
        </w:tc>
        <w:tc>
          <w:tcPr>
            <w:tcW w:w="923" w:type="pct"/>
            <w:tcBorders>
              <w:tl2br w:val="nil"/>
              <w:tr2bl w:val="nil"/>
            </w:tcBorders>
            <w:shd w:val="clear" w:color="auto" w:fill="auto"/>
            <w:vAlign w:val="center"/>
          </w:tcPr>
          <w:p w14:paraId="536E0D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《工业涂装工序挥发性有机物排放标准》表1</w:t>
            </w:r>
            <w:r>
              <w:rPr>
                <w:rFonts w:hint="eastAsia" w:ascii="Times New Roman" w:hAnsi="Times New Roman"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t>汽车整车制造</w:t>
            </w:r>
            <w:r>
              <w:rPr>
                <w:rFonts w:hint="eastAsia" w:ascii="Times New Roman" w:hAnsi="Times New Roman" w:cs="Times New Roman"/>
                <w:b w:val="0"/>
                <w:bCs/>
                <w:color w:val="auto"/>
                <w:kern w:val="0"/>
                <w:sz w:val="21"/>
                <w:szCs w:val="22"/>
                <w:highlight w:val="none"/>
                <w:lang w:eastAsia="zh-CN"/>
              </w:rPr>
              <w:t>”</w:t>
            </w:r>
            <w:r>
              <w:rPr>
                <w:rFonts w:ascii="Times New Roman" w:hAnsi="Times New Roman" w:eastAsia="宋体" w:cs="Times New Roman"/>
                <w:b w:val="0"/>
                <w:bCs/>
                <w:color w:val="auto"/>
                <w:kern w:val="0"/>
                <w:sz w:val="21"/>
                <w:szCs w:val="22"/>
                <w:highlight w:val="none"/>
                <w:lang w:eastAsia="en-US"/>
              </w:rPr>
              <w:t>排放限值（DB 35/1783-2018）</w:t>
            </w:r>
          </w:p>
        </w:tc>
        <w:tc>
          <w:tcPr>
            <w:tcW w:w="461" w:type="pct"/>
            <w:tcBorders>
              <w:tl2br w:val="nil"/>
              <w:tr2bl w:val="nil"/>
            </w:tcBorders>
            <w:shd w:val="clear" w:color="auto" w:fill="auto"/>
            <w:vAlign w:val="center"/>
          </w:tcPr>
          <w:p w14:paraId="6D1B88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≤50mg/m³</w:t>
            </w:r>
          </w:p>
        </w:tc>
        <w:tc>
          <w:tcPr>
            <w:tcW w:w="486" w:type="pct"/>
            <w:tcBorders>
              <w:tl2br w:val="nil"/>
              <w:tr2bl w:val="nil"/>
            </w:tcBorders>
            <w:shd w:val="clear" w:color="auto" w:fill="auto"/>
            <w:vAlign w:val="center"/>
          </w:tcPr>
          <w:p w14:paraId="378CE0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4.0kg/h</w:t>
            </w:r>
          </w:p>
        </w:tc>
        <w:tc>
          <w:tcPr>
            <w:tcW w:w="967" w:type="pct"/>
            <w:tcBorders>
              <w:tl2br w:val="nil"/>
              <w:tr2bl w:val="nil"/>
            </w:tcBorders>
            <w:shd w:val="clear" w:color="auto" w:fill="auto"/>
            <w:vAlign w:val="center"/>
          </w:tcPr>
          <w:p w14:paraId="678688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single"/>
                <w:lang w:eastAsia="en-US"/>
              </w:rPr>
            </w:pPr>
            <w:r>
              <w:rPr>
                <w:rFonts w:ascii="Times New Roman" w:hAnsi="Times New Roman" w:eastAsia="宋体" w:cs="Times New Roman"/>
                <w:b w:val="0"/>
                <w:bCs/>
                <w:color w:val="auto"/>
                <w:kern w:val="0"/>
                <w:sz w:val="21"/>
                <w:szCs w:val="22"/>
                <w:highlight w:val="none"/>
                <w:lang w:eastAsia="en-US"/>
              </w:rPr>
              <w:t>—</w:t>
            </w:r>
          </w:p>
        </w:tc>
      </w:tr>
      <w:tr w14:paraId="285454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757602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338" w:type="pct"/>
            <w:vMerge w:val="continue"/>
            <w:tcBorders>
              <w:tl2br w:val="nil"/>
              <w:tr2bl w:val="nil"/>
            </w:tcBorders>
            <w:shd w:val="clear" w:color="auto" w:fill="auto"/>
            <w:vAlign w:val="center"/>
          </w:tcPr>
          <w:p w14:paraId="2E5E5B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150" w:type="pct"/>
            <w:vMerge w:val="continue"/>
            <w:tcBorders>
              <w:tl2br w:val="nil"/>
              <w:tr2bl w:val="nil"/>
            </w:tcBorders>
            <w:shd w:val="clear" w:color="auto" w:fill="auto"/>
            <w:vAlign w:val="center"/>
          </w:tcPr>
          <w:p w14:paraId="176143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702" w:type="pct"/>
            <w:vMerge w:val="continue"/>
            <w:tcBorders>
              <w:tl2br w:val="nil"/>
              <w:tr2bl w:val="nil"/>
            </w:tcBorders>
            <w:shd w:val="clear" w:color="auto" w:fill="auto"/>
            <w:vAlign w:val="center"/>
          </w:tcPr>
          <w:p w14:paraId="69B0DE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4C1434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7598F1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u w:val="none"/>
                <w:shd w:val="clear"/>
                <w:lang w:eastAsia="en-US"/>
              </w:rPr>
              <w:t>颗粒物</w:t>
            </w:r>
          </w:p>
        </w:tc>
        <w:tc>
          <w:tcPr>
            <w:tcW w:w="923" w:type="pct"/>
            <w:vMerge w:val="restart"/>
            <w:tcBorders>
              <w:tl2br w:val="nil"/>
              <w:tr2bl w:val="nil"/>
            </w:tcBorders>
            <w:shd w:val="clear" w:color="auto" w:fill="auto"/>
            <w:vAlign w:val="center"/>
          </w:tcPr>
          <w:p w14:paraId="7BFBDB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《福建省工业炉窑大气污染综合治理方案》鼓励排放限值（闽环保大气〔2019〕10号）</w:t>
            </w:r>
          </w:p>
        </w:tc>
        <w:tc>
          <w:tcPr>
            <w:tcW w:w="461" w:type="pct"/>
            <w:tcBorders>
              <w:tl2br w:val="nil"/>
              <w:tr2bl w:val="nil"/>
            </w:tcBorders>
            <w:shd w:val="clear" w:color="auto" w:fill="auto"/>
            <w:vAlign w:val="center"/>
          </w:tcPr>
          <w:p w14:paraId="5C19EA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u w:val="none"/>
                <w:lang w:eastAsia="en-US"/>
              </w:rPr>
              <w:t>≤30mg/m³</w:t>
            </w:r>
          </w:p>
        </w:tc>
        <w:tc>
          <w:tcPr>
            <w:tcW w:w="486" w:type="pct"/>
            <w:tcBorders>
              <w:tl2br w:val="nil"/>
              <w:tr2bl w:val="nil"/>
            </w:tcBorders>
            <w:shd w:val="clear" w:color="auto" w:fill="auto"/>
            <w:vAlign w:val="center"/>
          </w:tcPr>
          <w:p w14:paraId="1924B1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07A2DE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none"/>
                <w:lang w:val="en-US" w:eastAsia="en-US" w:bidi="ar-SA"/>
              </w:rPr>
            </w:pPr>
            <w:r>
              <w:rPr>
                <w:rFonts w:ascii="Times New Roman" w:hAnsi="Times New Roman" w:eastAsia="宋体" w:cs="Times New Roman"/>
                <w:b w:val="0"/>
                <w:bCs/>
                <w:color w:val="auto"/>
                <w:kern w:val="0"/>
                <w:sz w:val="21"/>
                <w:szCs w:val="22"/>
                <w:highlight w:val="none"/>
                <w:lang w:eastAsia="en-US"/>
              </w:rPr>
              <w:t>—</w:t>
            </w:r>
          </w:p>
        </w:tc>
      </w:tr>
      <w:tr w14:paraId="09813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242C23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338" w:type="pct"/>
            <w:vMerge w:val="continue"/>
            <w:tcBorders>
              <w:tl2br w:val="nil"/>
              <w:tr2bl w:val="nil"/>
            </w:tcBorders>
            <w:shd w:val="clear" w:color="auto" w:fill="auto"/>
            <w:vAlign w:val="center"/>
          </w:tcPr>
          <w:p w14:paraId="427BC3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150" w:type="pct"/>
            <w:vMerge w:val="continue"/>
            <w:tcBorders>
              <w:tl2br w:val="nil"/>
              <w:tr2bl w:val="nil"/>
            </w:tcBorders>
            <w:shd w:val="clear" w:color="auto" w:fill="auto"/>
            <w:vAlign w:val="center"/>
          </w:tcPr>
          <w:p w14:paraId="6B6712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702" w:type="pct"/>
            <w:vMerge w:val="continue"/>
            <w:tcBorders>
              <w:tl2br w:val="nil"/>
              <w:tr2bl w:val="nil"/>
            </w:tcBorders>
            <w:shd w:val="clear" w:color="auto" w:fill="auto"/>
            <w:vAlign w:val="center"/>
          </w:tcPr>
          <w:p w14:paraId="2F591E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5BA31D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5A56B7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二氧化硫</w:t>
            </w:r>
          </w:p>
        </w:tc>
        <w:tc>
          <w:tcPr>
            <w:tcW w:w="923" w:type="pct"/>
            <w:vMerge w:val="continue"/>
            <w:tcBorders>
              <w:tl2br w:val="nil"/>
              <w:tr2bl w:val="nil"/>
            </w:tcBorders>
            <w:shd w:val="clear" w:color="auto" w:fill="auto"/>
            <w:vAlign w:val="center"/>
          </w:tcPr>
          <w:p w14:paraId="1C727A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p>
        </w:tc>
        <w:tc>
          <w:tcPr>
            <w:tcW w:w="461" w:type="pct"/>
            <w:tcBorders>
              <w:tl2br w:val="nil"/>
              <w:tr2bl w:val="nil"/>
            </w:tcBorders>
            <w:shd w:val="clear" w:color="auto" w:fill="auto"/>
            <w:vAlign w:val="center"/>
          </w:tcPr>
          <w:p w14:paraId="37D2A5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≤200mg/m³</w:t>
            </w:r>
          </w:p>
        </w:tc>
        <w:tc>
          <w:tcPr>
            <w:tcW w:w="486" w:type="pct"/>
            <w:tcBorders>
              <w:tl2br w:val="nil"/>
              <w:tr2bl w:val="nil"/>
            </w:tcBorders>
            <w:shd w:val="clear" w:color="auto" w:fill="auto"/>
            <w:vAlign w:val="center"/>
          </w:tcPr>
          <w:p w14:paraId="22E74A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717932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none"/>
                <w:lang w:eastAsia="en-US"/>
              </w:rPr>
            </w:pPr>
            <w:r>
              <w:rPr>
                <w:rFonts w:ascii="Times New Roman" w:hAnsi="Times New Roman" w:eastAsia="宋体" w:cs="Times New Roman"/>
                <w:b w:val="0"/>
                <w:bCs/>
                <w:color w:val="auto"/>
                <w:kern w:val="0"/>
                <w:sz w:val="21"/>
                <w:szCs w:val="22"/>
                <w:highlight w:val="none"/>
                <w:lang w:eastAsia="en-US"/>
              </w:rPr>
              <w:t>—</w:t>
            </w:r>
          </w:p>
        </w:tc>
      </w:tr>
      <w:tr w14:paraId="6591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2343A6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338" w:type="pct"/>
            <w:vMerge w:val="continue"/>
            <w:tcBorders>
              <w:tl2br w:val="nil"/>
              <w:tr2bl w:val="nil"/>
            </w:tcBorders>
            <w:shd w:val="clear" w:color="auto" w:fill="auto"/>
            <w:vAlign w:val="center"/>
          </w:tcPr>
          <w:p w14:paraId="51F0D7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150" w:type="pct"/>
            <w:vMerge w:val="continue"/>
            <w:tcBorders>
              <w:tl2br w:val="nil"/>
              <w:tr2bl w:val="nil"/>
            </w:tcBorders>
            <w:shd w:val="clear" w:color="auto" w:fill="auto"/>
            <w:vAlign w:val="center"/>
          </w:tcPr>
          <w:p w14:paraId="5A1B20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702" w:type="pct"/>
            <w:vMerge w:val="continue"/>
            <w:tcBorders>
              <w:tl2br w:val="nil"/>
              <w:tr2bl w:val="nil"/>
            </w:tcBorders>
            <w:shd w:val="clear" w:color="auto" w:fill="auto"/>
            <w:vAlign w:val="center"/>
          </w:tcPr>
          <w:p w14:paraId="2F1EE4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568AE5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7EAF12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氮氧化物</w:t>
            </w:r>
          </w:p>
        </w:tc>
        <w:tc>
          <w:tcPr>
            <w:tcW w:w="923" w:type="pct"/>
            <w:vMerge w:val="continue"/>
            <w:tcBorders>
              <w:tl2br w:val="nil"/>
              <w:tr2bl w:val="nil"/>
            </w:tcBorders>
            <w:shd w:val="clear" w:color="auto" w:fill="auto"/>
            <w:vAlign w:val="center"/>
          </w:tcPr>
          <w:p w14:paraId="25FCA7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61" w:type="pct"/>
            <w:tcBorders>
              <w:tl2br w:val="nil"/>
              <w:tr2bl w:val="nil"/>
            </w:tcBorders>
            <w:shd w:val="clear" w:color="auto" w:fill="auto"/>
            <w:vAlign w:val="center"/>
          </w:tcPr>
          <w:p w14:paraId="48E7D7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≤300mg/m³</w:t>
            </w:r>
          </w:p>
        </w:tc>
        <w:tc>
          <w:tcPr>
            <w:tcW w:w="486" w:type="pct"/>
            <w:tcBorders>
              <w:tl2br w:val="nil"/>
              <w:tr2bl w:val="nil"/>
            </w:tcBorders>
            <w:shd w:val="clear" w:color="auto" w:fill="auto"/>
            <w:vAlign w:val="center"/>
          </w:tcPr>
          <w:p w14:paraId="6EF9E7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7292C5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single"/>
                <w:lang w:eastAsia="en-US"/>
              </w:rPr>
            </w:pPr>
            <w:r>
              <w:rPr>
                <w:rFonts w:ascii="Times New Roman" w:hAnsi="Times New Roman" w:eastAsia="宋体" w:cs="Times New Roman"/>
                <w:b w:val="0"/>
                <w:bCs/>
                <w:color w:val="auto"/>
                <w:kern w:val="0"/>
                <w:sz w:val="21"/>
                <w:szCs w:val="22"/>
                <w:highlight w:val="none"/>
                <w:lang w:eastAsia="en-US"/>
              </w:rPr>
              <w:t>—</w:t>
            </w:r>
          </w:p>
        </w:tc>
      </w:tr>
      <w:tr w14:paraId="314B0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594CBA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338" w:type="pct"/>
            <w:vMerge w:val="continue"/>
            <w:tcBorders>
              <w:tl2br w:val="nil"/>
              <w:tr2bl w:val="nil"/>
            </w:tcBorders>
            <w:shd w:val="clear" w:color="auto" w:fill="auto"/>
            <w:vAlign w:val="center"/>
          </w:tcPr>
          <w:p w14:paraId="1AD3D2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150" w:type="pct"/>
            <w:vMerge w:val="continue"/>
            <w:tcBorders>
              <w:tl2br w:val="nil"/>
              <w:tr2bl w:val="nil"/>
            </w:tcBorders>
            <w:shd w:val="clear" w:color="auto" w:fill="auto"/>
            <w:vAlign w:val="center"/>
          </w:tcPr>
          <w:p w14:paraId="24EBF7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702" w:type="pct"/>
            <w:vMerge w:val="continue"/>
            <w:tcBorders>
              <w:tl2br w:val="nil"/>
              <w:tr2bl w:val="nil"/>
            </w:tcBorders>
            <w:shd w:val="clear" w:color="auto" w:fill="auto"/>
            <w:vAlign w:val="center"/>
          </w:tcPr>
          <w:p w14:paraId="0DCB06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070001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02DA35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烟气黑度</w:t>
            </w:r>
          </w:p>
        </w:tc>
        <w:tc>
          <w:tcPr>
            <w:tcW w:w="923" w:type="pct"/>
            <w:tcBorders>
              <w:tl2br w:val="nil"/>
              <w:tr2bl w:val="nil"/>
            </w:tcBorders>
            <w:shd w:val="clear" w:color="auto" w:fill="auto"/>
            <w:vAlign w:val="center"/>
          </w:tcPr>
          <w:p w14:paraId="5C7FF1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《工业炉窑大气污染物排放标准》表2限值（GB 9078-1996）</w:t>
            </w:r>
          </w:p>
        </w:tc>
        <w:tc>
          <w:tcPr>
            <w:tcW w:w="461" w:type="pct"/>
            <w:tcBorders>
              <w:tl2br w:val="nil"/>
              <w:tr2bl w:val="nil"/>
            </w:tcBorders>
            <w:shd w:val="clear" w:color="auto" w:fill="auto"/>
            <w:vAlign w:val="center"/>
          </w:tcPr>
          <w:p w14:paraId="223370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≤1级</w:t>
            </w:r>
          </w:p>
        </w:tc>
        <w:tc>
          <w:tcPr>
            <w:tcW w:w="486" w:type="pct"/>
            <w:tcBorders>
              <w:tl2br w:val="nil"/>
              <w:tr2bl w:val="nil"/>
            </w:tcBorders>
            <w:shd w:val="clear" w:color="auto" w:fill="auto"/>
            <w:vAlign w:val="center"/>
          </w:tcPr>
          <w:p w14:paraId="616D74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3FF6E1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single"/>
                <w:lang w:eastAsia="en-US"/>
              </w:rPr>
            </w:pPr>
            <w:r>
              <w:rPr>
                <w:rFonts w:ascii="Times New Roman" w:hAnsi="Times New Roman" w:eastAsia="宋体" w:cs="Times New Roman"/>
                <w:b w:val="0"/>
                <w:bCs/>
                <w:color w:val="auto"/>
                <w:kern w:val="0"/>
                <w:sz w:val="21"/>
                <w:szCs w:val="22"/>
                <w:highlight w:val="none"/>
                <w:lang w:eastAsia="en-US"/>
              </w:rPr>
              <w:t>—</w:t>
            </w:r>
          </w:p>
        </w:tc>
      </w:tr>
      <w:tr w14:paraId="39509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0" w:type="pct"/>
            <w:vMerge w:val="continue"/>
            <w:tcBorders>
              <w:tl2br w:val="nil"/>
              <w:tr2bl w:val="nil"/>
            </w:tcBorders>
            <w:shd w:val="clear" w:color="auto" w:fill="auto"/>
            <w:vAlign w:val="center"/>
          </w:tcPr>
          <w:p w14:paraId="651E0E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338" w:type="pct"/>
            <w:vMerge w:val="continue"/>
            <w:tcBorders>
              <w:tl2br w:val="nil"/>
              <w:tr2bl w:val="nil"/>
            </w:tcBorders>
            <w:shd w:val="clear" w:color="auto" w:fill="auto"/>
            <w:vAlign w:val="center"/>
          </w:tcPr>
          <w:p w14:paraId="654374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150" w:type="pct"/>
            <w:vMerge w:val="continue"/>
            <w:tcBorders>
              <w:tl2br w:val="nil"/>
              <w:tr2bl w:val="nil"/>
            </w:tcBorders>
            <w:shd w:val="clear" w:color="auto" w:fill="auto"/>
            <w:vAlign w:val="center"/>
          </w:tcPr>
          <w:p w14:paraId="60903B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color w:val="auto"/>
                <w:kern w:val="0"/>
                <w:sz w:val="21"/>
                <w:szCs w:val="22"/>
                <w:highlight w:val="none"/>
                <w:lang w:val="en-US" w:eastAsia="zh-CN"/>
              </w:rPr>
            </w:pPr>
          </w:p>
        </w:tc>
        <w:tc>
          <w:tcPr>
            <w:tcW w:w="702" w:type="pct"/>
            <w:vMerge w:val="continue"/>
            <w:tcBorders>
              <w:tl2br w:val="nil"/>
              <w:tr2bl w:val="nil"/>
            </w:tcBorders>
            <w:shd w:val="clear" w:color="auto" w:fill="auto"/>
            <w:vAlign w:val="center"/>
          </w:tcPr>
          <w:p w14:paraId="4B2D7E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430" w:type="pct"/>
            <w:vMerge w:val="continue"/>
            <w:tcBorders>
              <w:tl2br w:val="nil"/>
              <w:tr2bl w:val="nil"/>
            </w:tcBorders>
            <w:shd w:val="clear" w:color="auto" w:fill="auto"/>
            <w:vAlign w:val="center"/>
          </w:tcPr>
          <w:p w14:paraId="696862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p>
        </w:tc>
        <w:tc>
          <w:tcPr>
            <w:tcW w:w="387" w:type="pct"/>
            <w:tcBorders>
              <w:tl2br w:val="nil"/>
              <w:tr2bl w:val="nil"/>
            </w:tcBorders>
            <w:shd w:val="clear" w:color="auto" w:fill="auto"/>
            <w:vAlign w:val="center"/>
          </w:tcPr>
          <w:p w14:paraId="567CF7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臭气浓度</w:t>
            </w:r>
          </w:p>
        </w:tc>
        <w:tc>
          <w:tcPr>
            <w:tcW w:w="923" w:type="pct"/>
            <w:tcBorders>
              <w:tl2br w:val="nil"/>
              <w:tr2bl w:val="nil"/>
            </w:tcBorders>
            <w:shd w:val="clear" w:color="auto" w:fill="auto"/>
            <w:vAlign w:val="center"/>
          </w:tcPr>
          <w:p w14:paraId="75436D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《恶臭污染物排放标准》表2排放标准（GB 14554-93）</w:t>
            </w:r>
          </w:p>
        </w:tc>
        <w:tc>
          <w:tcPr>
            <w:tcW w:w="461" w:type="pct"/>
            <w:tcBorders>
              <w:tl2br w:val="nil"/>
              <w:tr2bl w:val="nil"/>
            </w:tcBorders>
            <w:shd w:val="clear" w:color="auto" w:fill="auto"/>
            <w:vAlign w:val="center"/>
          </w:tcPr>
          <w:p w14:paraId="722675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val="en-US" w:eastAsia="en-US" w:bidi="ar-SA"/>
              </w:rPr>
            </w:pPr>
            <w:r>
              <w:rPr>
                <w:rFonts w:ascii="Times New Roman" w:hAnsi="Times New Roman" w:eastAsia="宋体" w:cs="Times New Roman"/>
                <w:b w:val="0"/>
                <w:bCs/>
                <w:color w:val="auto"/>
                <w:kern w:val="0"/>
                <w:sz w:val="21"/>
                <w:szCs w:val="22"/>
                <w:highlight w:val="none"/>
                <w:lang w:eastAsia="en-US"/>
              </w:rPr>
              <w:t>≤6000（无量纲）</w:t>
            </w:r>
          </w:p>
        </w:tc>
        <w:tc>
          <w:tcPr>
            <w:tcW w:w="486" w:type="pct"/>
            <w:tcBorders>
              <w:tl2br w:val="nil"/>
              <w:tr2bl w:val="nil"/>
            </w:tcBorders>
            <w:shd w:val="clear" w:color="auto" w:fill="auto"/>
            <w:vAlign w:val="center"/>
          </w:tcPr>
          <w:p w14:paraId="3CCE30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lang w:eastAsia="en-US"/>
              </w:rPr>
            </w:pPr>
            <w:r>
              <w:rPr>
                <w:rFonts w:ascii="Times New Roman" w:hAnsi="Times New Roman" w:eastAsia="宋体" w:cs="Times New Roman"/>
                <w:b w:val="0"/>
                <w:bCs/>
                <w:color w:val="auto"/>
                <w:kern w:val="0"/>
                <w:sz w:val="21"/>
                <w:szCs w:val="22"/>
                <w:highlight w:val="none"/>
                <w:lang w:eastAsia="en-US"/>
              </w:rPr>
              <w:t>—</w:t>
            </w:r>
          </w:p>
        </w:tc>
        <w:tc>
          <w:tcPr>
            <w:tcW w:w="967" w:type="pct"/>
            <w:tcBorders>
              <w:tl2br w:val="nil"/>
              <w:tr2bl w:val="nil"/>
            </w:tcBorders>
            <w:shd w:val="clear" w:color="auto" w:fill="auto"/>
            <w:vAlign w:val="center"/>
          </w:tcPr>
          <w:p w14:paraId="65E7FA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val="0"/>
                <w:bCs/>
                <w:color w:val="auto"/>
                <w:kern w:val="0"/>
                <w:sz w:val="21"/>
                <w:szCs w:val="22"/>
                <w:highlight w:val="none"/>
                <w:u w:val="single"/>
                <w:lang w:eastAsia="en-US"/>
              </w:rPr>
            </w:pPr>
            <w:r>
              <w:rPr>
                <w:rFonts w:ascii="Times New Roman" w:hAnsi="Times New Roman" w:eastAsia="宋体" w:cs="Times New Roman"/>
                <w:b w:val="0"/>
                <w:bCs/>
                <w:color w:val="auto"/>
                <w:kern w:val="0"/>
                <w:sz w:val="21"/>
                <w:szCs w:val="22"/>
                <w:highlight w:val="none"/>
                <w:lang w:eastAsia="en-US"/>
              </w:rPr>
              <w:t>—</w:t>
            </w:r>
          </w:p>
        </w:tc>
      </w:tr>
    </w:tbl>
    <w:p w14:paraId="7F9DCFC0">
      <w:pPr>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*注：排气筒高度除须遵守表列排放速率标准值外,还应高出周围200m半径范围的建筑5m以上，不能达到该要求的排气筒，应按其高度对应的表列排放速率标准值严格50%执行。</w:t>
      </w:r>
    </w:p>
    <w:p w14:paraId="42BBF28A">
      <w:pPr>
        <w:pStyle w:val="4"/>
        <w:bidi w:val="0"/>
        <w:rPr>
          <w:color w:val="auto"/>
          <w:highlight w:val="none"/>
        </w:rPr>
        <w:sectPr>
          <w:headerReference r:id="rId16" w:type="default"/>
          <w:pgSz w:w="16840" w:h="11907" w:orient="landscape"/>
          <w:pgMar w:top="1797" w:right="1440" w:bottom="1797" w:left="1440" w:header="737" w:footer="624" w:gutter="0"/>
          <w:pgBorders w:offsetFrom="page">
            <w:top w:val="none" w:sz="0" w:space="0"/>
            <w:left w:val="none" w:sz="0" w:space="0"/>
            <w:bottom w:val="none" w:sz="0" w:space="0"/>
            <w:right w:val="none" w:sz="0" w:space="0"/>
          </w:pgBorders>
          <w:pgNumType w:fmt="decimal"/>
          <w:cols w:space="720" w:num="1"/>
          <w:docGrid w:linePitch="326" w:charSpace="0"/>
        </w:sectPr>
      </w:pPr>
    </w:p>
    <w:p w14:paraId="32DC5AC0">
      <w:pPr>
        <w:pStyle w:val="4"/>
        <w:numPr>
          <w:ilvl w:val="2"/>
          <w:numId w:val="0"/>
        </w:numPr>
        <w:tabs>
          <w:tab w:val="clear" w:pos="720"/>
        </w:tabs>
        <w:bidi w:val="0"/>
        <w:rPr>
          <w:color w:val="auto"/>
          <w:highlight w:val="none"/>
        </w:rPr>
      </w:pPr>
      <w:bookmarkStart w:id="266" w:name="_Toc15387"/>
      <w:r>
        <w:rPr>
          <w:color w:val="auto"/>
          <w:highlight w:val="none"/>
        </w:rPr>
        <w:t>2.4.3</w:t>
      </w:r>
      <w:r>
        <w:rPr>
          <w:rFonts w:hint="eastAsia"/>
          <w:color w:val="auto"/>
          <w:highlight w:val="none"/>
          <w:lang w:val="en-US" w:eastAsia="zh-CN"/>
        </w:rPr>
        <w:t xml:space="preserve"> </w:t>
      </w:r>
      <w:r>
        <w:rPr>
          <w:color w:val="auto"/>
          <w:highlight w:val="none"/>
        </w:rPr>
        <w:t>噪声污染物排放标准</w:t>
      </w:r>
      <w:bookmarkEnd w:id="266"/>
    </w:p>
    <w:p w14:paraId="31293B19">
      <w:pPr>
        <w:pStyle w:val="1336"/>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本项目</w:t>
      </w:r>
      <w:r>
        <w:rPr>
          <w:rFonts w:ascii="Times New Roman" w:hAnsi="Times New Roman" w:eastAsia="宋体" w:cs="Times New Roman"/>
          <w:color w:val="auto"/>
          <w:highlight w:val="none"/>
        </w:rPr>
        <w:t>运营期厂界噪声执行《工业企业厂界环境噪声排放标准》（GB12348-2008）3类标准；</w:t>
      </w:r>
      <w:r>
        <w:rPr>
          <w:rFonts w:hint="eastAsia" w:cs="Times New Roman"/>
          <w:color w:val="auto"/>
          <w:highlight w:val="none"/>
          <w:lang w:val="en-US" w:eastAsia="zh-CN"/>
        </w:rPr>
        <w:t>其中靠近祥宏南路一侧（距祥宏南路约30m范围内）执行《工业企业厂界环境噪声排放标准》（GB12348-2008）4类标准</w:t>
      </w:r>
      <w:r>
        <w:rPr>
          <w:rFonts w:hint="eastAsia" w:cs="Times New Roman"/>
          <w:color w:val="auto"/>
          <w:highlight w:val="none"/>
          <w:lang w:eastAsia="zh-CN"/>
        </w:rPr>
        <w:t>，</w:t>
      </w:r>
      <w:r>
        <w:rPr>
          <w:rFonts w:ascii="Times New Roman" w:hAnsi="Times New Roman" w:eastAsia="宋体" w:cs="Times New Roman"/>
          <w:color w:val="auto"/>
          <w:highlight w:val="none"/>
        </w:rPr>
        <w:t>标准值见表2.4-</w:t>
      </w:r>
      <w:r>
        <w:rPr>
          <w:rFonts w:hint="eastAsia" w:ascii="Times New Roman" w:hAnsi="Times New Roman" w:eastAsia="宋体" w:cs="Times New Roman"/>
          <w:color w:val="auto"/>
          <w:highlight w:val="none"/>
          <w:lang w:val="en-US" w:eastAsia="zh-CN"/>
        </w:rPr>
        <w:t>3</w:t>
      </w:r>
      <w:r>
        <w:rPr>
          <w:rFonts w:ascii="Times New Roman" w:hAnsi="Times New Roman" w:eastAsia="宋体" w:cs="Times New Roman"/>
          <w:color w:val="auto"/>
          <w:highlight w:val="none"/>
        </w:rPr>
        <w:t>。</w:t>
      </w:r>
    </w:p>
    <w:p w14:paraId="5373378C">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表2.4-</w:t>
      </w:r>
      <w:r>
        <w:rPr>
          <w:rFonts w:hint="default" w:ascii="Times New Roman" w:hAnsi="Times New Roman" w:cs="Times New Roman"/>
          <w:color w:val="auto"/>
          <w:highlight w:val="none"/>
          <w:lang w:val="en-US" w:eastAsia="zh-CN"/>
        </w:rPr>
        <w:t xml:space="preserve">3  </w:t>
      </w:r>
      <w:r>
        <w:rPr>
          <w:rFonts w:hint="default" w:ascii="Times New Roman" w:hAnsi="Times New Roman" w:cs="Times New Roman"/>
          <w:color w:val="auto"/>
          <w:highlight w:val="none"/>
        </w:rPr>
        <w:t>《工业企业厂界环境噪声排放标准》（GB12348-2008）</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04"/>
        <w:gridCol w:w="2863"/>
        <w:gridCol w:w="2962"/>
      </w:tblGrid>
      <w:tr w14:paraId="7E6215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585" w:type="pct"/>
            <w:tcBorders>
              <w:tl2br w:val="nil"/>
              <w:tr2bl w:val="nil"/>
            </w:tcBorders>
            <w:noWrap w:val="0"/>
            <w:vAlign w:val="center"/>
          </w:tcPr>
          <w:p w14:paraId="3A182748">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类别</w:t>
            </w:r>
          </w:p>
        </w:tc>
        <w:tc>
          <w:tcPr>
            <w:tcW w:w="1678" w:type="pct"/>
            <w:tcBorders>
              <w:tl2br w:val="nil"/>
              <w:tr2bl w:val="nil"/>
            </w:tcBorders>
            <w:noWrap w:val="0"/>
            <w:vAlign w:val="center"/>
          </w:tcPr>
          <w:p w14:paraId="2F05242A">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昼间</w:t>
            </w:r>
          </w:p>
        </w:tc>
        <w:tc>
          <w:tcPr>
            <w:tcW w:w="1736" w:type="pct"/>
            <w:tcBorders>
              <w:tl2br w:val="nil"/>
              <w:tr2bl w:val="nil"/>
            </w:tcBorders>
            <w:noWrap w:val="0"/>
            <w:vAlign w:val="center"/>
          </w:tcPr>
          <w:p w14:paraId="6B7BA8E3">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夜间</w:t>
            </w:r>
          </w:p>
        </w:tc>
      </w:tr>
      <w:tr w14:paraId="3CFACD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5" w:type="pct"/>
            <w:tcBorders>
              <w:tl2br w:val="nil"/>
              <w:tr2bl w:val="nil"/>
            </w:tcBorders>
            <w:noWrap w:val="0"/>
            <w:vAlign w:val="center"/>
          </w:tcPr>
          <w:p w14:paraId="73A7FDC4">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3类</w:t>
            </w:r>
          </w:p>
        </w:tc>
        <w:tc>
          <w:tcPr>
            <w:tcW w:w="1678" w:type="pct"/>
            <w:tcBorders>
              <w:tl2br w:val="nil"/>
              <w:tr2bl w:val="nil"/>
            </w:tcBorders>
            <w:noWrap w:val="0"/>
            <w:vAlign w:val="center"/>
          </w:tcPr>
          <w:p w14:paraId="6D8D6FFA">
            <w:pPr>
              <w:pStyle w:val="44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65dB</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c>
          <w:tcPr>
            <w:tcW w:w="1736" w:type="pct"/>
            <w:tcBorders>
              <w:tl2br w:val="nil"/>
              <w:tr2bl w:val="nil"/>
            </w:tcBorders>
            <w:noWrap w:val="0"/>
            <w:vAlign w:val="center"/>
          </w:tcPr>
          <w:p w14:paraId="4A495F22">
            <w:pPr>
              <w:pStyle w:val="448"/>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55dB</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r>
      <w:tr w14:paraId="2630A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5" w:type="pct"/>
            <w:tcBorders>
              <w:tl2br w:val="nil"/>
              <w:tr2bl w:val="nil"/>
            </w:tcBorders>
            <w:noWrap w:val="0"/>
            <w:vAlign w:val="center"/>
          </w:tcPr>
          <w:p w14:paraId="160A0B7D">
            <w:pPr>
              <w:pStyle w:val="448"/>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4类</w:t>
            </w:r>
          </w:p>
        </w:tc>
        <w:tc>
          <w:tcPr>
            <w:tcW w:w="1678" w:type="pct"/>
            <w:tcBorders>
              <w:tl2br w:val="nil"/>
              <w:tr2bl w:val="nil"/>
            </w:tcBorders>
            <w:noWrap w:val="0"/>
            <w:vAlign w:val="center"/>
          </w:tcPr>
          <w:p w14:paraId="2BB05A52">
            <w:pPr>
              <w:pStyle w:val="448"/>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70</w:t>
            </w:r>
            <w:r>
              <w:rPr>
                <w:rFonts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c>
          <w:tcPr>
            <w:tcW w:w="1736" w:type="pct"/>
            <w:tcBorders>
              <w:tl2br w:val="nil"/>
              <w:tr2bl w:val="nil"/>
            </w:tcBorders>
            <w:noWrap w:val="0"/>
            <w:vAlign w:val="center"/>
          </w:tcPr>
          <w:p w14:paraId="59F3F8C1">
            <w:pPr>
              <w:pStyle w:val="448"/>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55</w:t>
            </w:r>
            <w:r>
              <w:rPr>
                <w:rFonts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r>
    </w:tbl>
    <w:p w14:paraId="6E4CF0E4">
      <w:pPr>
        <w:pStyle w:val="4"/>
        <w:numPr>
          <w:ilvl w:val="2"/>
          <w:numId w:val="0"/>
        </w:numPr>
        <w:tabs>
          <w:tab w:val="clear" w:pos="720"/>
        </w:tabs>
        <w:bidi w:val="0"/>
        <w:rPr>
          <w:color w:val="auto"/>
          <w:highlight w:val="none"/>
        </w:rPr>
      </w:pPr>
      <w:bookmarkStart w:id="267" w:name="_Toc6286"/>
      <w:r>
        <w:rPr>
          <w:color w:val="auto"/>
          <w:highlight w:val="none"/>
        </w:rPr>
        <w:t>2.4.4</w:t>
      </w:r>
      <w:r>
        <w:rPr>
          <w:rFonts w:hint="eastAsia"/>
          <w:color w:val="auto"/>
          <w:highlight w:val="none"/>
          <w:lang w:val="en-US" w:eastAsia="zh-CN"/>
        </w:rPr>
        <w:t xml:space="preserve"> </w:t>
      </w:r>
      <w:r>
        <w:rPr>
          <w:color w:val="auto"/>
          <w:highlight w:val="none"/>
        </w:rPr>
        <w:t>固体废物污染物排放标准</w:t>
      </w:r>
      <w:bookmarkEnd w:id="267"/>
    </w:p>
    <w:p w14:paraId="759D89FC">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生活垃圾贮存处理应按照《</w:t>
      </w:r>
      <w:r>
        <w:rPr>
          <w:rFonts w:hint="eastAsia" w:cs="Times New Roman"/>
          <w:color w:val="auto"/>
          <w:highlight w:val="none"/>
          <w:lang w:eastAsia="zh-CN"/>
        </w:rPr>
        <w:t>城市环境卫生设施规划标准</w:t>
      </w:r>
      <w:r>
        <w:rPr>
          <w:rFonts w:ascii="Times New Roman" w:hAnsi="Times New Roman" w:eastAsia="宋体" w:cs="Times New Roman"/>
          <w:color w:val="auto"/>
          <w:highlight w:val="none"/>
        </w:rPr>
        <w:t>》（</w:t>
      </w:r>
      <w:r>
        <w:rPr>
          <w:rFonts w:hint="eastAsia" w:cs="Times New Roman"/>
          <w:color w:val="auto"/>
          <w:highlight w:val="none"/>
          <w:lang w:eastAsia="zh-CN"/>
        </w:rPr>
        <w:t>GB/T 50337-2018</w:t>
      </w:r>
      <w:r>
        <w:rPr>
          <w:rFonts w:ascii="Times New Roman" w:hAnsi="Times New Roman" w:eastAsia="宋体" w:cs="Times New Roman"/>
          <w:color w:val="auto"/>
          <w:highlight w:val="none"/>
        </w:rPr>
        <w:t>）中的要求进行综合利用和处置；</w:t>
      </w:r>
      <w:r>
        <w:rPr>
          <w:rFonts w:ascii="Times New Roman" w:hAnsi="Times New Roman" w:eastAsia="宋体" w:cs="Times New Roman"/>
          <w:color w:val="auto"/>
          <w:highlight w:val="none"/>
          <w:lang w:val="en-GB"/>
        </w:rPr>
        <w:t>一般工业固体废物执行</w:t>
      </w:r>
      <w:r>
        <w:rPr>
          <w:rFonts w:ascii="Times New Roman" w:hAnsi="Times New Roman" w:eastAsia="宋体" w:cs="Times New Roman"/>
          <w:color w:val="auto"/>
          <w:highlight w:val="none"/>
        </w:rPr>
        <w:t>《一般工业固体废物贮存和填埋污染控制标准》（GB18599-2020）；</w:t>
      </w:r>
      <w:r>
        <w:rPr>
          <w:rFonts w:ascii="Times New Roman" w:hAnsi="Times New Roman" w:eastAsia="宋体" w:cs="Times New Roman"/>
          <w:color w:val="auto"/>
          <w:highlight w:val="none"/>
          <w:lang w:val="en-GB"/>
        </w:rPr>
        <w:t>危险废物</w:t>
      </w:r>
      <w:r>
        <w:rPr>
          <w:rFonts w:hint="eastAsia" w:ascii="Times New Roman" w:hAnsi="Times New Roman" w:eastAsia="宋体" w:cs="Times New Roman"/>
          <w:color w:val="auto"/>
          <w:highlight w:val="none"/>
          <w:lang w:val="en-US" w:eastAsia="zh-CN"/>
        </w:rPr>
        <w:t>贮存</w:t>
      </w:r>
      <w:r>
        <w:rPr>
          <w:rFonts w:ascii="Times New Roman" w:hAnsi="Times New Roman" w:eastAsia="宋体" w:cs="Times New Roman"/>
          <w:color w:val="auto"/>
          <w:highlight w:val="none"/>
          <w:lang w:val="en-GB"/>
        </w:rPr>
        <w:t>执行</w:t>
      </w:r>
      <w:r>
        <w:rPr>
          <w:rFonts w:hint="eastAsia" w:ascii="Times New Roman" w:hAnsi="Times New Roman" w:eastAsia="宋体" w:cs="Times New Roman"/>
          <w:color w:val="auto"/>
          <w:highlight w:val="none"/>
          <w:lang w:val="en-GB"/>
        </w:rPr>
        <w:t>《危险废物贮存污染控制标准》（GB18597-2023）</w:t>
      </w:r>
      <w:r>
        <w:rPr>
          <w:rFonts w:ascii="Times New Roman" w:hAnsi="Times New Roman" w:eastAsia="宋体" w:cs="Times New Roman"/>
          <w:color w:val="auto"/>
          <w:highlight w:val="none"/>
        </w:rPr>
        <w:t>。</w:t>
      </w:r>
    </w:p>
    <w:p w14:paraId="3BC2A2F8">
      <w:pPr>
        <w:pStyle w:val="3"/>
        <w:numPr>
          <w:ilvl w:val="0"/>
          <w:numId w:val="0"/>
        </w:numPr>
        <w:tabs>
          <w:tab w:val="clear" w:pos="720"/>
        </w:tabs>
        <w:bidi w:val="0"/>
        <w:ind w:left="0" w:leftChars="0" w:firstLine="0" w:firstLineChars="0"/>
        <w:outlineLvl w:val="1"/>
        <w:rPr>
          <w:color w:val="auto"/>
          <w:highlight w:val="none"/>
        </w:rPr>
      </w:pPr>
      <w:bookmarkStart w:id="268" w:name="_Toc366254965"/>
      <w:bookmarkStart w:id="269" w:name="_Toc373835691"/>
      <w:bookmarkStart w:id="270" w:name="_Toc359709194"/>
      <w:bookmarkStart w:id="271" w:name="_Toc359708658"/>
      <w:bookmarkStart w:id="272" w:name="_Toc359708283"/>
      <w:bookmarkStart w:id="273" w:name="_Toc359686417"/>
      <w:bookmarkStart w:id="274" w:name="_Toc445550190"/>
      <w:bookmarkStart w:id="275" w:name="_Toc362276133"/>
      <w:bookmarkStart w:id="276" w:name="_Toc22880"/>
      <w:bookmarkStart w:id="277" w:name="_Toc17202"/>
      <w:r>
        <w:rPr>
          <w:color w:val="auto"/>
          <w:highlight w:val="none"/>
        </w:rPr>
        <w:t>2.5</w:t>
      </w:r>
      <w:r>
        <w:rPr>
          <w:rFonts w:hint="eastAsia"/>
          <w:color w:val="auto"/>
          <w:highlight w:val="none"/>
          <w:lang w:val="en-US" w:eastAsia="zh-CN"/>
        </w:rPr>
        <w:t xml:space="preserve"> </w:t>
      </w:r>
      <w:r>
        <w:rPr>
          <w:color w:val="auto"/>
          <w:highlight w:val="none"/>
        </w:rPr>
        <w:t>评价工作等级</w:t>
      </w:r>
      <w:bookmarkEnd w:id="268"/>
      <w:bookmarkEnd w:id="269"/>
      <w:bookmarkEnd w:id="270"/>
      <w:bookmarkEnd w:id="271"/>
      <w:bookmarkEnd w:id="272"/>
      <w:bookmarkEnd w:id="273"/>
      <w:bookmarkEnd w:id="274"/>
      <w:bookmarkEnd w:id="275"/>
      <w:r>
        <w:rPr>
          <w:color w:val="auto"/>
          <w:highlight w:val="none"/>
        </w:rPr>
        <w:t>和评价范围</w:t>
      </w:r>
      <w:bookmarkEnd w:id="276"/>
      <w:bookmarkEnd w:id="277"/>
    </w:p>
    <w:p w14:paraId="3AAEE614">
      <w:pPr>
        <w:pStyle w:val="4"/>
        <w:numPr>
          <w:ilvl w:val="2"/>
          <w:numId w:val="0"/>
        </w:numPr>
        <w:tabs>
          <w:tab w:val="clear" w:pos="720"/>
        </w:tabs>
        <w:bidi w:val="0"/>
        <w:rPr>
          <w:color w:val="auto"/>
          <w:highlight w:val="none"/>
        </w:rPr>
      </w:pPr>
      <w:bookmarkStart w:id="278" w:name="_Toc21526"/>
      <w:r>
        <w:rPr>
          <w:color w:val="auto"/>
          <w:highlight w:val="none"/>
        </w:rPr>
        <w:t>2.5.1</w:t>
      </w:r>
      <w:r>
        <w:rPr>
          <w:rFonts w:hint="eastAsia"/>
          <w:color w:val="auto"/>
          <w:highlight w:val="none"/>
          <w:lang w:val="en-US" w:eastAsia="zh-CN"/>
        </w:rPr>
        <w:t xml:space="preserve"> </w:t>
      </w:r>
      <w:r>
        <w:rPr>
          <w:color w:val="auto"/>
          <w:highlight w:val="none"/>
        </w:rPr>
        <w:t>地表水</w:t>
      </w:r>
      <w:bookmarkEnd w:id="278"/>
    </w:p>
    <w:p w14:paraId="5C0C396F">
      <w:pPr>
        <w:pStyle w:val="5"/>
        <w:numPr>
          <w:ilvl w:val="3"/>
          <w:numId w:val="0"/>
        </w:numPr>
        <w:bidi w:val="0"/>
        <w:ind w:leftChars="0"/>
        <w:rPr>
          <w:color w:val="auto"/>
          <w:highlight w:val="none"/>
        </w:rPr>
      </w:pPr>
      <w:r>
        <w:rPr>
          <w:color w:val="auto"/>
          <w:highlight w:val="none"/>
        </w:rPr>
        <w:t>2.5.1.1</w:t>
      </w:r>
      <w:r>
        <w:rPr>
          <w:rFonts w:hint="eastAsia"/>
          <w:color w:val="auto"/>
          <w:highlight w:val="none"/>
          <w:lang w:val="en-US" w:eastAsia="zh-CN"/>
        </w:rPr>
        <w:t xml:space="preserve"> </w:t>
      </w:r>
      <w:r>
        <w:rPr>
          <w:color w:val="auto"/>
          <w:highlight w:val="none"/>
        </w:rPr>
        <w:t>评价工作等级</w:t>
      </w:r>
    </w:p>
    <w:p w14:paraId="00C0D1B6">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按照《环境影响评价技术导则 地表水环境》（HJ2.3-2018）中的规定，建设项目地表水影响评价等级按照影响类型、排放方式、排放量或影响情况、受纳水体环境质量现状、水环境保护目标等综合确定，详见表2.5-1。</w:t>
      </w:r>
    </w:p>
    <w:p w14:paraId="19CDB429">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水污染影响型建设项目评价等级判定</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13"/>
        <w:gridCol w:w="2439"/>
        <w:gridCol w:w="3977"/>
      </w:tblGrid>
      <w:tr w14:paraId="7A8CE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vMerge w:val="restart"/>
            <w:tcBorders>
              <w:tl2br w:val="nil"/>
              <w:tr2bl w:val="nil"/>
            </w:tcBorders>
            <w:noWrap w:val="0"/>
            <w:vAlign w:val="center"/>
          </w:tcPr>
          <w:p w14:paraId="40D4D7C1">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评价工作等级</w:t>
            </w:r>
          </w:p>
        </w:tc>
        <w:tc>
          <w:tcPr>
            <w:tcW w:w="3761" w:type="pct"/>
            <w:gridSpan w:val="2"/>
            <w:tcBorders>
              <w:tl2br w:val="nil"/>
              <w:tr2bl w:val="nil"/>
            </w:tcBorders>
            <w:noWrap w:val="0"/>
            <w:vAlign w:val="center"/>
          </w:tcPr>
          <w:p w14:paraId="74D51A6C">
            <w:pPr>
              <w:pStyle w:val="1321"/>
              <w:rPr>
                <w:rFonts w:ascii="Times New Roman" w:hAnsi="Times New Roman" w:eastAsia="宋体" w:cs="Times New Roman"/>
                <w:color w:val="auto"/>
                <w:highlight w:val="none"/>
                <w:shd w:val="pct10" w:color="auto" w:fill="FFFFFF"/>
              </w:rPr>
            </w:pPr>
            <w:r>
              <w:rPr>
                <w:rFonts w:ascii="Times New Roman" w:hAnsi="Times New Roman" w:eastAsia="宋体" w:cs="Times New Roman"/>
                <w:color w:val="auto"/>
                <w:highlight w:val="none"/>
              </w:rPr>
              <w:t>判定依据</w:t>
            </w:r>
          </w:p>
        </w:tc>
      </w:tr>
      <w:tr w14:paraId="36EEB8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vMerge w:val="continue"/>
            <w:tcBorders>
              <w:tl2br w:val="nil"/>
              <w:tr2bl w:val="nil"/>
            </w:tcBorders>
            <w:noWrap w:val="0"/>
            <w:vAlign w:val="center"/>
          </w:tcPr>
          <w:p w14:paraId="42D95D9F">
            <w:pPr>
              <w:pStyle w:val="1321"/>
              <w:rPr>
                <w:rFonts w:ascii="Times New Roman" w:hAnsi="Times New Roman" w:eastAsia="宋体" w:cs="Times New Roman"/>
                <w:color w:val="auto"/>
                <w:highlight w:val="none"/>
              </w:rPr>
            </w:pPr>
          </w:p>
        </w:tc>
        <w:tc>
          <w:tcPr>
            <w:tcW w:w="1430" w:type="pct"/>
            <w:tcBorders>
              <w:tl2br w:val="nil"/>
              <w:tr2bl w:val="nil"/>
            </w:tcBorders>
            <w:noWrap w:val="0"/>
            <w:vAlign w:val="center"/>
          </w:tcPr>
          <w:p w14:paraId="7D0C03AF">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排放方式</w:t>
            </w:r>
          </w:p>
        </w:tc>
        <w:tc>
          <w:tcPr>
            <w:tcW w:w="2332" w:type="pct"/>
            <w:tcBorders>
              <w:tl2br w:val="nil"/>
              <w:tr2bl w:val="nil"/>
            </w:tcBorders>
            <w:noWrap w:val="0"/>
            <w:vAlign w:val="center"/>
          </w:tcPr>
          <w:p w14:paraId="75F5A2C0">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废水排放量Q/（m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/d）</w:t>
            </w:r>
          </w:p>
          <w:p w14:paraId="657C8D4D">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水污染物当量数W/（无量纲）</w:t>
            </w:r>
          </w:p>
        </w:tc>
      </w:tr>
      <w:tr w14:paraId="24770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tcBorders>
              <w:tl2br w:val="nil"/>
              <w:tr2bl w:val="nil"/>
            </w:tcBorders>
            <w:noWrap w:val="0"/>
            <w:vAlign w:val="center"/>
          </w:tcPr>
          <w:p w14:paraId="4A10D819">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1430" w:type="pct"/>
            <w:tcBorders>
              <w:tl2br w:val="nil"/>
              <w:tr2bl w:val="nil"/>
            </w:tcBorders>
            <w:noWrap w:val="0"/>
            <w:vAlign w:val="center"/>
          </w:tcPr>
          <w:p w14:paraId="68DFD224">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直接排放</w:t>
            </w:r>
          </w:p>
        </w:tc>
        <w:tc>
          <w:tcPr>
            <w:tcW w:w="2332" w:type="pct"/>
            <w:tcBorders>
              <w:tl2br w:val="nil"/>
              <w:tr2bl w:val="nil"/>
            </w:tcBorders>
            <w:noWrap w:val="0"/>
            <w:vAlign w:val="center"/>
          </w:tcPr>
          <w:p w14:paraId="7C0C37BF">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Q≥20000或W≥600000</w:t>
            </w:r>
          </w:p>
        </w:tc>
      </w:tr>
      <w:tr w14:paraId="5B62F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tcBorders>
              <w:tl2br w:val="nil"/>
              <w:tr2bl w:val="nil"/>
            </w:tcBorders>
            <w:noWrap w:val="0"/>
            <w:vAlign w:val="center"/>
          </w:tcPr>
          <w:p w14:paraId="4330B23F">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1430" w:type="pct"/>
            <w:tcBorders>
              <w:tl2br w:val="nil"/>
              <w:tr2bl w:val="nil"/>
            </w:tcBorders>
            <w:noWrap w:val="0"/>
            <w:vAlign w:val="center"/>
          </w:tcPr>
          <w:p w14:paraId="103A05CD">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直接排放</w:t>
            </w:r>
          </w:p>
        </w:tc>
        <w:tc>
          <w:tcPr>
            <w:tcW w:w="2332" w:type="pct"/>
            <w:tcBorders>
              <w:tl2br w:val="nil"/>
              <w:tr2bl w:val="nil"/>
            </w:tcBorders>
            <w:noWrap w:val="0"/>
            <w:vAlign w:val="center"/>
          </w:tcPr>
          <w:p w14:paraId="3F6DFDFC">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其他</w:t>
            </w:r>
          </w:p>
        </w:tc>
      </w:tr>
      <w:tr w14:paraId="75539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tcBorders>
              <w:tl2br w:val="nil"/>
              <w:tr2bl w:val="nil"/>
            </w:tcBorders>
            <w:noWrap w:val="0"/>
            <w:vAlign w:val="center"/>
          </w:tcPr>
          <w:p w14:paraId="2F8DBC27">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三级A</w:t>
            </w:r>
          </w:p>
        </w:tc>
        <w:tc>
          <w:tcPr>
            <w:tcW w:w="1430" w:type="pct"/>
            <w:tcBorders>
              <w:tl2br w:val="nil"/>
              <w:tr2bl w:val="nil"/>
            </w:tcBorders>
            <w:noWrap w:val="0"/>
            <w:vAlign w:val="center"/>
          </w:tcPr>
          <w:p w14:paraId="2BE321D5">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直接排放</w:t>
            </w:r>
          </w:p>
        </w:tc>
        <w:tc>
          <w:tcPr>
            <w:tcW w:w="2332" w:type="pct"/>
            <w:tcBorders>
              <w:tl2br w:val="nil"/>
              <w:tr2bl w:val="nil"/>
            </w:tcBorders>
            <w:noWrap w:val="0"/>
            <w:vAlign w:val="center"/>
          </w:tcPr>
          <w:p w14:paraId="5E9D4DBE">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Q＜200且W＜6000</w:t>
            </w:r>
          </w:p>
        </w:tc>
      </w:tr>
      <w:tr w14:paraId="56491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9" w:type="pct"/>
            <w:tcBorders>
              <w:tl2br w:val="nil"/>
              <w:tr2bl w:val="nil"/>
            </w:tcBorders>
            <w:noWrap w:val="0"/>
            <w:vAlign w:val="center"/>
          </w:tcPr>
          <w:p w14:paraId="2DDFF8AE">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三级B</w:t>
            </w:r>
          </w:p>
        </w:tc>
        <w:tc>
          <w:tcPr>
            <w:tcW w:w="1430" w:type="pct"/>
            <w:tcBorders>
              <w:tl2br w:val="nil"/>
              <w:tr2bl w:val="nil"/>
            </w:tcBorders>
            <w:noWrap w:val="0"/>
            <w:vAlign w:val="center"/>
          </w:tcPr>
          <w:p w14:paraId="07FAE17D">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间接排放</w:t>
            </w:r>
          </w:p>
        </w:tc>
        <w:tc>
          <w:tcPr>
            <w:tcW w:w="2332" w:type="pct"/>
            <w:tcBorders>
              <w:tl2br w:val="nil"/>
              <w:tr2bl w:val="nil"/>
            </w:tcBorders>
            <w:noWrap w:val="0"/>
            <w:vAlign w:val="center"/>
          </w:tcPr>
          <w:p w14:paraId="2B943350">
            <w:pPr>
              <w:pStyle w:val="1321"/>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r w14:paraId="64144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tcBorders>
              <w:tl2br w:val="nil"/>
              <w:tr2bl w:val="nil"/>
            </w:tcBorders>
            <w:noWrap w:val="0"/>
            <w:vAlign w:val="center"/>
          </w:tcPr>
          <w:p w14:paraId="4EA46F27">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49094C44">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09AAE5F3">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注3：厂区存在堆积物（露天堆放的原料、燃料、废渣等以及垃圾堆放场）、降尘污染的，应将初期雨污水纳入废水排放量，相应的主要污染物纳入水污染当量计算。</w:t>
            </w:r>
          </w:p>
          <w:p w14:paraId="39F419B9">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注4：建设项目直接排放第一类污染物的，其评价等级为一级；建设项目直接排放的污染物为受纳水体超标因子的，评价等级不低于二级。</w:t>
            </w:r>
          </w:p>
          <w:p w14:paraId="6967265C">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注5：直接排放受纳水体影响范围涉及饮用水水源保护区、饮用水取水口、重点保护与珍稀水生生物的栖息地、重要水生生物的自然产卵场等保护目标时，评价等级不低于二级。</w:t>
            </w:r>
          </w:p>
          <w:p w14:paraId="201C6653">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注6：建设项目向河流、湖库排放温排水引起受纳水体水温变化超过水环境质量标准要求，且评价范围有水温敏感目标时，评价等级为一级。</w:t>
            </w:r>
          </w:p>
          <w:p w14:paraId="74D14290">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注7：建设项目利用海水作为调节温度介质，排水量≥500万m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/d，评价等级为一级；排水量＜500万m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/d，评价等级为二级。</w:t>
            </w:r>
          </w:p>
          <w:p w14:paraId="26FB0647">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注8：仅涉及清净下水排放的，如其排放水质满足受纳水体水环境质量标准要求的，评价等级为三级A。</w:t>
            </w:r>
          </w:p>
          <w:p w14:paraId="0FF5874C">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注9：依托现有排放口，且对外环境未新增排放污染物的直接排放建设项目，评价等级参照间接排放，定为三级B。</w:t>
            </w:r>
          </w:p>
          <w:p w14:paraId="2AB934FB">
            <w:pPr>
              <w:pStyle w:val="1321"/>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注10：建设项目生产工艺中有废水产生，但作为回水利用，不排放到外环境的，按三级B评价。</w:t>
            </w:r>
          </w:p>
        </w:tc>
      </w:tr>
    </w:tbl>
    <w:p w14:paraId="71EF4951">
      <w:pPr>
        <w:pStyle w:val="1319"/>
        <w:ind w:firstLine="480"/>
        <w:rPr>
          <w:color w:val="auto"/>
          <w:highlight w:val="none"/>
        </w:rPr>
      </w:pPr>
      <w:r>
        <w:rPr>
          <w:rFonts w:hint="eastAsia" w:ascii="Times New Roman" w:hAnsi="Times New Roman" w:eastAsia="宋体" w:cs="Times New Roman"/>
          <w:color w:val="auto"/>
          <w:highlight w:val="none"/>
        </w:rPr>
        <w:t>项目属于水污染影响型建设项目，</w:t>
      </w:r>
      <w:r>
        <w:rPr>
          <w:color w:val="auto"/>
          <w:highlight w:val="none"/>
        </w:rPr>
        <w:t>项目废水分为生活污水与生产废水，废水处置方式如下：生活污水经出租方已建化粪池处理后，纳入市政污水管网，排入青口汽车工业开发区污水处理厂进一步处理。</w:t>
      </w:r>
      <w:r>
        <w:rPr>
          <w:rFonts w:hint="eastAsia"/>
          <w:color w:val="auto"/>
          <w:highlight w:val="none"/>
        </w:rPr>
        <w:t>生产废水共五类，其中注塑工序冷却水、本项目冰水机配套的设备冷却水与热洁炉换热器冷却水均为间接冷却水，水质基本不受污染，经降温后全部循环使用不外排，仅定期补充蒸发、风吹带来的水量损耗；锅炉排污水与纯水制备产生的反渗透浓水的水质相对清洁，不含重金属及有毒有害物质，经厂区污水总排口接入市政污水管网。</w:t>
      </w:r>
    </w:p>
    <w:p w14:paraId="0369CD96">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根据《环境影响评价技术导则 地表水环境》（HJ2.3-2018）</w:t>
      </w:r>
      <w:r>
        <w:rPr>
          <w:rFonts w:ascii="Times New Roman" w:hAnsi="Times New Roman" w:eastAsia="宋体" w:cs="Times New Roman"/>
          <w:color w:val="auto"/>
          <w:highlight w:val="none"/>
        </w:rPr>
        <w:t>中</w:t>
      </w:r>
      <w:r>
        <w:rPr>
          <w:rFonts w:hint="eastAsia" w:cs="Times New Roman"/>
          <w:color w:val="auto"/>
          <w:highlight w:val="none"/>
          <w:lang w:val="en-GB" w:eastAsia="zh-CN"/>
        </w:rPr>
        <w:t>“</w:t>
      </w:r>
      <w:r>
        <w:rPr>
          <w:rFonts w:ascii="Times New Roman" w:hAnsi="Times New Roman" w:eastAsia="宋体" w:cs="Times New Roman"/>
          <w:color w:val="auto"/>
          <w:highlight w:val="none"/>
          <w:lang w:val="en-GB"/>
        </w:rPr>
        <w:t>5.2.2.2间接排放建设项目评价等级为三级B</w:t>
      </w:r>
      <w:r>
        <w:rPr>
          <w:rFonts w:hint="eastAsia" w:cs="Times New Roman"/>
          <w:color w:val="auto"/>
          <w:highlight w:val="none"/>
          <w:lang w:val="en-GB" w:eastAsia="zh-CN"/>
        </w:rPr>
        <w:t>”</w:t>
      </w:r>
      <w:r>
        <w:rPr>
          <w:rFonts w:ascii="Times New Roman" w:hAnsi="Times New Roman" w:eastAsia="宋体" w:cs="Times New Roman"/>
          <w:color w:val="auto"/>
          <w:highlight w:val="none"/>
        </w:rPr>
        <w:t>的规定</w:t>
      </w:r>
      <w:r>
        <w:rPr>
          <w:rFonts w:ascii="Times New Roman" w:hAnsi="Times New Roman" w:eastAsia="宋体" w:cs="Times New Roman"/>
          <w:color w:val="auto"/>
          <w:highlight w:val="none"/>
          <w:lang w:val="en-GB"/>
        </w:rPr>
        <w:t>，确定项目地表水环境评价等级为三级B。</w:t>
      </w:r>
    </w:p>
    <w:p w14:paraId="386D30C2">
      <w:pPr>
        <w:pStyle w:val="5"/>
        <w:numPr>
          <w:ilvl w:val="3"/>
          <w:numId w:val="0"/>
        </w:numPr>
        <w:bidi w:val="0"/>
        <w:ind w:leftChars="0"/>
        <w:rPr>
          <w:color w:val="auto"/>
          <w:highlight w:val="none"/>
        </w:rPr>
      </w:pPr>
      <w:r>
        <w:rPr>
          <w:color w:val="auto"/>
          <w:highlight w:val="none"/>
        </w:rPr>
        <w:t>2.5.1.2</w:t>
      </w:r>
      <w:r>
        <w:rPr>
          <w:rFonts w:hint="eastAsia"/>
          <w:color w:val="auto"/>
          <w:highlight w:val="none"/>
          <w:lang w:val="en-US" w:eastAsia="zh-CN"/>
        </w:rPr>
        <w:t xml:space="preserve"> </w:t>
      </w:r>
      <w:r>
        <w:rPr>
          <w:color w:val="auto"/>
          <w:highlight w:val="none"/>
        </w:rPr>
        <w:t>评价范围</w:t>
      </w:r>
    </w:p>
    <w:p w14:paraId="30EA463D">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本项目地表水环境影响评价等级为三级B，主要对依托污水处理设施环境可行性</w:t>
      </w:r>
      <w:r>
        <w:rPr>
          <w:rFonts w:ascii="Times New Roman" w:hAnsi="Times New Roman" w:eastAsia="宋体" w:cs="Times New Roman"/>
          <w:color w:val="auto"/>
          <w:szCs w:val="24"/>
          <w:highlight w:val="none"/>
          <w:lang w:val="en-GB"/>
        </w:rPr>
        <w:t>以及纳入</w:t>
      </w:r>
      <w:r>
        <w:rPr>
          <w:rFonts w:hint="eastAsia" w:ascii="Times New Roman" w:hAnsi="Times New Roman" w:eastAsia="宋体" w:cs="Times New Roman"/>
          <w:color w:val="auto"/>
          <w:highlight w:val="none"/>
          <w:lang w:val="en-GB" w:eastAsia="zh-CN"/>
        </w:rPr>
        <w:t>青口汽车工业开发区污水处理厂</w:t>
      </w:r>
      <w:r>
        <w:rPr>
          <w:rFonts w:ascii="Times New Roman" w:hAnsi="Times New Roman" w:eastAsia="宋体" w:cs="Times New Roman"/>
          <w:color w:val="auto"/>
          <w:szCs w:val="24"/>
          <w:highlight w:val="none"/>
          <w:lang w:val="en-GB"/>
        </w:rPr>
        <w:t>处理的可行性</w:t>
      </w:r>
      <w:r>
        <w:rPr>
          <w:rFonts w:ascii="Times New Roman" w:hAnsi="Times New Roman" w:eastAsia="宋体" w:cs="Times New Roman"/>
          <w:color w:val="auto"/>
          <w:highlight w:val="none"/>
          <w:lang w:val="en-GB"/>
        </w:rPr>
        <w:t>进行分析。</w:t>
      </w:r>
    </w:p>
    <w:p w14:paraId="04883640">
      <w:pPr>
        <w:pStyle w:val="4"/>
        <w:numPr>
          <w:ilvl w:val="2"/>
          <w:numId w:val="0"/>
        </w:numPr>
        <w:tabs>
          <w:tab w:val="clear" w:pos="720"/>
        </w:tabs>
        <w:bidi w:val="0"/>
        <w:rPr>
          <w:color w:val="auto"/>
          <w:highlight w:val="none"/>
        </w:rPr>
      </w:pPr>
      <w:bookmarkStart w:id="279" w:name="_Toc11619"/>
      <w:r>
        <w:rPr>
          <w:color w:val="auto"/>
          <w:highlight w:val="none"/>
        </w:rPr>
        <w:t>2.5.2</w:t>
      </w:r>
      <w:r>
        <w:rPr>
          <w:rFonts w:hint="eastAsia"/>
          <w:color w:val="auto"/>
          <w:highlight w:val="none"/>
          <w:lang w:val="en-US" w:eastAsia="zh-CN"/>
        </w:rPr>
        <w:t xml:space="preserve"> </w:t>
      </w:r>
      <w:r>
        <w:rPr>
          <w:color w:val="auto"/>
          <w:highlight w:val="none"/>
        </w:rPr>
        <w:t>地下水</w:t>
      </w:r>
      <w:bookmarkEnd w:id="279"/>
    </w:p>
    <w:p w14:paraId="14AF0ADE">
      <w:pPr>
        <w:pStyle w:val="5"/>
        <w:numPr>
          <w:ilvl w:val="3"/>
          <w:numId w:val="0"/>
        </w:numPr>
        <w:bidi w:val="0"/>
        <w:ind w:leftChars="0"/>
        <w:rPr>
          <w:color w:val="auto"/>
          <w:highlight w:val="none"/>
        </w:rPr>
      </w:pPr>
      <w:r>
        <w:rPr>
          <w:color w:val="auto"/>
          <w:highlight w:val="none"/>
        </w:rPr>
        <w:t>2.5.2.1</w:t>
      </w:r>
      <w:r>
        <w:rPr>
          <w:rFonts w:hint="eastAsia"/>
          <w:color w:val="auto"/>
          <w:highlight w:val="none"/>
          <w:lang w:val="en-US" w:eastAsia="zh-CN"/>
        </w:rPr>
        <w:t xml:space="preserve"> </w:t>
      </w:r>
      <w:r>
        <w:rPr>
          <w:color w:val="auto"/>
          <w:highlight w:val="none"/>
        </w:rPr>
        <w:t>评价工作等级</w:t>
      </w:r>
    </w:p>
    <w:p w14:paraId="229E44B2">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根据《环境影响评价技术导则地下水环境》（HJ610-2016）附录A，本项目属于</w:t>
      </w:r>
      <w:r>
        <w:rPr>
          <w:rFonts w:hint="eastAsia" w:cs="Times New Roman"/>
          <w:color w:val="auto"/>
          <w:highlight w:val="none"/>
          <w:lang w:val="en-GB" w:eastAsia="zh-CN"/>
        </w:rPr>
        <w:t>“</w:t>
      </w:r>
      <w:r>
        <w:rPr>
          <w:rFonts w:ascii="Times New Roman" w:hAnsi="Times New Roman" w:eastAsia="宋体" w:cs="Times New Roman"/>
          <w:color w:val="auto"/>
          <w:highlight w:val="none"/>
          <w:lang w:val="en-GB"/>
        </w:rPr>
        <w:t>K机械、电子—73、汽车、摩托车制造</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中的</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有电镀或喷漆工艺的零部件生产</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，环评类别为报告书，地下水环境影响评价项目类别为</w:t>
      </w:r>
      <w:r>
        <w:rPr>
          <w:rFonts w:ascii="Times New Roman" w:hAnsi="Times New Roman" w:eastAsia="宋体" w:cs="Times New Roman"/>
          <w:color w:val="auto"/>
          <w:highlight w:val="none"/>
          <w:lang w:val="en-GB"/>
        </w:rPr>
        <w:t>，</w:t>
      </w:r>
      <w:r>
        <w:rPr>
          <w:rFonts w:hint="eastAsia" w:ascii="Times New Roman" w:hAnsi="Times New Roman" w:eastAsia="宋体" w:cs="Times New Roman"/>
          <w:color w:val="auto"/>
          <w:sz w:val="24"/>
          <w:highlight w:val="none"/>
          <w:lang w:val="en-GB" w:eastAsia="zh-CN"/>
        </w:rPr>
        <w:t>属于</w:t>
      </w:r>
      <w:r>
        <w:rPr>
          <w:rFonts w:hint="default" w:ascii="Times New Roman" w:hAnsi="Times New Roman" w:eastAsia="宋体" w:cs="Times New Roman"/>
          <w:color w:val="auto"/>
          <w:kern w:val="2"/>
          <w:sz w:val="24"/>
          <w:highlight w:val="none"/>
          <w:lang w:eastAsia="zh-CN"/>
        </w:rPr>
        <w:t>Ⅲ</w:t>
      </w:r>
      <w:r>
        <w:rPr>
          <w:rFonts w:hint="eastAsia" w:ascii="Times New Roman" w:hAnsi="Times New Roman" w:eastAsia="宋体" w:cs="Times New Roman"/>
          <w:color w:val="auto"/>
          <w:kern w:val="2"/>
          <w:sz w:val="24"/>
          <w:highlight w:val="none"/>
          <w:lang w:eastAsia="zh-CN"/>
        </w:rPr>
        <w:t>类</w:t>
      </w:r>
      <w:r>
        <w:rPr>
          <w:rFonts w:ascii="Times New Roman" w:hAnsi="Times New Roman" w:eastAsia="宋体" w:cs="Times New Roman"/>
          <w:color w:val="auto"/>
          <w:kern w:val="2"/>
          <w:sz w:val="24"/>
          <w:highlight w:val="none"/>
        </w:rPr>
        <w:t>项目。</w:t>
      </w:r>
    </w:p>
    <w:p w14:paraId="48616B1E">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本项目位于</w:t>
      </w:r>
      <w:r>
        <w:rPr>
          <w:rFonts w:hint="eastAsia" w:ascii="Times New Roman" w:hAnsi="Times New Roman" w:eastAsia="宋体" w:cs="Times New Roman"/>
          <w:color w:val="auto"/>
          <w:highlight w:val="none"/>
          <w:lang w:eastAsia="zh-CN" w:bidi="he-IL"/>
        </w:rPr>
        <w:t>福建省福州市闽侯县青口镇（青口汽车城内）</w:t>
      </w:r>
      <w:r>
        <w:rPr>
          <w:rFonts w:ascii="Times New Roman" w:hAnsi="Times New Roman" w:eastAsia="宋体" w:cs="Times New Roman"/>
          <w:color w:val="auto"/>
          <w:highlight w:val="none"/>
          <w:lang w:val="en-GB"/>
        </w:rPr>
        <w:t>，项目厂区及周边无集中式饮用水水源准保护区，也不处于集中式饮用水水源准保护区的补给径流区范围内</w:t>
      </w:r>
      <w:r>
        <w:rPr>
          <w:rFonts w:hint="eastAsia" w:cs="Times New Roman"/>
          <w:color w:val="auto"/>
          <w:highlight w:val="none"/>
          <w:lang w:val="en-GB" w:eastAsia="zh-CN"/>
        </w:rPr>
        <w:t>，对</w:t>
      </w:r>
      <w:r>
        <w:rPr>
          <w:rFonts w:ascii="Times New Roman" w:hAnsi="Times New Roman" w:eastAsia="宋体" w:cs="Times New Roman"/>
          <w:color w:val="auto"/>
          <w:highlight w:val="none"/>
          <w:lang w:val="en-GB"/>
        </w:rPr>
        <w:t>地下水环境敏感程度为不敏感。</w:t>
      </w:r>
    </w:p>
    <w:p w14:paraId="71AEACBE">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建设项目地下水环境影响评价工作等级划分见表2.5-2。</w:t>
      </w:r>
    </w:p>
    <w:p w14:paraId="64F3B516">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评价工作等级分级表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1844"/>
        <w:gridCol w:w="2702"/>
        <w:gridCol w:w="2313"/>
      </w:tblGrid>
      <w:tr w14:paraId="4A55A2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tcBorders>
              <w:tl2br w:val="nil"/>
              <w:tr2bl w:val="nil"/>
            </w:tcBorders>
            <w:noWrap w:val="0"/>
            <w:vAlign w:val="center"/>
          </w:tcPr>
          <w:p w14:paraId="576764A8">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项目类别</w:t>
            </w:r>
          </w:p>
          <w:p w14:paraId="0EE1F06F">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环境敏感程度</w:t>
            </w:r>
          </w:p>
        </w:tc>
        <w:tc>
          <w:tcPr>
            <w:tcW w:w="1081" w:type="pct"/>
            <w:tcBorders>
              <w:tl2br w:val="nil"/>
              <w:tr2bl w:val="nil"/>
            </w:tcBorders>
            <w:noWrap w:val="0"/>
            <w:vAlign w:val="center"/>
          </w:tcPr>
          <w:p w14:paraId="6F2E8F4C">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Ⅰ类项目</w:t>
            </w:r>
          </w:p>
        </w:tc>
        <w:tc>
          <w:tcPr>
            <w:tcW w:w="1584" w:type="pct"/>
            <w:tcBorders>
              <w:tl2br w:val="nil"/>
              <w:tr2bl w:val="nil"/>
            </w:tcBorders>
            <w:noWrap w:val="0"/>
            <w:vAlign w:val="center"/>
          </w:tcPr>
          <w:p w14:paraId="219CB99C">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Ⅱ类项目</w:t>
            </w:r>
          </w:p>
        </w:tc>
        <w:tc>
          <w:tcPr>
            <w:tcW w:w="1356" w:type="pct"/>
            <w:tcBorders>
              <w:tl2br w:val="nil"/>
              <w:tr2bl w:val="nil"/>
            </w:tcBorders>
            <w:noWrap w:val="0"/>
            <w:vAlign w:val="center"/>
          </w:tcPr>
          <w:p w14:paraId="7BCC64C3">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Ⅲ类项目</w:t>
            </w:r>
          </w:p>
        </w:tc>
      </w:tr>
      <w:tr w14:paraId="58711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tcBorders>
              <w:tl2br w:val="nil"/>
              <w:tr2bl w:val="nil"/>
            </w:tcBorders>
            <w:noWrap w:val="0"/>
            <w:vAlign w:val="center"/>
          </w:tcPr>
          <w:p w14:paraId="22D81C94">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敏感</w:t>
            </w:r>
          </w:p>
        </w:tc>
        <w:tc>
          <w:tcPr>
            <w:tcW w:w="1081" w:type="pct"/>
            <w:tcBorders>
              <w:tl2br w:val="nil"/>
              <w:tr2bl w:val="nil"/>
            </w:tcBorders>
            <w:noWrap w:val="0"/>
            <w:vAlign w:val="center"/>
          </w:tcPr>
          <w:p w14:paraId="4C01BC71">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p>
        </w:tc>
        <w:tc>
          <w:tcPr>
            <w:tcW w:w="1584" w:type="pct"/>
            <w:tcBorders>
              <w:tl2br w:val="nil"/>
              <w:tr2bl w:val="nil"/>
            </w:tcBorders>
            <w:noWrap w:val="0"/>
            <w:vAlign w:val="center"/>
          </w:tcPr>
          <w:p w14:paraId="710F0232">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p>
        </w:tc>
        <w:tc>
          <w:tcPr>
            <w:tcW w:w="1356" w:type="pct"/>
            <w:tcBorders>
              <w:tl2br w:val="nil"/>
              <w:tr2bl w:val="nil"/>
            </w:tcBorders>
            <w:noWrap w:val="0"/>
            <w:vAlign w:val="center"/>
          </w:tcPr>
          <w:p w14:paraId="6D97147F">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w:t>
            </w:r>
          </w:p>
        </w:tc>
      </w:tr>
      <w:tr w14:paraId="0C0CC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tcBorders>
              <w:tl2br w:val="nil"/>
              <w:tr2bl w:val="nil"/>
            </w:tcBorders>
            <w:noWrap w:val="0"/>
            <w:vAlign w:val="center"/>
          </w:tcPr>
          <w:p w14:paraId="518FC8EE">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较敏感</w:t>
            </w:r>
          </w:p>
        </w:tc>
        <w:tc>
          <w:tcPr>
            <w:tcW w:w="1081" w:type="pct"/>
            <w:tcBorders>
              <w:tl2br w:val="nil"/>
              <w:tr2bl w:val="nil"/>
            </w:tcBorders>
            <w:noWrap w:val="0"/>
            <w:vAlign w:val="center"/>
          </w:tcPr>
          <w:p w14:paraId="526756ED">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p>
        </w:tc>
        <w:tc>
          <w:tcPr>
            <w:tcW w:w="1584" w:type="pct"/>
            <w:tcBorders>
              <w:tl2br w:val="nil"/>
              <w:tr2bl w:val="nil"/>
            </w:tcBorders>
            <w:noWrap w:val="0"/>
            <w:vAlign w:val="center"/>
          </w:tcPr>
          <w:p w14:paraId="12F6ECD6">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w:t>
            </w:r>
          </w:p>
        </w:tc>
        <w:tc>
          <w:tcPr>
            <w:tcW w:w="1356" w:type="pct"/>
            <w:tcBorders>
              <w:tl2br w:val="nil"/>
              <w:tr2bl w:val="nil"/>
            </w:tcBorders>
            <w:noWrap w:val="0"/>
            <w:vAlign w:val="center"/>
          </w:tcPr>
          <w:p w14:paraId="3B557EAD">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w:t>
            </w:r>
          </w:p>
        </w:tc>
      </w:tr>
      <w:tr w14:paraId="1FC8C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tcBorders>
              <w:tl2br w:val="nil"/>
              <w:tr2bl w:val="nil"/>
            </w:tcBorders>
            <w:shd w:val="clear" w:color="auto" w:fill="auto"/>
            <w:noWrap w:val="0"/>
            <w:vAlign w:val="center"/>
          </w:tcPr>
          <w:p w14:paraId="0A056346">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不敏感</w:t>
            </w:r>
          </w:p>
        </w:tc>
        <w:tc>
          <w:tcPr>
            <w:tcW w:w="1081" w:type="pct"/>
            <w:tcBorders>
              <w:tl2br w:val="nil"/>
              <w:tr2bl w:val="nil"/>
            </w:tcBorders>
            <w:shd w:val="clear" w:color="auto" w:fill="auto"/>
            <w:noWrap w:val="0"/>
            <w:vAlign w:val="center"/>
          </w:tcPr>
          <w:p w14:paraId="42D1370E">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w:t>
            </w:r>
          </w:p>
        </w:tc>
        <w:tc>
          <w:tcPr>
            <w:tcW w:w="1584" w:type="pct"/>
            <w:tcBorders>
              <w:tl2br w:val="nil"/>
              <w:tr2bl w:val="nil"/>
            </w:tcBorders>
            <w:shd w:val="clear" w:color="auto" w:fill="auto"/>
            <w:noWrap w:val="0"/>
            <w:vAlign w:val="center"/>
          </w:tcPr>
          <w:p w14:paraId="3286E38A">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w:t>
            </w:r>
          </w:p>
        </w:tc>
        <w:tc>
          <w:tcPr>
            <w:tcW w:w="1356" w:type="pct"/>
            <w:tcBorders>
              <w:tl2br w:val="nil"/>
              <w:tr2bl w:val="nil"/>
            </w:tcBorders>
            <w:shd w:val="clear" w:color="auto" w:fill="A6A6A6"/>
            <w:noWrap w:val="0"/>
            <w:vAlign w:val="center"/>
          </w:tcPr>
          <w:p w14:paraId="1FB5DB32">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w:t>
            </w:r>
          </w:p>
        </w:tc>
      </w:tr>
    </w:tbl>
    <w:p w14:paraId="08559FDC">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由上表确定，本项目地下水环境影响评价等级确定为三级。</w:t>
      </w:r>
    </w:p>
    <w:p w14:paraId="4755DF1F">
      <w:pPr>
        <w:pStyle w:val="5"/>
        <w:numPr>
          <w:ilvl w:val="3"/>
          <w:numId w:val="0"/>
        </w:numPr>
        <w:bidi w:val="0"/>
        <w:ind w:leftChars="0"/>
        <w:rPr>
          <w:color w:val="auto"/>
          <w:highlight w:val="none"/>
        </w:rPr>
      </w:pPr>
      <w:r>
        <w:rPr>
          <w:color w:val="auto"/>
          <w:highlight w:val="none"/>
        </w:rPr>
        <w:t>2.5.2.2</w:t>
      </w:r>
      <w:r>
        <w:rPr>
          <w:rFonts w:hint="eastAsia"/>
          <w:color w:val="auto"/>
          <w:highlight w:val="none"/>
          <w:lang w:val="en-US" w:eastAsia="zh-CN"/>
        </w:rPr>
        <w:t xml:space="preserve"> </w:t>
      </w:r>
      <w:r>
        <w:rPr>
          <w:color w:val="auto"/>
          <w:highlight w:val="none"/>
        </w:rPr>
        <w:t>评价范围</w:t>
      </w:r>
    </w:p>
    <w:p w14:paraId="48F116C7">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本项目所在的水文地质单元，约6km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w:t>
      </w:r>
    </w:p>
    <w:p w14:paraId="2F924C59">
      <w:pPr>
        <w:pStyle w:val="4"/>
        <w:numPr>
          <w:ilvl w:val="2"/>
          <w:numId w:val="0"/>
        </w:numPr>
        <w:tabs>
          <w:tab w:val="clear" w:pos="720"/>
        </w:tabs>
        <w:bidi w:val="0"/>
        <w:rPr>
          <w:color w:val="auto"/>
          <w:highlight w:val="none"/>
        </w:rPr>
      </w:pPr>
      <w:bookmarkStart w:id="280" w:name="_Toc611"/>
      <w:r>
        <w:rPr>
          <w:color w:val="auto"/>
          <w:highlight w:val="none"/>
        </w:rPr>
        <w:t>2.5.3</w:t>
      </w:r>
      <w:r>
        <w:rPr>
          <w:rFonts w:hint="eastAsia"/>
          <w:color w:val="auto"/>
          <w:highlight w:val="none"/>
          <w:lang w:val="en-US" w:eastAsia="zh-CN"/>
        </w:rPr>
        <w:t xml:space="preserve"> </w:t>
      </w:r>
      <w:r>
        <w:rPr>
          <w:color w:val="auto"/>
          <w:highlight w:val="none"/>
        </w:rPr>
        <w:t>大气环境</w:t>
      </w:r>
      <w:bookmarkEnd w:id="280"/>
    </w:p>
    <w:p w14:paraId="16F03F8F">
      <w:pPr>
        <w:pStyle w:val="5"/>
        <w:numPr>
          <w:ilvl w:val="3"/>
          <w:numId w:val="0"/>
        </w:numPr>
        <w:bidi w:val="0"/>
        <w:ind w:leftChars="0"/>
        <w:rPr>
          <w:color w:val="auto"/>
          <w:highlight w:val="none"/>
        </w:rPr>
      </w:pPr>
      <w:r>
        <w:rPr>
          <w:color w:val="auto"/>
          <w:highlight w:val="none"/>
        </w:rPr>
        <w:t>2.5.3.1</w:t>
      </w:r>
      <w:r>
        <w:rPr>
          <w:rFonts w:hint="eastAsia"/>
          <w:color w:val="auto"/>
          <w:highlight w:val="none"/>
          <w:lang w:val="en-US" w:eastAsia="zh-CN"/>
        </w:rPr>
        <w:t xml:space="preserve"> </w:t>
      </w:r>
      <w:r>
        <w:rPr>
          <w:color w:val="auto"/>
          <w:highlight w:val="none"/>
        </w:rPr>
        <w:t>评价工作等级</w:t>
      </w:r>
    </w:p>
    <w:p w14:paraId="01DC5CF5">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本项目运营期产生的大气污染物主要为</w:t>
      </w:r>
      <w:r>
        <w:rPr>
          <w:rFonts w:hint="eastAsia" w:ascii="Times New Roman" w:hAnsi="Times New Roman" w:eastAsia="宋体" w:cs="Times New Roman"/>
          <w:color w:val="auto"/>
          <w:highlight w:val="none"/>
        </w:rPr>
        <w:t>NMHC（含乙酸丁酯）</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二氧化硫、氮氧化物、TSP、二甲苯</w:t>
      </w:r>
      <w:r>
        <w:rPr>
          <w:rFonts w:ascii="Times New Roman" w:hAnsi="Times New Roman" w:eastAsia="宋体" w:cs="Times New Roman"/>
          <w:color w:val="auto"/>
          <w:highlight w:val="none"/>
        </w:rPr>
        <w:t>，本评价采用《环境影响评价技术导则 大气环境》（HJ2.2-2018）推荐的AERSCREEN模式对大气环境评价工作进行分级。《环境影响评价技术导则—大气环境》对拟建项目存在多个排气筒时评价等级的规定如下：</w:t>
      </w:r>
      <w:r>
        <w:rPr>
          <w:rFonts w:hint="eastAsia" w:cs="Times New Roman"/>
          <w:color w:val="auto"/>
          <w:highlight w:val="none"/>
          <w:lang w:eastAsia="zh-CN"/>
        </w:rPr>
        <w:t>“</w:t>
      </w:r>
      <w:r>
        <w:rPr>
          <w:rFonts w:ascii="Times New Roman" w:hAnsi="Times New Roman" w:eastAsia="宋体" w:cs="Times New Roman"/>
          <w:color w:val="auto"/>
          <w:highlight w:val="none"/>
        </w:rPr>
        <w:t>同一项目有多个（两个以上，含两个）污染源排放同一种污染物时，则按各污染源分别确定其评价等级，并取评价级别最高者作为项目的评价等级</w:t>
      </w:r>
      <w:r>
        <w:rPr>
          <w:rFonts w:hint="eastAsia" w:cs="Times New Roman"/>
          <w:color w:val="auto"/>
          <w:highlight w:val="none"/>
          <w:lang w:eastAsia="zh-CN"/>
        </w:rPr>
        <w:t>”</w:t>
      </w:r>
      <w:r>
        <w:rPr>
          <w:rFonts w:ascii="Times New Roman" w:hAnsi="Times New Roman" w:eastAsia="宋体" w:cs="Times New Roman"/>
          <w:color w:val="auto"/>
          <w:highlight w:val="none"/>
        </w:rPr>
        <w:t>。</w:t>
      </w:r>
    </w:p>
    <w:p w14:paraId="1A2499E3">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根据《环境影响评价技术导则 大气环境》</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推荐估算模式AERSCREEN预测污染物的最大影响程度和最远影响范围，其最大地面浓度占标率</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Pi值</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按下式计算：</w:t>
      </w:r>
    </w:p>
    <w:p w14:paraId="7BCD529F">
      <w:pPr>
        <w:pStyle w:val="1336"/>
        <w:ind w:firstLine="48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P</w:t>
      </w:r>
      <w:r>
        <w:rPr>
          <w:rFonts w:ascii="Times New Roman" w:hAnsi="Times New Roman" w:eastAsia="宋体" w:cs="Times New Roman"/>
          <w:color w:val="auto"/>
          <w:highlight w:val="none"/>
          <w:vertAlign w:val="subscript"/>
        </w:rPr>
        <w:t>i</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C</w:t>
      </w:r>
      <w:r>
        <w:rPr>
          <w:rFonts w:ascii="Times New Roman" w:hAnsi="Times New Roman" w:eastAsia="宋体" w:cs="Times New Roman"/>
          <w:color w:val="auto"/>
          <w:sz w:val="16"/>
          <w:szCs w:val="16"/>
          <w:highlight w:val="none"/>
          <w:vertAlign w:val="subscript"/>
        </w:rPr>
        <w:t>i</w:t>
      </w:r>
      <w:r>
        <w:rPr>
          <w:rFonts w:ascii="Times New Roman" w:hAnsi="Times New Roman" w:eastAsia="宋体" w:cs="Times New Roman"/>
          <w:color w:val="auto"/>
          <w:highlight w:val="none"/>
        </w:rPr>
        <w:t>/C</w:t>
      </w:r>
      <w:r>
        <w:rPr>
          <w:rFonts w:ascii="Times New Roman" w:hAnsi="Times New Roman" w:eastAsia="宋体" w:cs="Times New Roman"/>
          <w:color w:val="auto"/>
          <w:sz w:val="16"/>
          <w:szCs w:val="16"/>
          <w:highlight w:val="none"/>
          <w:vertAlign w:val="subscript"/>
        </w:rPr>
        <w:t>0i</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×100%</w:t>
      </w:r>
    </w:p>
    <w:p w14:paraId="0F774C22">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式中：P</w:t>
      </w:r>
      <w:r>
        <w:rPr>
          <w:rFonts w:ascii="Times New Roman" w:hAnsi="Times New Roman" w:eastAsia="宋体" w:cs="Times New Roman"/>
          <w:color w:val="auto"/>
          <w:highlight w:val="none"/>
          <w:vertAlign w:val="subscript"/>
        </w:rPr>
        <w:t>i</w:t>
      </w:r>
      <w:r>
        <w:rPr>
          <w:rFonts w:ascii="Times New Roman" w:hAnsi="Times New Roman" w:eastAsia="宋体" w:cs="Times New Roman"/>
          <w:color w:val="auto"/>
          <w:highlight w:val="none"/>
        </w:rPr>
        <w:t>－第i个污染物的最大地面空气质量浓度占标率，%；</w:t>
      </w:r>
    </w:p>
    <w:p w14:paraId="607208AE">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C</w:t>
      </w:r>
      <w:r>
        <w:rPr>
          <w:rFonts w:ascii="Times New Roman" w:hAnsi="Times New Roman" w:eastAsia="宋体" w:cs="Times New Roman"/>
          <w:color w:val="auto"/>
          <w:sz w:val="28"/>
          <w:highlight w:val="none"/>
          <w:vertAlign w:val="subscript"/>
        </w:rPr>
        <w:t>i</w:t>
      </w:r>
      <w:r>
        <w:rPr>
          <w:rFonts w:ascii="Times New Roman" w:hAnsi="Times New Roman" w:eastAsia="宋体" w:cs="Times New Roman"/>
          <w:color w:val="auto"/>
          <w:highlight w:val="none"/>
        </w:rPr>
        <w:t>－采用估算模型计算出的第i个污染物的最大1h地面空气质量浓度，μg/m</w:t>
      </w:r>
      <w:r>
        <w:rPr>
          <w:rFonts w:ascii="Times New Roman" w:hAnsi="Times New Roman" w:eastAsia="宋体" w:cs="Times New Roman"/>
          <w:color w:val="auto"/>
          <w:szCs w:val="16"/>
          <w:highlight w:val="none"/>
          <w:vertAlign w:val="superscript"/>
        </w:rPr>
        <w:t>3</w:t>
      </w:r>
      <w:r>
        <w:rPr>
          <w:rFonts w:ascii="Times New Roman" w:hAnsi="Times New Roman" w:eastAsia="宋体" w:cs="Times New Roman"/>
          <w:color w:val="auto"/>
          <w:highlight w:val="none"/>
        </w:rPr>
        <w:t>；</w:t>
      </w:r>
    </w:p>
    <w:p w14:paraId="0E442E7D">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C</w:t>
      </w:r>
      <w:r>
        <w:rPr>
          <w:rFonts w:ascii="Times New Roman" w:hAnsi="Times New Roman" w:eastAsia="宋体" w:cs="Times New Roman"/>
          <w:color w:val="auto"/>
          <w:highlight w:val="none"/>
          <w:vertAlign w:val="subscript"/>
        </w:rPr>
        <w:t>0i</w:t>
      </w:r>
      <w:r>
        <w:rPr>
          <w:rFonts w:ascii="Times New Roman" w:hAnsi="Times New Roman" w:eastAsia="宋体" w:cs="Times New Roman"/>
          <w:color w:val="auto"/>
          <w:highlight w:val="none"/>
        </w:rPr>
        <w:t>－第i个污染物的环境</w:t>
      </w:r>
      <w:r>
        <w:rPr>
          <w:rFonts w:hint="eastAsia" w:ascii="Times New Roman" w:hAnsi="Times New Roman" w:eastAsia="宋体" w:cs="Times New Roman"/>
          <w:color w:val="auto"/>
          <w:highlight w:val="none"/>
          <w:lang w:eastAsia="zh-CN"/>
        </w:rPr>
        <w:t>空气</w:t>
      </w:r>
      <w:r>
        <w:rPr>
          <w:rFonts w:ascii="Times New Roman" w:hAnsi="Times New Roman" w:eastAsia="宋体" w:cs="Times New Roman"/>
          <w:color w:val="auto"/>
          <w:highlight w:val="none"/>
        </w:rPr>
        <w:t>质量浓度标准，μg/m</w:t>
      </w:r>
      <w:r>
        <w:rPr>
          <w:rFonts w:ascii="Times New Roman" w:hAnsi="Times New Roman" w:eastAsia="宋体" w:cs="Times New Roman"/>
          <w:color w:val="auto"/>
          <w:szCs w:val="16"/>
          <w:highlight w:val="none"/>
          <w:vertAlign w:val="superscript"/>
        </w:rPr>
        <w:t>3</w:t>
      </w:r>
      <w:r>
        <w:rPr>
          <w:rFonts w:ascii="Times New Roman" w:hAnsi="Times New Roman" w:eastAsia="宋体" w:cs="Times New Roman"/>
          <w:color w:val="auto"/>
          <w:highlight w:val="none"/>
        </w:rPr>
        <w:t>。</w:t>
      </w:r>
    </w:p>
    <w:p w14:paraId="1058939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表2.5-3</w:t>
      </w:r>
      <w:r>
        <w:rPr>
          <w:rFonts w:hint="default" w:ascii="Times New Roman" w:hAnsi="Times New Roman" w:cs="Times New Roman"/>
          <w:color w:val="auto"/>
          <w:highlight w:val="none"/>
          <w:lang w:val="en-US"/>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估算模型参数表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3706"/>
        <w:gridCol w:w="2790"/>
      </w:tblGrid>
      <w:tr w14:paraId="37A1C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5E85F617">
            <w:pPr>
              <w:pStyle w:val="1358"/>
              <w:rPr>
                <w:rFonts w:ascii="Times New Roman" w:hAnsi="Times New Roman" w:eastAsia="宋体" w:cs="Times New Roman"/>
                <w:color w:val="auto"/>
                <w:highlight w:val="none"/>
              </w:rPr>
            </w:pPr>
            <w:bookmarkStart w:id="281" w:name="_Ref533522770"/>
            <w:bookmarkStart w:id="282" w:name="_Ref491437996"/>
            <w:bookmarkStart w:id="283" w:name="_Ref489626541"/>
            <w:bookmarkStart w:id="284" w:name="_Ref502651945"/>
            <w:bookmarkStart w:id="285" w:name="_Ref489626536"/>
            <w:r>
              <w:rPr>
                <w:rFonts w:ascii="Times New Roman" w:hAnsi="Times New Roman" w:eastAsia="宋体" w:cs="Times New Roman"/>
                <w:color w:val="auto"/>
                <w:highlight w:val="none"/>
              </w:rPr>
              <w:t>参数</w:t>
            </w:r>
          </w:p>
        </w:tc>
        <w:tc>
          <w:tcPr>
            <w:tcW w:w="1667" w:type="pct"/>
            <w:tcBorders>
              <w:tl2br w:val="nil"/>
              <w:tr2bl w:val="nil"/>
            </w:tcBorders>
            <w:noWrap w:val="0"/>
            <w:tcMar>
              <w:left w:w="28" w:type="dxa"/>
              <w:right w:w="28" w:type="dxa"/>
            </w:tcMar>
            <w:vAlign w:val="center"/>
          </w:tcPr>
          <w:p w14:paraId="11E9627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取值</w:t>
            </w:r>
          </w:p>
        </w:tc>
      </w:tr>
      <w:tr w14:paraId="4CF93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44E6FD7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城市/农村选项</w:t>
            </w:r>
          </w:p>
        </w:tc>
        <w:tc>
          <w:tcPr>
            <w:tcW w:w="2214" w:type="pct"/>
            <w:tcBorders>
              <w:tl2br w:val="nil"/>
              <w:tr2bl w:val="nil"/>
            </w:tcBorders>
            <w:noWrap w:val="0"/>
            <w:tcMar>
              <w:left w:w="28" w:type="dxa"/>
              <w:right w:w="28" w:type="dxa"/>
            </w:tcMar>
            <w:vAlign w:val="center"/>
          </w:tcPr>
          <w:p w14:paraId="1EE82D8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城市/农村</w:t>
            </w:r>
          </w:p>
        </w:tc>
        <w:tc>
          <w:tcPr>
            <w:tcW w:w="1667" w:type="pct"/>
            <w:tcBorders>
              <w:tl2br w:val="nil"/>
              <w:tr2bl w:val="nil"/>
            </w:tcBorders>
            <w:noWrap w:val="0"/>
            <w:tcMar>
              <w:left w:w="28" w:type="dxa"/>
              <w:right w:w="28" w:type="dxa"/>
            </w:tcMar>
            <w:vAlign w:val="center"/>
          </w:tcPr>
          <w:p w14:paraId="7218D4A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城市</w:t>
            </w:r>
          </w:p>
        </w:tc>
      </w:tr>
      <w:tr w14:paraId="7B881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63B65906">
            <w:pPr>
              <w:pStyle w:val="1358"/>
              <w:rPr>
                <w:rFonts w:ascii="Times New Roman" w:hAnsi="Times New Roman" w:eastAsia="宋体" w:cs="Times New Roman"/>
                <w:color w:val="auto"/>
                <w:highlight w:val="none"/>
              </w:rPr>
            </w:pPr>
          </w:p>
        </w:tc>
        <w:tc>
          <w:tcPr>
            <w:tcW w:w="2214" w:type="pct"/>
            <w:tcBorders>
              <w:tl2br w:val="nil"/>
              <w:tr2bl w:val="nil"/>
            </w:tcBorders>
            <w:noWrap w:val="0"/>
            <w:tcMar>
              <w:left w:w="28" w:type="dxa"/>
              <w:right w:w="28" w:type="dxa"/>
            </w:tcMar>
            <w:vAlign w:val="center"/>
          </w:tcPr>
          <w:p w14:paraId="21B6AE8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人口数（城市选项时）</w:t>
            </w:r>
          </w:p>
        </w:tc>
        <w:tc>
          <w:tcPr>
            <w:tcW w:w="1667" w:type="pct"/>
            <w:tcBorders>
              <w:tl2br w:val="nil"/>
              <w:tr2bl w:val="nil"/>
            </w:tcBorders>
            <w:noWrap w:val="0"/>
            <w:tcMar>
              <w:left w:w="28" w:type="dxa"/>
              <w:right w:w="28" w:type="dxa"/>
            </w:tcMar>
            <w:vAlign w:val="center"/>
          </w:tcPr>
          <w:p w14:paraId="146A8687">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102.4</w:t>
            </w:r>
            <w:r>
              <w:rPr>
                <w:rFonts w:ascii="Times New Roman" w:hAnsi="Times New Roman" w:eastAsia="宋体" w:cs="Times New Roman"/>
                <w:color w:val="auto"/>
                <w:highlight w:val="none"/>
              </w:rPr>
              <w:t>万</w:t>
            </w:r>
          </w:p>
        </w:tc>
      </w:tr>
      <w:tr w14:paraId="3F43D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1A9EB86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最高环境温度/℃</w:t>
            </w:r>
          </w:p>
        </w:tc>
        <w:tc>
          <w:tcPr>
            <w:tcW w:w="2790" w:type="dxa"/>
            <w:tcBorders>
              <w:tl2br w:val="nil"/>
              <w:tr2bl w:val="nil"/>
            </w:tcBorders>
            <w:noWrap w:val="0"/>
            <w:tcMar>
              <w:left w:w="28" w:type="dxa"/>
              <w:right w:w="28" w:type="dxa"/>
            </w:tcMar>
            <w:vAlign w:val="center"/>
          </w:tcPr>
          <w:p w14:paraId="36824B6E">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39.4</w:t>
            </w:r>
          </w:p>
        </w:tc>
      </w:tr>
      <w:tr w14:paraId="3BDBD3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30EF4C9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最低环境温度/℃</w:t>
            </w:r>
          </w:p>
        </w:tc>
        <w:tc>
          <w:tcPr>
            <w:tcW w:w="2790" w:type="dxa"/>
            <w:tcBorders>
              <w:tl2br w:val="nil"/>
              <w:tr2bl w:val="nil"/>
            </w:tcBorders>
            <w:noWrap w:val="0"/>
            <w:tcMar>
              <w:left w:w="28" w:type="dxa"/>
              <w:right w:w="28" w:type="dxa"/>
            </w:tcMar>
            <w:vAlign w:val="center"/>
          </w:tcPr>
          <w:p w14:paraId="45D6046A">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w:t>
            </w:r>
          </w:p>
        </w:tc>
      </w:tr>
      <w:tr w14:paraId="55C53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3CF0661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土地利用类型</w:t>
            </w:r>
          </w:p>
        </w:tc>
        <w:tc>
          <w:tcPr>
            <w:tcW w:w="1667" w:type="pct"/>
            <w:tcBorders>
              <w:tl2br w:val="nil"/>
              <w:tr2bl w:val="nil"/>
            </w:tcBorders>
            <w:noWrap w:val="0"/>
            <w:tcMar>
              <w:left w:w="28" w:type="dxa"/>
              <w:right w:w="28" w:type="dxa"/>
            </w:tcMar>
            <w:vAlign w:val="center"/>
          </w:tcPr>
          <w:p w14:paraId="033A7AE5">
            <w:pPr>
              <w:pStyle w:val="1358"/>
              <w:rPr>
                <w:rFonts w:ascii="Times New Roman" w:hAnsi="Times New Roman" w:eastAsia="宋体" w:cs="Times New Roman"/>
                <w:color w:val="auto"/>
                <w:highlight w:val="none"/>
              </w:rPr>
            </w:pPr>
            <w:r>
              <w:rPr>
                <w:rFonts w:ascii="Times New Roman" w:hAnsi="Times New Roman" w:eastAsia="宋体" w:cs="Times New Roman"/>
                <w:bCs/>
                <w:color w:val="auto"/>
                <w:highlight w:val="none"/>
              </w:rPr>
              <w:t>城市</w:t>
            </w:r>
          </w:p>
        </w:tc>
      </w:tr>
      <w:tr w14:paraId="5EC1C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2EDAA5E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区域湿度条件</w:t>
            </w:r>
          </w:p>
        </w:tc>
        <w:tc>
          <w:tcPr>
            <w:tcW w:w="1667" w:type="pct"/>
            <w:tcBorders>
              <w:tl2br w:val="nil"/>
              <w:tr2bl w:val="nil"/>
            </w:tcBorders>
            <w:noWrap w:val="0"/>
            <w:tcMar>
              <w:left w:w="28" w:type="dxa"/>
              <w:right w:w="28" w:type="dxa"/>
            </w:tcMar>
            <w:vAlign w:val="center"/>
          </w:tcPr>
          <w:p w14:paraId="0B33D9CF">
            <w:pPr>
              <w:pStyle w:val="1358"/>
              <w:rPr>
                <w:rFonts w:ascii="Times New Roman" w:hAnsi="Times New Roman" w:eastAsia="宋体" w:cs="Times New Roman"/>
                <w:color w:val="auto"/>
                <w:highlight w:val="none"/>
              </w:rPr>
            </w:pPr>
            <w:r>
              <w:rPr>
                <w:rFonts w:ascii="Times New Roman" w:hAnsi="Times New Roman" w:eastAsia="宋体" w:cs="Times New Roman"/>
                <w:bCs/>
                <w:color w:val="auto"/>
                <w:highlight w:val="none"/>
              </w:rPr>
              <w:t>潮湿气候</w:t>
            </w:r>
          </w:p>
        </w:tc>
      </w:tr>
      <w:tr w14:paraId="471BA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5B67CF4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是否考虑地形</w:t>
            </w:r>
          </w:p>
        </w:tc>
        <w:tc>
          <w:tcPr>
            <w:tcW w:w="2214" w:type="pct"/>
            <w:tcBorders>
              <w:tl2br w:val="nil"/>
              <w:tr2bl w:val="nil"/>
            </w:tcBorders>
            <w:noWrap w:val="0"/>
            <w:tcMar>
              <w:left w:w="28" w:type="dxa"/>
              <w:right w:w="28" w:type="dxa"/>
            </w:tcMar>
            <w:vAlign w:val="center"/>
          </w:tcPr>
          <w:p w14:paraId="1113C6B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考虑地形</w:t>
            </w:r>
          </w:p>
        </w:tc>
        <w:tc>
          <w:tcPr>
            <w:tcW w:w="1667" w:type="pct"/>
            <w:tcBorders>
              <w:tl2br w:val="nil"/>
              <w:tr2bl w:val="nil"/>
            </w:tcBorders>
            <w:noWrap w:val="0"/>
            <w:tcMar>
              <w:left w:w="28" w:type="dxa"/>
              <w:right w:w="28" w:type="dxa"/>
            </w:tcMar>
            <w:vAlign w:val="center"/>
          </w:tcPr>
          <w:p w14:paraId="038E17F0">
            <w:pPr>
              <w:pStyle w:val="1358"/>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否</w:t>
            </w:r>
          </w:p>
        </w:tc>
      </w:tr>
      <w:tr w14:paraId="7DF13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6A4C7D65">
            <w:pPr>
              <w:pStyle w:val="1358"/>
              <w:rPr>
                <w:rFonts w:ascii="Times New Roman" w:hAnsi="Times New Roman" w:eastAsia="宋体" w:cs="Times New Roman"/>
                <w:color w:val="auto"/>
                <w:highlight w:val="none"/>
              </w:rPr>
            </w:pPr>
          </w:p>
        </w:tc>
        <w:tc>
          <w:tcPr>
            <w:tcW w:w="2214" w:type="pct"/>
            <w:tcBorders>
              <w:tl2br w:val="nil"/>
              <w:tr2bl w:val="nil"/>
            </w:tcBorders>
            <w:noWrap w:val="0"/>
            <w:tcMar>
              <w:left w:w="28" w:type="dxa"/>
              <w:right w:w="28" w:type="dxa"/>
            </w:tcMar>
            <w:vAlign w:val="center"/>
          </w:tcPr>
          <w:p w14:paraId="0C7EBDB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地形数据分辨率/m</w:t>
            </w:r>
          </w:p>
        </w:tc>
        <w:tc>
          <w:tcPr>
            <w:tcW w:w="1667" w:type="pct"/>
            <w:tcBorders>
              <w:tl2br w:val="nil"/>
              <w:tr2bl w:val="nil"/>
            </w:tcBorders>
            <w:noWrap w:val="0"/>
            <w:tcMar>
              <w:left w:w="28" w:type="dxa"/>
              <w:right w:w="28" w:type="dxa"/>
            </w:tcMar>
            <w:vAlign w:val="center"/>
          </w:tcPr>
          <w:p w14:paraId="7290FD72">
            <w:pPr>
              <w:pStyle w:val="1358"/>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w:t>
            </w:r>
          </w:p>
        </w:tc>
      </w:tr>
      <w:tr w14:paraId="60C9C2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649DB27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是否考虑岸线熏烟</w:t>
            </w:r>
          </w:p>
        </w:tc>
        <w:tc>
          <w:tcPr>
            <w:tcW w:w="2214" w:type="pct"/>
            <w:tcBorders>
              <w:tl2br w:val="nil"/>
              <w:tr2bl w:val="nil"/>
            </w:tcBorders>
            <w:noWrap w:val="0"/>
            <w:tcMar>
              <w:left w:w="28" w:type="dxa"/>
              <w:right w:w="28" w:type="dxa"/>
            </w:tcMar>
            <w:vAlign w:val="center"/>
          </w:tcPr>
          <w:p w14:paraId="43227A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考虑岸线熏烟</w:t>
            </w:r>
          </w:p>
        </w:tc>
        <w:tc>
          <w:tcPr>
            <w:tcW w:w="1667" w:type="pct"/>
            <w:tcBorders>
              <w:tl2br w:val="nil"/>
              <w:tr2bl w:val="nil"/>
            </w:tcBorders>
            <w:noWrap w:val="0"/>
            <w:tcMar>
              <w:left w:w="28" w:type="dxa"/>
              <w:right w:w="28" w:type="dxa"/>
            </w:tcMar>
            <w:vAlign w:val="center"/>
          </w:tcPr>
          <w:p w14:paraId="2056FAC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否</w:t>
            </w:r>
          </w:p>
        </w:tc>
      </w:tr>
      <w:tr w14:paraId="11DC4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55FFFBA1">
            <w:pPr>
              <w:pStyle w:val="1358"/>
              <w:rPr>
                <w:rFonts w:ascii="Times New Roman" w:hAnsi="Times New Roman" w:eastAsia="宋体" w:cs="Times New Roman"/>
                <w:color w:val="auto"/>
                <w:highlight w:val="none"/>
              </w:rPr>
            </w:pPr>
          </w:p>
        </w:tc>
        <w:tc>
          <w:tcPr>
            <w:tcW w:w="2214" w:type="pct"/>
            <w:tcBorders>
              <w:tl2br w:val="nil"/>
              <w:tr2bl w:val="nil"/>
            </w:tcBorders>
            <w:noWrap w:val="0"/>
            <w:tcMar>
              <w:left w:w="28" w:type="dxa"/>
              <w:right w:w="28" w:type="dxa"/>
            </w:tcMar>
            <w:vAlign w:val="center"/>
          </w:tcPr>
          <w:p w14:paraId="0D8E59B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岸线距离/km</w:t>
            </w:r>
          </w:p>
        </w:tc>
        <w:tc>
          <w:tcPr>
            <w:tcW w:w="1667" w:type="pct"/>
            <w:tcBorders>
              <w:tl2br w:val="nil"/>
              <w:tr2bl w:val="nil"/>
            </w:tcBorders>
            <w:noWrap w:val="0"/>
            <w:tcMar>
              <w:left w:w="28" w:type="dxa"/>
              <w:right w:w="28" w:type="dxa"/>
            </w:tcMar>
            <w:vAlign w:val="center"/>
          </w:tcPr>
          <w:p w14:paraId="7E2567B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r w14:paraId="370700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51CF9007">
            <w:pPr>
              <w:pStyle w:val="1358"/>
              <w:rPr>
                <w:rFonts w:ascii="Times New Roman" w:hAnsi="Times New Roman" w:eastAsia="宋体" w:cs="Times New Roman"/>
                <w:color w:val="auto"/>
                <w:highlight w:val="none"/>
              </w:rPr>
            </w:pPr>
          </w:p>
        </w:tc>
        <w:tc>
          <w:tcPr>
            <w:tcW w:w="2214" w:type="pct"/>
            <w:tcBorders>
              <w:tl2br w:val="nil"/>
              <w:tr2bl w:val="nil"/>
            </w:tcBorders>
            <w:noWrap w:val="0"/>
            <w:tcMar>
              <w:left w:w="28" w:type="dxa"/>
              <w:right w:w="28" w:type="dxa"/>
            </w:tcMar>
            <w:vAlign w:val="center"/>
          </w:tcPr>
          <w:p w14:paraId="5C6DD2F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岸线方向/°</w:t>
            </w:r>
          </w:p>
        </w:tc>
        <w:tc>
          <w:tcPr>
            <w:tcW w:w="1667" w:type="pct"/>
            <w:tcBorders>
              <w:tl2br w:val="nil"/>
              <w:tr2bl w:val="nil"/>
            </w:tcBorders>
            <w:noWrap w:val="0"/>
            <w:tcMar>
              <w:left w:w="28" w:type="dxa"/>
              <w:right w:w="28" w:type="dxa"/>
            </w:tcMar>
            <w:vAlign w:val="center"/>
          </w:tcPr>
          <w:p w14:paraId="61B16B2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bl>
    <w:p w14:paraId="7D509523">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w:t>
      </w:r>
      <w:r>
        <w:rPr>
          <w:rFonts w:hint="default" w:ascii="Times New Roman" w:hAnsi="Times New Roman" w:cs="Times New Roman"/>
          <w:color w:val="auto"/>
          <w:highlight w:val="none"/>
          <w:lang w:val="en-US" w:eastAsia="zh-CN"/>
        </w:rPr>
        <w:t xml:space="preserve">4 </w:t>
      </w:r>
      <w:r>
        <w:rPr>
          <w:rFonts w:hint="default" w:ascii="Times New Roman" w:hAnsi="Times New Roman" w:cs="Times New Roman"/>
          <w:color w:val="auto"/>
          <w:highlight w:val="none"/>
        </w:rPr>
        <w:t xml:space="preserve"> 主要污染源估算模型计算结果一览表</w:t>
      </w:r>
      <w:bookmarkEnd w:id="281"/>
      <w:bookmarkEnd w:id="282"/>
      <w:bookmarkEnd w:id="283"/>
      <w:bookmarkEnd w:id="284"/>
    </w:p>
    <w:tbl>
      <w:tblPr>
        <w:tblStyle w:val="80"/>
        <w:tblW w:w="4997"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89"/>
        <w:gridCol w:w="1549"/>
        <w:gridCol w:w="1315"/>
        <w:gridCol w:w="1418"/>
        <w:gridCol w:w="1380"/>
        <w:gridCol w:w="1673"/>
      </w:tblGrid>
      <w:tr w14:paraId="7EF3430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tcBorders>
              <w:tl2br w:val="nil"/>
              <w:tr2bl w:val="nil"/>
            </w:tcBorders>
            <w:noWrap w:val="0"/>
            <w:vAlign w:val="center"/>
          </w:tcPr>
          <w:p w14:paraId="104FF785">
            <w:pPr>
              <w:pStyle w:val="1358"/>
              <w:rPr>
                <w:color w:val="auto"/>
                <w:highlight w:val="none"/>
              </w:rPr>
            </w:pPr>
            <w:r>
              <w:rPr>
                <w:color w:val="auto"/>
                <w:highlight w:val="none"/>
              </w:rPr>
              <w:t>污染源名称</w:t>
            </w:r>
          </w:p>
        </w:tc>
        <w:tc>
          <w:tcPr>
            <w:tcW w:w="908" w:type="pct"/>
            <w:tcBorders>
              <w:tl2br w:val="nil"/>
              <w:tr2bl w:val="nil"/>
            </w:tcBorders>
            <w:noWrap w:val="0"/>
            <w:vAlign w:val="center"/>
          </w:tcPr>
          <w:p w14:paraId="77EE09E7">
            <w:pPr>
              <w:pStyle w:val="1358"/>
              <w:rPr>
                <w:color w:val="auto"/>
                <w:highlight w:val="none"/>
              </w:rPr>
            </w:pPr>
            <w:r>
              <w:rPr>
                <w:color w:val="auto"/>
                <w:highlight w:val="none"/>
              </w:rPr>
              <w:t>评价因子</w:t>
            </w:r>
          </w:p>
        </w:tc>
        <w:tc>
          <w:tcPr>
            <w:tcW w:w="771" w:type="pct"/>
            <w:tcBorders>
              <w:tl2br w:val="nil"/>
              <w:tr2bl w:val="nil"/>
            </w:tcBorders>
            <w:noWrap w:val="0"/>
            <w:vAlign w:val="center"/>
          </w:tcPr>
          <w:p w14:paraId="61C3B461">
            <w:pPr>
              <w:pStyle w:val="1358"/>
              <w:rPr>
                <w:rFonts w:hint="eastAsia" w:eastAsia="宋体"/>
                <w:color w:val="auto"/>
                <w:highlight w:val="none"/>
                <w:lang w:eastAsia="zh-CN"/>
              </w:rPr>
            </w:pPr>
            <w:r>
              <w:rPr>
                <w:color w:val="auto"/>
                <w:highlight w:val="none"/>
              </w:rPr>
              <w:t>评价标准</w:t>
            </w:r>
            <w:r>
              <w:rPr>
                <w:rFonts w:hint="eastAsia"/>
                <w:color w:val="auto"/>
                <w:highlight w:val="none"/>
                <w:lang w:eastAsia="zh-CN"/>
              </w:rPr>
              <w:t>（</w:t>
            </w:r>
            <w:r>
              <w:rPr>
                <w:color w:val="auto"/>
                <w:highlight w:val="none"/>
              </w:rPr>
              <w:t>μg/m³</w:t>
            </w:r>
            <w:r>
              <w:rPr>
                <w:rFonts w:hint="eastAsia"/>
                <w:color w:val="auto"/>
                <w:highlight w:val="none"/>
                <w:lang w:eastAsia="zh-CN"/>
              </w:rPr>
              <w:t>）</w:t>
            </w:r>
          </w:p>
        </w:tc>
        <w:tc>
          <w:tcPr>
            <w:tcW w:w="831" w:type="pct"/>
            <w:tcBorders>
              <w:tl2br w:val="nil"/>
              <w:tr2bl w:val="nil"/>
            </w:tcBorders>
            <w:noWrap w:val="0"/>
            <w:vAlign w:val="center"/>
          </w:tcPr>
          <w:p w14:paraId="6D2C59D6">
            <w:pPr>
              <w:pStyle w:val="1358"/>
              <w:rPr>
                <w:rFonts w:hint="eastAsia" w:eastAsia="宋体"/>
                <w:color w:val="auto"/>
                <w:highlight w:val="none"/>
                <w:lang w:eastAsia="zh-CN"/>
              </w:rPr>
            </w:pPr>
            <w:r>
              <w:rPr>
                <w:color w:val="auto"/>
                <w:highlight w:val="none"/>
              </w:rPr>
              <w:t>Cmax</w:t>
            </w:r>
            <w:r>
              <w:rPr>
                <w:rFonts w:hint="eastAsia"/>
                <w:color w:val="auto"/>
                <w:highlight w:val="none"/>
                <w:lang w:eastAsia="zh-CN"/>
              </w:rPr>
              <w:t>(</w:t>
            </w:r>
            <w:r>
              <w:rPr>
                <w:color w:val="auto"/>
                <w:highlight w:val="none"/>
              </w:rPr>
              <w:t>μg/m³</w:t>
            </w:r>
            <w:r>
              <w:rPr>
                <w:rFonts w:hint="eastAsia"/>
                <w:color w:val="auto"/>
                <w:highlight w:val="none"/>
                <w:lang w:eastAsia="zh-CN"/>
              </w:rPr>
              <w:t>)</w:t>
            </w:r>
          </w:p>
        </w:tc>
        <w:tc>
          <w:tcPr>
            <w:tcW w:w="809" w:type="pct"/>
            <w:tcBorders>
              <w:tl2br w:val="nil"/>
              <w:tr2bl w:val="nil"/>
            </w:tcBorders>
            <w:noWrap w:val="0"/>
            <w:vAlign w:val="center"/>
          </w:tcPr>
          <w:p w14:paraId="498FFFD4">
            <w:pPr>
              <w:pStyle w:val="1358"/>
              <w:rPr>
                <w:rFonts w:hint="eastAsia" w:eastAsia="宋体"/>
                <w:color w:val="auto"/>
                <w:highlight w:val="none"/>
                <w:lang w:eastAsia="zh-CN"/>
              </w:rPr>
            </w:pPr>
            <w:r>
              <w:rPr>
                <w:color w:val="auto"/>
                <w:highlight w:val="none"/>
              </w:rPr>
              <w:t>Pmax</w:t>
            </w:r>
            <w:r>
              <w:rPr>
                <w:rFonts w:hint="eastAsia"/>
                <w:color w:val="auto"/>
                <w:highlight w:val="none"/>
                <w:lang w:eastAsia="zh-CN"/>
              </w:rPr>
              <w:t>(</w:t>
            </w:r>
            <w:r>
              <w:rPr>
                <w:color w:val="auto"/>
                <w:highlight w:val="none"/>
              </w:rPr>
              <w:t>%</w:t>
            </w:r>
            <w:r>
              <w:rPr>
                <w:rFonts w:hint="eastAsia"/>
                <w:color w:val="auto"/>
                <w:highlight w:val="none"/>
                <w:lang w:eastAsia="zh-CN"/>
              </w:rPr>
              <w:t>)</w:t>
            </w:r>
          </w:p>
        </w:tc>
        <w:tc>
          <w:tcPr>
            <w:tcW w:w="981" w:type="pct"/>
            <w:tcBorders>
              <w:tl2br w:val="nil"/>
              <w:tr2bl w:val="nil"/>
            </w:tcBorders>
            <w:noWrap w:val="0"/>
            <w:vAlign w:val="center"/>
          </w:tcPr>
          <w:p w14:paraId="1BE3691E">
            <w:pPr>
              <w:pStyle w:val="1358"/>
              <w:rPr>
                <w:rFonts w:hint="eastAsia" w:eastAsia="宋体"/>
                <w:color w:val="auto"/>
                <w:highlight w:val="none"/>
                <w:lang w:eastAsia="zh-CN"/>
              </w:rPr>
            </w:pPr>
            <w:r>
              <w:rPr>
                <w:color w:val="auto"/>
                <w:highlight w:val="none"/>
              </w:rPr>
              <w:t>D10%</w:t>
            </w:r>
            <w:r>
              <w:rPr>
                <w:rFonts w:hint="eastAsia"/>
                <w:color w:val="auto"/>
                <w:highlight w:val="none"/>
                <w:lang w:eastAsia="zh-CN"/>
              </w:rPr>
              <w:t>(</w:t>
            </w:r>
            <w:r>
              <w:rPr>
                <w:color w:val="auto"/>
                <w:highlight w:val="none"/>
              </w:rPr>
              <w:t>m</w:t>
            </w:r>
            <w:r>
              <w:rPr>
                <w:rFonts w:hint="eastAsia"/>
                <w:color w:val="auto"/>
                <w:highlight w:val="none"/>
                <w:lang w:eastAsia="zh-CN"/>
              </w:rPr>
              <w:t>)</w:t>
            </w:r>
          </w:p>
        </w:tc>
      </w:tr>
      <w:tr w14:paraId="1A486E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78D88F0B">
            <w:pPr>
              <w:pStyle w:val="1358"/>
              <w:ind w:firstLine="0" w:firstLineChars="0"/>
              <w:rPr>
                <w:rFonts w:hint="default" w:eastAsia="宋体"/>
                <w:color w:val="auto"/>
                <w:highlight w:val="none"/>
                <w:lang w:val="en-US" w:eastAsia="zh-CN"/>
              </w:rPr>
            </w:pPr>
            <w:r>
              <w:rPr>
                <w:rFonts w:hint="eastAsia" w:ascii="Times New Roman" w:hAnsi="Times New Roman" w:eastAsia="宋体" w:cs="Times New Roman"/>
                <w:color w:val="auto"/>
                <w:highlight w:val="none"/>
                <w:lang w:val="en-US" w:eastAsia="zh-CN"/>
              </w:rPr>
              <w:t>DA001</w:t>
            </w:r>
          </w:p>
        </w:tc>
        <w:tc>
          <w:tcPr>
            <w:tcW w:w="1549" w:type="dxa"/>
            <w:tcBorders>
              <w:tl2br w:val="nil"/>
              <w:tr2bl w:val="nil"/>
            </w:tcBorders>
            <w:shd w:val="clear" w:color="auto" w:fill="auto"/>
            <w:noWrap w:val="0"/>
            <w:vAlign w:val="center"/>
          </w:tcPr>
          <w:p w14:paraId="3B62AED2">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1315" w:type="dxa"/>
            <w:tcBorders>
              <w:tl2br w:val="nil"/>
              <w:tr2bl w:val="nil"/>
            </w:tcBorders>
            <w:noWrap w:val="0"/>
            <w:vAlign w:val="center"/>
          </w:tcPr>
          <w:p w14:paraId="65968242">
            <w:pPr>
              <w:pStyle w:val="1358"/>
              <w:ind w:firstLine="0" w:firstLineChars="0"/>
              <w:rPr>
                <w:rFonts w:hint="default" w:eastAsia="宋体"/>
                <w:color w:val="auto"/>
                <w:highlight w:val="none"/>
                <w:lang w:val="en-US" w:eastAsia="zh-CN"/>
              </w:rPr>
            </w:pPr>
            <w:r>
              <w:rPr>
                <w:rFonts w:hint="eastAsia"/>
                <w:color w:val="auto"/>
                <w:highlight w:val="none"/>
                <w:lang w:val="en-US" w:eastAsia="zh-CN"/>
              </w:rPr>
              <w:t>200</w:t>
            </w:r>
          </w:p>
        </w:tc>
        <w:tc>
          <w:tcPr>
            <w:tcW w:w="1418" w:type="dxa"/>
            <w:tcBorders>
              <w:tl2br w:val="nil"/>
              <w:tr2bl w:val="nil"/>
            </w:tcBorders>
            <w:noWrap w:val="0"/>
            <w:vAlign w:val="center"/>
          </w:tcPr>
          <w:p w14:paraId="7E88FFCA">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0.00061</w:t>
            </w:r>
            <w:r>
              <w:rPr>
                <w:rFonts w:hint="eastAsia"/>
                <w:color w:val="auto"/>
                <w:highlight w:val="none"/>
                <w:lang w:val="en-US" w:eastAsia="zh-CN"/>
              </w:rPr>
              <w:t>9</w:t>
            </w:r>
          </w:p>
        </w:tc>
        <w:tc>
          <w:tcPr>
            <w:tcW w:w="1380" w:type="dxa"/>
            <w:tcBorders>
              <w:tl2br w:val="nil"/>
              <w:tr2bl w:val="nil"/>
            </w:tcBorders>
            <w:noWrap w:val="0"/>
            <w:vAlign w:val="center"/>
          </w:tcPr>
          <w:p w14:paraId="2A2D3FC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0.31</w:t>
            </w:r>
          </w:p>
        </w:tc>
        <w:tc>
          <w:tcPr>
            <w:tcW w:w="981" w:type="pct"/>
            <w:tcBorders>
              <w:tl2br w:val="nil"/>
              <w:tr2bl w:val="nil"/>
            </w:tcBorders>
            <w:noWrap w:val="0"/>
            <w:vAlign w:val="center"/>
          </w:tcPr>
          <w:p w14:paraId="145950B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5C55078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46B40617">
            <w:pPr>
              <w:pStyle w:val="1358"/>
              <w:rPr>
                <w:color w:val="auto"/>
                <w:highlight w:val="none"/>
              </w:rPr>
            </w:pPr>
          </w:p>
        </w:tc>
        <w:tc>
          <w:tcPr>
            <w:tcW w:w="1549" w:type="dxa"/>
            <w:tcBorders>
              <w:tl2br w:val="nil"/>
              <w:tr2bl w:val="nil"/>
            </w:tcBorders>
            <w:shd w:val="clear" w:color="auto" w:fill="auto"/>
            <w:noWrap w:val="0"/>
            <w:vAlign w:val="center"/>
          </w:tcPr>
          <w:p w14:paraId="4C6B302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315" w:type="dxa"/>
            <w:tcBorders>
              <w:tl2br w:val="nil"/>
              <w:tr2bl w:val="nil"/>
            </w:tcBorders>
            <w:noWrap w:val="0"/>
            <w:vAlign w:val="center"/>
          </w:tcPr>
          <w:p w14:paraId="31175385">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2000</w:t>
            </w:r>
          </w:p>
        </w:tc>
        <w:tc>
          <w:tcPr>
            <w:tcW w:w="1418" w:type="dxa"/>
            <w:tcBorders>
              <w:tl2br w:val="nil"/>
              <w:tr2bl w:val="nil"/>
            </w:tcBorders>
            <w:noWrap w:val="0"/>
            <w:vAlign w:val="center"/>
          </w:tcPr>
          <w:p w14:paraId="20761CBB">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0.00123</w:t>
            </w:r>
            <w:r>
              <w:rPr>
                <w:rFonts w:hint="eastAsia"/>
                <w:color w:val="auto"/>
                <w:highlight w:val="none"/>
                <w:lang w:val="en-US" w:eastAsia="zh-CN"/>
              </w:rPr>
              <w:t>8</w:t>
            </w:r>
          </w:p>
        </w:tc>
        <w:tc>
          <w:tcPr>
            <w:tcW w:w="1380" w:type="dxa"/>
            <w:tcBorders>
              <w:tl2br w:val="nil"/>
              <w:tr2bl w:val="nil"/>
            </w:tcBorders>
            <w:noWrap w:val="0"/>
            <w:vAlign w:val="center"/>
          </w:tcPr>
          <w:p w14:paraId="651E79D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0.06</w:t>
            </w:r>
          </w:p>
        </w:tc>
        <w:tc>
          <w:tcPr>
            <w:tcW w:w="981" w:type="pct"/>
            <w:tcBorders>
              <w:tl2br w:val="nil"/>
              <w:tr2bl w:val="nil"/>
            </w:tcBorders>
            <w:noWrap w:val="0"/>
            <w:vAlign w:val="center"/>
          </w:tcPr>
          <w:p w14:paraId="585FCBF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2BA330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5435C433">
            <w:pPr>
              <w:pStyle w:val="1358"/>
              <w:ind w:firstLine="0" w:firstLineChars="0"/>
              <w:rPr>
                <w:rFonts w:hint="default" w:eastAsia="宋体"/>
                <w:color w:val="auto"/>
                <w:highlight w:val="none"/>
                <w:lang w:val="en-US" w:eastAsia="zh-CN"/>
              </w:rPr>
            </w:pPr>
            <w:r>
              <w:rPr>
                <w:rFonts w:hint="eastAsia" w:ascii="Times New Roman" w:hAnsi="Times New Roman" w:eastAsia="宋体" w:cs="Times New Roman"/>
                <w:color w:val="auto"/>
                <w:highlight w:val="none"/>
                <w:lang w:val="en-US" w:eastAsia="zh-CN"/>
              </w:rPr>
              <w:t>DA002</w:t>
            </w:r>
          </w:p>
        </w:tc>
        <w:tc>
          <w:tcPr>
            <w:tcW w:w="1549" w:type="dxa"/>
            <w:tcBorders>
              <w:tl2br w:val="nil"/>
              <w:tr2bl w:val="nil"/>
            </w:tcBorders>
            <w:shd w:val="clear" w:color="auto" w:fill="auto"/>
            <w:noWrap w:val="0"/>
            <w:vAlign w:val="center"/>
          </w:tcPr>
          <w:p w14:paraId="0638297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1315" w:type="dxa"/>
            <w:tcBorders>
              <w:tl2br w:val="nil"/>
              <w:tr2bl w:val="nil"/>
            </w:tcBorders>
            <w:shd w:val="clear" w:color="auto" w:fill="auto"/>
            <w:noWrap w:val="0"/>
            <w:vAlign w:val="center"/>
          </w:tcPr>
          <w:p w14:paraId="543E8FE7">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200</w:t>
            </w:r>
          </w:p>
        </w:tc>
        <w:tc>
          <w:tcPr>
            <w:tcW w:w="1418" w:type="dxa"/>
            <w:tcBorders>
              <w:tl2br w:val="nil"/>
              <w:tr2bl w:val="nil"/>
            </w:tcBorders>
            <w:noWrap w:val="0"/>
            <w:vAlign w:val="center"/>
          </w:tcPr>
          <w:p w14:paraId="43F2E7D1">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0.0003</w:t>
            </w:r>
          </w:p>
        </w:tc>
        <w:tc>
          <w:tcPr>
            <w:tcW w:w="1380" w:type="dxa"/>
            <w:tcBorders>
              <w:tl2br w:val="nil"/>
              <w:tr2bl w:val="nil"/>
            </w:tcBorders>
            <w:noWrap w:val="0"/>
            <w:vAlign w:val="center"/>
          </w:tcPr>
          <w:p w14:paraId="21F7F384">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0.15</w:t>
            </w:r>
          </w:p>
        </w:tc>
        <w:tc>
          <w:tcPr>
            <w:tcW w:w="981" w:type="pct"/>
            <w:tcBorders>
              <w:tl2br w:val="nil"/>
              <w:tr2bl w:val="nil"/>
            </w:tcBorders>
            <w:noWrap w:val="0"/>
            <w:vAlign w:val="center"/>
          </w:tcPr>
          <w:p w14:paraId="2556884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5E56D1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30BD233E">
            <w:pPr>
              <w:pStyle w:val="1358"/>
              <w:rPr>
                <w:color w:val="auto"/>
                <w:highlight w:val="none"/>
              </w:rPr>
            </w:pPr>
          </w:p>
        </w:tc>
        <w:tc>
          <w:tcPr>
            <w:tcW w:w="1549" w:type="dxa"/>
            <w:tcBorders>
              <w:tl2br w:val="nil"/>
              <w:tr2bl w:val="nil"/>
            </w:tcBorders>
            <w:shd w:val="clear" w:color="auto" w:fill="auto"/>
            <w:noWrap w:val="0"/>
            <w:vAlign w:val="center"/>
          </w:tcPr>
          <w:p w14:paraId="234DE4E8">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NMHC（含乙酸丁酯）</w:t>
            </w:r>
          </w:p>
        </w:tc>
        <w:tc>
          <w:tcPr>
            <w:tcW w:w="1315" w:type="dxa"/>
            <w:tcBorders>
              <w:tl2br w:val="nil"/>
              <w:tr2bl w:val="nil"/>
            </w:tcBorders>
            <w:shd w:val="clear" w:color="auto" w:fill="auto"/>
            <w:noWrap w:val="0"/>
            <w:vAlign w:val="center"/>
          </w:tcPr>
          <w:p w14:paraId="7F99667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2000</w:t>
            </w:r>
          </w:p>
        </w:tc>
        <w:tc>
          <w:tcPr>
            <w:tcW w:w="1418" w:type="dxa"/>
            <w:tcBorders>
              <w:tl2br w:val="nil"/>
              <w:tr2bl w:val="nil"/>
            </w:tcBorders>
            <w:noWrap w:val="0"/>
            <w:vAlign w:val="center"/>
          </w:tcPr>
          <w:p w14:paraId="457B5C85">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0.000732</w:t>
            </w:r>
          </w:p>
        </w:tc>
        <w:tc>
          <w:tcPr>
            <w:tcW w:w="1380" w:type="dxa"/>
            <w:tcBorders>
              <w:tl2br w:val="nil"/>
              <w:tr2bl w:val="nil"/>
            </w:tcBorders>
            <w:noWrap w:val="0"/>
            <w:vAlign w:val="center"/>
          </w:tcPr>
          <w:p w14:paraId="12E5312F">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0.04</w:t>
            </w:r>
          </w:p>
        </w:tc>
        <w:tc>
          <w:tcPr>
            <w:tcW w:w="981" w:type="pct"/>
            <w:tcBorders>
              <w:tl2br w:val="nil"/>
              <w:tr2bl w:val="nil"/>
            </w:tcBorders>
            <w:noWrap w:val="0"/>
            <w:vAlign w:val="center"/>
          </w:tcPr>
          <w:p w14:paraId="2C05B83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37DF1C8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1E0E2D3E">
            <w:pPr>
              <w:pStyle w:val="1358"/>
              <w:rPr>
                <w:color w:val="auto"/>
                <w:highlight w:val="none"/>
              </w:rPr>
            </w:pPr>
          </w:p>
        </w:tc>
        <w:tc>
          <w:tcPr>
            <w:tcW w:w="1549" w:type="dxa"/>
            <w:tcBorders>
              <w:tl2br w:val="nil"/>
              <w:tr2bl w:val="nil"/>
            </w:tcBorders>
            <w:shd w:val="clear" w:color="auto" w:fill="auto"/>
            <w:noWrap w:val="0"/>
            <w:vAlign w:val="center"/>
          </w:tcPr>
          <w:p w14:paraId="2DF16F2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二氧化硫</w:t>
            </w:r>
          </w:p>
        </w:tc>
        <w:tc>
          <w:tcPr>
            <w:tcW w:w="1315" w:type="dxa"/>
            <w:tcBorders>
              <w:tl2br w:val="nil"/>
              <w:tr2bl w:val="nil"/>
            </w:tcBorders>
            <w:noWrap w:val="0"/>
            <w:vAlign w:val="center"/>
          </w:tcPr>
          <w:p w14:paraId="0CD7A4D4">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500</w:t>
            </w:r>
          </w:p>
        </w:tc>
        <w:tc>
          <w:tcPr>
            <w:tcW w:w="1418" w:type="dxa"/>
            <w:tcBorders>
              <w:tl2br w:val="nil"/>
              <w:tr2bl w:val="nil"/>
            </w:tcBorders>
            <w:noWrap w:val="0"/>
            <w:vAlign w:val="center"/>
          </w:tcPr>
          <w:p w14:paraId="4E62F4A3">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0.000701</w:t>
            </w:r>
          </w:p>
        </w:tc>
        <w:tc>
          <w:tcPr>
            <w:tcW w:w="1380" w:type="dxa"/>
            <w:tcBorders>
              <w:tl2br w:val="nil"/>
              <w:tr2bl w:val="nil"/>
            </w:tcBorders>
            <w:noWrap w:val="0"/>
            <w:vAlign w:val="center"/>
          </w:tcPr>
          <w:p w14:paraId="60FC2C9B">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r>
              <w:rPr>
                <w:rFonts w:hint="eastAsia" w:cs="Times New Roman"/>
                <w:color w:val="000000" w:themeColor="text1"/>
                <w:highlight w:val="none"/>
                <w:lang w:val="en-US" w:eastAsia="zh-CN"/>
                <w14:textFill>
                  <w14:solidFill>
                    <w14:schemeClr w14:val="tx1"/>
                  </w14:solidFill>
                </w14:textFill>
              </w:rPr>
              <w:t>5</w:t>
            </w:r>
          </w:p>
        </w:tc>
        <w:tc>
          <w:tcPr>
            <w:tcW w:w="981" w:type="pct"/>
            <w:tcBorders>
              <w:tl2br w:val="nil"/>
              <w:tr2bl w:val="nil"/>
            </w:tcBorders>
            <w:noWrap w:val="0"/>
            <w:vAlign w:val="center"/>
          </w:tcPr>
          <w:p w14:paraId="29E76CF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3B62DE3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0205AAA0">
            <w:pPr>
              <w:pStyle w:val="1358"/>
              <w:rPr>
                <w:color w:val="auto"/>
                <w:highlight w:val="none"/>
              </w:rPr>
            </w:pPr>
          </w:p>
        </w:tc>
        <w:tc>
          <w:tcPr>
            <w:tcW w:w="1549" w:type="dxa"/>
            <w:tcBorders>
              <w:tl2br w:val="nil"/>
              <w:tr2bl w:val="nil"/>
            </w:tcBorders>
            <w:shd w:val="clear" w:color="auto" w:fill="auto"/>
            <w:noWrap w:val="0"/>
            <w:vAlign w:val="center"/>
          </w:tcPr>
          <w:p w14:paraId="44AB5F1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315" w:type="dxa"/>
            <w:tcBorders>
              <w:tl2br w:val="nil"/>
              <w:tr2bl w:val="nil"/>
            </w:tcBorders>
            <w:noWrap w:val="0"/>
            <w:vAlign w:val="center"/>
          </w:tcPr>
          <w:p w14:paraId="73204444">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300</w:t>
            </w:r>
          </w:p>
        </w:tc>
        <w:tc>
          <w:tcPr>
            <w:tcW w:w="1418" w:type="dxa"/>
            <w:tcBorders>
              <w:tl2br w:val="nil"/>
              <w:tr2bl w:val="nil"/>
            </w:tcBorders>
            <w:noWrap w:val="0"/>
            <w:vAlign w:val="center"/>
          </w:tcPr>
          <w:p w14:paraId="696F4F23">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0.0014</w:t>
            </w:r>
            <w:r>
              <w:rPr>
                <w:rFonts w:hint="eastAsia"/>
                <w:color w:val="000000" w:themeColor="text1"/>
                <w:highlight w:val="none"/>
                <w:lang w:val="en-US" w:eastAsia="zh-CN"/>
                <w14:textFill>
                  <w14:solidFill>
                    <w14:schemeClr w14:val="tx1"/>
                  </w14:solidFill>
                </w14:textFill>
              </w:rPr>
              <w:t>03</w:t>
            </w:r>
          </w:p>
        </w:tc>
        <w:tc>
          <w:tcPr>
            <w:tcW w:w="1380" w:type="dxa"/>
            <w:tcBorders>
              <w:tl2br w:val="nil"/>
              <w:tr2bl w:val="nil"/>
            </w:tcBorders>
            <w:noWrap w:val="0"/>
            <w:vAlign w:val="center"/>
          </w:tcPr>
          <w:p w14:paraId="68541F76">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981" w:type="pct"/>
            <w:tcBorders>
              <w:tl2br w:val="nil"/>
              <w:tr2bl w:val="nil"/>
            </w:tcBorders>
            <w:noWrap w:val="0"/>
            <w:vAlign w:val="center"/>
          </w:tcPr>
          <w:p w14:paraId="68652A3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47D8BAC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2A2ABF3C">
            <w:pPr>
              <w:pStyle w:val="1358"/>
              <w:rPr>
                <w:color w:val="auto"/>
                <w:highlight w:val="none"/>
              </w:rPr>
            </w:pPr>
          </w:p>
        </w:tc>
        <w:tc>
          <w:tcPr>
            <w:tcW w:w="1549" w:type="dxa"/>
            <w:tcBorders>
              <w:tl2br w:val="nil"/>
              <w:tr2bl w:val="nil"/>
            </w:tcBorders>
            <w:shd w:val="clear" w:color="auto" w:fill="auto"/>
            <w:noWrap w:val="0"/>
            <w:vAlign w:val="center"/>
          </w:tcPr>
          <w:p w14:paraId="0507229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氮氧化物</w:t>
            </w:r>
          </w:p>
        </w:tc>
        <w:tc>
          <w:tcPr>
            <w:tcW w:w="1315" w:type="dxa"/>
            <w:tcBorders>
              <w:tl2br w:val="nil"/>
              <w:tr2bl w:val="nil"/>
            </w:tcBorders>
            <w:noWrap w:val="0"/>
            <w:vAlign w:val="center"/>
          </w:tcPr>
          <w:p w14:paraId="475A8380">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250</w:t>
            </w:r>
          </w:p>
        </w:tc>
        <w:tc>
          <w:tcPr>
            <w:tcW w:w="1418" w:type="dxa"/>
            <w:tcBorders>
              <w:tl2br w:val="nil"/>
              <w:tr2bl w:val="nil"/>
            </w:tcBorders>
            <w:noWrap w:val="0"/>
            <w:vAlign w:val="center"/>
          </w:tcPr>
          <w:p w14:paraId="2020D153">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0.0065</w:t>
            </w:r>
            <w:r>
              <w:rPr>
                <w:rFonts w:hint="eastAsia"/>
                <w:color w:val="000000" w:themeColor="text1"/>
                <w:highlight w:val="none"/>
                <w:lang w:val="en-US" w:eastAsia="zh-CN"/>
                <w14:textFill>
                  <w14:solidFill>
                    <w14:schemeClr w14:val="tx1"/>
                  </w14:solidFill>
                </w14:textFill>
              </w:rPr>
              <w:t>86</w:t>
            </w:r>
          </w:p>
        </w:tc>
        <w:tc>
          <w:tcPr>
            <w:tcW w:w="1380" w:type="dxa"/>
            <w:tcBorders>
              <w:tl2br w:val="nil"/>
              <w:tr2bl w:val="nil"/>
            </w:tcBorders>
            <w:noWrap w:val="0"/>
            <w:vAlign w:val="center"/>
          </w:tcPr>
          <w:p w14:paraId="4EA13165">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3.28</w:t>
            </w:r>
            <w:r>
              <w:rPr>
                <w:rFonts w:hint="eastAsia" w:cs="Times New Roman"/>
                <w:color w:val="000000" w:themeColor="text1"/>
                <w:highlight w:val="none"/>
                <w:lang w:val="en-US" w:eastAsia="zh-CN"/>
                <w14:textFill>
                  <w14:solidFill>
                    <w14:schemeClr w14:val="tx1"/>
                  </w14:solidFill>
                </w14:textFill>
              </w:rPr>
              <w:t>9</w:t>
            </w:r>
          </w:p>
        </w:tc>
        <w:tc>
          <w:tcPr>
            <w:tcW w:w="981" w:type="pct"/>
            <w:tcBorders>
              <w:tl2br w:val="nil"/>
              <w:tr2bl w:val="nil"/>
            </w:tcBorders>
            <w:noWrap w:val="0"/>
            <w:vAlign w:val="center"/>
          </w:tcPr>
          <w:p w14:paraId="5BC8916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379A2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1815E140">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DA003</w:t>
            </w:r>
          </w:p>
        </w:tc>
        <w:tc>
          <w:tcPr>
            <w:tcW w:w="1549" w:type="dxa"/>
            <w:tcBorders>
              <w:tl2br w:val="nil"/>
              <w:tr2bl w:val="nil"/>
            </w:tcBorders>
            <w:shd w:val="clear" w:color="auto" w:fill="auto"/>
            <w:noWrap w:val="0"/>
            <w:vAlign w:val="center"/>
          </w:tcPr>
          <w:p w14:paraId="787960BE">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漆雾（颗粒物）</w:t>
            </w:r>
          </w:p>
        </w:tc>
        <w:tc>
          <w:tcPr>
            <w:tcW w:w="1315" w:type="dxa"/>
            <w:tcBorders>
              <w:tl2br w:val="nil"/>
              <w:tr2bl w:val="nil"/>
            </w:tcBorders>
            <w:noWrap w:val="0"/>
            <w:vAlign w:val="center"/>
          </w:tcPr>
          <w:p w14:paraId="41540038">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300</w:t>
            </w:r>
          </w:p>
        </w:tc>
        <w:tc>
          <w:tcPr>
            <w:tcW w:w="1418" w:type="dxa"/>
            <w:tcBorders>
              <w:tl2br w:val="nil"/>
              <w:tr2bl w:val="nil"/>
            </w:tcBorders>
            <w:noWrap w:val="0"/>
            <w:vAlign w:val="center"/>
          </w:tcPr>
          <w:p w14:paraId="210A88BF">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0.000009</w:t>
            </w:r>
          </w:p>
        </w:tc>
        <w:tc>
          <w:tcPr>
            <w:tcW w:w="1380" w:type="dxa"/>
            <w:tcBorders>
              <w:tl2br w:val="nil"/>
              <w:tr2bl w:val="nil"/>
            </w:tcBorders>
            <w:noWrap w:val="0"/>
            <w:vAlign w:val="center"/>
          </w:tcPr>
          <w:p w14:paraId="6D1BDE6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p>
        </w:tc>
        <w:tc>
          <w:tcPr>
            <w:tcW w:w="981" w:type="pct"/>
            <w:tcBorders>
              <w:tl2br w:val="nil"/>
              <w:tr2bl w:val="nil"/>
            </w:tcBorders>
            <w:noWrap w:val="0"/>
            <w:vAlign w:val="center"/>
          </w:tcPr>
          <w:p w14:paraId="1949720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20441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56E4936B">
            <w:pPr>
              <w:pStyle w:val="1358"/>
              <w:rPr>
                <w:color w:val="auto"/>
                <w:highlight w:val="none"/>
              </w:rPr>
            </w:pPr>
          </w:p>
        </w:tc>
        <w:tc>
          <w:tcPr>
            <w:tcW w:w="1549" w:type="dxa"/>
            <w:tcBorders>
              <w:tl2br w:val="nil"/>
              <w:tr2bl w:val="nil"/>
            </w:tcBorders>
            <w:shd w:val="clear" w:color="auto" w:fill="auto"/>
            <w:noWrap w:val="0"/>
            <w:vAlign w:val="center"/>
          </w:tcPr>
          <w:p w14:paraId="680A314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二甲苯</w:t>
            </w:r>
          </w:p>
        </w:tc>
        <w:tc>
          <w:tcPr>
            <w:tcW w:w="1315" w:type="dxa"/>
            <w:tcBorders>
              <w:tl2br w:val="nil"/>
              <w:tr2bl w:val="nil"/>
            </w:tcBorders>
            <w:noWrap w:val="0"/>
            <w:vAlign w:val="center"/>
          </w:tcPr>
          <w:p w14:paraId="5DF3221D">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200</w:t>
            </w:r>
          </w:p>
        </w:tc>
        <w:tc>
          <w:tcPr>
            <w:tcW w:w="1418" w:type="dxa"/>
            <w:tcBorders>
              <w:tl2br w:val="nil"/>
              <w:tr2bl w:val="nil"/>
            </w:tcBorders>
            <w:noWrap w:val="0"/>
            <w:vAlign w:val="center"/>
          </w:tcPr>
          <w:p w14:paraId="2916A8F2">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0.000214</w:t>
            </w:r>
          </w:p>
        </w:tc>
        <w:tc>
          <w:tcPr>
            <w:tcW w:w="1380" w:type="dxa"/>
            <w:tcBorders>
              <w:tl2br w:val="nil"/>
              <w:tr2bl w:val="nil"/>
            </w:tcBorders>
            <w:noWrap w:val="0"/>
            <w:vAlign w:val="center"/>
          </w:tcPr>
          <w:p w14:paraId="703F149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0.11</w:t>
            </w:r>
          </w:p>
        </w:tc>
        <w:tc>
          <w:tcPr>
            <w:tcW w:w="981" w:type="pct"/>
            <w:tcBorders>
              <w:tl2br w:val="nil"/>
              <w:tr2bl w:val="nil"/>
            </w:tcBorders>
            <w:noWrap w:val="0"/>
            <w:vAlign w:val="center"/>
          </w:tcPr>
          <w:p w14:paraId="2834D40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7F94658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3302051B">
            <w:pPr>
              <w:pStyle w:val="1358"/>
              <w:rPr>
                <w:color w:val="auto"/>
                <w:highlight w:val="none"/>
              </w:rPr>
            </w:pPr>
          </w:p>
        </w:tc>
        <w:tc>
          <w:tcPr>
            <w:tcW w:w="1549" w:type="dxa"/>
            <w:tcBorders>
              <w:tl2br w:val="nil"/>
              <w:tr2bl w:val="nil"/>
            </w:tcBorders>
            <w:shd w:val="clear" w:color="auto" w:fill="auto"/>
            <w:noWrap w:val="0"/>
            <w:vAlign w:val="center"/>
          </w:tcPr>
          <w:p w14:paraId="701D3A7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NMHC（含乙酸丁酯）</w:t>
            </w:r>
          </w:p>
        </w:tc>
        <w:tc>
          <w:tcPr>
            <w:tcW w:w="1315" w:type="dxa"/>
            <w:tcBorders>
              <w:tl2br w:val="nil"/>
              <w:tr2bl w:val="nil"/>
            </w:tcBorders>
            <w:noWrap w:val="0"/>
            <w:vAlign w:val="center"/>
          </w:tcPr>
          <w:p w14:paraId="35C3AB52">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2000</w:t>
            </w:r>
          </w:p>
        </w:tc>
        <w:tc>
          <w:tcPr>
            <w:tcW w:w="1418" w:type="dxa"/>
            <w:tcBorders>
              <w:tl2br w:val="nil"/>
              <w:tr2bl w:val="nil"/>
            </w:tcBorders>
            <w:noWrap w:val="0"/>
            <w:vAlign w:val="center"/>
          </w:tcPr>
          <w:p w14:paraId="439250DB">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0.000416</w:t>
            </w:r>
          </w:p>
        </w:tc>
        <w:tc>
          <w:tcPr>
            <w:tcW w:w="1380" w:type="dxa"/>
            <w:tcBorders>
              <w:tl2br w:val="nil"/>
              <w:tr2bl w:val="nil"/>
            </w:tcBorders>
            <w:noWrap w:val="0"/>
            <w:vAlign w:val="center"/>
          </w:tcPr>
          <w:p w14:paraId="2D96CCE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0.02</w:t>
            </w:r>
          </w:p>
        </w:tc>
        <w:tc>
          <w:tcPr>
            <w:tcW w:w="981" w:type="pct"/>
            <w:tcBorders>
              <w:tl2br w:val="nil"/>
              <w:tr2bl w:val="nil"/>
            </w:tcBorders>
            <w:noWrap w:val="0"/>
            <w:vAlign w:val="center"/>
          </w:tcPr>
          <w:p w14:paraId="027D864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CD45D0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tcBorders>
              <w:tl2br w:val="nil"/>
              <w:tr2bl w:val="nil"/>
            </w:tcBorders>
            <w:noWrap w:val="0"/>
            <w:vAlign w:val="center"/>
          </w:tcPr>
          <w:p w14:paraId="595BCB33">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DA004</w:t>
            </w:r>
          </w:p>
        </w:tc>
        <w:tc>
          <w:tcPr>
            <w:tcW w:w="1549" w:type="dxa"/>
            <w:tcBorders>
              <w:tl2br w:val="nil"/>
              <w:tr2bl w:val="nil"/>
            </w:tcBorders>
            <w:shd w:val="clear" w:color="auto" w:fill="auto"/>
            <w:noWrap w:val="0"/>
            <w:vAlign w:val="center"/>
          </w:tcPr>
          <w:p w14:paraId="6E887ED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NMHC</w:t>
            </w:r>
          </w:p>
        </w:tc>
        <w:tc>
          <w:tcPr>
            <w:tcW w:w="1315" w:type="dxa"/>
            <w:tcBorders>
              <w:tl2br w:val="nil"/>
              <w:tr2bl w:val="nil"/>
            </w:tcBorders>
            <w:noWrap w:val="0"/>
            <w:vAlign w:val="center"/>
          </w:tcPr>
          <w:p w14:paraId="142AD040">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2000</w:t>
            </w:r>
          </w:p>
        </w:tc>
        <w:tc>
          <w:tcPr>
            <w:tcW w:w="1418" w:type="dxa"/>
            <w:tcBorders>
              <w:tl2br w:val="nil"/>
              <w:tr2bl w:val="nil"/>
            </w:tcBorders>
            <w:noWrap w:val="0"/>
            <w:vAlign w:val="center"/>
          </w:tcPr>
          <w:p w14:paraId="21BD1DA1">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0.001262</w:t>
            </w:r>
          </w:p>
        </w:tc>
        <w:tc>
          <w:tcPr>
            <w:tcW w:w="1380" w:type="dxa"/>
            <w:tcBorders>
              <w:tl2br w:val="nil"/>
              <w:tr2bl w:val="nil"/>
            </w:tcBorders>
            <w:noWrap w:val="0"/>
            <w:vAlign w:val="center"/>
          </w:tcPr>
          <w:p w14:paraId="49899C18">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0.06</w:t>
            </w:r>
          </w:p>
        </w:tc>
        <w:tc>
          <w:tcPr>
            <w:tcW w:w="981" w:type="pct"/>
            <w:tcBorders>
              <w:tl2br w:val="nil"/>
              <w:tr2bl w:val="nil"/>
            </w:tcBorders>
            <w:noWrap w:val="0"/>
            <w:vAlign w:val="center"/>
          </w:tcPr>
          <w:p w14:paraId="0E8355B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7D69212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567252E1">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DA005</w:t>
            </w:r>
          </w:p>
        </w:tc>
        <w:tc>
          <w:tcPr>
            <w:tcW w:w="1549" w:type="dxa"/>
            <w:tcBorders>
              <w:tl2br w:val="nil"/>
              <w:tr2bl w:val="nil"/>
            </w:tcBorders>
            <w:shd w:val="clear" w:color="auto" w:fill="auto"/>
            <w:noWrap w:val="0"/>
            <w:vAlign w:val="center"/>
          </w:tcPr>
          <w:p w14:paraId="155853B8">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二氧化硫</w:t>
            </w:r>
          </w:p>
        </w:tc>
        <w:tc>
          <w:tcPr>
            <w:tcW w:w="1315" w:type="dxa"/>
            <w:tcBorders>
              <w:tl2br w:val="nil"/>
              <w:tr2bl w:val="nil"/>
            </w:tcBorders>
            <w:noWrap w:val="0"/>
            <w:vAlign w:val="center"/>
          </w:tcPr>
          <w:p w14:paraId="3012E98F">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500</w:t>
            </w:r>
          </w:p>
        </w:tc>
        <w:tc>
          <w:tcPr>
            <w:tcW w:w="1418" w:type="dxa"/>
            <w:tcBorders>
              <w:tl2br w:val="nil"/>
              <w:tr2bl w:val="nil"/>
            </w:tcBorders>
            <w:noWrap w:val="0"/>
            <w:vAlign w:val="center"/>
          </w:tcPr>
          <w:p w14:paraId="4C723C60">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0.004</w:t>
            </w:r>
            <w:r>
              <w:rPr>
                <w:rFonts w:hint="eastAsia"/>
                <w:color w:val="000000" w:themeColor="text1"/>
                <w:highlight w:val="none"/>
                <w:lang w:val="en-US" w:eastAsia="zh-CN"/>
                <w14:textFill>
                  <w14:solidFill>
                    <w14:schemeClr w14:val="tx1"/>
                  </w14:solidFill>
                </w14:textFill>
              </w:rPr>
              <w:t>62</w:t>
            </w:r>
          </w:p>
        </w:tc>
        <w:tc>
          <w:tcPr>
            <w:tcW w:w="1380" w:type="dxa"/>
            <w:tcBorders>
              <w:tl2br w:val="nil"/>
              <w:tr2bl w:val="nil"/>
            </w:tcBorders>
            <w:noWrap w:val="0"/>
            <w:vAlign w:val="center"/>
          </w:tcPr>
          <w:p w14:paraId="0576F277">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000000" w:themeColor="text1"/>
                <w:highlight w:val="none"/>
                <w:lang w:val="en-US" w:eastAsia="zh-CN"/>
                <w14:textFill>
                  <w14:solidFill>
                    <w14:schemeClr w14:val="tx1"/>
                  </w14:solidFill>
                </w14:textFill>
              </w:rPr>
              <w:t>0.09</w:t>
            </w:r>
          </w:p>
        </w:tc>
        <w:tc>
          <w:tcPr>
            <w:tcW w:w="981" w:type="pct"/>
            <w:tcBorders>
              <w:tl2br w:val="nil"/>
              <w:tr2bl w:val="nil"/>
            </w:tcBorders>
            <w:noWrap w:val="0"/>
            <w:vAlign w:val="center"/>
          </w:tcPr>
          <w:p w14:paraId="38EBB5F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4EFE4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136E4CD6">
            <w:pPr>
              <w:pStyle w:val="1358"/>
              <w:rPr>
                <w:color w:val="auto"/>
                <w:highlight w:val="none"/>
              </w:rPr>
            </w:pPr>
          </w:p>
        </w:tc>
        <w:tc>
          <w:tcPr>
            <w:tcW w:w="1549" w:type="dxa"/>
            <w:tcBorders>
              <w:tl2br w:val="nil"/>
              <w:tr2bl w:val="nil"/>
            </w:tcBorders>
            <w:shd w:val="clear" w:color="auto" w:fill="auto"/>
            <w:noWrap w:val="0"/>
            <w:vAlign w:val="center"/>
          </w:tcPr>
          <w:p w14:paraId="00EDEF0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315" w:type="dxa"/>
            <w:tcBorders>
              <w:tl2br w:val="nil"/>
              <w:tr2bl w:val="nil"/>
            </w:tcBorders>
            <w:noWrap w:val="0"/>
            <w:vAlign w:val="center"/>
          </w:tcPr>
          <w:p w14:paraId="2B6C4E27">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300</w:t>
            </w:r>
          </w:p>
        </w:tc>
        <w:tc>
          <w:tcPr>
            <w:tcW w:w="1418" w:type="dxa"/>
            <w:tcBorders>
              <w:tl2br w:val="nil"/>
              <w:tr2bl w:val="nil"/>
            </w:tcBorders>
            <w:noWrap w:val="0"/>
            <w:vAlign w:val="center"/>
          </w:tcPr>
          <w:p w14:paraId="30F92D31">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00069</w:t>
            </w:r>
          </w:p>
        </w:tc>
        <w:tc>
          <w:tcPr>
            <w:tcW w:w="1380" w:type="dxa"/>
            <w:tcBorders>
              <w:tl2br w:val="nil"/>
              <w:tr2bl w:val="nil"/>
            </w:tcBorders>
            <w:noWrap w:val="0"/>
            <w:vAlign w:val="center"/>
          </w:tcPr>
          <w:p w14:paraId="77044B49">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1</w:t>
            </w:r>
          </w:p>
        </w:tc>
        <w:tc>
          <w:tcPr>
            <w:tcW w:w="981" w:type="pct"/>
            <w:tcBorders>
              <w:tl2br w:val="nil"/>
              <w:tr2bl w:val="nil"/>
            </w:tcBorders>
            <w:noWrap w:val="0"/>
            <w:vAlign w:val="center"/>
          </w:tcPr>
          <w:p w14:paraId="584D01D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23D011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30F40E52">
            <w:pPr>
              <w:pStyle w:val="1358"/>
              <w:rPr>
                <w:color w:val="auto"/>
                <w:highlight w:val="none"/>
              </w:rPr>
            </w:pPr>
          </w:p>
        </w:tc>
        <w:tc>
          <w:tcPr>
            <w:tcW w:w="1549" w:type="dxa"/>
            <w:tcBorders>
              <w:tl2br w:val="nil"/>
              <w:tr2bl w:val="nil"/>
            </w:tcBorders>
            <w:shd w:val="clear" w:color="auto" w:fill="auto"/>
            <w:noWrap w:val="0"/>
            <w:vAlign w:val="center"/>
          </w:tcPr>
          <w:p w14:paraId="0FDF165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氮氧化物</w:t>
            </w:r>
          </w:p>
        </w:tc>
        <w:tc>
          <w:tcPr>
            <w:tcW w:w="1315" w:type="dxa"/>
            <w:tcBorders>
              <w:tl2br w:val="nil"/>
              <w:tr2bl w:val="nil"/>
            </w:tcBorders>
            <w:noWrap w:val="0"/>
            <w:vAlign w:val="center"/>
          </w:tcPr>
          <w:p w14:paraId="3F149917">
            <w:pPr>
              <w:pStyle w:val="1358"/>
              <w:ind w:firstLine="0" w:firstLineChars="0"/>
              <w:rPr>
                <w:rFonts w:hint="default" w:eastAsia="宋体"/>
                <w:color w:val="auto"/>
                <w:highlight w:val="none"/>
                <w:lang w:val="en-US" w:eastAsia="zh-CN"/>
              </w:rPr>
            </w:pPr>
            <w:r>
              <w:rPr>
                <w:rFonts w:hint="eastAsia" w:eastAsia="宋体"/>
                <w:color w:val="000000" w:themeColor="text1"/>
                <w:highlight w:val="none"/>
                <w:lang w:val="en-US" w:eastAsia="zh-CN"/>
                <w14:textFill>
                  <w14:solidFill>
                    <w14:schemeClr w14:val="tx1"/>
                  </w14:solidFill>
                </w14:textFill>
              </w:rPr>
              <w:t>250</w:t>
            </w:r>
          </w:p>
        </w:tc>
        <w:tc>
          <w:tcPr>
            <w:tcW w:w="1418" w:type="dxa"/>
            <w:tcBorders>
              <w:tl2br w:val="nil"/>
              <w:tr2bl w:val="nil"/>
            </w:tcBorders>
            <w:noWrap w:val="0"/>
            <w:vAlign w:val="center"/>
          </w:tcPr>
          <w:p w14:paraId="11568F2D">
            <w:pPr>
              <w:pStyle w:val="1358"/>
              <w:ind w:firstLine="0" w:firstLineChars="0"/>
              <w:rPr>
                <w:rFonts w:hint="default" w:eastAsia="宋体"/>
                <w:color w:val="auto"/>
                <w:highlight w:val="none"/>
                <w:lang w:val="en-US" w:eastAsia="zh-CN"/>
              </w:rPr>
            </w:pPr>
            <w:r>
              <w:rPr>
                <w:rFonts w:hint="default" w:eastAsia="宋体"/>
                <w:color w:val="000000" w:themeColor="text1"/>
                <w:highlight w:val="none"/>
                <w:lang w:val="en-US" w:eastAsia="zh-CN"/>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1613</w:t>
            </w:r>
          </w:p>
        </w:tc>
        <w:tc>
          <w:tcPr>
            <w:tcW w:w="1380" w:type="dxa"/>
            <w:tcBorders>
              <w:tl2br w:val="nil"/>
              <w:tr2bl w:val="nil"/>
            </w:tcBorders>
            <w:noWrap w:val="0"/>
            <w:vAlign w:val="center"/>
          </w:tcPr>
          <w:p w14:paraId="1C6CE670">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000000" w:themeColor="text1"/>
                <w:highlight w:val="none"/>
                <w:lang w:val="en-US" w:eastAsia="zh-CN"/>
                <w14:textFill>
                  <w14:solidFill>
                    <w14:schemeClr w14:val="tx1"/>
                  </w14:solidFill>
                </w14:textFill>
              </w:rPr>
              <w:t>0.81</w:t>
            </w:r>
          </w:p>
        </w:tc>
        <w:tc>
          <w:tcPr>
            <w:tcW w:w="981" w:type="pct"/>
            <w:tcBorders>
              <w:tl2br w:val="nil"/>
              <w:tr2bl w:val="nil"/>
            </w:tcBorders>
            <w:noWrap w:val="0"/>
            <w:vAlign w:val="center"/>
          </w:tcPr>
          <w:p w14:paraId="5A3B42E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D0AAA1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1F15A4BE">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DA006</w:t>
            </w:r>
          </w:p>
        </w:tc>
        <w:tc>
          <w:tcPr>
            <w:tcW w:w="1549" w:type="dxa"/>
            <w:tcBorders>
              <w:tl2br w:val="nil"/>
              <w:tr2bl w:val="nil"/>
            </w:tcBorders>
            <w:shd w:val="clear" w:color="auto" w:fill="auto"/>
            <w:noWrap w:val="0"/>
            <w:vAlign w:val="center"/>
          </w:tcPr>
          <w:p w14:paraId="714E7046">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w:t>
            </w:r>
          </w:p>
        </w:tc>
        <w:tc>
          <w:tcPr>
            <w:tcW w:w="1315" w:type="dxa"/>
            <w:tcBorders>
              <w:tl2br w:val="nil"/>
              <w:tr2bl w:val="nil"/>
            </w:tcBorders>
            <w:noWrap w:val="0"/>
            <w:vAlign w:val="center"/>
          </w:tcPr>
          <w:p w14:paraId="04DAB764">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2000</w:t>
            </w:r>
          </w:p>
        </w:tc>
        <w:tc>
          <w:tcPr>
            <w:tcW w:w="1418" w:type="dxa"/>
            <w:tcBorders>
              <w:tl2br w:val="nil"/>
              <w:tr2bl w:val="nil"/>
            </w:tcBorders>
            <w:noWrap w:val="0"/>
            <w:vAlign w:val="center"/>
          </w:tcPr>
          <w:p w14:paraId="3318783A">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0.006817</w:t>
            </w:r>
          </w:p>
        </w:tc>
        <w:tc>
          <w:tcPr>
            <w:tcW w:w="1380" w:type="dxa"/>
            <w:tcBorders>
              <w:tl2br w:val="nil"/>
              <w:tr2bl w:val="nil"/>
            </w:tcBorders>
            <w:noWrap w:val="0"/>
            <w:vAlign w:val="center"/>
          </w:tcPr>
          <w:p w14:paraId="2B6C4E84">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0.34</w:t>
            </w:r>
          </w:p>
        </w:tc>
        <w:tc>
          <w:tcPr>
            <w:tcW w:w="981" w:type="pct"/>
            <w:tcBorders>
              <w:tl2br w:val="nil"/>
              <w:tr2bl w:val="nil"/>
            </w:tcBorders>
            <w:noWrap w:val="0"/>
            <w:vAlign w:val="center"/>
          </w:tcPr>
          <w:p w14:paraId="4B6AA68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410F3DE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0C3562F6">
            <w:pPr>
              <w:pStyle w:val="1358"/>
              <w:rPr>
                <w:color w:val="auto"/>
                <w:highlight w:val="none"/>
              </w:rPr>
            </w:pPr>
          </w:p>
        </w:tc>
        <w:tc>
          <w:tcPr>
            <w:tcW w:w="1549" w:type="dxa"/>
            <w:tcBorders>
              <w:tl2br w:val="nil"/>
              <w:tr2bl w:val="nil"/>
            </w:tcBorders>
            <w:shd w:val="clear" w:color="auto" w:fill="auto"/>
            <w:noWrap w:val="0"/>
            <w:vAlign w:val="center"/>
          </w:tcPr>
          <w:p w14:paraId="05C7F59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二氧化硫</w:t>
            </w:r>
          </w:p>
        </w:tc>
        <w:tc>
          <w:tcPr>
            <w:tcW w:w="1315" w:type="dxa"/>
            <w:tcBorders>
              <w:tl2br w:val="nil"/>
              <w:tr2bl w:val="nil"/>
            </w:tcBorders>
            <w:noWrap w:val="0"/>
            <w:vAlign w:val="center"/>
          </w:tcPr>
          <w:p w14:paraId="52B52F6F">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500</w:t>
            </w:r>
          </w:p>
        </w:tc>
        <w:tc>
          <w:tcPr>
            <w:tcW w:w="1418" w:type="dxa"/>
            <w:tcBorders>
              <w:tl2br w:val="nil"/>
              <w:tr2bl w:val="nil"/>
            </w:tcBorders>
            <w:noWrap w:val="0"/>
            <w:vAlign w:val="center"/>
          </w:tcPr>
          <w:p w14:paraId="24E8E534">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0.000044</w:t>
            </w:r>
          </w:p>
        </w:tc>
        <w:tc>
          <w:tcPr>
            <w:tcW w:w="1380" w:type="dxa"/>
            <w:tcBorders>
              <w:tl2br w:val="nil"/>
              <w:tr2bl w:val="nil"/>
            </w:tcBorders>
            <w:noWrap w:val="0"/>
            <w:vAlign w:val="center"/>
          </w:tcPr>
          <w:p w14:paraId="048842A8">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0.01</w:t>
            </w:r>
          </w:p>
        </w:tc>
        <w:tc>
          <w:tcPr>
            <w:tcW w:w="981" w:type="pct"/>
            <w:tcBorders>
              <w:tl2br w:val="nil"/>
              <w:tr2bl w:val="nil"/>
            </w:tcBorders>
            <w:noWrap w:val="0"/>
            <w:vAlign w:val="center"/>
          </w:tcPr>
          <w:p w14:paraId="4A89E2D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3EF4B2C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2B6DB75F">
            <w:pPr>
              <w:pStyle w:val="1358"/>
              <w:rPr>
                <w:color w:val="auto"/>
                <w:highlight w:val="none"/>
              </w:rPr>
            </w:pPr>
          </w:p>
        </w:tc>
        <w:tc>
          <w:tcPr>
            <w:tcW w:w="1549" w:type="dxa"/>
            <w:tcBorders>
              <w:tl2br w:val="nil"/>
              <w:tr2bl w:val="nil"/>
            </w:tcBorders>
            <w:shd w:val="clear" w:color="auto" w:fill="auto"/>
            <w:noWrap w:val="0"/>
            <w:vAlign w:val="center"/>
          </w:tcPr>
          <w:p w14:paraId="34C5AFE7">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颗粒物</w:t>
            </w:r>
          </w:p>
        </w:tc>
        <w:tc>
          <w:tcPr>
            <w:tcW w:w="1315" w:type="dxa"/>
            <w:tcBorders>
              <w:tl2br w:val="nil"/>
              <w:tr2bl w:val="nil"/>
            </w:tcBorders>
            <w:noWrap w:val="0"/>
            <w:vAlign w:val="center"/>
          </w:tcPr>
          <w:p w14:paraId="637018B6">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300</w:t>
            </w:r>
          </w:p>
        </w:tc>
        <w:tc>
          <w:tcPr>
            <w:tcW w:w="1418" w:type="dxa"/>
            <w:tcBorders>
              <w:tl2br w:val="nil"/>
              <w:tr2bl w:val="nil"/>
            </w:tcBorders>
            <w:noWrap w:val="0"/>
            <w:vAlign w:val="center"/>
          </w:tcPr>
          <w:p w14:paraId="67ACFD9C">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0.000063</w:t>
            </w:r>
          </w:p>
        </w:tc>
        <w:tc>
          <w:tcPr>
            <w:tcW w:w="1380" w:type="dxa"/>
            <w:tcBorders>
              <w:tl2br w:val="nil"/>
              <w:tr2bl w:val="nil"/>
            </w:tcBorders>
            <w:noWrap w:val="0"/>
            <w:vAlign w:val="center"/>
          </w:tcPr>
          <w:p w14:paraId="4D9B0C2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0.01</w:t>
            </w:r>
          </w:p>
        </w:tc>
        <w:tc>
          <w:tcPr>
            <w:tcW w:w="981" w:type="pct"/>
            <w:tcBorders>
              <w:tl2br w:val="nil"/>
              <w:tr2bl w:val="nil"/>
            </w:tcBorders>
            <w:noWrap w:val="0"/>
            <w:vAlign w:val="center"/>
          </w:tcPr>
          <w:p w14:paraId="63969A2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F13225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17B1E1F9">
            <w:pPr>
              <w:pStyle w:val="1358"/>
              <w:rPr>
                <w:color w:val="auto"/>
                <w:highlight w:val="none"/>
              </w:rPr>
            </w:pPr>
          </w:p>
        </w:tc>
        <w:tc>
          <w:tcPr>
            <w:tcW w:w="1549" w:type="dxa"/>
            <w:tcBorders>
              <w:tl2br w:val="nil"/>
              <w:tr2bl w:val="nil"/>
            </w:tcBorders>
            <w:shd w:val="clear" w:color="auto" w:fill="auto"/>
            <w:noWrap w:val="0"/>
            <w:vAlign w:val="center"/>
          </w:tcPr>
          <w:p w14:paraId="5C2EF9BB">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氮氧化物</w:t>
            </w:r>
          </w:p>
        </w:tc>
        <w:tc>
          <w:tcPr>
            <w:tcW w:w="1315" w:type="dxa"/>
            <w:tcBorders>
              <w:tl2br w:val="nil"/>
              <w:tr2bl w:val="nil"/>
            </w:tcBorders>
            <w:noWrap w:val="0"/>
            <w:vAlign w:val="center"/>
          </w:tcPr>
          <w:p w14:paraId="18D5B192">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250</w:t>
            </w:r>
          </w:p>
        </w:tc>
        <w:tc>
          <w:tcPr>
            <w:tcW w:w="1418" w:type="dxa"/>
            <w:tcBorders>
              <w:tl2br w:val="nil"/>
              <w:tr2bl w:val="nil"/>
            </w:tcBorders>
            <w:noWrap w:val="0"/>
            <w:vAlign w:val="center"/>
          </w:tcPr>
          <w:p w14:paraId="08A4F07A">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0.000411</w:t>
            </w:r>
          </w:p>
        </w:tc>
        <w:tc>
          <w:tcPr>
            <w:tcW w:w="1380" w:type="dxa"/>
            <w:tcBorders>
              <w:tl2br w:val="nil"/>
              <w:tr2bl w:val="nil"/>
            </w:tcBorders>
            <w:noWrap w:val="0"/>
            <w:vAlign w:val="center"/>
          </w:tcPr>
          <w:p w14:paraId="3AF3888D">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0.21</w:t>
            </w:r>
          </w:p>
        </w:tc>
        <w:tc>
          <w:tcPr>
            <w:tcW w:w="981" w:type="pct"/>
            <w:tcBorders>
              <w:tl2br w:val="nil"/>
              <w:tr2bl w:val="nil"/>
            </w:tcBorders>
            <w:noWrap w:val="0"/>
            <w:vAlign w:val="center"/>
          </w:tcPr>
          <w:p w14:paraId="4090999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73EB15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01300A8B">
            <w:pPr>
              <w:pStyle w:val="1358"/>
              <w:ind w:firstLine="0" w:firstLineChars="0"/>
              <w:rPr>
                <w:color w:val="auto"/>
                <w:highlight w:val="none"/>
              </w:rPr>
            </w:pPr>
            <w:r>
              <w:rPr>
                <w:rFonts w:hint="eastAsia" w:cs="Times New Roman"/>
                <w:color w:val="auto"/>
                <w:highlight w:val="none"/>
                <w:lang w:val="en-US" w:eastAsia="zh-CN"/>
              </w:rPr>
              <w:t>A库</w:t>
            </w:r>
            <w:r>
              <w:rPr>
                <w:rFonts w:hint="eastAsia" w:ascii="Times New Roman" w:hAnsi="Times New Roman" w:eastAsia="宋体" w:cs="Times New Roman"/>
                <w:color w:val="auto"/>
                <w:highlight w:val="none"/>
                <w:lang w:val="en-US" w:eastAsia="zh-CN"/>
              </w:rPr>
              <w:t>厂房</w:t>
            </w:r>
          </w:p>
        </w:tc>
        <w:tc>
          <w:tcPr>
            <w:tcW w:w="1549" w:type="dxa"/>
            <w:tcBorders>
              <w:tl2br w:val="nil"/>
              <w:tr2bl w:val="nil"/>
            </w:tcBorders>
            <w:shd w:val="clear" w:color="auto" w:fill="auto"/>
            <w:noWrap w:val="0"/>
            <w:vAlign w:val="center"/>
          </w:tcPr>
          <w:p w14:paraId="50F1064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漆雾（颗粒物）</w:t>
            </w:r>
          </w:p>
        </w:tc>
        <w:tc>
          <w:tcPr>
            <w:tcW w:w="1315" w:type="dxa"/>
            <w:tcBorders>
              <w:tl2br w:val="nil"/>
              <w:tr2bl w:val="nil"/>
            </w:tcBorders>
            <w:noWrap w:val="0"/>
            <w:vAlign w:val="center"/>
          </w:tcPr>
          <w:p w14:paraId="1107AC87">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300</w:t>
            </w:r>
          </w:p>
        </w:tc>
        <w:tc>
          <w:tcPr>
            <w:tcW w:w="1418" w:type="dxa"/>
            <w:tcBorders>
              <w:tl2br w:val="nil"/>
              <w:tr2bl w:val="nil"/>
            </w:tcBorders>
            <w:noWrap w:val="0"/>
            <w:vAlign w:val="center"/>
          </w:tcPr>
          <w:p w14:paraId="399B2BBA">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0.020302</w:t>
            </w:r>
          </w:p>
        </w:tc>
        <w:tc>
          <w:tcPr>
            <w:tcW w:w="1380" w:type="dxa"/>
            <w:tcBorders>
              <w:tl2br w:val="nil"/>
              <w:tr2bl w:val="nil"/>
            </w:tcBorders>
            <w:noWrap w:val="0"/>
            <w:vAlign w:val="center"/>
          </w:tcPr>
          <w:p w14:paraId="77427FF3">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2.26</w:t>
            </w:r>
          </w:p>
        </w:tc>
        <w:tc>
          <w:tcPr>
            <w:tcW w:w="981" w:type="pct"/>
            <w:tcBorders>
              <w:tl2br w:val="nil"/>
              <w:tr2bl w:val="nil"/>
            </w:tcBorders>
            <w:noWrap w:val="0"/>
            <w:vAlign w:val="center"/>
          </w:tcPr>
          <w:p w14:paraId="74B4E1D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F50BB1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6B20A196">
            <w:pPr>
              <w:pStyle w:val="1358"/>
              <w:rPr>
                <w:color w:val="auto"/>
                <w:highlight w:val="none"/>
              </w:rPr>
            </w:pPr>
          </w:p>
        </w:tc>
        <w:tc>
          <w:tcPr>
            <w:tcW w:w="1549" w:type="dxa"/>
            <w:tcBorders>
              <w:tl2br w:val="nil"/>
              <w:tr2bl w:val="nil"/>
            </w:tcBorders>
            <w:shd w:val="clear" w:color="auto" w:fill="auto"/>
            <w:noWrap w:val="0"/>
            <w:vAlign w:val="center"/>
          </w:tcPr>
          <w:p w14:paraId="07434FC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1315" w:type="dxa"/>
            <w:tcBorders>
              <w:tl2br w:val="nil"/>
              <w:tr2bl w:val="nil"/>
            </w:tcBorders>
            <w:noWrap w:val="0"/>
            <w:vAlign w:val="center"/>
          </w:tcPr>
          <w:p w14:paraId="2710DF77">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200</w:t>
            </w:r>
          </w:p>
        </w:tc>
        <w:tc>
          <w:tcPr>
            <w:tcW w:w="1418" w:type="dxa"/>
            <w:tcBorders>
              <w:tl2br w:val="nil"/>
              <w:tr2bl w:val="nil"/>
            </w:tcBorders>
            <w:noWrap w:val="0"/>
            <w:vAlign w:val="center"/>
          </w:tcPr>
          <w:p w14:paraId="2C975FD7">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0.015851</w:t>
            </w:r>
          </w:p>
        </w:tc>
        <w:tc>
          <w:tcPr>
            <w:tcW w:w="1380" w:type="dxa"/>
            <w:tcBorders>
              <w:tl2br w:val="nil"/>
              <w:tr2bl w:val="nil"/>
            </w:tcBorders>
            <w:noWrap w:val="0"/>
            <w:vAlign w:val="center"/>
          </w:tcPr>
          <w:p w14:paraId="73A04BEC">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7.93</w:t>
            </w:r>
          </w:p>
        </w:tc>
        <w:tc>
          <w:tcPr>
            <w:tcW w:w="981" w:type="pct"/>
            <w:tcBorders>
              <w:tl2br w:val="nil"/>
              <w:tr2bl w:val="nil"/>
            </w:tcBorders>
            <w:noWrap w:val="0"/>
            <w:vAlign w:val="center"/>
          </w:tcPr>
          <w:p w14:paraId="20664C5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EDAF7C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2246F0D4">
            <w:pPr>
              <w:pStyle w:val="1358"/>
              <w:rPr>
                <w:color w:val="auto"/>
                <w:highlight w:val="none"/>
              </w:rPr>
            </w:pPr>
          </w:p>
        </w:tc>
        <w:tc>
          <w:tcPr>
            <w:tcW w:w="1549" w:type="dxa"/>
            <w:tcBorders>
              <w:tl2br w:val="nil"/>
              <w:tr2bl w:val="nil"/>
            </w:tcBorders>
            <w:shd w:val="clear" w:color="auto" w:fill="auto"/>
            <w:noWrap w:val="0"/>
            <w:vAlign w:val="center"/>
          </w:tcPr>
          <w:p w14:paraId="1A01884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NMHC（含乙酸丁酯）</w:t>
            </w:r>
          </w:p>
        </w:tc>
        <w:tc>
          <w:tcPr>
            <w:tcW w:w="1315" w:type="dxa"/>
            <w:tcBorders>
              <w:tl2br w:val="nil"/>
              <w:tr2bl w:val="nil"/>
            </w:tcBorders>
            <w:noWrap w:val="0"/>
            <w:vAlign w:val="center"/>
          </w:tcPr>
          <w:p w14:paraId="37EFD171">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2000</w:t>
            </w:r>
          </w:p>
        </w:tc>
        <w:tc>
          <w:tcPr>
            <w:tcW w:w="1418" w:type="dxa"/>
            <w:tcBorders>
              <w:tl2br w:val="nil"/>
              <w:tr2bl w:val="nil"/>
            </w:tcBorders>
            <w:noWrap w:val="0"/>
            <w:vAlign w:val="center"/>
          </w:tcPr>
          <w:p w14:paraId="3025BAF3">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0.06668</w:t>
            </w:r>
          </w:p>
        </w:tc>
        <w:tc>
          <w:tcPr>
            <w:tcW w:w="1380" w:type="dxa"/>
            <w:tcBorders>
              <w:tl2br w:val="nil"/>
              <w:tr2bl w:val="nil"/>
            </w:tcBorders>
            <w:noWrap w:val="0"/>
            <w:vAlign w:val="center"/>
          </w:tcPr>
          <w:p w14:paraId="31A0D2D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3.33</w:t>
            </w:r>
          </w:p>
        </w:tc>
        <w:tc>
          <w:tcPr>
            <w:tcW w:w="981" w:type="pct"/>
            <w:tcBorders>
              <w:tl2br w:val="nil"/>
              <w:tr2bl w:val="nil"/>
            </w:tcBorders>
            <w:noWrap w:val="0"/>
            <w:vAlign w:val="center"/>
          </w:tcPr>
          <w:p w14:paraId="7BE7C84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51C394C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restart"/>
            <w:tcBorders>
              <w:tl2br w:val="nil"/>
              <w:tr2bl w:val="nil"/>
            </w:tcBorders>
            <w:noWrap w:val="0"/>
            <w:vAlign w:val="center"/>
          </w:tcPr>
          <w:p w14:paraId="72542D29">
            <w:pPr>
              <w:pStyle w:val="1358"/>
              <w:ind w:firstLine="0" w:firstLineChars="0"/>
              <w:rPr>
                <w:color w:val="auto"/>
                <w:highlight w:val="none"/>
              </w:rPr>
            </w:pPr>
            <w:r>
              <w:rPr>
                <w:rFonts w:hint="eastAsia" w:cs="Times New Roman"/>
                <w:color w:val="auto"/>
                <w:highlight w:val="none"/>
                <w:lang w:val="en-US" w:eastAsia="zh-CN"/>
              </w:rPr>
              <w:t>B库</w:t>
            </w:r>
            <w:r>
              <w:rPr>
                <w:rFonts w:hint="eastAsia" w:ascii="Times New Roman" w:hAnsi="Times New Roman" w:eastAsia="宋体" w:cs="Times New Roman"/>
                <w:color w:val="auto"/>
                <w:highlight w:val="none"/>
                <w:lang w:val="en-US" w:eastAsia="zh-CN"/>
              </w:rPr>
              <w:t>厂房</w:t>
            </w:r>
          </w:p>
        </w:tc>
        <w:tc>
          <w:tcPr>
            <w:tcW w:w="1549" w:type="dxa"/>
            <w:tcBorders>
              <w:tl2br w:val="nil"/>
              <w:tr2bl w:val="nil"/>
            </w:tcBorders>
            <w:shd w:val="clear" w:color="auto" w:fill="auto"/>
            <w:noWrap w:val="0"/>
            <w:vAlign w:val="center"/>
          </w:tcPr>
          <w:p w14:paraId="3F7914B4">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w:t>
            </w:r>
          </w:p>
        </w:tc>
        <w:tc>
          <w:tcPr>
            <w:tcW w:w="1315" w:type="dxa"/>
            <w:tcBorders>
              <w:tl2br w:val="nil"/>
              <w:tr2bl w:val="nil"/>
            </w:tcBorders>
            <w:noWrap w:val="0"/>
            <w:vAlign w:val="center"/>
          </w:tcPr>
          <w:p w14:paraId="15113226">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2000</w:t>
            </w:r>
          </w:p>
        </w:tc>
        <w:tc>
          <w:tcPr>
            <w:tcW w:w="1418" w:type="dxa"/>
            <w:tcBorders>
              <w:tl2br w:val="nil"/>
              <w:tr2bl w:val="nil"/>
            </w:tcBorders>
            <w:noWrap w:val="0"/>
            <w:vAlign w:val="center"/>
          </w:tcPr>
          <w:p w14:paraId="1C2698BD">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0.002974</w:t>
            </w:r>
          </w:p>
        </w:tc>
        <w:tc>
          <w:tcPr>
            <w:tcW w:w="1380" w:type="dxa"/>
            <w:tcBorders>
              <w:tl2br w:val="nil"/>
              <w:tr2bl w:val="nil"/>
            </w:tcBorders>
            <w:noWrap w:val="0"/>
            <w:vAlign w:val="center"/>
          </w:tcPr>
          <w:p w14:paraId="391F5FD3">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0.15</w:t>
            </w:r>
          </w:p>
        </w:tc>
        <w:tc>
          <w:tcPr>
            <w:tcW w:w="981" w:type="pct"/>
            <w:tcBorders>
              <w:tl2br w:val="nil"/>
              <w:tr2bl w:val="nil"/>
            </w:tcBorders>
            <w:noWrap w:val="0"/>
            <w:vAlign w:val="center"/>
          </w:tcPr>
          <w:p w14:paraId="0A67845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C88C5C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697" w:type="pct"/>
            <w:vMerge w:val="continue"/>
            <w:tcBorders>
              <w:tl2br w:val="nil"/>
              <w:tr2bl w:val="nil"/>
            </w:tcBorders>
            <w:noWrap w:val="0"/>
            <w:vAlign w:val="center"/>
          </w:tcPr>
          <w:p w14:paraId="4CC6BCE0">
            <w:pPr>
              <w:pStyle w:val="1358"/>
              <w:rPr>
                <w:color w:val="auto"/>
                <w:highlight w:val="none"/>
              </w:rPr>
            </w:pPr>
          </w:p>
        </w:tc>
        <w:tc>
          <w:tcPr>
            <w:tcW w:w="1549" w:type="dxa"/>
            <w:tcBorders>
              <w:tl2br w:val="nil"/>
              <w:tr2bl w:val="nil"/>
            </w:tcBorders>
            <w:shd w:val="clear" w:color="auto" w:fill="auto"/>
            <w:noWrap w:val="0"/>
            <w:vAlign w:val="center"/>
          </w:tcPr>
          <w:p w14:paraId="7328C44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颗粒物</w:t>
            </w:r>
          </w:p>
        </w:tc>
        <w:tc>
          <w:tcPr>
            <w:tcW w:w="1315" w:type="dxa"/>
            <w:tcBorders>
              <w:tl2br w:val="nil"/>
              <w:tr2bl w:val="nil"/>
            </w:tcBorders>
            <w:noWrap w:val="0"/>
            <w:vAlign w:val="center"/>
          </w:tcPr>
          <w:p w14:paraId="24C8F2BB">
            <w:pPr>
              <w:pStyle w:val="1358"/>
              <w:ind w:firstLine="0" w:firstLineChars="0"/>
              <w:rPr>
                <w:rFonts w:hint="default" w:eastAsia="宋体"/>
                <w:color w:val="auto"/>
                <w:highlight w:val="none"/>
                <w:lang w:val="en-US" w:eastAsia="zh-CN"/>
              </w:rPr>
            </w:pPr>
            <w:r>
              <w:rPr>
                <w:rFonts w:hint="eastAsia" w:eastAsia="宋体"/>
                <w:color w:val="auto"/>
                <w:highlight w:val="none"/>
                <w:lang w:val="en-US" w:eastAsia="zh-CN"/>
              </w:rPr>
              <w:t>300</w:t>
            </w:r>
          </w:p>
        </w:tc>
        <w:tc>
          <w:tcPr>
            <w:tcW w:w="1418" w:type="dxa"/>
            <w:tcBorders>
              <w:tl2br w:val="nil"/>
              <w:tr2bl w:val="nil"/>
            </w:tcBorders>
            <w:noWrap w:val="0"/>
            <w:vAlign w:val="center"/>
          </w:tcPr>
          <w:p w14:paraId="20F0DA54">
            <w:pPr>
              <w:pStyle w:val="1358"/>
              <w:ind w:firstLine="0" w:firstLineChars="0"/>
              <w:rPr>
                <w:rFonts w:hint="default" w:eastAsia="宋体"/>
                <w:color w:val="auto"/>
                <w:highlight w:val="none"/>
                <w:lang w:val="en-US" w:eastAsia="zh-CN"/>
              </w:rPr>
            </w:pPr>
            <w:r>
              <w:rPr>
                <w:rFonts w:hint="default" w:eastAsia="宋体"/>
                <w:color w:val="auto"/>
                <w:highlight w:val="none"/>
                <w:lang w:val="en-US" w:eastAsia="zh-CN"/>
              </w:rPr>
              <w:t>0.000432</w:t>
            </w:r>
          </w:p>
        </w:tc>
        <w:tc>
          <w:tcPr>
            <w:tcW w:w="1380" w:type="dxa"/>
            <w:tcBorders>
              <w:tl2br w:val="nil"/>
              <w:tr2bl w:val="nil"/>
            </w:tcBorders>
            <w:noWrap w:val="0"/>
            <w:vAlign w:val="center"/>
          </w:tcPr>
          <w:p w14:paraId="4912CDB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0.05</w:t>
            </w:r>
          </w:p>
        </w:tc>
        <w:tc>
          <w:tcPr>
            <w:tcW w:w="981" w:type="pct"/>
            <w:tcBorders>
              <w:tl2br w:val="nil"/>
              <w:tr2bl w:val="nil"/>
            </w:tcBorders>
            <w:noWrap w:val="0"/>
            <w:vAlign w:val="center"/>
          </w:tcPr>
          <w:p w14:paraId="5131B19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bl>
    <w:p w14:paraId="162C76DF">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评价工作等级判据一览表</w:t>
      </w:r>
      <w:bookmarkEnd w:id="285"/>
    </w:p>
    <w:tbl>
      <w:tblPr>
        <w:tblStyle w:val="80"/>
        <w:tblW w:w="507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41"/>
        <w:gridCol w:w="2414"/>
        <w:gridCol w:w="4878"/>
      </w:tblGrid>
      <w:tr w14:paraId="7D440C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7" w:type="pct"/>
            <w:tcBorders>
              <w:tl2br w:val="nil"/>
              <w:tr2bl w:val="nil"/>
            </w:tcBorders>
            <w:noWrap w:val="0"/>
            <w:vAlign w:val="center"/>
          </w:tcPr>
          <w:p w14:paraId="070F87E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1431" w:type="pct"/>
            <w:tcBorders>
              <w:tl2br w:val="nil"/>
              <w:tr2bl w:val="nil"/>
            </w:tcBorders>
            <w:noWrap w:val="0"/>
            <w:vAlign w:val="center"/>
          </w:tcPr>
          <w:p w14:paraId="12B9046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评价工作等级</w:t>
            </w:r>
          </w:p>
        </w:tc>
        <w:tc>
          <w:tcPr>
            <w:tcW w:w="2892" w:type="pct"/>
            <w:tcBorders>
              <w:tl2br w:val="nil"/>
              <w:tr2bl w:val="nil"/>
            </w:tcBorders>
            <w:noWrap w:val="0"/>
            <w:vAlign w:val="center"/>
          </w:tcPr>
          <w:p w14:paraId="19F744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评价工作等级判据</w:t>
            </w:r>
          </w:p>
        </w:tc>
      </w:tr>
      <w:tr w14:paraId="6096D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677" w:type="pct"/>
            <w:tcBorders>
              <w:tl2br w:val="nil"/>
              <w:tr2bl w:val="nil"/>
            </w:tcBorders>
            <w:noWrap w:val="0"/>
            <w:vAlign w:val="center"/>
          </w:tcPr>
          <w:p w14:paraId="590FF0D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1431" w:type="pct"/>
            <w:tcBorders>
              <w:tl2br w:val="nil"/>
              <w:tr2bl w:val="nil"/>
            </w:tcBorders>
            <w:noWrap w:val="0"/>
            <w:vAlign w:val="center"/>
          </w:tcPr>
          <w:p w14:paraId="1B75C96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2892" w:type="pct"/>
            <w:tcBorders>
              <w:tl2br w:val="nil"/>
              <w:tr2bl w:val="nil"/>
            </w:tcBorders>
            <w:noWrap w:val="0"/>
            <w:vAlign w:val="center"/>
          </w:tcPr>
          <w:p w14:paraId="11E3BB2A">
            <w:pPr>
              <w:pStyle w:val="1358"/>
              <w:rPr>
                <w:rFonts w:ascii="Times New Roman" w:hAnsi="Times New Roman" w:eastAsia="宋体" w:cs="Times New Roman"/>
                <w:color w:val="auto"/>
                <w:highlight w:val="none"/>
              </w:rPr>
            </w:pPr>
            <w:r>
              <w:rPr>
                <w:rFonts w:ascii="Times New Roman" w:hAnsi="Times New Roman" w:eastAsia="宋体" w:cs="Times New Roman"/>
                <w:i/>
                <w:color w:val="auto"/>
                <w:highlight w:val="none"/>
              </w:rPr>
              <w:t>P</w:t>
            </w:r>
            <w:r>
              <w:rPr>
                <w:rFonts w:ascii="Times New Roman" w:hAnsi="Times New Roman" w:eastAsia="宋体" w:cs="Times New Roman"/>
                <w:color w:val="auto"/>
                <w:highlight w:val="none"/>
                <w:vertAlign w:val="subscript"/>
              </w:rPr>
              <w:t>max</w:t>
            </w:r>
            <w:r>
              <w:rPr>
                <w:rFonts w:ascii="Times New Roman" w:hAnsi="Times New Roman" w:eastAsia="宋体" w:cs="Times New Roman"/>
                <w:color w:val="auto"/>
                <w:highlight w:val="none"/>
              </w:rPr>
              <w:t>≥10%</w:t>
            </w:r>
          </w:p>
        </w:tc>
      </w:tr>
      <w:tr w14:paraId="163888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7" w:type="pct"/>
            <w:tcBorders>
              <w:tl2br w:val="nil"/>
              <w:tr2bl w:val="nil"/>
            </w:tcBorders>
            <w:shd w:val="clear" w:color="auto" w:fill="D7D7D7" w:themeFill="background1" w:themeFillShade="D8"/>
            <w:noWrap w:val="0"/>
            <w:vAlign w:val="center"/>
          </w:tcPr>
          <w:p w14:paraId="7F65849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c>
          <w:tcPr>
            <w:tcW w:w="1431" w:type="pct"/>
            <w:tcBorders>
              <w:tl2br w:val="nil"/>
              <w:tr2bl w:val="nil"/>
            </w:tcBorders>
            <w:shd w:val="clear" w:color="auto" w:fill="D7D7D7" w:themeFill="background1" w:themeFillShade="D8"/>
            <w:noWrap w:val="0"/>
            <w:vAlign w:val="center"/>
          </w:tcPr>
          <w:p w14:paraId="4498B6E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2892" w:type="pct"/>
            <w:tcBorders>
              <w:tl2br w:val="nil"/>
              <w:tr2bl w:val="nil"/>
            </w:tcBorders>
            <w:shd w:val="clear" w:color="auto" w:fill="D7D7D7" w:themeFill="background1" w:themeFillShade="D8"/>
            <w:noWrap w:val="0"/>
            <w:vAlign w:val="center"/>
          </w:tcPr>
          <w:p w14:paraId="65CA864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ascii="Times New Roman" w:hAnsi="Times New Roman" w:eastAsia="宋体" w:cs="Times New Roman"/>
                <w:i/>
                <w:color w:val="auto"/>
                <w:highlight w:val="none"/>
              </w:rPr>
              <w:t>P</w:t>
            </w:r>
            <w:r>
              <w:rPr>
                <w:rFonts w:ascii="Times New Roman" w:hAnsi="Times New Roman" w:eastAsia="宋体" w:cs="Times New Roman"/>
                <w:color w:val="auto"/>
                <w:highlight w:val="none"/>
                <w:vertAlign w:val="subscript"/>
              </w:rPr>
              <w:t>max</w:t>
            </w:r>
            <w:r>
              <w:rPr>
                <w:rFonts w:ascii="Times New Roman" w:hAnsi="Times New Roman" w:eastAsia="宋体" w:cs="Times New Roman"/>
                <w:color w:val="auto"/>
                <w:highlight w:val="none"/>
              </w:rPr>
              <w:t>&lt;10%</w:t>
            </w:r>
          </w:p>
        </w:tc>
      </w:tr>
      <w:tr w14:paraId="3D291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7" w:type="pct"/>
            <w:tcBorders>
              <w:tl2br w:val="nil"/>
              <w:tr2bl w:val="nil"/>
            </w:tcBorders>
            <w:shd w:val="clear" w:color="auto" w:fill="auto"/>
            <w:noWrap w:val="0"/>
            <w:vAlign w:val="center"/>
          </w:tcPr>
          <w:p w14:paraId="231C8F3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1431" w:type="pct"/>
            <w:tcBorders>
              <w:tl2br w:val="nil"/>
              <w:tr2bl w:val="nil"/>
            </w:tcBorders>
            <w:shd w:val="clear" w:color="auto" w:fill="auto"/>
            <w:noWrap w:val="0"/>
            <w:vAlign w:val="center"/>
          </w:tcPr>
          <w:p w14:paraId="0AD46C6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2892" w:type="pct"/>
            <w:tcBorders>
              <w:tl2br w:val="nil"/>
              <w:tr2bl w:val="nil"/>
            </w:tcBorders>
            <w:shd w:val="clear" w:color="auto" w:fill="auto"/>
            <w:noWrap w:val="0"/>
            <w:vAlign w:val="center"/>
          </w:tcPr>
          <w:p w14:paraId="4CC55903">
            <w:pPr>
              <w:pStyle w:val="1358"/>
              <w:rPr>
                <w:rFonts w:ascii="Times New Roman" w:hAnsi="Times New Roman" w:eastAsia="宋体" w:cs="Times New Roman"/>
                <w:color w:val="auto"/>
                <w:highlight w:val="none"/>
              </w:rPr>
            </w:pPr>
            <w:r>
              <w:rPr>
                <w:rFonts w:ascii="Times New Roman" w:hAnsi="Times New Roman" w:eastAsia="宋体" w:cs="Times New Roman"/>
                <w:i/>
                <w:color w:val="auto"/>
                <w:highlight w:val="none"/>
              </w:rPr>
              <w:t>P</w:t>
            </w:r>
            <w:r>
              <w:rPr>
                <w:rFonts w:ascii="Times New Roman" w:hAnsi="Times New Roman" w:eastAsia="宋体" w:cs="Times New Roman"/>
                <w:color w:val="auto"/>
                <w:highlight w:val="none"/>
                <w:vertAlign w:val="subscript"/>
              </w:rPr>
              <w:t>max</w:t>
            </w:r>
            <w:r>
              <w:rPr>
                <w:rFonts w:ascii="Times New Roman" w:hAnsi="Times New Roman" w:eastAsia="宋体" w:cs="Times New Roman"/>
                <w:color w:val="auto"/>
                <w:highlight w:val="none"/>
              </w:rPr>
              <w:t xml:space="preserve">&lt;1% </w:t>
            </w:r>
          </w:p>
        </w:tc>
      </w:tr>
    </w:tbl>
    <w:p w14:paraId="5D5269E8">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对照《</w:t>
      </w:r>
      <w:r>
        <w:rPr>
          <w:rFonts w:hint="eastAsia" w:cs="Times New Roman"/>
          <w:color w:val="auto"/>
          <w:highlight w:val="none"/>
          <w:lang w:eastAsia="zh-CN"/>
        </w:rPr>
        <w:t>环境影响评价技术导则 大气环境</w:t>
      </w:r>
      <w:r>
        <w:rPr>
          <w:rFonts w:ascii="Times New Roman" w:hAnsi="Times New Roman" w:eastAsia="宋体" w:cs="Times New Roman"/>
          <w:color w:val="auto"/>
          <w:highlight w:val="none"/>
        </w:rPr>
        <w:t>》（HJ2.2-2018）表2中的评价等级判别表</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见表2.5-</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，确定项目大气环境影响评价等级为二级。</w:t>
      </w:r>
    </w:p>
    <w:p w14:paraId="2B44F736">
      <w:pPr>
        <w:pStyle w:val="5"/>
        <w:numPr>
          <w:ilvl w:val="3"/>
          <w:numId w:val="0"/>
        </w:numPr>
        <w:bidi w:val="0"/>
        <w:ind w:leftChars="0"/>
        <w:rPr>
          <w:color w:val="auto"/>
          <w:highlight w:val="none"/>
        </w:rPr>
      </w:pPr>
      <w:r>
        <w:rPr>
          <w:color w:val="auto"/>
          <w:highlight w:val="none"/>
        </w:rPr>
        <w:t>2.5.3.2</w:t>
      </w:r>
      <w:r>
        <w:rPr>
          <w:rFonts w:hint="eastAsia"/>
          <w:color w:val="auto"/>
          <w:highlight w:val="none"/>
          <w:lang w:val="en-US" w:eastAsia="zh-CN"/>
        </w:rPr>
        <w:t xml:space="preserve"> </w:t>
      </w:r>
      <w:r>
        <w:rPr>
          <w:color w:val="auto"/>
          <w:highlight w:val="none"/>
        </w:rPr>
        <w:t>评价范围</w:t>
      </w:r>
    </w:p>
    <w:p w14:paraId="1013D2B0">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以厂址为中心，边长5公里的矩形区域。</w:t>
      </w:r>
    </w:p>
    <w:p w14:paraId="778D70A7">
      <w:pPr>
        <w:pStyle w:val="4"/>
        <w:numPr>
          <w:ilvl w:val="2"/>
          <w:numId w:val="0"/>
        </w:numPr>
        <w:tabs>
          <w:tab w:val="clear" w:pos="720"/>
        </w:tabs>
        <w:bidi w:val="0"/>
        <w:rPr>
          <w:color w:val="auto"/>
          <w:highlight w:val="none"/>
        </w:rPr>
      </w:pPr>
      <w:bookmarkStart w:id="286" w:name="_Toc26908"/>
      <w:r>
        <w:rPr>
          <w:color w:val="auto"/>
          <w:highlight w:val="none"/>
        </w:rPr>
        <w:t>2.5.4</w:t>
      </w:r>
      <w:r>
        <w:rPr>
          <w:rFonts w:hint="eastAsia"/>
          <w:color w:val="auto"/>
          <w:highlight w:val="none"/>
          <w:lang w:val="en-US" w:eastAsia="zh-CN"/>
        </w:rPr>
        <w:t xml:space="preserve"> </w:t>
      </w:r>
      <w:r>
        <w:rPr>
          <w:color w:val="auto"/>
          <w:highlight w:val="none"/>
        </w:rPr>
        <w:t>声环境</w:t>
      </w:r>
      <w:bookmarkEnd w:id="286"/>
    </w:p>
    <w:p w14:paraId="52D73619">
      <w:pPr>
        <w:pStyle w:val="5"/>
        <w:numPr>
          <w:ilvl w:val="3"/>
          <w:numId w:val="0"/>
        </w:numPr>
        <w:bidi w:val="0"/>
        <w:ind w:leftChars="0"/>
        <w:rPr>
          <w:color w:val="auto"/>
          <w:highlight w:val="none"/>
        </w:rPr>
      </w:pPr>
      <w:r>
        <w:rPr>
          <w:color w:val="auto"/>
          <w:highlight w:val="none"/>
        </w:rPr>
        <w:t>2.5.4.1</w:t>
      </w:r>
      <w:r>
        <w:rPr>
          <w:rFonts w:hint="eastAsia"/>
          <w:color w:val="auto"/>
          <w:highlight w:val="none"/>
          <w:lang w:val="en-US" w:eastAsia="zh-CN"/>
        </w:rPr>
        <w:t xml:space="preserve"> </w:t>
      </w:r>
      <w:r>
        <w:rPr>
          <w:color w:val="auto"/>
          <w:highlight w:val="none"/>
        </w:rPr>
        <w:t>评价工作等级</w:t>
      </w:r>
    </w:p>
    <w:p w14:paraId="53780197">
      <w:pPr>
        <w:pStyle w:val="1336"/>
        <w:ind w:firstLine="480"/>
        <w:rPr>
          <w:rFonts w:ascii="Times New Roman" w:hAnsi="Times New Roman" w:eastAsia="宋体" w:cs="Times New Roman"/>
          <w:color w:val="auto"/>
          <w:highlight w:val="none"/>
          <w:lang w:val="en-GB"/>
        </w:rPr>
      </w:pPr>
      <w:r>
        <w:rPr>
          <w:rFonts w:hint="eastAsia" w:ascii="Times New Roman" w:hAnsi="Times New Roman" w:eastAsia="宋体" w:cs="Times New Roman"/>
          <w:color w:val="auto"/>
          <w:highlight w:val="none"/>
          <w:lang w:val="en-GB"/>
        </w:rPr>
        <w:t>依据《环境影响评价技术导则</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lang w:val="en-GB"/>
        </w:rPr>
        <w:t>声环境》（HJ2.4-2021）：</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建设项目所处的声环境功能区为GB3096规定的3类、4类地区，或建设项目建设前后评价范围内声环境保护目标噪声级增量在3dB（A）以下（不含3dB（A）），且受影响人口数量变化不大时，按三级评价</w:t>
      </w:r>
      <w:r>
        <w:rPr>
          <w:rFonts w:hint="eastAsia" w:cs="Times New Roman"/>
          <w:color w:val="auto"/>
          <w:highlight w:val="none"/>
          <w:lang w:val="en-GB" w:eastAsia="zh-CN"/>
        </w:rPr>
        <w:t>”</w:t>
      </w:r>
      <w:r>
        <w:rPr>
          <w:rFonts w:hint="eastAsia" w:ascii="Times New Roman" w:hAnsi="Times New Roman" w:eastAsia="宋体" w:cs="Times New Roman"/>
          <w:color w:val="auto"/>
          <w:highlight w:val="none"/>
          <w:lang w:val="en-GB"/>
        </w:rPr>
        <w:t>。</w:t>
      </w:r>
      <w:r>
        <w:rPr>
          <w:rFonts w:ascii="Times New Roman" w:hAnsi="Times New Roman" w:eastAsia="宋体" w:cs="Times New Roman"/>
          <w:color w:val="auto"/>
          <w:highlight w:val="none"/>
          <w:lang w:val="en-GB"/>
        </w:rPr>
        <w:t>本项目位于</w:t>
      </w:r>
      <w:r>
        <w:rPr>
          <w:rFonts w:hint="eastAsia" w:ascii="Times New Roman" w:hAnsi="Times New Roman" w:eastAsia="宋体" w:cs="Times New Roman"/>
          <w:color w:val="auto"/>
          <w:highlight w:val="none"/>
          <w:lang w:eastAsia="zh-CN" w:bidi="he-IL"/>
        </w:rPr>
        <w:t>福建省福州市闽侯县青口镇（青口汽车城内）</w:t>
      </w:r>
      <w:r>
        <w:rPr>
          <w:rFonts w:ascii="Times New Roman" w:hAnsi="Times New Roman" w:eastAsia="宋体" w:cs="Times New Roman"/>
          <w:color w:val="auto"/>
          <w:highlight w:val="none"/>
          <w:lang w:val="en-GB"/>
        </w:rPr>
        <w:t>，属于《声环境质量标准》（GB3096-2008）规定的3类区，项目建设前后对敏感目标的噪声级增加量在3dB（A）以内，且受影响人口数量变化不大。</w:t>
      </w:r>
    </w:p>
    <w:p w14:paraId="6F2CDB4F">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根据《环境影响评价技术导则 声环境》</w:t>
      </w:r>
      <w:r>
        <w:rPr>
          <w:rFonts w:hint="eastAsia" w:ascii="Times New Roman" w:hAnsi="Times New Roman" w:eastAsia="宋体" w:cs="Times New Roman"/>
          <w:color w:val="auto"/>
          <w:highlight w:val="none"/>
          <w:lang w:val="en-GB" w:eastAsia="zh-CN"/>
        </w:rPr>
        <w:t>（HJ2.4-2021）</w:t>
      </w:r>
      <w:r>
        <w:rPr>
          <w:rFonts w:ascii="Times New Roman" w:hAnsi="Times New Roman" w:eastAsia="宋体" w:cs="Times New Roman"/>
          <w:color w:val="auto"/>
          <w:highlight w:val="none"/>
          <w:lang w:val="en-GB"/>
        </w:rPr>
        <w:t>关于评价工作等级划分原则，本项目声环境评价等级为三级。</w:t>
      </w:r>
    </w:p>
    <w:p w14:paraId="085465FC">
      <w:pPr>
        <w:pStyle w:val="5"/>
        <w:numPr>
          <w:ilvl w:val="3"/>
          <w:numId w:val="0"/>
        </w:numPr>
        <w:bidi w:val="0"/>
        <w:ind w:leftChars="0"/>
        <w:rPr>
          <w:color w:val="auto"/>
          <w:highlight w:val="none"/>
        </w:rPr>
      </w:pPr>
      <w:r>
        <w:rPr>
          <w:color w:val="auto"/>
          <w:highlight w:val="none"/>
        </w:rPr>
        <w:t>2.5.4.2</w:t>
      </w:r>
      <w:r>
        <w:rPr>
          <w:rFonts w:hint="eastAsia"/>
          <w:color w:val="auto"/>
          <w:highlight w:val="none"/>
          <w:lang w:val="en-US" w:eastAsia="zh-CN"/>
        </w:rPr>
        <w:t xml:space="preserve"> </w:t>
      </w:r>
      <w:r>
        <w:rPr>
          <w:color w:val="auto"/>
          <w:highlight w:val="none"/>
        </w:rPr>
        <w:t>评价范围</w:t>
      </w:r>
    </w:p>
    <w:p w14:paraId="2D6F7EF0">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项目厂界外200m范围。</w:t>
      </w:r>
    </w:p>
    <w:p w14:paraId="561E1DE4">
      <w:pPr>
        <w:pStyle w:val="4"/>
        <w:numPr>
          <w:ilvl w:val="2"/>
          <w:numId w:val="0"/>
        </w:numPr>
        <w:tabs>
          <w:tab w:val="clear" w:pos="720"/>
        </w:tabs>
        <w:bidi w:val="0"/>
        <w:rPr>
          <w:color w:val="auto"/>
          <w:highlight w:val="none"/>
        </w:rPr>
      </w:pPr>
      <w:bookmarkStart w:id="287" w:name="_Toc10868"/>
      <w:r>
        <w:rPr>
          <w:color w:val="auto"/>
          <w:highlight w:val="none"/>
        </w:rPr>
        <w:t>2.5.5</w:t>
      </w:r>
      <w:r>
        <w:rPr>
          <w:rFonts w:hint="eastAsia"/>
          <w:color w:val="auto"/>
          <w:highlight w:val="none"/>
          <w:lang w:val="en-US" w:eastAsia="zh-CN"/>
        </w:rPr>
        <w:t xml:space="preserve"> </w:t>
      </w:r>
      <w:r>
        <w:rPr>
          <w:color w:val="auto"/>
          <w:highlight w:val="none"/>
        </w:rPr>
        <w:t>生态环境</w:t>
      </w:r>
      <w:bookmarkEnd w:id="287"/>
    </w:p>
    <w:p w14:paraId="1EB864B2">
      <w:pPr>
        <w:pStyle w:val="5"/>
        <w:numPr>
          <w:ilvl w:val="3"/>
          <w:numId w:val="0"/>
        </w:numPr>
        <w:bidi w:val="0"/>
        <w:ind w:leftChars="0"/>
        <w:rPr>
          <w:color w:val="auto"/>
          <w:highlight w:val="none"/>
        </w:rPr>
      </w:pPr>
      <w:r>
        <w:rPr>
          <w:color w:val="auto"/>
          <w:highlight w:val="none"/>
        </w:rPr>
        <w:t>2.5.5.1</w:t>
      </w:r>
      <w:r>
        <w:rPr>
          <w:rFonts w:hint="eastAsia"/>
          <w:color w:val="auto"/>
          <w:highlight w:val="none"/>
          <w:lang w:val="en-US" w:eastAsia="zh-CN"/>
        </w:rPr>
        <w:t xml:space="preserve"> </w:t>
      </w:r>
      <w:r>
        <w:rPr>
          <w:color w:val="auto"/>
          <w:highlight w:val="none"/>
        </w:rPr>
        <w:t>评价工作等级</w:t>
      </w:r>
    </w:p>
    <w:p w14:paraId="6EE1B0BC">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根据《环境影响评价技术导则 生态影响》（HJ 19—2022）第6.1.8条规定：</w:t>
      </w:r>
      <w:r>
        <w:rPr>
          <w:rFonts w:hint="eastAsia" w:cs="Times New Roman"/>
          <w:color w:val="auto"/>
          <w:highlight w:val="none"/>
          <w:lang w:eastAsia="zh-CN"/>
        </w:rPr>
        <w:t>“</w:t>
      </w:r>
      <w:r>
        <w:rPr>
          <w:rFonts w:hint="eastAsia" w:ascii="Times New Roman" w:hAnsi="Times New Roman" w:eastAsia="宋体" w:cs="Times New Roman"/>
          <w:color w:val="auto"/>
          <w:highlight w:val="none"/>
        </w:rPr>
        <w:t>……位于已批准规划环评的产业园区内且符合规划环评要求、不涉及生态敏感区的污染影响类建设项目，可不确定评价等级，直接进行生态影响简单分析。</w:t>
      </w:r>
      <w:r>
        <w:rPr>
          <w:rFonts w:hint="eastAsia" w:cs="Times New Roman"/>
          <w:color w:val="auto"/>
          <w:highlight w:val="none"/>
          <w:lang w:eastAsia="zh-CN"/>
        </w:rPr>
        <w:t>”</w:t>
      </w:r>
    </w:p>
    <w:p w14:paraId="6FCE1811">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为污染影响类建设项目，主要环境影响为运营期废水、废气、噪声及固体废物等污染影响，不属于生态影响为主的建设项目。项目位于闽侯青口汽车工业园区内，租用福州鑫旺物流服务有限公司现有厂房进行生产，不新增用地、不改变用地性质。本项目产业定位、选址布局符合该规划环评及审查意见的生态环境准入要求。</w:t>
      </w:r>
      <w:r>
        <w:rPr>
          <w:rFonts w:hint="eastAsia" w:cs="Times New Roman"/>
          <w:color w:val="auto"/>
          <w:highlight w:val="none"/>
          <w:lang w:val="en-US" w:eastAsia="zh-CN"/>
        </w:rPr>
        <w:t>且</w:t>
      </w:r>
      <w:r>
        <w:rPr>
          <w:rFonts w:hint="eastAsia" w:ascii="Times New Roman" w:hAnsi="Times New Roman" w:eastAsia="宋体" w:cs="Times New Roman"/>
          <w:color w:val="auto"/>
          <w:highlight w:val="none"/>
        </w:rPr>
        <w:t>项目用地范围及评价范围内不涉及自然保护区、风景名胜区、森林公园、重要湿地及其他生态敏感区，不占用生态保护红线。</w:t>
      </w:r>
    </w:p>
    <w:p w14:paraId="284DFA15">
      <w:pPr>
        <w:pStyle w:val="1336"/>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综上，本项目符合《环境影响评价技术导则 生态影响》（HJ 19—2022）第6.1.8条规定的情形，</w:t>
      </w:r>
      <w:r>
        <w:rPr>
          <w:rFonts w:hint="eastAsia" w:cs="Times New Roman"/>
          <w:color w:val="auto"/>
          <w:highlight w:val="none"/>
          <w:lang w:val="en-US" w:eastAsia="zh-CN"/>
        </w:rPr>
        <w:t>故</w:t>
      </w:r>
      <w:r>
        <w:rPr>
          <w:rFonts w:hint="eastAsia" w:ascii="Times New Roman" w:hAnsi="Times New Roman" w:eastAsia="宋体" w:cs="Times New Roman"/>
          <w:color w:val="auto"/>
          <w:highlight w:val="none"/>
        </w:rPr>
        <w:t>本项目生态影响不设评价等级，进行简单分析。</w:t>
      </w:r>
    </w:p>
    <w:p w14:paraId="0F637BB1">
      <w:pPr>
        <w:pStyle w:val="4"/>
        <w:numPr>
          <w:ilvl w:val="2"/>
          <w:numId w:val="0"/>
        </w:numPr>
        <w:tabs>
          <w:tab w:val="clear" w:pos="720"/>
        </w:tabs>
        <w:bidi w:val="0"/>
        <w:rPr>
          <w:color w:val="auto"/>
          <w:highlight w:val="none"/>
        </w:rPr>
      </w:pPr>
      <w:bookmarkStart w:id="288" w:name="_Toc20948"/>
      <w:r>
        <w:rPr>
          <w:color w:val="auto"/>
          <w:highlight w:val="none"/>
        </w:rPr>
        <w:t>2.5.6</w:t>
      </w:r>
      <w:r>
        <w:rPr>
          <w:rFonts w:hint="eastAsia"/>
          <w:color w:val="auto"/>
          <w:highlight w:val="none"/>
          <w:lang w:val="en-US" w:eastAsia="zh-CN"/>
        </w:rPr>
        <w:t xml:space="preserve"> </w:t>
      </w:r>
      <w:r>
        <w:rPr>
          <w:color w:val="auto"/>
          <w:highlight w:val="none"/>
        </w:rPr>
        <w:t>环境风险</w:t>
      </w:r>
      <w:bookmarkEnd w:id="288"/>
    </w:p>
    <w:p w14:paraId="5BB52867">
      <w:pPr>
        <w:pStyle w:val="5"/>
        <w:numPr>
          <w:ilvl w:val="3"/>
          <w:numId w:val="0"/>
        </w:numPr>
        <w:bidi w:val="0"/>
        <w:ind w:leftChars="0"/>
        <w:rPr>
          <w:color w:val="auto"/>
          <w:highlight w:val="none"/>
        </w:rPr>
      </w:pPr>
      <w:r>
        <w:rPr>
          <w:color w:val="auto"/>
          <w:highlight w:val="none"/>
        </w:rPr>
        <w:t>2.5.6.1</w:t>
      </w:r>
      <w:r>
        <w:rPr>
          <w:rFonts w:hint="eastAsia"/>
          <w:color w:val="auto"/>
          <w:highlight w:val="none"/>
          <w:lang w:val="en-US" w:eastAsia="zh-CN"/>
        </w:rPr>
        <w:t xml:space="preserve"> </w:t>
      </w:r>
      <w:r>
        <w:rPr>
          <w:color w:val="auto"/>
          <w:highlight w:val="none"/>
        </w:rPr>
        <w:t>评价工作等级</w:t>
      </w:r>
    </w:p>
    <w:p w14:paraId="66C4EBD0">
      <w:pPr>
        <w:pStyle w:val="1319"/>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项目生产涉及的环境风险物质主要为油</w:t>
      </w:r>
      <w:r>
        <w:rPr>
          <w:rFonts w:hint="eastAsia" w:cs="Times New Roman"/>
          <w:color w:val="auto"/>
          <w:highlight w:val="none"/>
          <w:lang w:val="en-US" w:eastAsia="zh-CN"/>
        </w:rPr>
        <w:t>性</w:t>
      </w:r>
      <w:r>
        <w:rPr>
          <w:rFonts w:hint="eastAsia" w:ascii="Times New Roman" w:hAnsi="Times New Roman" w:eastAsia="宋体" w:cs="Times New Roman"/>
          <w:color w:val="auto"/>
          <w:highlight w:val="none"/>
        </w:rPr>
        <w:t>涂料（底漆、色漆和清漆）及配套稀释剂、固化剂、清洗剂中所含的二甲苯、乙酸丁酯，废润滑油及天然气。根据《建设项目环境风险评价技术导则》</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HJ 169-2018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附录B计算项目危险物质数量与临界量比值</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Q</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具体见表</w:t>
      </w:r>
      <w:r>
        <w:rPr>
          <w:rFonts w:hint="eastAsia"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rPr>
        <w:t>。</w:t>
      </w:r>
    </w:p>
    <w:p w14:paraId="2D328E9A">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风险评价等级判定表</w:t>
      </w:r>
    </w:p>
    <w:tbl>
      <w:tblPr>
        <w:tblStyle w:val="80"/>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1614"/>
        <w:gridCol w:w="2473"/>
        <w:gridCol w:w="1894"/>
        <w:gridCol w:w="1361"/>
        <w:gridCol w:w="984"/>
      </w:tblGrid>
      <w:tr w14:paraId="57207E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46" w:hRule="exact"/>
          <w:jc w:val="center"/>
        </w:trPr>
        <w:tc>
          <w:tcPr>
            <w:tcW w:w="969" w:type="pct"/>
            <w:tcBorders>
              <w:tl2br w:val="nil"/>
              <w:tr2bl w:val="nil"/>
            </w:tcBorders>
            <w:noWrap w:val="0"/>
            <w:vAlign w:val="center"/>
          </w:tcPr>
          <w:p w14:paraId="5028A54E">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环境风险物质</w:t>
            </w:r>
          </w:p>
        </w:tc>
        <w:tc>
          <w:tcPr>
            <w:tcW w:w="1485" w:type="pct"/>
            <w:tcBorders>
              <w:tl2br w:val="nil"/>
              <w:tr2bl w:val="nil"/>
            </w:tcBorders>
            <w:noWrap w:val="0"/>
            <w:vAlign w:val="center"/>
          </w:tcPr>
          <w:p w14:paraId="54953F73">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en-US"/>
              </w:rPr>
              <w:t>CAS</w:t>
            </w:r>
            <w:r>
              <w:rPr>
                <w:rFonts w:ascii="Times New Roman" w:hAnsi="Times New Roman" w:eastAsia="宋体" w:cs="Times New Roman"/>
                <w:color w:val="auto"/>
                <w:highlight w:val="none"/>
              </w:rPr>
              <w:t>号</w:t>
            </w:r>
          </w:p>
        </w:tc>
        <w:tc>
          <w:tcPr>
            <w:tcW w:w="1137" w:type="pct"/>
            <w:tcBorders>
              <w:tl2br w:val="nil"/>
              <w:tr2bl w:val="nil"/>
            </w:tcBorders>
            <w:noWrap w:val="0"/>
            <w:vAlign w:val="center"/>
          </w:tcPr>
          <w:p w14:paraId="3A09E577">
            <w:pPr>
              <w:pStyle w:val="1405"/>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最大储存量</w:t>
            </w:r>
            <w:r>
              <w:rPr>
                <w:rFonts w:ascii="Times New Roman" w:hAnsi="Times New Roman" w:eastAsia="宋体" w:cs="Times New Roman"/>
                <w:color w:val="auto"/>
                <w:highlight w:val="none"/>
                <w:lang w:val="en-US" w:eastAsia="en-US"/>
              </w:rPr>
              <w:t>（t）</w:t>
            </w:r>
          </w:p>
        </w:tc>
        <w:tc>
          <w:tcPr>
            <w:tcW w:w="815" w:type="pct"/>
            <w:tcBorders>
              <w:tl2br w:val="nil"/>
              <w:tr2bl w:val="nil"/>
            </w:tcBorders>
            <w:noWrap w:val="0"/>
            <w:vAlign w:val="center"/>
          </w:tcPr>
          <w:p w14:paraId="3D42F46A">
            <w:pPr>
              <w:pStyle w:val="1405"/>
              <w:bidi w:val="0"/>
              <w:rPr>
                <w:rFonts w:ascii="Times New Roman" w:hAnsi="Times New Roman" w:eastAsia="宋体" w:cs="Times New Roman"/>
                <w:color w:val="auto"/>
                <w:highlight w:val="none"/>
              </w:rPr>
            </w:pPr>
            <w:r>
              <w:rPr>
                <w:rFonts w:hint="eastAsia"/>
                <w:color w:val="auto"/>
                <w:highlight w:val="none"/>
                <w:lang w:val="de-DE" w:eastAsia="zh-CN"/>
              </w:rPr>
              <w:t>临界量Q</w:t>
            </w:r>
            <w:r>
              <w:rPr>
                <w:rFonts w:hint="eastAsia"/>
                <w:color w:val="auto"/>
                <w:highlight w:val="none"/>
                <w:vertAlign w:val="subscript"/>
                <w:lang w:val="de-DE" w:eastAsia="zh-CN"/>
              </w:rPr>
              <w:t>n</w:t>
            </w:r>
            <w:r>
              <w:rPr>
                <w:rFonts w:hint="eastAsia"/>
                <w:color w:val="auto"/>
                <w:highlight w:val="none"/>
                <w:lang w:val="de-DE" w:eastAsia="zh-CN"/>
              </w:rPr>
              <w:t>（</w:t>
            </w:r>
            <w:r>
              <w:rPr>
                <w:rFonts w:hint="eastAsia"/>
                <w:color w:val="auto"/>
                <w:highlight w:val="none"/>
                <w:lang w:val="en-US" w:eastAsia="zh-CN"/>
              </w:rPr>
              <w:t>t</w:t>
            </w:r>
            <w:r>
              <w:rPr>
                <w:rFonts w:hint="eastAsia"/>
                <w:color w:val="auto"/>
                <w:highlight w:val="none"/>
                <w:lang w:val="de-DE" w:eastAsia="zh-CN"/>
              </w:rPr>
              <w:t>）</w:t>
            </w:r>
          </w:p>
        </w:tc>
        <w:tc>
          <w:tcPr>
            <w:tcW w:w="591" w:type="pct"/>
            <w:tcBorders>
              <w:tl2br w:val="nil"/>
              <w:tr2bl w:val="nil"/>
            </w:tcBorders>
            <w:noWrap w:val="0"/>
            <w:vAlign w:val="center"/>
          </w:tcPr>
          <w:p w14:paraId="0E5761FD">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en-US"/>
              </w:rPr>
              <w:t>Q</w:t>
            </w:r>
            <w:r>
              <w:rPr>
                <w:rFonts w:ascii="Times New Roman" w:hAnsi="Times New Roman" w:eastAsia="宋体" w:cs="Times New Roman"/>
                <w:color w:val="auto"/>
                <w:highlight w:val="none"/>
              </w:rPr>
              <w:t>值</w:t>
            </w:r>
          </w:p>
        </w:tc>
      </w:tr>
      <w:tr w14:paraId="2533D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46" w:hRule="exact"/>
          <w:jc w:val="center"/>
        </w:trPr>
        <w:tc>
          <w:tcPr>
            <w:tcW w:w="969" w:type="pct"/>
            <w:tcBorders>
              <w:tl2br w:val="nil"/>
              <w:tr2bl w:val="nil"/>
            </w:tcBorders>
            <w:noWrap w:val="0"/>
            <w:vAlign w:val="center"/>
          </w:tcPr>
          <w:p w14:paraId="5655AF80">
            <w:pPr>
              <w:pStyle w:val="1405"/>
              <w:bidi w:val="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二甲苯</w:t>
            </w:r>
          </w:p>
        </w:tc>
        <w:tc>
          <w:tcPr>
            <w:tcW w:w="1485" w:type="pct"/>
            <w:tcBorders>
              <w:tl2br w:val="nil"/>
              <w:tr2bl w:val="nil"/>
            </w:tcBorders>
            <w:noWrap w:val="0"/>
            <w:vAlign w:val="center"/>
          </w:tcPr>
          <w:p w14:paraId="3F7B5380">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1330-20-7</w:t>
            </w:r>
          </w:p>
        </w:tc>
        <w:tc>
          <w:tcPr>
            <w:tcW w:w="1894" w:type="dxa"/>
            <w:tcBorders>
              <w:tl2br w:val="nil"/>
              <w:tr2bl w:val="nil"/>
            </w:tcBorders>
            <w:noWrap w:val="0"/>
            <w:vAlign w:val="center"/>
          </w:tcPr>
          <w:p w14:paraId="2F0A32E6">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1.16</w:t>
            </w:r>
          </w:p>
        </w:tc>
        <w:tc>
          <w:tcPr>
            <w:tcW w:w="815" w:type="pct"/>
            <w:tcBorders>
              <w:tl2br w:val="nil"/>
              <w:tr2bl w:val="nil"/>
            </w:tcBorders>
            <w:noWrap w:val="0"/>
            <w:vAlign w:val="center"/>
          </w:tcPr>
          <w:p w14:paraId="4DBFED6C">
            <w:pPr>
              <w:pStyle w:val="1405"/>
              <w:bidi w:val="0"/>
              <w:rPr>
                <w:rFonts w:hint="default"/>
                <w:color w:val="auto"/>
                <w:highlight w:val="none"/>
                <w:lang w:val="en-US" w:eastAsia="zh-CN"/>
              </w:rPr>
            </w:pPr>
            <w:r>
              <w:rPr>
                <w:rFonts w:hint="eastAsia"/>
                <w:color w:val="auto"/>
                <w:highlight w:val="none"/>
                <w:lang w:val="en-US" w:eastAsia="zh-CN"/>
              </w:rPr>
              <w:t>10</w:t>
            </w:r>
          </w:p>
        </w:tc>
        <w:tc>
          <w:tcPr>
            <w:tcW w:w="984" w:type="dxa"/>
            <w:tcBorders>
              <w:tl2br w:val="nil"/>
              <w:tr2bl w:val="nil"/>
            </w:tcBorders>
            <w:noWrap w:val="0"/>
            <w:vAlign w:val="center"/>
          </w:tcPr>
          <w:p w14:paraId="36B44BFC">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0.116</w:t>
            </w:r>
          </w:p>
        </w:tc>
      </w:tr>
      <w:tr w14:paraId="6D90FA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591" w:hRule="exact"/>
          <w:jc w:val="center"/>
        </w:trPr>
        <w:tc>
          <w:tcPr>
            <w:tcW w:w="969" w:type="pct"/>
            <w:tcBorders>
              <w:tl2br w:val="nil"/>
              <w:tr2bl w:val="nil"/>
            </w:tcBorders>
            <w:noWrap w:val="0"/>
            <w:vAlign w:val="center"/>
          </w:tcPr>
          <w:p w14:paraId="6CD0C032">
            <w:pPr>
              <w:pStyle w:val="1405"/>
              <w:bidi w:val="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乙酸丁酯（含废清洗剂）</w:t>
            </w:r>
          </w:p>
        </w:tc>
        <w:tc>
          <w:tcPr>
            <w:tcW w:w="1485" w:type="pct"/>
            <w:tcBorders>
              <w:tl2br w:val="nil"/>
              <w:tr2bl w:val="nil"/>
            </w:tcBorders>
            <w:noWrap w:val="0"/>
            <w:vAlign w:val="center"/>
          </w:tcPr>
          <w:p w14:paraId="0E8E99F5">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123-86-4</w:t>
            </w:r>
          </w:p>
        </w:tc>
        <w:tc>
          <w:tcPr>
            <w:tcW w:w="1894" w:type="dxa"/>
            <w:tcBorders>
              <w:tl2br w:val="nil"/>
              <w:tr2bl w:val="nil"/>
            </w:tcBorders>
            <w:noWrap w:val="0"/>
            <w:vAlign w:val="center"/>
          </w:tcPr>
          <w:p w14:paraId="0F596E24">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1.79</w:t>
            </w:r>
          </w:p>
        </w:tc>
        <w:tc>
          <w:tcPr>
            <w:tcW w:w="815" w:type="pct"/>
            <w:tcBorders>
              <w:tl2br w:val="nil"/>
              <w:tr2bl w:val="nil"/>
            </w:tcBorders>
            <w:noWrap w:val="0"/>
            <w:vAlign w:val="center"/>
          </w:tcPr>
          <w:p w14:paraId="2E219127">
            <w:pPr>
              <w:pStyle w:val="1405"/>
              <w:bidi w:val="0"/>
              <w:rPr>
                <w:rFonts w:hint="default"/>
                <w:color w:val="auto"/>
                <w:highlight w:val="none"/>
                <w:lang w:val="en-US" w:eastAsia="zh-CN"/>
              </w:rPr>
            </w:pPr>
            <w:r>
              <w:rPr>
                <w:rFonts w:hint="eastAsia"/>
                <w:color w:val="auto"/>
                <w:highlight w:val="none"/>
                <w:lang w:val="en-US" w:eastAsia="zh-CN"/>
              </w:rPr>
              <w:t>50</w:t>
            </w:r>
          </w:p>
        </w:tc>
        <w:tc>
          <w:tcPr>
            <w:tcW w:w="984" w:type="dxa"/>
            <w:tcBorders>
              <w:tl2br w:val="nil"/>
              <w:tr2bl w:val="nil"/>
            </w:tcBorders>
            <w:noWrap w:val="0"/>
            <w:vAlign w:val="center"/>
          </w:tcPr>
          <w:p w14:paraId="687CE790">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0.0358</w:t>
            </w:r>
          </w:p>
        </w:tc>
      </w:tr>
      <w:tr w14:paraId="7F0EB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464" w:hRule="exact"/>
          <w:jc w:val="center"/>
        </w:trPr>
        <w:tc>
          <w:tcPr>
            <w:tcW w:w="969" w:type="pct"/>
            <w:tcBorders>
              <w:tl2br w:val="nil"/>
              <w:tr2bl w:val="nil"/>
            </w:tcBorders>
            <w:noWrap w:val="0"/>
            <w:vAlign w:val="center"/>
          </w:tcPr>
          <w:p w14:paraId="53C34313">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润滑油</w:t>
            </w:r>
          </w:p>
        </w:tc>
        <w:tc>
          <w:tcPr>
            <w:tcW w:w="1485" w:type="pct"/>
            <w:tcBorders>
              <w:tl2br w:val="nil"/>
              <w:tr2bl w:val="nil"/>
            </w:tcBorders>
            <w:noWrap w:val="0"/>
            <w:vAlign w:val="center"/>
          </w:tcPr>
          <w:p w14:paraId="4A24B27C">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油类物质（矿物油类）</w:t>
            </w:r>
          </w:p>
        </w:tc>
        <w:tc>
          <w:tcPr>
            <w:tcW w:w="1894" w:type="dxa"/>
            <w:tcBorders>
              <w:tl2br w:val="nil"/>
              <w:tr2bl w:val="nil"/>
            </w:tcBorders>
            <w:noWrap w:val="0"/>
            <w:vAlign w:val="center"/>
          </w:tcPr>
          <w:p w14:paraId="6FE47415">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0.3</w:t>
            </w:r>
          </w:p>
        </w:tc>
        <w:tc>
          <w:tcPr>
            <w:tcW w:w="815" w:type="pct"/>
            <w:tcBorders>
              <w:tl2br w:val="nil"/>
              <w:tr2bl w:val="nil"/>
            </w:tcBorders>
            <w:noWrap w:val="0"/>
            <w:vAlign w:val="center"/>
          </w:tcPr>
          <w:p w14:paraId="06C43A3C">
            <w:pPr>
              <w:pStyle w:val="1405"/>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2500</w:t>
            </w:r>
          </w:p>
        </w:tc>
        <w:tc>
          <w:tcPr>
            <w:tcW w:w="984" w:type="dxa"/>
            <w:tcBorders>
              <w:tl2br w:val="nil"/>
              <w:tr2bl w:val="nil"/>
            </w:tcBorders>
            <w:noWrap w:val="0"/>
            <w:vAlign w:val="center"/>
          </w:tcPr>
          <w:p w14:paraId="6C91AA89">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0.00012</w:t>
            </w:r>
          </w:p>
        </w:tc>
      </w:tr>
      <w:tr w14:paraId="07CBD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464" w:hRule="exact"/>
          <w:jc w:val="center"/>
        </w:trPr>
        <w:tc>
          <w:tcPr>
            <w:tcW w:w="969" w:type="pct"/>
            <w:tcBorders>
              <w:tl2br w:val="nil"/>
              <w:tr2bl w:val="nil"/>
            </w:tcBorders>
            <w:noWrap w:val="0"/>
            <w:vAlign w:val="center"/>
          </w:tcPr>
          <w:p w14:paraId="571A1AF4">
            <w:pPr>
              <w:pStyle w:val="1405"/>
              <w:bidi w:val="0"/>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废润滑油</w:t>
            </w:r>
          </w:p>
        </w:tc>
        <w:tc>
          <w:tcPr>
            <w:tcW w:w="1485" w:type="pct"/>
            <w:tcBorders>
              <w:tl2br w:val="nil"/>
              <w:tr2bl w:val="nil"/>
            </w:tcBorders>
            <w:noWrap w:val="0"/>
            <w:vAlign w:val="center"/>
          </w:tcPr>
          <w:p w14:paraId="1CA9BA9E">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油类物质（矿物油类）</w:t>
            </w:r>
          </w:p>
        </w:tc>
        <w:tc>
          <w:tcPr>
            <w:tcW w:w="1894" w:type="dxa"/>
            <w:tcBorders>
              <w:tl2br w:val="nil"/>
              <w:tr2bl w:val="nil"/>
            </w:tcBorders>
            <w:noWrap w:val="0"/>
            <w:vAlign w:val="center"/>
          </w:tcPr>
          <w:p w14:paraId="30274742">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0.25</w:t>
            </w:r>
          </w:p>
        </w:tc>
        <w:tc>
          <w:tcPr>
            <w:tcW w:w="815" w:type="pct"/>
            <w:tcBorders>
              <w:tl2br w:val="nil"/>
              <w:tr2bl w:val="nil"/>
            </w:tcBorders>
            <w:noWrap w:val="0"/>
            <w:vAlign w:val="center"/>
          </w:tcPr>
          <w:p w14:paraId="56401AB1">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2500</w:t>
            </w:r>
          </w:p>
        </w:tc>
        <w:tc>
          <w:tcPr>
            <w:tcW w:w="984" w:type="dxa"/>
            <w:tcBorders>
              <w:tl2br w:val="nil"/>
              <w:tr2bl w:val="nil"/>
            </w:tcBorders>
            <w:noWrap w:val="0"/>
            <w:vAlign w:val="center"/>
          </w:tcPr>
          <w:p w14:paraId="70A4474E">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shd w:val="clear"/>
                <w:lang w:val="en-US" w:eastAsia="zh-CN"/>
              </w:rPr>
              <w:t>0.0001</w:t>
            </w:r>
          </w:p>
        </w:tc>
      </w:tr>
      <w:tr w14:paraId="157071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52" w:hRule="exact"/>
          <w:jc w:val="center"/>
        </w:trPr>
        <w:tc>
          <w:tcPr>
            <w:tcW w:w="969" w:type="pct"/>
            <w:tcBorders>
              <w:tl2br w:val="nil"/>
              <w:tr2bl w:val="nil"/>
            </w:tcBorders>
            <w:noWrap w:val="0"/>
            <w:vAlign w:val="center"/>
          </w:tcPr>
          <w:p w14:paraId="16A334A7">
            <w:pPr>
              <w:pStyle w:val="1405"/>
              <w:bidi w:val="0"/>
              <w:rPr>
                <w:rFonts w:hint="default" w:cs="Times New Roman"/>
                <w:color w:val="auto"/>
                <w:highlight w:val="none"/>
                <w:lang w:val="en-US" w:eastAsia="zh-CN"/>
              </w:rPr>
            </w:pPr>
            <w:r>
              <w:rPr>
                <w:rFonts w:hint="eastAsia" w:cs="Times New Roman"/>
                <w:color w:val="auto"/>
                <w:highlight w:val="none"/>
                <w:lang w:val="en-US" w:eastAsia="zh-CN"/>
              </w:rPr>
              <w:t>天然气（甲烷）</w:t>
            </w:r>
          </w:p>
        </w:tc>
        <w:tc>
          <w:tcPr>
            <w:tcW w:w="1485" w:type="pct"/>
            <w:tcBorders>
              <w:tl2br w:val="nil"/>
              <w:tr2bl w:val="nil"/>
            </w:tcBorders>
            <w:noWrap w:val="0"/>
            <w:vAlign w:val="center"/>
          </w:tcPr>
          <w:p w14:paraId="63276074">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74-82-8</w:t>
            </w:r>
          </w:p>
        </w:tc>
        <w:tc>
          <w:tcPr>
            <w:tcW w:w="1894" w:type="dxa"/>
            <w:tcBorders>
              <w:tl2br w:val="nil"/>
              <w:tr2bl w:val="nil"/>
            </w:tcBorders>
            <w:noWrap w:val="0"/>
            <w:vAlign w:val="center"/>
          </w:tcPr>
          <w:p w14:paraId="24F0BAD4">
            <w:pPr>
              <w:pStyle w:val="1405"/>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0.013</w:t>
            </w:r>
          </w:p>
        </w:tc>
        <w:tc>
          <w:tcPr>
            <w:tcW w:w="815" w:type="pct"/>
            <w:tcBorders>
              <w:tl2br w:val="nil"/>
              <w:tr2bl w:val="nil"/>
            </w:tcBorders>
            <w:noWrap w:val="0"/>
            <w:vAlign w:val="center"/>
          </w:tcPr>
          <w:p w14:paraId="69DBA970">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p>
        </w:tc>
        <w:tc>
          <w:tcPr>
            <w:tcW w:w="984" w:type="dxa"/>
            <w:tcBorders>
              <w:tl2br w:val="nil"/>
              <w:tr2bl w:val="nil"/>
            </w:tcBorders>
            <w:noWrap w:val="0"/>
            <w:vAlign w:val="center"/>
          </w:tcPr>
          <w:p w14:paraId="64306029">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0.0013</w:t>
            </w:r>
          </w:p>
        </w:tc>
      </w:tr>
      <w:tr w14:paraId="6BE7D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50" w:hRule="exact"/>
          <w:jc w:val="center"/>
        </w:trPr>
        <w:tc>
          <w:tcPr>
            <w:tcW w:w="4408" w:type="pct"/>
            <w:gridSpan w:val="4"/>
            <w:tcBorders>
              <w:tl2br w:val="nil"/>
              <w:tr2bl w:val="nil"/>
            </w:tcBorders>
            <w:noWrap w:val="0"/>
            <w:vAlign w:val="center"/>
          </w:tcPr>
          <w:p w14:paraId="03458555">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合计</w:t>
            </w:r>
          </w:p>
        </w:tc>
        <w:tc>
          <w:tcPr>
            <w:tcW w:w="984" w:type="dxa"/>
            <w:tcBorders>
              <w:tl2br w:val="nil"/>
              <w:tr2bl w:val="nil"/>
            </w:tcBorders>
            <w:noWrap w:val="0"/>
            <w:vAlign w:val="center"/>
          </w:tcPr>
          <w:p w14:paraId="0CD08BE3">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0.1533</w:t>
            </w:r>
          </w:p>
        </w:tc>
      </w:tr>
    </w:tbl>
    <w:p w14:paraId="062B1690">
      <w:pPr>
        <w:pStyle w:val="1319"/>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根据上表，本项目</w:t>
      </w:r>
      <w:r>
        <w:rPr>
          <w:rFonts w:ascii="Times New Roman" w:hAnsi="Times New Roman" w:eastAsia="宋体" w:cs="Times New Roman"/>
          <w:color w:val="auto"/>
          <w:highlight w:val="none"/>
        </w:rPr>
        <w:t>危险物质数量与临界量比值Q＜1，不存在重大危险源。根据《建设项目环境风险评价技术导则》（ HJ169-2018）附录C：Q＜1，环境风险潜势为I。</w:t>
      </w:r>
    </w:p>
    <w:p w14:paraId="1CAD831B">
      <w:pPr>
        <w:pStyle w:val="1319"/>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根据《建设项目环境风险评价技术导则》（HJ169-2018）中评价工作等级表可知，本项目风险评价等级确定为简单分析。</w:t>
      </w:r>
    </w:p>
    <w:p w14:paraId="7238B9D9">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风险评价等级判定表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73"/>
        <w:gridCol w:w="1797"/>
        <w:gridCol w:w="1797"/>
        <w:gridCol w:w="1350"/>
        <w:gridCol w:w="1796"/>
      </w:tblGrid>
      <w:tr w14:paraId="75DEF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46" w:type="pct"/>
            <w:tcBorders>
              <w:tl2br w:val="nil"/>
              <w:tr2bl w:val="nil"/>
            </w:tcBorders>
            <w:noWrap w:val="0"/>
            <w:vAlign w:val="center"/>
          </w:tcPr>
          <w:p w14:paraId="4E93CBC2">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环境风险潜势</w:t>
            </w:r>
          </w:p>
        </w:tc>
        <w:tc>
          <w:tcPr>
            <w:tcW w:w="1081" w:type="pct"/>
            <w:tcBorders>
              <w:tl2br w:val="nil"/>
              <w:tr2bl w:val="nil"/>
            </w:tcBorders>
            <w:noWrap w:val="0"/>
            <w:vAlign w:val="center"/>
          </w:tcPr>
          <w:p w14:paraId="2063FFB4">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IV、IV</w:t>
            </w:r>
            <w:r>
              <w:rPr>
                <w:rFonts w:ascii="Times New Roman" w:hAnsi="Times New Roman" w:eastAsia="宋体" w:cs="Times New Roman"/>
                <w:color w:val="auto"/>
                <w:highlight w:val="none"/>
                <w:vertAlign w:val="superscript"/>
              </w:rPr>
              <w:t>+</w:t>
            </w:r>
          </w:p>
        </w:tc>
        <w:tc>
          <w:tcPr>
            <w:tcW w:w="1081" w:type="pct"/>
            <w:tcBorders>
              <w:tl2br w:val="nil"/>
              <w:tr2bl w:val="nil"/>
            </w:tcBorders>
            <w:noWrap w:val="0"/>
            <w:vAlign w:val="center"/>
          </w:tcPr>
          <w:p w14:paraId="35386212">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III</w:t>
            </w:r>
          </w:p>
        </w:tc>
        <w:tc>
          <w:tcPr>
            <w:tcW w:w="812" w:type="pct"/>
            <w:tcBorders>
              <w:tl2br w:val="nil"/>
              <w:tr2bl w:val="nil"/>
            </w:tcBorders>
            <w:noWrap w:val="0"/>
            <w:vAlign w:val="center"/>
          </w:tcPr>
          <w:p w14:paraId="2F009671">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II</w:t>
            </w:r>
          </w:p>
        </w:tc>
        <w:tc>
          <w:tcPr>
            <w:tcW w:w="1080" w:type="pct"/>
            <w:tcBorders>
              <w:tl2br w:val="nil"/>
              <w:tr2bl w:val="nil"/>
            </w:tcBorders>
            <w:noWrap w:val="0"/>
            <w:vAlign w:val="center"/>
          </w:tcPr>
          <w:p w14:paraId="47576286">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I</w:t>
            </w:r>
          </w:p>
        </w:tc>
      </w:tr>
      <w:tr w14:paraId="576E7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46" w:type="pct"/>
            <w:tcBorders>
              <w:tl2br w:val="nil"/>
              <w:tr2bl w:val="nil"/>
            </w:tcBorders>
            <w:shd w:val="clear" w:color="auto" w:fill="auto"/>
            <w:noWrap w:val="0"/>
            <w:vAlign w:val="center"/>
          </w:tcPr>
          <w:p w14:paraId="53177143">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评价工作等级</w:t>
            </w:r>
          </w:p>
        </w:tc>
        <w:tc>
          <w:tcPr>
            <w:tcW w:w="1081" w:type="pct"/>
            <w:tcBorders>
              <w:tl2br w:val="nil"/>
              <w:tr2bl w:val="nil"/>
            </w:tcBorders>
            <w:shd w:val="clear" w:color="auto" w:fill="auto"/>
            <w:noWrap w:val="0"/>
            <w:vAlign w:val="center"/>
          </w:tcPr>
          <w:p w14:paraId="036C38A2">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p>
        </w:tc>
        <w:tc>
          <w:tcPr>
            <w:tcW w:w="1081" w:type="pct"/>
            <w:tcBorders>
              <w:tl2br w:val="nil"/>
              <w:tr2bl w:val="nil"/>
            </w:tcBorders>
            <w:shd w:val="clear" w:color="auto" w:fill="auto"/>
            <w:noWrap w:val="0"/>
            <w:vAlign w:val="center"/>
          </w:tcPr>
          <w:p w14:paraId="290D67CF">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w:t>
            </w:r>
          </w:p>
        </w:tc>
        <w:tc>
          <w:tcPr>
            <w:tcW w:w="812" w:type="pct"/>
            <w:tcBorders>
              <w:tl2br w:val="nil"/>
              <w:tr2bl w:val="nil"/>
            </w:tcBorders>
            <w:shd w:val="clear" w:color="auto" w:fill="auto"/>
            <w:noWrap w:val="0"/>
            <w:vAlign w:val="center"/>
          </w:tcPr>
          <w:p w14:paraId="0F30FBD8">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w:t>
            </w:r>
          </w:p>
        </w:tc>
        <w:tc>
          <w:tcPr>
            <w:tcW w:w="1080" w:type="pct"/>
            <w:tcBorders>
              <w:tl2br w:val="nil"/>
              <w:tr2bl w:val="nil"/>
            </w:tcBorders>
            <w:shd w:val="clear" w:color="auto" w:fill="A6A6A6"/>
            <w:noWrap w:val="0"/>
            <w:vAlign w:val="center"/>
          </w:tcPr>
          <w:p w14:paraId="22E8595A">
            <w:pPr>
              <w:pStyle w:val="448"/>
              <w:rPr>
                <w:rFonts w:ascii="Times New Roman" w:hAnsi="Times New Roman" w:eastAsia="宋体" w:cs="Times New Roman"/>
                <w:color w:val="auto"/>
                <w:highlight w:val="none"/>
              </w:rPr>
            </w:pPr>
            <w:r>
              <w:rPr>
                <w:rFonts w:ascii="Times New Roman" w:hAnsi="Times New Roman" w:eastAsia="宋体" w:cs="Times New Roman"/>
                <w:color w:val="auto"/>
                <w:highlight w:val="none"/>
              </w:rPr>
              <w:t>简单分析</w:t>
            </w:r>
          </w:p>
        </w:tc>
      </w:tr>
    </w:tbl>
    <w:p w14:paraId="692A7690">
      <w:pPr>
        <w:pStyle w:val="4"/>
        <w:numPr>
          <w:ilvl w:val="2"/>
          <w:numId w:val="0"/>
        </w:numPr>
        <w:tabs>
          <w:tab w:val="clear" w:pos="720"/>
        </w:tabs>
        <w:bidi w:val="0"/>
        <w:rPr>
          <w:color w:val="auto"/>
          <w:highlight w:val="none"/>
        </w:rPr>
      </w:pPr>
      <w:bookmarkStart w:id="289" w:name="_Toc30120"/>
      <w:bookmarkStart w:id="290" w:name="_Toc359709195"/>
      <w:bookmarkStart w:id="291" w:name="_Toc373835692"/>
      <w:bookmarkStart w:id="292" w:name="_Toc359708659"/>
      <w:bookmarkStart w:id="293" w:name="_Toc445550191"/>
      <w:bookmarkStart w:id="294" w:name="_Toc366254966"/>
      <w:bookmarkStart w:id="295" w:name="_Toc359686418"/>
      <w:bookmarkStart w:id="296" w:name="_Toc359708284"/>
      <w:bookmarkStart w:id="297" w:name="_Toc362276134"/>
      <w:r>
        <w:rPr>
          <w:color w:val="auto"/>
          <w:highlight w:val="none"/>
        </w:rPr>
        <w:t>2.5.7</w:t>
      </w:r>
      <w:r>
        <w:rPr>
          <w:rFonts w:hint="eastAsia"/>
          <w:color w:val="auto"/>
          <w:highlight w:val="none"/>
          <w:lang w:val="en-US" w:eastAsia="zh-CN"/>
        </w:rPr>
        <w:t xml:space="preserve"> </w:t>
      </w:r>
      <w:r>
        <w:rPr>
          <w:color w:val="auto"/>
          <w:highlight w:val="none"/>
        </w:rPr>
        <w:t>土壤环境</w:t>
      </w:r>
      <w:bookmarkEnd w:id="289"/>
    </w:p>
    <w:p w14:paraId="1FF3AABC">
      <w:pPr>
        <w:pStyle w:val="5"/>
        <w:numPr>
          <w:ilvl w:val="3"/>
          <w:numId w:val="0"/>
        </w:numPr>
        <w:bidi w:val="0"/>
        <w:ind w:leftChars="0"/>
        <w:rPr>
          <w:color w:val="auto"/>
          <w:highlight w:val="none"/>
        </w:rPr>
      </w:pPr>
      <w:r>
        <w:rPr>
          <w:color w:val="auto"/>
          <w:highlight w:val="none"/>
        </w:rPr>
        <w:t>2.5.7.1</w:t>
      </w:r>
      <w:r>
        <w:rPr>
          <w:rFonts w:hint="eastAsia"/>
          <w:color w:val="auto"/>
          <w:highlight w:val="none"/>
          <w:lang w:val="en-US" w:eastAsia="zh-CN"/>
        </w:rPr>
        <w:t xml:space="preserve"> </w:t>
      </w:r>
      <w:r>
        <w:rPr>
          <w:color w:val="auto"/>
          <w:highlight w:val="none"/>
        </w:rPr>
        <w:t>评价工作等级</w:t>
      </w:r>
    </w:p>
    <w:p w14:paraId="665BB18D">
      <w:pPr>
        <w:pStyle w:val="1336"/>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对照《环境影响评价技术导则土壤环境（试行）》（HJ964-2018）附录A</w:t>
      </w:r>
      <w:r>
        <w:rPr>
          <w:rFonts w:hint="eastAsia" w:ascii="Times New Roman" w:hAnsi="Times New Roman" w:eastAsia="宋体" w:cs="Times New Roman"/>
          <w:color w:val="auto"/>
          <w:highlight w:val="none"/>
        </w:rPr>
        <w:t>中表A.1土壤环境影响评价项目类别，本项目属于</w:t>
      </w:r>
      <w:r>
        <w:rPr>
          <w:rFonts w:hint="eastAsia" w:cs="Times New Roman"/>
          <w:color w:val="auto"/>
          <w:highlight w:val="none"/>
          <w:lang w:eastAsia="zh-CN"/>
        </w:rPr>
        <w:t>“</w:t>
      </w:r>
      <w:r>
        <w:rPr>
          <w:rFonts w:hint="eastAsia" w:ascii="Times New Roman" w:hAnsi="Times New Roman" w:eastAsia="宋体" w:cs="Times New Roman"/>
          <w:color w:val="auto"/>
          <w:highlight w:val="none"/>
        </w:rPr>
        <w:t>制造业——设备制造、金属制品、汽车制造及其他用品制造</w:t>
      </w:r>
      <w:r>
        <w:rPr>
          <w:rFonts w:hint="eastAsia" w:cs="Times New Roman"/>
          <w:color w:val="auto"/>
          <w:highlight w:val="none"/>
          <w:lang w:eastAsia="zh-CN"/>
        </w:rPr>
        <w:t>”</w:t>
      </w:r>
      <w:r>
        <w:rPr>
          <w:rFonts w:hint="eastAsia" w:ascii="Times New Roman" w:hAnsi="Times New Roman" w:eastAsia="宋体" w:cs="Times New Roman"/>
          <w:color w:val="auto"/>
          <w:highlight w:val="none"/>
        </w:rPr>
        <w:t>，属于</w:t>
      </w:r>
      <w:r>
        <w:rPr>
          <w:rFonts w:ascii="Times New Roman" w:hAnsi="Times New Roman" w:eastAsia="宋体" w:cs="Times New Roman"/>
          <w:color w:val="auto"/>
          <w:highlight w:val="none"/>
        </w:rPr>
        <w:t>I类</w:t>
      </w:r>
      <w:r>
        <w:rPr>
          <w:rFonts w:hint="eastAsia" w:ascii="Times New Roman" w:hAnsi="Times New Roman" w:eastAsia="宋体" w:cs="Times New Roman"/>
          <w:color w:val="auto"/>
          <w:highlight w:val="none"/>
        </w:rPr>
        <w:t>项目</w:t>
      </w:r>
      <w:r>
        <w:rPr>
          <w:rFonts w:ascii="Times New Roman" w:hAnsi="Times New Roman" w:eastAsia="宋体" w:cs="Times New Roman"/>
          <w:color w:val="auto"/>
          <w:highlight w:val="none"/>
        </w:rPr>
        <w:t>。</w:t>
      </w:r>
    </w:p>
    <w:p w14:paraId="2943AED9">
      <w:pPr>
        <w:pStyle w:val="1336"/>
        <w:ind w:firstLine="480"/>
        <w:rPr>
          <w:rFonts w:hint="eastAsia" w:ascii="Times New Roman" w:hAnsi="Times New Roman" w:eastAsia="宋体" w:cs="Times New Roman"/>
          <w:color w:val="auto"/>
          <w:highlight w:val="none"/>
        </w:rPr>
      </w:pPr>
      <w:r>
        <w:rPr>
          <w:rFonts w:ascii="Times New Roman" w:hAnsi="Times New Roman" w:eastAsia="宋体" w:cs="Times New Roman"/>
          <w:color w:val="auto"/>
          <w:highlight w:val="none"/>
        </w:rPr>
        <w:t>项目永久占地面积为</w:t>
      </w:r>
      <w:r>
        <w:rPr>
          <w:rFonts w:hint="eastAsia" w:cs="Times New Roman"/>
          <w:color w:val="auto"/>
          <w:highlight w:val="none"/>
          <w:lang w:val="en-US" w:eastAsia="zh-CN"/>
        </w:rPr>
        <w:t>10874.8</w:t>
      </w:r>
      <w:r>
        <w:rPr>
          <w:rFonts w:ascii="Times New Roman" w:hAnsi="Times New Roman" w:eastAsia="宋体" w:cs="Times New Roman"/>
          <w:color w:val="auto"/>
          <w:highlight w:val="none"/>
        </w:rPr>
        <w:t>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，占地规模属于</w:t>
      </w:r>
      <w:r>
        <w:rPr>
          <w:rFonts w:hint="eastAsia" w:ascii="Times New Roman" w:hAnsi="Times New Roman" w:eastAsia="宋体" w:cs="Times New Roman"/>
          <w:color w:val="auto"/>
          <w:highlight w:val="none"/>
          <w:lang w:val="en-US" w:eastAsia="zh-CN"/>
        </w:rPr>
        <w:t>小</w:t>
      </w:r>
      <w:r>
        <w:rPr>
          <w:rFonts w:ascii="Times New Roman" w:hAnsi="Times New Roman" w:eastAsia="宋体" w:cs="Times New Roman"/>
          <w:color w:val="auto"/>
          <w:highlight w:val="none"/>
        </w:rPr>
        <w:t>型；项目位于</w:t>
      </w:r>
      <w:r>
        <w:rPr>
          <w:rFonts w:hint="eastAsia" w:ascii="Times New Roman" w:hAnsi="Times New Roman" w:eastAsia="宋体" w:cs="Times New Roman"/>
          <w:color w:val="auto"/>
          <w:highlight w:val="none"/>
          <w:lang w:eastAsia="zh-CN" w:bidi="he-IL"/>
        </w:rPr>
        <w:t>福建省福州市闽侯县青口镇（青口汽车城内）</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用地类型属于工业用地，周边不存在耕地、园地、牧草地、饮用水水源地或居民区、学校、医院、疗养院、养老院等土壤环境敏感目标，土壤敏感程度为不敏感。因此，项目土壤环境影响评价等级为二级，详见表</w:t>
      </w:r>
      <w:r>
        <w:rPr>
          <w:rFonts w:hint="eastAsia"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8</w:t>
      </w:r>
      <w:r>
        <w:rPr>
          <w:rFonts w:hint="eastAsia" w:ascii="Times New Roman" w:hAnsi="Times New Roman" w:eastAsia="宋体" w:cs="Times New Roman"/>
          <w:color w:val="auto"/>
          <w:highlight w:val="none"/>
        </w:rPr>
        <w:t>。</w:t>
      </w:r>
    </w:p>
    <w:p w14:paraId="63EF67FF">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表2.5-</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污染影响型评价工作等级划分表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687"/>
        <w:gridCol w:w="855"/>
        <w:gridCol w:w="856"/>
        <w:gridCol w:w="856"/>
        <w:gridCol w:w="856"/>
        <w:gridCol w:w="856"/>
        <w:gridCol w:w="856"/>
        <w:gridCol w:w="857"/>
        <w:gridCol w:w="705"/>
      </w:tblGrid>
      <w:tr w14:paraId="45B22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 w:type="pct"/>
            <w:vMerge w:val="restart"/>
            <w:tcBorders>
              <w:tl2br w:val="single" w:color="auto" w:sz="4" w:space="0"/>
            </w:tcBorders>
            <w:noWrap w:val="0"/>
            <w:vAlign w:val="center"/>
          </w:tcPr>
          <w:p w14:paraId="0BC0FB1D">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项目类别</w:t>
            </w:r>
          </w:p>
          <w:p w14:paraId="3E9FEF2F">
            <w:pPr>
              <w:pStyle w:val="1369"/>
              <w:ind w:firstLine="210" w:firstLineChars="100"/>
              <w:jc w:val="both"/>
              <w:rPr>
                <w:rFonts w:ascii="Times New Roman" w:hAnsi="Times New Roman" w:eastAsia="宋体" w:cs="Times New Roman"/>
                <w:color w:val="auto"/>
                <w:highlight w:val="none"/>
              </w:rPr>
            </w:pPr>
          </w:p>
          <w:p w14:paraId="3652CC5F">
            <w:pPr>
              <w:pStyle w:val="1369"/>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敏感程度</w:t>
            </w:r>
          </w:p>
        </w:tc>
        <w:tc>
          <w:tcPr>
            <w:tcW w:w="1406" w:type="pct"/>
            <w:gridSpan w:val="3"/>
            <w:tcBorders>
              <w:tl2br w:val="nil"/>
              <w:tr2bl w:val="nil"/>
            </w:tcBorders>
            <w:noWrap w:val="0"/>
            <w:vAlign w:val="center"/>
          </w:tcPr>
          <w:p w14:paraId="08989EAA">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I类</w:t>
            </w:r>
          </w:p>
        </w:tc>
        <w:tc>
          <w:tcPr>
            <w:tcW w:w="1506" w:type="pct"/>
            <w:gridSpan w:val="3"/>
            <w:tcBorders>
              <w:tl2br w:val="nil"/>
              <w:tr2bl w:val="nil"/>
            </w:tcBorders>
            <w:noWrap w:val="0"/>
            <w:vAlign w:val="top"/>
          </w:tcPr>
          <w:p w14:paraId="16FB897C">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II类</w:t>
            </w:r>
          </w:p>
        </w:tc>
        <w:tc>
          <w:tcPr>
            <w:tcW w:w="1418" w:type="pct"/>
            <w:gridSpan w:val="3"/>
            <w:tcBorders>
              <w:tl2br w:val="nil"/>
              <w:tr2bl w:val="nil"/>
            </w:tcBorders>
            <w:noWrap w:val="0"/>
            <w:vAlign w:val="top"/>
          </w:tcPr>
          <w:p w14:paraId="3085E71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III类</w:t>
            </w:r>
          </w:p>
        </w:tc>
      </w:tr>
      <w:tr w14:paraId="34A829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 w:type="pct"/>
            <w:vMerge w:val="continue"/>
            <w:tcBorders>
              <w:tl2br w:val="nil"/>
              <w:tr2bl w:val="nil"/>
            </w:tcBorders>
            <w:noWrap w:val="0"/>
            <w:vAlign w:val="center"/>
          </w:tcPr>
          <w:p w14:paraId="75735C01">
            <w:pPr>
              <w:pStyle w:val="1369"/>
              <w:rPr>
                <w:rFonts w:ascii="Times New Roman" w:hAnsi="Times New Roman" w:eastAsia="宋体" w:cs="Times New Roman"/>
                <w:color w:val="auto"/>
                <w:highlight w:val="none"/>
              </w:rPr>
            </w:pPr>
          </w:p>
        </w:tc>
        <w:tc>
          <w:tcPr>
            <w:tcW w:w="403" w:type="pct"/>
            <w:tcBorders>
              <w:tl2br w:val="nil"/>
              <w:tr2bl w:val="nil"/>
            </w:tcBorders>
            <w:noWrap w:val="0"/>
            <w:vAlign w:val="center"/>
          </w:tcPr>
          <w:p w14:paraId="52767EC0">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大</w:t>
            </w:r>
          </w:p>
        </w:tc>
        <w:tc>
          <w:tcPr>
            <w:tcW w:w="501" w:type="pct"/>
            <w:tcBorders>
              <w:tl2br w:val="nil"/>
              <w:tr2bl w:val="nil"/>
            </w:tcBorders>
            <w:noWrap w:val="0"/>
            <w:vAlign w:val="center"/>
          </w:tcPr>
          <w:p w14:paraId="3307AA7C">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w:t>
            </w:r>
          </w:p>
        </w:tc>
        <w:tc>
          <w:tcPr>
            <w:tcW w:w="502" w:type="pct"/>
            <w:tcBorders>
              <w:tl2br w:val="nil"/>
              <w:tr2bl w:val="nil"/>
            </w:tcBorders>
            <w:noWrap w:val="0"/>
            <w:vAlign w:val="center"/>
          </w:tcPr>
          <w:p w14:paraId="0CAF30CB">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小</w:t>
            </w:r>
          </w:p>
        </w:tc>
        <w:tc>
          <w:tcPr>
            <w:tcW w:w="502" w:type="pct"/>
            <w:tcBorders>
              <w:tl2br w:val="nil"/>
              <w:tr2bl w:val="nil"/>
            </w:tcBorders>
            <w:noWrap w:val="0"/>
            <w:vAlign w:val="center"/>
          </w:tcPr>
          <w:p w14:paraId="7889F7F5">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大</w:t>
            </w:r>
          </w:p>
        </w:tc>
        <w:tc>
          <w:tcPr>
            <w:tcW w:w="502" w:type="pct"/>
            <w:tcBorders>
              <w:tl2br w:val="nil"/>
              <w:tr2bl w:val="nil"/>
            </w:tcBorders>
            <w:noWrap w:val="0"/>
            <w:vAlign w:val="center"/>
          </w:tcPr>
          <w:p w14:paraId="46792BD4">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w:t>
            </w:r>
          </w:p>
        </w:tc>
        <w:tc>
          <w:tcPr>
            <w:tcW w:w="501" w:type="pct"/>
            <w:tcBorders>
              <w:tl2br w:val="nil"/>
              <w:tr2bl w:val="nil"/>
            </w:tcBorders>
            <w:noWrap w:val="0"/>
            <w:vAlign w:val="center"/>
          </w:tcPr>
          <w:p w14:paraId="065E8E1F">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小</w:t>
            </w:r>
          </w:p>
        </w:tc>
        <w:tc>
          <w:tcPr>
            <w:tcW w:w="502" w:type="pct"/>
            <w:tcBorders>
              <w:tl2br w:val="nil"/>
              <w:tr2bl w:val="nil"/>
            </w:tcBorders>
            <w:noWrap w:val="0"/>
            <w:vAlign w:val="center"/>
          </w:tcPr>
          <w:p w14:paraId="41CB301C">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大</w:t>
            </w:r>
          </w:p>
        </w:tc>
        <w:tc>
          <w:tcPr>
            <w:tcW w:w="502" w:type="pct"/>
            <w:tcBorders>
              <w:tl2br w:val="nil"/>
              <w:tr2bl w:val="nil"/>
            </w:tcBorders>
            <w:noWrap w:val="0"/>
            <w:vAlign w:val="center"/>
          </w:tcPr>
          <w:p w14:paraId="6788C476">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w:t>
            </w:r>
          </w:p>
        </w:tc>
        <w:tc>
          <w:tcPr>
            <w:tcW w:w="414" w:type="pct"/>
            <w:tcBorders>
              <w:tl2br w:val="nil"/>
              <w:tr2bl w:val="nil"/>
            </w:tcBorders>
            <w:noWrap w:val="0"/>
            <w:vAlign w:val="center"/>
          </w:tcPr>
          <w:p w14:paraId="634257CA">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小</w:t>
            </w:r>
          </w:p>
        </w:tc>
      </w:tr>
      <w:tr w14:paraId="1BEEE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 w:type="pct"/>
            <w:tcBorders>
              <w:tl2br w:val="nil"/>
              <w:tr2bl w:val="nil"/>
            </w:tcBorders>
            <w:noWrap w:val="0"/>
            <w:vAlign w:val="center"/>
          </w:tcPr>
          <w:p w14:paraId="217A5B87">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敏感</w:t>
            </w:r>
          </w:p>
        </w:tc>
        <w:tc>
          <w:tcPr>
            <w:tcW w:w="403" w:type="pct"/>
            <w:tcBorders>
              <w:tl2br w:val="nil"/>
              <w:tr2bl w:val="nil"/>
            </w:tcBorders>
            <w:noWrap w:val="0"/>
            <w:vAlign w:val="center"/>
          </w:tcPr>
          <w:p w14:paraId="7C6DD556">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1" w:type="pct"/>
            <w:tcBorders>
              <w:tl2br w:val="nil"/>
              <w:tr2bl w:val="nil"/>
            </w:tcBorders>
            <w:noWrap w:val="0"/>
            <w:vAlign w:val="top"/>
          </w:tcPr>
          <w:p w14:paraId="657935D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2" w:type="pct"/>
            <w:tcBorders>
              <w:tl2br w:val="nil"/>
              <w:tr2bl w:val="nil"/>
            </w:tcBorders>
            <w:noWrap w:val="0"/>
            <w:vAlign w:val="top"/>
          </w:tcPr>
          <w:p w14:paraId="657F6994">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2" w:type="pct"/>
            <w:tcBorders>
              <w:tl2br w:val="nil"/>
              <w:tr2bl w:val="nil"/>
            </w:tcBorders>
            <w:noWrap w:val="0"/>
            <w:vAlign w:val="top"/>
          </w:tcPr>
          <w:p w14:paraId="1FA9F0C8">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top"/>
          </w:tcPr>
          <w:p w14:paraId="403C5088">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1" w:type="pct"/>
            <w:tcBorders>
              <w:tl2br w:val="nil"/>
              <w:tr2bl w:val="nil"/>
            </w:tcBorders>
            <w:noWrap w:val="0"/>
            <w:vAlign w:val="top"/>
          </w:tcPr>
          <w:p w14:paraId="56B8FB8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top"/>
          </w:tcPr>
          <w:p w14:paraId="16491BB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2" w:type="pct"/>
            <w:tcBorders>
              <w:tl2br w:val="nil"/>
              <w:tr2bl w:val="nil"/>
            </w:tcBorders>
            <w:noWrap w:val="0"/>
            <w:vAlign w:val="top"/>
          </w:tcPr>
          <w:p w14:paraId="396F1579">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414" w:type="pct"/>
            <w:tcBorders>
              <w:tl2br w:val="nil"/>
              <w:tr2bl w:val="nil"/>
            </w:tcBorders>
            <w:noWrap w:val="0"/>
            <w:vAlign w:val="center"/>
          </w:tcPr>
          <w:p w14:paraId="7E355DFB">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r>
      <w:tr w14:paraId="099976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 w:type="pct"/>
            <w:tcBorders>
              <w:tl2br w:val="nil"/>
              <w:tr2bl w:val="nil"/>
            </w:tcBorders>
            <w:noWrap w:val="0"/>
            <w:vAlign w:val="center"/>
          </w:tcPr>
          <w:p w14:paraId="603D7F66">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轻敏感</w:t>
            </w:r>
          </w:p>
        </w:tc>
        <w:tc>
          <w:tcPr>
            <w:tcW w:w="403" w:type="pct"/>
            <w:tcBorders>
              <w:tl2br w:val="nil"/>
              <w:tr2bl w:val="nil"/>
            </w:tcBorders>
            <w:noWrap w:val="0"/>
            <w:vAlign w:val="top"/>
          </w:tcPr>
          <w:p w14:paraId="08DCCB3A">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1" w:type="pct"/>
            <w:tcBorders>
              <w:tl2br w:val="nil"/>
              <w:tr2bl w:val="nil"/>
            </w:tcBorders>
            <w:noWrap w:val="0"/>
            <w:vAlign w:val="center"/>
          </w:tcPr>
          <w:p w14:paraId="7B18D118">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2" w:type="pct"/>
            <w:tcBorders>
              <w:tl2br w:val="nil"/>
              <w:tr2bl w:val="nil"/>
            </w:tcBorders>
            <w:noWrap w:val="0"/>
            <w:vAlign w:val="top"/>
          </w:tcPr>
          <w:p w14:paraId="3BD2A65E">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top"/>
          </w:tcPr>
          <w:p w14:paraId="077CAC27">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top"/>
          </w:tcPr>
          <w:p w14:paraId="789578A0">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1" w:type="pct"/>
            <w:tcBorders>
              <w:tl2br w:val="nil"/>
              <w:tr2bl w:val="nil"/>
            </w:tcBorders>
            <w:noWrap w:val="0"/>
            <w:vAlign w:val="top"/>
          </w:tcPr>
          <w:p w14:paraId="40531580">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2" w:type="pct"/>
            <w:tcBorders>
              <w:tl2br w:val="nil"/>
              <w:tr2bl w:val="nil"/>
            </w:tcBorders>
            <w:noWrap w:val="0"/>
            <w:vAlign w:val="top"/>
          </w:tcPr>
          <w:p w14:paraId="0CD971F8">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2" w:type="pct"/>
            <w:tcBorders>
              <w:tl2br w:val="nil"/>
              <w:tr2bl w:val="nil"/>
            </w:tcBorders>
            <w:noWrap w:val="0"/>
            <w:vAlign w:val="top"/>
          </w:tcPr>
          <w:p w14:paraId="52065947">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414" w:type="pct"/>
            <w:tcBorders>
              <w:tl2br w:val="nil"/>
              <w:tr2bl w:val="nil"/>
            </w:tcBorders>
            <w:noWrap w:val="0"/>
            <w:vAlign w:val="center"/>
          </w:tcPr>
          <w:p w14:paraId="6D86571A">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r w14:paraId="1DE1E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 w:type="pct"/>
            <w:tcBorders>
              <w:tl2br w:val="nil"/>
              <w:tr2bl w:val="nil"/>
            </w:tcBorders>
            <w:shd w:val="clear" w:color="auto" w:fill="auto"/>
            <w:noWrap w:val="0"/>
            <w:vAlign w:val="center"/>
          </w:tcPr>
          <w:p w14:paraId="3FC1B50D">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不敏感</w:t>
            </w:r>
          </w:p>
        </w:tc>
        <w:tc>
          <w:tcPr>
            <w:tcW w:w="403" w:type="pct"/>
            <w:tcBorders>
              <w:tl2br w:val="nil"/>
              <w:tr2bl w:val="nil"/>
            </w:tcBorders>
            <w:shd w:val="clear" w:color="auto" w:fill="auto"/>
            <w:noWrap w:val="0"/>
            <w:vAlign w:val="top"/>
          </w:tcPr>
          <w:p w14:paraId="03A43C56">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一级</w:t>
            </w:r>
          </w:p>
        </w:tc>
        <w:tc>
          <w:tcPr>
            <w:tcW w:w="501" w:type="pct"/>
            <w:tcBorders>
              <w:tl2br w:val="nil"/>
              <w:tr2bl w:val="nil"/>
            </w:tcBorders>
            <w:shd w:val="clear" w:color="auto" w:fill="auto"/>
            <w:noWrap w:val="0"/>
            <w:vAlign w:val="center"/>
          </w:tcPr>
          <w:p w14:paraId="05342A87">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shd w:val="clear" w:color="auto" w:fill="D7D7D7"/>
            <w:noWrap w:val="0"/>
            <w:vAlign w:val="top"/>
          </w:tcPr>
          <w:p w14:paraId="757B9340">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top"/>
          </w:tcPr>
          <w:p w14:paraId="2920EBC9">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二级</w:t>
            </w:r>
          </w:p>
        </w:tc>
        <w:tc>
          <w:tcPr>
            <w:tcW w:w="502" w:type="pct"/>
            <w:tcBorders>
              <w:tl2br w:val="nil"/>
              <w:tr2bl w:val="nil"/>
            </w:tcBorders>
            <w:noWrap w:val="0"/>
            <w:vAlign w:val="center"/>
          </w:tcPr>
          <w:p w14:paraId="75CF000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1" w:type="pct"/>
            <w:tcBorders>
              <w:tl2br w:val="nil"/>
              <w:tr2bl w:val="nil"/>
            </w:tcBorders>
            <w:noWrap w:val="0"/>
            <w:vAlign w:val="top"/>
          </w:tcPr>
          <w:p w14:paraId="0C0A3F62">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2" w:type="pct"/>
            <w:tcBorders>
              <w:tl2br w:val="nil"/>
              <w:tr2bl w:val="nil"/>
            </w:tcBorders>
            <w:noWrap w:val="0"/>
            <w:vAlign w:val="top"/>
          </w:tcPr>
          <w:p w14:paraId="59128A74">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三级</w:t>
            </w:r>
          </w:p>
        </w:tc>
        <w:tc>
          <w:tcPr>
            <w:tcW w:w="502" w:type="pct"/>
            <w:tcBorders>
              <w:tl2br w:val="nil"/>
              <w:tr2bl w:val="nil"/>
            </w:tcBorders>
            <w:noWrap w:val="0"/>
            <w:vAlign w:val="center"/>
          </w:tcPr>
          <w:p w14:paraId="7E9D942F">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c>
          <w:tcPr>
            <w:tcW w:w="414" w:type="pct"/>
            <w:tcBorders>
              <w:tl2br w:val="nil"/>
              <w:tr2bl w:val="nil"/>
            </w:tcBorders>
            <w:noWrap w:val="0"/>
            <w:vAlign w:val="center"/>
          </w:tcPr>
          <w:p w14:paraId="0DD02705">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r>
      <w:tr w14:paraId="53830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tcBorders>
              <w:tl2br w:val="nil"/>
              <w:tr2bl w:val="nil"/>
            </w:tcBorders>
            <w:noWrap w:val="0"/>
            <w:vAlign w:val="center"/>
          </w:tcPr>
          <w:p w14:paraId="33BC7E41">
            <w:pPr>
              <w:pStyle w:val="1369"/>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w:t>
            </w:r>
            <w:r>
              <w:rPr>
                <w:rFonts w:hint="eastAsia" w:cs="Times New Roman"/>
                <w:color w:val="auto"/>
                <w:highlight w:val="none"/>
                <w:lang w:eastAsia="zh-CN"/>
              </w:rPr>
              <w:t>“</w:t>
            </w:r>
            <w:r>
              <w:rPr>
                <w:rFonts w:ascii="Times New Roman" w:hAnsi="Times New Roman" w:eastAsia="宋体" w:cs="Times New Roman"/>
                <w:color w:val="auto"/>
                <w:highlight w:val="none"/>
              </w:rPr>
              <w:t>-</w:t>
            </w:r>
            <w:r>
              <w:rPr>
                <w:rFonts w:hint="eastAsia" w:cs="Times New Roman"/>
                <w:color w:val="auto"/>
                <w:highlight w:val="none"/>
                <w:lang w:eastAsia="zh-CN"/>
              </w:rPr>
              <w:t>”</w:t>
            </w:r>
            <w:r>
              <w:rPr>
                <w:rFonts w:ascii="Times New Roman" w:hAnsi="Times New Roman" w:eastAsia="宋体" w:cs="Times New Roman"/>
                <w:color w:val="auto"/>
                <w:highlight w:val="none"/>
              </w:rPr>
              <w:t>表示可不开展土壤环境影响评价工作。</w:t>
            </w:r>
          </w:p>
        </w:tc>
      </w:tr>
      <w:bookmarkEnd w:id="290"/>
      <w:bookmarkEnd w:id="291"/>
      <w:bookmarkEnd w:id="292"/>
      <w:bookmarkEnd w:id="293"/>
      <w:bookmarkEnd w:id="294"/>
      <w:bookmarkEnd w:id="295"/>
      <w:bookmarkEnd w:id="296"/>
      <w:bookmarkEnd w:id="297"/>
    </w:tbl>
    <w:p w14:paraId="0E4A860E">
      <w:pPr>
        <w:pStyle w:val="5"/>
        <w:numPr>
          <w:ilvl w:val="3"/>
          <w:numId w:val="0"/>
        </w:numPr>
        <w:bidi w:val="0"/>
        <w:ind w:leftChars="0"/>
        <w:rPr>
          <w:color w:val="auto"/>
          <w:highlight w:val="none"/>
        </w:rPr>
      </w:pPr>
      <w:r>
        <w:rPr>
          <w:color w:val="auto"/>
          <w:highlight w:val="none"/>
        </w:rPr>
        <w:t>2.5.7.2</w:t>
      </w:r>
      <w:r>
        <w:rPr>
          <w:rFonts w:hint="eastAsia"/>
          <w:color w:val="auto"/>
          <w:highlight w:val="none"/>
          <w:lang w:val="en-US" w:eastAsia="zh-CN"/>
        </w:rPr>
        <w:t xml:space="preserve"> </w:t>
      </w:r>
      <w:r>
        <w:rPr>
          <w:color w:val="auto"/>
          <w:highlight w:val="none"/>
        </w:rPr>
        <w:t>评价范围</w:t>
      </w:r>
    </w:p>
    <w:p w14:paraId="0B911CD1">
      <w:pPr>
        <w:pStyle w:val="1336"/>
        <w:ind w:firstLine="480"/>
        <w:rPr>
          <w:rFonts w:ascii="Times New Roman" w:hAnsi="Times New Roman" w:eastAsia="宋体" w:cs="Times New Roman"/>
          <w:color w:val="auto"/>
          <w:highlight w:val="none"/>
        </w:rPr>
      </w:pPr>
      <w:bookmarkStart w:id="298" w:name="_Toc359708285"/>
      <w:bookmarkStart w:id="299" w:name="_Toc373835693"/>
      <w:bookmarkStart w:id="300" w:name="_Toc359686419"/>
      <w:bookmarkStart w:id="301" w:name="_Toc362276135"/>
      <w:bookmarkStart w:id="302" w:name="_Toc359708660"/>
      <w:bookmarkStart w:id="303" w:name="_Toc445550192"/>
      <w:bookmarkStart w:id="304" w:name="_Toc359709196"/>
      <w:bookmarkStart w:id="305" w:name="_Toc366254967"/>
      <w:r>
        <w:rPr>
          <w:rFonts w:ascii="Times New Roman" w:hAnsi="Times New Roman" w:eastAsia="宋体" w:cs="Times New Roman"/>
          <w:color w:val="auto"/>
          <w:highlight w:val="none"/>
        </w:rPr>
        <w:t>项目属于污染影响型，评价范围与现状调查评价范围一致，均为项目厂区占地及外围0.2km。</w:t>
      </w:r>
    </w:p>
    <w:p w14:paraId="38C7D99C">
      <w:pPr>
        <w:pStyle w:val="4"/>
        <w:numPr>
          <w:ilvl w:val="2"/>
          <w:numId w:val="0"/>
        </w:numPr>
        <w:tabs>
          <w:tab w:val="clear" w:pos="720"/>
        </w:tabs>
        <w:bidi w:val="0"/>
        <w:rPr>
          <w:rFonts w:hint="eastAsia"/>
          <w:color w:val="auto"/>
          <w:highlight w:val="none"/>
          <w:lang w:val="en-US" w:eastAsia="zh-CN"/>
        </w:rPr>
      </w:pPr>
      <w:bookmarkStart w:id="306" w:name="_Toc26562"/>
      <w:r>
        <w:rPr>
          <w:rFonts w:hint="eastAsia"/>
          <w:color w:val="auto"/>
          <w:highlight w:val="none"/>
          <w:lang w:val="en-US" w:eastAsia="zh-CN"/>
        </w:rPr>
        <w:t>2.5.8 各要素评价等级及范围汇总</w:t>
      </w:r>
      <w:bookmarkEnd w:id="306"/>
    </w:p>
    <w:p w14:paraId="14F98D19">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本项目各环境要素的评价工作等级、评价范围汇总详见表</w:t>
      </w:r>
      <w:r>
        <w:rPr>
          <w:rFonts w:hint="eastAsia" w:ascii="Times New Roman" w:hAnsi="Times New Roman" w:eastAsia="宋体" w:cs="Times New Roman"/>
          <w:color w:val="auto"/>
          <w:highlight w:val="none"/>
          <w:lang w:val="en-US" w:eastAsia="zh-CN"/>
        </w:rPr>
        <w:t>2.5-</w:t>
      </w:r>
      <w:r>
        <w:rPr>
          <w:rFonts w:hint="eastAsia" w:cs="Times New Roman"/>
          <w:color w:val="auto"/>
          <w:highlight w:val="none"/>
          <w:lang w:val="en-US" w:eastAsia="zh-CN"/>
        </w:rPr>
        <w:t>9</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ab/>
      </w:r>
    </w:p>
    <w:p w14:paraId="007F571B">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2.5-9</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项目环境影响评价等级及范围汇总表</w:t>
      </w:r>
    </w:p>
    <w:tbl>
      <w:tblPr>
        <w:tblStyle w:val="80"/>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Layout w:type="autofit"/>
        <w:tblCellMar>
          <w:top w:w="0" w:type="dxa"/>
          <w:left w:w="108" w:type="dxa"/>
          <w:bottom w:w="0" w:type="dxa"/>
          <w:right w:w="108" w:type="dxa"/>
        </w:tblCellMar>
      </w:tblPr>
      <w:tblGrid>
        <w:gridCol w:w="1484"/>
        <w:gridCol w:w="1370"/>
        <w:gridCol w:w="5673"/>
      </w:tblGrid>
      <w:tr w14:paraId="2F48D563">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6A61AA45">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环境要素</w:t>
            </w:r>
          </w:p>
        </w:tc>
        <w:tc>
          <w:tcPr>
            <w:tcW w:w="803" w:type="pct"/>
            <w:tcBorders>
              <w:tl2br w:val="nil"/>
              <w:tr2bl w:val="nil"/>
            </w:tcBorders>
            <w:noWrap w:val="0"/>
            <w:vAlign w:val="center"/>
          </w:tcPr>
          <w:p w14:paraId="25E55E7C">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评价等级</w:t>
            </w:r>
          </w:p>
        </w:tc>
        <w:tc>
          <w:tcPr>
            <w:tcW w:w="3326" w:type="pct"/>
            <w:tcBorders>
              <w:tl2br w:val="nil"/>
              <w:tr2bl w:val="nil"/>
            </w:tcBorders>
            <w:noWrap w:val="0"/>
            <w:vAlign w:val="center"/>
          </w:tcPr>
          <w:p w14:paraId="222A98A5">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评价范围</w:t>
            </w:r>
          </w:p>
        </w:tc>
      </w:tr>
      <w:tr w14:paraId="4E7FD11E">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36B6C292">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大气环境</w:t>
            </w:r>
          </w:p>
        </w:tc>
        <w:tc>
          <w:tcPr>
            <w:tcW w:w="803" w:type="pct"/>
            <w:tcBorders>
              <w:tl2br w:val="nil"/>
              <w:tr2bl w:val="nil"/>
            </w:tcBorders>
            <w:noWrap w:val="0"/>
            <w:vAlign w:val="center"/>
          </w:tcPr>
          <w:p w14:paraId="4C6E829A">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二级</w:t>
            </w:r>
          </w:p>
        </w:tc>
        <w:tc>
          <w:tcPr>
            <w:tcW w:w="3326" w:type="pct"/>
            <w:tcBorders>
              <w:tl2br w:val="nil"/>
              <w:tr2bl w:val="nil"/>
            </w:tcBorders>
            <w:noWrap w:val="0"/>
            <w:vAlign w:val="center"/>
          </w:tcPr>
          <w:p w14:paraId="2EA3A599">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以厂址为中心区域，自厂界外延5 km的矩形区域</w:t>
            </w:r>
          </w:p>
        </w:tc>
      </w:tr>
      <w:tr w14:paraId="17FC45E4">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3A7C6D22">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地表水</w:t>
            </w:r>
          </w:p>
        </w:tc>
        <w:tc>
          <w:tcPr>
            <w:tcW w:w="803" w:type="pct"/>
            <w:tcBorders>
              <w:tl2br w:val="nil"/>
              <w:tr2bl w:val="nil"/>
            </w:tcBorders>
            <w:noWrap w:val="0"/>
            <w:vAlign w:val="center"/>
          </w:tcPr>
          <w:p w14:paraId="7487EA3E">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三级B</w:t>
            </w:r>
          </w:p>
        </w:tc>
        <w:tc>
          <w:tcPr>
            <w:tcW w:w="3326" w:type="pct"/>
            <w:tcBorders>
              <w:tl2br w:val="nil"/>
              <w:tr2bl w:val="nil"/>
            </w:tcBorders>
            <w:noWrap w:val="0"/>
            <w:vAlign w:val="center"/>
          </w:tcPr>
          <w:p w14:paraId="312F0140">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项目废水排入</w:t>
            </w:r>
            <w:r>
              <w:rPr>
                <w:rFonts w:hint="eastAsia" w:ascii="Times New Roman" w:hAnsi="Times New Roman" w:eastAsia="宋体" w:cs="Times New Roman"/>
                <w:color w:val="auto"/>
                <w:highlight w:val="none"/>
                <w:lang w:eastAsia="zh-CN"/>
              </w:rPr>
              <w:t>青口汽车工业开发区污水处理厂</w:t>
            </w:r>
            <w:r>
              <w:rPr>
                <w:rFonts w:hint="eastAsia" w:ascii="Times New Roman" w:hAnsi="Times New Roman" w:eastAsia="宋体" w:cs="Times New Roman"/>
                <w:color w:val="auto"/>
                <w:highlight w:val="none"/>
              </w:rPr>
              <w:t>的可行性</w:t>
            </w:r>
          </w:p>
        </w:tc>
      </w:tr>
      <w:tr w14:paraId="58506FA4">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7EF73167">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地下水</w:t>
            </w:r>
          </w:p>
        </w:tc>
        <w:tc>
          <w:tcPr>
            <w:tcW w:w="803" w:type="pct"/>
            <w:tcBorders>
              <w:tl2br w:val="nil"/>
              <w:tr2bl w:val="nil"/>
            </w:tcBorders>
            <w:noWrap w:val="0"/>
            <w:vAlign w:val="center"/>
          </w:tcPr>
          <w:p w14:paraId="2DC0FB32">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三级</w:t>
            </w:r>
          </w:p>
        </w:tc>
        <w:tc>
          <w:tcPr>
            <w:tcW w:w="3326" w:type="pct"/>
            <w:tcBorders>
              <w:tl2br w:val="nil"/>
              <w:tr2bl w:val="nil"/>
            </w:tcBorders>
            <w:noWrap w:val="0"/>
            <w:vAlign w:val="center"/>
          </w:tcPr>
          <w:p w14:paraId="624EDF04">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项目所在完整水文地质单元</w:t>
            </w:r>
          </w:p>
        </w:tc>
      </w:tr>
      <w:tr w14:paraId="19CE43ED">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07B1F0BA">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声环境</w:t>
            </w:r>
          </w:p>
        </w:tc>
        <w:tc>
          <w:tcPr>
            <w:tcW w:w="803" w:type="pct"/>
            <w:tcBorders>
              <w:tl2br w:val="nil"/>
              <w:tr2bl w:val="nil"/>
            </w:tcBorders>
            <w:noWrap w:val="0"/>
            <w:vAlign w:val="center"/>
          </w:tcPr>
          <w:p w14:paraId="402EC798">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三级</w:t>
            </w:r>
          </w:p>
        </w:tc>
        <w:tc>
          <w:tcPr>
            <w:tcW w:w="3326" w:type="pct"/>
            <w:tcBorders>
              <w:tl2br w:val="nil"/>
              <w:tr2bl w:val="nil"/>
            </w:tcBorders>
            <w:noWrap w:val="0"/>
            <w:vAlign w:val="center"/>
          </w:tcPr>
          <w:p w14:paraId="54D9AE3D">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项目边界向外200 m范围内</w:t>
            </w:r>
          </w:p>
        </w:tc>
      </w:tr>
      <w:tr w14:paraId="1AD75658">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03C1595A">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土壤环境</w:t>
            </w:r>
          </w:p>
        </w:tc>
        <w:tc>
          <w:tcPr>
            <w:tcW w:w="803" w:type="pct"/>
            <w:tcBorders>
              <w:tl2br w:val="nil"/>
              <w:tr2bl w:val="nil"/>
            </w:tcBorders>
            <w:noWrap w:val="0"/>
            <w:vAlign w:val="center"/>
          </w:tcPr>
          <w:p w14:paraId="40786CF9">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二级</w:t>
            </w:r>
          </w:p>
        </w:tc>
        <w:tc>
          <w:tcPr>
            <w:tcW w:w="3326" w:type="pct"/>
            <w:tcBorders>
              <w:tl2br w:val="nil"/>
              <w:tr2bl w:val="nil"/>
            </w:tcBorders>
            <w:noWrap w:val="0"/>
            <w:vAlign w:val="center"/>
          </w:tcPr>
          <w:p w14:paraId="370E93B5">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项目厂界外200m范围内</w:t>
            </w:r>
          </w:p>
        </w:tc>
      </w:tr>
      <w:tr w14:paraId="4A0EDA8B">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3B08922A">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生态环境</w:t>
            </w:r>
          </w:p>
        </w:tc>
        <w:tc>
          <w:tcPr>
            <w:tcW w:w="803" w:type="pct"/>
            <w:tcBorders>
              <w:tl2br w:val="nil"/>
              <w:tr2bl w:val="nil"/>
            </w:tcBorders>
            <w:noWrap w:val="0"/>
            <w:vAlign w:val="center"/>
          </w:tcPr>
          <w:p w14:paraId="4D3658FB">
            <w:pPr>
              <w:pStyle w:val="1369"/>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简单分析</w:t>
            </w:r>
          </w:p>
        </w:tc>
        <w:tc>
          <w:tcPr>
            <w:tcW w:w="3326" w:type="pct"/>
            <w:tcBorders>
              <w:tl2br w:val="nil"/>
              <w:tr2bl w:val="nil"/>
            </w:tcBorders>
            <w:noWrap w:val="0"/>
            <w:vAlign w:val="center"/>
          </w:tcPr>
          <w:p w14:paraId="7BB9E160">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项目直接占用区域及污染物排放产生的间接生态影响区域</w:t>
            </w:r>
          </w:p>
        </w:tc>
      </w:tr>
      <w:tr w14:paraId="498A795B">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108" w:type="dxa"/>
            <w:bottom w:w="0" w:type="dxa"/>
            <w:right w:w="108" w:type="dxa"/>
          </w:tblCellMar>
        </w:tblPrEx>
        <w:trPr>
          <w:trHeight w:val="340" w:hRule="atLeast"/>
        </w:trPr>
        <w:tc>
          <w:tcPr>
            <w:tcW w:w="870" w:type="pct"/>
            <w:tcBorders>
              <w:tl2br w:val="nil"/>
              <w:tr2bl w:val="nil"/>
            </w:tcBorders>
            <w:noWrap w:val="0"/>
            <w:vAlign w:val="center"/>
          </w:tcPr>
          <w:p w14:paraId="20F85742">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环境风险</w:t>
            </w:r>
          </w:p>
        </w:tc>
        <w:tc>
          <w:tcPr>
            <w:tcW w:w="803" w:type="pct"/>
            <w:tcBorders>
              <w:tl2br w:val="nil"/>
              <w:tr2bl w:val="nil"/>
            </w:tcBorders>
            <w:noWrap w:val="0"/>
            <w:vAlign w:val="center"/>
          </w:tcPr>
          <w:p w14:paraId="4245F568">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简单分析</w:t>
            </w:r>
          </w:p>
        </w:tc>
        <w:tc>
          <w:tcPr>
            <w:tcW w:w="3326" w:type="pct"/>
            <w:tcBorders>
              <w:tl2br w:val="nil"/>
              <w:tr2bl w:val="nil"/>
            </w:tcBorders>
            <w:noWrap w:val="0"/>
            <w:vAlign w:val="center"/>
          </w:tcPr>
          <w:p w14:paraId="4A124597">
            <w:pPr>
              <w:pStyle w:val="1369"/>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r>
    </w:tbl>
    <w:p w14:paraId="2E145474">
      <w:pPr>
        <w:pStyle w:val="3"/>
        <w:numPr>
          <w:ilvl w:val="0"/>
          <w:numId w:val="0"/>
        </w:numPr>
        <w:tabs>
          <w:tab w:val="clear" w:pos="720"/>
        </w:tabs>
        <w:bidi w:val="0"/>
        <w:ind w:left="0" w:leftChars="0" w:firstLine="0" w:firstLineChars="0"/>
        <w:outlineLvl w:val="1"/>
        <w:rPr>
          <w:color w:val="auto"/>
          <w:highlight w:val="none"/>
        </w:rPr>
      </w:pPr>
      <w:bookmarkStart w:id="307" w:name="_Toc13928"/>
      <w:bookmarkStart w:id="308" w:name="_Toc2383"/>
      <w:r>
        <w:rPr>
          <w:color w:val="auto"/>
          <w:highlight w:val="none"/>
        </w:rPr>
        <w:t>2.6</w:t>
      </w:r>
      <w:r>
        <w:rPr>
          <w:rFonts w:hint="eastAsia"/>
          <w:color w:val="auto"/>
          <w:highlight w:val="none"/>
          <w:lang w:val="en-US" w:eastAsia="zh-CN"/>
        </w:rPr>
        <w:t xml:space="preserve"> </w:t>
      </w:r>
      <w:r>
        <w:rPr>
          <w:color w:val="auto"/>
          <w:highlight w:val="none"/>
        </w:rPr>
        <w:t>评价内容和评价重点</w:t>
      </w:r>
      <w:bookmarkEnd w:id="307"/>
      <w:bookmarkEnd w:id="308"/>
    </w:p>
    <w:p w14:paraId="178DD3D4">
      <w:pPr>
        <w:pStyle w:val="4"/>
        <w:numPr>
          <w:ilvl w:val="2"/>
          <w:numId w:val="0"/>
        </w:numPr>
        <w:tabs>
          <w:tab w:val="clear" w:pos="720"/>
        </w:tabs>
        <w:bidi w:val="0"/>
        <w:rPr>
          <w:color w:val="auto"/>
          <w:highlight w:val="none"/>
        </w:rPr>
      </w:pPr>
      <w:bookmarkStart w:id="309" w:name="_Toc376789562"/>
      <w:bookmarkStart w:id="310" w:name="_Toc452557049"/>
      <w:bookmarkStart w:id="311" w:name="_Toc383074869"/>
      <w:bookmarkStart w:id="312" w:name="_Toc25223"/>
      <w:bookmarkStart w:id="313" w:name="_Toc376190699"/>
      <w:bookmarkStart w:id="314" w:name="_Toc376848947"/>
      <w:r>
        <w:rPr>
          <w:color w:val="auto"/>
          <w:highlight w:val="none"/>
        </w:rPr>
        <w:t>2.6.1 评价内容</w:t>
      </w:r>
      <w:bookmarkEnd w:id="309"/>
      <w:bookmarkEnd w:id="310"/>
      <w:bookmarkEnd w:id="311"/>
      <w:bookmarkEnd w:id="312"/>
      <w:bookmarkEnd w:id="313"/>
      <w:bookmarkEnd w:id="314"/>
    </w:p>
    <w:p w14:paraId="6EA9C1DC">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本项目评价内容主要包括：总则、工程分析、环境现状调查与评价、环境影响评价与预测、环境风险评价、环境保护措施及可行性论证、环境经济损益分析、环境管理及监测等。</w:t>
      </w:r>
    </w:p>
    <w:p w14:paraId="38A5AAA7">
      <w:pPr>
        <w:pStyle w:val="4"/>
        <w:numPr>
          <w:ilvl w:val="2"/>
          <w:numId w:val="0"/>
        </w:numPr>
        <w:tabs>
          <w:tab w:val="clear" w:pos="720"/>
        </w:tabs>
        <w:bidi w:val="0"/>
        <w:rPr>
          <w:color w:val="auto"/>
          <w:highlight w:val="none"/>
        </w:rPr>
      </w:pPr>
      <w:bookmarkStart w:id="315" w:name="_Toc16678"/>
      <w:r>
        <w:rPr>
          <w:color w:val="auto"/>
          <w:highlight w:val="none"/>
        </w:rPr>
        <w:t>2.6.2 评价重点</w:t>
      </w:r>
      <w:bookmarkEnd w:id="315"/>
    </w:p>
    <w:p w14:paraId="2A65BCA9">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根据本项目的排污特点及所在区域的环境特征，本次环境影响评价的重点为：工程分析、环境影响评价与预测、环境保护措施及可行性论证。</w:t>
      </w:r>
    </w:p>
    <w:bookmarkEnd w:id="298"/>
    <w:bookmarkEnd w:id="299"/>
    <w:bookmarkEnd w:id="300"/>
    <w:bookmarkEnd w:id="301"/>
    <w:bookmarkEnd w:id="302"/>
    <w:bookmarkEnd w:id="303"/>
    <w:bookmarkEnd w:id="304"/>
    <w:bookmarkEnd w:id="305"/>
    <w:p w14:paraId="04A82AAA">
      <w:pPr>
        <w:pStyle w:val="3"/>
        <w:numPr>
          <w:ilvl w:val="0"/>
          <w:numId w:val="0"/>
        </w:numPr>
        <w:tabs>
          <w:tab w:val="clear" w:pos="720"/>
        </w:tabs>
        <w:bidi w:val="0"/>
        <w:ind w:left="0" w:leftChars="0" w:firstLine="0" w:firstLineChars="0"/>
        <w:outlineLvl w:val="1"/>
        <w:rPr>
          <w:color w:val="auto"/>
          <w:highlight w:val="none"/>
        </w:rPr>
      </w:pPr>
      <w:bookmarkStart w:id="316" w:name="_Toc23391"/>
      <w:bookmarkStart w:id="317" w:name="_Toc15044"/>
      <w:r>
        <w:rPr>
          <w:color w:val="auto"/>
          <w:highlight w:val="none"/>
        </w:rPr>
        <w:t>2.7</w:t>
      </w:r>
      <w:r>
        <w:rPr>
          <w:rFonts w:hint="eastAsia"/>
          <w:color w:val="auto"/>
          <w:highlight w:val="none"/>
          <w:lang w:val="en-US" w:eastAsia="zh-CN"/>
        </w:rPr>
        <w:t xml:space="preserve"> </w:t>
      </w:r>
      <w:r>
        <w:rPr>
          <w:color w:val="auto"/>
          <w:highlight w:val="none"/>
        </w:rPr>
        <w:t>主要环境保护目标</w:t>
      </w:r>
      <w:bookmarkEnd w:id="316"/>
      <w:bookmarkEnd w:id="317"/>
    </w:p>
    <w:p w14:paraId="2C52D802">
      <w:pPr>
        <w:pStyle w:val="1336"/>
        <w:ind w:firstLine="480"/>
        <w:rPr>
          <w:rFonts w:ascii="Times New Roman" w:hAnsi="Times New Roman" w:eastAsia="宋体" w:cs="Times New Roman"/>
          <w:color w:val="auto"/>
          <w:highlight w:val="none"/>
          <w:lang w:val="en-GB"/>
        </w:rPr>
      </w:pPr>
      <w:r>
        <w:rPr>
          <w:rFonts w:ascii="Times New Roman" w:hAnsi="Times New Roman" w:eastAsia="宋体" w:cs="Times New Roman"/>
          <w:color w:val="auto"/>
          <w:highlight w:val="none"/>
          <w:lang w:val="en-GB"/>
        </w:rPr>
        <w:t>根据本项目的污染物排放特征及运营期对环境的</w:t>
      </w:r>
      <w:r>
        <w:rPr>
          <w:rFonts w:hint="eastAsia" w:cs="Times New Roman"/>
          <w:color w:val="auto"/>
          <w:highlight w:val="none"/>
          <w:lang w:val="en-GB" w:eastAsia="zh-CN"/>
        </w:rPr>
        <w:t>潜在</w:t>
      </w:r>
      <w:r>
        <w:rPr>
          <w:rFonts w:ascii="Times New Roman" w:hAnsi="Times New Roman" w:eastAsia="宋体" w:cs="Times New Roman"/>
          <w:color w:val="auto"/>
          <w:highlight w:val="none"/>
          <w:lang w:val="en-GB"/>
        </w:rPr>
        <w:t>风险，结合工程资料和现场实地踏勘，</w:t>
      </w:r>
      <w:r>
        <w:rPr>
          <w:rFonts w:hint="eastAsia" w:ascii="Times New Roman" w:hAnsi="Times New Roman" w:eastAsia="宋体" w:cs="Times New Roman"/>
          <w:color w:val="auto"/>
          <w:highlight w:val="none"/>
          <w:lang w:val="en-GB"/>
        </w:rPr>
        <w:t>本项目主要环境敏感目标和保护目标详见表</w:t>
      </w:r>
      <w:r>
        <w:rPr>
          <w:rFonts w:ascii="Times New Roman" w:hAnsi="Times New Roman" w:eastAsia="宋体" w:cs="Times New Roman"/>
          <w:color w:val="auto"/>
          <w:highlight w:val="none"/>
          <w:lang w:val="en-GB"/>
        </w:rPr>
        <w:t>2.7-1</w:t>
      </w:r>
      <w:r>
        <w:rPr>
          <w:rFonts w:hint="eastAsia" w:ascii="Times New Roman" w:hAnsi="Times New Roman" w:eastAsia="宋体" w:cs="Times New Roman"/>
          <w:color w:val="auto"/>
          <w:highlight w:val="none"/>
          <w:lang w:val="en-GB"/>
        </w:rPr>
        <w:t>，敏感目标分布</w:t>
      </w:r>
      <w:r>
        <w:rPr>
          <w:rFonts w:hint="eastAsia" w:cs="Times New Roman"/>
          <w:color w:val="auto"/>
          <w:highlight w:val="none"/>
          <w:lang w:val="en-GB" w:eastAsia="zh-CN"/>
        </w:rPr>
        <w:t>见</w:t>
      </w:r>
      <w:r>
        <w:rPr>
          <w:rFonts w:hint="eastAsia" w:ascii="Times New Roman" w:hAnsi="Times New Roman" w:eastAsia="宋体" w:cs="Times New Roman"/>
          <w:color w:val="auto"/>
          <w:highlight w:val="none"/>
          <w:lang w:val="en-US" w:eastAsia="zh-CN"/>
        </w:rPr>
        <w:t>附图2</w:t>
      </w:r>
      <w:r>
        <w:rPr>
          <w:rFonts w:ascii="Times New Roman" w:hAnsi="Times New Roman" w:eastAsia="宋体" w:cs="Times New Roman"/>
          <w:color w:val="auto"/>
          <w:highlight w:val="none"/>
          <w:lang w:val="en-GB"/>
        </w:rPr>
        <w:t>。</w:t>
      </w:r>
    </w:p>
    <w:p w14:paraId="35CF8141">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表2.7-1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项目周边主要保护目标情况一览表</w:t>
      </w:r>
    </w:p>
    <w:tbl>
      <w:tblPr>
        <w:tblStyle w:val="81"/>
        <w:tblW w:w="85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1665"/>
        <w:gridCol w:w="1095"/>
        <w:gridCol w:w="1335"/>
        <w:gridCol w:w="1185"/>
        <w:gridCol w:w="2384"/>
      </w:tblGrid>
      <w:tr w14:paraId="59495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tcBorders>
              <w:tl2br w:val="nil"/>
              <w:tr2bl w:val="nil"/>
            </w:tcBorders>
            <w:noWrap w:val="0"/>
            <w:vAlign w:val="center"/>
          </w:tcPr>
          <w:p w14:paraId="6EC4FE4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环境</w:t>
            </w:r>
          </w:p>
          <w:p w14:paraId="5D907C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要素</w:t>
            </w:r>
          </w:p>
        </w:tc>
        <w:tc>
          <w:tcPr>
            <w:tcW w:w="1665" w:type="dxa"/>
            <w:tcBorders>
              <w:tl2br w:val="nil"/>
              <w:tr2bl w:val="nil"/>
            </w:tcBorders>
            <w:noWrap w:val="0"/>
            <w:vAlign w:val="center"/>
          </w:tcPr>
          <w:p w14:paraId="4C7BCF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default" w:ascii="Times New Roman" w:hAnsi="Times New Roman" w:eastAsia="宋体" w:cs="Times New Roman"/>
                <w:color w:val="auto"/>
                <w:kern w:val="2"/>
                <w:sz w:val="21"/>
                <w:szCs w:val="24"/>
                <w:highlight w:val="none"/>
                <w:vertAlign w:val="baseline"/>
                <w:lang w:val="en-US" w:eastAsia="zh-CN" w:bidi="ar-SA"/>
              </w:rPr>
              <w:t>名称</w:t>
            </w:r>
          </w:p>
        </w:tc>
        <w:tc>
          <w:tcPr>
            <w:tcW w:w="1095" w:type="dxa"/>
            <w:tcBorders>
              <w:tl2br w:val="nil"/>
              <w:tr2bl w:val="nil"/>
            </w:tcBorders>
            <w:noWrap w:val="0"/>
            <w:vAlign w:val="center"/>
          </w:tcPr>
          <w:p w14:paraId="76F8C49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相对本项目</w:t>
            </w:r>
            <w:r>
              <w:rPr>
                <w:rFonts w:hint="default" w:ascii="Times New Roman" w:hAnsi="Times New Roman" w:eastAsia="宋体" w:cs="Times New Roman"/>
                <w:color w:val="auto"/>
                <w:kern w:val="2"/>
                <w:sz w:val="21"/>
                <w:szCs w:val="24"/>
                <w:highlight w:val="none"/>
                <w:vertAlign w:val="baseline"/>
                <w:lang w:val="en-US" w:eastAsia="zh-CN" w:bidi="ar-SA"/>
              </w:rPr>
              <w:t>方位</w:t>
            </w:r>
          </w:p>
        </w:tc>
        <w:tc>
          <w:tcPr>
            <w:tcW w:w="1335" w:type="dxa"/>
            <w:tcBorders>
              <w:tl2br w:val="nil"/>
              <w:tr2bl w:val="nil"/>
            </w:tcBorders>
            <w:noWrap w:val="0"/>
            <w:vAlign w:val="center"/>
          </w:tcPr>
          <w:p w14:paraId="4EA13B5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与项目边界最小距离</w:t>
            </w:r>
            <w:r>
              <w:rPr>
                <w:rFonts w:hint="default" w:ascii="Times New Roman" w:hAnsi="Times New Roman" w:eastAsia="宋体" w:cs="Times New Roman"/>
                <w:color w:val="auto"/>
                <w:kern w:val="2"/>
                <w:sz w:val="21"/>
                <w:szCs w:val="24"/>
                <w:highlight w:val="none"/>
                <w:vertAlign w:val="baseline"/>
                <w:lang w:val="en-US" w:eastAsia="zh-CN" w:bidi="ar-SA"/>
              </w:rPr>
              <w:t>/m</w:t>
            </w:r>
          </w:p>
        </w:tc>
        <w:tc>
          <w:tcPr>
            <w:tcW w:w="1185" w:type="dxa"/>
            <w:tcBorders>
              <w:tl2br w:val="nil"/>
              <w:tr2bl w:val="nil"/>
            </w:tcBorders>
            <w:noWrap w:val="0"/>
            <w:vAlign w:val="center"/>
          </w:tcPr>
          <w:p w14:paraId="190D626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规模/人</w:t>
            </w:r>
          </w:p>
        </w:tc>
        <w:tc>
          <w:tcPr>
            <w:tcW w:w="2384" w:type="dxa"/>
            <w:tcBorders>
              <w:tl2br w:val="nil"/>
              <w:tr2bl w:val="nil"/>
            </w:tcBorders>
            <w:noWrap w:val="0"/>
            <w:vAlign w:val="center"/>
          </w:tcPr>
          <w:p w14:paraId="2BE52B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保护级别</w:t>
            </w:r>
          </w:p>
        </w:tc>
      </w:tr>
      <w:tr w14:paraId="7CED0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restart"/>
            <w:tcBorders>
              <w:tl2br w:val="nil"/>
              <w:tr2bl w:val="nil"/>
            </w:tcBorders>
            <w:noWrap w:val="0"/>
            <w:vAlign w:val="center"/>
          </w:tcPr>
          <w:p w14:paraId="6B921A5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大气环境</w:t>
            </w:r>
          </w:p>
        </w:tc>
        <w:tc>
          <w:tcPr>
            <w:tcW w:w="1665" w:type="dxa"/>
            <w:tcBorders>
              <w:tl2br w:val="nil"/>
              <w:tr2bl w:val="nil"/>
            </w:tcBorders>
            <w:noWrap w:val="0"/>
            <w:vAlign w:val="center"/>
          </w:tcPr>
          <w:p w14:paraId="1D42CF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大义前街新村</w:t>
            </w:r>
          </w:p>
        </w:tc>
        <w:tc>
          <w:tcPr>
            <w:tcW w:w="1095" w:type="dxa"/>
            <w:tcBorders>
              <w:tl2br w:val="nil"/>
              <w:tr2bl w:val="nil"/>
            </w:tcBorders>
            <w:noWrap w:val="0"/>
            <w:vAlign w:val="center"/>
          </w:tcPr>
          <w:p w14:paraId="740E79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75279D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281</w:t>
            </w:r>
          </w:p>
        </w:tc>
        <w:tc>
          <w:tcPr>
            <w:tcW w:w="1185" w:type="dxa"/>
            <w:tcBorders>
              <w:tl2br w:val="nil"/>
              <w:tr2bl w:val="nil"/>
            </w:tcBorders>
            <w:noWrap w:val="0"/>
            <w:vAlign w:val="center"/>
          </w:tcPr>
          <w:p w14:paraId="4FFCEA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150</w:t>
            </w:r>
          </w:p>
        </w:tc>
        <w:tc>
          <w:tcPr>
            <w:tcW w:w="2384" w:type="dxa"/>
            <w:vMerge w:val="restart"/>
            <w:tcBorders>
              <w:tl2br w:val="nil"/>
              <w:tr2bl w:val="nil"/>
            </w:tcBorders>
            <w:noWrap w:val="0"/>
            <w:vAlign w:val="center"/>
          </w:tcPr>
          <w:p w14:paraId="307AC0D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《环境空气质量标准》（</w:t>
            </w:r>
            <w:r>
              <w:rPr>
                <w:rFonts w:hint="default" w:ascii="Times New Roman" w:hAnsi="Times New Roman" w:eastAsia="宋体" w:cs="Times New Roman"/>
                <w:color w:val="auto"/>
                <w:kern w:val="2"/>
                <w:sz w:val="21"/>
                <w:szCs w:val="24"/>
                <w:highlight w:val="none"/>
                <w:vertAlign w:val="baseline"/>
                <w:lang w:val="en-US" w:eastAsia="zh-CN" w:bidi="ar-SA"/>
              </w:rPr>
              <w:t>GB3095-20</w:t>
            </w:r>
            <w:r>
              <w:rPr>
                <w:rFonts w:hint="eastAsia" w:ascii="Times New Roman" w:hAnsi="Times New Roman" w:eastAsia="宋体" w:cs="Times New Roman"/>
                <w:color w:val="auto"/>
                <w:kern w:val="2"/>
                <w:sz w:val="21"/>
                <w:szCs w:val="24"/>
                <w:highlight w:val="none"/>
                <w:vertAlign w:val="baseline"/>
                <w:lang w:val="en-US" w:eastAsia="zh-CN" w:bidi="ar-SA"/>
              </w:rPr>
              <w:t>26）中的二级标准</w:t>
            </w:r>
          </w:p>
          <w:p w14:paraId="42083B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548073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3BF8E69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48F10A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前街村</w:t>
            </w:r>
          </w:p>
        </w:tc>
        <w:tc>
          <w:tcPr>
            <w:tcW w:w="1095" w:type="dxa"/>
            <w:tcBorders>
              <w:tl2br w:val="nil"/>
              <w:tr2bl w:val="nil"/>
            </w:tcBorders>
            <w:noWrap w:val="0"/>
            <w:vAlign w:val="center"/>
          </w:tcPr>
          <w:p w14:paraId="19B539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02F73D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296</w:t>
            </w:r>
          </w:p>
        </w:tc>
        <w:tc>
          <w:tcPr>
            <w:tcW w:w="1185" w:type="dxa"/>
            <w:tcBorders>
              <w:tl2br w:val="nil"/>
              <w:tr2bl w:val="nil"/>
            </w:tcBorders>
            <w:noWrap w:val="0"/>
            <w:vAlign w:val="center"/>
          </w:tcPr>
          <w:p w14:paraId="722559A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200</w:t>
            </w:r>
          </w:p>
        </w:tc>
        <w:tc>
          <w:tcPr>
            <w:tcW w:w="2384" w:type="dxa"/>
            <w:vMerge w:val="continue"/>
            <w:tcBorders>
              <w:tl2br w:val="nil"/>
              <w:tr2bl w:val="nil"/>
            </w:tcBorders>
            <w:noWrap w:val="0"/>
            <w:vAlign w:val="center"/>
          </w:tcPr>
          <w:p w14:paraId="09EECC5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065F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2C59CF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0C1DC1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长楼村</w:t>
            </w:r>
          </w:p>
        </w:tc>
        <w:tc>
          <w:tcPr>
            <w:tcW w:w="1095" w:type="dxa"/>
            <w:tcBorders>
              <w:tl2br w:val="nil"/>
              <w:tr2bl w:val="nil"/>
            </w:tcBorders>
            <w:noWrap w:val="0"/>
            <w:vAlign w:val="center"/>
          </w:tcPr>
          <w:p w14:paraId="4D1A1A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2FA582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360</w:t>
            </w:r>
          </w:p>
        </w:tc>
        <w:tc>
          <w:tcPr>
            <w:tcW w:w="1185" w:type="dxa"/>
            <w:tcBorders>
              <w:tl2br w:val="nil"/>
              <w:tr2bl w:val="nil"/>
            </w:tcBorders>
            <w:noWrap w:val="0"/>
            <w:vAlign w:val="center"/>
          </w:tcPr>
          <w:p w14:paraId="063B481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200</w:t>
            </w:r>
          </w:p>
        </w:tc>
        <w:tc>
          <w:tcPr>
            <w:tcW w:w="2384" w:type="dxa"/>
            <w:vMerge w:val="continue"/>
            <w:tcBorders>
              <w:tl2br w:val="nil"/>
              <w:tr2bl w:val="nil"/>
            </w:tcBorders>
            <w:noWrap w:val="0"/>
            <w:vAlign w:val="center"/>
          </w:tcPr>
          <w:p w14:paraId="1D99DDB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5EE9C3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81CD72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3DE981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溪东村</w:t>
            </w:r>
          </w:p>
        </w:tc>
        <w:tc>
          <w:tcPr>
            <w:tcW w:w="1095" w:type="dxa"/>
            <w:tcBorders>
              <w:tl2br w:val="nil"/>
              <w:tr2bl w:val="nil"/>
            </w:tcBorders>
            <w:noWrap w:val="0"/>
            <w:vAlign w:val="center"/>
          </w:tcPr>
          <w:p w14:paraId="3B9F4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东南侧</w:t>
            </w:r>
          </w:p>
        </w:tc>
        <w:tc>
          <w:tcPr>
            <w:tcW w:w="1335" w:type="dxa"/>
            <w:tcBorders>
              <w:tl2br w:val="nil"/>
              <w:tr2bl w:val="nil"/>
            </w:tcBorders>
            <w:noWrap w:val="0"/>
            <w:vAlign w:val="center"/>
          </w:tcPr>
          <w:p w14:paraId="3AD228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406</w:t>
            </w:r>
          </w:p>
        </w:tc>
        <w:tc>
          <w:tcPr>
            <w:tcW w:w="1185" w:type="dxa"/>
            <w:tcBorders>
              <w:tl2br w:val="nil"/>
              <w:tr2bl w:val="nil"/>
            </w:tcBorders>
            <w:noWrap w:val="0"/>
            <w:vAlign w:val="center"/>
          </w:tcPr>
          <w:p w14:paraId="21915C2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350</w:t>
            </w:r>
          </w:p>
        </w:tc>
        <w:tc>
          <w:tcPr>
            <w:tcW w:w="2384" w:type="dxa"/>
            <w:vMerge w:val="continue"/>
            <w:tcBorders>
              <w:tl2br w:val="nil"/>
              <w:tr2bl w:val="nil"/>
            </w:tcBorders>
            <w:noWrap w:val="0"/>
            <w:vAlign w:val="center"/>
          </w:tcPr>
          <w:p w14:paraId="4FAC765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58D3E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69A116F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3AB6C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吉山村</w:t>
            </w:r>
          </w:p>
        </w:tc>
        <w:tc>
          <w:tcPr>
            <w:tcW w:w="1095" w:type="dxa"/>
            <w:tcBorders>
              <w:tl2br w:val="nil"/>
              <w:tr2bl w:val="nil"/>
            </w:tcBorders>
            <w:noWrap w:val="0"/>
            <w:vAlign w:val="center"/>
          </w:tcPr>
          <w:p w14:paraId="47D208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097F2C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408</w:t>
            </w:r>
          </w:p>
        </w:tc>
        <w:tc>
          <w:tcPr>
            <w:tcW w:w="1185" w:type="dxa"/>
            <w:tcBorders>
              <w:tl2br w:val="nil"/>
              <w:tr2bl w:val="nil"/>
            </w:tcBorders>
            <w:noWrap w:val="0"/>
            <w:vAlign w:val="center"/>
          </w:tcPr>
          <w:p w14:paraId="2BF8B87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400</w:t>
            </w:r>
          </w:p>
        </w:tc>
        <w:tc>
          <w:tcPr>
            <w:tcW w:w="2384" w:type="dxa"/>
            <w:vMerge w:val="continue"/>
            <w:tcBorders>
              <w:tl2br w:val="nil"/>
              <w:tr2bl w:val="nil"/>
            </w:tcBorders>
            <w:noWrap w:val="0"/>
            <w:vAlign w:val="center"/>
          </w:tcPr>
          <w:p w14:paraId="4278DAC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41C3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5DCE24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F441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溪东村</w:t>
            </w:r>
          </w:p>
        </w:tc>
        <w:tc>
          <w:tcPr>
            <w:tcW w:w="1095" w:type="dxa"/>
            <w:tcBorders>
              <w:tl2br w:val="nil"/>
              <w:tr2bl w:val="nil"/>
            </w:tcBorders>
            <w:noWrap w:val="0"/>
            <w:vAlign w:val="center"/>
          </w:tcPr>
          <w:p w14:paraId="7AFDC2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东南侧</w:t>
            </w:r>
          </w:p>
        </w:tc>
        <w:tc>
          <w:tcPr>
            <w:tcW w:w="1335" w:type="dxa"/>
            <w:tcBorders>
              <w:tl2br w:val="nil"/>
              <w:tr2bl w:val="nil"/>
            </w:tcBorders>
            <w:noWrap w:val="0"/>
            <w:vAlign w:val="center"/>
          </w:tcPr>
          <w:p w14:paraId="39184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419</w:t>
            </w:r>
          </w:p>
        </w:tc>
        <w:tc>
          <w:tcPr>
            <w:tcW w:w="1185" w:type="dxa"/>
            <w:tcBorders>
              <w:tl2br w:val="nil"/>
              <w:tr2bl w:val="nil"/>
            </w:tcBorders>
            <w:noWrap w:val="0"/>
            <w:vAlign w:val="center"/>
          </w:tcPr>
          <w:p w14:paraId="3D16972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350</w:t>
            </w:r>
          </w:p>
        </w:tc>
        <w:tc>
          <w:tcPr>
            <w:tcW w:w="2384" w:type="dxa"/>
            <w:vMerge w:val="continue"/>
            <w:tcBorders>
              <w:tl2br w:val="nil"/>
              <w:tr2bl w:val="nil"/>
            </w:tcBorders>
            <w:noWrap w:val="0"/>
            <w:vAlign w:val="center"/>
          </w:tcPr>
          <w:p w14:paraId="3B7EC08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79246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3755E8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7E8458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船尾村</w:t>
            </w:r>
          </w:p>
        </w:tc>
        <w:tc>
          <w:tcPr>
            <w:tcW w:w="1095" w:type="dxa"/>
            <w:tcBorders>
              <w:tl2br w:val="nil"/>
              <w:tr2bl w:val="nil"/>
            </w:tcBorders>
            <w:noWrap w:val="0"/>
            <w:vAlign w:val="center"/>
          </w:tcPr>
          <w:p w14:paraId="6D64B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西北侧</w:t>
            </w:r>
          </w:p>
        </w:tc>
        <w:tc>
          <w:tcPr>
            <w:tcW w:w="1335" w:type="dxa"/>
            <w:tcBorders>
              <w:tl2br w:val="nil"/>
              <w:tr2bl w:val="nil"/>
            </w:tcBorders>
            <w:noWrap w:val="0"/>
            <w:vAlign w:val="center"/>
          </w:tcPr>
          <w:p w14:paraId="65A83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454</w:t>
            </w:r>
          </w:p>
        </w:tc>
        <w:tc>
          <w:tcPr>
            <w:tcW w:w="1185" w:type="dxa"/>
            <w:tcBorders>
              <w:tl2br w:val="nil"/>
              <w:tr2bl w:val="nil"/>
            </w:tcBorders>
            <w:noWrap w:val="0"/>
            <w:vAlign w:val="center"/>
          </w:tcPr>
          <w:p w14:paraId="2462919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600</w:t>
            </w:r>
          </w:p>
        </w:tc>
        <w:tc>
          <w:tcPr>
            <w:tcW w:w="2384" w:type="dxa"/>
            <w:vMerge w:val="continue"/>
            <w:tcBorders>
              <w:tl2br w:val="nil"/>
              <w:tr2bl w:val="nil"/>
            </w:tcBorders>
            <w:noWrap w:val="0"/>
            <w:vAlign w:val="center"/>
          </w:tcPr>
          <w:p w14:paraId="19B851F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BF29D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496C9F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2DE8F7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大埕村</w:t>
            </w:r>
          </w:p>
        </w:tc>
        <w:tc>
          <w:tcPr>
            <w:tcW w:w="1095" w:type="dxa"/>
            <w:tcBorders>
              <w:tl2br w:val="nil"/>
              <w:tr2bl w:val="nil"/>
            </w:tcBorders>
            <w:noWrap w:val="0"/>
            <w:vAlign w:val="center"/>
          </w:tcPr>
          <w:p w14:paraId="735103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4C1361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511</w:t>
            </w:r>
          </w:p>
        </w:tc>
        <w:tc>
          <w:tcPr>
            <w:tcW w:w="1185" w:type="dxa"/>
            <w:tcBorders>
              <w:tl2br w:val="nil"/>
              <w:tr2bl w:val="nil"/>
            </w:tcBorders>
            <w:noWrap w:val="0"/>
            <w:vAlign w:val="center"/>
          </w:tcPr>
          <w:p w14:paraId="0023FDD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1000</w:t>
            </w:r>
          </w:p>
        </w:tc>
        <w:tc>
          <w:tcPr>
            <w:tcW w:w="2384" w:type="dxa"/>
            <w:vMerge w:val="continue"/>
            <w:tcBorders>
              <w:tl2br w:val="nil"/>
              <w:tr2bl w:val="nil"/>
            </w:tcBorders>
            <w:noWrap w:val="0"/>
            <w:vAlign w:val="center"/>
          </w:tcPr>
          <w:p w14:paraId="4CC64A9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313F82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71DC3C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686A8B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坊口村</w:t>
            </w:r>
          </w:p>
        </w:tc>
        <w:tc>
          <w:tcPr>
            <w:tcW w:w="1095" w:type="dxa"/>
            <w:tcBorders>
              <w:tl2br w:val="nil"/>
              <w:tr2bl w:val="nil"/>
            </w:tcBorders>
            <w:noWrap w:val="0"/>
            <w:vAlign w:val="center"/>
          </w:tcPr>
          <w:p w14:paraId="13E69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0CC66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625</w:t>
            </w:r>
          </w:p>
        </w:tc>
        <w:tc>
          <w:tcPr>
            <w:tcW w:w="1185" w:type="dxa"/>
            <w:tcBorders>
              <w:tl2br w:val="nil"/>
              <w:tr2bl w:val="nil"/>
            </w:tcBorders>
            <w:noWrap w:val="0"/>
            <w:vAlign w:val="center"/>
          </w:tcPr>
          <w:p w14:paraId="3E1948F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600</w:t>
            </w:r>
          </w:p>
        </w:tc>
        <w:tc>
          <w:tcPr>
            <w:tcW w:w="2384" w:type="dxa"/>
            <w:vMerge w:val="continue"/>
            <w:tcBorders>
              <w:tl2br w:val="nil"/>
              <w:tr2bl w:val="nil"/>
            </w:tcBorders>
            <w:noWrap w:val="0"/>
            <w:vAlign w:val="center"/>
          </w:tcPr>
          <w:p w14:paraId="7B43615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2481B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A5C57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6457A6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青口集东小学</w:t>
            </w:r>
          </w:p>
        </w:tc>
        <w:tc>
          <w:tcPr>
            <w:tcW w:w="1095" w:type="dxa"/>
            <w:tcBorders>
              <w:tl2br w:val="nil"/>
              <w:tr2bl w:val="nil"/>
            </w:tcBorders>
            <w:noWrap w:val="0"/>
            <w:vAlign w:val="center"/>
          </w:tcPr>
          <w:p w14:paraId="145F56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东南侧</w:t>
            </w:r>
          </w:p>
        </w:tc>
        <w:tc>
          <w:tcPr>
            <w:tcW w:w="1335" w:type="dxa"/>
            <w:tcBorders>
              <w:tl2br w:val="nil"/>
              <w:tr2bl w:val="nil"/>
            </w:tcBorders>
            <w:noWrap w:val="0"/>
            <w:vAlign w:val="center"/>
          </w:tcPr>
          <w:p w14:paraId="15AA8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949</w:t>
            </w:r>
          </w:p>
        </w:tc>
        <w:tc>
          <w:tcPr>
            <w:tcW w:w="1185" w:type="dxa"/>
            <w:tcBorders>
              <w:tl2br w:val="nil"/>
              <w:tr2bl w:val="nil"/>
            </w:tcBorders>
            <w:noWrap w:val="0"/>
            <w:vAlign w:val="center"/>
          </w:tcPr>
          <w:p w14:paraId="1FA4C31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260</w:t>
            </w:r>
          </w:p>
        </w:tc>
        <w:tc>
          <w:tcPr>
            <w:tcW w:w="2384" w:type="dxa"/>
            <w:vMerge w:val="continue"/>
            <w:tcBorders>
              <w:tl2br w:val="nil"/>
              <w:tr2bl w:val="nil"/>
            </w:tcBorders>
            <w:noWrap w:val="0"/>
            <w:vAlign w:val="center"/>
          </w:tcPr>
          <w:p w14:paraId="123417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F098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5DB5C2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166068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宏二村</w:t>
            </w:r>
          </w:p>
        </w:tc>
        <w:tc>
          <w:tcPr>
            <w:tcW w:w="1095" w:type="dxa"/>
            <w:tcBorders>
              <w:tl2br w:val="nil"/>
              <w:tr2bl w:val="nil"/>
            </w:tcBorders>
            <w:noWrap w:val="0"/>
            <w:vAlign w:val="center"/>
          </w:tcPr>
          <w:p w14:paraId="08638D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533C8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979</w:t>
            </w:r>
          </w:p>
        </w:tc>
        <w:tc>
          <w:tcPr>
            <w:tcW w:w="1185" w:type="dxa"/>
            <w:tcBorders>
              <w:tl2br w:val="nil"/>
              <w:tr2bl w:val="nil"/>
            </w:tcBorders>
            <w:noWrap w:val="0"/>
            <w:vAlign w:val="center"/>
          </w:tcPr>
          <w:p w14:paraId="2AF58DE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160</w:t>
            </w:r>
          </w:p>
        </w:tc>
        <w:tc>
          <w:tcPr>
            <w:tcW w:w="2384" w:type="dxa"/>
            <w:vMerge w:val="continue"/>
            <w:tcBorders>
              <w:tl2br w:val="nil"/>
              <w:tr2bl w:val="nil"/>
            </w:tcBorders>
            <w:noWrap w:val="0"/>
            <w:vAlign w:val="center"/>
          </w:tcPr>
          <w:p w14:paraId="091D62E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96ED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DC6A0B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0F35C1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闽侯大义中学</w:t>
            </w:r>
          </w:p>
        </w:tc>
        <w:tc>
          <w:tcPr>
            <w:tcW w:w="1095" w:type="dxa"/>
            <w:tcBorders>
              <w:tl2br w:val="nil"/>
              <w:tr2bl w:val="nil"/>
            </w:tcBorders>
            <w:noWrap w:val="0"/>
            <w:vAlign w:val="center"/>
          </w:tcPr>
          <w:p w14:paraId="30F777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西南侧</w:t>
            </w:r>
          </w:p>
        </w:tc>
        <w:tc>
          <w:tcPr>
            <w:tcW w:w="1335" w:type="dxa"/>
            <w:tcBorders>
              <w:tl2br w:val="nil"/>
              <w:tr2bl w:val="nil"/>
            </w:tcBorders>
            <w:noWrap w:val="0"/>
            <w:vAlign w:val="center"/>
          </w:tcPr>
          <w:p w14:paraId="4DBDD9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1009</w:t>
            </w:r>
          </w:p>
        </w:tc>
        <w:tc>
          <w:tcPr>
            <w:tcW w:w="1185" w:type="dxa"/>
            <w:tcBorders>
              <w:tl2br w:val="nil"/>
              <w:tr2bl w:val="nil"/>
            </w:tcBorders>
            <w:noWrap w:val="0"/>
            <w:vAlign w:val="center"/>
          </w:tcPr>
          <w:p w14:paraId="2731C78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350</w:t>
            </w:r>
          </w:p>
        </w:tc>
        <w:tc>
          <w:tcPr>
            <w:tcW w:w="2384" w:type="dxa"/>
            <w:vMerge w:val="continue"/>
            <w:tcBorders>
              <w:tl2br w:val="nil"/>
              <w:tr2bl w:val="nil"/>
            </w:tcBorders>
            <w:noWrap w:val="0"/>
            <w:vAlign w:val="center"/>
          </w:tcPr>
          <w:p w14:paraId="4124ADB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35825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7BA05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378BE4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后福村</w:t>
            </w:r>
          </w:p>
        </w:tc>
        <w:tc>
          <w:tcPr>
            <w:tcW w:w="1095" w:type="dxa"/>
            <w:tcBorders>
              <w:tl2br w:val="nil"/>
              <w:tr2bl w:val="nil"/>
            </w:tcBorders>
            <w:noWrap w:val="0"/>
            <w:vAlign w:val="center"/>
          </w:tcPr>
          <w:p w14:paraId="398EFC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东南侧</w:t>
            </w:r>
          </w:p>
        </w:tc>
        <w:tc>
          <w:tcPr>
            <w:tcW w:w="1335" w:type="dxa"/>
            <w:tcBorders>
              <w:tl2br w:val="nil"/>
              <w:tr2bl w:val="nil"/>
            </w:tcBorders>
            <w:noWrap w:val="0"/>
            <w:vAlign w:val="center"/>
          </w:tcPr>
          <w:p w14:paraId="79457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1059</w:t>
            </w:r>
          </w:p>
        </w:tc>
        <w:tc>
          <w:tcPr>
            <w:tcW w:w="1185" w:type="dxa"/>
            <w:tcBorders>
              <w:tl2br w:val="nil"/>
              <w:tr2bl w:val="nil"/>
            </w:tcBorders>
            <w:noWrap w:val="0"/>
            <w:vAlign w:val="center"/>
          </w:tcPr>
          <w:p w14:paraId="6F20162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600</w:t>
            </w:r>
          </w:p>
        </w:tc>
        <w:tc>
          <w:tcPr>
            <w:tcW w:w="2384" w:type="dxa"/>
            <w:vMerge w:val="continue"/>
            <w:tcBorders>
              <w:tl2br w:val="nil"/>
              <w:tr2bl w:val="nil"/>
            </w:tcBorders>
            <w:noWrap w:val="0"/>
            <w:vAlign w:val="center"/>
          </w:tcPr>
          <w:p w14:paraId="0264DF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481832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128659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28353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宏三村</w:t>
            </w:r>
          </w:p>
        </w:tc>
        <w:tc>
          <w:tcPr>
            <w:tcW w:w="1095" w:type="dxa"/>
            <w:tcBorders>
              <w:tl2br w:val="nil"/>
              <w:tr2bl w:val="nil"/>
            </w:tcBorders>
            <w:noWrap w:val="0"/>
            <w:vAlign w:val="center"/>
          </w:tcPr>
          <w:p w14:paraId="211F61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17450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1120</w:t>
            </w:r>
          </w:p>
        </w:tc>
        <w:tc>
          <w:tcPr>
            <w:tcW w:w="1185" w:type="dxa"/>
            <w:tcBorders>
              <w:tl2br w:val="nil"/>
              <w:tr2bl w:val="nil"/>
            </w:tcBorders>
            <w:noWrap w:val="0"/>
            <w:vAlign w:val="center"/>
          </w:tcPr>
          <w:p w14:paraId="3F9CCE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300</w:t>
            </w:r>
          </w:p>
        </w:tc>
        <w:tc>
          <w:tcPr>
            <w:tcW w:w="2384" w:type="dxa"/>
            <w:vMerge w:val="continue"/>
            <w:tcBorders>
              <w:tl2br w:val="nil"/>
              <w:tr2bl w:val="nil"/>
            </w:tcBorders>
            <w:noWrap w:val="0"/>
            <w:vAlign w:val="center"/>
          </w:tcPr>
          <w:p w14:paraId="627896A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47D3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9B196C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7671C1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宏一村</w:t>
            </w:r>
          </w:p>
        </w:tc>
        <w:tc>
          <w:tcPr>
            <w:tcW w:w="1095" w:type="dxa"/>
            <w:tcBorders>
              <w:tl2br w:val="nil"/>
              <w:tr2bl w:val="nil"/>
            </w:tcBorders>
            <w:noWrap w:val="0"/>
            <w:vAlign w:val="center"/>
          </w:tcPr>
          <w:p w14:paraId="03A7B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459281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1254</w:t>
            </w:r>
          </w:p>
        </w:tc>
        <w:tc>
          <w:tcPr>
            <w:tcW w:w="1185" w:type="dxa"/>
            <w:tcBorders>
              <w:tl2br w:val="nil"/>
              <w:tr2bl w:val="nil"/>
            </w:tcBorders>
            <w:noWrap w:val="0"/>
            <w:vAlign w:val="center"/>
          </w:tcPr>
          <w:p w14:paraId="2B39D9E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280</w:t>
            </w:r>
          </w:p>
        </w:tc>
        <w:tc>
          <w:tcPr>
            <w:tcW w:w="2384" w:type="dxa"/>
            <w:vMerge w:val="continue"/>
            <w:tcBorders>
              <w:tl2br w:val="nil"/>
              <w:tr2bl w:val="nil"/>
            </w:tcBorders>
            <w:noWrap w:val="0"/>
            <w:vAlign w:val="center"/>
          </w:tcPr>
          <w:p w14:paraId="14880F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56F3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3AC55D4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101B83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宏四村</w:t>
            </w:r>
          </w:p>
        </w:tc>
        <w:tc>
          <w:tcPr>
            <w:tcW w:w="1095" w:type="dxa"/>
            <w:tcBorders>
              <w:tl2br w:val="nil"/>
              <w:tr2bl w:val="nil"/>
            </w:tcBorders>
            <w:noWrap w:val="0"/>
            <w:vAlign w:val="center"/>
          </w:tcPr>
          <w:p w14:paraId="6A580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666A2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1352</w:t>
            </w:r>
          </w:p>
        </w:tc>
        <w:tc>
          <w:tcPr>
            <w:tcW w:w="1185" w:type="dxa"/>
            <w:tcBorders>
              <w:tl2br w:val="nil"/>
              <w:tr2bl w:val="nil"/>
            </w:tcBorders>
            <w:noWrap w:val="0"/>
            <w:vAlign w:val="center"/>
          </w:tcPr>
          <w:p w14:paraId="2C2B735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120</w:t>
            </w:r>
          </w:p>
        </w:tc>
        <w:tc>
          <w:tcPr>
            <w:tcW w:w="2384" w:type="dxa"/>
            <w:vMerge w:val="continue"/>
            <w:tcBorders>
              <w:tl2br w:val="nil"/>
              <w:tr2bl w:val="nil"/>
            </w:tcBorders>
            <w:noWrap w:val="0"/>
            <w:vAlign w:val="center"/>
          </w:tcPr>
          <w:p w14:paraId="4FF5264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168E6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5BF0E5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0DC4AA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青口宏屿小学</w:t>
            </w:r>
          </w:p>
        </w:tc>
        <w:tc>
          <w:tcPr>
            <w:tcW w:w="1095" w:type="dxa"/>
            <w:tcBorders>
              <w:tl2br w:val="nil"/>
              <w:tr2bl w:val="nil"/>
            </w:tcBorders>
            <w:noWrap w:val="0"/>
            <w:vAlign w:val="center"/>
          </w:tcPr>
          <w:p w14:paraId="0DA24B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4951E0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1418</w:t>
            </w:r>
          </w:p>
        </w:tc>
        <w:tc>
          <w:tcPr>
            <w:tcW w:w="1185" w:type="dxa"/>
            <w:tcBorders>
              <w:tl2br w:val="nil"/>
              <w:tr2bl w:val="nil"/>
            </w:tcBorders>
            <w:noWrap w:val="0"/>
            <w:vAlign w:val="center"/>
          </w:tcPr>
          <w:p w14:paraId="6D4EDD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300</w:t>
            </w:r>
          </w:p>
        </w:tc>
        <w:tc>
          <w:tcPr>
            <w:tcW w:w="2384" w:type="dxa"/>
            <w:vMerge w:val="continue"/>
            <w:tcBorders>
              <w:tl2br w:val="nil"/>
              <w:tr2bl w:val="nil"/>
            </w:tcBorders>
            <w:noWrap w:val="0"/>
            <w:vAlign w:val="center"/>
          </w:tcPr>
          <w:p w14:paraId="0D3B276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6607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796AC0D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100BB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梅溪村</w:t>
            </w:r>
          </w:p>
        </w:tc>
        <w:tc>
          <w:tcPr>
            <w:tcW w:w="1095" w:type="dxa"/>
            <w:tcBorders>
              <w:tl2br w:val="nil"/>
              <w:tr2bl w:val="nil"/>
            </w:tcBorders>
            <w:noWrap w:val="0"/>
            <w:vAlign w:val="center"/>
          </w:tcPr>
          <w:p w14:paraId="47BF5D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东南村</w:t>
            </w:r>
          </w:p>
        </w:tc>
        <w:tc>
          <w:tcPr>
            <w:tcW w:w="1335" w:type="dxa"/>
            <w:tcBorders>
              <w:tl2br w:val="nil"/>
              <w:tr2bl w:val="nil"/>
            </w:tcBorders>
            <w:noWrap w:val="0"/>
            <w:vAlign w:val="center"/>
          </w:tcPr>
          <w:p w14:paraId="76E323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1602</w:t>
            </w:r>
          </w:p>
        </w:tc>
        <w:tc>
          <w:tcPr>
            <w:tcW w:w="1185" w:type="dxa"/>
            <w:tcBorders>
              <w:tl2br w:val="nil"/>
              <w:tr2bl w:val="nil"/>
            </w:tcBorders>
            <w:noWrap w:val="0"/>
            <w:vAlign w:val="center"/>
          </w:tcPr>
          <w:p w14:paraId="585729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1436</w:t>
            </w:r>
          </w:p>
        </w:tc>
        <w:tc>
          <w:tcPr>
            <w:tcW w:w="2384" w:type="dxa"/>
            <w:vMerge w:val="continue"/>
            <w:tcBorders>
              <w:tl2br w:val="nil"/>
              <w:tr2bl w:val="nil"/>
            </w:tcBorders>
            <w:noWrap w:val="0"/>
            <w:vAlign w:val="center"/>
          </w:tcPr>
          <w:p w14:paraId="7EFC8AD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7A275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14A63B9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4DDFBE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青口傅筑小学</w:t>
            </w:r>
          </w:p>
        </w:tc>
        <w:tc>
          <w:tcPr>
            <w:tcW w:w="1095" w:type="dxa"/>
            <w:tcBorders>
              <w:tl2br w:val="nil"/>
              <w:tr2bl w:val="nil"/>
            </w:tcBorders>
            <w:noWrap w:val="0"/>
            <w:vAlign w:val="center"/>
          </w:tcPr>
          <w:p w14:paraId="44B325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5CDD01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1985</w:t>
            </w:r>
          </w:p>
        </w:tc>
        <w:tc>
          <w:tcPr>
            <w:tcW w:w="1185" w:type="dxa"/>
            <w:tcBorders>
              <w:tl2br w:val="nil"/>
              <w:tr2bl w:val="nil"/>
            </w:tcBorders>
            <w:noWrap w:val="0"/>
            <w:vAlign w:val="center"/>
          </w:tcPr>
          <w:p w14:paraId="752329B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300</w:t>
            </w:r>
          </w:p>
        </w:tc>
        <w:tc>
          <w:tcPr>
            <w:tcW w:w="2384" w:type="dxa"/>
            <w:vMerge w:val="continue"/>
            <w:tcBorders>
              <w:tl2br w:val="nil"/>
              <w:tr2bl w:val="nil"/>
            </w:tcBorders>
            <w:noWrap w:val="0"/>
            <w:vAlign w:val="center"/>
          </w:tcPr>
          <w:p w14:paraId="1C27F2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0F4C1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9B415B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E3FF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莲峰村</w:t>
            </w:r>
          </w:p>
        </w:tc>
        <w:tc>
          <w:tcPr>
            <w:tcW w:w="1095" w:type="dxa"/>
            <w:tcBorders>
              <w:tl2br w:val="nil"/>
              <w:tr2bl w:val="nil"/>
            </w:tcBorders>
            <w:noWrap w:val="0"/>
            <w:vAlign w:val="center"/>
          </w:tcPr>
          <w:p w14:paraId="024B85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0AF01B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2133</w:t>
            </w:r>
          </w:p>
        </w:tc>
        <w:tc>
          <w:tcPr>
            <w:tcW w:w="1185" w:type="dxa"/>
            <w:tcBorders>
              <w:tl2br w:val="nil"/>
              <w:tr2bl w:val="nil"/>
            </w:tcBorders>
            <w:noWrap w:val="0"/>
            <w:vAlign w:val="center"/>
          </w:tcPr>
          <w:p w14:paraId="336F3D1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600</w:t>
            </w:r>
          </w:p>
        </w:tc>
        <w:tc>
          <w:tcPr>
            <w:tcW w:w="2384" w:type="dxa"/>
            <w:vMerge w:val="continue"/>
            <w:tcBorders>
              <w:tl2br w:val="nil"/>
              <w:tr2bl w:val="nil"/>
            </w:tcBorders>
            <w:noWrap w:val="0"/>
            <w:vAlign w:val="center"/>
          </w:tcPr>
          <w:p w14:paraId="1F2D1F3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11D94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01C6E65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25A1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青城壹品</w:t>
            </w:r>
          </w:p>
        </w:tc>
        <w:tc>
          <w:tcPr>
            <w:tcW w:w="1095" w:type="dxa"/>
            <w:tcBorders>
              <w:tl2br w:val="nil"/>
              <w:tr2bl w:val="nil"/>
            </w:tcBorders>
            <w:noWrap w:val="0"/>
            <w:vAlign w:val="center"/>
          </w:tcPr>
          <w:p w14:paraId="165FDB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1AC25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2469</w:t>
            </w:r>
          </w:p>
        </w:tc>
        <w:tc>
          <w:tcPr>
            <w:tcW w:w="1185" w:type="dxa"/>
            <w:tcBorders>
              <w:tl2br w:val="nil"/>
              <w:tr2bl w:val="nil"/>
            </w:tcBorders>
            <w:noWrap w:val="0"/>
            <w:vAlign w:val="center"/>
          </w:tcPr>
          <w:p w14:paraId="1D94F96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800</w:t>
            </w:r>
          </w:p>
        </w:tc>
        <w:tc>
          <w:tcPr>
            <w:tcW w:w="2384" w:type="dxa"/>
            <w:vMerge w:val="continue"/>
            <w:tcBorders>
              <w:tl2br w:val="nil"/>
              <w:tr2bl w:val="nil"/>
            </w:tcBorders>
            <w:noWrap w:val="0"/>
            <w:vAlign w:val="center"/>
          </w:tcPr>
          <w:p w14:paraId="33666FE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8C1C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37BED67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9EDBF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闽侯县公安局青口派出所</w:t>
            </w:r>
          </w:p>
        </w:tc>
        <w:tc>
          <w:tcPr>
            <w:tcW w:w="1095" w:type="dxa"/>
            <w:tcBorders>
              <w:tl2br w:val="nil"/>
              <w:tr2bl w:val="nil"/>
            </w:tcBorders>
            <w:noWrap w:val="0"/>
            <w:vAlign w:val="center"/>
          </w:tcPr>
          <w:p w14:paraId="182F2B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44784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2474</w:t>
            </w:r>
          </w:p>
        </w:tc>
        <w:tc>
          <w:tcPr>
            <w:tcW w:w="1185" w:type="dxa"/>
            <w:tcBorders>
              <w:tl2br w:val="nil"/>
              <w:tr2bl w:val="nil"/>
            </w:tcBorders>
            <w:noWrap w:val="0"/>
            <w:vAlign w:val="center"/>
          </w:tcPr>
          <w:p w14:paraId="438F18C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80</w:t>
            </w:r>
          </w:p>
        </w:tc>
        <w:tc>
          <w:tcPr>
            <w:tcW w:w="2384" w:type="dxa"/>
            <w:vMerge w:val="continue"/>
            <w:tcBorders>
              <w:tl2br w:val="nil"/>
              <w:tr2bl w:val="nil"/>
            </w:tcBorders>
            <w:noWrap w:val="0"/>
            <w:vAlign w:val="center"/>
          </w:tcPr>
          <w:p w14:paraId="16D21CF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22601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641727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35305B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千家山公园</w:t>
            </w:r>
          </w:p>
        </w:tc>
        <w:tc>
          <w:tcPr>
            <w:tcW w:w="1095" w:type="dxa"/>
            <w:tcBorders>
              <w:tl2br w:val="nil"/>
              <w:tr2bl w:val="nil"/>
            </w:tcBorders>
            <w:noWrap w:val="0"/>
            <w:vAlign w:val="center"/>
          </w:tcPr>
          <w:p w14:paraId="50C255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7E1F8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2478</w:t>
            </w:r>
          </w:p>
        </w:tc>
        <w:tc>
          <w:tcPr>
            <w:tcW w:w="1185" w:type="dxa"/>
            <w:tcBorders>
              <w:tl2br w:val="nil"/>
              <w:tr2bl w:val="nil"/>
            </w:tcBorders>
            <w:noWrap w:val="0"/>
            <w:vAlign w:val="center"/>
          </w:tcPr>
          <w:p w14:paraId="14F0FA0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50</w:t>
            </w:r>
          </w:p>
        </w:tc>
        <w:tc>
          <w:tcPr>
            <w:tcW w:w="2384" w:type="dxa"/>
            <w:vMerge w:val="continue"/>
            <w:tcBorders>
              <w:tl2br w:val="nil"/>
              <w:tr2bl w:val="nil"/>
            </w:tcBorders>
            <w:noWrap w:val="0"/>
            <w:vAlign w:val="center"/>
          </w:tcPr>
          <w:p w14:paraId="0902107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4678EE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3FC90E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79538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卜洲村</w:t>
            </w:r>
          </w:p>
        </w:tc>
        <w:tc>
          <w:tcPr>
            <w:tcW w:w="1095" w:type="dxa"/>
            <w:tcBorders>
              <w:tl2br w:val="nil"/>
              <w:tr2bl w:val="nil"/>
            </w:tcBorders>
            <w:noWrap w:val="0"/>
            <w:vAlign w:val="center"/>
          </w:tcPr>
          <w:p w14:paraId="27063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西北侧</w:t>
            </w:r>
          </w:p>
        </w:tc>
        <w:tc>
          <w:tcPr>
            <w:tcW w:w="1335" w:type="dxa"/>
            <w:tcBorders>
              <w:tl2br w:val="nil"/>
              <w:tr2bl w:val="nil"/>
            </w:tcBorders>
            <w:noWrap w:val="0"/>
            <w:vAlign w:val="center"/>
          </w:tcPr>
          <w:p w14:paraId="4A9EE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2564</w:t>
            </w:r>
          </w:p>
        </w:tc>
        <w:tc>
          <w:tcPr>
            <w:tcW w:w="1185" w:type="dxa"/>
            <w:tcBorders>
              <w:tl2br w:val="nil"/>
              <w:tr2bl w:val="nil"/>
            </w:tcBorders>
            <w:noWrap w:val="0"/>
            <w:vAlign w:val="center"/>
          </w:tcPr>
          <w:p w14:paraId="7EC3273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2300</w:t>
            </w:r>
          </w:p>
        </w:tc>
        <w:tc>
          <w:tcPr>
            <w:tcW w:w="2384" w:type="dxa"/>
            <w:vMerge w:val="continue"/>
            <w:tcBorders>
              <w:tl2br w:val="nil"/>
              <w:tr2bl w:val="nil"/>
            </w:tcBorders>
            <w:noWrap w:val="0"/>
            <w:vAlign w:val="center"/>
          </w:tcPr>
          <w:p w14:paraId="0C6FD93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2AA8C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4D57346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0E63B1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华韵公园</w:t>
            </w:r>
          </w:p>
        </w:tc>
        <w:tc>
          <w:tcPr>
            <w:tcW w:w="1095" w:type="dxa"/>
            <w:tcBorders>
              <w:tl2br w:val="nil"/>
              <w:tr2bl w:val="nil"/>
            </w:tcBorders>
            <w:noWrap w:val="0"/>
            <w:vAlign w:val="center"/>
          </w:tcPr>
          <w:p w14:paraId="3A8248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654DA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2671</w:t>
            </w:r>
          </w:p>
        </w:tc>
        <w:tc>
          <w:tcPr>
            <w:tcW w:w="1185" w:type="dxa"/>
            <w:tcBorders>
              <w:tl2br w:val="nil"/>
              <w:tr2bl w:val="nil"/>
            </w:tcBorders>
            <w:noWrap w:val="0"/>
            <w:vAlign w:val="center"/>
          </w:tcPr>
          <w:p w14:paraId="67903CE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200</w:t>
            </w:r>
          </w:p>
        </w:tc>
        <w:tc>
          <w:tcPr>
            <w:tcW w:w="2384" w:type="dxa"/>
            <w:vMerge w:val="continue"/>
            <w:tcBorders>
              <w:tl2br w:val="nil"/>
              <w:tr2bl w:val="nil"/>
            </w:tcBorders>
            <w:noWrap w:val="0"/>
            <w:vAlign w:val="center"/>
          </w:tcPr>
          <w:p w14:paraId="2BE889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54561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FC9D49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607A74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东南千家花园</w:t>
            </w:r>
          </w:p>
        </w:tc>
        <w:tc>
          <w:tcPr>
            <w:tcW w:w="1095" w:type="dxa"/>
            <w:tcBorders>
              <w:tl2br w:val="nil"/>
              <w:tr2bl w:val="nil"/>
            </w:tcBorders>
            <w:noWrap w:val="0"/>
            <w:vAlign w:val="center"/>
          </w:tcPr>
          <w:p w14:paraId="0FA26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39D7A2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2717</w:t>
            </w:r>
          </w:p>
        </w:tc>
        <w:tc>
          <w:tcPr>
            <w:tcW w:w="1185" w:type="dxa"/>
            <w:tcBorders>
              <w:tl2br w:val="nil"/>
              <w:tr2bl w:val="nil"/>
            </w:tcBorders>
            <w:noWrap w:val="0"/>
            <w:vAlign w:val="center"/>
          </w:tcPr>
          <w:p w14:paraId="506CE95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500</w:t>
            </w:r>
          </w:p>
        </w:tc>
        <w:tc>
          <w:tcPr>
            <w:tcW w:w="2384" w:type="dxa"/>
            <w:vMerge w:val="continue"/>
            <w:tcBorders>
              <w:tl2br w:val="nil"/>
              <w:tr2bl w:val="nil"/>
            </w:tcBorders>
            <w:noWrap w:val="0"/>
            <w:vAlign w:val="center"/>
          </w:tcPr>
          <w:p w14:paraId="77E6048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452BDC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1549C8A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7602E4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沪屿村</w:t>
            </w:r>
          </w:p>
        </w:tc>
        <w:tc>
          <w:tcPr>
            <w:tcW w:w="1095" w:type="dxa"/>
            <w:tcBorders>
              <w:tl2br w:val="nil"/>
              <w:tr2bl w:val="nil"/>
            </w:tcBorders>
            <w:noWrap w:val="0"/>
            <w:vAlign w:val="center"/>
          </w:tcPr>
          <w:p w14:paraId="21ECBD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764ACE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2791</w:t>
            </w:r>
          </w:p>
        </w:tc>
        <w:tc>
          <w:tcPr>
            <w:tcW w:w="1185" w:type="dxa"/>
            <w:tcBorders>
              <w:tl2br w:val="nil"/>
              <w:tr2bl w:val="nil"/>
            </w:tcBorders>
            <w:noWrap w:val="0"/>
            <w:vAlign w:val="center"/>
          </w:tcPr>
          <w:p w14:paraId="5E5C471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550</w:t>
            </w:r>
          </w:p>
        </w:tc>
        <w:tc>
          <w:tcPr>
            <w:tcW w:w="2384" w:type="dxa"/>
            <w:vMerge w:val="continue"/>
            <w:tcBorders>
              <w:tl2br w:val="nil"/>
              <w:tr2bl w:val="nil"/>
            </w:tcBorders>
            <w:noWrap w:val="0"/>
            <w:vAlign w:val="center"/>
          </w:tcPr>
          <w:p w14:paraId="14BCED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36972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C0F75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C6DBE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恒宇国际首府</w:t>
            </w:r>
          </w:p>
        </w:tc>
        <w:tc>
          <w:tcPr>
            <w:tcW w:w="1095" w:type="dxa"/>
            <w:tcBorders>
              <w:tl2br w:val="nil"/>
              <w:tr2bl w:val="nil"/>
            </w:tcBorders>
            <w:noWrap w:val="0"/>
            <w:vAlign w:val="center"/>
          </w:tcPr>
          <w:p w14:paraId="10AEA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7303E1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2794</w:t>
            </w:r>
          </w:p>
        </w:tc>
        <w:tc>
          <w:tcPr>
            <w:tcW w:w="1185" w:type="dxa"/>
            <w:tcBorders>
              <w:tl2br w:val="nil"/>
              <w:tr2bl w:val="nil"/>
            </w:tcBorders>
            <w:noWrap w:val="0"/>
            <w:vAlign w:val="center"/>
          </w:tcPr>
          <w:p w14:paraId="3328C5B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560</w:t>
            </w:r>
          </w:p>
        </w:tc>
        <w:tc>
          <w:tcPr>
            <w:tcW w:w="2384" w:type="dxa"/>
            <w:vMerge w:val="continue"/>
            <w:tcBorders>
              <w:tl2br w:val="nil"/>
              <w:tr2bl w:val="nil"/>
            </w:tcBorders>
            <w:noWrap w:val="0"/>
            <w:vAlign w:val="center"/>
          </w:tcPr>
          <w:p w14:paraId="7168CB1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25691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16E73B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1D68C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中央公园</w:t>
            </w:r>
          </w:p>
        </w:tc>
        <w:tc>
          <w:tcPr>
            <w:tcW w:w="1095" w:type="dxa"/>
            <w:tcBorders>
              <w:tl2br w:val="nil"/>
              <w:tr2bl w:val="nil"/>
            </w:tcBorders>
            <w:noWrap w:val="0"/>
            <w:vAlign w:val="center"/>
          </w:tcPr>
          <w:p w14:paraId="79C45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5CB9E8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2956</w:t>
            </w:r>
          </w:p>
        </w:tc>
        <w:tc>
          <w:tcPr>
            <w:tcW w:w="1185" w:type="dxa"/>
            <w:tcBorders>
              <w:tl2br w:val="nil"/>
              <w:tr2bl w:val="nil"/>
            </w:tcBorders>
            <w:noWrap w:val="0"/>
            <w:vAlign w:val="center"/>
          </w:tcPr>
          <w:p w14:paraId="0C4603D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50</w:t>
            </w:r>
          </w:p>
        </w:tc>
        <w:tc>
          <w:tcPr>
            <w:tcW w:w="2384" w:type="dxa"/>
            <w:vMerge w:val="continue"/>
            <w:tcBorders>
              <w:tl2br w:val="nil"/>
              <w:tr2bl w:val="nil"/>
            </w:tcBorders>
            <w:noWrap w:val="0"/>
            <w:vAlign w:val="center"/>
          </w:tcPr>
          <w:p w14:paraId="720A485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48DE00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5A45A1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CA95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新南公寓</w:t>
            </w:r>
          </w:p>
        </w:tc>
        <w:tc>
          <w:tcPr>
            <w:tcW w:w="1095" w:type="dxa"/>
            <w:tcBorders>
              <w:tl2br w:val="nil"/>
              <w:tr2bl w:val="nil"/>
            </w:tcBorders>
            <w:noWrap w:val="0"/>
            <w:vAlign w:val="center"/>
          </w:tcPr>
          <w:p w14:paraId="07FBD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7C584F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3031</w:t>
            </w:r>
          </w:p>
        </w:tc>
        <w:tc>
          <w:tcPr>
            <w:tcW w:w="1185" w:type="dxa"/>
            <w:tcBorders>
              <w:tl2br w:val="nil"/>
              <w:tr2bl w:val="nil"/>
            </w:tcBorders>
            <w:noWrap w:val="0"/>
            <w:vAlign w:val="center"/>
          </w:tcPr>
          <w:p w14:paraId="2C2583A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1735</w:t>
            </w:r>
          </w:p>
        </w:tc>
        <w:tc>
          <w:tcPr>
            <w:tcW w:w="2384" w:type="dxa"/>
            <w:vMerge w:val="continue"/>
            <w:tcBorders>
              <w:tl2br w:val="nil"/>
              <w:tr2bl w:val="nil"/>
            </w:tcBorders>
            <w:noWrap w:val="0"/>
            <w:vAlign w:val="center"/>
          </w:tcPr>
          <w:p w14:paraId="4617E8B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508B6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11AE090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7F16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辅翼村</w:t>
            </w:r>
          </w:p>
        </w:tc>
        <w:tc>
          <w:tcPr>
            <w:tcW w:w="1095" w:type="dxa"/>
            <w:tcBorders>
              <w:tl2br w:val="nil"/>
              <w:tr2bl w:val="nil"/>
            </w:tcBorders>
            <w:noWrap w:val="0"/>
            <w:vAlign w:val="center"/>
          </w:tcPr>
          <w:p w14:paraId="7A3687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西北侧</w:t>
            </w:r>
          </w:p>
        </w:tc>
        <w:tc>
          <w:tcPr>
            <w:tcW w:w="1335" w:type="dxa"/>
            <w:tcBorders>
              <w:tl2br w:val="nil"/>
              <w:tr2bl w:val="nil"/>
            </w:tcBorders>
            <w:noWrap w:val="0"/>
            <w:vAlign w:val="center"/>
          </w:tcPr>
          <w:p w14:paraId="40EC77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3040</w:t>
            </w:r>
          </w:p>
        </w:tc>
        <w:tc>
          <w:tcPr>
            <w:tcW w:w="1185" w:type="dxa"/>
            <w:tcBorders>
              <w:tl2br w:val="nil"/>
              <w:tr2bl w:val="nil"/>
            </w:tcBorders>
            <w:noWrap w:val="0"/>
            <w:vAlign w:val="center"/>
          </w:tcPr>
          <w:p w14:paraId="0A0CFB3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5500</w:t>
            </w:r>
          </w:p>
        </w:tc>
        <w:tc>
          <w:tcPr>
            <w:tcW w:w="2384" w:type="dxa"/>
            <w:vMerge w:val="continue"/>
            <w:tcBorders>
              <w:tl2br w:val="nil"/>
              <w:tr2bl w:val="nil"/>
            </w:tcBorders>
            <w:noWrap w:val="0"/>
            <w:vAlign w:val="center"/>
          </w:tcPr>
          <w:p w14:paraId="426EA8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62BCC2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294A28F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595B5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闽侯东南学校</w:t>
            </w:r>
          </w:p>
        </w:tc>
        <w:tc>
          <w:tcPr>
            <w:tcW w:w="1095" w:type="dxa"/>
            <w:tcBorders>
              <w:tl2br w:val="nil"/>
              <w:tr2bl w:val="nil"/>
            </w:tcBorders>
            <w:noWrap w:val="0"/>
            <w:vAlign w:val="center"/>
          </w:tcPr>
          <w:p w14:paraId="6898E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54E10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3252</w:t>
            </w:r>
          </w:p>
        </w:tc>
        <w:tc>
          <w:tcPr>
            <w:tcW w:w="1185" w:type="dxa"/>
            <w:tcBorders>
              <w:tl2br w:val="nil"/>
              <w:tr2bl w:val="nil"/>
            </w:tcBorders>
            <w:noWrap w:val="0"/>
            <w:vAlign w:val="center"/>
          </w:tcPr>
          <w:p w14:paraId="4574B60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3600</w:t>
            </w:r>
          </w:p>
        </w:tc>
        <w:tc>
          <w:tcPr>
            <w:tcW w:w="2384" w:type="dxa"/>
            <w:vMerge w:val="continue"/>
            <w:tcBorders>
              <w:tl2br w:val="nil"/>
              <w:tr2bl w:val="nil"/>
            </w:tcBorders>
            <w:noWrap w:val="0"/>
            <w:vAlign w:val="center"/>
          </w:tcPr>
          <w:p w14:paraId="7C2F4AC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432577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noWrap w:val="0"/>
            <w:vAlign w:val="center"/>
          </w:tcPr>
          <w:p w14:paraId="743AC0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c>
          <w:tcPr>
            <w:tcW w:w="1665" w:type="dxa"/>
            <w:tcBorders>
              <w:tl2br w:val="nil"/>
              <w:tr2bl w:val="nil"/>
            </w:tcBorders>
            <w:noWrap w:val="0"/>
            <w:vAlign w:val="center"/>
          </w:tcPr>
          <w:p w14:paraId="459902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闽侯县人民医院</w:t>
            </w:r>
          </w:p>
        </w:tc>
        <w:tc>
          <w:tcPr>
            <w:tcW w:w="1095" w:type="dxa"/>
            <w:tcBorders>
              <w:tl2br w:val="nil"/>
              <w:tr2bl w:val="nil"/>
            </w:tcBorders>
            <w:noWrap w:val="0"/>
            <w:vAlign w:val="center"/>
          </w:tcPr>
          <w:p w14:paraId="262F08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东北侧</w:t>
            </w:r>
          </w:p>
        </w:tc>
        <w:tc>
          <w:tcPr>
            <w:tcW w:w="1335" w:type="dxa"/>
            <w:tcBorders>
              <w:tl2br w:val="nil"/>
              <w:tr2bl w:val="nil"/>
            </w:tcBorders>
            <w:noWrap w:val="0"/>
            <w:vAlign w:val="center"/>
          </w:tcPr>
          <w:p w14:paraId="22A98F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宋体"/>
                <w:i w:val="0"/>
                <w:iCs w:val="0"/>
                <w:color w:val="auto"/>
                <w:kern w:val="0"/>
                <w:sz w:val="21"/>
                <w:szCs w:val="22"/>
                <w:highlight w:val="none"/>
                <w:u w:val="none"/>
                <w:lang w:val="en-US" w:eastAsia="zh-CN" w:bidi="ar"/>
              </w:rPr>
              <w:t>3370</w:t>
            </w:r>
          </w:p>
        </w:tc>
        <w:tc>
          <w:tcPr>
            <w:tcW w:w="1185" w:type="dxa"/>
            <w:tcBorders>
              <w:tl2br w:val="nil"/>
              <w:tr2bl w:val="nil"/>
            </w:tcBorders>
            <w:noWrap w:val="0"/>
            <w:vAlign w:val="center"/>
          </w:tcPr>
          <w:p w14:paraId="45B6C46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500</w:t>
            </w:r>
          </w:p>
        </w:tc>
        <w:tc>
          <w:tcPr>
            <w:tcW w:w="2384" w:type="dxa"/>
            <w:vMerge w:val="continue"/>
            <w:tcBorders>
              <w:tl2br w:val="nil"/>
              <w:tr2bl w:val="nil"/>
            </w:tcBorders>
            <w:noWrap w:val="0"/>
            <w:vAlign w:val="center"/>
          </w:tcPr>
          <w:p w14:paraId="2A1A128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p>
        </w:tc>
      </w:tr>
      <w:tr w14:paraId="14319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tcBorders>
              <w:tl2br w:val="nil"/>
              <w:tr2bl w:val="nil"/>
            </w:tcBorders>
            <w:noWrap w:val="0"/>
            <w:vAlign w:val="center"/>
          </w:tcPr>
          <w:p w14:paraId="138A6AC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地表水环境</w:t>
            </w:r>
          </w:p>
        </w:tc>
        <w:tc>
          <w:tcPr>
            <w:tcW w:w="1665" w:type="dxa"/>
            <w:tcBorders>
              <w:tl2br w:val="nil"/>
              <w:tr2bl w:val="nil"/>
            </w:tcBorders>
            <w:noWrap w:val="0"/>
            <w:vAlign w:val="center"/>
          </w:tcPr>
          <w:p w14:paraId="53F63A3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陶江</w:t>
            </w:r>
          </w:p>
        </w:tc>
        <w:tc>
          <w:tcPr>
            <w:tcW w:w="1095" w:type="dxa"/>
            <w:tcBorders>
              <w:tl2br w:val="nil"/>
              <w:tr2bl w:val="nil"/>
            </w:tcBorders>
            <w:noWrap w:val="0"/>
            <w:vAlign w:val="center"/>
          </w:tcPr>
          <w:p w14:paraId="0C8570D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西侧</w:t>
            </w:r>
          </w:p>
        </w:tc>
        <w:tc>
          <w:tcPr>
            <w:tcW w:w="1335" w:type="dxa"/>
            <w:tcBorders>
              <w:tl2br w:val="nil"/>
              <w:tr2bl w:val="nil"/>
            </w:tcBorders>
            <w:noWrap w:val="0"/>
            <w:vAlign w:val="center"/>
          </w:tcPr>
          <w:p w14:paraId="0F28D1E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316</w:t>
            </w:r>
          </w:p>
        </w:tc>
        <w:tc>
          <w:tcPr>
            <w:tcW w:w="1185" w:type="dxa"/>
            <w:tcBorders>
              <w:tl2br w:val="nil"/>
              <w:tr2bl w:val="nil"/>
            </w:tcBorders>
            <w:noWrap w:val="0"/>
            <w:vAlign w:val="center"/>
          </w:tcPr>
          <w:p w14:paraId="4587283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default" w:ascii="Times New Roman" w:hAnsi="Times New Roman" w:eastAsia="宋体" w:cs="Times New Roman"/>
                <w:color w:val="auto"/>
                <w:kern w:val="2"/>
                <w:sz w:val="21"/>
                <w:szCs w:val="24"/>
                <w:highlight w:val="none"/>
                <w:vertAlign w:val="baseline"/>
                <w:lang w:val="en-US" w:eastAsia="zh-CN" w:bidi="ar-SA"/>
              </w:rPr>
              <w:t>/</w:t>
            </w:r>
          </w:p>
        </w:tc>
        <w:tc>
          <w:tcPr>
            <w:tcW w:w="2384" w:type="dxa"/>
            <w:tcBorders>
              <w:tl2br w:val="nil"/>
              <w:tr2bl w:val="nil"/>
            </w:tcBorders>
            <w:noWrap w:val="0"/>
            <w:vAlign w:val="center"/>
          </w:tcPr>
          <w:p w14:paraId="48C7EE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default" w:ascii="Times New Roman" w:hAnsi="Times New Roman" w:eastAsia="宋体" w:cs="Times New Roman"/>
                <w:color w:val="auto"/>
                <w:kern w:val="2"/>
                <w:sz w:val="21"/>
                <w:szCs w:val="24"/>
                <w:highlight w:val="none"/>
                <w:vertAlign w:val="baseline"/>
                <w:lang w:val="en-US" w:eastAsia="zh-CN" w:bidi="ar-SA"/>
              </w:rPr>
              <w:t>《地表水环境质量标准》（GB3838-2002）的Ⅲ</w:t>
            </w:r>
            <w:r>
              <w:rPr>
                <w:rFonts w:hint="eastAsia" w:cs="Times New Roman"/>
                <w:color w:val="auto"/>
                <w:kern w:val="2"/>
                <w:sz w:val="21"/>
                <w:szCs w:val="24"/>
                <w:highlight w:val="none"/>
                <w:vertAlign w:val="baseline"/>
                <w:lang w:val="en-US" w:eastAsia="zh-CN" w:bidi="ar-SA"/>
              </w:rPr>
              <w:t>类</w:t>
            </w:r>
            <w:r>
              <w:rPr>
                <w:rFonts w:hint="default" w:ascii="Times New Roman" w:hAnsi="Times New Roman" w:eastAsia="宋体" w:cs="Times New Roman"/>
                <w:color w:val="auto"/>
                <w:kern w:val="2"/>
                <w:sz w:val="21"/>
                <w:szCs w:val="24"/>
                <w:highlight w:val="none"/>
                <w:vertAlign w:val="baseline"/>
                <w:lang w:val="en-US" w:eastAsia="zh-CN" w:bidi="ar-SA"/>
              </w:rPr>
              <w:t>水质标准</w:t>
            </w:r>
          </w:p>
        </w:tc>
      </w:tr>
      <w:tr w14:paraId="04066D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tcBorders>
              <w:tl2br w:val="nil"/>
              <w:tr2bl w:val="nil"/>
            </w:tcBorders>
            <w:noWrap w:val="0"/>
            <w:vAlign w:val="center"/>
          </w:tcPr>
          <w:p w14:paraId="7F9731C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声环境</w:t>
            </w:r>
          </w:p>
        </w:tc>
        <w:tc>
          <w:tcPr>
            <w:tcW w:w="5280" w:type="dxa"/>
            <w:gridSpan w:val="4"/>
            <w:tcBorders>
              <w:tl2br w:val="nil"/>
              <w:tr2bl w:val="nil"/>
            </w:tcBorders>
            <w:noWrap w:val="0"/>
            <w:vAlign w:val="center"/>
          </w:tcPr>
          <w:p w14:paraId="78028E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snapToGrid/>
                <w:color w:val="auto"/>
                <w:kern w:val="2"/>
                <w:sz w:val="21"/>
                <w:szCs w:val="21"/>
                <w:highlight w:val="none"/>
                <w:lang w:val="en-US" w:eastAsia="zh-CN"/>
              </w:rPr>
              <w:t>厂界外200米范围内无声环境保护目标</w:t>
            </w:r>
          </w:p>
        </w:tc>
        <w:tc>
          <w:tcPr>
            <w:tcW w:w="2384" w:type="dxa"/>
            <w:tcBorders>
              <w:tl2br w:val="nil"/>
              <w:tr2bl w:val="nil"/>
            </w:tcBorders>
            <w:noWrap w:val="0"/>
            <w:vAlign w:val="center"/>
          </w:tcPr>
          <w:p w14:paraId="2E4DC7D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《声环境质量标准》（</w:t>
            </w:r>
            <w:r>
              <w:rPr>
                <w:rFonts w:hint="default" w:ascii="Times New Roman" w:hAnsi="Times New Roman" w:eastAsia="宋体" w:cs="Times New Roman"/>
                <w:color w:val="auto"/>
                <w:kern w:val="2"/>
                <w:sz w:val="21"/>
                <w:szCs w:val="24"/>
                <w:highlight w:val="none"/>
                <w:vertAlign w:val="baseline"/>
                <w:lang w:val="en-US" w:eastAsia="zh-CN" w:bidi="ar-SA"/>
              </w:rPr>
              <w:t>GB3096-2008</w:t>
            </w:r>
            <w:r>
              <w:rPr>
                <w:rFonts w:hint="eastAsia" w:ascii="Times New Roman" w:hAnsi="Times New Roman" w:eastAsia="宋体" w:cs="Times New Roman"/>
                <w:color w:val="auto"/>
                <w:kern w:val="2"/>
                <w:sz w:val="21"/>
                <w:szCs w:val="24"/>
                <w:highlight w:val="none"/>
                <w:vertAlign w:val="baseline"/>
                <w:lang w:val="en-US" w:eastAsia="zh-CN" w:bidi="ar-SA"/>
              </w:rPr>
              <w:t>）3类</w:t>
            </w:r>
          </w:p>
        </w:tc>
      </w:tr>
    </w:tbl>
    <w:p w14:paraId="4ACFFEBD">
      <w:pPr>
        <w:rPr>
          <w:color w:val="auto"/>
          <w:highlight w:val="none"/>
        </w:rPr>
      </w:pPr>
      <w:r>
        <w:rPr>
          <w:color w:val="auto"/>
          <w:highlight w:val="none"/>
        </w:rPr>
        <w:br w:type="page"/>
      </w:r>
    </w:p>
    <w:p w14:paraId="1BB73282">
      <w:pPr>
        <w:keepNext/>
        <w:keepLines/>
        <w:pageBreakBefore/>
        <w:widowControl w:val="0"/>
        <w:numPr>
          <w:ilvl w:val="0"/>
          <w:numId w:val="0"/>
        </w:numPr>
        <w:adjustRightInd w:val="0"/>
        <w:snapToGrid w:val="0"/>
        <w:spacing w:before="0" w:beforeLines="0" w:after="0" w:afterLines="0" w:line="360" w:lineRule="auto"/>
        <w:ind w:left="0" w:firstLine="640" w:firstLineChars="200"/>
        <w:jc w:val="left"/>
        <w:textAlignment w:val="center"/>
        <w:outlineLvl w:val="0"/>
        <w:rPr>
          <w:rFonts w:ascii="Times New Roman" w:hAnsi="Times New Roman" w:eastAsia="黑体" w:cs="Times New Roman"/>
          <w:b w:val="0"/>
          <w:bCs/>
          <w:snapToGrid/>
          <w:color w:val="auto"/>
          <w:kern w:val="32"/>
          <w:sz w:val="32"/>
          <w:szCs w:val="44"/>
          <w:highlight w:val="none"/>
          <w:lang w:val="en-US" w:eastAsia="zh-CN" w:bidi="ar-SA"/>
        </w:rPr>
        <w:sectPr>
          <w:pgSz w:w="11907" w:h="16840"/>
          <w:pgMar w:top="1440" w:right="1797" w:bottom="1440" w:left="1797" w:header="907" w:footer="907" w:gutter="0"/>
          <w:pgBorders w:offsetFrom="page">
            <w:top w:val="none" w:sz="0" w:space="0"/>
            <w:left w:val="none" w:sz="0" w:space="0"/>
            <w:bottom w:val="none" w:sz="0" w:space="0"/>
            <w:right w:val="none" w:sz="0" w:space="0"/>
          </w:pgBorders>
          <w:pgNumType w:fmt="decimal"/>
          <w:cols w:space="720" w:num="1"/>
          <w:docGrid w:linePitch="326" w:charSpace="0"/>
        </w:sectPr>
      </w:pPr>
      <w:bookmarkStart w:id="318" w:name="_Toc25941"/>
    </w:p>
    <w:p w14:paraId="2C060854">
      <w:pPr>
        <w:pStyle w:val="2"/>
        <w:numPr>
          <w:ilvl w:val="0"/>
          <w:numId w:val="0"/>
        </w:numPr>
        <w:bidi w:val="0"/>
        <w:ind w:leftChars="0"/>
        <w:rPr>
          <w:color w:val="auto"/>
          <w:highlight w:val="none"/>
        </w:rPr>
      </w:pPr>
      <w:bookmarkStart w:id="319" w:name="_Toc24169"/>
      <w:bookmarkStart w:id="320" w:name="_Toc4653"/>
      <w:r>
        <w:rPr>
          <w:rFonts w:hint="eastAsia"/>
          <w:color w:val="auto"/>
          <w:highlight w:val="none"/>
          <w:lang w:val="en-US" w:eastAsia="zh-CN"/>
        </w:rPr>
        <w:t xml:space="preserve">3 </w:t>
      </w:r>
      <w:r>
        <w:rPr>
          <w:color w:val="auto"/>
          <w:highlight w:val="none"/>
        </w:rPr>
        <w:t>工程分析</w:t>
      </w:r>
      <w:bookmarkEnd w:id="319"/>
      <w:bookmarkEnd w:id="320"/>
    </w:p>
    <w:p w14:paraId="0F34D07A">
      <w:pPr>
        <w:pStyle w:val="3"/>
        <w:numPr>
          <w:ilvl w:val="1"/>
          <w:numId w:val="0"/>
        </w:numPr>
        <w:bidi w:val="0"/>
        <w:rPr>
          <w:color w:val="auto"/>
          <w:highlight w:val="none"/>
        </w:rPr>
      </w:pPr>
      <w:bookmarkStart w:id="321" w:name="_Toc26018"/>
      <w:bookmarkStart w:id="322" w:name="_Toc28952"/>
      <w:bookmarkStart w:id="323" w:name="_Toc362276137"/>
      <w:bookmarkStart w:id="324" w:name="_Toc373835695"/>
      <w:bookmarkStart w:id="325" w:name="_Toc445550266"/>
      <w:bookmarkStart w:id="326" w:name="_Toc366254969"/>
      <w:r>
        <w:rPr>
          <w:rFonts w:hint="eastAsia"/>
          <w:color w:val="auto"/>
          <w:highlight w:val="none"/>
          <w:lang w:val="en-US" w:eastAsia="zh-CN"/>
        </w:rPr>
        <w:t xml:space="preserve">3.1 </w:t>
      </w:r>
      <w:r>
        <w:rPr>
          <w:color w:val="auto"/>
          <w:highlight w:val="none"/>
        </w:rPr>
        <w:t>建设项目概况</w:t>
      </w:r>
      <w:bookmarkEnd w:id="321"/>
      <w:bookmarkEnd w:id="322"/>
    </w:p>
    <w:p w14:paraId="2488853F">
      <w:pPr>
        <w:pStyle w:val="4"/>
        <w:numPr>
          <w:ilvl w:val="2"/>
          <w:numId w:val="0"/>
        </w:numPr>
        <w:tabs>
          <w:tab w:val="clear" w:pos="720"/>
        </w:tabs>
        <w:bidi w:val="0"/>
        <w:rPr>
          <w:color w:val="auto"/>
          <w:highlight w:val="none"/>
        </w:rPr>
      </w:pPr>
      <w:bookmarkStart w:id="327" w:name="_Toc20248"/>
      <w:r>
        <w:rPr>
          <w:rFonts w:hint="eastAsia"/>
          <w:color w:val="auto"/>
          <w:highlight w:val="none"/>
          <w:lang w:val="en-US" w:eastAsia="zh-CN"/>
        </w:rPr>
        <w:t xml:space="preserve">3.1.1 </w:t>
      </w:r>
      <w:r>
        <w:rPr>
          <w:color w:val="auto"/>
          <w:highlight w:val="none"/>
        </w:rPr>
        <w:t>项目基本情况</w:t>
      </w:r>
      <w:bookmarkEnd w:id="327"/>
    </w:p>
    <w:p w14:paraId="5C336CD3">
      <w:pPr>
        <w:snapToGrid w:val="0"/>
        <w:ind w:firstLine="480"/>
        <w:rPr>
          <w:color w:val="auto"/>
          <w:szCs w:val="28"/>
          <w:highlight w:val="none"/>
        </w:rPr>
      </w:pPr>
      <w:bookmarkStart w:id="328" w:name="_Toc182968420"/>
      <w:bookmarkStart w:id="329" w:name="_Toc182968947"/>
      <w:bookmarkStart w:id="330" w:name="_Toc141520452"/>
      <w:bookmarkStart w:id="331" w:name="_Toc183782525"/>
      <w:bookmarkStart w:id="332" w:name="_Toc183754345"/>
      <w:r>
        <w:rPr>
          <w:color w:val="auto"/>
          <w:szCs w:val="28"/>
          <w:highlight w:val="none"/>
        </w:rPr>
        <w:t>（1）项目名称</w:t>
      </w:r>
      <w:bookmarkEnd w:id="328"/>
      <w:bookmarkEnd w:id="329"/>
      <w:bookmarkEnd w:id="330"/>
      <w:bookmarkEnd w:id="331"/>
      <w:bookmarkEnd w:id="332"/>
      <w:r>
        <w:rPr>
          <w:color w:val="auto"/>
          <w:szCs w:val="28"/>
          <w:highlight w:val="none"/>
        </w:rPr>
        <w:t>：</w:t>
      </w:r>
      <w:r>
        <w:rPr>
          <w:rFonts w:hint="eastAsia"/>
          <w:color w:val="auto"/>
          <w:highlight w:val="none"/>
          <w:lang w:eastAsia="zh-CN"/>
        </w:rPr>
        <w:t>福州日源汽车零部件加工生产项目</w:t>
      </w:r>
    </w:p>
    <w:p w14:paraId="72E0F00F">
      <w:pPr>
        <w:snapToGrid w:val="0"/>
        <w:ind w:firstLine="480"/>
        <w:rPr>
          <w:rFonts w:hint="eastAsia" w:eastAsia="宋体"/>
          <w:color w:val="auto"/>
          <w:szCs w:val="28"/>
          <w:highlight w:val="none"/>
          <w:lang w:eastAsia="zh-CN"/>
        </w:rPr>
      </w:pPr>
      <w:r>
        <w:rPr>
          <w:color w:val="auto"/>
          <w:szCs w:val="28"/>
          <w:highlight w:val="none"/>
        </w:rPr>
        <w:t>（2）建设单位：</w:t>
      </w:r>
      <w:r>
        <w:rPr>
          <w:rFonts w:hint="eastAsia"/>
          <w:color w:val="auto"/>
          <w:highlight w:val="none"/>
          <w:lang w:eastAsia="zh-CN"/>
        </w:rPr>
        <w:t>福州日源汽车零部件有限公司</w:t>
      </w:r>
    </w:p>
    <w:p w14:paraId="51A08E0A">
      <w:pPr>
        <w:autoSpaceDE w:val="0"/>
        <w:snapToGrid w:val="0"/>
        <w:ind w:firstLine="480"/>
        <w:rPr>
          <w:rFonts w:hint="eastAsia" w:eastAsia="宋体"/>
          <w:color w:val="auto"/>
          <w:szCs w:val="28"/>
          <w:highlight w:val="none"/>
          <w:lang w:eastAsia="zh-CN"/>
        </w:rPr>
      </w:pPr>
      <w:r>
        <w:rPr>
          <w:color w:val="auto"/>
          <w:highlight w:val="none"/>
        </w:rPr>
        <w:t>（3）建设地点：</w:t>
      </w:r>
      <w:r>
        <w:rPr>
          <w:rFonts w:hint="eastAsia"/>
          <w:color w:val="auto"/>
          <w:highlight w:val="none"/>
          <w:lang w:eastAsia="zh-CN" w:bidi="he-IL"/>
        </w:rPr>
        <w:t>福建省福州市闽侯县青口镇祥宏南路1366号办公楼、A库厂房、B库厂房</w:t>
      </w:r>
    </w:p>
    <w:p w14:paraId="1BDC8436">
      <w:pPr>
        <w:snapToGrid w:val="0"/>
        <w:ind w:firstLine="480"/>
        <w:rPr>
          <w:rFonts w:hint="eastAsia" w:eastAsia="宋体"/>
          <w:color w:val="auto"/>
          <w:highlight w:val="none"/>
          <w:lang w:eastAsia="zh-CN"/>
        </w:rPr>
      </w:pPr>
      <w:r>
        <w:rPr>
          <w:color w:val="auto"/>
          <w:highlight w:val="none"/>
        </w:rPr>
        <w:t>（4）建设性质：</w:t>
      </w:r>
      <w:r>
        <w:rPr>
          <w:rFonts w:hint="eastAsia"/>
          <w:color w:val="auto"/>
          <w:highlight w:val="none"/>
          <w:lang w:val="en-US" w:eastAsia="zh-CN"/>
        </w:rPr>
        <w:t>新建</w:t>
      </w:r>
    </w:p>
    <w:p w14:paraId="700CC3A4">
      <w:pPr>
        <w:snapToGrid w:val="0"/>
        <w:ind w:firstLine="480"/>
        <w:rPr>
          <w:color w:val="auto"/>
          <w:highlight w:val="none"/>
          <w:lang w:bidi="he-IL"/>
        </w:rPr>
      </w:pPr>
      <w:r>
        <w:rPr>
          <w:color w:val="auto"/>
          <w:szCs w:val="28"/>
          <w:highlight w:val="none"/>
        </w:rPr>
        <w:t>（5）项目总投资：</w:t>
      </w:r>
      <w:r>
        <w:rPr>
          <w:rFonts w:hint="eastAsia"/>
          <w:color w:val="auto"/>
          <w:highlight w:val="none"/>
          <w:lang w:val="en-US" w:eastAsia="zh-CN" w:bidi="he-IL"/>
        </w:rPr>
        <w:t>1000</w:t>
      </w:r>
      <w:r>
        <w:rPr>
          <w:color w:val="auto"/>
          <w:highlight w:val="none"/>
          <w:lang w:bidi="he-IL"/>
        </w:rPr>
        <w:t>万元</w:t>
      </w:r>
    </w:p>
    <w:p w14:paraId="0AD5A784">
      <w:pPr>
        <w:snapToGrid w:val="0"/>
        <w:ind w:firstLine="480"/>
        <w:rPr>
          <w:rFonts w:hint="eastAsia"/>
          <w:color w:val="auto"/>
          <w:szCs w:val="28"/>
          <w:highlight w:val="none"/>
          <w:lang w:val="en-US" w:eastAsia="zh-CN"/>
        </w:rPr>
      </w:pPr>
      <w:r>
        <w:rPr>
          <w:color w:val="auto"/>
          <w:highlight w:val="none"/>
        </w:rPr>
        <w:t>（6）主要</w:t>
      </w:r>
      <w:r>
        <w:rPr>
          <w:color w:val="auto"/>
          <w:szCs w:val="28"/>
          <w:highlight w:val="none"/>
        </w:rPr>
        <w:t>建设内容及规模：</w:t>
      </w:r>
      <w:r>
        <w:rPr>
          <w:rFonts w:hint="eastAsia"/>
          <w:color w:val="auto"/>
          <w:szCs w:val="28"/>
          <w:highlight w:val="none"/>
          <w:lang w:val="en-US" w:eastAsia="zh-CN"/>
        </w:rPr>
        <w:t>年产前后保险杆总成15万套、前格栅总成15万套</w:t>
      </w:r>
    </w:p>
    <w:p w14:paraId="06FF6F85">
      <w:pPr>
        <w:snapToGrid w:val="0"/>
        <w:ind w:firstLine="480"/>
        <w:rPr>
          <w:rFonts w:hint="default"/>
          <w:color w:val="auto"/>
          <w:szCs w:val="28"/>
          <w:highlight w:val="none"/>
          <w:lang w:val="en-US"/>
        </w:rPr>
      </w:pPr>
      <w:r>
        <w:rPr>
          <w:color w:val="auto"/>
          <w:szCs w:val="28"/>
          <w:highlight w:val="none"/>
        </w:rPr>
        <w:t>（7）总定员：</w:t>
      </w:r>
      <w:r>
        <w:rPr>
          <w:rFonts w:hint="eastAsia"/>
          <w:color w:val="auto"/>
          <w:szCs w:val="28"/>
          <w:highlight w:val="none"/>
          <w:lang w:val="en-US" w:eastAsia="zh-CN"/>
        </w:rPr>
        <w:t>50人，均不住厂</w:t>
      </w:r>
    </w:p>
    <w:p w14:paraId="7A1304C1">
      <w:pPr>
        <w:snapToGrid w:val="0"/>
        <w:ind w:firstLine="480"/>
        <w:rPr>
          <w:rFonts w:hint="eastAsia" w:ascii="Times New Roman" w:hAnsi="Times New Roman" w:eastAsia="宋体" w:cs="Times New Roman"/>
          <w:color w:val="auto"/>
          <w:highlight w:val="none"/>
          <w:lang w:val="en-US" w:eastAsia="zh-CN" w:bidi="he-IL"/>
        </w:rPr>
      </w:pPr>
      <w:r>
        <w:rPr>
          <w:color w:val="auto"/>
          <w:szCs w:val="28"/>
          <w:highlight w:val="none"/>
        </w:rPr>
        <w:t>（8）工作制度：</w:t>
      </w:r>
      <w:r>
        <w:rPr>
          <w:rFonts w:hint="default" w:ascii="Times New Roman" w:hAnsi="Times New Roman" w:eastAsia="宋体" w:cs="Times New Roman"/>
          <w:color w:val="auto"/>
          <w:highlight w:val="none"/>
          <w:lang w:val="en-US" w:eastAsia="zh-CN" w:bidi="he-IL"/>
        </w:rPr>
        <w:t>全年工作</w:t>
      </w:r>
      <w:r>
        <w:rPr>
          <w:rFonts w:hint="eastAsia" w:ascii="Times New Roman" w:hAnsi="Times New Roman" w:eastAsia="宋体" w:cs="Times New Roman"/>
          <w:color w:val="auto"/>
          <w:highlight w:val="none"/>
          <w:lang w:val="en-US" w:eastAsia="zh-CN" w:bidi="he-IL"/>
        </w:rPr>
        <w:t>300</w:t>
      </w:r>
      <w:r>
        <w:rPr>
          <w:rFonts w:hint="default" w:ascii="Times New Roman" w:hAnsi="Times New Roman" w:eastAsia="宋体" w:cs="Times New Roman"/>
          <w:color w:val="auto"/>
          <w:highlight w:val="none"/>
          <w:lang w:val="en-US" w:eastAsia="zh-CN" w:bidi="he-IL"/>
        </w:rPr>
        <w:t>天，</w:t>
      </w:r>
      <w:r>
        <w:rPr>
          <w:rFonts w:hint="eastAsia" w:ascii="Times New Roman" w:hAnsi="Times New Roman" w:eastAsia="宋体" w:cs="Times New Roman"/>
          <w:color w:val="auto"/>
          <w:highlight w:val="none"/>
          <w:lang w:val="en-US" w:eastAsia="zh-CN" w:bidi="he-IL"/>
        </w:rPr>
        <w:t>职能</w:t>
      </w:r>
      <w:r>
        <w:rPr>
          <w:rFonts w:hint="default" w:ascii="Times New Roman" w:hAnsi="Times New Roman" w:eastAsia="宋体" w:cs="Times New Roman"/>
          <w:color w:val="auto"/>
          <w:highlight w:val="none"/>
          <w:lang w:val="en-US" w:eastAsia="zh-CN" w:bidi="he-IL"/>
        </w:rPr>
        <w:t>部门为</w:t>
      </w:r>
      <w:r>
        <w:rPr>
          <w:rFonts w:hint="eastAsia" w:ascii="Times New Roman" w:hAnsi="Times New Roman" w:eastAsia="宋体" w:cs="Times New Roman"/>
          <w:color w:val="auto"/>
          <w:highlight w:val="none"/>
          <w:lang w:val="en-US" w:eastAsia="zh-CN" w:bidi="he-IL"/>
        </w:rPr>
        <w:t>单</w:t>
      </w:r>
      <w:r>
        <w:rPr>
          <w:rFonts w:hint="default" w:ascii="Times New Roman" w:hAnsi="Times New Roman" w:eastAsia="宋体" w:cs="Times New Roman"/>
          <w:color w:val="auto"/>
          <w:highlight w:val="none"/>
          <w:lang w:val="en-US" w:eastAsia="zh-CN" w:bidi="he-IL"/>
        </w:rPr>
        <w:t>班工作制，生产部门为</w:t>
      </w:r>
      <w:r>
        <w:rPr>
          <w:rFonts w:hint="eastAsia" w:ascii="Times New Roman" w:hAnsi="Times New Roman" w:eastAsia="宋体" w:cs="Times New Roman"/>
          <w:color w:val="auto"/>
          <w:highlight w:val="none"/>
          <w:lang w:val="en-US" w:eastAsia="zh-CN" w:bidi="he-IL"/>
        </w:rPr>
        <w:t>三</w:t>
      </w:r>
      <w:r>
        <w:rPr>
          <w:rFonts w:hint="default" w:ascii="Times New Roman" w:hAnsi="Times New Roman" w:eastAsia="宋体" w:cs="Times New Roman"/>
          <w:color w:val="auto"/>
          <w:highlight w:val="none"/>
          <w:lang w:val="en-US" w:eastAsia="zh-CN" w:bidi="he-IL"/>
        </w:rPr>
        <w:t>班工作制</w:t>
      </w:r>
      <w:r>
        <w:rPr>
          <w:rFonts w:hint="eastAsia" w:ascii="Times New Roman" w:hAnsi="Times New Roman" w:eastAsia="宋体" w:cs="Times New Roman"/>
          <w:color w:val="auto"/>
          <w:highlight w:val="none"/>
          <w:lang w:val="en-US" w:eastAsia="zh-CN" w:bidi="he-IL"/>
        </w:rPr>
        <w:t>，每班8小时</w:t>
      </w:r>
    </w:p>
    <w:p w14:paraId="68CAE2C9">
      <w:pPr>
        <w:snapToGrid w:val="0"/>
        <w:ind w:firstLine="480"/>
        <w:rPr>
          <w:rFonts w:hint="default"/>
          <w:color w:val="auto"/>
          <w:highlight w:val="none"/>
          <w:lang w:val="en-US" w:eastAsia="zh-CN"/>
        </w:rPr>
      </w:pPr>
      <w:r>
        <w:rPr>
          <w:rFonts w:hint="eastAsia" w:ascii="Times New Roman" w:hAnsi="Times New Roman" w:eastAsia="宋体" w:cs="Times New Roman"/>
          <w:color w:val="auto"/>
          <w:highlight w:val="none"/>
          <w:lang w:val="en-US" w:eastAsia="zh-CN" w:bidi="he-IL"/>
        </w:rPr>
        <w:t>（9）</w:t>
      </w:r>
      <w:r>
        <w:rPr>
          <w:rFonts w:hint="eastAsia" w:ascii="Times New Roman" w:hAnsi="Times New Roman" w:eastAsia="宋体" w:cs="Times New Roman"/>
          <w:color w:val="auto"/>
          <w:highlight w:val="none"/>
          <w:lang w:val="en-US" w:eastAsia="zh-CN"/>
        </w:rPr>
        <w:t>租赁面积</w:t>
      </w:r>
      <w:r>
        <w:rPr>
          <w:rFonts w:hint="eastAsia" w:ascii="Times New Roman" w:hAnsi="Times New Roman" w:eastAsia="宋体" w:cs="Times New Roman"/>
          <w:color w:val="auto"/>
          <w:highlight w:val="none"/>
          <w:lang w:val="en-US" w:eastAsia="zh-CN" w:bidi="he-IL"/>
        </w:rPr>
        <w:t>：</w:t>
      </w:r>
      <w:r>
        <w:rPr>
          <w:rFonts w:hint="default"/>
          <w:color w:val="auto"/>
          <w:highlight w:val="none"/>
          <w:lang w:val="en-US" w:eastAsia="zh-CN"/>
        </w:rPr>
        <w:t>办公楼3665.17</w:t>
      </w:r>
      <w:r>
        <w:rPr>
          <w:rFonts w:hint="default"/>
          <w:color w:val="auto"/>
          <w:sz w:val="24"/>
          <w:szCs w:val="24"/>
          <w:highlight w:val="none"/>
        </w:rPr>
        <w:t>m</w:t>
      </w:r>
      <w:r>
        <w:rPr>
          <w:rFonts w:hint="default"/>
          <w:color w:val="auto"/>
          <w:sz w:val="24"/>
          <w:szCs w:val="24"/>
          <w:highlight w:val="none"/>
          <w:vertAlign w:val="superscript"/>
        </w:rPr>
        <w:t>2</w:t>
      </w:r>
      <w:r>
        <w:rPr>
          <w:rFonts w:hint="default"/>
          <w:color w:val="auto"/>
          <w:highlight w:val="none"/>
          <w:lang w:val="en-US" w:eastAsia="zh-CN"/>
        </w:rPr>
        <w:t>、A库</w:t>
      </w:r>
      <w:r>
        <w:rPr>
          <w:rFonts w:hint="eastAsia"/>
          <w:color w:val="auto"/>
          <w:highlight w:val="none"/>
          <w:lang w:val="en-US" w:eastAsia="zh-CN"/>
        </w:rPr>
        <w:t>厂房</w:t>
      </w:r>
      <w:r>
        <w:rPr>
          <w:rFonts w:hint="default"/>
          <w:color w:val="auto"/>
          <w:highlight w:val="none"/>
          <w:lang w:val="en-US" w:eastAsia="zh-CN"/>
        </w:rPr>
        <w:t>2567.22</w:t>
      </w:r>
      <w:r>
        <w:rPr>
          <w:rFonts w:hint="default"/>
          <w:color w:val="auto"/>
          <w:sz w:val="24"/>
          <w:szCs w:val="24"/>
          <w:highlight w:val="none"/>
        </w:rPr>
        <w:t>m</w:t>
      </w:r>
      <w:r>
        <w:rPr>
          <w:rFonts w:hint="default"/>
          <w:color w:val="auto"/>
          <w:sz w:val="24"/>
          <w:szCs w:val="24"/>
          <w:highlight w:val="none"/>
          <w:vertAlign w:val="superscript"/>
        </w:rPr>
        <w:t>2</w:t>
      </w:r>
      <w:r>
        <w:rPr>
          <w:rFonts w:hint="default"/>
          <w:color w:val="auto"/>
          <w:highlight w:val="none"/>
          <w:lang w:val="en-US" w:eastAsia="zh-CN"/>
        </w:rPr>
        <w:t>、B库</w:t>
      </w:r>
      <w:r>
        <w:rPr>
          <w:rFonts w:hint="eastAsia"/>
          <w:color w:val="auto"/>
          <w:highlight w:val="none"/>
          <w:lang w:val="en-US" w:eastAsia="zh-CN"/>
        </w:rPr>
        <w:t>厂房</w:t>
      </w:r>
      <w:r>
        <w:rPr>
          <w:rFonts w:hint="default"/>
          <w:color w:val="auto"/>
          <w:highlight w:val="none"/>
          <w:lang w:val="en-US" w:eastAsia="zh-CN"/>
        </w:rPr>
        <w:t>12145.37</w:t>
      </w:r>
      <w:r>
        <w:rPr>
          <w:rFonts w:hint="default"/>
          <w:color w:val="auto"/>
          <w:sz w:val="24"/>
          <w:szCs w:val="24"/>
          <w:highlight w:val="none"/>
        </w:rPr>
        <w:t>m</w:t>
      </w:r>
      <w:r>
        <w:rPr>
          <w:rFonts w:hint="default"/>
          <w:color w:val="auto"/>
          <w:sz w:val="24"/>
          <w:szCs w:val="24"/>
          <w:highlight w:val="none"/>
          <w:vertAlign w:val="superscript"/>
        </w:rPr>
        <w:t>2</w:t>
      </w:r>
      <w:r>
        <w:rPr>
          <w:rFonts w:hint="default"/>
          <w:color w:val="auto"/>
          <w:highlight w:val="none"/>
          <w:lang w:val="en-US" w:eastAsia="zh-CN"/>
        </w:rPr>
        <w:t>，租赁物建筑总面积合计18377.76</w:t>
      </w:r>
      <w:r>
        <w:rPr>
          <w:rFonts w:hint="default"/>
          <w:color w:val="auto"/>
          <w:sz w:val="24"/>
          <w:szCs w:val="24"/>
          <w:highlight w:val="none"/>
        </w:rPr>
        <w:t>m</w:t>
      </w:r>
      <w:r>
        <w:rPr>
          <w:rFonts w:hint="default"/>
          <w:color w:val="auto"/>
          <w:sz w:val="24"/>
          <w:szCs w:val="24"/>
          <w:highlight w:val="none"/>
          <w:vertAlign w:val="superscript"/>
        </w:rPr>
        <w:t>2</w:t>
      </w:r>
    </w:p>
    <w:p w14:paraId="41A8B2B7">
      <w:pPr>
        <w:pStyle w:val="4"/>
        <w:numPr>
          <w:ilvl w:val="2"/>
          <w:numId w:val="0"/>
        </w:numPr>
        <w:tabs>
          <w:tab w:val="clear" w:pos="720"/>
        </w:tabs>
        <w:bidi w:val="0"/>
        <w:rPr>
          <w:color w:val="auto"/>
          <w:highlight w:val="none"/>
        </w:rPr>
      </w:pPr>
      <w:bookmarkStart w:id="333" w:name="_Toc1603"/>
      <w:r>
        <w:rPr>
          <w:rFonts w:hint="eastAsia"/>
          <w:color w:val="auto"/>
          <w:highlight w:val="none"/>
          <w:lang w:val="en-US" w:eastAsia="zh-CN"/>
        </w:rPr>
        <w:t xml:space="preserve">3.1.2 </w:t>
      </w:r>
      <w:r>
        <w:rPr>
          <w:color w:val="auto"/>
          <w:highlight w:val="none"/>
        </w:rPr>
        <w:t>产品方案及规模</w:t>
      </w:r>
      <w:bookmarkEnd w:id="333"/>
    </w:p>
    <w:p w14:paraId="09963479">
      <w:pPr>
        <w:pStyle w:val="1354"/>
        <w:rPr>
          <w:color w:val="auto"/>
          <w:highlight w:val="none"/>
        </w:rPr>
      </w:pPr>
      <w:r>
        <w:rPr>
          <w:color w:val="auto"/>
          <w:highlight w:val="none"/>
        </w:rPr>
        <w:t>项目产品方案及规模见表</w:t>
      </w:r>
      <w:r>
        <w:rPr>
          <w:rFonts w:hint="eastAsia"/>
          <w:color w:val="auto"/>
          <w:highlight w:val="none"/>
          <w:lang w:eastAsia="zh-CN"/>
        </w:rPr>
        <w:t>3.</w:t>
      </w:r>
      <w:r>
        <w:rPr>
          <w:rFonts w:hint="eastAsia"/>
          <w:color w:val="auto"/>
          <w:highlight w:val="none"/>
          <w:lang w:val="en-US" w:eastAsia="zh-CN"/>
        </w:rPr>
        <w:t>1</w:t>
      </w:r>
      <w:r>
        <w:rPr>
          <w:color w:val="auto"/>
          <w:highlight w:val="none"/>
        </w:rPr>
        <w:t>-1。</w:t>
      </w:r>
    </w:p>
    <w:p w14:paraId="69DB34C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 项目产品方案及规模一览表</w:t>
      </w:r>
    </w:p>
    <w:tbl>
      <w:tblPr>
        <w:tblStyle w:val="80"/>
        <w:tblW w:w="5063"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1593"/>
        <w:gridCol w:w="2253"/>
        <w:gridCol w:w="2700"/>
        <w:gridCol w:w="2352"/>
      </w:tblGrid>
      <w:tr w14:paraId="0BC65E2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895" w:type="pct"/>
            <w:vMerge w:val="restart"/>
            <w:tcBorders>
              <w:tl2br w:val="nil"/>
              <w:tr2bl w:val="nil"/>
            </w:tcBorders>
            <w:noWrap w:val="0"/>
            <w:vAlign w:val="center"/>
          </w:tcPr>
          <w:p w14:paraId="014C63DE">
            <w:pPr>
              <w:pStyle w:val="1358"/>
              <w:jc w:val="center"/>
              <w:rPr>
                <w:color w:val="auto"/>
                <w:highlight w:val="none"/>
              </w:rPr>
            </w:pPr>
            <w:r>
              <w:rPr>
                <w:color w:val="auto"/>
                <w:highlight w:val="none"/>
              </w:rPr>
              <w:t>产品名称</w:t>
            </w:r>
          </w:p>
        </w:tc>
        <w:tc>
          <w:tcPr>
            <w:tcW w:w="4104" w:type="pct"/>
            <w:gridSpan w:val="3"/>
            <w:tcBorders>
              <w:tl2br w:val="nil"/>
              <w:tr2bl w:val="nil"/>
            </w:tcBorders>
            <w:noWrap w:val="0"/>
            <w:vAlign w:val="center"/>
          </w:tcPr>
          <w:p w14:paraId="3EBF331B">
            <w:pPr>
              <w:pStyle w:val="1358"/>
              <w:jc w:val="center"/>
              <w:rPr>
                <w:color w:val="auto"/>
                <w:highlight w:val="none"/>
              </w:rPr>
            </w:pPr>
            <w:r>
              <w:rPr>
                <w:color w:val="auto"/>
                <w:highlight w:val="none"/>
              </w:rPr>
              <w:t>生产规模</w:t>
            </w:r>
          </w:p>
        </w:tc>
      </w:tr>
      <w:tr w14:paraId="2C2BE28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895" w:type="pct"/>
            <w:vMerge w:val="continue"/>
            <w:tcBorders>
              <w:tl2br w:val="nil"/>
              <w:tr2bl w:val="nil"/>
            </w:tcBorders>
            <w:noWrap w:val="0"/>
            <w:vAlign w:val="center"/>
          </w:tcPr>
          <w:p w14:paraId="38FE5532">
            <w:pPr>
              <w:pStyle w:val="1358"/>
              <w:jc w:val="center"/>
              <w:rPr>
                <w:color w:val="auto"/>
                <w:highlight w:val="none"/>
              </w:rPr>
            </w:pPr>
          </w:p>
        </w:tc>
        <w:tc>
          <w:tcPr>
            <w:tcW w:w="2783" w:type="pct"/>
            <w:gridSpan w:val="2"/>
            <w:tcBorders>
              <w:tl2br w:val="nil"/>
              <w:tr2bl w:val="nil"/>
            </w:tcBorders>
            <w:noWrap w:val="0"/>
            <w:vAlign w:val="center"/>
          </w:tcPr>
          <w:p w14:paraId="26581888">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年产量</w:t>
            </w:r>
          </w:p>
        </w:tc>
        <w:tc>
          <w:tcPr>
            <w:tcW w:w="1321" w:type="pct"/>
            <w:tcBorders>
              <w:tl2br w:val="nil"/>
              <w:tr2bl w:val="nil"/>
            </w:tcBorders>
            <w:noWrap w:val="0"/>
            <w:vAlign w:val="center"/>
          </w:tcPr>
          <w:p w14:paraId="654024C8">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单件产品重量（</w:t>
            </w:r>
            <w:r>
              <w:rPr>
                <w:rFonts w:hint="default" w:ascii="Times New Roman" w:hAnsi="Times New Roman" w:eastAsia="宋体" w:cs="Times New Roman"/>
                <w:color w:val="auto"/>
                <w:highlight w:val="none"/>
                <w:lang w:val="en-US" w:eastAsia="zh-CN"/>
              </w:rPr>
              <w:t>kg</w:t>
            </w:r>
            <w:r>
              <w:rPr>
                <w:rFonts w:hint="eastAsia" w:ascii="Times New Roman" w:hAnsi="Times New Roman" w:eastAsia="宋体" w:cs="Times New Roman"/>
                <w:color w:val="auto"/>
                <w:highlight w:val="none"/>
                <w:lang w:val="en-US" w:eastAsia="zh-CN"/>
              </w:rPr>
              <w:t>）</w:t>
            </w:r>
          </w:p>
        </w:tc>
      </w:tr>
      <w:tr w14:paraId="14539E2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895" w:type="pct"/>
            <w:tcBorders>
              <w:tl2br w:val="nil"/>
              <w:tr2bl w:val="nil"/>
            </w:tcBorders>
            <w:noWrap w:val="0"/>
            <w:vAlign w:val="center"/>
          </w:tcPr>
          <w:p w14:paraId="4F7E642C">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后保险杆总成</w:t>
            </w:r>
          </w:p>
        </w:tc>
        <w:tc>
          <w:tcPr>
            <w:tcW w:w="1266" w:type="pct"/>
            <w:tcBorders>
              <w:tl2br w:val="nil"/>
              <w:tr2bl w:val="nil"/>
            </w:tcBorders>
            <w:noWrap w:val="0"/>
            <w:vAlign w:val="center"/>
          </w:tcPr>
          <w:p w14:paraId="197ECB24">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15万件</w:t>
            </w:r>
          </w:p>
        </w:tc>
        <w:tc>
          <w:tcPr>
            <w:tcW w:w="1517" w:type="pct"/>
            <w:vMerge w:val="restart"/>
            <w:tcBorders>
              <w:tl2br w:val="nil"/>
              <w:tr2bl w:val="nil"/>
            </w:tcBorders>
            <w:noWrap w:val="0"/>
            <w:vAlign w:val="center"/>
          </w:tcPr>
          <w:p w14:paraId="4A901779">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合计15万套/a</w:t>
            </w:r>
          </w:p>
        </w:tc>
        <w:tc>
          <w:tcPr>
            <w:tcW w:w="1321" w:type="pct"/>
            <w:tcBorders>
              <w:tl2br w:val="nil"/>
              <w:tr2bl w:val="nil"/>
            </w:tcBorders>
            <w:noWrap w:val="0"/>
            <w:vAlign w:val="center"/>
          </w:tcPr>
          <w:p w14:paraId="78F3C8DA">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w:t>
            </w:r>
          </w:p>
        </w:tc>
      </w:tr>
      <w:tr w14:paraId="5CC061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895" w:type="pct"/>
            <w:tcBorders>
              <w:tl2br w:val="nil"/>
              <w:tr2bl w:val="nil"/>
            </w:tcBorders>
            <w:noWrap w:val="0"/>
            <w:vAlign w:val="center"/>
          </w:tcPr>
          <w:p w14:paraId="705FD114">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前保险杆总成</w:t>
            </w:r>
          </w:p>
        </w:tc>
        <w:tc>
          <w:tcPr>
            <w:tcW w:w="1266" w:type="pct"/>
            <w:tcBorders>
              <w:tl2br w:val="nil"/>
              <w:tr2bl w:val="nil"/>
            </w:tcBorders>
            <w:noWrap w:val="0"/>
            <w:vAlign w:val="center"/>
          </w:tcPr>
          <w:p w14:paraId="672AFDF1">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15万件</w:t>
            </w:r>
          </w:p>
        </w:tc>
        <w:tc>
          <w:tcPr>
            <w:tcW w:w="1517" w:type="pct"/>
            <w:vMerge w:val="continue"/>
            <w:tcBorders>
              <w:tl2br w:val="nil"/>
              <w:tr2bl w:val="nil"/>
            </w:tcBorders>
            <w:noWrap w:val="0"/>
            <w:vAlign w:val="center"/>
          </w:tcPr>
          <w:p w14:paraId="6963CCE0">
            <w:pPr>
              <w:pStyle w:val="1358"/>
              <w:jc w:val="center"/>
              <w:rPr>
                <w:rFonts w:hint="default" w:ascii="Times New Roman" w:hAnsi="Times New Roman" w:eastAsia="宋体" w:cs="Times New Roman"/>
                <w:color w:val="auto"/>
                <w:highlight w:val="none"/>
                <w:lang w:val="en-US" w:eastAsia="zh-CN"/>
              </w:rPr>
            </w:pPr>
          </w:p>
        </w:tc>
        <w:tc>
          <w:tcPr>
            <w:tcW w:w="1321" w:type="pct"/>
            <w:tcBorders>
              <w:tl2br w:val="nil"/>
              <w:tr2bl w:val="nil"/>
            </w:tcBorders>
            <w:noWrap w:val="0"/>
            <w:vAlign w:val="center"/>
          </w:tcPr>
          <w:p w14:paraId="53946D4A">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0.98</w:t>
            </w:r>
          </w:p>
        </w:tc>
      </w:tr>
      <w:tr w14:paraId="5D36157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895" w:type="pct"/>
            <w:tcBorders>
              <w:tl2br w:val="nil"/>
              <w:tr2bl w:val="nil"/>
            </w:tcBorders>
            <w:noWrap w:val="0"/>
            <w:vAlign w:val="center"/>
          </w:tcPr>
          <w:p w14:paraId="4D8F2BD7">
            <w:pPr>
              <w:pStyle w:val="1358"/>
              <w:jc w:val="center"/>
              <w:rPr>
                <w:rFonts w:hint="eastAsia" w:ascii="Times New Roman" w:hAnsi="Times New Roman" w:eastAsia="宋体" w:cs="Times New Roman"/>
                <w:color w:val="auto"/>
                <w:highlight w:val="none"/>
                <w:lang w:val="en-US" w:eastAsia="zh-CN"/>
              </w:rPr>
            </w:pPr>
            <w:r>
              <w:rPr>
                <w:rFonts w:hint="eastAsia"/>
                <w:color w:val="auto"/>
                <w:szCs w:val="28"/>
                <w:highlight w:val="none"/>
                <w:lang w:val="en-US" w:eastAsia="zh-CN"/>
              </w:rPr>
              <w:t>前格栅总成</w:t>
            </w:r>
          </w:p>
        </w:tc>
        <w:tc>
          <w:tcPr>
            <w:tcW w:w="2783" w:type="pct"/>
            <w:gridSpan w:val="2"/>
            <w:tcBorders>
              <w:tl2br w:val="nil"/>
              <w:tr2bl w:val="nil"/>
            </w:tcBorders>
            <w:noWrap w:val="0"/>
            <w:vAlign w:val="center"/>
          </w:tcPr>
          <w:p w14:paraId="30BE5E73">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15万套/a</w:t>
            </w:r>
          </w:p>
        </w:tc>
        <w:tc>
          <w:tcPr>
            <w:tcW w:w="1321" w:type="pct"/>
            <w:tcBorders>
              <w:tl2br w:val="nil"/>
              <w:tr2bl w:val="nil"/>
            </w:tcBorders>
            <w:noWrap w:val="0"/>
            <w:vAlign w:val="center"/>
          </w:tcPr>
          <w:p w14:paraId="38AC5BE6">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4.56</w:t>
            </w:r>
          </w:p>
        </w:tc>
      </w:tr>
    </w:tbl>
    <w:p w14:paraId="4AA93828">
      <w:pPr>
        <w:pStyle w:val="1358"/>
        <w:jc w:val="left"/>
        <w:rPr>
          <w:rFonts w:hint="default" w:ascii="Times New Roman" w:hAnsi="Times New Roman" w:eastAsia="宋体" w:cs="Times New Roman"/>
          <w:color w:val="auto"/>
          <w:szCs w:val="28"/>
          <w:highlight w:val="none"/>
          <w:vertAlign w:val="baseline"/>
          <w:lang w:val="en-US" w:eastAsia="zh-CN"/>
        </w:rPr>
      </w:pPr>
      <w:r>
        <w:rPr>
          <w:rFonts w:hint="eastAsia" w:ascii="Times New Roman" w:hAnsi="Times New Roman" w:eastAsia="宋体" w:cs="Times New Roman"/>
          <w:color w:val="auto"/>
          <w:szCs w:val="28"/>
          <w:highlight w:val="none"/>
          <w:lang w:val="en-US" w:eastAsia="zh-CN"/>
        </w:rPr>
        <w:t>注：</w:t>
      </w:r>
      <w:r>
        <w:rPr>
          <w:rFonts w:hint="eastAsia"/>
          <w:color w:val="auto"/>
          <w:szCs w:val="28"/>
          <w:highlight w:val="none"/>
          <w:lang w:val="en-US" w:eastAsia="zh-CN"/>
        </w:rPr>
        <w:t>前、后保险杆总成</w:t>
      </w:r>
      <w:r>
        <w:rPr>
          <w:rFonts w:hint="eastAsia" w:ascii="Times New Roman" w:hAnsi="Times New Roman" w:eastAsia="宋体" w:cs="Times New Roman"/>
          <w:color w:val="auto"/>
          <w:szCs w:val="28"/>
          <w:highlight w:val="none"/>
          <w:lang w:val="en-US" w:eastAsia="zh-CN"/>
        </w:rPr>
        <w:t>组合为一套</w:t>
      </w:r>
    </w:p>
    <w:p w14:paraId="2BC62926">
      <w:pPr>
        <w:pStyle w:val="4"/>
        <w:numPr>
          <w:ilvl w:val="2"/>
          <w:numId w:val="0"/>
        </w:numPr>
        <w:tabs>
          <w:tab w:val="clear" w:pos="720"/>
        </w:tabs>
        <w:bidi w:val="0"/>
        <w:rPr>
          <w:color w:val="auto"/>
          <w:highlight w:val="none"/>
        </w:rPr>
      </w:pPr>
      <w:bookmarkStart w:id="334" w:name="_Toc26865"/>
      <w:r>
        <w:rPr>
          <w:rFonts w:hint="eastAsia"/>
          <w:color w:val="auto"/>
          <w:highlight w:val="none"/>
          <w:lang w:val="en-US" w:eastAsia="zh-CN"/>
        </w:rPr>
        <w:t xml:space="preserve">3.1.3 </w:t>
      </w:r>
      <w:r>
        <w:rPr>
          <w:color w:val="auto"/>
          <w:highlight w:val="none"/>
        </w:rPr>
        <w:t>项目建设内容与组成</w:t>
      </w:r>
      <w:bookmarkEnd w:id="334"/>
    </w:p>
    <w:p w14:paraId="68713DA7">
      <w:pPr>
        <w:pStyle w:val="1336"/>
        <w:ind w:firstLine="480"/>
        <w:rPr>
          <w:color w:val="auto"/>
          <w:highlight w:val="none"/>
        </w:rPr>
      </w:pPr>
      <w:r>
        <w:rPr>
          <w:color w:val="auto"/>
          <w:highlight w:val="none"/>
        </w:rPr>
        <w:t>项目由主体工程、储运工程、辅助工程、公用工程及环保工程组成，项目建设内容与组成见表</w:t>
      </w:r>
      <w:r>
        <w:rPr>
          <w:rFonts w:hint="eastAsia"/>
          <w:color w:val="auto"/>
          <w:highlight w:val="none"/>
          <w:lang w:eastAsia="zh-CN"/>
        </w:rPr>
        <w:t>3.</w:t>
      </w:r>
      <w:r>
        <w:rPr>
          <w:rFonts w:hint="eastAsia"/>
          <w:color w:val="auto"/>
          <w:highlight w:val="none"/>
          <w:lang w:val="en-US" w:eastAsia="zh-CN"/>
        </w:rPr>
        <w:t>1</w:t>
      </w:r>
      <w:r>
        <w:rPr>
          <w:color w:val="auto"/>
          <w:highlight w:val="none"/>
        </w:rPr>
        <w:t>-2。</w:t>
      </w:r>
    </w:p>
    <w:p w14:paraId="6F88899E">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-2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项目建设内容与组成一览表</w:t>
      </w:r>
    </w:p>
    <w:tbl>
      <w:tblPr>
        <w:tblStyle w:val="80"/>
        <w:tblW w:w="92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1"/>
        <w:gridCol w:w="490"/>
        <w:gridCol w:w="1140"/>
        <w:gridCol w:w="6818"/>
      </w:tblGrid>
      <w:tr w14:paraId="2777B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noWrap/>
            <w:vAlign w:val="center"/>
          </w:tcPr>
          <w:p w14:paraId="616DBC70">
            <w:pPr>
              <w:spacing w:line="240" w:lineRule="auto"/>
              <w:ind w:firstLine="0" w:firstLineChars="0"/>
              <w:jc w:val="center"/>
              <w:rPr>
                <w:color w:val="auto"/>
                <w:sz w:val="21"/>
                <w:szCs w:val="21"/>
                <w:highlight w:val="none"/>
              </w:rPr>
            </w:pPr>
            <w:r>
              <w:rPr>
                <w:color w:val="auto"/>
                <w:sz w:val="21"/>
                <w:szCs w:val="21"/>
                <w:highlight w:val="none"/>
              </w:rPr>
              <w:t>工程类别</w:t>
            </w:r>
          </w:p>
        </w:tc>
        <w:tc>
          <w:tcPr>
            <w:tcW w:w="1630" w:type="dxa"/>
            <w:gridSpan w:val="2"/>
            <w:noWrap/>
            <w:vAlign w:val="center"/>
          </w:tcPr>
          <w:p w14:paraId="167883F5">
            <w:pPr>
              <w:spacing w:line="240" w:lineRule="auto"/>
              <w:ind w:firstLine="0" w:firstLineChars="0"/>
              <w:jc w:val="center"/>
              <w:rPr>
                <w:color w:val="auto"/>
                <w:sz w:val="21"/>
                <w:szCs w:val="21"/>
                <w:highlight w:val="none"/>
              </w:rPr>
            </w:pPr>
            <w:r>
              <w:rPr>
                <w:color w:val="auto"/>
                <w:sz w:val="21"/>
                <w:szCs w:val="21"/>
                <w:highlight w:val="none"/>
              </w:rPr>
              <w:t>名称</w:t>
            </w:r>
          </w:p>
        </w:tc>
        <w:tc>
          <w:tcPr>
            <w:tcW w:w="6818" w:type="dxa"/>
            <w:noWrap/>
            <w:vAlign w:val="center"/>
          </w:tcPr>
          <w:p w14:paraId="22A58E57">
            <w:pPr>
              <w:spacing w:line="240" w:lineRule="auto"/>
              <w:ind w:firstLine="0" w:firstLineChars="0"/>
              <w:jc w:val="center"/>
              <w:rPr>
                <w:color w:val="auto"/>
                <w:sz w:val="21"/>
                <w:szCs w:val="21"/>
                <w:highlight w:val="none"/>
              </w:rPr>
            </w:pPr>
            <w:r>
              <w:rPr>
                <w:color w:val="auto"/>
                <w:sz w:val="21"/>
                <w:szCs w:val="21"/>
                <w:highlight w:val="none"/>
              </w:rPr>
              <w:t>建设内容</w:t>
            </w:r>
          </w:p>
        </w:tc>
      </w:tr>
      <w:tr w14:paraId="40B346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restart"/>
            <w:noWrap/>
            <w:vAlign w:val="center"/>
          </w:tcPr>
          <w:p w14:paraId="732BC504">
            <w:pPr>
              <w:pStyle w:val="74"/>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主体工程</w:t>
            </w:r>
          </w:p>
        </w:tc>
        <w:tc>
          <w:tcPr>
            <w:tcW w:w="1630" w:type="dxa"/>
            <w:gridSpan w:val="2"/>
            <w:noWrap/>
            <w:vAlign w:val="center"/>
          </w:tcPr>
          <w:p w14:paraId="4C54D7FB">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A库厂房</w:t>
            </w:r>
          </w:p>
        </w:tc>
        <w:tc>
          <w:tcPr>
            <w:tcW w:w="6818" w:type="dxa"/>
            <w:noWrap/>
            <w:vAlign w:val="center"/>
          </w:tcPr>
          <w:p w14:paraId="69AB31AB">
            <w:pPr>
              <w:pStyle w:val="74"/>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包括涂装车间和装配车间，其中涂装车间分为待喷件暂存区、</w:t>
            </w:r>
            <w:r>
              <w:rPr>
                <w:rFonts w:hint="default"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条自动喷涂线、点补室、成品件暂存区、精修抛光室和供漆温控系统等，喷涂线包括前处理（除静电）和喷涂（三涂一烘，底漆喷漆室、底漆流平室、色漆喷漆室、色漆流平室、清漆喷漆室、清漆流平室、油漆烘干室）</w:t>
            </w:r>
          </w:p>
        </w:tc>
      </w:tr>
      <w:tr w14:paraId="62B73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18729209">
            <w:pPr>
              <w:pStyle w:val="74"/>
              <w:jc w:val="center"/>
              <w:rPr>
                <w:color w:val="auto"/>
                <w:highlight w:val="none"/>
              </w:rPr>
            </w:pPr>
          </w:p>
        </w:tc>
        <w:tc>
          <w:tcPr>
            <w:tcW w:w="1630" w:type="dxa"/>
            <w:gridSpan w:val="2"/>
            <w:vMerge w:val="restart"/>
            <w:noWrap/>
            <w:vAlign w:val="center"/>
          </w:tcPr>
          <w:p w14:paraId="0A4107B9">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B库厂房</w:t>
            </w:r>
          </w:p>
        </w:tc>
        <w:tc>
          <w:tcPr>
            <w:tcW w:w="6818" w:type="dxa"/>
            <w:noWrap/>
            <w:vAlign w:val="center"/>
          </w:tcPr>
          <w:p w14:paraId="5C30ACE5">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一层：设置注塑区、半成品区、组装区</w:t>
            </w:r>
          </w:p>
        </w:tc>
      </w:tr>
      <w:tr w14:paraId="31D3CA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63585451">
            <w:pPr>
              <w:pStyle w:val="74"/>
              <w:jc w:val="center"/>
              <w:rPr>
                <w:color w:val="auto"/>
                <w:highlight w:val="none"/>
              </w:rPr>
            </w:pPr>
          </w:p>
        </w:tc>
        <w:tc>
          <w:tcPr>
            <w:tcW w:w="1630" w:type="dxa"/>
            <w:gridSpan w:val="2"/>
            <w:vMerge w:val="continue"/>
            <w:noWrap/>
            <w:vAlign w:val="center"/>
          </w:tcPr>
          <w:p w14:paraId="1F827E44">
            <w:pPr>
              <w:pStyle w:val="74"/>
              <w:jc w:val="center"/>
              <w:rPr>
                <w:rFonts w:hint="eastAsia" w:ascii="Times New Roman" w:hAnsi="Times New Roman" w:eastAsia="宋体" w:cs="Times New Roman"/>
                <w:color w:val="auto"/>
                <w:sz w:val="21"/>
                <w:szCs w:val="21"/>
                <w:highlight w:val="none"/>
                <w:lang w:val="en-US" w:eastAsia="zh-CN"/>
              </w:rPr>
            </w:pPr>
          </w:p>
        </w:tc>
        <w:tc>
          <w:tcPr>
            <w:tcW w:w="6818" w:type="dxa"/>
            <w:noWrap/>
            <w:vAlign w:val="center"/>
          </w:tcPr>
          <w:p w14:paraId="6EEE71BB">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二、三、四层：仓库区</w:t>
            </w:r>
          </w:p>
        </w:tc>
      </w:tr>
      <w:tr w14:paraId="23AA6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noWrap/>
            <w:vAlign w:val="center"/>
          </w:tcPr>
          <w:p w14:paraId="2224BFB0">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辅助工程</w:t>
            </w:r>
          </w:p>
        </w:tc>
        <w:tc>
          <w:tcPr>
            <w:tcW w:w="1630" w:type="dxa"/>
            <w:gridSpan w:val="2"/>
            <w:noWrap/>
            <w:vAlign w:val="center"/>
          </w:tcPr>
          <w:p w14:paraId="0FD3ECE8">
            <w:pPr>
              <w:pStyle w:val="74"/>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办公室</w:t>
            </w:r>
          </w:p>
        </w:tc>
        <w:tc>
          <w:tcPr>
            <w:tcW w:w="6818" w:type="dxa"/>
            <w:noWrap/>
            <w:vAlign w:val="center"/>
          </w:tcPr>
          <w:p w14:paraId="27B8FB6C">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三</w:t>
            </w:r>
            <w:r>
              <w:rPr>
                <w:rFonts w:hint="default" w:ascii="Times New Roman" w:hAnsi="Times New Roman" w:eastAsia="宋体" w:cs="Times New Roman"/>
                <w:color w:val="auto"/>
                <w:sz w:val="21"/>
                <w:szCs w:val="21"/>
                <w:highlight w:val="none"/>
                <w:lang w:val="en-US" w:eastAsia="zh-CN"/>
              </w:rPr>
              <w:t>层</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钢混结构</w:t>
            </w:r>
            <w:r>
              <w:rPr>
                <w:rFonts w:hint="eastAsia"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vertAlign w:val="baseline"/>
                <w:lang w:val="en-US" w:eastAsia="zh-CN"/>
              </w:rPr>
              <w:t xml:space="preserve">主要设置大堂展厅及办公区 </w:t>
            </w:r>
          </w:p>
        </w:tc>
      </w:tr>
      <w:tr w14:paraId="7FEDD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restart"/>
            <w:tcBorders>
              <w:top w:val="single" w:color="000000" w:sz="4" w:space="0"/>
            </w:tcBorders>
            <w:noWrap/>
            <w:vAlign w:val="center"/>
          </w:tcPr>
          <w:p w14:paraId="11CA2AB4">
            <w:pPr>
              <w:spacing w:line="240" w:lineRule="auto"/>
              <w:ind w:firstLine="0" w:firstLineChars="0"/>
              <w:jc w:val="center"/>
              <w:rPr>
                <w:color w:val="auto"/>
                <w:sz w:val="21"/>
                <w:szCs w:val="21"/>
                <w:highlight w:val="none"/>
              </w:rPr>
            </w:pPr>
            <w:r>
              <w:rPr>
                <w:color w:val="auto"/>
                <w:sz w:val="21"/>
                <w:szCs w:val="21"/>
                <w:highlight w:val="none"/>
              </w:rPr>
              <w:t>公用工程</w:t>
            </w:r>
          </w:p>
        </w:tc>
        <w:tc>
          <w:tcPr>
            <w:tcW w:w="1630" w:type="dxa"/>
            <w:gridSpan w:val="2"/>
            <w:tcBorders>
              <w:top w:val="single" w:color="000000" w:sz="4" w:space="0"/>
            </w:tcBorders>
            <w:noWrap/>
            <w:vAlign w:val="center"/>
          </w:tcPr>
          <w:p w14:paraId="19DA314E">
            <w:pPr>
              <w:spacing w:line="240" w:lineRule="auto"/>
              <w:ind w:firstLine="0" w:firstLineChars="0"/>
              <w:jc w:val="center"/>
              <w:rPr>
                <w:color w:val="auto"/>
                <w:sz w:val="21"/>
                <w:szCs w:val="21"/>
                <w:highlight w:val="none"/>
              </w:rPr>
            </w:pPr>
            <w:r>
              <w:rPr>
                <w:color w:val="auto"/>
                <w:sz w:val="21"/>
                <w:szCs w:val="21"/>
                <w:highlight w:val="none"/>
              </w:rPr>
              <w:t>供电工程</w:t>
            </w:r>
          </w:p>
        </w:tc>
        <w:tc>
          <w:tcPr>
            <w:tcW w:w="6818" w:type="dxa"/>
            <w:noWrap/>
            <w:vAlign w:val="center"/>
          </w:tcPr>
          <w:p w14:paraId="25F09C02">
            <w:pPr>
              <w:pStyle w:val="74"/>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接市政供电系统</w:t>
            </w:r>
          </w:p>
        </w:tc>
      </w:tr>
      <w:tr w14:paraId="059B90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6518ED3E">
            <w:pPr>
              <w:spacing w:line="240" w:lineRule="auto"/>
              <w:ind w:firstLine="420"/>
              <w:jc w:val="center"/>
              <w:rPr>
                <w:color w:val="auto"/>
                <w:sz w:val="21"/>
                <w:szCs w:val="21"/>
                <w:highlight w:val="none"/>
              </w:rPr>
            </w:pPr>
          </w:p>
        </w:tc>
        <w:tc>
          <w:tcPr>
            <w:tcW w:w="1630" w:type="dxa"/>
            <w:gridSpan w:val="2"/>
            <w:tcBorders>
              <w:top w:val="single" w:color="000000" w:sz="4" w:space="0"/>
            </w:tcBorders>
            <w:noWrap/>
            <w:vAlign w:val="center"/>
          </w:tcPr>
          <w:p w14:paraId="407FA5C3">
            <w:pPr>
              <w:spacing w:line="240" w:lineRule="auto"/>
              <w:ind w:firstLine="0" w:firstLineChars="0"/>
              <w:jc w:val="center"/>
              <w:rPr>
                <w:color w:val="auto"/>
                <w:sz w:val="21"/>
                <w:szCs w:val="21"/>
                <w:highlight w:val="none"/>
              </w:rPr>
            </w:pPr>
            <w:r>
              <w:rPr>
                <w:color w:val="auto"/>
                <w:sz w:val="21"/>
                <w:szCs w:val="21"/>
                <w:highlight w:val="none"/>
              </w:rPr>
              <w:t>供水工程</w:t>
            </w:r>
          </w:p>
        </w:tc>
        <w:tc>
          <w:tcPr>
            <w:tcW w:w="6818" w:type="dxa"/>
            <w:noWrap/>
            <w:vAlign w:val="center"/>
          </w:tcPr>
          <w:p w14:paraId="19AA8334">
            <w:pPr>
              <w:pStyle w:val="74"/>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接市政供水系统</w:t>
            </w:r>
          </w:p>
        </w:tc>
      </w:tr>
      <w:tr w14:paraId="73525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5C8B411E">
            <w:pPr>
              <w:spacing w:line="240" w:lineRule="auto"/>
              <w:ind w:firstLine="420"/>
              <w:jc w:val="center"/>
              <w:rPr>
                <w:color w:val="auto"/>
                <w:sz w:val="21"/>
                <w:szCs w:val="21"/>
                <w:highlight w:val="none"/>
              </w:rPr>
            </w:pPr>
          </w:p>
        </w:tc>
        <w:tc>
          <w:tcPr>
            <w:tcW w:w="1630" w:type="dxa"/>
            <w:gridSpan w:val="2"/>
            <w:noWrap/>
            <w:vAlign w:val="center"/>
          </w:tcPr>
          <w:p w14:paraId="0BA47677">
            <w:pPr>
              <w:pStyle w:val="74"/>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排水工程</w:t>
            </w:r>
          </w:p>
        </w:tc>
        <w:tc>
          <w:tcPr>
            <w:tcW w:w="6818" w:type="dxa"/>
            <w:noWrap/>
            <w:vAlign w:val="center"/>
          </w:tcPr>
          <w:p w14:paraId="72E0CF6A">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采用雨污分流、清污分流</w:t>
            </w:r>
          </w:p>
        </w:tc>
      </w:tr>
      <w:tr w14:paraId="3129F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05F10099">
            <w:pPr>
              <w:spacing w:line="240" w:lineRule="auto"/>
              <w:ind w:firstLine="420"/>
              <w:jc w:val="center"/>
              <w:rPr>
                <w:color w:val="auto"/>
                <w:sz w:val="21"/>
                <w:szCs w:val="21"/>
                <w:highlight w:val="none"/>
              </w:rPr>
            </w:pPr>
          </w:p>
        </w:tc>
        <w:tc>
          <w:tcPr>
            <w:tcW w:w="1630" w:type="dxa"/>
            <w:gridSpan w:val="2"/>
            <w:noWrap/>
            <w:vAlign w:val="center"/>
          </w:tcPr>
          <w:p w14:paraId="0CE3FE0D">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供气工程</w:t>
            </w:r>
          </w:p>
        </w:tc>
        <w:tc>
          <w:tcPr>
            <w:tcW w:w="6818" w:type="dxa"/>
            <w:noWrap/>
            <w:vAlign w:val="center"/>
          </w:tcPr>
          <w:p w14:paraId="45D378D2">
            <w:pPr>
              <w:pStyle w:val="74"/>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接</w:t>
            </w:r>
            <w:r>
              <w:rPr>
                <w:rFonts w:hint="eastAsia" w:ascii="Times New Roman" w:hAnsi="Times New Roman" w:eastAsia="宋体" w:cs="Times New Roman"/>
                <w:color w:val="auto"/>
                <w:sz w:val="21"/>
                <w:szCs w:val="21"/>
                <w:highlight w:val="none"/>
                <w:lang w:val="en-US" w:eastAsia="zh-CN"/>
              </w:rPr>
              <w:t>市政天然气管网系统</w:t>
            </w:r>
          </w:p>
        </w:tc>
      </w:tr>
      <w:tr w14:paraId="4B362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restart"/>
            <w:noWrap/>
            <w:vAlign w:val="center"/>
          </w:tcPr>
          <w:p w14:paraId="7196CACE">
            <w:pPr>
              <w:spacing w:line="240" w:lineRule="auto"/>
              <w:ind w:firstLine="0" w:firstLineChars="0"/>
              <w:jc w:val="center"/>
              <w:rPr>
                <w:color w:val="auto"/>
                <w:sz w:val="21"/>
                <w:szCs w:val="21"/>
                <w:highlight w:val="none"/>
              </w:rPr>
            </w:pPr>
            <w:r>
              <w:rPr>
                <w:color w:val="auto"/>
                <w:sz w:val="21"/>
                <w:szCs w:val="21"/>
                <w:highlight w:val="none"/>
              </w:rPr>
              <w:t>环保工程</w:t>
            </w:r>
          </w:p>
        </w:tc>
        <w:tc>
          <w:tcPr>
            <w:tcW w:w="1630" w:type="dxa"/>
            <w:gridSpan w:val="2"/>
            <w:noWrap/>
            <w:vAlign w:val="center"/>
          </w:tcPr>
          <w:p w14:paraId="64465385">
            <w:pPr>
              <w:pStyle w:val="74"/>
              <w:jc w:val="center"/>
              <w:rPr>
                <w:rFonts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lang w:val="en-US" w:eastAsia="zh-CN"/>
              </w:rPr>
              <w:t>废水处理设施</w:t>
            </w:r>
          </w:p>
        </w:tc>
        <w:tc>
          <w:tcPr>
            <w:tcW w:w="6818" w:type="dxa"/>
            <w:noWrap/>
            <w:vAlign w:val="center"/>
          </w:tcPr>
          <w:p w14:paraId="0072D20B">
            <w:pPr>
              <w:pStyle w:val="74"/>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生活污水依托租赁方福州鑫旺物流服务有限公司已建的三级化粪池处理后纳入市政污水管网，进入青口汽车工业开发区污水处理厂进一步处理；热水炉排水和纯水制备系统浓水均</w:t>
            </w:r>
            <w:r>
              <w:rPr>
                <w:rFonts w:hint="eastAsia" w:ascii="Times New Roman" w:hAnsi="Times New Roman" w:cs="Times New Roman"/>
                <w:color w:val="auto"/>
                <w:sz w:val="21"/>
                <w:szCs w:val="21"/>
                <w:highlight w:val="none"/>
                <w:lang w:val="en-US" w:eastAsia="zh-CN"/>
              </w:rPr>
              <w:t>较</w:t>
            </w:r>
            <w:r>
              <w:rPr>
                <w:rFonts w:hint="eastAsia" w:ascii="Times New Roman" w:hAnsi="Times New Roman" w:eastAsia="宋体" w:cs="Times New Roman"/>
                <w:color w:val="auto"/>
                <w:sz w:val="21"/>
                <w:szCs w:val="21"/>
                <w:highlight w:val="none"/>
                <w:lang w:val="en-US" w:eastAsia="zh-CN"/>
              </w:rPr>
              <w:t>清净，可直接排至厂区总排口；冷却水循环使用不外排。</w:t>
            </w:r>
          </w:p>
        </w:tc>
      </w:tr>
      <w:tr w14:paraId="15B6C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51F2F7AB">
            <w:pPr>
              <w:spacing w:line="240" w:lineRule="auto"/>
              <w:ind w:firstLine="420"/>
              <w:jc w:val="center"/>
              <w:rPr>
                <w:color w:val="auto"/>
                <w:sz w:val="21"/>
                <w:szCs w:val="21"/>
                <w:highlight w:val="none"/>
              </w:rPr>
            </w:pPr>
          </w:p>
        </w:tc>
        <w:tc>
          <w:tcPr>
            <w:tcW w:w="1630" w:type="dxa"/>
            <w:gridSpan w:val="2"/>
            <w:noWrap/>
            <w:vAlign w:val="center"/>
          </w:tcPr>
          <w:p w14:paraId="0C5EE72D">
            <w:pPr>
              <w:pStyle w:val="74"/>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废气处理设施</w:t>
            </w:r>
          </w:p>
        </w:tc>
        <w:tc>
          <w:tcPr>
            <w:tcW w:w="6818" w:type="dxa"/>
            <w:noWrap/>
            <w:vAlign w:val="center"/>
          </w:tcPr>
          <w:p w14:paraId="4C23C378">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喷漆室、流平室、油漆烘干室</w:t>
            </w:r>
            <w:r>
              <w:rPr>
                <w:rFonts w:hint="eastAsia" w:ascii="Times New Roman" w:hAnsi="Times New Roman" w:cs="Times New Roman"/>
                <w:color w:val="auto"/>
                <w:sz w:val="21"/>
                <w:szCs w:val="21"/>
                <w:highlight w:val="none"/>
                <w:lang w:val="en-US" w:eastAsia="zh-CN"/>
              </w:rPr>
              <w:t>、喷枪清洗</w:t>
            </w:r>
            <w:r>
              <w:rPr>
                <w:rFonts w:hint="eastAsia" w:ascii="Times New Roman" w:hAnsi="Times New Roman" w:eastAsia="宋体" w:cs="Times New Roman"/>
                <w:color w:val="auto"/>
                <w:sz w:val="21"/>
                <w:szCs w:val="21"/>
                <w:highlight w:val="none"/>
                <w:lang w:val="en-US" w:eastAsia="zh-CN"/>
              </w:rPr>
              <w:t>产生的废气与固化炉燃烧产生的废气一并经负压收集后由</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干式纸盒</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过滤棉过滤+RTO蓄热式焚烧炉</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（TA001）处理达标后经20m排气筒（DA001）高空排放；</w:t>
            </w:r>
          </w:p>
          <w:p w14:paraId="760202DC">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调漆房产生的有机废气经负压收集后由</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二级活性炭吸附</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（TA002）处理达标后经20m排气筒（DA002）高空排放；</w:t>
            </w:r>
          </w:p>
          <w:p w14:paraId="219ECF5B">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点补室产生的废气经负压收集后由</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bidi="ar-SA"/>
              </w:rPr>
              <w:t>过滤棉过滤</w:t>
            </w:r>
            <w:r>
              <w:rPr>
                <w:rFonts w:hint="eastAsia" w:ascii="Times New Roman" w:hAnsi="Times New Roman" w:eastAsia="宋体" w:cs="Times New Roman"/>
                <w:color w:val="auto"/>
                <w:sz w:val="21"/>
                <w:szCs w:val="21"/>
                <w:highlight w:val="none"/>
                <w:lang w:val="en-US" w:eastAsia="zh-CN"/>
              </w:rPr>
              <w:t>+二级活性炭吸附</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（TA003）处理达标后经20m排气筒（DA003）高空排放；</w:t>
            </w:r>
          </w:p>
          <w:p w14:paraId="6706B6BC">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注塑区产生的有机废气以及伴随的臭气经</w:t>
            </w:r>
            <w:r>
              <w:rPr>
                <w:rFonts w:hint="eastAsia" w:ascii="Times New Roman" w:hAnsi="Times New Roman" w:cs="Times New Roman"/>
                <w:color w:val="auto"/>
                <w:sz w:val="21"/>
                <w:szCs w:val="21"/>
                <w:highlight w:val="none"/>
                <w:lang w:val="en-US" w:eastAsia="zh-CN"/>
              </w:rPr>
              <w:t>集气罩</w:t>
            </w:r>
            <w:r>
              <w:rPr>
                <w:rFonts w:hint="eastAsia" w:ascii="Times New Roman" w:hAnsi="Times New Roman" w:eastAsia="宋体" w:cs="Times New Roman"/>
                <w:color w:val="auto"/>
                <w:sz w:val="21"/>
                <w:szCs w:val="21"/>
                <w:highlight w:val="none"/>
                <w:lang w:val="en-US" w:eastAsia="zh-CN"/>
              </w:rPr>
              <w:t>收集后由</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二级活性炭吸附</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（TA004）处理后通过1根20m高排气筒（DA004）排放；</w:t>
            </w:r>
          </w:p>
          <w:p w14:paraId="7B39DA93">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热水炉采用低氮燃烧工艺产生的废气由不低于</w:t>
            </w:r>
            <w:r>
              <w:rPr>
                <w:rFonts w:hint="default" w:ascii="Times New Roman" w:hAnsi="Times New Roman" w:eastAsia="宋体" w:cs="Times New Roman"/>
                <w:color w:val="auto"/>
                <w:sz w:val="21"/>
                <w:szCs w:val="21"/>
                <w:highlight w:val="none"/>
                <w:lang w:val="en-US" w:eastAsia="zh-CN"/>
              </w:rPr>
              <w:t>8m</w:t>
            </w:r>
            <w:r>
              <w:rPr>
                <w:rFonts w:hint="eastAsia" w:ascii="Times New Roman" w:hAnsi="Times New Roman" w:eastAsia="宋体" w:cs="Times New Roman"/>
                <w:color w:val="auto"/>
                <w:sz w:val="21"/>
                <w:szCs w:val="21"/>
                <w:highlight w:val="none"/>
                <w:lang w:val="en-US" w:eastAsia="zh-CN"/>
              </w:rPr>
              <w:t>排气筒（</w:t>
            </w:r>
            <w:r>
              <w:rPr>
                <w:rFonts w:hint="default" w:ascii="Times New Roman" w:hAnsi="Times New Roman" w:eastAsia="宋体" w:cs="Times New Roman"/>
                <w:color w:val="auto"/>
                <w:sz w:val="21"/>
                <w:szCs w:val="21"/>
                <w:highlight w:val="none"/>
                <w:lang w:val="en-US" w:eastAsia="zh-CN"/>
              </w:rPr>
              <w:t>DA00</w:t>
            </w:r>
            <w:r>
              <w:rPr>
                <w:rFonts w:hint="eastAsia" w:ascii="Times New Roman" w:hAnsi="Times New Roman" w:eastAsia="宋体" w:cs="Times New Roman"/>
                <w:color w:val="auto"/>
                <w:sz w:val="21"/>
                <w:szCs w:val="21"/>
                <w:highlight w:val="none"/>
                <w:lang w:val="en-US" w:eastAsia="zh-CN"/>
              </w:rPr>
              <w:t>5）高空排放；</w:t>
            </w:r>
          </w:p>
          <w:p w14:paraId="00E08985">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热洁炉分解产生的有机废气经设备直连管道收集后进入</w:t>
            </w:r>
            <w:r>
              <w:rPr>
                <w:rFonts w:hint="eastAsia" w:ascii="Times New Roman" w:hAnsi="Times New Roman" w:cs="Times New Roman"/>
                <w:color w:val="auto"/>
                <w:sz w:val="21"/>
                <w:szCs w:val="21"/>
                <w:highlight w:val="none"/>
                <w:lang w:val="en-US" w:eastAsia="zh-CN"/>
              </w:rPr>
              <w:t>二燃室</w:t>
            </w:r>
            <w:r>
              <w:rPr>
                <w:rFonts w:hint="eastAsia" w:ascii="Times New Roman" w:hAnsi="Times New Roman" w:eastAsia="宋体" w:cs="Times New Roman"/>
                <w:color w:val="auto"/>
                <w:sz w:val="21"/>
                <w:szCs w:val="21"/>
                <w:highlight w:val="none"/>
                <w:lang w:val="en-US" w:eastAsia="zh-CN"/>
              </w:rPr>
              <w:t>高温焚烧（TA006）处理，处理达标后与天然气燃烧废气一并通过20m高排气筒（DA006）排放</w:t>
            </w:r>
            <w:r>
              <w:rPr>
                <w:rFonts w:hint="eastAsia" w:ascii="Times New Roman" w:hAnsi="Times New Roman" w:cs="Times New Roman"/>
                <w:color w:val="auto"/>
                <w:sz w:val="21"/>
                <w:szCs w:val="21"/>
                <w:highlight w:val="none"/>
                <w:lang w:val="en-US" w:eastAsia="zh-CN"/>
              </w:rPr>
              <w:t>；</w:t>
            </w:r>
          </w:p>
          <w:p w14:paraId="3696B79D">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粉碎机上方设置</w:t>
            </w:r>
            <w:r>
              <w:rPr>
                <w:rFonts w:hint="default"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个集气罩，粉碎废气通过布袋除尘器</w:t>
            </w:r>
            <w:r>
              <w:rPr>
                <w:rFonts w:hint="eastAsia" w:ascii="Times New Roman" w:hAnsi="Times New Roman" w:cs="Times New Roman"/>
                <w:color w:val="auto"/>
                <w:sz w:val="21"/>
                <w:szCs w:val="21"/>
                <w:highlight w:val="none"/>
                <w:lang w:val="en-US" w:eastAsia="zh-CN"/>
              </w:rPr>
              <w:t>（TA005）</w:t>
            </w:r>
            <w:r>
              <w:rPr>
                <w:rFonts w:hint="eastAsia" w:ascii="Times New Roman" w:hAnsi="Times New Roman" w:eastAsia="宋体" w:cs="Times New Roman"/>
                <w:color w:val="auto"/>
                <w:sz w:val="21"/>
                <w:szCs w:val="21"/>
                <w:highlight w:val="none"/>
                <w:lang w:val="en-US" w:eastAsia="zh-CN"/>
              </w:rPr>
              <w:t>处理后无组织排放。</w:t>
            </w:r>
          </w:p>
        </w:tc>
      </w:tr>
      <w:tr w14:paraId="3B4F1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2C163684">
            <w:pPr>
              <w:spacing w:line="240" w:lineRule="auto"/>
              <w:ind w:firstLine="420"/>
              <w:jc w:val="center"/>
              <w:rPr>
                <w:color w:val="auto"/>
                <w:sz w:val="21"/>
                <w:szCs w:val="21"/>
                <w:highlight w:val="none"/>
              </w:rPr>
            </w:pPr>
          </w:p>
        </w:tc>
        <w:tc>
          <w:tcPr>
            <w:tcW w:w="1630" w:type="dxa"/>
            <w:gridSpan w:val="2"/>
            <w:noWrap/>
            <w:vAlign w:val="center"/>
          </w:tcPr>
          <w:p w14:paraId="4639CFC8">
            <w:pPr>
              <w:spacing w:line="240" w:lineRule="auto"/>
              <w:ind w:firstLine="0" w:firstLineChars="0"/>
              <w:jc w:val="center"/>
              <w:rPr>
                <w:color w:val="auto"/>
                <w:sz w:val="21"/>
                <w:szCs w:val="21"/>
                <w:highlight w:val="none"/>
              </w:rPr>
            </w:pPr>
            <w:r>
              <w:rPr>
                <w:color w:val="auto"/>
                <w:sz w:val="21"/>
                <w:szCs w:val="21"/>
                <w:highlight w:val="none"/>
              </w:rPr>
              <w:t>噪声防治措施</w:t>
            </w:r>
          </w:p>
        </w:tc>
        <w:tc>
          <w:tcPr>
            <w:tcW w:w="6818" w:type="dxa"/>
            <w:noWrap/>
            <w:vAlign w:val="center"/>
          </w:tcPr>
          <w:p w14:paraId="4D960494">
            <w:pPr>
              <w:spacing w:line="240" w:lineRule="auto"/>
              <w:ind w:firstLine="0" w:firstLineChars="0"/>
              <w:jc w:val="center"/>
              <w:rPr>
                <w:color w:val="auto"/>
                <w:sz w:val="21"/>
                <w:szCs w:val="21"/>
                <w:highlight w:val="none"/>
              </w:rPr>
            </w:pPr>
            <w:r>
              <w:rPr>
                <w:color w:val="auto"/>
                <w:sz w:val="21"/>
                <w:szCs w:val="21"/>
                <w:highlight w:val="none"/>
              </w:rPr>
              <w:t>底座减振、车间隔声</w:t>
            </w:r>
          </w:p>
        </w:tc>
      </w:tr>
      <w:tr w14:paraId="03B09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5F85741E">
            <w:pPr>
              <w:spacing w:line="240" w:lineRule="auto"/>
              <w:ind w:firstLine="420"/>
              <w:jc w:val="center"/>
              <w:rPr>
                <w:color w:val="auto"/>
                <w:sz w:val="21"/>
                <w:szCs w:val="21"/>
                <w:highlight w:val="none"/>
              </w:rPr>
            </w:pPr>
          </w:p>
        </w:tc>
        <w:tc>
          <w:tcPr>
            <w:tcW w:w="490" w:type="dxa"/>
            <w:vMerge w:val="restart"/>
            <w:noWrap/>
            <w:vAlign w:val="center"/>
          </w:tcPr>
          <w:p w14:paraId="03F93C6B">
            <w:pPr>
              <w:spacing w:line="240" w:lineRule="auto"/>
              <w:ind w:firstLine="0" w:firstLineChars="0"/>
              <w:jc w:val="center"/>
              <w:rPr>
                <w:color w:val="auto"/>
                <w:sz w:val="21"/>
                <w:szCs w:val="21"/>
                <w:highlight w:val="none"/>
              </w:rPr>
            </w:pPr>
            <w:r>
              <w:rPr>
                <w:color w:val="auto"/>
                <w:sz w:val="21"/>
                <w:szCs w:val="21"/>
                <w:highlight w:val="none"/>
              </w:rPr>
              <w:t>固体</w:t>
            </w:r>
          </w:p>
          <w:p w14:paraId="7C0DE333">
            <w:pPr>
              <w:spacing w:line="240" w:lineRule="auto"/>
              <w:ind w:firstLine="0" w:firstLineChars="0"/>
              <w:jc w:val="center"/>
              <w:rPr>
                <w:color w:val="auto"/>
                <w:sz w:val="21"/>
                <w:szCs w:val="21"/>
                <w:highlight w:val="none"/>
              </w:rPr>
            </w:pPr>
            <w:r>
              <w:rPr>
                <w:color w:val="auto"/>
                <w:sz w:val="21"/>
                <w:szCs w:val="21"/>
                <w:highlight w:val="none"/>
              </w:rPr>
              <w:t>废物</w:t>
            </w:r>
          </w:p>
        </w:tc>
        <w:tc>
          <w:tcPr>
            <w:tcW w:w="1140" w:type="dxa"/>
            <w:tcBorders>
              <w:bottom w:val="single" w:color="000000" w:sz="4" w:space="0"/>
            </w:tcBorders>
            <w:noWrap/>
            <w:vAlign w:val="center"/>
          </w:tcPr>
          <w:p w14:paraId="57285920">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一般</w:t>
            </w:r>
            <w:r>
              <w:rPr>
                <w:color w:val="auto"/>
                <w:sz w:val="21"/>
                <w:szCs w:val="21"/>
                <w:highlight w:val="none"/>
              </w:rPr>
              <w:t>固废</w:t>
            </w:r>
          </w:p>
        </w:tc>
        <w:tc>
          <w:tcPr>
            <w:tcW w:w="6818" w:type="dxa"/>
            <w:tcBorders>
              <w:bottom w:val="single" w:color="000000" w:sz="4" w:space="0"/>
            </w:tcBorders>
            <w:noWrap/>
            <w:vAlign w:val="center"/>
          </w:tcPr>
          <w:p w14:paraId="596C1B57">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按照规范要求设置一般工业固废暂存间，面积约8m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，妥善分类收集后出售给回收企业综合利用。</w:t>
            </w:r>
          </w:p>
        </w:tc>
      </w:tr>
      <w:tr w14:paraId="67A10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4D38F9A7">
            <w:pPr>
              <w:spacing w:line="240" w:lineRule="auto"/>
              <w:ind w:firstLine="420"/>
              <w:jc w:val="center"/>
              <w:rPr>
                <w:color w:val="auto"/>
                <w:sz w:val="21"/>
                <w:szCs w:val="21"/>
                <w:highlight w:val="none"/>
              </w:rPr>
            </w:pPr>
          </w:p>
        </w:tc>
        <w:tc>
          <w:tcPr>
            <w:tcW w:w="490" w:type="dxa"/>
            <w:vMerge w:val="continue"/>
            <w:noWrap/>
            <w:vAlign w:val="center"/>
          </w:tcPr>
          <w:p w14:paraId="128C6010">
            <w:pPr>
              <w:spacing w:line="240" w:lineRule="auto"/>
              <w:ind w:firstLine="0" w:firstLineChars="0"/>
              <w:jc w:val="center"/>
              <w:rPr>
                <w:color w:val="auto"/>
                <w:sz w:val="21"/>
                <w:szCs w:val="21"/>
                <w:highlight w:val="none"/>
              </w:rPr>
            </w:pPr>
          </w:p>
        </w:tc>
        <w:tc>
          <w:tcPr>
            <w:tcW w:w="1140" w:type="dxa"/>
            <w:tcBorders>
              <w:bottom w:val="single" w:color="000000" w:sz="4" w:space="0"/>
            </w:tcBorders>
            <w:noWrap/>
            <w:vAlign w:val="center"/>
          </w:tcPr>
          <w:p w14:paraId="559523F8">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危险废物</w:t>
            </w:r>
          </w:p>
        </w:tc>
        <w:tc>
          <w:tcPr>
            <w:tcW w:w="6818" w:type="dxa"/>
            <w:tcBorders>
              <w:bottom w:val="single" w:color="000000" w:sz="4" w:space="0"/>
            </w:tcBorders>
            <w:noWrap/>
            <w:vAlign w:val="center"/>
          </w:tcPr>
          <w:p w14:paraId="3C724F27">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按照规范要求设置一间危险废物贮存库，面积约30m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，妥善分类收集后定期由有资质单位集中处理。</w:t>
            </w:r>
          </w:p>
        </w:tc>
      </w:tr>
      <w:tr w14:paraId="19ED0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 w:type="dxa"/>
            <w:vMerge w:val="continue"/>
            <w:noWrap/>
            <w:vAlign w:val="center"/>
          </w:tcPr>
          <w:p w14:paraId="311B91D1">
            <w:pPr>
              <w:spacing w:line="240" w:lineRule="auto"/>
              <w:ind w:firstLine="420"/>
              <w:jc w:val="center"/>
              <w:rPr>
                <w:color w:val="auto"/>
                <w:sz w:val="21"/>
                <w:szCs w:val="21"/>
                <w:highlight w:val="none"/>
              </w:rPr>
            </w:pPr>
          </w:p>
        </w:tc>
        <w:tc>
          <w:tcPr>
            <w:tcW w:w="490" w:type="dxa"/>
            <w:vMerge w:val="continue"/>
            <w:noWrap/>
            <w:vAlign w:val="center"/>
          </w:tcPr>
          <w:p w14:paraId="19809487">
            <w:pPr>
              <w:spacing w:line="240" w:lineRule="auto"/>
              <w:ind w:firstLine="420"/>
              <w:jc w:val="center"/>
              <w:rPr>
                <w:color w:val="auto"/>
                <w:sz w:val="21"/>
                <w:szCs w:val="21"/>
                <w:highlight w:val="none"/>
              </w:rPr>
            </w:pPr>
          </w:p>
        </w:tc>
        <w:tc>
          <w:tcPr>
            <w:tcW w:w="1140" w:type="dxa"/>
            <w:noWrap/>
            <w:vAlign w:val="center"/>
          </w:tcPr>
          <w:p w14:paraId="55212452">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GB" w:eastAsia="zh-CN"/>
              </w:rPr>
              <w:t>生活垃圾</w:t>
            </w:r>
          </w:p>
        </w:tc>
        <w:tc>
          <w:tcPr>
            <w:tcW w:w="6818" w:type="dxa"/>
            <w:noWrap/>
            <w:vAlign w:val="center"/>
          </w:tcPr>
          <w:p w14:paraId="26A9D84A">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厂区内设置生活垃圾桶，分类收集后委托环卫部门每日清运处置</w:t>
            </w:r>
          </w:p>
        </w:tc>
      </w:tr>
    </w:tbl>
    <w:p w14:paraId="58CCC701">
      <w:pPr>
        <w:pStyle w:val="4"/>
        <w:numPr>
          <w:ilvl w:val="2"/>
          <w:numId w:val="0"/>
        </w:numPr>
        <w:tabs>
          <w:tab w:val="clear" w:pos="720"/>
        </w:tabs>
        <w:bidi w:val="0"/>
        <w:rPr>
          <w:color w:val="auto"/>
          <w:highlight w:val="none"/>
        </w:rPr>
      </w:pPr>
      <w:bookmarkStart w:id="335" w:name="_Toc30028"/>
      <w:r>
        <w:rPr>
          <w:rFonts w:hint="eastAsia"/>
          <w:color w:val="auto"/>
          <w:highlight w:val="none"/>
          <w:lang w:val="en-US" w:eastAsia="zh-CN"/>
        </w:rPr>
        <w:t xml:space="preserve">3.1.4 </w:t>
      </w:r>
      <w:r>
        <w:rPr>
          <w:color w:val="auto"/>
          <w:highlight w:val="none"/>
        </w:rPr>
        <w:t>主要原辅材料及能源消耗</w:t>
      </w:r>
      <w:bookmarkEnd w:id="335"/>
    </w:p>
    <w:p w14:paraId="54266E83">
      <w:pPr>
        <w:pStyle w:val="1336"/>
        <w:ind w:firstLine="480"/>
        <w:rPr>
          <w:color w:val="auto"/>
          <w:highlight w:val="none"/>
          <w:lang w:bidi="he-IL"/>
        </w:rPr>
      </w:pPr>
      <w:r>
        <w:rPr>
          <w:color w:val="auto"/>
          <w:highlight w:val="none"/>
          <w:lang w:bidi="he-IL"/>
        </w:rPr>
        <w:t>（1）主要原辅材料</w:t>
      </w:r>
    </w:p>
    <w:p w14:paraId="12ED1378">
      <w:pPr>
        <w:pStyle w:val="1336"/>
        <w:ind w:firstLine="480"/>
        <w:rPr>
          <w:color w:val="auto"/>
          <w:highlight w:val="none"/>
          <w:lang w:bidi="he-IL"/>
        </w:rPr>
      </w:pPr>
      <w:r>
        <w:rPr>
          <w:color w:val="auto"/>
          <w:highlight w:val="none"/>
          <w:lang w:bidi="he-IL"/>
        </w:rPr>
        <w:t>项目主要原辅材料消耗情况见表</w:t>
      </w:r>
      <w:r>
        <w:rPr>
          <w:rFonts w:hint="eastAsia"/>
          <w:color w:val="auto"/>
          <w:highlight w:val="none"/>
          <w:lang w:eastAsia="zh-CN" w:bidi="he-IL"/>
        </w:rPr>
        <w:t>3.</w:t>
      </w:r>
      <w:r>
        <w:rPr>
          <w:rFonts w:hint="eastAsia"/>
          <w:color w:val="auto"/>
          <w:highlight w:val="none"/>
          <w:lang w:val="en-US" w:eastAsia="zh-CN" w:bidi="he-IL"/>
        </w:rPr>
        <w:t>1</w:t>
      </w:r>
      <w:r>
        <w:rPr>
          <w:color w:val="auto"/>
          <w:highlight w:val="none"/>
          <w:lang w:bidi="he-IL"/>
        </w:rPr>
        <w:t>-3。</w:t>
      </w:r>
    </w:p>
    <w:p w14:paraId="7EAB14C3">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-3  主要原辅材料消耗一览表</w:t>
      </w:r>
      <w:r>
        <w:rPr>
          <w:rFonts w:hint="default" w:ascii="Times New Roman" w:hAnsi="Times New Roman" w:cs="Times New Roman"/>
          <w:color w:val="auto"/>
          <w:highlight w:val="none"/>
          <w:lang w:val="en-US" w:eastAsia="zh-CN"/>
        </w:rPr>
        <w:t xml:space="preserve">  单位：t/a</w:t>
      </w:r>
    </w:p>
    <w:tbl>
      <w:tblPr>
        <w:tblStyle w:val="80"/>
        <w:tblW w:w="5011"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99"/>
        <w:gridCol w:w="3046"/>
        <w:gridCol w:w="1553"/>
        <w:gridCol w:w="1650"/>
        <w:gridCol w:w="1975"/>
      </w:tblGrid>
      <w:tr w14:paraId="6A0406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34835F58">
            <w:pPr>
              <w:spacing w:line="240" w:lineRule="auto"/>
              <w:ind w:firstLine="0" w:firstLineChars="0"/>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序号</w:t>
            </w:r>
          </w:p>
        </w:tc>
        <w:tc>
          <w:tcPr>
            <w:tcW w:w="1687" w:type="pct"/>
            <w:tcBorders>
              <w:tl2br w:val="nil"/>
              <w:tr2bl w:val="nil"/>
            </w:tcBorders>
            <w:noWrap w:val="0"/>
            <w:vAlign w:val="center"/>
          </w:tcPr>
          <w:p w14:paraId="25B0CFB7">
            <w:pPr>
              <w:spacing w:line="240" w:lineRule="auto"/>
              <w:ind w:firstLine="0" w:firstLineChars="0"/>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原料名称</w:t>
            </w:r>
          </w:p>
        </w:tc>
        <w:tc>
          <w:tcPr>
            <w:tcW w:w="860" w:type="pct"/>
            <w:tcBorders>
              <w:tl2br w:val="nil"/>
              <w:tr2bl w:val="nil"/>
            </w:tcBorders>
            <w:noWrap w:val="0"/>
            <w:vAlign w:val="center"/>
          </w:tcPr>
          <w:p w14:paraId="357B156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年用量</w:t>
            </w:r>
          </w:p>
        </w:tc>
        <w:tc>
          <w:tcPr>
            <w:tcW w:w="914" w:type="pct"/>
            <w:tcBorders>
              <w:tl2br w:val="nil"/>
              <w:tr2bl w:val="nil"/>
            </w:tcBorders>
            <w:noWrap w:val="0"/>
            <w:vAlign w:val="center"/>
          </w:tcPr>
          <w:p w14:paraId="312C2C27">
            <w:pPr>
              <w:spacing w:line="240" w:lineRule="auto"/>
              <w:ind w:firstLine="0" w:firstLineChars="0"/>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最大贮存量</w:t>
            </w:r>
          </w:p>
        </w:tc>
        <w:tc>
          <w:tcPr>
            <w:tcW w:w="1094" w:type="pct"/>
            <w:tcBorders>
              <w:tl2br w:val="nil"/>
              <w:tr2bl w:val="nil"/>
            </w:tcBorders>
            <w:noWrap w:val="0"/>
            <w:vAlign w:val="center"/>
          </w:tcPr>
          <w:p w14:paraId="51172BF6">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储存位置</w:t>
            </w:r>
          </w:p>
        </w:tc>
      </w:tr>
      <w:tr w14:paraId="14DD93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12A5D9CC">
            <w:pPr>
              <w:spacing w:line="240" w:lineRule="auto"/>
              <w:ind w:firstLine="0" w:firstLineChars="0"/>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1</w:t>
            </w:r>
          </w:p>
        </w:tc>
        <w:tc>
          <w:tcPr>
            <w:tcW w:w="1687" w:type="pct"/>
            <w:tcBorders>
              <w:tl2br w:val="nil"/>
              <w:tr2bl w:val="nil"/>
            </w:tcBorders>
            <w:noWrap w:val="0"/>
            <w:vAlign w:val="center"/>
          </w:tcPr>
          <w:p w14:paraId="37054FE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改性</w:t>
            </w:r>
            <w:r>
              <w:rPr>
                <w:rFonts w:hint="eastAsia" w:ascii="Times New Roman" w:hAnsi="Times New Roman" w:eastAsia="宋体" w:cs="Times New Roman"/>
                <w:color w:val="auto"/>
                <w:sz w:val="21"/>
                <w:szCs w:val="21"/>
                <w:highlight w:val="none"/>
                <w:lang w:val="en-US" w:eastAsia="zh-CN"/>
              </w:rPr>
              <w:t>PP</w:t>
            </w:r>
          </w:p>
        </w:tc>
        <w:tc>
          <w:tcPr>
            <w:tcW w:w="860" w:type="pct"/>
            <w:tcBorders>
              <w:tl2br w:val="nil"/>
              <w:tr2bl w:val="nil"/>
            </w:tcBorders>
            <w:noWrap w:val="0"/>
            <w:vAlign w:val="center"/>
          </w:tcPr>
          <w:p w14:paraId="58E29FB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762</w:t>
            </w:r>
          </w:p>
        </w:tc>
        <w:tc>
          <w:tcPr>
            <w:tcW w:w="914" w:type="pct"/>
            <w:tcBorders>
              <w:tl2br w:val="nil"/>
              <w:tr2bl w:val="nil"/>
            </w:tcBorders>
            <w:noWrap w:val="0"/>
            <w:vAlign w:val="center"/>
          </w:tcPr>
          <w:p w14:paraId="312DFA8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1094" w:type="pct"/>
            <w:vMerge w:val="restart"/>
            <w:tcBorders>
              <w:tl2br w:val="nil"/>
              <w:tr2bl w:val="nil"/>
            </w:tcBorders>
            <w:noWrap w:val="0"/>
            <w:vAlign w:val="center"/>
          </w:tcPr>
          <w:p w14:paraId="0FEE3824">
            <w:pPr>
              <w:spacing w:line="240" w:lineRule="auto"/>
              <w:ind w:firstLine="0" w:firstLineChars="0"/>
              <w:jc w:val="center"/>
              <w:rPr>
                <w:rFonts w:ascii="Times New Roman" w:hAnsi="Times New Roman" w:eastAsia="宋体" w:cs="Times New Roman"/>
                <w:color w:val="auto"/>
                <w:sz w:val="21"/>
                <w:szCs w:val="21"/>
                <w:highlight w:val="none"/>
                <w:lang w:val="en-GB"/>
              </w:rPr>
            </w:pPr>
            <w:r>
              <w:rPr>
                <w:rFonts w:hint="eastAsia" w:ascii="Times New Roman" w:hAnsi="Times New Roman" w:eastAsia="宋体" w:cs="Times New Roman"/>
                <w:color w:val="auto"/>
                <w:sz w:val="21"/>
                <w:szCs w:val="21"/>
                <w:highlight w:val="none"/>
                <w:lang w:val="en-US" w:eastAsia="zh-CN"/>
              </w:rPr>
              <w:t>B库（3#厂房）</w:t>
            </w:r>
          </w:p>
        </w:tc>
      </w:tr>
      <w:tr w14:paraId="3E11BB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38D0C144">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2</w:t>
            </w:r>
          </w:p>
        </w:tc>
        <w:tc>
          <w:tcPr>
            <w:tcW w:w="1687" w:type="pct"/>
            <w:tcBorders>
              <w:tl2br w:val="nil"/>
              <w:tr2bl w:val="nil"/>
            </w:tcBorders>
            <w:noWrap w:val="0"/>
            <w:vAlign w:val="center"/>
          </w:tcPr>
          <w:p w14:paraId="6FE2C0F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ABS</w:t>
            </w:r>
          </w:p>
        </w:tc>
        <w:tc>
          <w:tcPr>
            <w:tcW w:w="860" w:type="pct"/>
            <w:tcBorders>
              <w:tl2br w:val="nil"/>
              <w:tr2bl w:val="nil"/>
            </w:tcBorders>
            <w:noWrap w:val="0"/>
            <w:vAlign w:val="center"/>
          </w:tcPr>
          <w:p w14:paraId="23E1D84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684</w:t>
            </w:r>
          </w:p>
        </w:tc>
        <w:tc>
          <w:tcPr>
            <w:tcW w:w="914" w:type="pct"/>
            <w:tcBorders>
              <w:tl2br w:val="nil"/>
              <w:tr2bl w:val="nil"/>
            </w:tcBorders>
            <w:noWrap w:val="0"/>
            <w:vAlign w:val="center"/>
          </w:tcPr>
          <w:p w14:paraId="1F44D21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094" w:type="pct"/>
            <w:vMerge w:val="continue"/>
            <w:tcBorders>
              <w:tl2br w:val="nil"/>
              <w:tr2bl w:val="nil"/>
            </w:tcBorders>
            <w:noWrap w:val="0"/>
            <w:vAlign w:val="center"/>
          </w:tcPr>
          <w:p w14:paraId="02D3BDC2">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7BA090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00E6D6B1">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3</w:t>
            </w:r>
          </w:p>
        </w:tc>
        <w:tc>
          <w:tcPr>
            <w:tcW w:w="1687" w:type="pct"/>
            <w:tcBorders>
              <w:tl2br w:val="nil"/>
              <w:tr2bl w:val="nil"/>
            </w:tcBorders>
            <w:noWrap w:val="0"/>
            <w:vAlign w:val="center"/>
          </w:tcPr>
          <w:p w14:paraId="159A0CBA">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底漆</w:t>
            </w:r>
          </w:p>
        </w:tc>
        <w:tc>
          <w:tcPr>
            <w:tcW w:w="1553" w:type="dxa"/>
            <w:tcBorders>
              <w:tl2br w:val="nil"/>
              <w:tr2bl w:val="nil"/>
            </w:tcBorders>
            <w:noWrap w:val="0"/>
            <w:vAlign w:val="center"/>
          </w:tcPr>
          <w:p w14:paraId="6A21026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14.85</w:t>
            </w:r>
          </w:p>
        </w:tc>
        <w:tc>
          <w:tcPr>
            <w:tcW w:w="914" w:type="pct"/>
            <w:tcBorders>
              <w:tl2br w:val="nil"/>
              <w:tr2bl w:val="nil"/>
            </w:tcBorders>
            <w:noWrap w:val="0"/>
            <w:vAlign w:val="center"/>
          </w:tcPr>
          <w:p w14:paraId="73883F9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094" w:type="pct"/>
            <w:vMerge w:val="restart"/>
            <w:tcBorders>
              <w:tl2br w:val="nil"/>
              <w:tr2bl w:val="nil"/>
            </w:tcBorders>
            <w:noWrap w:val="0"/>
            <w:vAlign w:val="center"/>
          </w:tcPr>
          <w:p w14:paraId="068A711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辅料仓库1</w:t>
            </w:r>
          </w:p>
        </w:tc>
      </w:tr>
      <w:tr w14:paraId="0BC3E6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4A1E4831">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4</w:t>
            </w:r>
          </w:p>
        </w:tc>
        <w:tc>
          <w:tcPr>
            <w:tcW w:w="1687" w:type="pct"/>
            <w:tcBorders>
              <w:tl2br w:val="nil"/>
              <w:tr2bl w:val="nil"/>
            </w:tcBorders>
            <w:noWrap w:val="0"/>
            <w:vAlign w:val="center"/>
          </w:tcPr>
          <w:p w14:paraId="467F97FC">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色漆</w:t>
            </w:r>
          </w:p>
        </w:tc>
        <w:tc>
          <w:tcPr>
            <w:tcW w:w="1553" w:type="dxa"/>
            <w:tcBorders>
              <w:tl2br w:val="nil"/>
              <w:tr2bl w:val="nil"/>
            </w:tcBorders>
            <w:noWrap w:val="0"/>
            <w:vAlign w:val="center"/>
          </w:tcPr>
          <w:p w14:paraId="5B6F3EE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26.01</w:t>
            </w:r>
          </w:p>
        </w:tc>
        <w:tc>
          <w:tcPr>
            <w:tcW w:w="914" w:type="pct"/>
            <w:tcBorders>
              <w:tl2br w:val="nil"/>
              <w:tr2bl w:val="nil"/>
            </w:tcBorders>
            <w:noWrap w:val="0"/>
            <w:vAlign w:val="center"/>
          </w:tcPr>
          <w:p w14:paraId="1F06020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94" w:type="pct"/>
            <w:vMerge w:val="continue"/>
            <w:tcBorders>
              <w:tl2br w:val="nil"/>
              <w:tr2bl w:val="nil"/>
            </w:tcBorders>
            <w:noWrap w:val="0"/>
            <w:vAlign w:val="center"/>
          </w:tcPr>
          <w:p w14:paraId="432D127B">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32AE0F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43" w:type="pct"/>
            <w:tcBorders>
              <w:tl2br w:val="nil"/>
              <w:tr2bl w:val="nil"/>
            </w:tcBorders>
            <w:noWrap w:val="0"/>
            <w:vAlign w:val="center"/>
          </w:tcPr>
          <w:p w14:paraId="3FCAD7C8">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5</w:t>
            </w:r>
          </w:p>
        </w:tc>
        <w:tc>
          <w:tcPr>
            <w:tcW w:w="1687" w:type="pct"/>
            <w:tcBorders>
              <w:tl2br w:val="nil"/>
              <w:tr2bl w:val="nil"/>
            </w:tcBorders>
            <w:noWrap w:val="0"/>
            <w:vAlign w:val="center"/>
          </w:tcPr>
          <w:p w14:paraId="641216A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清漆</w:t>
            </w:r>
          </w:p>
        </w:tc>
        <w:tc>
          <w:tcPr>
            <w:tcW w:w="1553" w:type="dxa"/>
            <w:tcBorders>
              <w:tl2br w:val="nil"/>
              <w:tr2bl w:val="nil"/>
            </w:tcBorders>
            <w:noWrap w:val="0"/>
            <w:vAlign w:val="center"/>
          </w:tcPr>
          <w:p w14:paraId="6E576CB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24.49</w:t>
            </w:r>
          </w:p>
        </w:tc>
        <w:tc>
          <w:tcPr>
            <w:tcW w:w="914" w:type="pct"/>
            <w:tcBorders>
              <w:tl2br w:val="nil"/>
              <w:tr2bl w:val="nil"/>
            </w:tcBorders>
            <w:noWrap w:val="0"/>
            <w:vAlign w:val="center"/>
          </w:tcPr>
          <w:p w14:paraId="7509757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94" w:type="pct"/>
            <w:vMerge w:val="continue"/>
            <w:tcBorders>
              <w:tl2br w:val="nil"/>
              <w:tr2bl w:val="nil"/>
            </w:tcBorders>
            <w:noWrap w:val="0"/>
            <w:vAlign w:val="center"/>
          </w:tcPr>
          <w:p w14:paraId="7998CE65">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2C372B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4C412ADC">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6</w:t>
            </w:r>
          </w:p>
        </w:tc>
        <w:tc>
          <w:tcPr>
            <w:tcW w:w="1687" w:type="pct"/>
            <w:tcBorders>
              <w:tl2br w:val="nil"/>
              <w:tr2bl w:val="nil"/>
            </w:tcBorders>
            <w:noWrap w:val="0"/>
            <w:vAlign w:val="center"/>
          </w:tcPr>
          <w:p w14:paraId="3EA1D2D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GB" w:eastAsia="zh-CN"/>
              </w:rPr>
              <w:t>稀释剂</w:t>
            </w:r>
          </w:p>
        </w:tc>
        <w:tc>
          <w:tcPr>
            <w:tcW w:w="1553" w:type="dxa"/>
            <w:tcBorders>
              <w:tl2br w:val="nil"/>
              <w:tr2bl w:val="nil"/>
            </w:tcBorders>
            <w:noWrap w:val="0"/>
            <w:vAlign w:val="center"/>
          </w:tcPr>
          <w:p w14:paraId="0F72E11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17.56</w:t>
            </w:r>
          </w:p>
        </w:tc>
        <w:tc>
          <w:tcPr>
            <w:tcW w:w="914" w:type="pct"/>
            <w:tcBorders>
              <w:tl2br w:val="nil"/>
              <w:tr2bl w:val="nil"/>
            </w:tcBorders>
            <w:noWrap w:val="0"/>
            <w:vAlign w:val="center"/>
          </w:tcPr>
          <w:p w14:paraId="22B45964">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094" w:type="pct"/>
            <w:vMerge w:val="continue"/>
            <w:tcBorders>
              <w:tl2br w:val="nil"/>
              <w:tr2bl w:val="nil"/>
            </w:tcBorders>
            <w:noWrap w:val="0"/>
            <w:vAlign w:val="center"/>
          </w:tcPr>
          <w:p w14:paraId="2E82EF11">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5A18AF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22166CB3">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7</w:t>
            </w:r>
          </w:p>
        </w:tc>
        <w:tc>
          <w:tcPr>
            <w:tcW w:w="1687" w:type="pct"/>
            <w:tcBorders>
              <w:tl2br w:val="nil"/>
              <w:tr2bl w:val="nil"/>
            </w:tcBorders>
            <w:noWrap w:val="0"/>
            <w:vAlign w:val="center"/>
          </w:tcPr>
          <w:p w14:paraId="35FBF90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GB" w:eastAsia="zh-CN"/>
              </w:rPr>
              <w:t>固化剂</w:t>
            </w:r>
          </w:p>
        </w:tc>
        <w:tc>
          <w:tcPr>
            <w:tcW w:w="1553" w:type="dxa"/>
            <w:tcBorders>
              <w:tl2br w:val="nil"/>
              <w:tr2bl w:val="nil"/>
            </w:tcBorders>
            <w:noWrap w:val="0"/>
            <w:vAlign w:val="center"/>
          </w:tcPr>
          <w:p w14:paraId="7FF856A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eastAsia" w:cs="Times New Roman"/>
                <w:color w:val="auto"/>
                <w:sz w:val="21"/>
                <w:szCs w:val="21"/>
                <w:highlight w:val="none"/>
                <w:lang w:val="en-US" w:eastAsia="zh-CN"/>
              </w:rPr>
              <w:t>22</w:t>
            </w:r>
          </w:p>
        </w:tc>
        <w:tc>
          <w:tcPr>
            <w:tcW w:w="914" w:type="pct"/>
            <w:tcBorders>
              <w:tl2br w:val="nil"/>
              <w:tr2bl w:val="nil"/>
            </w:tcBorders>
            <w:noWrap w:val="0"/>
            <w:vAlign w:val="center"/>
          </w:tcPr>
          <w:p w14:paraId="4AEB3DB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w:t>
            </w:r>
          </w:p>
        </w:tc>
        <w:tc>
          <w:tcPr>
            <w:tcW w:w="1094" w:type="pct"/>
            <w:vMerge w:val="continue"/>
            <w:tcBorders>
              <w:tl2br w:val="nil"/>
              <w:tr2bl w:val="nil"/>
            </w:tcBorders>
            <w:noWrap w:val="0"/>
            <w:vAlign w:val="center"/>
          </w:tcPr>
          <w:p w14:paraId="713972F4">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71F877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11D5CC96">
            <w:pPr>
              <w:spacing w:line="240" w:lineRule="auto"/>
              <w:ind w:firstLine="0" w:firstLineChars="0"/>
              <w:jc w:val="center"/>
              <w:rPr>
                <w:rFonts w:ascii="Times New Roman" w:hAnsi="Times New Roman" w:eastAsia="宋体" w:cs="Times New Roman"/>
                <w:color w:val="auto"/>
                <w:kern w:val="2"/>
                <w:sz w:val="21"/>
                <w:szCs w:val="21"/>
                <w:highlight w:val="none"/>
                <w:lang w:val="en-GB" w:eastAsia="zh-CN" w:bidi="ar-SA"/>
              </w:rPr>
            </w:pPr>
            <w:r>
              <w:rPr>
                <w:rFonts w:ascii="Times New Roman" w:hAnsi="Times New Roman" w:eastAsia="宋体" w:cs="Times New Roman"/>
                <w:color w:val="auto"/>
                <w:sz w:val="21"/>
                <w:szCs w:val="21"/>
                <w:highlight w:val="none"/>
                <w:lang w:val="en-GB"/>
              </w:rPr>
              <w:t>8</w:t>
            </w:r>
          </w:p>
        </w:tc>
        <w:tc>
          <w:tcPr>
            <w:tcW w:w="1687" w:type="pct"/>
            <w:tcBorders>
              <w:tl2br w:val="nil"/>
              <w:tr2bl w:val="nil"/>
            </w:tcBorders>
            <w:noWrap w:val="0"/>
            <w:vAlign w:val="center"/>
          </w:tcPr>
          <w:p w14:paraId="150FEA6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清洗剂（乙酸丁酯）</w:t>
            </w:r>
          </w:p>
        </w:tc>
        <w:tc>
          <w:tcPr>
            <w:tcW w:w="860" w:type="pct"/>
            <w:tcBorders>
              <w:tl2br w:val="nil"/>
              <w:tr2bl w:val="nil"/>
            </w:tcBorders>
            <w:noWrap w:val="0"/>
            <w:vAlign w:val="center"/>
          </w:tcPr>
          <w:p w14:paraId="6E978DE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2.79</w:t>
            </w:r>
          </w:p>
        </w:tc>
        <w:tc>
          <w:tcPr>
            <w:tcW w:w="914" w:type="pct"/>
            <w:tcBorders>
              <w:tl2br w:val="nil"/>
              <w:tr2bl w:val="nil"/>
            </w:tcBorders>
            <w:noWrap w:val="0"/>
            <w:vAlign w:val="center"/>
          </w:tcPr>
          <w:p w14:paraId="664AAC5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w:t>
            </w:r>
          </w:p>
        </w:tc>
        <w:tc>
          <w:tcPr>
            <w:tcW w:w="1094" w:type="pct"/>
            <w:vMerge w:val="continue"/>
            <w:tcBorders>
              <w:tl2br w:val="nil"/>
              <w:tr2bl w:val="nil"/>
            </w:tcBorders>
            <w:noWrap w:val="0"/>
            <w:vAlign w:val="center"/>
          </w:tcPr>
          <w:p w14:paraId="6D7DE65E">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62B659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6B2C9F27">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1687" w:type="pct"/>
            <w:tcBorders>
              <w:tl2br w:val="nil"/>
              <w:tr2bl w:val="nil"/>
            </w:tcBorders>
            <w:noWrap w:val="0"/>
            <w:vAlign w:val="center"/>
          </w:tcPr>
          <w:p w14:paraId="684C4A9C">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抛光蜡</w:t>
            </w:r>
          </w:p>
        </w:tc>
        <w:tc>
          <w:tcPr>
            <w:tcW w:w="860" w:type="pct"/>
            <w:tcBorders>
              <w:tl2br w:val="nil"/>
              <w:tr2bl w:val="nil"/>
            </w:tcBorders>
            <w:noWrap w:val="0"/>
            <w:vAlign w:val="center"/>
          </w:tcPr>
          <w:p w14:paraId="11B19761">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w:t>
            </w:r>
            <w:r>
              <w:rPr>
                <w:rFonts w:hint="eastAsia" w:ascii="Times New Roman" w:hAnsi="Times New Roman" w:eastAsia="宋体" w:cs="Times New Roman"/>
                <w:color w:val="auto"/>
                <w:kern w:val="2"/>
                <w:sz w:val="21"/>
                <w:szCs w:val="21"/>
                <w:highlight w:val="none"/>
                <w:lang w:val="en-US" w:eastAsia="zh-CN" w:bidi="ar-SA"/>
              </w:rPr>
              <w:t>5</w:t>
            </w:r>
          </w:p>
        </w:tc>
        <w:tc>
          <w:tcPr>
            <w:tcW w:w="914" w:type="pct"/>
            <w:tcBorders>
              <w:tl2br w:val="nil"/>
              <w:tr2bl w:val="nil"/>
            </w:tcBorders>
            <w:noWrap w:val="0"/>
            <w:vAlign w:val="center"/>
          </w:tcPr>
          <w:p w14:paraId="3E2A18F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1kg</w:t>
            </w:r>
          </w:p>
        </w:tc>
        <w:tc>
          <w:tcPr>
            <w:tcW w:w="1094" w:type="pct"/>
            <w:vMerge w:val="restart"/>
            <w:tcBorders>
              <w:tl2br w:val="nil"/>
              <w:tr2bl w:val="nil"/>
            </w:tcBorders>
            <w:noWrap w:val="0"/>
            <w:vAlign w:val="center"/>
          </w:tcPr>
          <w:p w14:paraId="73D45FD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辅料仓库2</w:t>
            </w:r>
          </w:p>
        </w:tc>
      </w:tr>
      <w:tr w14:paraId="75AC87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4041AB11">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687" w:type="pct"/>
            <w:tcBorders>
              <w:tl2br w:val="nil"/>
              <w:tr2bl w:val="nil"/>
            </w:tcBorders>
            <w:noWrap w:val="0"/>
            <w:vAlign w:val="center"/>
          </w:tcPr>
          <w:p w14:paraId="37D2915A">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抛光片</w:t>
            </w:r>
          </w:p>
        </w:tc>
        <w:tc>
          <w:tcPr>
            <w:tcW w:w="860" w:type="pct"/>
            <w:tcBorders>
              <w:tl2br w:val="nil"/>
              <w:tr2bl w:val="nil"/>
            </w:tcBorders>
            <w:noWrap w:val="0"/>
            <w:vAlign w:val="center"/>
          </w:tcPr>
          <w:p w14:paraId="47514E54">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15</w:t>
            </w:r>
          </w:p>
        </w:tc>
        <w:tc>
          <w:tcPr>
            <w:tcW w:w="914" w:type="pct"/>
            <w:tcBorders>
              <w:tl2br w:val="nil"/>
              <w:tr2bl w:val="nil"/>
            </w:tcBorders>
            <w:noWrap w:val="0"/>
            <w:vAlign w:val="center"/>
          </w:tcPr>
          <w:p w14:paraId="6551773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eastAsia" w:cs="Times New Roman"/>
                <w:color w:val="auto"/>
                <w:sz w:val="21"/>
                <w:szCs w:val="21"/>
                <w:highlight w:val="none"/>
                <w:lang w:val="en-US" w:eastAsia="zh-CN"/>
              </w:rPr>
              <w:t>kg</w:t>
            </w:r>
          </w:p>
        </w:tc>
        <w:tc>
          <w:tcPr>
            <w:tcW w:w="1094" w:type="pct"/>
            <w:vMerge w:val="continue"/>
            <w:tcBorders>
              <w:tl2br w:val="nil"/>
              <w:tr2bl w:val="nil"/>
            </w:tcBorders>
            <w:noWrap w:val="0"/>
            <w:vAlign w:val="center"/>
          </w:tcPr>
          <w:p w14:paraId="4B6C3430">
            <w:pPr>
              <w:spacing w:line="240" w:lineRule="auto"/>
              <w:ind w:firstLine="0" w:firstLineChars="0"/>
              <w:jc w:val="center"/>
              <w:rPr>
                <w:rFonts w:ascii="Times New Roman" w:hAnsi="Times New Roman" w:eastAsia="宋体" w:cs="Times New Roman"/>
                <w:color w:val="auto"/>
                <w:sz w:val="21"/>
                <w:szCs w:val="21"/>
                <w:highlight w:val="none"/>
                <w:lang w:val="en-GB"/>
              </w:rPr>
            </w:pPr>
          </w:p>
        </w:tc>
      </w:tr>
      <w:tr w14:paraId="6D1C23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3" w:type="pct"/>
            <w:tcBorders>
              <w:tl2br w:val="nil"/>
              <w:tr2bl w:val="nil"/>
            </w:tcBorders>
            <w:noWrap w:val="0"/>
            <w:vAlign w:val="center"/>
          </w:tcPr>
          <w:p w14:paraId="1034265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w:t>
            </w:r>
          </w:p>
        </w:tc>
        <w:tc>
          <w:tcPr>
            <w:tcW w:w="1687" w:type="pct"/>
            <w:tcBorders>
              <w:tl2br w:val="nil"/>
              <w:tr2bl w:val="nil"/>
            </w:tcBorders>
            <w:noWrap w:val="0"/>
            <w:vAlign w:val="center"/>
          </w:tcPr>
          <w:p w14:paraId="09E21371">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外购零件（弹片螺母、卡扣等）</w:t>
            </w:r>
          </w:p>
        </w:tc>
        <w:tc>
          <w:tcPr>
            <w:tcW w:w="860" w:type="pct"/>
            <w:tcBorders>
              <w:tl2br w:val="nil"/>
              <w:tr2bl w:val="nil"/>
            </w:tcBorders>
            <w:noWrap w:val="0"/>
            <w:vAlign w:val="center"/>
          </w:tcPr>
          <w:p w14:paraId="0D69CCCE">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30万套</w:t>
            </w:r>
          </w:p>
        </w:tc>
        <w:tc>
          <w:tcPr>
            <w:tcW w:w="914" w:type="pct"/>
            <w:tcBorders>
              <w:tl2br w:val="nil"/>
              <w:tr2bl w:val="nil"/>
            </w:tcBorders>
            <w:noWrap w:val="0"/>
            <w:vAlign w:val="center"/>
          </w:tcPr>
          <w:p w14:paraId="2043E85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kern w:val="2"/>
                <w:sz w:val="21"/>
                <w:szCs w:val="21"/>
                <w:highlight w:val="none"/>
                <w:lang w:val="en-US" w:eastAsia="zh-CN" w:bidi="ar-SA"/>
              </w:rPr>
              <w:t>万套</w:t>
            </w:r>
          </w:p>
        </w:tc>
        <w:tc>
          <w:tcPr>
            <w:tcW w:w="1094" w:type="pct"/>
            <w:vMerge w:val="continue"/>
            <w:tcBorders>
              <w:tl2br w:val="nil"/>
              <w:tr2bl w:val="nil"/>
            </w:tcBorders>
            <w:noWrap w:val="0"/>
            <w:vAlign w:val="center"/>
          </w:tcPr>
          <w:p w14:paraId="6500E0C1">
            <w:pPr>
              <w:spacing w:line="240" w:lineRule="auto"/>
              <w:ind w:firstLine="0" w:firstLineChars="0"/>
              <w:jc w:val="center"/>
              <w:rPr>
                <w:rFonts w:ascii="Times New Roman" w:hAnsi="Times New Roman" w:eastAsia="宋体" w:cs="Times New Roman"/>
                <w:color w:val="auto"/>
                <w:sz w:val="21"/>
                <w:szCs w:val="21"/>
                <w:highlight w:val="none"/>
                <w:lang w:val="en-GB"/>
              </w:rPr>
            </w:pPr>
          </w:p>
        </w:tc>
      </w:tr>
    </w:tbl>
    <w:p w14:paraId="39FF0DD0">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（2）项目主要原辅材料主要成分</w:t>
      </w:r>
    </w:p>
    <w:p w14:paraId="35CAD23F">
      <w:pPr>
        <w:pStyle w:val="1319"/>
        <w:ind w:firstLine="480"/>
        <w:rPr>
          <w:rFonts w:hint="eastAsia"/>
          <w:color w:val="auto"/>
          <w:highlight w:val="none"/>
          <w:lang w:val="en-US" w:eastAsia="zh-CN"/>
        </w:rPr>
      </w:pPr>
      <w:r>
        <w:rPr>
          <w:rFonts w:hint="eastAsia"/>
          <w:color w:val="auto"/>
          <w:highlight w:val="none"/>
          <w:lang w:val="en-US" w:eastAsia="zh-CN"/>
        </w:rPr>
        <w:t>根据建设单位提供的原辅材料MSDS（详见附件8），各原辅材料主要成分见下表：</w:t>
      </w:r>
    </w:p>
    <w:p w14:paraId="6514BFB1">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表3.1-4  主要原辅材料组成成分一览表</w:t>
      </w:r>
    </w:p>
    <w:tbl>
      <w:tblPr>
        <w:tblStyle w:val="8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81"/>
        <w:gridCol w:w="4383"/>
        <w:gridCol w:w="1830"/>
        <w:gridCol w:w="1683"/>
      </w:tblGrid>
      <w:tr w14:paraId="2B8F1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526536D2">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序号</w:t>
            </w:r>
          </w:p>
        </w:tc>
        <w:tc>
          <w:tcPr>
            <w:tcW w:w="681" w:type="dxa"/>
            <w:tcBorders>
              <w:tl2br w:val="nil"/>
              <w:tr2bl w:val="nil"/>
            </w:tcBorders>
            <w:noWrap w:val="0"/>
            <w:vAlign w:val="center"/>
          </w:tcPr>
          <w:p w14:paraId="39DC822D">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名称</w:t>
            </w:r>
          </w:p>
        </w:tc>
        <w:tc>
          <w:tcPr>
            <w:tcW w:w="4383" w:type="dxa"/>
            <w:tcBorders>
              <w:tl2br w:val="nil"/>
              <w:tr2bl w:val="nil"/>
            </w:tcBorders>
            <w:noWrap w:val="0"/>
            <w:vAlign w:val="center"/>
          </w:tcPr>
          <w:p w14:paraId="4CAD5445">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主要成分</w:t>
            </w:r>
          </w:p>
        </w:tc>
        <w:tc>
          <w:tcPr>
            <w:tcW w:w="1830" w:type="dxa"/>
            <w:tcBorders>
              <w:tl2br w:val="nil"/>
              <w:tr2bl w:val="nil"/>
            </w:tcBorders>
            <w:noWrap w:val="0"/>
            <w:vAlign w:val="center"/>
          </w:tcPr>
          <w:p w14:paraId="4851B6B5">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备注</w:t>
            </w:r>
          </w:p>
        </w:tc>
        <w:tc>
          <w:tcPr>
            <w:tcW w:w="1683" w:type="dxa"/>
            <w:tcBorders>
              <w:tl2br w:val="nil"/>
              <w:tr2bl w:val="nil"/>
            </w:tcBorders>
            <w:noWrap w:val="0"/>
            <w:vAlign w:val="center"/>
          </w:tcPr>
          <w:p w14:paraId="364D21C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VOCs</w:t>
            </w:r>
            <w:r>
              <w:rPr>
                <w:rFonts w:hint="eastAsia" w:ascii="Times New Roman" w:hAnsi="Times New Roman" w:eastAsia="宋体" w:cs="Times New Roman"/>
                <w:color w:val="auto"/>
                <w:sz w:val="21"/>
                <w:szCs w:val="21"/>
                <w:highlight w:val="none"/>
                <w:lang w:val="en-US" w:eastAsia="zh-CN"/>
              </w:rPr>
              <w:t>含量</w:t>
            </w:r>
          </w:p>
        </w:tc>
      </w:tr>
      <w:tr w14:paraId="6E306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24AF32AD">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681" w:type="dxa"/>
            <w:tcBorders>
              <w:tl2br w:val="nil"/>
              <w:tr2bl w:val="nil"/>
            </w:tcBorders>
            <w:noWrap w:val="0"/>
            <w:vAlign w:val="center"/>
          </w:tcPr>
          <w:p w14:paraId="5EA9EF21">
            <w:pPr>
              <w:spacing w:line="240" w:lineRule="auto"/>
              <w:ind w:firstLine="0" w:firstLineChars="0"/>
              <w:jc w:val="center"/>
              <w:rPr>
                <w:rFonts w:hint="eastAsia" w:ascii="Times New Roman" w:hAnsi="Times New Roman" w:eastAsia="宋体" w:cs="Times New Roman"/>
                <w:color w:val="auto"/>
                <w:sz w:val="21"/>
                <w:szCs w:val="21"/>
                <w:highlight w:val="none"/>
                <w:lang w:val="en-GB" w:eastAsia="zh-CN"/>
              </w:rPr>
            </w:pPr>
            <w:r>
              <w:rPr>
                <w:rFonts w:hint="eastAsia" w:cs="Times New Roman"/>
                <w:color w:val="auto"/>
                <w:sz w:val="21"/>
                <w:szCs w:val="21"/>
                <w:highlight w:val="none"/>
                <w:lang w:val="en-US" w:eastAsia="zh-CN"/>
              </w:rPr>
              <w:t>改性</w:t>
            </w:r>
            <w:r>
              <w:rPr>
                <w:rFonts w:hint="eastAsia" w:ascii="Times New Roman" w:hAnsi="Times New Roman" w:eastAsia="宋体" w:cs="Times New Roman"/>
                <w:color w:val="auto"/>
                <w:sz w:val="21"/>
                <w:szCs w:val="21"/>
                <w:highlight w:val="none"/>
                <w:lang w:val="en-US" w:eastAsia="zh-CN"/>
              </w:rPr>
              <w:t>PP</w:t>
            </w:r>
          </w:p>
        </w:tc>
        <w:tc>
          <w:tcPr>
            <w:tcW w:w="4383" w:type="dxa"/>
            <w:tcBorders>
              <w:tl2br w:val="nil"/>
              <w:tr2bl w:val="nil"/>
            </w:tcBorders>
            <w:noWrap w:val="0"/>
            <w:vAlign w:val="center"/>
          </w:tcPr>
          <w:p w14:paraId="12F5F12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PP≥61.6%，玻璃纤维≥30%，相容剂≥5%，助剂≥3.4%</w:t>
            </w:r>
          </w:p>
        </w:tc>
        <w:tc>
          <w:tcPr>
            <w:tcW w:w="1830" w:type="dxa"/>
            <w:tcBorders>
              <w:tl2br w:val="nil"/>
              <w:tr2bl w:val="nil"/>
            </w:tcBorders>
            <w:noWrap w:val="0"/>
            <w:vAlign w:val="center"/>
          </w:tcPr>
          <w:p w14:paraId="20A010D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683" w:type="dxa"/>
            <w:tcBorders>
              <w:tl2br w:val="nil"/>
              <w:tr2bl w:val="nil"/>
            </w:tcBorders>
            <w:noWrap w:val="0"/>
            <w:vAlign w:val="center"/>
          </w:tcPr>
          <w:p w14:paraId="09C52EF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DA52D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292A951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w:t>
            </w:r>
          </w:p>
        </w:tc>
        <w:tc>
          <w:tcPr>
            <w:tcW w:w="681" w:type="dxa"/>
            <w:tcBorders>
              <w:tl2br w:val="nil"/>
              <w:tr2bl w:val="nil"/>
            </w:tcBorders>
            <w:noWrap w:val="0"/>
            <w:vAlign w:val="center"/>
          </w:tcPr>
          <w:p w14:paraId="6C2107B3">
            <w:pPr>
              <w:spacing w:line="240" w:lineRule="auto"/>
              <w:ind w:firstLine="0" w:firstLineChars="0"/>
              <w:jc w:val="center"/>
              <w:rPr>
                <w:rFonts w:hint="eastAsia" w:ascii="Times New Roman" w:hAnsi="Times New Roman" w:eastAsia="宋体" w:cs="Times New Roman"/>
                <w:color w:val="auto"/>
                <w:sz w:val="21"/>
                <w:szCs w:val="21"/>
                <w:highlight w:val="none"/>
                <w:lang w:val="en-GB" w:eastAsia="zh-CN"/>
              </w:rPr>
            </w:pPr>
            <w:r>
              <w:rPr>
                <w:rFonts w:hint="eastAsia" w:ascii="Times New Roman" w:hAnsi="Times New Roman" w:eastAsia="宋体" w:cs="Times New Roman"/>
                <w:color w:val="auto"/>
                <w:sz w:val="21"/>
                <w:szCs w:val="21"/>
                <w:highlight w:val="none"/>
                <w:lang w:val="en-US" w:eastAsia="zh-CN"/>
              </w:rPr>
              <w:t>ABS</w:t>
            </w:r>
          </w:p>
        </w:tc>
        <w:tc>
          <w:tcPr>
            <w:tcW w:w="4383" w:type="dxa"/>
            <w:tcBorders>
              <w:tl2br w:val="nil"/>
              <w:tr2bl w:val="nil"/>
            </w:tcBorders>
            <w:noWrap w:val="0"/>
            <w:vAlign w:val="center"/>
          </w:tcPr>
          <w:p w14:paraId="6DD4370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ABS=100%</w:t>
            </w:r>
          </w:p>
        </w:tc>
        <w:tc>
          <w:tcPr>
            <w:tcW w:w="1830" w:type="dxa"/>
            <w:tcBorders>
              <w:tl2br w:val="nil"/>
              <w:tr2bl w:val="nil"/>
            </w:tcBorders>
            <w:noWrap w:val="0"/>
            <w:vAlign w:val="center"/>
          </w:tcPr>
          <w:p w14:paraId="3908079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683" w:type="dxa"/>
            <w:tcBorders>
              <w:tl2br w:val="nil"/>
              <w:tr2bl w:val="nil"/>
            </w:tcBorders>
            <w:noWrap w:val="0"/>
            <w:vAlign w:val="center"/>
          </w:tcPr>
          <w:p w14:paraId="14C222AC">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312A64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4E9AB45F">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681" w:type="dxa"/>
            <w:tcBorders>
              <w:tl2br w:val="nil"/>
              <w:tr2bl w:val="nil"/>
            </w:tcBorders>
            <w:noWrap w:val="0"/>
            <w:vAlign w:val="center"/>
          </w:tcPr>
          <w:p w14:paraId="46142C9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底漆</w:t>
            </w:r>
          </w:p>
        </w:tc>
        <w:tc>
          <w:tcPr>
            <w:tcW w:w="4383" w:type="dxa"/>
            <w:tcBorders>
              <w:tl2br w:val="nil"/>
              <w:tr2bl w:val="nil"/>
            </w:tcBorders>
            <w:noWrap w:val="0"/>
            <w:vAlign w:val="center"/>
          </w:tcPr>
          <w:p w14:paraId="58F2F21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改性丙烯酸树脂</w:t>
            </w:r>
            <w:r>
              <w:rPr>
                <w:rFonts w:hint="eastAsia" w:cs="Times New Roman"/>
                <w:color w:val="auto"/>
                <w:sz w:val="21"/>
                <w:szCs w:val="21"/>
                <w:highlight w:val="none"/>
                <w:lang w:val="en-US" w:eastAsia="zh-CN"/>
              </w:rPr>
              <w:t>10%～20%</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改性聚酯树脂</w:t>
            </w:r>
            <w:r>
              <w:rPr>
                <w:rFonts w:hint="eastAsia" w:ascii="Times New Roman" w:hAnsi="Times New Roman" w:eastAsia="宋体" w:cs="Times New Roman"/>
                <w:color w:val="auto"/>
                <w:sz w:val="21"/>
                <w:szCs w:val="21"/>
                <w:highlight w:val="none"/>
                <w:lang w:val="en-US" w:eastAsia="zh-CN"/>
              </w:rPr>
              <w:t>15%~25%、颜填料</w:t>
            </w: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、分散剂1</w:t>
            </w:r>
            <w:r>
              <w:rPr>
                <w:rFonts w:hint="default"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、醋酸正丁酯1</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PMA</w:t>
            </w:r>
            <w:r>
              <w:rPr>
                <w:rFonts w:hint="eastAsia" w:ascii="Times New Roman" w:hAnsi="Times New Roman" w:eastAsia="宋体" w:cs="Times New Roman"/>
                <w:color w:val="auto"/>
                <w:sz w:val="21"/>
                <w:szCs w:val="21"/>
                <w:highlight w:val="none"/>
                <w:lang w:val="en-US" w:eastAsia="zh-CN"/>
              </w:rPr>
              <w:t>（丙二醇甲醚醋酸酯）5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、二甲苯</w:t>
            </w:r>
            <w:r>
              <w:rPr>
                <w:rFonts w:hint="default" w:ascii="Times New Roman" w:hAnsi="Times New Roman" w:eastAsia="宋体"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lang w:val="en-US" w:eastAsia="zh-CN"/>
              </w:rPr>
              <w:t>%</w:t>
            </w:r>
          </w:p>
        </w:tc>
        <w:tc>
          <w:tcPr>
            <w:tcW w:w="1830" w:type="dxa"/>
            <w:tcBorders>
              <w:tl2br w:val="nil"/>
              <w:tr2bl w:val="nil"/>
            </w:tcBorders>
            <w:noWrap w:val="0"/>
            <w:vAlign w:val="center"/>
          </w:tcPr>
          <w:p w14:paraId="7ADB0F75">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固体份60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、挥发份40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（其中二甲苯取最大值20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、醋酸正丁酯取最大值15%）</w:t>
            </w:r>
          </w:p>
        </w:tc>
        <w:tc>
          <w:tcPr>
            <w:tcW w:w="1683" w:type="dxa"/>
            <w:tcBorders>
              <w:tl2br w:val="nil"/>
              <w:tr2bl w:val="nil"/>
            </w:tcBorders>
            <w:noWrap w:val="0"/>
            <w:vAlign w:val="center"/>
          </w:tcPr>
          <w:p w14:paraId="6045F05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底漆和稀释剂调配后（</w:t>
            </w:r>
            <w:r>
              <w:rPr>
                <w:rFonts w:hint="default" w:ascii="Times New Roman" w:hAnsi="Times New Roman" w:eastAsia="宋体" w:cs="Times New Roman"/>
                <w:color w:val="auto"/>
                <w:sz w:val="21"/>
                <w:szCs w:val="21"/>
                <w:highlight w:val="none"/>
                <w:lang w:val="en-US" w:eastAsia="zh-CN"/>
              </w:rPr>
              <w:t>100:10</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VOCs</w:t>
            </w:r>
            <w:r>
              <w:rPr>
                <w:rFonts w:hint="eastAsia" w:ascii="Times New Roman" w:hAnsi="Times New Roman" w:eastAsia="宋体" w:cs="Times New Roman"/>
                <w:color w:val="auto"/>
                <w:sz w:val="21"/>
                <w:szCs w:val="21"/>
                <w:highlight w:val="none"/>
                <w:lang w:val="en-US" w:eastAsia="zh-CN"/>
              </w:rPr>
              <w:t>含量为</w:t>
            </w:r>
            <w:r>
              <w:rPr>
                <w:rFonts w:hint="default" w:ascii="Times New Roman" w:hAnsi="Times New Roman" w:eastAsia="宋体" w:cs="Times New Roman"/>
                <w:color w:val="auto"/>
                <w:sz w:val="21"/>
                <w:szCs w:val="21"/>
                <w:highlight w:val="none"/>
                <w:lang w:val="en-US" w:eastAsia="zh-CN"/>
              </w:rPr>
              <w:t>462g/L</w:t>
            </w:r>
          </w:p>
        </w:tc>
      </w:tr>
      <w:tr w14:paraId="6B4CA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2DA3E0B6">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681" w:type="dxa"/>
            <w:tcBorders>
              <w:tl2br w:val="nil"/>
              <w:tr2bl w:val="nil"/>
            </w:tcBorders>
            <w:noWrap w:val="0"/>
            <w:vAlign w:val="center"/>
          </w:tcPr>
          <w:p w14:paraId="4B5ECC81">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色漆</w:t>
            </w:r>
          </w:p>
        </w:tc>
        <w:tc>
          <w:tcPr>
            <w:tcW w:w="4383" w:type="dxa"/>
            <w:tcBorders>
              <w:tl2br w:val="nil"/>
              <w:tr2bl w:val="nil"/>
            </w:tcBorders>
            <w:noWrap w:val="0"/>
            <w:vAlign w:val="center"/>
          </w:tcPr>
          <w:p w14:paraId="7FCA9B95">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改性丙烯酸树脂35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45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CAB</w:t>
            </w:r>
            <w:r>
              <w:rPr>
                <w:rFonts w:hint="eastAsia" w:ascii="Times New Roman" w:hAnsi="Times New Roman" w:eastAsia="宋体" w:cs="Times New Roman"/>
                <w:color w:val="auto"/>
                <w:sz w:val="21"/>
                <w:szCs w:val="21"/>
                <w:highlight w:val="none"/>
                <w:lang w:val="en-US" w:eastAsia="zh-CN"/>
              </w:rPr>
              <w:t>（醋酸丁酸纤维素）5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、铝粉3</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、颜料3</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、流平剂</w:t>
            </w:r>
            <w:r>
              <w:rPr>
                <w:rFonts w:hint="default" w:ascii="Times New Roman" w:hAnsi="Times New Roman" w:eastAsia="宋体" w:cs="Times New Roman"/>
                <w:color w:val="auto"/>
                <w:sz w:val="21"/>
                <w:szCs w:val="21"/>
                <w:highlight w:val="none"/>
                <w:lang w:val="en-US" w:eastAsia="zh-CN"/>
              </w:rPr>
              <w:t>0.1%~0.5%</w:t>
            </w:r>
            <w:r>
              <w:rPr>
                <w:rFonts w:hint="eastAsia" w:ascii="Times New Roman" w:hAnsi="Times New Roman" w:eastAsia="宋体" w:cs="Times New Roman"/>
                <w:color w:val="auto"/>
                <w:sz w:val="21"/>
                <w:szCs w:val="21"/>
                <w:highlight w:val="none"/>
                <w:lang w:val="en-US" w:eastAsia="zh-CN"/>
              </w:rPr>
              <w:t>、分散剂</w:t>
            </w:r>
            <w:r>
              <w:rPr>
                <w:rFonts w:hint="default" w:ascii="Times New Roman" w:hAnsi="Times New Roman" w:eastAsia="宋体" w:cs="Times New Roman"/>
                <w:color w:val="auto"/>
                <w:sz w:val="21"/>
                <w:szCs w:val="21"/>
                <w:highlight w:val="none"/>
                <w:lang w:val="en-US" w:eastAsia="zh-CN"/>
              </w:rPr>
              <w:t>1%~3%</w:t>
            </w:r>
            <w:r>
              <w:rPr>
                <w:rFonts w:hint="eastAsia" w:ascii="Times New Roman" w:hAnsi="Times New Roman" w:eastAsia="宋体" w:cs="Times New Roman"/>
                <w:color w:val="auto"/>
                <w:sz w:val="21"/>
                <w:szCs w:val="21"/>
                <w:highlight w:val="none"/>
                <w:lang w:val="en-US" w:eastAsia="zh-CN"/>
              </w:rPr>
              <w:t>、醋酸正丁酯</w:t>
            </w:r>
            <w:r>
              <w:rPr>
                <w:rFonts w:hint="default" w:ascii="Times New Roman" w:hAnsi="Times New Roman" w:eastAsia="宋体" w:cs="Times New Roman"/>
                <w:color w:val="auto"/>
                <w:sz w:val="21"/>
                <w:szCs w:val="21"/>
                <w:highlight w:val="none"/>
                <w:lang w:val="en-US" w:eastAsia="zh-CN"/>
              </w:rPr>
              <w:t>15%~25%</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PMA</w:t>
            </w:r>
            <w:r>
              <w:rPr>
                <w:rFonts w:hint="eastAsia" w:ascii="Times New Roman" w:hAnsi="Times New Roman" w:eastAsia="宋体" w:cs="Times New Roman"/>
                <w:color w:val="auto"/>
                <w:sz w:val="21"/>
                <w:szCs w:val="21"/>
                <w:highlight w:val="none"/>
                <w:lang w:val="en-US" w:eastAsia="zh-CN"/>
              </w:rPr>
              <w:t>（丙二醇甲醚醋酸酯）5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、二甲苯10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lang w:val="en-US" w:eastAsia="zh-CN"/>
              </w:rPr>
              <w:t>%</w:t>
            </w:r>
          </w:p>
        </w:tc>
        <w:tc>
          <w:tcPr>
            <w:tcW w:w="1830" w:type="dxa"/>
            <w:tcBorders>
              <w:tl2br w:val="nil"/>
              <w:tr2bl w:val="nil"/>
            </w:tcBorders>
            <w:noWrap w:val="0"/>
            <w:vAlign w:val="center"/>
          </w:tcPr>
          <w:p w14:paraId="6663E387">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固体份50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、挥发份50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（其中二甲苯取最大值20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、醋酸正丁酯取最大值25%）</w:t>
            </w:r>
          </w:p>
        </w:tc>
        <w:tc>
          <w:tcPr>
            <w:tcW w:w="1683" w:type="dxa"/>
            <w:tcBorders>
              <w:tl2br w:val="nil"/>
              <w:tr2bl w:val="nil"/>
            </w:tcBorders>
            <w:noWrap w:val="0"/>
            <w:vAlign w:val="center"/>
          </w:tcPr>
          <w:p w14:paraId="1D673EF9">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色漆和稀释剂调配后（</w:t>
            </w:r>
            <w:r>
              <w:rPr>
                <w:rFonts w:hint="default" w:ascii="Times New Roman" w:hAnsi="Times New Roman" w:eastAsia="宋体" w:cs="Times New Roman"/>
                <w:color w:val="auto"/>
                <w:sz w:val="21"/>
                <w:szCs w:val="21"/>
                <w:highlight w:val="none"/>
                <w:lang w:val="en-US" w:eastAsia="zh-CN"/>
              </w:rPr>
              <w:t>100:15</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VOCs</w:t>
            </w:r>
            <w:r>
              <w:rPr>
                <w:rFonts w:hint="eastAsia" w:ascii="Times New Roman" w:hAnsi="Times New Roman" w:eastAsia="宋体" w:cs="Times New Roman"/>
                <w:color w:val="auto"/>
                <w:sz w:val="21"/>
                <w:szCs w:val="21"/>
                <w:highlight w:val="none"/>
                <w:lang w:val="en-US" w:eastAsia="zh-CN"/>
              </w:rPr>
              <w:t>含量为</w:t>
            </w:r>
            <w:r>
              <w:rPr>
                <w:rFonts w:hint="default" w:ascii="Times New Roman" w:hAnsi="Times New Roman" w:eastAsia="宋体" w:cs="Times New Roman"/>
                <w:color w:val="auto"/>
                <w:sz w:val="21"/>
                <w:szCs w:val="21"/>
                <w:highlight w:val="none"/>
                <w:lang w:val="en-US" w:eastAsia="zh-CN"/>
              </w:rPr>
              <w:t>535g/L</w:t>
            </w:r>
          </w:p>
        </w:tc>
      </w:tr>
      <w:tr w14:paraId="43CE1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6D21845D">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681" w:type="dxa"/>
            <w:tcBorders>
              <w:tl2br w:val="nil"/>
              <w:tr2bl w:val="nil"/>
            </w:tcBorders>
            <w:noWrap w:val="0"/>
            <w:vAlign w:val="center"/>
          </w:tcPr>
          <w:p w14:paraId="649C5B3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清漆</w:t>
            </w:r>
          </w:p>
        </w:tc>
        <w:tc>
          <w:tcPr>
            <w:tcW w:w="4383" w:type="dxa"/>
            <w:tcBorders>
              <w:tl2br w:val="nil"/>
              <w:tr2bl w:val="nil"/>
            </w:tcBorders>
            <w:noWrap w:val="0"/>
            <w:vAlign w:val="center"/>
          </w:tcPr>
          <w:p w14:paraId="4A89894E">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丙烯酸树脂</w:t>
            </w:r>
            <w:r>
              <w:rPr>
                <w:rFonts w:hint="default" w:ascii="Times New Roman" w:hAnsi="Times New Roman" w:eastAsia="宋体" w:cs="Times New Roman"/>
                <w:color w:val="auto"/>
                <w:sz w:val="21"/>
                <w:szCs w:val="21"/>
                <w:highlight w:val="none"/>
                <w:lang w:val="en-US" w:eastAsia="zh-CN"/>
              </w:rPr>
              <w:t>40%~55%</w:t>
            </w:r>
            <w:r>
              <w:rPr>
                <w:rFonts w:hint="eastAsia" w:ascii="Times New Roman" w:hAnsi="Times New Roman" w:eastAsia="宋体" w:cs="Times New Roman"/>
                <w:color w:val="auto"/>
                <w:sz w:val="21"/>
                <w:szCs w:val="21"/>
                <w:highlight w:val="none"/>
                <w:lang w:val="en-US" w:eastAsia="zh-CN"/>
              </w:rPr>
              <w:t>、聚酯改性丙烯酸树脂</w:t>
            </w:r>
            <w:r>
              <w:rPr>
                <w:rFonts w:hint="default" w:ascii="Times New Roman" w:hAnsi="Times New Roman" w:eastAsia="宋体" w:cs="Times New Roman"/>
                <w:color w:val="auto"/>
                <w:sz w:val="21"/>
                <w:szCs w:val="21"/>
                <w:highlight w:val="none"/>
                <w:lang w:val="en-US" w:eastAsia="zh-CN"/>
              </w:rPr>
              <w:t>10%~20%</w:t>
            </w:r>
            <w:r>
              <w:rPr>
                <w:rFonts w:hint="eastAsia" w:ascii="Times New Roman" w:hAnsi="Times New Roman" w:eastAsia="宋体" w:cs="Times New Roman"/>
                <w:color w:val="auto"/>
                <w:sz w:val="21"/>
                <w:szCs w:val="21"/>
                <w:highlight w:val="none"/>
                <w:lang w:val="en-US" w:eastAsia="zh-CN"/>
              </w:rPr>
              <w:t>、紫外光老化剂</w:t>
            </w:r>
            <w:r>
              <w:rPr>
                <w:rFonts w:hint="default" w:ascii="Times New Roman" w:hAnsi="Times New Roman" w:eastAsia="宋体" w:cs="Times New Roman"/>
                <w:color w:val="auto"/>
                <w:sz w:val="21"/>
                <w:szCs w:val="21"/>
                <w:highlight w:val="none"/>
                <w:lang w:val="en-US" w:eastAsia="zh-CN"/>
              </w:rPr>
              <w:t>0.5%~2%</w:t>
            </w:r>
            <w:r>
              <w:rPr>
                <w:rFonts w:hint="eastAsia" w:ascii="Times New Roman" w:hAnsi="Times New Roman" w:eastAsia="宋体" w:cs="Times New Roman"/>
                <w:color w:val="auto"/>
                <w:sz w:val="21"/>
                <w:szCs w:val="21"/>
                <w:highlight w:val="none"/>
                <w:lang w:val="en-US" w:eastAsia="zh-CN"/>
              </w:rPr>
              <w:t>、流平剂</w:t>
            </w:r>
            <w:r>
              <w:rPr>
                <w:rFonts w:hint="default" w:ascii="Times New Roman" w:hAnsi="Times New Roman" w:eastAsia="宋体" w:cs="Times New Roman"/>
                <w:color w:val="auto"/>
                <w:sz w:val="21"/>
                <w:szCs w:val="21"/>
                <w:highlight w:val="none"/>
                <w:lang w:val="en-US" w:eastAsia="zh-CN"/>
              </w:rPr>
              <w:t>0.5%~2%</w:t>
            </w:r>
            <w:r>
              <w:rPr>
                <w:rFonts w:hint="eastAsia" w:ascii="Times New Roman" w:hAnsi="Times New Roman" w:eastAsia="宋体" w:cs="Times New Roman"/>
                <w:color w:val="auto"/>
                <w:sz w:val="21"/>
                <w:szCs w:val="21"/>
                <w:highlight w:val="none"/>
                <w:lang w:val="en-US" w:eastAsia="zh-CN"/>
              </w:rPr>
              <w:t>、醋酸正丁酯</w:t>
            </w:r>
            <w:r>
              <w:rPr>
                <w:rFonts w:hint="default" w:ascii="Times New Roman" w:hAnsi="Times New Roman" w:eastAsia="宋体" w:cs="Times New Roman"/>
                <w:color w:val="auto"/>
                <w:sz w:val="21"/>
                <w:szCs w:val="21"/>
                <w:highlight w:val="none"/>
                <w:lang w:val="en-US" w:eastAsia="zh-CN"/>
              </w:rPr>
              <w:t>15%~20%</w:t>
            </w:r>
            <w:r>
              <w:rPr>
                <w:rFonts w:hint="eastAsia" w:ascii="Times New Roman" w:hAnsi="Times New Roman" w:eastAsia="宋体" w:cs="Times New Roman"/>
                <w:color w:val="auto"/>
                <w:sz w:val="21"/>
                <w:szCs w:val="21"/>
                <w:highlight w:val="none"/>
                <w:lang w:val="en-US" w:eastAsia="zh-CN"/>
              </w:rPr>
              <w:t>、助剂</w:t>
            </w:r>
            <w:r>
              <w:rPr>
                <w:rFonts w:hint="default" w:ascii="Times New Roman" w:hAnsi="Times New Roman" w:eastAsia="宋体" w:cs="Times New Roman"/>
                <w:color w:val="auto"/>
                <w:sz w:val="21"/>
                <w:szCs w:val="21"/>
                <w:highlight w:val="none"/>
                <w:lang w:val="en-US" w:eastAsia="zh-CN"/>
              </w:rPr>
              <w:t>PMA</w:t>
            </w:r>
            <w:r>
              <w:rPr>
                <w:rFonts w:hint="eastAsia" w:ascii="Times New Roman" w:hAnsi="Times New Roman" w:eastAsia="宋体" w:cs="Times New Roman"/>
                <w:color w:val="auto"/>
                <w:sz w:val="21"/>
                <w:szCs w:val="21"/>
                <w:highlight w:val="none"/>
                <w:lang w:val="en-US" w:eastAsia="zh-CN"/>
              </w:rPr>
              <w:t>（丙二醇甲醚醋酸酯）</w:t>
            </w:r>
            <w:r>
              <w:rPr>
                <w:rFonts w:hint="default" w:ascii="Times New Roman" w:hAnsi="Times New Roman" w:eastAsia="宋体" w:cs="Times New Roman"/>
                <w:color w:val="auto"/>
                <w:sz w:val="21"/>
                <w:szCs w:val="21"/>
                <w:highlight w:val="none"/>
                <w:lang w:val="en-US" w:eastAsia="zh-CN"/>
              </w:rPr>
              <w:t>15%~25%</w:t>
            </w:r>
            <w:r>
              <w:rPr>
                <w:rFonts w:hint="eastAsia" w:ascii="Times New Roman" w:hAnsi="Times New Roman" w:eastAsia="宋体" w:cs="Times New Roman"/>
                <w:color w:val="auto"/>
                <w:sz w:val="21"/>
                <w:szCs w:val="21"/>
                <w:highlight w:val="none"/>
                <w:lang w:val="en-US" w:eastAsia="zh-CN"/>
              </w:rPr>
              <w:t>、二甲苯</w:t>
            </w:r>
            <w:r>
              <w:rPr>
                <w:rFonts w:hint="default" w:ascii="Times New Roman" w:hAnsi="Times New Roman" w:eastAsia="宋体" w:cs="Times New Roman"/>
                <w:color w:val="auto"/>
                <w:sz w:val="21"/>
                <w:szCs w:val="21"/>
                <w:highlight w:val="none"/>
                <w:lang w:val="en-US" w:eastAsia="zh-CN"/>
              </w:rPr>
              <w:t>5%~10%</w:t>
            </w:r>
          </w:p>
        </w:tc>
        <w:tc>
          <w:tcPr>
            <w:tcW w:w="1830" w:type="dxa"/>
            <w:tcBorders>
              <w:tl2br w:val="nil"/>
              <w:tr2bl w:val="nil"/>
            </w:tcBorders>
            <w:noWrap w:val="0"/>
            <w:vAlign w:val="center"/>
          </w:tcPr>
          <w:p w14:paraId="1D29807E">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固体份约55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、挥发份约45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（其中二甲苯取最大值</w:t>
            </w:r>
            <w:r>
              <w:rPr>
                <w:rFonts w:hint="default" w:ascii="Times New Roman" w:hAnsi="Times New Roman" w:eastAsia="宋体"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lang w:val="en-US" w:eastAsia="zh-CN"/>
              </w:rPr>
              <w:t>、醋酸正丁酯取最大值20%）</w:t>
            </w:r>
          </w:p>
        </w:tc>
        <w:tc>
          <w:tcPr>
            <w:tcW w:w="1683" w:type="dxa"/>
            <w:tcBorders>
              <w:tl2br w:val="nil"/>
              <w:tr2bl w:val="nil"/>
            </w:tcBorders>
            <w:noWrap w:val="0"/>
            <w:vAlign w:val="center"/>
          </w:tcPr>
          <w:p w14:paraId="7F05B057">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清漆、固化剂和稀释剂调配后（</w:t>
            </w:r>
            <w:r>
              <w:rPr>
                <w:rFonts w:hint="default" w:ascii="Times New Roman" w:hAnsi="Times New Roman" w:eastAsia="宋体" w:cs="Times New Roman"/>
                <w:color w:val="auto"/>
                <w:sz w:val="21"/>
                <w:szCs w:val="21"/>
                <w:highlight w:val="none"/>
                <w:lang w:val="en-US" w:eastAsia="zh-CN"/>
              </w:rPr>
              <w:t>100:55:5</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VOCs</w:t>
            </w:r>
            <w:r>
              <w:rPr>
                <w:rFonts w:hint="eastAsia" w:ascii="Times New Roman" w:hAnsi="Times New Roman" w:eastAsia="宋体" w:cs="Times New Roman"/>
                <w:color w:val="auto"/>
                <w:sz w:val="21"/>
                <w:szCs w:val="21"/>
                <w:highlight w:val="none"/>
                <w:lang w:val="en-US" w:eastAsia="zh-CN"/>
              </w:rPr>
              <w:t>含量为</w:t>
            </w:r>
            <w:r>
              <w:rPr>
                <w:rFonts w:hint="default" w:ascii="Times New Roman" w:hAnsi="Times New Roman" w:eastAsia="宋体" w:cs="Times New Roman"/>
                <w:color w:val="auto"/>
                <w:sz w:val="21"/>
                <w:szCs w:val="21"/>
                <w:highlight w:val="none"/>
                <w:lang w:val="en-US" w:eastAsia="zh-CN"/>
              </w:rPr>
              <w:t>372g/L</w:t>
            </w:r>
          </w:p>
        </w:tc>
      </w:tr>
      <w:tr w14:paraId="552D2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6EC0CD1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681" w:type="dxa"/>
            <w:tcBorders>
              <w:tl2br w:val="nil"/>
              <w:tr2bl w:val="nil"/>
            </w:tcBorders>
            <w:noWrap w:val="0"/>
            <w:vAlign w:val="center"/>
          </w:tcPr>
          <w:p w14:paraId="7FF1F977">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GB" w:eastAsia="zh-CN"/>
              </w:rPr>
              <w:t>稀释剂</w:t>
            </w:r>
          </w:p>
        </w:tc>
        <w:tc>
          <w:tcPr>
            <w:tcW w:w="4383" w:type="dxa"/>
            <w:tcBorders>
              <w:tl2br w:val="nil"/>
              <w:tr2bl w:val="nil"/>
            </w:tcBorders>
            <w:noWrap w:val="0"/>
            <w:vAlign w:val="center"/>
          </w:tcPr>
          <w:p w14:paraId="32E99114">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醋酸正丁酯25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PMA</w:t>
            </w:r>
            <w:r>
              <w:rPr>
                <w:rFonts w:hint="eastAsia" w:ascii="Times New Roman" w:hAnsi="Times New Roman" w:eastAsia="宋体" w:cs="Times New Roman"/>
                <w:color w:val="auto"/>
                <w:sz w:val="21"/>
                <w:szCs w:val="21"/>
                <w:highlight w:val="none"/>
                <w:lang w:val="en-US" w:eastAsia="zh-CN"/>
              </w:rPr>
              <w:t>（丙二醇甲醚醋酸酯）5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、二甲苯2</w:t>
            </w:r>
            <w:r>
              <w:rPr>
                <w:rFonts w:hint="default" w:ascii="Times New Roman" w:hAnsi="Times New Roman" w:eastAsia="宋体"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、乙酯5%~10%、异丁醇3%~8%、S-100 5%~10%</w:t>
            </w:r>
          </w:p>
        </w:tc>
        <w:tc>
          <w:tcPr>
            <w:tcW w:w="1830" w:type="dxa"/>
            <w:tcBorders>
              <w:tl2br w:val="nil"/>
              <w:tr2bl w:val="nil"/>
            </w:tcBorders>
            <w:noWrap w:val="0"/>
            <w:vAlign w:val="center"/>
          </w:tcPr>
          <w:p w14:paraId="5A3B7E2D">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挥发份</w:t>
            </w:r>
            <w:r>
              <w:rPr>
                <w:rFonts w:hint="default" w:ascii="Times New Roman" w:hAnsi="Times New Roman" w:eastAsia="宋体" w:cs="Times New Roman"/>
                <w:color w:val="auto"/>
                <w:sz w:val="21"/>
                <w:szCs w:val="21"/>
                <w:highlight w:val="none"/>
                <w:lang w:val="en-US" w:eastAsia="zh-CN"/>
              </w:rPr>
              <w:t>100%</w:t>
            </w:r>
            <w:r>
              <w:rPr>
                <w:rFonts w:hint="eastAsia" w:ascii="Times New Roman" w:hAnsi="Times New Roman" w:eastAsia="宋体" w:cs="Times New Roman"/>
                <w:color w:val="auto"/>
                <w:sz w:val="21"/>
                <w:szCs w:val="21"/>
                <w:highlight w:val="none"/>
                <w:lang w:val="en-US" w:eastAsia="zh-CN"/>
              </w:rPr>
              <w:t>（其中二甲苯取最大值3</w:t>
            </w:r>
            <w:r>
              <w:rPr>
                <w:rFonts w:hint="default" w:ascii="Times New Roman" w:hAnsi="Times New Roman" w:eastAsia="宋体"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、醋酸正丁酯取最大值35%）</w:t>
            </w:r>
          </w:p>
        </w:tc>
        <w:tc>
          <w:tcPr>
            <w:tcW w:w="1683" w:type="dxa"/>
            <w:tcBorders>
              <w:tl2br w:val="nil"/>
              <w:tr2bl w:val="nil"/>
            </w:tcBorders>
            <w:noWrap w:val="0"/>
            <w:vAlign w:val="center"/>
          </w:tcPr>
          <w:p w14:paraId="6BB7096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78DC86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308CF67D">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681" w:type="dxa"/>
            <w:tcBorders>
              <w:tl2br w:val="nil"/>
              <w:tr2bl w:val="nil"/>
            </w:tcBorders>
            <w:noWrap w:val="0"/>
            <w:vAlign w:val="center"/>
          </w:tcPr>
          <w:p w14:paraId="419B6439">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GB" w:eastAsia="zh-CN"/>
              </w:rPr>
              <w:t>固化剂</w:t>
            </w:r>
          </w:p>
        </w:tc>
        <w:tc>
          <w:tcPr>
            <w:tcW w:w="4383" w:type="dxa"/>
            <w:tcBorders>
              <w:tl2br w:val="nil"/>
              <w:tr2bl w:val="nil"/>
            </w:tcBorders>
            <w:noWrap w:val="0"/>
            <w:vAlign w:val="center"/>
          </w:tcPr>
          <w:p w14:paraId="02EAB634">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HDI</w:t>
            </w:r>
            <w:r>
              <w:rPr>
                <w:rFonts w:hint="eastAsia" w:ascii="Times New Roman" w:hAnsi="Times New Roman" w:eastAsia="宋体" w:cs="Times New Roman"/>
                <w:color w:val="auto"/>
                <w:sz w:val="21"/>
                <w:szCs w:val="21"/>
                <w:highlight w:val="none"/>
                <w:lang w:val="en-US" w:eastAsia="zh-CN"/>
              </w:rPr>
              <w:t>（六亚甲基二异氰酸酯）三聚体</w:t>
            </w:r>
            <w:r>
              <w:rPr>
                <w:rFonts w:hint="default" w:ascii="Times New Roman" w:hAnsi="Times New Roman" w:eastAsia="宋体" w:cs="Times New Roman"/>
                <w:color w:val="auto"/>
                <w:sz w:val="21"/>
                <w:szCs w:val="21"/>
                <w:highlight w:val="none"/>
                <w:lang w:val="en-US" w:eastAsia="zh-CN"/>
              </w:rPr>
              <w:t>60%~80%</w:t>
            </w:r>
            <w:r>
              <w:rPr>
                <w:rFonts w:hint="eastAsia" w:ascii="Times New Roman" w:hAnsi="Times New Roman" w:eastAsia="宋体" w:cs="Times New Roman"/>
                <w:color w:val="auto"/>
                <w:sz w:val="21"/>
                <w:szCs w:val="21"/>
                <w:highlight w:val="none"/>
                <w:lang w:val="en-US" w:eastAsia="zh-CN"/>
              </w:rPr>
              <w:t>、醋酸正丁酯15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、二甲苯5</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w:t>
            </w:r>
          </w:p>
        </w:tc>
        <w:tc>
          <w:tcPr>
            <w:tcW w:w="1830" w:type="dxa"/>
            <w:tcBorders>
              <w:tl2br w:val="nil"/>
              <w:tr2bl w:val="nil"/>
            </w:tcBorders>
            <w:noWrap w:val="0"/>
            <w:vAlign w:val="center"/>
          </w:tcPr>
          <w:p w14:paraId="75ADF84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固体份6</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、挥发份约40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（其中二甲苯取最大值10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、醋酸正丁酯取最大值30%）</w:t>
            </w:r>
          </w:p>
        </w:tc>
        <w:tc>
          <w:tcPr>
            <w:tcW w:w="1683" w:type="dxa"/>
            <w:tcBorders>
              <w:tl2br w:val="nil"/>
              <w:tr2bl w:val="nil"/>
            </w:tcBorders>
            <w:noWrap w:val="0"/>
            <w:vAlign w:val="center"/>
          </w:tcPr>
          <w:p w14:paraId="76CC76B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549EE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tcBorders>
              <w:tl2br w:val="nil"/>
              <w:tr2bl w:val="nil"/>
            </w:tcBorders>
            <w:noWrap w:val="0"/>
            <w:vAlign w:val="center"/>
          </w:tcPr>
          <w:p w14:paraId="64D01504">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681" w:type="dxa"/>
            <w:tcBorders>
              <w:tl2br w:val="nil"/>
              <w:tr2bl w:val="nil"/>
            </w:tcBorders>
            <w:noWrap w:val="0"/>
            <w:vAlign w:val="center"/>
          </w:tcPr>
          <w:p w14:paraId="4AF9011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清洗剂</w:t>
            </w:r>
          </w:p>
        </w:tc>
        <w:tc>
          <w:tcPr>
            <w:tcW w:w="4383" w:type="dxa"/>
            <w:tcBorders>
              <w:tl2br w:val="nil"/>
              <w:tr2bl w:val="nil"/>
            </w:tcBorders>
            <w:noWrap w:val="0"/>
            <w:vAlign w:val="center"/>
          </w:tcPr>
          <w:p w14:paraId="68BA6A39">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乙酸丁酯</w:t>
            </w:r>
            <w:r>
              <w:rPr>
                <w:rFonts w:hint="default" w:ascii="Times New Roman" w:hAnsi="Times New Roman" w:eastAsia="宋体" w:cs="Times New Roman"/>
                <w:color w:val="auto"/>
                <w:sz w:val="21"/>
                <w:szCs w:val="21"/>
                <w:highlight w:val="none"/>
                <w:lang w:val="en-US" w:eastAsia="zh-CN"/>
              </w:rPr>
              <w:t>100%</w:t>
            </w:r>
          </w:p>
        </w:tc>
        <w:tc>
          <w:tcPr>
            <w:tcW w:w="1830" w:type="dxa"/>
            <w:tcBorders>
              <w:tl2br w:val="nil"/>
              <w:tr2bl w:val="nil"/>
            </w:tcBorders>
            <w:noWrap w:val="0"/>
            <w:vAlign w:val="center"/>
          </w:tcPr>
          <w:p w14:paraId="5E432AC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挥发份</w:t>
            </w:r>
            <w:r>
              <w:rPr>
                <w:rFonts w:hint="default" w:ascii="Times New Roman" w:hAnsi="Times New Roman" w:eastAsia="宋体" w:cs="Times New Roman"/>
                <w:color w:val="auto"/>
                <w:sz w:val="21"/>
                <w:szCs w:val="21"/>
                <w:highlight w:val="none"/>
                <w:lang w:val="en-US" w:eastAsia="zh-CN"/>
              </w:rPr>
              <w:t>100%</w:t>
            </w:r>
          </w:p>
        </w:tc>
        <w:tc>
          <w:tcPr>
            <w:tcW w:w="1683" w:type="dxa"/>
            <w:tcBorders>
              <w:tl2br w:val="nil"/>
              <w:tr2bl w:val="nil"/>
            </w:tcBorders>
            <w:noWrap w:val="0"/>
            <w:vAlign w:val="center"/>
          </w:tcPr>
          <w:p w14:paraId="34EFAD5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bl>
    <w:p w14:paraId="328E3CE9">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（3）主要原辅材料理化性质</w:t>
      </w:r>
    </w:p>
    <w:p w14:paraId="6713CB30">
      <w:pPr>
        <w:pStyle w:val="1336"/>
        <w:numPr>
          <w:ilvl w:val="0"/>
          <w:numId w:val="0"/>
        </w:numPr>
        <w:ind w:leftChars="200"/>
        <w:rPr>
          <w:rFonts w:hint="default"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本项目主要原辅材料理化性质见下表。</w:t>
      </w:r>
    </w:p>
    <w:p w14:paraId="5F7254D6">
      <w:pPr>
        <w:keepNext w:val="0"/>
        <w:keepLines w:val="0"/>
        <w:widowControl/>
        <w:suppressLineNumbers w:val="0"/>
        <w:jc w:val="center"/>
        <w:rPr>
          <w:rFonts w:hint="eastAsia" w:ascii="Times New Roman" w:hAnsi="Times New Roman" w:eastAsia="黑体" w:cs="Times New Roman"/>
          <w:color w:val="auto"/>
          <w:kern w:val="0"/>
          <w:sz w:val="24"/>
          <w:szCs w:val="24"/>
          <w:highlight w:val="none"/>
          <w:lang w:val="en-US" w:eastAsia="zh-CN" w:bidi="ar-SA"/>
        </w:rPr>
        <w:sectPr>
          <w:pgSz w:w="11906" w:h="16838"/>
          <w:pgMar w:top="141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30AF8AB1">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表3.1-5  主要原辅材料理化性质</w:t>
      </w:r>
    </w:p>
    <w:tbl>
      <w:tblPr>
        <w:tblStyle w:val="80"/>
        <w:tblW w:w="14258"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1308"/>
        <w:gridCol w:w="1095"/>
        <w:gridCol w:w="6105"/>
        <w:gridCol w:w="2505"/>
        <w:gridCol w:w="2508"/>
      </w:tblGrid>
      <w:tr w14:paraId="1ABD1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0412DE6">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5E95B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60D739">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CAS</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A5B1C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理化性质</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CE7B0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毒性毒理</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0EE53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危险特性</w:t>
            </w:r>
          </w:p>
        </w:tc>
      </w:tr>
      <w:tr w14:paraId="3A438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97F42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CB915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改性PP</w:t>
            </w:r>
          </w:p>
          <w:p w14:paraId="11420534">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4D8CB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A4058C">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以PP</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聚丙烯</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为基材添加约10%的EPDM</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三元乙丙橡胶</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作为增韧相，添加20%的滑石粉改善材料的强度、刚度和尺寸稳定性，改性聚丙烯具有阻燃、高抗冲等性能。PP</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聚丙烯</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是一种高密度无侧链、高结晶的线性聚合物，由丙烯加聚反应而成；EPDM</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三元乙丙橡胶</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是乙烯、丙烯和少量的非共轭二烯烃的共聚物，耐臭氧、耐热、耐候等耐老化性能优异；T</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滑石粉</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主要成分是含水硅酸镁，具有润滑性、抗黏、助流耐火性、抗酸性、绝缘性、熔点高、化学性不活泼、遮盖力良好、柔软、光泽好、吸附力强等特性。密度为1.06g/cm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，熔点165~170℃，热分解温度328~410℃</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B9136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251086">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可燃，燃烧释放出刺激性或有毒烟雾</w:t>
            </w:r>
          </w:p>
        </w:tc>
      </w:tr>
      <w:tr w14:paraId="5B393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F2754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B9752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ABS</w:t>
            </w:r>
          </w:p>
          <w:p w14:paraId="53BB155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丙烯腈-丁二烯-苯乙烯共聚物</w:t>
            </w:r>
            <w:r>
              <w:rPr>
                <w:rFonts w:hint="eastAsia" w:ascii="Times New Roman" w:hAnsi="Times New Roman" w:cs="Times New Roman"/>
                <w:color w:val="auto"/>
                <w:sz w:val="21"/>
                <w:szCs w:val="21"/>
                <w:highlight w:val="none"/>
                <w:lang w:val="en-US" w:eastAsia="zh-CN"/>
              </w:rPr>
              <w:t>）</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2E8A5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98E769">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丙烯腈-丁二烯-苯乙烯共聚物</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丙烯腈占15~35%、丁二烯占5~30%、苯乙烯占40~60%</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，A代表丙烯腈，B代表丁二烯，S代表苯乙烯，最常见比例是A:B:S=20:30:50。无毒、无味微黄色固体，有一定的韧性，密度约为1.05~1.18g/cm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，熔点220~240℃，热分解温度270~350℃。不受水、无机盐、碱及多种酸的影响，但可溶于酮类、醛类及氯代烃中，受冰乙酸、植物油等侵蚀会产生应力开裂。耐候性差，在紫外光的作用下易产生降解</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27848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35436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可燃，燃烧释放出刺激性或有毒烟雾</w:t>
            </w:r>
          </w:p>
        </w:tc>
      </w:tr>
      <w:tr w14:paraId="636B7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2DB2688">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88F5F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溶剂型底漆</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F9EEBE">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51E529">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粘稠浆状液体，有刺鼻性气味，闪点闭杯22℃，爆炸下限1.8%，上限15.3%，粘度25~40秒</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23~25℃</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，密度1.21g/cm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ACC29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FF68FC">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易燃，暴露于高温可产生有害分解产物</w:t>
            </w:r>
          </w:p>
        </w:tc>
      </w:tr>
      <w:tr w14:paraId="192D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F5E782">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05B199">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溶剂型色漆</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66265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B10A81">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粘稠浆状液体，有刺鼻性气味，闪点闭杯13.6℃，爆炸下限1.5%，上限13.1%，粘度20~30秒</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23~25℃</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，密度1g/cm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DC742C">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3774FC">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易燃，暴露于高温可产生有害分解产物</w:t>
            </w:r>
          </w:p>
        </w:tc>
      </w:tr>
      <w:tr w14:paraId="52267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0FE5A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6D742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溶剂型清漆</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D55EC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BD193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粘稠浆状液体，有刺鼻性气味，闪点闭杯4℃，爆炸下限0.7%，上限10.0%，粘度20~30秒</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23~25℃</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，密度0.98g/cm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2AD66D">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A1BF0D">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易燃，暴露于高温可产生有害分解产物</w:t>
            </w:r>
          </w:p>
        </w:tc>
      </w:tr>
      <w:tr w14:paraId="0361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AE44D03">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E3F2C8">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稀释剂</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E45D0EC">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C17EB9">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液体，有刺鼻性气味，闪点闭杯11℃，爆炸下限1.3%，上限12.1%，粘度8~12秒</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23~25℃</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，密度0.87g/cm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B1EBC5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76D89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易燃，暴露于高温可产生有害分解产物</w:t>
            </w:r>
          </w:p>
        </w:tc>
      </w:tr>
      <w:tr w14:paraId="4EF4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6D414B8">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659FB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固化剂</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9EFF74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E0DDCC">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液体，有刺鼻性气味，闪点闭杯21.7℃，爆炸下限1.0%，上限7.5%，粘度13~16秒</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23~25℃</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，密度0.97g/cm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D48E8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A35FBA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易燃，暴露于高温可产生有害分解产物</w:t>
            </w:r>
          </w:p>
        </w:tc>
      </w:tr>
      <w:tr w14:paraId="17CB9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1DC993">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F85547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醋酸正丁酯</w:t>
            </w:r>
          </w:p>
          <w:p w14:paraId="7E546C5A">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乙酸丁酯</w:t>
            </w:r>
            <w:r>
              <w:rPr>
                <w:rFonts w:hint="eastAsia" w:ascii="Times New Roman" w:hAnsi="Times New Roman" w:cs="Times New Roman"/>
                <w:color w:val="auto"/>
                <w:sz w:val="21"/>
                <w:szCs w:val="21"/>
                <w:highlight w:val="none"/>
                <w:lang w:val="en-US" w:eastAsia="zh-CN"/>
              </w:rPr>
              <w:t>）</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BC71D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123-86-4</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49F7EE">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无色透明有愉快果香气味的液体，密度0.88g/cm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，闪点22.2℃，熔点-78℃，沸点126.6℃，难溶于水，溶于大多数有机溶剂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8D96D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LD</w:t>
            </w:r>
            <w:r>
              <w:rPr>
                <w:rFonts w:hint="default" w:ascii="Times New Roman" w:hAnsi="Times New Roman" w:eastAsia="宋体" w:cs="Times New Roman"/>
                <w:color w:val="auto"/>
                <w:sz w:val="21"/>
                <w:szCs w:val="21"/>
                <w:highlight w:val="none"/>
                <w:vertAlign w:val="subscript"/>
                <w:lang w:val="en-US" w:eastAsia="zh-CN"/>
              </w:rPr>
              <w:t>50</w:t>
            </w:r>
            <w:r>
              <w:rPr>
                <w:rFonts w:hint="default" w:ascii="Times New Roman" w:hAnsi="Times New Roman" w:eastAsia="宋体" w:cs="Times New Roman"/>
                <w:color w:val="auto"/>
                <w:sz w:val="21"/>
                <w:szCs w:val="21"/>
                <w:highlight w:val="none"/>
                <w:lang w:val="en-US" w:eastAsia="zh-CN"/>
              </w:rPr>
              <w:t>：10768mg/kg</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大鼠经口</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；LC</w:t>
            </w:r>
            <w:r>
              <w:rPr>
                <w:rFonts w:hint="default" w:ascii="Times New Roman" w:hAnsi="Times New Roman" w:eastAsia="宋体" w:cs="Times New Roman"/>
                <w:color w:val="auto"/>
                <w:sz w:val="21"/>
                <w:szCs w:val="21"/>
                <w:highlight w:val="none"/>
                <w:vertAlign w:val="subscript"/>
                <w:lang w:val="en-US" w:eastAsia="zh-CN"/>
              </w:rPr>
              <w:t>50</w:t>
            </w:r>
            <w:r>
              <w:rPr>
                <w:rFonts w:hint="eastAsia" w:ascii="Times New Roman" w:hAnsi="Times New Roman"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lang w:val="en-US" w:eastAsia="zh-CN"/>
              </w:rPr>
              <w:t>390ppm</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大鼠吸入，4h</w:t>
            </w:r>
            <w:r>
              <w:rPr>
                <w:rFonts w:hint="eastAsia" w:ascii="Times New Roman" w:hAnsi="Times New Roman"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37072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易燃液体，类别3，其蒸汽与空气可形成爆炸性混合物，与氧化剂强烈反应性混合物，与氧化剂强烈反应</w:t>
            </w:r>
          </w:p>
        </w:tc>
      </w:tr>
      <w:tr w14:paraId="1C25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65850E">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9</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A1012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二甲苯</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DDC25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1330-20-7</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750793">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存在邻、间、对三种异构体，无色透明液体，有芳香烃的特殊气味，有刺激性。密度0.86g/cm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，闪点25℃，熔点-34℃，沸点138.5℃，不溶于水，溶于大多数有机溶剂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5D38C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LD</w:t>
            </w:r>
            <w:r>
              <w:rPr>
                <w:rFonts w:hint="default" w:ascii="Times New Roman" w:hAnsi="Times New Roman" w:eastAsia="宋体" w:cs="Times New Roman"/>
                <w:color w:val="auto"/>
                <w:sz w:val="21"/>
                <w:szCs w:val="21"/>
                <w:highlight w:val="none"/>
                <w:vertAlign w:val="subscript"/>
                <w:lang w:val="en-US" w:eastAsia="zh-CN"/>
              </w:rPr>
              <w:t>50</w:t>
            </w:r>
            <w:r>
              <w:rPr>
                <w:rFonts w:hint="default" w:ascii="Times New Roman" w:hAnsi="Times New Roman" w:eastAsia="宋体" w:cs="Times New Roman"/>
                <w:color w:val="auto"/>
                <w:sz w:val="21"/>
                <w:szCs w:val="21"/>
                <w:highlight w:val="none"/>
                <w:lang w:val="en-US" w:eastAsia="zh-CN"/>
              </w:rPr>
              <w:t>：4300mg/kg</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大鼠经口</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；LC</w:t>
            </w:r>
            <w:r>
              <w:rPr>
                <w:rFonts w:hint="default" w:ascii="Times New Roman" w:hAnsi="Times New Roman" w:eastAsia="宋体" w:cs="Times New Roman"/>
                <w:color w:val="auto"/>
                <w:sz w:val="21"/>
                <w:szCs w:val="21"/>
                <w:highlight w:val="none"/>
                <w:vertAlign w:val="subscript"/>
                <w:lang w:val="en-US" w:eastAsia="zh-CN"/>
              </w:rPr>
              <w:t>50</w:t>
            </w:r>
            <w:r>
              <w:rPr>
                <w:rFonts w:hint="default" w:ascii="Times New Roman" w:hAnsi="Times New Roman" w:eastAsia="宋体"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lang w:val="en-US" w:eastAsia="zh-CN"/>
              </w:rPr>
              <w:t>2119g/m</w:t>
            </w:r>
            <w:r>
              <w:rPr>
                <w:rFonts w:hint="default"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大鼠吸入，4h</w:t>
            </w:r>
            <w:r>
              <w:rPr>
                <w:rFonts w:hint="eastAsia" w:ascii="Times New Roman" w:hAnsi="Times New Roman"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1953F8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易燃液体，其蒸气与空气可形成爆性混合物，与氧化剂强烈反应</w:t>
            </w:r>
          </w:p>
        </w:tc>
      </w:tr>
      <w:tr w14:paraId="1664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B6CA65">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F47DA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丙二醇甲醚醋酸酯</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52E0B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108-65-6</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74620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无色透明液体，有特殊气味。密度0.96g/cm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，闪点47.9℃，熔点-87℃，沸点145~146℃，可溶于水，溶于大多数有机溶剂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210E8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LD</w:t>
            </w:r>
            <w:r>
              <w:rPr>
                <w:rFonts w:hint="default" w:ascii="Times New Roman" w:hAnsi="Times New Roman" w:eastAsia="宋体" w:cs="Times New Roman"/>
                <w:color w:val="auto"/>
                <w:sz w:val="21"/>
                <w:szCs w:val="21"/>
                <w:highlight w:val="none"/>
                <w:vertAlign w:val="subscript"/>
                <w:lang w:val="en-US" w:eastAsia="zh-CN"/>
              </w:rPr>
              <w:t>50</w:t>
            </w:r>
            <w:r>
              <w:rPr>
                <w:rFonts w:hint="default" w:ascii="Times New Roman" w:hAnsi="Times New Roman" w:eastAsia="宋体" w:cs="Times New Roman"/>
                <w:color w:val="auto"/>
                <w:sz w:val="21"/>
                <w:szCs w:val="21"/>
                <w:highlight w:val="none"/>
                <w:lang w:val="en-US" w:eastAsia="zh-CN"/>
              </w:rPr>
              <w:t>：8532mg/kg</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大鼠经口</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；LC</w:t>
            </w:r>
            <w:r>
              <w:rPr>
                <w:rFonts w:hint="default" w:ascii="Times New Roman" w:hAnsi="Times New Roman" w:eastAsia="宋体" w:cs="Times New Roman"/>
                <w:color w:val="auto"/>
                <w:sz w:val="21"/>
                <w:szCs w:val="21"/>
                <w:highlight w:val="none"/>
                <w:vertAlign w:val="subscript"/>
                <w:lang w:val="en-US" w:eastAsia="zh-CN"/>
              </w:rPr>
              <w:t>50</w:t>
            </w:r>
            <w:r>
              <w:rPr>
                <w:rFonts w:hint="default" w:ascii="Times New Roman" w:hAnsi="Times New Roman" w:eastAsia="宋体" w:cs="Times New Roman"/>
                <w:color w:val="auto"/>
                <w:sz w:val="21"/>
                <w:szCs w:val="21"/>
                <w:highlight w:val="none"/>
                <w:lang w:val="en-US" w:eastAsia="zh-CN"/>
              </w:rPr>
              <w:t>：&gt;2000ppm</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大鼠吸入，4h</w:t>
            </w:r>
            <w:r>
              <w:rPr>
                <w:rFonts w:hint="eastAsia" w:ascii="Times New Roman" w:hAnsi="Times New Roman" w:cs="Times New Roman"/>
                <w:color w:val="auto"/>
                <w:sz w:val="21"/>
                <w:szCs w:val="21"/>
                <w:highlight w:val="none"/>
                <w:lang w:val="en-US" w:eastAsia="zh-CN"/>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D0AEC4">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易燃液体，其蒸汽与空气可形成爆炸性混合物，与氧化剂强烈反应</w:t>
            </w:r>
          </w:p>
        </w:tc>
      </w:tr>
      <w:tr w14:paraId="456F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48FB8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w:t>
            </w:r>
          </w:p>
        </w:tc>
        <w:tc>
          <w:tcPr>
            <w:tcW w:w="13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F5EF1A">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HDI</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六亚甲基二异氰酸酯</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三聚体</w:t>
            </w:r>
          </w:p>
        </w:tc>
        <w:tc>
          <w:tcPr>
            <w:tcW w:w="10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7B8071">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3779-63-3</w:t>
            </w:r>
          </w:p>
        </w:tc>
        <w:tc>
          <w:tcPr>
            <w:tcW w:w="61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1891A1">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粘稠、淡黄色至无色透明液体，有刺激性气味，异氰酸根质量分数为21.7%~22.2%,密度1.2g/cm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，熔点&gt;300℃，沸点648.2℃，不溶于水，溶于大多数有机溶剂</w:t>
            </w:r>
          </w:p>
        </w:tc>
        <w:tc>
          <w:tcPr>
            <w:tcW w:w="25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7BE2FA8">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250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B7D8B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易燃液体，其蒸汽与空气可形成爆炸性混合物，与氧化剂强烈反应</w:t>
            </w:r>
          </w:p>
        </w:tc>
      </w:tr>
    </w:tbl>
    <w:p w14:paraId="57C34BC4">
      <w:pPr>
        <w:keepNext w:val="0"/>
        <w:keepLines w:val="0"/>
        <w:widowControl/>
        <w:suppressLineNumbers w:val="0"/>
        <w:jc w:val="center"/>
        <w:rPr>
          <w:rFonts w:hint="eastAsia" w:ascii="Times New Roman" w:hAnsi="Times New Roman" w:eastAsia="黑体" w:cs="Times New Roman"/>
          <w:color w:val="auto"/>
          <w:kern w:val="0"/>
          <w:sz w:val="24"/>
          <w:szCs w:val="24"/>
          <w:highlight w:val="none"/>
          <w:lang w:val="en-US" w:eastAsia="zh-CN" w:bidi="ar-SA"/>
        </w:rPr>
        <w:sectPr>
          <w:pgSz w:w="16838" w:h="11906" w:orient="landscape"/>
          <w:pgMar w:top="1701" w:right="141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59948FEF">
      <w:pPr>
        <w:pStyle w:val="1336"/>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val="en-US" w:eastAsia="zh-CN" w:bidi="he-IL"/>
        </w:rPr>
        <w:t>（4）涂料用量核算：</w:t>
      </w:r>
    </w:p>
    <w:p w14:paraId="19879D33">
      <w:pPr>
        <w:pStyle w:val="1336"/>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val="en-US" w:eastAsia="zh-CN" w:bidi="he-IL"/>
        </w:rPr>
        <w:t>根据《涂装技术实用手册》（叶扬详主编，机械工业出版社出版）：涂料用量采用以下公式计算：</w:t>
      </w:r>
    </w:p>
    <w:p w14:paraId="00B1B169">
      <w:pPr>
        <w:bidi w:val="0"/>
        <w:ind w:left="0" w:leftChars="0" w:firstLine="0" w:firstLineChars="0"/>
        <w:jc w:val="center"/>
        <w:rPr>
          <w:color w:val="auto"/>
          <w:highlight w:val="none"/>
        </w:rPr>
      </w:pPr>
      <w:r>
        <w:rPr>
          <w:color w:val="auto"/>
          <w:highlight w:val="none"/>
        </w:rPr>
        <w:drawing>
          <wp:inline distT="0" distB="0" distL="114300" distR="114300">
            <wp:extent cx="2963545" cy="467995"/>
            <wp:effectExtent l="0" t="0" r="8255" b="8255"/>
            <wp:docPr id="252" name="图片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773"/>
                    <pic:cNvPicPr>
                      <a:picLocks noChangeAspect="1"/>
                    </pic:cNvPicPr>
                  </pic:nvPicPr>
                  <pic:blipFill>
                    <a:blip r:embed="rId41"/>
                    <a:stretch>
                      <a:fillRect/>
                    </a:stretch>
                  </pic:blipFill>
                  <pic:spPr>
                    <a:xfrm>
                      <a:off x="0" y="0"/>
                      <a:ext cx="2963545" cy="467995"/>
                    </a:xfrm>
                    <a:prstGeom prst="rect">
                      <a:avLst/>
                    </a:prstGeom>
                    <a:noFill/>
                    <a:ln>
                      <a:noFill/>
                    </a:ln>
                  </pic:spPr>
                </pic:pic>
              </a:graphicData>
            </a:graphic>
          </wp:inline>
        </w:drawing>
      </w:r>
    </w:p>
    <w:p w14:paraId="2366026E">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其中：</w:t>
      </w:r>
      <w:r>
        <w:rPr>
          <w:rFonts w:hint="default" w:ascii="Times New Roman" w:hAnsi="Times New Roman" w:eastAsia="宋体" w:cs="Times New Roman"/>
          <w:color w:val="auto"/>
          <w:highlight w:val="none"/>
          <w:lang w:val="en-US" w:eastAsia="zh-CN" w:bidi="he-IL"/>
        </w:rPr>
        <w:t>m—</w:t>
      </w:r>
      <w:r>
        <w:rPr>
          <w:rFonts w:hint="eastAsia" w:ascii="Times New Roman" w:hAnsi="Times New Roman" w:eastAsia="宋体" w:cs="Times New Roman"/>
          <w:color w:val="auto"/>
          <w:highlight w:val="none"/>
          <w:lang w:val="en-US" w:eastAsia="zh-CN" w:bidi="he-IL"/>
        </w:rPr>
        <w:t>涂料用量（</w:t>
      </w:r>
      <w:r>
        <w:rPr>
          <w:rFonts w:hint="default" w:ascii="Times New Roman" w:hAnsi="Times New Roman" w:eastAsia="宋体" w:cs="Times New Roman"/>
          <w:color w:val="auto"/>
          <w:highlight w:val="none"/>
          <w:lang w:val="en-US" w:eastAsia="zh-CN" w:bidi="he-IL"/>
        </w:rPr>
        <w:t>t</w:t>
      </w:r>
      <w:r>
        <w:rPr>
          <w:rFonts w:hint="eastAsia" w:ascii="Times New Roman" w:hAnsi="Times New Roman" w:eastAsia="宋体" w:cs="Times New Roman"/>
          <w:color w:val="auto"/>
          <w:highlight w:val="none"/>
          <w:lang w:val="en-US" w:eastAsia="zh-CN" w:bidi="he-IL"/>
        </w:rPr>
        <w:t>）；</w:t>
      </w:r>
    </w:p>
    <w:p w14:paraId="5170C960">
      <w:pPr>
        <w:pStyle w:val="1336"/>
        <w:ind w:firstLine="480"/>
        <w:rPr>
          <w:rFonts w:hint="eastAsia"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ρ—</w:t>
      </w:r>
      <w:r>
        <w:rPr>
          <w:rFonts w:hint="eastAsia" w:ascii="Times New Roman" w:hAnsi="Times New Roman" w:eastAsia="宋体" w:cs="Times New Roman"/>
          <w:color w:val="auto"/>
          <w:highlight w:val="none"/>
          <w:lang w:val="en-US" w:eastAsia="zh-CN" w:bidi="he-IL"/>
        </w:rPr>
        <w:t>涂料密度（</w:t>
      </w:r>
      <w:r>
        <w:rPr>
          <w:rFonts w:hint="default" w:ascii="Times New Roman" w:hAnsi="Times New Roman" w:eastAsia="宋体" w:cs="Times New Roman"/>
          <w:color w:val="auto"/>
          <w:highlight w:val="none"/>
          <w:lang w:val="en-US" w:eastAsia="zh-CN" w:bidi="he-IL"/>
        </w:rPr>
        <w:t>g/cm</w:t>
      </w:r>
      <w:r>
        <w:rPr>
          <w:rFonts w:hint="default"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lang w:val="en-US" w:eastAsia="zh-CN" w:bidi="he-IL"/>
        </w:rPr>
        <w:t>）；</w:t>
      </w:r>
    </w:p>
    <w:p w14:paraId="67510824">
      <w:pPr>
        <w:pStyle w:val="1336"/>
        <w:ind w:firstLine="480"/>
        <w:rPr>
          <w:rFonts w:hint="eastAsia"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δ—</w:t>
      </w:r>
      <w:r>
        <w:rPr>
          <w:rFonts w:hint="eastAsia" w:ascii="Times New Roman" w:hAnsi="Times New Roman" w:eastAsia="宋体" w:cs="Times New Roman"/>
          <w:color w:val="auto"/>
          <w:highlight w:val="none"/>
          <w:lang w:val="en-US" w:eastAsia="zh-CN" w:bidi="he-IL"/>
        </w:rPr>
        <w:t>涂层厚度（</w:t>
      </w:r>
      <w:r>
        <w:rPr>
          <w:rFonts w:hint="default" w:ascii="Times New Roman" w:hAnsi="Times New Roman" w:eastAsia="宋体" w:cs="Times New Roman"/>
          <w:color w:val="auto"/>
          <w:highlight w:val="none"/>
          <w:lang w:val="en-US" w:eastAsia="zh-CN" w:bidi="he-IL"/>
        </w:rPr>
        <w:t>μm</w:t>
      </w:r>
      <w:r>
        <w:rPr>
          <w:rFonts w:hint="eastAsia" w:ascii="Times New Roman" w:hAnsi="Times New Roman" w:eastAsia="宋体" w:cs="Times New Roman"/>
          <w:color w:val="auto"/>
          <w:highlight w:val="none"/>
          <w:lang w:val="en-US" w:eastAsia="zh-CN" w:bidi="he-IL"/>
        </w:rPr>
        <w:t>）；</w:t>
      </w:r>
    </w:p>
    <w:p w14:paraId="4FA43E05">
      <w:pPr>
        <w:pStyle w:val="1336"/>
        <w:ind w:firstLine="480"/>
        <w:rPr>
          <w:rFonts w:hint="eastAsia"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s—</w:t>
      </w:r>
      <w:r>
        <w:rPr>
          <w:rFonts w:hint="eastAsia" w:ascii="Times New Roman" w:hAnsi="Times New Roman" w:eastAsia="宋体" w:cs="Times New Roman"/>
          <w:color w:val="auto"/>
          <w:highlight w:val="none"/>
          <w:lang w:val="en-US" w:eastAsia="zh-CN" w:bidi="he-IL"/>
        </w:rPr>
        <w:t>涂装面积（</w:t>
      </w:r>
      <w:r>
        <w:rPr>
          <w:rFonts w:hint="default" w:ascii="Times New Roman" w:hAnsi="Times New Roman" w:eastAsia="宋体" w:cs="Times New Roman"/>
          <w:color w:val="auto"/>
          <w:highlight w:val="none"/>
          <w:lang w:val="en-US" w:eastAsia="zh-CN" w:bidi="he-IL"/>
        </w:rPr>
        <w:t>m</w:t>
      </w:r>
      <w:r>
        <w:rPr>
          <w:rFonts w:hint="default" w:ascii="Times New Roman" w:hAnsi="Times New Roman" w:eastAsia="宋体" w:cs="Times New Roman"/>
          <w:color w:val="auto"/>
          <w:highlight w:val="none"/>
          <w:vertAlign w:val="superscript"/>
          <w:lang w:val="en-US" w:eastAsia="zh-CN" w:bidi="he-IL"/>
        </w:rPr>
        <w:t>2</w:t>
      </w:r>
      <w:r>
        <w:rPr>
          <w:rFonts w:hint="eastAsia" w:ascii="Times New Roman" w:hAnsi="Times New Roman" w:eastAsia="宋体" w:cs="Times New Roman"/>
          <w:color w:val="auto"/>
          <w:highlight w:val="none"/>
          <w:lang w:val="en-US" w:eastAsia="zh-CN" w:bidi="he-IL"/>
        </w:rPr>
        <w:t>）；</w:t>
      </w:r>
    </w:p>
    <w:p w14:paraId="4C490EE2">
      <w:pPr>
        <w:pStyle w:val="1336"/>
        <w:ind w:firstLine="480"/>
        <w:rPr>
          <w:rFonts w:hint="eastAsia"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NV—</w:t>
      </w:r>
      <w:r>
        <w:rPr>
          <w:rFonts w:hint="eastAsia" w:ascii="Times New Roman" w:hAnsi="Times New Roman" w:eastAsia="宋体" w:cs="Times New Roman"/>
          <w:color w:val="auto"/>
          <w:highlight w:val="none"/>
          <w:lang w:val="en-US" w:eastAsia="zh-CN" w:bidi="he-IL"/>
        </w:rPr>
        <w:t>涂料的体积固体份（</w:t>
      </w:r>
      <w:r>
        <w:rPr>
          <w:rFonts w:hint="default" w:ascii="Times New Roman" w:hAnsi="Times New Roman" w:eastAsia="宋体"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w:t>
      </w:r>
    </w:p>
    <w:p w14:paraId="3675A034">
      <w:pPr>
        <w:pStyle w:val="1336"/>
        <w:ind w:firstLine="480"/>
        <w:rPr>
          <w:rFonts w:hint="eastAsia" w:ascii="Times New Roman" w:hAnsi="Times New Roman" w:eastAsia="宋体" w:cs="Times New Roman"/>
          <w:color w:val="auto"/>
          <w:highlight w:val="none"/>
          <w:lang w:val="en-US" w:eastAsia="zh-CN" w:bidi="he-IL"/>
        </w:rPr>
      </w:pPr>
      <w:r>
        <w:rPr>
          <w:rFonts w:hint="default" w:ascii="Times New Roman" w:hAnsi="Times New Roman" w:eastAsia="宋体" w:cs="Times New Roman"/>
          <w:color w:val="auto"/>
          <w:highlight w:val="none"/>
          <w:lang w:val="en-US" w:eastAsia="zh-CN" w:bidi="he-IL"/>
        </w:rPr>
        <w:t>ε—</w:t>
      </w:r>
      <w:r>
        <w:rPr>
          <w:rFonts w:hint="eastAsia" w:ascii="Times New Roman" w:hAnsi="Times New Roman" w:eastAsia="宋体" w:cs="Times New Roman"/>
          <w:color w:val="auto"/>
          <w:highlight w:val="none"/>
          <w:lang w:val="en-US" w:eastAsia="zh-CN" w:bidi="he-IL"/>
        </w:rPr>
        <w:t>上漆率（</w:t>
      </w:r>
      <w:r>
        <w:rPr>
          <w:rFonts w:hint="default" w:ascii="Times New Roman" w:hAnsi="Times New Roman" w:eastAsia="宋体"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w:t>
      </w:r>
    </w:p>
    <w:p w14:paraId="2F4657CC">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①涂料密度</w:t>
      </w:r>
    </w:p>
    <w:p w14:paraId="7505C119">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根据建设单位提供的涂料、稀释剂和固化剂MSDS报告</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见附件</w:t>
      </w:r>
      <w:r>
        <w:rPr>
          <w:rFonts w:hint="eastAsia" w:cs="Times New Roman"/>
          <w:color w:val="auto"/>
          <w:highlight w:val="none"/>
          <w:lang w:val="en-US" w:eastAsia="zh-CN" w:bidi="he-IL"/>
        </w:rPr>
        <w:t>8）</w:t>
      </w:r>
      <w:r>
        <w:rPr>
          <w:rFonts w:hint="eastAsia" w:ascii="Times New Roman" w:hAnsi="Times New Roman" w:eastAsia="宋体" w:cs="Times New Roman"/>
          <w:color w:val="auto"/>
          <w:highlight w:val="none"/>
          <w:lang w:val="en-US" w:eastAsia="zh-CN" w:bidi="he-IL"/>
        </w:rPr>
        <w:t>，本项目溶剂型底漆密度为1.21g/cm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vertAlign w:val="baseline"/>
          <w:lang w:val="en-US" w:eastAsia="zh-CN" w:bidi="he-IL"/>
        </w:rPr>
        <w:t>，</w:t>
      </w:r>
      <w:r>
        <w:rPr>
          <w:rFonts w:hint="eastAsia" w:ascii="Times New Roman" w:hAnsi="Times New Roman" w:eastAsia="宋体" w:cs="Times New Roman"/>
          <w:color w:val="auto"/>
          <w:highlight w:val="none"/>
          <w:lang w:val="en-US" w:eastAsia="zh-CN" w:bidi="he-IL"/>
        </w:rPr>
        <w:t>溶剂型色漆密度为1g/cm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vertAlign w:val="baseline"/>
          <w:lang w:val="en-US" w:eastAsia="zh-CN" w:bidi="he-IL"/>
        </w:rPr>
        <w:t>，</w:t>
      </w:r>
      <w:r>
        <w:rPr>
          <w:rFonts w:hint="eastAsia" w:ascii="Times New Roman" w:hAnsi="Times New Roman" w:eastAsia="宋体" w:cs="Times New Roman"/>
          <w:color w:val="auto"/>
          <w:highlight w:val="none"/>
          <w:lang w:val="en-US" w:eastAsia="zh-CN" w:bidi="he-IL"/>
        </w:rPr>
        <w:t>溶剂型清漆密度为0.98g/cm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vertAlign w:val="baseline"/>
          <w:lang w:val="en-US" w:eastAsia="zh-CN" w:bidi="he-IL"/>
        </w:rPr>
        <w:t>，</w:t>
      </w:r>
      <w:r>
        <w:rPr>
          <w:rFonts w:hint="eastAsia" w:ascii="Times New Roman" w:hAnsi="Times New Roman" w:eastAsia="宋体" w:cs="Times New Roman"/>
          <w:color w:val="auto"/>
          <w:highlight w:val="none"/>
          <w:lang w:val="en-US" w:eastAsia="zh-CN" w:bidi="he-IL"/>
        </w:rPr>
        <w:t>稀释剂密度为0.87g/cm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vertAlign w:val="baseline"/>
          <w:lang w:val="en-US" w:eastAsia="zh-CN" w:bidi="he-IL"/>
        </w:rPr>
        <w:t>，</w:t>
      </w:r>
      <w:r>
        <w:rPr>
          <w:rFonts w:hint="eastAsia" w:ascii="Times New Roman" w:hAnsi="Times New Roman" w:eastAsia="宋体" w:cs="Times New Roman"/>
          <w:color w:val="auto"/>
          <w:highlight w:val="none"/>
          <w:lang w:val="en-US" w:eastAsia="zh-CN" w:bidi="he-IL"/>
        </w:rPr>
        <w:t>固化剂密度为0.97g/cm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lang w:val="en-US" w:eastAsia="zh-CN" w:bidi="he-IL"/>
        </w:rPr>
        <w:t>。本项目所采用的清漆为双组份，需添加固化剂和稀释剂调配，底漆和色漆仅需添加稀释剂调配，底漆调配比例为底漆：稀释剂=100：10，色漆调配比例为色漆：稀释剂=100：15，清漆调配比例为清漆：固化剂：稀释剂=100：55：5。根据调配比例计算，施工状态</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调配后</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油漆密度分别为底漆1.08g/cm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lang w:val="en-US" w:eastAsia="zh-CN" w:bidi="he-IL"/>
        </w:rPr>
        <w:t>、色漆0.96g/cm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lang w:val="en-US" w:eastAsia="zh-CN" w:bidi="he-IL"/>
        </w:rPr>
        <w:t>、清漆0.97g/cm</w:t>
      </w:r>
      <w:r>
        <w:rPr>
          <w:rFonts w:hint="eastAsia" w:ascii="Times New Roman" w:hAnsi="Times New Roman" w:eastAsia="宋体" w:cs="Times New Roman"/>
          <w:color w:val="auto"/>
          <w:highlight w:val="none"/>
          <w:vertAlign w:val="superscript"/>
          <w:lang w:val="en-US" w:eastAsia="zh-CN" w:bidi="he-IL"/>
        </w:rPr>
        <w:t>3</w:t>
      </w:r>
      <w:r>
        <w:rPr>
          <w:rFonts w:hint="eastAsia" w:ascii="Times New Roman" w:hAnsi="Times New Roman" w:eastAsia="宋体" w:cs="Times New Roman"/>
          <w:color w:val="auto"/>
          <w:highlight w:val="none"/>
          <w:lang w:val="en-US" w:eastAsia="zh-CN" w:bidi="he-IL"/>
        </w:rPr>
        <w:t>。</w:t>
      </w:r>
    </w:p>
    <w:p w14:paraId="42DF484A">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②涂层厚度和涂装面积</w:t>
      </w:r>
    </w:p>
    <w:p w14:paraId="4CB54C2A">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本项目产品喷涂方案见下表。</w:t>
      </w:r>
    </w:p>
    <w:p w14:paraId="4DA2FBE6">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表3.1-6  本项目产品喷涂方案</w:t>
      </w:r>
    </w:p>
    <w:tbl>
      <w:tblPr>
        <w:tblStyle w:val="80"/>
        <w:tblW w:w="8910"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55"/>
        <w:gridCol w:w="1080"/>
        <w:gridCol w:w="1125"/>
        <w:gridCol w:w="1020"/>
        <w:gridCol w:w="1065"/>
        <w:gridCol w:w="1125"/>
        <w:gridCol w:w="1200"/>
        <w:gridCol w:w="1140"/>
      </w:tblGrid>
      <w:tr w14:paraId="7D6764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tcBorders>
              <w:tl2br w:val="nil"/>
              <w:tr2bl w:val="nil"/>
            </w:tcBorders>
            <w:noWrap/>
            <w:vAlign w:val="center"/>
          </w:tcPr>
          <w:p w14:paraId="5EC4A3D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产品名称</w:t>
            </w:r>
          </w:p>
        </w:tc>
        <w:tc>
          <w:tcPr>
            <w:tcW w:w="1080" w:type="dxa"/>
            <w:tcBorders>
              <w:tl2br w:val="nil"/>
              <w:tr2bl w:val="nil"/>
            </w:tcBorders>
            <w:noWrap/>
            <w:vAlign w:val="center"/>
          </w:tcPr>
          <w:p w14:paraId="4818CD0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涂装规模</w:t>
            </w:r>
          </w:p>
        </w:tc>
        <w:tc>
          <w:tcPr>
            <w:tcW w:w="1125" w:type="dxa"/>
            <w:tcBorders>
              <w:tl2br w:val="nil"/>
              <w:tr2bl w:val="nil"/>
            </w:tcBorders>
            <w:noWrap/>
            <w:vAlign w:val="center"/>
          </w:tcPr>
          <w:p w14:paraId="63E0FD1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涂料类型</w:t>
            </w:r>
          </w:p>
        </w:tc>
        <w:tc>
          <w:tcPr>
            <w:tcW w:w="1020" w:type="dxa"/>
            <w:tcBorders>
              <w:tl2br w:val="nil"/>
              <w:tr2bl w:val="nil"/>
            </w:tcBorders>
            <w:noWrap/>
            <w:vAlign w:val="center"/>
          </w:tcPr>
          <w:p w14:paraId="574FBFC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喷涂次数（次）</w:t>
            </w:r>
          </w:p>
        </w:tc>
        <w:tc>
          <w:tcPr>
            <w:tcW w:w="1065" w:type="dxa"/>
            <w:tcBorders>
              <w:tl2br w:val="nil"/>
              <w:tr2bl w:val="nil"/>
            </w:tcBorders>
            <w:noWrap/>
            <w:vAlign w:val="center"/>
          </w:tcPr>
          <w:p w14:paraId="7FCF559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成膜厚度（μm）</w:t>
            </w:r>
          </w:p>
        </w:tc>
        <w:tc>
          <w:tcPr>
            <w:tcW w:w="1125" w:type="dxa"/>
            <w:tcBorders>
              <w:tl2br w:val="nil"/>
              <w:tr2bl w:val="nil"/>
            </w:tcBorders>
            <w:noWrap/>
            <w:vAlign w:val="center"/>
          </w:tcPr>
          <w:p w14:paraId="3C19391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成膜总厚度（μm）</w:t>
            </w:r>
          </w:p>
        </w:tc>
        <w:tc>
          <w:tcPr>
            <w:tcW w:w="1200" w:type="dxa"/>
            <w:tcBorders>
              <w:tl2br w:val="nil"/>
              <w:tr2bl w:val="nil"/>
            </w:tcBorders>
            <w:noWrap/>
            <w:vAlign w:val="center"/>
          </w:tcPr>
          <w:p w14:paraId="36AE9BE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涂装面积（m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/件）</w:t>
            </w:r>
          </w:p>
        </w:tc>
        <w:tc>
          <w:tcPr>
            <w:tcW w:w="1140" w:type="dxa"/>
            <w:tcBorders>
              <w:tl2br w:val="nil"/>
              <w:tr2bl w:val="nil"/>
            </w:tcBorders>
            <w:noWrap/>
            <w:vAlign w:val="center"/>
          </w:tcPr>
          <w:p w14:paraId="514701C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总涂装面积（m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w:t>
            </w:r>
          </w:p>
        </w:tc>
      </w:tr>
      <w:tr w14:paraId="7D47EC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restart"/>
            <w:tcBorders>
              <w:tl2br w:val="nil"/>
              <w:tr2bl w:val="nil"/>
            </w:tcBorders>
            <w:noWrap/>
            <w:vAlign w:val="center"/>
          </w:tcPr>
          <w:p w14:paraId="0B60CBD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后保险杆总成</w:t>
            </w:r>
          </w:p>
        </w:tc>
        <w:tc>
          <w:tcPr>
            <w:tcW w:w="1080" w:type="dxa"/>
            <w:vMerge w:val="restart"/>
            <w:tcBorders>
              <w:tl2br w:val="nil"/>
              <w:tr2bl w:val="nil"/>
            </w:tcBorders>
            <w:noWrap/>
            <w:vAlign w:val="center"/>
          </w:tcPr>
          <w:p w14:paraId="6DCEEF7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 万</w:t>
            </w:r>
          </w:p>
        </w:tc>
        <w:tc>
          <w:tcPr>
            <w:tcW w:w="1125" w:type="dxa"/>
            <w:tcBorders>
              <w:tl2br w:val="nil"/>
              <w:tr2bl w:val="nil"/>
            </w:tcBorders>
            <w:noWrap/>
            <w:vAlign w:val="center"/>
          </w:tcPr>
          <w:p w14:paraId="7C68390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油性底漆</w:t>
            </w:r>
          </w:p>
        </w:tc>
        <w:tc>
          <w:tcPr>
            <w:tcW w:w="1020" w:type="dxa"/>
            <w:tcBorders>
              <w:tl2br w:val="nil"/>
              <w:tr2bl w:val="nil"/>
            </w:tcBorders>
            <w:noWrap/>
            <w:vAlign w:val="center"/>
          </w:tcPr>
          <w:p w14:paraId="5355310C">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065" w:type="dxa"/>
            <w:tcBorders>
              <w:tl2br w:val="nil"/>
              <w:tr2bl w:val="nil"/>
            </w:tcBorders>
            <w:noWrap/>
            <w:vAlign w:val="center"/>
          </w:tcPr>
          <w:p w14:paraId="6B8D7FA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0482AB59">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200" w:type="dxa"/>
            <w:tcBorders>
              <w:tl2br w:val="nil"/>
              <w:tr2bl w:val="nil"/>
            </w:tcBorders>
            <w:noWrap/>
            <w:vAlign w:val="center"/>
          </w:tcPr>
          <w:p w14:paraId="5883819E">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1.721</w:t>
            </w:r>
          </w:p>
        </w:tc>
        <w:tc>
          <w:tcPr>
            <w:tcW w:w="1140" w:type="dxa"/>
            <w:tcBorders>
              <w:tl2br w:val="nil"/>
              <w:tr2bl w:val="nil"/>
            </w:tcBorders>
            <w:noWrap/>
            <w:vAlign w:val="center"/>
          </w:tcPr>
          <w:p w14:paraId="16ACA42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258150</w:t>
            </w:r>
          </w:p>
        </w:tc>
      </w:tr>
      <w:tr w14:paraId="55B282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4189492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4FBF4061">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46A1F79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油性色漆</w:t>
            </w:r>
          </w:p>
        </w:tc>
        <w:tc>
          <w:tcPr>
            <w:tcW w:w="1020" w:type="dxa"/>
            <w:tcBorders>
              <w:tl2br w:val="nil"/>
              <w:tr2bl w:val="nil"/>
            </w:tcBorders>
            <w:noWrap/>
            <w:vAlign w:val="center"/>
          </w:tcPr>
          <w:p w14:paraId="337E309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783B4AA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7A7537F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1200" w:type="dxa"/>
            <w:tcBorders>
              <w:tl2br w:val="nil"/>
              <w:tr2bl w:val="nil"/>
            </w:tcBorders>
            <w:noWrap/>
            <w:vAlign w:val="center"/>
          </w:tcPr>
          <w:p w14:paraId="632D7C2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1.721</w:t>
            </w:r>
          </w:p>
        </w:tc>
        <w:tc>
          <w:tcPr>
            <w:tcW w:w="1140" w:type="dxa"/>
            <w:tcBorders>
              <w:tl2br w:val="nil"/>
              <w:tr2bl w:val="nil"/>
            </w:tcBorders>
            <w:noWrap/>
            <w:vAlign w:val="center"/>
          </w:tcPr>
          <w:p w14:paraId="13BB5A6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516300</w:t>
            </w:r>
          </w:p>
        </w:tc>
      </w:tr>
      <w:tr w14:paraId="5867A7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0A1F6BB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54A8EB3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082CC70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油性清漆</w:t>
            </w:r>
          </w:p>
        </w:tc>
        <w:tc>
          <w:tcPr>
            <w:tcW w:w="1020" w:type="dxa"/>
            <w:tcBorders>
              <w:tl2br w:val="nil"/>
              <w:tr2bl w:val="nil"/>
            </w:tcBorders>
            <w:noWrap/>
            <w:vAlign w:val="center"/>
          </w:tcPr>
          <w:p w14:paraId="228E4E0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6DDA337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1125" w:type="dxa"/>
            <w:tcBorders>
              <w:tl2br w:val="nil"/>
              <w:tr2bl w:val="nil"/>
            </w:tcBorders>
            <w:noWrap/>
            <w:vAlign w:val="center"/>
          </w:tcPr>
          <w:p w14:paraId="1BF75E9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p>
        </w:tc>
        <w:tc>
          <w:tcPr>
            <w:tcW w:w="1200" w:type="dxa"/>
            <w:tcBorders>
              <w:tl2br w:val="nil"/>
              <w:tr2bl w:val="nil"/>
            </w:tcBorders>
            <w:noWrap/>
            <w:vAlign w:val="center"/>
          </w:tcPr>
          <w:p w14:paraId="730B504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1.721</w:t>
            </w:r>
          </w:p>
        </w:tc>
        <w:tc>
          <w:tcPr>
            <w:tcW w:w="1140" w:type="dxa"/>
            <w:tcBorders>
              <w:tl2br w:val="nil"/>
              <w:tr2bl w:val="nil"/>
            </w:tcBorders>
            <w:noWrap/>
            <w:vAlign w:val="center"/>
          </w:tcPr>
          <w:p w14:paraId="13AC3DFC">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516300</w:t>
            </w:r>
          </w:p>
        </w:tc>
      </w:tr>
      <w:tr w14:paraId="038FFC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restart"/>
            <w:tcBorders>
              <w:tl2br w:val="nil"/>
              <w:tr2bl w:val="nil"/>
            </w:tcBorders>
            <w:noWrap/>
            <w:vAlign w:val="center"/>
          </w:tcPr>
          <w:p w14:paraId="74DB4CD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前保险杆总成</w:t>
            </w:r>
          </w:p>
        </w:tc>
        <w:tc>
          <w:tcPr>
            <w:tcW w:w="1080" w:type="dxa"/>
            <w:vMerge w:val="restart"/>
            <w:tcBorders>
              <w:tl2br w:val="nil"/>
              <w:tr2bl w:val="nil"/>
            </w:tcBorders>
            <w:noWrap/>
            <w:vAlign w:val="center"/>
          </w:tcPr>
          <w:p w14:paraId="1B82FA7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 万</w:t>
            </w:r>
          </w:p>
        </w:tc>
        <w:tc>
          <w:tcPr>
            <w:tcW w:w="1125" w:type="dxa"/>
            <w:tcBorders>
              <w:tl2br w:val="nil"/>
              <w:tr2bl w:val="nil"/>
            </w:tcBorders>
            <w:noWrap/>
            <w:vAlign w:val="center"/>
          </w:tcPr>
          <w:p w14:paraId="0CB1C31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油性底漆</w:t>
            </w:r>
          </w:p>
        </w:tc>
        <w:tc>
          <w:tcPr>
            <w:tcW w:w="1020" w:type="dxa"/>
            <w:tcBorders>
              <w:tl2br w:val="nil"/>
              <w:tr2bl w:val="nil"/>
            </w:tcBorders>
            <w:noWrap/>
            <w:vAlign w:val="center"/>
          </w:tcPr>
          <w:p w14:paraId="64D74EF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065" w:type="dxa"/>
            <w:tcBorders>
              <w:tl2br w:val="nil"/>
              <w:tr2bl w:val="nil"/>
            </w:tcBorders>
            <w:noWrap/>
            <w:vAlign w:val="center"/>
          </w:tcPr>
          <w:p w14:paraId="4A5CEA6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2A8D288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200" w:type="dxa"/>
            <w:tcBorders>
              <w:tl2br w:val="nil"/>
              <w:tr2bl w:val="nil"/>
            </w:tcBorders>
            <w:noWrap/>
            <w:vAlign w:val="center"/>
          </w:tcPr>
          <w:p w14:paraId="2E9A007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0.413</w:t>
            </w:r>
          </w:p>
        </w:tc>
        <w:tc>
          <w:tcPr>
            <w:tcW w:w="1140" w:type="dxa"/>
            <w:tcBorders>
              <w:tl2br w:val="nil"/>
              <w:tr2bl w:val="nil"/>
            </w:tcBorders>
            <w:noWrap/>
            <w:vAlign w:val="center"/>
          </w:tcPr>
          <w:p w14:paraId="21497F2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61950</w:t>
            </w:r>
          </w:p>
        </w:tc>
      </w:tr>
      <w:tr w14:paraId="277C34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02280CB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3336B88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127DFF8D">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油性色漆</w:t>
            </w:r>
          </w:p>
        </w:tc>
        <w:tc>
          <w:tcPr>
            <w:tcW w:w="1020" w:type="dxa"/>
            <w:tcBorders>
              <w:tl2br w:val="nil"/>
              <w:tr2bl w:val="nil"/>
            </w:tcBorders>
            <w:noWrap/>
            <w:vAlign w:val="center"/>
          </w:tcPr>
          <w:p w14:paraId="6CDC095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3C87CCE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1B3D01C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1200" w:type="dxa"/>
            <w:tcBorders>
              <w:tl2br w:val="nil"/>
              <w:tr2bl w:val="nil"/>
            </w:tcBorders>
            <w:noWrap/>
            <w:vAlign w:val="center"/>
          </w:tcPr>
          <w:p w14:paraId="4D62DCC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0.413</w:t>
            </w:r>
          </w:p>
        </w:tc>
        <w:tc>
          <w:tcPr>
            <w:tcW w:w="1140" w:type="dxa"/>
            <w:tcBorders>
              <w:tl2br w:val="nil"/>
              <w:tr2bl w:val="nil"/>
            </w:tcBorders>
            <w:noWrap/>
            <w:vAlign w:val="center"/>
          </w:tcPr>
          <w:p w14:paraId="648D181C">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123900</w:t>
            </w:r>
          </w:p>
        </w:tc>
      </w:tr>
      <w:tr w14:paraId="2ADF39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3AB04119">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7340E8D3">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16BC2221">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油性清漆</w:t>
            </w:r>
          </w:p>
        </w:tc>
        <w:tc>
          <w:tcPr>
            <w:tcW w:w="1020" w:type="dxa"/>
            <w:tcBorders>
              <w:tl2br w:val="nil"/>
              <w:tr2bl w:val="nil"/>
            </w:tcBorders>
            <w:noWrap/>
            <w:vAlign w:val="center"/>
          </w:tcPr>
          <w:p w14:paraId="04EA909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353DF39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1125" w:type="dxa"/>
            <w:tcBorders>
              <w:tl2br w:val="nil"/>
              <w:tr2bl w:val="nil"/>
            </w:tcBorders>
            <w:noWrap/>
            <w:vAlign w:val="center"/>
          </w:tcPr>
          <w:p w14:paraId="7046B24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p>
        </w:tc>
        <w:tc>
          <w:tcPr>
            <w:tcW w:w="1200" w:type="dxa"/>
            <w:tcBorders>
              <w:tl2br w:val="nil"/>
              <w:tr2bl w:val="nil"/>
            </w:tcBorders>
            <w:noWrap/>
            <w:vAlign w:val="center"/>
          </w:tcPr>
          <w:p w14:paraId="62D277BC">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0.413</w:t>
            </w:r>
          </w:p>
        </w:tc>
        <w:tc>
          <w:tcPr>
            <w:tcW w:w="1140" w:type="dxa"/>
            <w:tcBorders>
              <w:tl2br w:val="nil"/>
              <w:tr2bl w:val="nil"/>
            </w:tcBorders>
            <w:noWrap/>
            <w:vAlign w:val="center"/>
          </w:tcPr>
          <w:p w14:paraId="3651F87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123900</w:t>
            </w:r>
          </w:p>
        </w:tc>
      </w:tr>
      <w:tr w14:paraId="18CFCA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restart"/>
            <w:tcBorders>
              <w:tl2br w:val="nil"/>
              <w:tr2bl w:val="nil"/>
            </w:tcBorders>
            <w:noWrap/>
            <w:vAlign w:val="center"/>
          </w:tcPr>
          <w:p w14:paraId="066B2D29">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散热器格栅总成</w:t>
            </w:r>
          </w:p>
        </w:tc>
        <w:tc>
          <w:tcPr>
            <w:tcW w:w="1080" w:type="dxa"/>
            <w:vMerge w:val="restart"/>
            <w:tcBorders>
              <w:tl2br w:val="nil"/>
              <w:tr2bl w:val="nil"/>
            </w:tcBorders>
            <w:noWrap/>
            <w:vAlign w:val="center"/>
          </w:tcPr>
          <w:p w14:paraId="01A2C847">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 万</w:t>
            </w:r>
          </w:p>
        </w:tc>
        <w:tc>
          <w:tcPr>
            <w:tcW w:w="1125" w:type="dxa"/>
            <w:tcBorders>
              <w:tl2br w:val="nil"/>
              <w:tr2bl w:val="nil"/>
            </w:tcBorders>
            <w:noWrap/>
            <w:vAlign w:val="center"/>
          </w:tcPr>
          <w:p w14:paraId="16D7DE7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油性底漆</w:t>
            </w:r>
          </w:p>
        </w:tc>
        <w:tc>
          <w:tcPr>
            <w:tcW w:w="1020" w:type="dxa"/>
            <w:tcBorders>
              <w:tl2br w:val="nil"/>
              <w:tr2bl w:val="nil"/>
            </w:tcBorders>
            <w:noWrap/>
            <w:vAlign w:val="center"/>
          </w:tcPr>
          <w:p w14:paraId="0668AC9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065" w:type="dxa"/>
            <w:tcBorders>
              <w:tl2br w:val="nil"/>
              <w:tr2bl w:val="nil"/>
            </w:tcBorders>
            <w:noWrap/>
            <w:vAlign w:val="center"/>
          </w:tcPr>
          <w:p w14:paraId="45B26135">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7173E30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200" w:type="dxa"/>
            <w:tcBorders>
              <w:tl2br w:val="nil"/>
              <w:tr2bl w:val="nil"/>
            </w:tcBorders>
            <w:noWrap/>
            <w:vAlign w:val="center"/>
          </w:tcPr>
          <w:p w14:paraId="4490D37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1140" w:type="dxa"/>
            <w:tcBorders>
              <w:tl2br w:val="nil"/>
              <w:tr2bl w:val="nil"/>
            </w:tcBorders>
            <w:noWrap/>
            <w:vAlign w:val="center"/>
          </w:tcPr>
          <w:p w14:paraId="0A4C76EF">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60000</w:t>
            </w:r>
          </w:p>
        </w:tc>
      </w:tr>
      <w:tr w14:paraId="711126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26A88EF6">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45FACA61">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157073AE">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油性色漆</w:t>
            </w:r>
          </w:p>
        </w:tc>
        <w:tc>
          <w:tcPr>
            <w:tcW w:w="1020" w:type="dxa"/>
            <w:tcBorders>
              <w:tl2br w:val="nil"/>
              <w:tr2bl w:val="nil"/>
            </w:tcBorders>
            <w:noWrap/>
            <w:vAlign w:val="center"/>
          </w:tcPr>
          <w:p w14:paraId="11601AC0">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34EBFDD8">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1125" w:type="dxa"/>
            <w:tcBorders>
              <w:tl2br w:val="nil"/>
              <w:tr2bl w:val="nil"/>
            </w:tcBorders>
            <w:noWrap/>
            <w:vAlign w:val="center"/>
          </w:tcPr>
          <w:p w14:paraId="6DC7F54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1200" w:type="dxa"/>
            <w:tcBorders>
              <w:tl2br w:val="nil"/>
              <w:tr2bl w:val="nil"/>
            </w:tcBorders>
            <w:noWrap/>
            <w:vAlign w:val="center"/>
          </w:tcPr>
          <w:p w14:paraId="330B5989">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1140" w:type="dxa"/>
            <w:tcBorders>
              <w:tl2br w:val="nil"/>
              <w:tr2bl w:val="nil"/>
            </w:tcBorders>
            <w:noWrap/>
            <w:vAlign w:val="center"/>
          </w:tcPr>
          <w:p w14:paraId="05BD4C8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120000</w:t>
            </w:r>
          </w:p>
        </w:tc>
      </w:tr>
      <w:tr w14:paraId="75F3FC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55" w:type="dxa"/>
            <w:vMerge w:val="continue"/>
            <w:tcBorders>
              <w:tl2br w:val="nil"/>
              <w:tr2bl w:val="nil"/>
            </w:tcBorders>
            <w:noWrap/>
            <w:vAlign w:val="center"/>
          </w:tcPr>
          <w:p w14:paraId="35DCA425">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080" w:type="dxa"/>
            <w:vMerge w:val="continue"/>
            <w:tcBorders>
              <w:tl2br w:val="nil"/>
              <w:tr2bl w:val="nil"/>
            </w:tcBorders>
            <w:noWrap/>
            <w:vAlign w:val="center"/>
          </w:tcPr>
          <w:p w14:paraId="36EACF32">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c>
          <w:tcPr>
            <w:tcW w:w="1125" w:type="dxa"/>
            <w:tcBorders>
              <w:tl2br w:val="nil"/>
              <w:tr2bl w:val="nil"/>
            </w:tcBorders>
            <w:noWrap/>
            <w:vAlign w:val="center"/>
          </w:tcPr>
          <w:p w14:paraId="3997D5CB">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油性清漆</w:t>
            </w:r>
          </w:p>
        </w:tc>
        <w:tc>
          <w:tcPr>
            <w:tcW w:w="1020" w:type="dxa"/>
            <w:tcBorders>
              <w:tl2br w:val="nil"/>
              <w:tr2bl w:val="nil"/>
            </w:tcBorders>
            <w:noWrap/>
            <w:vAlign w:val="center"/>
          </w:tcPr>
          <w:p w14:paraId="5E96DB34">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065" w:type="dxa"/>
            <w:tcBorders>
              <w:tl2br w:val="nil"/>
              <w:tr2bl w:val="nil"/>
            </w:tcBorders>
            <w:noWrap/>
            <w:vAlign w:val="center"/>
          </w:tcPr>
          <w:p w14:paraId="11DADCC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1125" w:type="dxa"/>
            <w:tcBorders>
              <w:tl2br w:val="nil"/>
              <w:tr2bl w:val="nil"/>
            </w:tcBorders>
            <w:noWrap/>
            <w:vAlign w:val="center"/>
          </w:tcPr>
          <w:p w14:paraId="20C9855C">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35</w:t>
            </w:r>
          </w:p>
        </w:tc>
        <w:tc>
          <w:tcPr>
            <w:tcW w:w="1200" w:type="dxa"/>
            <w:tcBorders>
              <w:tl2br w:val="nil"/>
              <w:tr2bl w:val="nil"/>
            </w:tcBorders>
            <w:noWrap/>
            <w:vAlign w:val="center"/>
          </w:tcPr>
          <w:p w14:paraId="3A0A411D">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1140" w:type="dxa"/>
            <w:tcBorders>
              <w:tl2br w:val="nil"/>
              <w:tr2bl w:val="nil"/>
            </w:tcBorders>
            <w:noWrap/>
            <w:vAlign w:val="center"/>
          </w:tcPr>
          <w:p w14:paraId="62180717">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120000</w:t>
            </w:r>
          </w:p>
        </w:tc>
      </w:tr>
    </w:tbl>
    <w:p w14:paraId="3749DB09">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由上表可知，底漆喷1道，色漆和清漆喷2道，底漆涂装面积为380100m</w:t>
      </w:r>
      <w:r>
        <w:rPr>
          <w:rFonts w:hint="eastAsia" w:ascii="Times New Roman" w:hAnsi="Times New Roman" w:eastAsia="宋体" w:cs="Times New Roman"/>
          <w:color w:val="auto"/>
          <w:highlight w:val="none"/>
          <w:vertAlign w:val="superscript"/>
          <w:lang w:val="en-US" w:eastAsia="zh-CN" w:bidi="he-IL"/>
        </w:rPr>
        <w:t>2</w:t>
      </w:r>
      <w:r>
        <w:rPr>
          <w:rFonts w:hint="eastAsia" w:ascii="Times New Roman" w:hAnsi="Times New Roman" w:eastAsia="宋体" w:cs="Times New Roman"/>
          <w:color w:val="auto"/>
          <w:highlight w:val="none"/>
          <w:lang w:val="en-US" w:eastAsia="zh-CN" w:bidi="he-IL"/>
        </w:rPr>
        <w:t>，色漆和清漆涂装面积均为760200m</w:t>
      </w:r>
      <w:r>
        <w:rPr>
          <w:rFonts w:hint="eastAsia" w:ascii="Times New Roman" w:hAnsi="Times New Roman" w:eastAsia="宋体" w:cs="Times New Roman"/>
          <w:color w:val="auto"/>
          <w:highlight w:val="none"/>
          <w:vertAlign w:val="superscript"/>
          <w:lang w:val="en-US" w:eastAsia="zh-CN" w:bidi="he-IL"/>
        </w:rPr>
        <w:t>2</w:t>
      </w:r>
      <w:r>
        <w:rPr>
          <w:rFonts w:hint="eastAsia" w:ascii="Times New Roman" w:hAnsi="Times New Roman" w:eastAsia="宋体" w:cs="Times New Roman"/>
          <w:color w:val="auto"/>
          <w:highlight w:val="none"/>
          <w:lang w:val="en-US" w:eastAsia="zh-CN" w:bidi="he-IL"/>
        </w:rPr>
        <w:t>。点补面积约为涂装面积的0.2%，则底漆总涂装面积（包括点补面积）共为380860.2m</w:t>
      </w:r>
      <w:r>
        <w:rPr>
          <w:rFonts w:hint="eastAsia" w:ascii="Times New Roman" w:hAnsi="Times New Roman" w:eastAsia="宋体" w:cs="Times New Roman"/>
          <w:color w:val="auto"/>
          <w:highlight w:val="none"/>
          <w:vertAlign w:val="superscript"/>
          <w:lang w:val="en-US" w:eastAsia="zh-CN" w:bidi="he-IL"/>
        </w:rPr>
        <w:t>2</w:t>
      </w:r>
      <w:r>
        <w:rPr>
          <w:rFonts w:hint="eastAsia" w:ascii="Times New Roman" w:hAnsi="Times New Roman" w:eastAsia="宋体" w:cs="Times New Roman"/>
          <w:color w:val="auto"/>
          <w:highlight w:val="none"/>
          <w:lang w:val="en-US" w:eastAsia="zh-CN" w:bidi="he-IL"/>
        </w:rPr>
        <w:t>，色漆和总涂装面积（包括点补面积）均共为761720.4m</w:t>
      </w:r>
      <w:r>
        <w:rPr>
          <w:rFonts w:hint="eastAsia" w:ascii="Times New Roman" w:hAnsi="Times New Roman" w:eastAsia="宋体" w:cs="Times New Roman"/>
          <w:color w:val="auto"/>
          <w:highlight w:val="none"/>
          <w:vertAlign w:val="superscript"/>
          <w:lang w:val="en-US" w:eastAsia="zh-CN" w:bidi="he-IL"/>
        </w:rPr>
        <w:t>2</w:t>
      </w:r>
      <w:r>
        <w:rPr>
          <w:rFonts w:hint="eastAsia" w:ascii="Times New Roman" w:hAnsi="Times New Roman" w:eastAsia="宋体" w:cs="Times New Roman"/>
          <w:color w:val="auto"/>
          <w:highlight w:val="none"/>
          <w:lang w:val="en-US" w:eastAsia="zh-CN" w:bidi="he-IL"/>
        </w:rPr>
        <w:t>。</w:t>
      </w:r>
    </w:p>
    <w:p w14:paraId="017FF090">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③涂料的体积固体份</w:t>
      </w:r>
    </w:p>
    <w:p w14:paraId="643BAE5C">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根据建设单位提供的涂料、稀释剂和固化剂MSDS报告</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见附件</w:t>
      </w:r>
      <w:r>
        <w:rPr>
          <w:rFonts w:hint="eastAsia" w:cs="Times New Roman"/>
          <w:color w:val="auto"/>
          <w:highlight w:val="none"/>
          <w:lang w:val="en-US" w:eastAsia="zh-CN" w:bidi="he-IL"/>
        </w:rPr>
        <w:t>8）及漆料调配比例计算，</w:t>
      </w:r>
      <w:r>
        <w:rPr>
          <w:rFonts w:hint="eastAsia" w:ascii="Times New Roman" w:hAnsi="Times New Roman" w:eastAsia="宋体" w:cs="Times New Roman"/>
          <w:color w:val="auto"/>
          <w:highlight w:val="none"/>
          <w:lang w:val="en-US" w:eastAsia="zh-CN" w:bidi="he-IL"/>
        </w:rPr>
        <w:t>施工状态</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调配后</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挥发份</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体积固体份</w:t>
      </w:r>
      <w:r>
        <w:rPr>
          <w:rFonts w:hint="eastAsia" w:cs="Times New Roman"/>
          <w:color w:val="auto"/>
          <w:highlight w:val="none"/>
          <w:lang w:val="en-US" w:eastAsia="zh-CN" w:bidi="he-IL"/>
        </w:rPr>
        <w:t>占比情况见表3.1-7</w:t>
      </w:r>
      <w:r>
        <w:rPr>
          <w:rFonts w:hint="eastAsia" w:ascii="Times New Roman" w:hAnsi="Times New Roman" w:eastAsia="宋体" w:cs="Times New Roman"/>
          <w:color w:val="auto"/>
          <w:highlight w:val="none"/>
          <w:lang w:val="en-US" w:eastAsia="zh-CN" w:bidi="he-IL"/>
        </w:rPr>
        <w:t>。</w:t>
      </w:r>
    </w:p>
    <w:p w14:paraId="6759054B">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表3.1-7  施工状态下（调配后）漆料固、液体成分占比情况一览表</w:t>
      </w:r>
    </w:p>
    <w:tbl>
      <w:tblPr>
        <w:tblStyle w:val="80"/>
        <w:tblW w:w="8771" w:type="dxa"/>
        <w:tblInd w:w="9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2167"/>
        <w:gridCol w:w="1706"/>
        <w:gridCol w:w="1830"/>
      </w:tblGrid>
      <w:tr w14:paraId="13898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68" w:type="dxa"/>
            <w:tcBorders>
              <w:tl2br w:val="nil"/>
              <w:tr2bl w:val="nil"/>
            </w:tcBorders>
            <w:noWrap/>
            <w:vAlign w:val="center"/>
          </w:tcPr>
          <w:p w14:paraId="731BE0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施工漆料</w:t>
            </w:r>
          </w:p>
        </w:tc>
        <w:tc>
          <w:tcPr>
            <w:tcW w:w="2167" w:type="dxa"/>
            <w:tcBorders>
              <w:tl2br w:val="nil"/>
              <w:tr2bl w:val="nil"/>
            </w:tcBorders>
            <w:noWrap/>
            <w:vAlign w:val="center"/>
          </w:tcPr>
          <w:p w14:paraId="6CBE06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调配比例</w:t>
            </w:r>
          </w:p>
        </w:tc>
        <w:tc>
          <w:tcPr>
            <w:tcW w:w="1706" w:type="dxa"/>
            <w:tcBorders>
              <w:tl2br w:val="nil"/>
              <w:tr2bl w:val="nil"/>
            </w:tcBorders>
            <w:noWrap/>
            <w:vAlign w:val="center"/>
          </w:tcPr>
          <w:p w14:paraId="182AA9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固体份比例</w:t>
            </w:r>
          </w:p>
        </w:tc>
        <w:tc>
          <w:tcPr>
            <w:tcW w:w="1830" w:type="dxa"/>
            <w:tcBorders>
              <w:tl2br w:val="nil"/>
              <w:tr2bl w:val="nil"/>
            </w:tcBorders>
            <w:noWrap/>
            <w:vAlign w:val="center"/>
          </w:tcPr>
          <w:p w14:paraId="646AEC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溶剂份比例</w:t>
            </w:r>
          </w:p>
        </w:tc>
      </w:tr>
      <w:tr w14:paraId="04C0B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68" w:type="dxa"/>
            <w:tcBorders>
              <w:tl2br w:val="nil"/>
              <w:tr2bl w:val="nil"/>
            </w:tcBorders>
            <w:noWrap/>
            <w:vAlign w:val="center"/>
          </w:tcPr>
          <w:p w14:paraId="3C8755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底漆：稀释剂</w:t>
            </w:r>
          </w:p>
        </w:tc>
        <w:tc>
          <w:tcPr>
            <w:tcW w:w="2167" w:type="dxa"/>
            <w:tcBorders>
              <w:tl2br w:val="nil"/>
              <w:tr2bl w:val="nil"/>
            </w:tcBorders>
            <w:noWrap/>
            <w:vAlign w:val="center"/>
          </w:tcPr>
          <w:p w14:paraId="5998C0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 : 10</w:t>
            </w:r>
          </w:p>
        </w:tc>
        <w:tc>
          <w:tcPr>
            <w:tcW w:w="1706" w:type="dxa"/>
            <w:tcBorders>
              <w:tl2br w:val="nil"/>
              <w:tr2bl w:val="nil"/>
            </w:tcBorders>
            <w:noWrap/>
            <w:vAlign w:val="center"/>
          </w:tcPr>
          <w:p w14:paraId="64D50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54.55%</w:t>
            </w:r>
          </w:p>
        </w:tc>
        <w:tc>
          <w:tcPr>
            <w:tcW w:w="1830" w:type="dxa"/>
            <w:tcBorders>
              <w:tl2br w:val="nil"/>
              <w:tr2bl w:val="nil"/>
            </w:tcBorders>
            <w:noWrap/>
            <w:vAlign w:val="center"/>
          </w:tcPr>
          <w:p w14:paraId="55907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45.45%</w:t>
            </w:r>
          </w:p>
        </w:tc>
      </w:tr>
      <w:tr w14:paraId="05B617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68" w:type="dxa"/>
            <w:tcBorders>
              <w:tl2br w:val="nil"/>
              <w:tr2bl w:val="nil"/>
            </w:tcBorders>
            <w:noWrap w:val="0"/>
            <w:vAlign w:val="center"/>
          </w:tcPr>
          <w:p w14:paraId="2C8FDE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色漆：稀释剂</w:t>
            </w:r>
          </w:p>
        </w:tc>
        <w:tc>
          <w:tcPr>
            <w:tcW w:w="2167" w:type="dxa"/>
            <w:tcBorders>
              <w:tl2br w:val="nil"/>
              <w:tr2bl w:val="nil"/>
            </w:tcBorders>
            <w:noWrap/>
            <w:vAlign w:val="center"/>
          </w:tcPr>
          <w:p w14:paraId="14B1F9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 : 15</w:t>
            </w:r>
          </w:p>
        </w:tc>
        <w:tc>
          <w:tcPr>
            <w:tcW w:w="1706" w:type="dxa"/>
            <w:tcBorders>
              <w:tl2br w:val="nil"/>
              <w:tr2bl w:val="nil"/>
            </w:tcBorders>
            <w:noWrap/>
            <w:vAlign w:val="center"/>
          </w:tcPr>
          <w:p w14:paraId="5C9240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43.48%</w:t>
            </w:r>
          </w:p>
        </w:tc>
        <w:tc>
          <w:tcPr>
            <w:tcW w:w="1830" w:type="dxa"/>
            <w:tcBorders>
              <w:tl2br w:val="nil"/>
              <w:tr2bl w:val="nil"/>
            </w:tcBorders>
            <w:noWrap/>
            <w:vAlign w:val="center"/>
          </w:tcPr>
          <w:p w14:paraId="3A6B7F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56.52%</w:t>
            </w:r>
          </w:p>
        </w:tc>
      </w:tr>
      <w:tr w14:paraId="10B5FC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68" w:type="dxa"/>
            <w:tcBorders>
              <w:tl2br w:val="nil"/>
              <w:tr2bl w:val="nil"/>
            </w:tcBorders>
            <w:noWrap w:val="0"/>
            <w:vAlign w:val="center"/>
          </w:tcPr>
          <w:p w14:paraId="656889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清漆：固化剂：稀释剂</w:t>
            </w:r>
          </w:p>
        </w:tc>
        <w:tc>
          <w:tcPr>
            <w:tcW w:w="2167" w:type="dxa"/>
            <w:tcBorders>
              <w:tl2br w:val="nil"/>
              <w:tr2bl w:val="nil"/>
            </w:tcBorders>
            <w:noWrap/>
            <w:vAlign w:val="center"/>
          </w:tcPr>
          <w:p w14:paraId="72AAF3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 : 55 : 5</w:t>
            </w:r>
          </w:p>
        </w:tc>
        <w:tc>
          <w:tcPr>
            <w:tcW w:w="1706" w:type="dxa"/>
            <w:tcBorders>
              <w:tl2br w:val="nil"/>
              <w:tr2bl w:val="nil"/>
            </w:tcBorders>
            <w:noWrap/>
            <w:vAlign w:val="center"/>
          </w:tcPr>
          <w:p w14:paraId="04909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55.00%</w:t>
            </w:r>
          </w:p>
        </w:tc>
        <w:tc>
          <w:tcPr>
            <w:tcW w:w="1830" w:type="dxa"/>
            <w:tcBorders>
              <w:tl2br w:val="nil"/>
              <w:tr2bl w:val="nil"/>
            </w:tcBorders>
            <w:noWrap/>
            <w:vAlign w:val="center"/>
          </w:tcPr>
          <w:p w14:paraId="0311B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45.00%</w:t>
            </w:r>
          </w:p>
        </w:tc>
      </w:tr>
    </w:tbl>
    <w:p w14:paraId="4300E98E">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④上漆率</w:t>
      </w:r>
    </w:p>
    <w:p w14:paraId="68530A92">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本项目拟采用机器人自动喷涂，其中底漆采用自动空气喷涂，色漆、清漆采用自动静电喷涂和自动空气喷涂相结合的方式，根据《污染源源强核算技术指南 汽车制造》</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HJ1097-2020</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及同类企业喷涂机器人作业情况，底漆附着率取50%，色漆和清漆附着率取60%。本项目拟对部分不合格品进行点补，点补拟采用高流低压</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HVLP</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喷枪进行手动喷涂，本次评价保守考虑，点补附着率与涂装附着率取值相同。本</w:t>
      </w:r>
      <w:r>
        <w:rPr>
          <w:rFonts w:hint="eastAsia" w:cs="Times New Roman"/>
          <w:color w:val="auto"/>
          <w:highlight w:val="none"/>
          <w:lang w:val="en-US" w:eastAsia="zh-CN" w:bidi="he-IL"/>
        </w:rPr>
        <w:t>项目</w:t>
      </w:r>
      <w:r>
        <w:rPr>
          <w:rFonts w:hint="eastAsia" w:ascii="Times New Roman" w:hAnsi="Times New Roman" w:eastAsia="宋体" w:cs="Times New Roman"/>
          <w:color w:val="auto"/>
          <w:highlight w:val="none"/>
          <w:lang w:val="en-US" w:eastAsia="zh-CN" w:bidi="he-IL"/>
        </w:rPr>
        <w:t>涂料用量核算见下表。</w:t>
      </w:r>
    </w:p>
    <w:p w14:paraId="7D1FE16E">
      <w:pPr>
        <w:pStyle w:val="8"/>
        <w:bidi w:val="0"/>
        <w:rPr>
          <w:rFonts w:hint="default" w:ascii="Times New Roman" w:hAnsi="Times New Roman" w:cs="Times New Roman"/>
          <w:color w:val="auto"/>
          <w:highlight w:val="none"/>
          <w:lang w:val="en-US" w:eastAsia="zh-CN"/>
        </w:rPr>
        <w:sectPr>
          <w:pgSz w:w="11906" w:h="16838"/>
          <w:pgMar w:top="141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1A5723A3">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表3.1-8  喷涂面积核算一览表</w:t>
      </w:r>
    </w:p>
    <w:tbl>
      <w:tblPr>
        <w:tblStyle w:val="80"/>
        <w:tblpPr w:leftFromText="180" w:rightFromText="180" w:vertAnchor="text" w:horzAnchor="page" w:tblpX="1339" w:tblpY="161"/>
        <w:tblOverlap w:val="never"/>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77"/>
        <w:gridCol w:w="1035"/>
        <w:gridCol w:w="1493"/>
        <w:gridCol w:w="1192"/>
        <w:gridCol w:w="1783"/>
        <w:gridCol w:w="1493"/>
        <w:gridCol w:w="1004"/>
        <w:gridCol w:w="1667"/>
        <w:gridCol w:w="1251"/>
        <w:gridCol w:w="1322"/>
        <w:gridCol w:w="1292"/>
      </w:tblGrid>
      <w:tr w14:paraId="1DDF99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238" w:type="pct"/>
            <w:vMerge w:val="restart"/>
            <w:tcBorders>
              <w:tl2br w:val="nil"/>
              <w:tr2bl w:val="nil"/>
            </w:tcBorders>
            <w:noWrap/>
            <w:vAlign w:val="center"/>
          </w:tcPr>
          <w:p w14:paraId="5FF5CC6C">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工序</w:t>
            </w:r>
          </w:p>
        </w:tc>
        <w:tc>
          <w:tcPr>
            <w:tcW w:w="364" w:type="pct"/>
            <w:vMerge w:val="restart"/>
            <w:tcBorders>
              <w:tl2br w:val="nil"/>
              <w:tr2bl w:val="nil"/>
            </w:tcBorders>
            <w:noWrap/>
            <w:vAlign w:val="center"/>
          </w:tcPr>
          <w:p w14:paraId="6245CB0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525" w:type="pct"/>
            <w:vMerge w:val="restart"/>
            <w:tcBorders>
              <w:tl2br w:val="nil"/>
              <w:tr2bl w:val="nil"/>
            </w:tcBorders>
            <w:noWrap w:val="0"/>
            <w:vAlign w:val="center"/>
          </w:tcPr>
          <w:p w14:paraId="3B9E22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涂装面积（m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p>
        </w:tc>
        <w:tc>
          <w:tcPr>
            <w:tcW w:w="419" w:type="pct"/>
            <w:vMerge w:val="restart"/>
            <w:tcBorders>
              <w:tl2br w:val="nil"/>
              <w:tr2bl w:val="nil"/>
            </w:tcBorders>
            <w:noWrap w:val="0"/>
            <w:vAlign w:val="center"/>
          </w:tcPr>
          <w:p w14:paraId="1D959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漆膜厚度（μm）</w:t>
            </w:r>
          </w:p>
        </w:tc>
        <w:tc>
          <w:tcPr>
            <w:tcW w:w="627" w:type="pct"/>
            <w:vMerge w:val="restart"/>
            <w:tcBorders>
              <w:tl2br w:val="nil"/>
              <w:tr2bl w:val="nil"/>
            </w:tcBorders>
            <w:noWrap w:val="0"/>
            <w:vAlign w:val="center"/>
          </w:tcPr>
          <w:p w14:paraId="6D849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（施工状态）油漆密度（g/cm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525" w:type="pct"/>
            <w:vMerge w:val="restart"/>
            <w:tcBorders>
              <w:tl2br w:val="nil"/>
              <w:tr2bl w:val="nil"/>
            </w:tcBorders>
            <w:noWrap w:val="0"/>
            <w:vAlign w:val="center"/>
          </w:tcPr>
          <w:p w14:paraId="501A77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固体份含量（%）</w:t>
            </w:r>
          </w:p>
        </w:tc>
        <w:tc>
          <w:tcPr>
            <w:tcW w:w="353" w:type="pct"/>
            <w:vMerge w:val="restart"/>
            <w:tcBorders>
              <w:tl2br w:val="nil"/>
              <w:tr2bl w:val="nil"/>
            </w:tcBorders>
            <w:noWrap w:val="0"/>
            <w:vAlign w:val="center"/>
          </w:tcPr>
          <w:p w14:paraId="5443D5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上漆率（%）</w:t>
            </w:r>
          </w:p>
        </w:tc>
        <w:tc>
          <w:tcPr>
            <w:tcW w:w="586" w:type="pct"/>
            <w:vMerge w:val="restart"/>
            <w:tcBorders>
              <w:tl2br w:val="nil"/>
              <w:tr2bl w:val="nil"/>
            </w:tcBorders>
            <w:noWrap w:val="0"/>
            <w:vAlign w:val="center"/>
          </w:tcPr>
          <w:p w14:paraId="48FA76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（施工状态）涂料用量（t）</w:t>
            </w:r>
          </w:p>
        </w:tc>
        <w:tc>
          <w:tcPr>
            <w:tcW w:w="1359" w:type="pct"/>
            <w:gridSpan w:val="3"/>
            <w:tcBorders>
              <w:tl2br w:val="nil"/>
              <w:tr2bl w:val="nil"/>
            </w:tcBorders>
            <w:noWrap w:val="0"/>
            <w:vAlign w:val="center"/>
          </w:tcPr>
          <w:p w14:paraId="793BAD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涂料调配量（t）</w:t>
            </w:r>
          </w:p>
        </w:tc>
      </w:tr>
      <w:tr w14:paraId="4ACD7A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238" w:type="pct"/>
            <w:vMerge w:val="continue"/>
            <w:tcBorders>
              <w:tl2br w:val="nil"/>
              <w:tr2bl w:val="nil"/>
            </w:tcBorders>
            <w:noWrap/>
            <w:vAlign w:val="center"/>
          </w:tcPr>
          <w:p w14:paraId="67B2B8C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364" w:type="pct"/>
            <w:vMerge w:val="continue"/>
            <w:tcBorders>
              <w:tl2br w:val="nil"/>
              <w:tr2bl w:val="nil"/>
            </w:tcBorders>
            <w:noWrap/>
            <w:vAlign w:val="center"/>
          </w:tcPr>
          <w:p w14:paraId="47C7871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525" w:type="pct"/>
            <w:vMerge w:val="continue"/>
            <w:tcBorders>
              <w:tl2br w:val="nil"/>
              <w:tr2bl w:val="nil"/>
            </w:tcBorders>
            <w:noWrap w:val="0"/>
            <w:vAlign w:val="center"/>
          </w:tcPr>
          <w:p w14:paraId="5F615A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419" w:type="pct"/>
            <w:vMerge w:val="continue"/>
            <w:tcBorders>
              <w:tl2br w:val="nil"/>
              <w:tr2bl w:val="nil"/>
            </w:tcBorders>
            <w:noWrap w:val="0"/>
            <w:vAlign w:val="center"/>
          </w:tcPr>
          <w:p w14:paraId="7084DC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627" w:type="pct"/>
            <w:vMerge w:val="continue"/>
            <w:tcBorders>
              <w:tl2br w:val="nil"/>
              <w:tr2bl w:val="nil"/>
            </w:tcBorders>
            <w:noWrap w:val="0"/>
            <w:vAlign w:val="center"/>
          </w:tcPr>
          <w:p w14:paraId="6CC77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525" w:type="pct"/>
            <w:vMerge w:val="continue"/>
            <w:tcBorders>
              <w:tl2br w:val="nil"/>
              <w:tr2bl w:val="nil"/>
            </w:tcBorders>
            <w:noWrap w:val="0"/>
            <w:vAlign w:val="center"/>
          </w:tcPr>
          <w:p w14:paraId="3E271D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353" w:type="pct"/>
            <w:vMerge w:val="continue"/>
            <w:tcBorders>
              <w:tl2br w:val="nil"/>
              <w:tr2bl w:val="nil"/>
            </w:tcBorders>
            <w:noWrap w:val="0"/>
            <w:vAlign w:val="center"/>
          </w:tcPr>
          <w:p w14:paraId="22EC50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586" w:type="pct"/>
            <w:vMerge w:val="continue"/>
            <w:tcBorders>
              <w:tl2br w:val="nil"/>
              <w:tr2bl w:val="nil"/>
            </w:tcBorders>
            <w:noWrap w:val="0"/>
            <w:vAlign w:val="center"/>
          </w:tcPr>
          <w:p w14:paraId="0BD717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p>
        </w:tc>
        <w:tc>
          <w:tcPr>
            <w:tcW w:w="440" w:type="pct"/>
            <w:tcBorders>
              <w:tl2br w:val="nil"/>
              <w:tr2bl w:val="nil"/>
            </w:tcBorders>
            <w:noWrap w:val="0"/>
            <w:vAlign w:val="center"/>
          </w:tcPr>
          <w:p w14:paraId="2147BA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油漆用量</w:t>
            </w:r>
          </w:p>
        </w:tc>
        <w:tc>
          <w:tcPr>
            <w:tcW w:w="465" w:type="pct"/>
            <w:tcBorders>
              <w:tl2br w:val="nil"/>
              <w:tr2bl w:val="nil"/>
            </w:tcBorders>
            <w:noWrap w:val="0"/>
            <w:vAlign w:val="center"/>
          </w:tcPr>
          <w:p w14:paraId="56BA38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稀释剂用量</w:t>
            </w:r>
          </w:p>
        </w:tc>
        <w:tc>
          <w:tcPr>
            <w:tcW w:w="453" w:type="pct"/>
            <w:tcBorders>
              <w:tl2br w:val="nil"/>
              <w:tr2bl w:val="nil"/>
            </w:tcBorders>
            <w:noWrap w:val="0"/>
            <w:vAlign w:val="center"/>
          </w:tcPr>
          <w:p w14:paraId="3993C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固化剂用量</w:t>
            </w:r>
          </w:p>
        </w:tc>
      </w:tr>
      <w:tr w14:paraId="44C336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restart"/>
            <w:tcBorders>
              <w:tl2br w:val="nil"/>
              <w:tr2bl w:val="nil"/>
            </w:tcBorders>
            <w:noWrap/>
            <w:vAlign w:val="center"/>
          </w:tcPr>
          <w:p w14:paraId="0B95C8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喷涂</w:t>
            </w:r>
          </w:p>
        </w:tc>
        <w:tc>
          <w:tcPr>
            <w:tcW w:w="364" w:type="pct"/>
            <w:tcBorders>
              <w:tl2br w:val="nil"/>
              <w:tr2bl w:val="nil"/>
            </w:tcBorders>
            <w:noWrap/>
            <w:vAlign w:val="center"/>
          </w:tcPr>
          <w:p w14:paraId="5A3EF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底漆</w:t>
            </w:r>
          </w:p>
        </w:tc>
        <w:tc>
          <w:tcPr>
            <w:tcW w:w="525" w:type="pct"/>
            <w:tcBorders>
              <w:tl2br w:val="nil"/>
              <w:tr2bl w:val="nil"/>
            </w:tcBorders>
            <w:noWrap/>
            <w:vAlign w:val="center"/>
          </w:tcPr>
          <w:p w14:paraId="2A4005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380100</w:t>
            </w:r>
          </w:p>
        </w:tc>
        <w:tc>
          <w:tcPr>
            <w:tcW w:w="419" w:type="pct"/>
            <w:tcBorders>
              <w:tl2br w:val="nil"/>
              <w:tr2bl w:val="nil"/>
            </w:tcBorders>
            <w:noWrap w:val="0"/>
            <w:vAlign w:val="center"/>
          </w:tcPr>
          <w:p w14:paraId="7C6B49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132B31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1.17</w:t>
            </w:r>
          </w:p>
        </w:tc>
        <w:tc>
          <w:tcPr>
            <w:tcW w:w="525" w:type="pct"/>
            <w:tcBorders>
              <w:tl2br w:val="nil"/>
              <w:tr2bl w:val="nil"/>
            </w:tcBorders>
            <w:noWrap w:val="0"/>
            <w:vAlign w:val="center"/>
          </w:tcPr>
          <w:p w14:paraId="3C8AD8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54.55%</w:t>
            </w:r>
          </w:p>
        </w:tc>
        <w:tc>
          <w:tcPr>
            <w:tcW w:w="353" w:type="pct"/>
            <w:tcBorders>
              <w:tl2br w:val="nil"/>
              <w:tr2bl w:val="nil"/>
            </w:tcBorders>
            <w:noWrap w:val="0"/>
            <w:vAlign w:val="center"/>
          </w:tcPr>
          <w:p w14:paraId="7FA5F5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w:t>
            </w:r>
          </w:p>
        </w:tc>
        <w:tc>
          <w:tcPr>
            <w:tcW w:w="586" w:type="pct"/>
            <w:tcBorders>
              <w:tl2br w:val="nil"/>
              <w:tr2bl w:val="nil"/>
            </w:tcBorders>
            <w:noWrap w:val="0"/>
            <w:vAlign w:val="center"/>
          </w:tcPr>
          <w:p w14:paraId="2D3A51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16.30 </w:t>
            </w:r>
          </w:p>
        </w:tc>
        <w:tc>
          <w:tcPr>
            <w:tcW w:w="440" w:type="pct"/>
            <w:tcBorders>
              <w:tl2br w:val="nil"/>
              <w:tr2bl w:val="nil"/>
            </w:tcBorders>
            <w:noWrap w:val="0"/>
            <w:vAlign w:val="center"/>
          </w:tcPr>
          <w:p w14:paraId="6DF9B1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14.82 </w:t>
            </w:r>
          </w:p>
        </w:tc>
        <w:tc>
          <w:tcPr>
            <w:tcW w:w="465" w:type="pct"/>
            <w:tcBorders>
              <w:tl2br w:val="nil"/>
              <w:tr2bl w:val="nil"/>
            </w:tcBorders>
            <w:noWrap w:val="0"/>
            <w:vAlign w:val="center"/>
          </w:tcPr>
          <w:p w14:paraId="1A9385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1.48 </w:t>
            </w:r>
          </w:p>
        </w:tc>
        <w:tc>
          <w:tcPr>
            <w:tcW w:w="453" w:type="pct"/>
            <w:tcBorders>
              <w:tl2br w:val="nil"/>
              <w:tr2bl w:val="nil"/>
            </w:tcBorders>
            <w:noWrap w:val="0"/>
            <w:vAlign w:val="center"/>
          </w:tcPr>
          <w:p w14:paraId="5AB2B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2FD699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continue"/>
            <w:tcBorders>
              <w:tl2br w:val="nil"/>
              <w:tr2bl w:val="nil"/>
            </w:tcBorders>
            <w:noWrap/>
            <w:vAlign w:val="center"/>
          </w:tcPr>
          <w:p w14:paraId="74B5F7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4D97EF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色漆</w:t>
            </w:r>
          </w:p>
        </w:tc>
        <w:tc>
          <w:tcPr>
            <w:tcW w:w="525" w:type="pct"/>
            <w:tcBorders>
              <w:tl2br w:val="nil"/>
              <w:tr2bl w:val="nil"/>
            </w:tcBorders>
            <w:noWrap/>
            <w:vAlign w:val="center"/>
          </w:tcPr>
          <w:p w14:paraId="6E4E78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760200</w:t>
            </w:r>
          </w:p>
        </w:tc>
        <w:tc>
          <w:tcPr>
            <w:tcW w:w="419" w:type="pct"/>
            <w:tcBorders>
              <w:tl2br w:val="nil"/>
              <w:tr2bl w:val="nil"/>
            </w:tcBorders>
            <w:noWrap w:val="0"/>
            <w:vAlign w:val="center"/>
          </w:tcPr>
          <w:p w14:paraId="1BFE16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5CF896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0.98</w:t>
            </w:r>
          </w:p>
        </w:tc>
        <w:tc>
          <w:tcPr>
            <w:tcW w:w="525" w:type="pct"/>
            <w:tcBorders>
              <w:tl2br w:val="nil"/>
              <w:tr2bl w:val="nil"/>
            </w:tcBorders>
            <w:noWrap w:val="0"/>
            <w:vAlign w:val="center"/>
          </w:tcPr>
          <w:p w14:paraId="00AA31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43.48%</w:t>
            </w:r>
          </w:p>
        </w:tc>
        <w:tc>
          <w:tcPr>
            <w:tcW w:w="353" w:type="pct"/>
            <w:tcBorders>
              <w:tl2br w:val="nil"/>
              <w:tr2bl w:val="nil"/>
            </w:tcBorders>
            <w:noWrap w:val="0"/>
            <w:vAlign w:val="center"/>
          </w:tcPr>
          <w:p w14:paraId="35D08B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3F90B6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28.56 </w:t>
            </w:r>
          </w:p>
        </w:tc>
        <w:tc>
          <w:tcPr>
            <w:tcW w:w="440" w:type="pct"/>
            <w:tcBorders>
              <w:tl2br w:val="nil"/>
              <w:tr2bl w:val="nil"/>
            </w:tcBorders>
            <w:noWrap w:val="0"/>
            <w:vAlign w:val="center"/>
          </w:tcPr>
          <w:p w14:paraId="1DB992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25.96 </w:t>
            </w:r>
          </w:p>
        </w:tc>
        <w:tc>
          <w:tcPr>
            <w:tcW w:w="465" w:type="pct"/>
            <w:tcBorders>
              <w:tl2br w:val="nil"/>
              <w:tr2bl w:val="nil"/>
            </w:tcBorders>
            <w:noWrap w:val="0"/>
            <w:vAlign w:val="center"/>
          </w:tcPr>
          <w:p w14:paraId="736479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2.60 </w:t>
            </w:r>
          </w:p>
        </w:tc>
        <w:tc>
          <w:tcPr>
            <w:tcW w:w="453" w:type="pct"/>
            <w:tcBorders>
              <w:tl2br w:val="nil"/>
              <w:tr2bl w:val="nil"/>
            </w:tcBorders>
            <w:noWrap w:val="0"/>
            <w:vAlign w:val="center"/>
          </w:tcPr>
          <w:p w14:paraId="2DEC1C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686449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continue"/>
            <w:tcBorders>
              <w:tl2br w:val="nil"/>
              <w:tr2bl w:val="nil"/>
            </w:tcBorders>
            <w:noWrap/>
            <w:vAlign w:val="center"/>
          </w:tcPr>
          <w:p w14:paraId="4F975A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63D6A1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清漆</w:t>
            </w:r>
          </w:p>
        </w:tc>
        <w:tc>
          <w:tcPr>
            <w:tcW w:w="525" w:type="pct"/>
            <w:tcBorders>
              <w:tl2br w:val="nil"/>
              <w:tr2bl w:val="nil"/>
            </w:tcBorders>
            <w:noWrap/>
            <w:vAlign w:val="center"/>
          </w:tcPr>
          <w:p w14:paraId="0D788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760200</w:t>
            </w:r>
          </w:p>
        </w:tc>
        <w:tc>
          <w:tcPr>
            <w:tcW w:w="419" w:type="pct"/>
            <w:tcBorders>
              <w:tl2br w:val="nil"/>
              <w:tr2bl w:val="nil"/>
            </w:tcBorders>
            <w:noWrap w:val="0"/>
            <w:vAlign w:val="center"/>
          </w:tcPr>
          <w:p w14:paraId="1FAA2E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627" w:type="pct"/>
            <w:tcBorders>
              <w:tl2br w:val="nil"/>
              <w:tr2bl w:val="nil"/>
            </w:tcBorders>
            <w:noWrap w:val="0"/>
            <w:vAlign w:val="center"/>
          </w:tcPr>
          <w:p w14:paraId="367F3C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0.97</w:t>
            </w:r>
          </w:p>
        </w:tc>
        <w:tc>
          <w:tcPr>
            <w:tcW w:w="525" w:type="pct"/>
            <w:tcBorders>
              <w:tl2br w:val="nil"/>
              <w:tr2bl w:val="nil"/>
            </w:tcBorders>
            <w:noWrap w:val="0"/>
            <w:vAlign w:val="center"/>
          </w:tcPr>
          <w:p w14:paraId="353A72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55.00%</w:t>
            </w:r>
          </w:p>
        </w:tc>
        <w:tc>
          <w:tcPr>
            <w:tcW w:w="353" w:type="pct"/>
            <w:tcBorders>
              <w:tl2br w:val="nil"/>
              <w:tr2bl w:val="nil"/>
            </w:tcBorders>
            <w:noWrap w:val="0"/>
            <w:vAlign w:val="center"/>
          </w:tcPr>
          <w:p w14:paraId="563A03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437B88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39.10 </w:t>
            </w:r>
          </w:p>
        </w:tc>
        <w:tc>
          <w:tcPr>
            <w:tcW w:w="440" w:type="pct"/>
            <w:tcBorders>
              <w:tl2br w:val="nil"/>
              <w:tr2bl w:val="nil"/>
            </w:tcBorders>
            <w:noWrap w:val="0"/>
            <w:vAlign w:val="center"/>
          </w:tcPr>
          <w:p w14:paraId="7857E9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24.44 </w:t>
            </w:r>
          </w:p>
        </w:tc>
        <w:tc>
          <w:tcPr>
            <w:tcW w:w="465" w:type="pct"/>
            <w:tcBorders>
              <w:tl2br w:val="nil"/>
              <w:tr2bl w:val="nil"/>
            </w:tcBorders>
            <w:noWrap w:val="0"/>
            <w:vAlign w:val="center"/>
          </w:tcPr>
          <w:p w14:paraId="7FC9DD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13.44 </w:t>
            </w:r>
          </w:p>
        </w:tc>
        <w:tc>
          <w:tcPr>
            <w:tcW w:w="453" w:type="pct"/>
            <w:tcBorders>
              <w:tl2br w:val="nil"/>
              <w:tr2bl w:val="nil"/>
            </w:tcBorders>
            <w:noWrap w:val="0"/>
            <w:vAlign w:val="center"/>
          </w:tcPr>
          <w:p w14:paraId="685D93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1.22 </w:t>
            </w:r>
          </w:p>
        </w:tc>
      </w:tr>
      <w:tr w14:paraId="4ECF22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restart"/>
            <w:tcBorders>
              <w:tl2br w:val="nil"/>
              <w:tr2bl w:val="nil"/>
            </w:tcBorders>
            <w:noWrap/>
            <w:vAlign w:val="center"/>
          </w:tcPr>
          <w:p w14:paraId="46BD5F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点补</w:t>
            </w:r>
          </w:p>
        </w:tc>
        <w:tc>
          <w:tcPr>
            <w:tcW w:w="364" w:type="pct"/>
            <w:tcBorders>
              <w:tl2br w:val="nil"/>
              <w:tr2bl w:val="nil"/>
            </w:tcBorders>
            <w:noWrap/>
            <w:vAlign w:val="center"/>
          </w:tcPr>
          <w:p w14:paraId="69E9BB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底漆</w:t>
            </w:r>
          </w:p>
        </w:tc>
        <w:tc>
          <w:tcPr>
            <w:tcW w:w="525" w:type="pct"/>
            <w:tcBorders>
              <w:tl2br w:val="nil"/>
              <w:tr2bl w:val="nil"/>
            </w:tcBorders>
            <w:noWrap/>
            <w:vAlign w:val="center"/>
          </w:tcPr>
          <w:p w14:paraId="334B1B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760.2</w:t>
            </w:r>
          </w:p>
        </w:tc>
        <w:tc>
          <w:tcPr>
            <w:tcW w:w="419" w:type="pct"/>
            <w:tcBorders>
              <w:tl2br w:val="nil"/>
              <w:tr2bl w:val="nil"/>
            </w:tcBorders>
            <w:noWrap w:val="0"/>
            <w:vAlign w:val="center"/>
          </w:tcPr>
          <w:p w14:paraId="4C12D4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0342B8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1.17</w:t>
            </w:r>
          </w:p>
        </w:tc>
        <w:tc>
          <w:tcPr>
            <w:tcW w:w="525" w:type="pct"/>
            <w:tcBorders>
              <w:tl2br w:val="nil"/>
              <w:tr2bl w:val="nil"/>
            </w:tcBorders>
            <w:noWrap w:val="0"/>
            <w:vAlign w:val="center"/>
          </w:tcPr>
          <w:p w14:paraId="6E28A8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54.55%</w:t>
            </w:r>
          </w:p>
        </w:tc>
        <w:tc>
          <w:tcPr>
            <w:tcW w:w="353" w:type="pct"/>
            <w:tcBorders>
              <w:tl2br w:val="nil"/>
              <w:tr2bl w:val="nil"/>
            </w:tcBorders>
            <w:noWrap w:val="0"/>
            <w:vAlign w:val="center"/>
          </w:tcPr>
          <w:p w14:paraId="5DE068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w:t>
            </w:r>
          </w:p>
        </w:tc>
        <w:tc>
          <w:tcPr>
            <w:tcW w:w="586" w:type="pct"/>
            <w:tcBorders>
              <w:tl2br w:val="nil"/>
              <w:tr2bl w:val="nil"/>
            </w:tcBorders>
            <w:noWrap w:val="0"/>
            <w:vAlign w:val="center"/>
          </w:tcPr>
          <w:p w14:paraId="683098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0.0326 </w:t>
            </w:r>
          </w:p>
        </w:tc>
        <w:tc>
          <w:tcPr>
            <w:tcW w:w="440" w:type="pct"/>
            <w:tcBorders>
              <w:tl2br w:val="nil"/>
              <w:tr2bl w:val="nil"/>
            </w:tcBorders>
            <w:noWrap w:val="0"/>
            <w:vAlign w:val="center"/>
          </w:tcPr>
          <w:p w14:paraId="5D8B82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 xml:space="preserve"> </w:t>
            </w:r>
          </w:p>
        </w:tc>
        <w:tc>
          <w:tcPr>
            <w:tcW w:w="465" w:type="pct"/>
            <w:tcBorders>
              <w:tl2br w:val="nil"/>
              <w:tr2bl w:val="nil"/>
            </w:tcBorders>
            <w:noWrap w:val="0"/>
            <w:vAlign w:val="center"/>
          </w:tcPr>
          <w:p w14:paraId="6A76A0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0.0030 </w:t>
            </w:r>
          </w:p>
        </w:tc>
        <w:tc>
          <w:tcPr>
            <w:tcW w:w="453" w:type="pct"/>
            <w:tcBorders>
              <w:tl2br w:val="nil"/>
              <w:tr2bl w:val="nil"/>
            </w:tcBorders>
            <w:noWrap w:val="0"/>
            <w:vAlign w:val="center"/>
          </w:tcPr>
          <w:p w14:paraId="0CF50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r>
      <w:tr w14:paraId="19FE8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continue"/>
            <w:tcBorders>
              <w:tl2br w:val="nil"/>
              <w:tr2bl w:val="nil"/>
            </w:tcBorders>
            <w:noWrap/>
            <w:vAlign w:val="center"/>
          </w:tcPr>
          <w:p w14:paraId="3ABF76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4F6B9E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色漆</w:t>
            </w:r>
          </w:p>
        </w:tc>
        <w:tc>
          <w:tcPr>
            <w:tcW w:w="525" w:type="pct"/>
            <w:tcBorders>
              <w:tl2br w:val="nil"/>
              <w:tr2bl w:val="nil"/>
            </w:tcBorders>
            <w:noWrap/>
            <w:vAlign w:val="center"/>
          </w:tcPr>
          <w:p w14:paraId="47EDE2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1520.4</w:t>
            </w:r>
          </w:p>
        </w:tc>
        <w:tc>
          <w:tcPr>
            <w:tcW w:w="419" w:type="pct"/>
            <w:tcBorders>
              <w:tl2br w:val="nil"/>
              <w:tr2bl w:val="nil"/>
            </w:tcBorders>
            <w:noWrap w:val="0"/>
            <w:vAlign w:val="center"/>
          </w:tcPr>
          <w:p w14:paraId="45AECD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30E936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0.98</w:t>
            </w:r>
          </w:p>
        </w:tc>
        <w:tc>
          <w:tcPr>
            <w:tcW w:w="525" w:type="pct"/>
            <w:tcBorders>
              <w:tl2br w:val="nil"/>
              <w:tr2bl w:val="nil"/>
            </w:tcBorders>
            <w:noWrap w:val="0"/>
            <w:vAlign w:val="center"/>
          </w:tcPr>
          <w:p w14:paraId="6AD34F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43.48%</w:t>
            </w:r>
          </w:p>
        </w:tc>
        <w:tc>
          <w:tcPr>
            <w:tcW w:w="353" w:type="pct"/>
            <w:tcBorders>
              <w:tl2br w:val="nil"/>
              <w:tr2bl w:val="nil"/>
            </w:tcBorders>
            <w:noWrap w:val="0"/>
            <w:vAlign w:val="center"/>
          </w:tcPr>
          <w:p w14:paraId="1111B8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05384F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0.0571 </w:t>
            </w:r>
          </w:p>
        </w:tc>
        <w:tc>
          <w:tcPr>
            <w:tcW w:w="440" w:type="pct"/>
            <w:tcBorders>
              <w:tl2br w:val="nil"/>
              <w:tr2bl w:val="nil"/>
            </w:tcBorders>
            <w:noWrap w:val="0"/>
            <w:vAlign w:val="center"/>
          </w:tcPr>
          <w:p w14:paraId="56E07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0.05 </w:t>
            </w:r>
          </w:p>
        </w:tc>
        <w:tc>
          <w:tcPr>
            <w:tcW w:w="465" w:type="pct"/>
            <w:tcBorders>
              <w:tl2br w:val="nil"/>
              <w:tr2bl w:val="nil"/>
            </w:tcBorders>
            <w:noWrap w:val="0"/>
            <w:vAlign w:val="center"/>
          </w:tcPr>
          <w:p w14:paraId="3759D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0.0052 </w:t>
            </w:r>
          </w:p>
        </w:tc>
        <w:tc>
          <w:tcPr>
            <w:tcW w:w="453" w:type="pct"/>
            <w:tcBorders>
              <w:tl2br w:val="nil"/>
              <w:tr2bl w:val="nil"/>
            </w:tcBorders>
            <w:noWrap w:val="0"/>
            <w:vAlign w:val="center"/>
          </w:tcPr>
          <w:p w14:paraId="04B07E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 </w:t>
            </w:r>
          </w:p>
        </w:tc>
      </w:tr>
      <w:tr w14:paraId="46FB4D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continue"/>
            <w:tcBorders>
              <w:tl2br w:val="nil"/>
              <w:tr2bl w:val="nil"/>
            </w:tcBorders>
            <w:noWrap/>
            <w:vAlign w:val="center"/>
          </w:tcPr>
          <w:p w14:paraId="75025F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6F6D13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清漆</w:t>
            </w:r>
          </w:p>
        </w:tc>
        <w:tc>
          <w:tcPr>
            <w:tcW w:w="525" w:type="pct"/>
            <w:tcBorders>
              <w:tl2br w:val="nil"/>
              <w:tr2bl w:val="nil"/>
            </w:tcBorders>
            <w:noWrap/>
            <w:vAlign w:val="center"/>
          </w:tcPr>
          <w:p w14:paraId="63F709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1520.4</w:t>
            </w:r>
          </w:p>
        </w:tc>
        <w:tc>
          <w:tcPr>
            <w:tcW w:w="419" w:type="pct"/>
            <w:tcBorders>
              <w:tl2br w:val="nil"/>
              <w:tr2bl w:val="nil"/>
            </w:tcBorders>
            <w:noWrap w:val="0"/>
            <w:vAlign w:val="center"/>
          </w:tcPr>
          <w:p w14:paraId="424E45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627" w:type="pct"/>
            <w:tcBorders>
              <w:tl2br w:val="nil"/>
              <w:tr2bl w:val="nil"/>
            </w:tcBorders>
            <w:noWrap w:val="0"/>
            <w:vAlign w:val="center"/>
          </w:tcPr>
          <w:p w14:paraId="4B45B6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0.97</w:t>
            </w:r>
          </w:p>
        </w:tc>
        <w:tc>
          <w:tcPr>
            <w:tcW w:w="525" w:type="pct"/>
            <w:tcBorders>
              <w:tl2br w:val="nil"/>
              <w:tr2bl w:val="nil"/>
            </w:tcBorders>
            <w:noWrap w:val="0"/>
            <w:vAlign w:val="center"/>
          </w:tcPr>
          <w:p w14:paraId="7FFD90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55.00%</w:t>
            </w:r>
          </w:p>
        </w:tc>
        <w:tc>
          <w:tcPr>
            <w:tcW w:w="353" w:type="pct"/>
            <w:tcBorders>
              <w:tl2br w:val="nil"/>
              <w:tr2bl w:val="nil"/>
            </w:tcBorders>
            <w:noWrap w:val="0"/>
            <w:vAlign w:val="center"/>
          </w:tcPr>
          <w:p w14:paraId="3E2C1C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1F1CEE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0.0782 </w:t>
            </w:r>
          </w:p>
        </w:tc>
        <w:tc>
          <w:tcPr>
            <w:tcW w:w="440" w:type="pct"/>
            <w:tcBorders>
              <w:tl2br w:val="nil"/>
              <w:tr2bl w:val="nil"/>
            </w:tcBorders>
            <w:noWrap w:val="0"/>
            <w:vAlign w:val="center"/>
          </w:tcPr>
          <w:p w14:paraId="58E6E3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 xml:space="preserve"> </w:t>
            </w:r>
          </w:p>
        </w:tc>
        <w:tc>
          <w:tcPr>
            <w:tcW w:w="465" w:type="pct"/>
            <w:tcBorders>
              <w:tl2br w:val="nil"/>
              <w:tr2bl w:val="nil"/>
            </w:tcBorders>
            <w:noWrap w:val="0"/>
            <w:vAlign w:val="center"/>
          </w:tcPr>
          <w:p w14:paraId="24191E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3</w:t>
            </w:r>
          </w:p>
        </w:tc>
        <w:tc>
          <w:tcPr>
            <w:tcW w:w="453" w:type="pct"/>
            <w:tcBorders>
              <w:tl2br w:val="nil"/>
              <w:tr2bl w:val="nil"/>
            </w:tcBorders>
            <w:noWrap w:val="0"/>
            <w:vAlign w:val="center"/>
          </w:tcPr>
          <w:p w14:paraId="2836A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0.0024 </w:t>
            </w:r>
          </w:p>
        </w:tc>
      </w:tr>
      <w:tr w14:paraId="0F7EDB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restart"/>
            <w:tcBorders>
              <w:tl2br w:val="nil"/>
              <w:tr2bl w:val="nil"/>
            </w:tcBorders>
            <w:noWrap/>
            <w:vAlign w:val="center"/>
          </w:tcPr>
          <w:p w14:paraId="4F7D49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合计</w:t>
            </w:r>
          </w:p>
        </w:tc>
        <w:tc>
          <w:tcPr>
            <w:tcW w:w="364" w:type="pct"/>
            <w:tcBorders>
              <w:tl2br w:val="nil"/>
              <w:tr2bl w:val="nil"/>
            </w:tcBorders>
            <w:noWrap/>
            <w:vAlign w:val="center"/>
          </w:tcPr>
          <w:p w14:paraId="0103F9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底漆</w:t>
            </w:r>
          </w:p>
        </w:tc>
        <w:tc>
          <w:tcPr>
            <w:tcW w:w="525" w:type="pct"/>
            <w:tcBorders>
              <w:tl2br w:val="nil"/>
              <w:tr2bl w:val="nil"/>
            </w:tcBorders>
            <w:noWrap/>
            <w:vAlign w:val="center"/>
          </w:tcPr>
          <w:p w14:paraId="5B73B3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380860.2</w:t>
            </w:r>
          </w:p>
        </w:tc>
        <w:tc>
          <w:tcPr>
            <w:tcW w:w="419" w:type="pct"/>
            <w:tcBorders>
              <w:tl2br w:val="nil"/>
              <w:tr2bl w:val="nil"/>
            </w:tcBorders>
            <w:noWrap w:val="0"/>
            <w:vAlign w:val="center"/>
          </w:tcPr>
          <w:p w14:paraId="0E69B3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32AB00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1.17</w:t>
            </w:r>
          </w:p>
        </w:tc>
        <w:tc>
          <w:tcPr>
            <w:tcW w:w="525" w:type="pct"/>
            <w:tcBorders>
              <w:tl2br w:val="nil"/>
              <w:tr2bl w:val="nil"/>
            </w:tcBorders>
            <w:noWrap w:val="0"/>
            <w:vAlign w:val="center"/>
          </w:tcPr>
          <w:p w14:paraId="31B2B1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54.55%</w:t>
            </w:r>
          </w:p>
        </w:tc>
        <w:tc>
          <w:tcPr>
            <w:tcW w:w="353" w:type="pct"/>
            <w:tcBorders>
              <w:tl2br w:val="nil"/>
              <w:tr2bl w:val="nil"/>
            </w:tcBorders>
            <w:noWrap w:val="0"/>
            <w:vAlign w:val="center"/>
          </w:tcPr>
          <w:p w14:paraId="6D5E3A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w:t>
            </w:r>
          </w:p>
        </w:tc>
        <w:tc>
          <w:tcPr>
            <w:tcW w:w="586" w:type="pct"/>
            <w:tcBorders>
              <w:tl2br w:val="nil"/>
              <w:tr2bl w:val="nil"/>
            </w:tcBorders>
            <w:noWrap w:val="0"/>
            <w:vAlign w:val="center"/>
          </w:tcPr>
          <w:p w14:paraId="4C919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16.34 </w:t>
            </w:r>
          </w:p>
        </w:tc>
        <w:tc>
          <w:tcPr>
            <w:tcW w:w="440" w:type="pct"/>
            <w:tcBorders>
              <w:tl2br w:val="nil"/>
              <w:tr2bl w:val="nil"/>
            </w:tcBorders>
            <w:noWrap w:val="0"/>
            <w:vAlign w:val="center"/>
          </w:tcPr>
          <w:p w14:paraId="6081E7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14.85 </w:t>
            </w:r>
          </w:p>
        </w:tc>
        <w:tc>
          <w:tcPr>
            <w:tcW w:w="465" w:type="pct"/>
            <w:tcBorders>
              <w:tl2br w:val="nil"/>
              <w:tr2bl w:val="nil"/>
            </w:tcBorders>
            <w:noWrap w:val="0"/>
            <w:vAlign w:val="center"/>
          </w:tcPr>
          <w:p w14:paraId="6AA4DE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1.49 </w:t>
            </w:r>
          </w:p>
        </w:tc>
        <w:tc>
          <w:tcPr>
            <w:tcW w:w="453" w:type="pct"/>
            <w:tcBorders>
              <w:tl2br w:val="nil"/>
              <w:tr2bl w:val="nil"/>
            </w:tcBorders>
            <w:noWrap w:val="0"/>
            <w:vAlign w:val="center"/>
          </w:tcPr>
          <w:p w14:paraId="417208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4A3C2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238" w:type="pct"/>
            <w:vMerge w:val="continue"/>
            <w:tcBorders>
              <w:tl2br w:val="nil"/>
              <w:tr2bl w:val="nil"/>
            </w:tcBorders>
            <w:noWrap/>
            <w:vAlign w:val="center"/>
          </w:tcPr>
          <w:p w14:paraId="0C9FE3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0CDF8C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色漆</w:t>
            </w:r>
          </w:p>
        </w:tc>
        <w:tc>
          <w:tcPr>
            <w:tcW w:w="525" w:type="pct"/>
            <w:tcBorders>
              <w:tl2br w:val="nil"/>
              <w:tr2bl w:val="nil"/>
            </w:tcBorders>
            <w:noWrap/>
            <w:vAlign w:val="center"/>
          </w:tcPr>
          <w:p w14:paraId="70E296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761720.4</w:t>
            </w:r>
          </w:p>
        </w:tc>
        <w:tc>
          <w:tcPr>
            <w:tcW w:w="419" w:type="pct"/>
            <w:tcBorders>
              <w:tl2br w:val="nil"/>
              <w:tr2bl w:val="nil"/>
            </w:tcBorders>
            <w:noWrap w:val="0"/>
            <w:vAlign w:val="center"/>
          </w:tcPr>
          <w:p w14:paraId="4B3175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27" w:type="pct"/>
            <w:tcBorders>
              <w:tl2br w:val="nil"/>
              <w:tr2bl w:val="nil"/>
            </w:tcBorders>
            <w:noWrap w:val="0"/>
            <w:vAlign w:val="center"/>
          </w:tcPr>
          <w:p w14:paraId="5F8CAB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0.98</w:t>
            </w:r>
          </w:p>
        </w:tc>
        <w:tc>
          <w:tcPr>
            <w:tcW w:w="525" w:type="pct"/>
            <w:tcBorders>
              <w:tl2br w:val="nil"/>
              <w:tr2bl w:val="nil"/>
            </w:tcBorders>
            <w:noWrap w:val="0"/>
            <w:vAlign w:val="center"/>
          </w:tcPr>
          <w:p w14:paraId="22975B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43.48%</w:t>
            </w:r>
          </w:p>
        </w:tc>
        <w:tc>
          <w:tcPr>
            <w:tcW w:w="353" w:type="pct"/>
            <w:tcBorders>
              <w:tl2br w:val="nil"/>
              <w:tr2bl w:val="nil"/>
            </w:tcBorders>
            <w:noWrap w:val="0"/>
            <w:vAlign w:val="center"/>
          </w:tcPr>
          <w:p w14:paraId="168F3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47591C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28.61 </w:t>
            </w:r>
          </w:p>
        </w:tc>
        <w:tc>
          <w:tcPr>
            <w:tcW w:w="440" w:type="pct"/>
            <w:tcBorders>
              <w:tl2br w:val="nil"/>
              <w:tr2bl w:val="nil"/>
            </w:tcBorders>
            <w:noWrap w:val="0"/>
            <w:vAlign w:val="center"/>
          </w:tcPr>
          <w:p w14:paraId="447A35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26.01 </w:t>
            </w:r>
          </w:p>
        </w:tc>
        <w:tc>
          <w:tcPr>
            <w:tcW w:w="465" w:type="pct"/>
            <w:tcBorders>
              <w:tl2br w:val="nil"/>
              <w:tr2bl w:val="nil"/>
            </w:tcBorders>
            <w:noWrap w:val="0"/>
            <w:vAlign w:val="center"/>
          </w:tcPr>
          <w:p w14:paraId="7BDE72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2.60 </w:t>
            </w:r>
          </w:p>
        </w:tc>
        <w:tc>
          <w:tcPr>
            <w:tcW w:w="453" w:type="pct"/>
            <w:tcBorders>
              <w:tl2br w:val="nil"/>
              <w:tr2bl w:val="nil"/>
            </w:tcBorders>
            <w:noWrap w:val="0"/>
            <w:vAlign w:val="center"/>
          </w:tcPr>
          <w:p w14:paraId="2F5CFB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7CE699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238" w:type="pct"/>
            <w:vMerge w:val="continue"/>
            <w:tcBorders>
              <w:tl2br w:val="nil"/>
              <w:tr2bl w:val="nil"/>
            </w:tcBorders>
            <w:noWrap/>
            <w:vAlign w:val="center"/>
          </w:tcPr>
          <w:p w14:paraId="64CE05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64" w:type="pct"/>
            <w:tcBorders>
              <w:tl2br w:val="nil"/>
              <w:tr2bl w:val="nil"/>
            </w:tcBorders>
            <w:noWrap/>
            <w:vAlign w:val="center"/>
          </w:tcPr>
          <w:p w14:paraId="57B35B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清漆</w:t>
            </w:r>
          </w:p>
        </w:tc>
        <w:tc>
          <w:tcPr>
            <w:tcW w:w="525" w:type="pct"/>
            <w:tcBorders>
              <w:tl2br w:val="nil"/>
              <w:tr2bl w:val="nil"/>
            </w:tcBorders>
            <w:noWrap/>
            <w:vAlign w:val="center"/>
          </w:tcPr>
          <w:p w14:paraId="4F49BF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761720.4</w:t>
            </w:r>
          </w:p>
        </w:tc>
        <w:tc>
          <w:tcPr>
            <w:tcW w:w="419" w:type="pct"/>
            <w:tcBorders>
              <w:tl2br w:val="nil"/>
              <w:tr2bl w:val="nil"/>
            </w:tcBorders>
            <w:noWrap w:val="0"/>
            <w:vAlign w:val="center"/>
          </w:tcPr>
          <w:p w14:paraId="5733E8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17.5</w:t>
            </w:r>
          </w:p>
        </w:tc>
        <w:tc>
          <w:tcPr>
            <w:tcW w:w="627" w:type="pct"/>
            <w:tcBorders>
              <w:tl2br w:val="nil"/>
              <w:tr2bl w:val="nil"/>
            </w:tcBorders>
            <w:noWrap w:val="0"/>
            <w:vAlign w:val="center"/>
          </w:tcPr>
          <w:p w14:paraId="69D92F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0.97</w:t>
            </w:r>
          </w:p>
        </w:tc>
        <w:tc>
          <w:tcPr>
            <w:tcW w:w="525" w:type="pct"/>
            <w:tcBorders>
              <w:tl2br w:val="nil"/>
              <w:tr2bl w:val="nil"/>
            </w:tcBorders>
            <w:noWrap w:val="0"/>
            <w:vAlign w:val="center"/>
          </w:tcPr>
          <w:p w14:paraId="254D91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55.00%</w:t>
            </w:r>
          </w:p>
        </w:tc>
        <w:tc>
          <w:tcPr>
            <w:tcW w:w="353" w:type="pct"/>
            <w:tcBorders>
              <w:tl2br w:val="nil"/>
              <w:tr2bl w:val="nil"/>
            </w:tcBorders>
            <w:noWrap w:val="0"/>
            <w:vAlign w:val="center"/>
          </w:tcPr>
          <w:p w14:paraId="58E509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586" w:type="pct"/>
            <w:tcBorders>
              <w:tl2br w:val="nil"/>
              <w:tr2bl w:val="nil"/>
            </w:tcBorders>
            <w:noWrap w:val="0"/>
            <w:vAlign w:val="center"/>
          </w:tcPr>
          <w:p w14:paraId="1E7263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39.18 </w:t>
            </w:r>
          </w:p>
        </w:tc>
        <w:tc>
          <w:tcPr>
            <w:tcW w:w="440" w:type="pct"/>
            <w:tcBorders>
              <w:tl2br w:val="nil"/>
              <w:tr2bl w:val="nil"/>
            </w:tcBorders>
            <w:noWrap w:val="0"/>
            <w:vAlign w:val="center"/>
          </w:tcPr>
          <w:p w14:paraId="285B54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24.49 </w:t>
            </w:r>
          </w:p>
        </w:tc>
        <w:tc>
          <w:tcPr>
            <w:tcW w:w="465" w:type="pct"/>
            <w:tcBorders>
              <w:tl2br w:val="nil"/>
              <w:tr2bl w:val="nil"/>
            </w:tcBorders>
            <w:noWrap w:val="0"/>
            <w:vAlign w:val="center"/>
          </w:tcPr>
          <w:p w14:paraId="68FE55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13.47 </w:t>
            </w:r>
          </w:p>
        </w:tc>
        <w:tc>
          <w:tcPr>
            <w:tcW w:w="453" w:type="pct"/>
            <w:tcBorders>
              <w:tl2br w:val="nil"/>
              <w:tr2bl w:val="nil"/>
            </w:tcBorders>
            <w:noWrap w:val="0"/>
            <w:vAlign w:val="center"/>
          </w:tcPr>
          <w:p w14:paraId="69B3E6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1.22 </w:t>
            </w:r>
          </w:p>
        </w:tc>
      </w:tr>
    </w:tbl>
    <w:p w14:paraId="3C8913FC">
      <w:pPr>
        <w:rPr>
          <w:rFonts w:hint="eastAsia"/>
          <w:color w:val="auto"/>
          <w:highlight w:val="none"/>
          <w:lang w:val="en-US" w:eastAsia="zh-CN"/>
        </w:rPr>
        <w:sectPr>
          <w:pgSz w:w="16838" w:h="11906" w:orient="landscape"/>
          <w:pgMar w:top="1701" w:right="141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52B81495">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w:t>
      </w:r>
      <w:r>
        <w:rPr>
          <w:rFonts w:hint="eastAsia" w:ascii="Times New Roman" w:hAnsi="Times New Roman" w:eastAsia="宋体" w:cs="Times New Roman"/>
          <w:color w:val="auto"/>
          <w:highlight w:val="none"/>
          <w:lang w:val="en-US" w:eastAsia="zh-CN" w:bidi="he-IL"/>
        </w:rPr>
        <w:t>5</w:t>
      </w:r>
      <w:r>
        <w:rPr>
          <w:rFonts w:hint="eastAsia" w:ascii="Times New Roman" w:hAnsi="Times New Roman" w:eastAsia="宋体" w:cs="Times New Roman"/>
          <w:color w:val="auto"/>
          <w:highlight w:val="none"/>
          <w:lang w:eastAsia="zh-CN" w:bidi="he-IL"/>
        </w:rPr>
        <w:t>）清洗剂用量核算</w:t>
      </w:r>
    </w:p>
    <w:p w14:paraId="181DD90D">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本项目拟设置集中供漆系统，机器人根据生产计划，不同颜色的需求油漆自动选取不同罐体油漆进行喷涂使用，供漆管路、喷枪清洗仅在色漆换色、放假等长时间不使用的情况下进行清洗，由于底漆和清漆使用过程中无需换色，且涂装工序为连续生产，仅在长时间不使用的情况下进行清洗。本项目油漆中均含有乙酸丁酯溶剂，因此以乙酸丁酯</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又名醋酸正丁酯</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为清洗剂，清洗在喷漆室内进行。清洗时停止喷涂作业，清洗剂由供漆系统管道自动供入喷涂室内喷枪，通过溶剂流动溶解掉管道内的涂料，完成清洗过程。</w:t>
      </w:r>
    </w:p>
    <w:p w14:paraId="53C0F371">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本项目色漆拟设置</w:t>
      </w:r>
      <w:r>
        <w:rPr>
          <w:rFonts w:hint="eastAsia" w:cs="Times New Roman"/>
          <w:color w:val="auto"/>
          <w:highlight w:val="none"/>
          <w:lang w:val="en-US" w:eastAsia="zh-CN" w:bidi="he-IL"/>
        </w:rPr>
        <w:t>6</w:t>
      </w:r>
      <w:r>
        <w:rPr>
          <w:rFonts w:hint="eastAsia" w:ascii="Times New Roman" w:hAnsi="Times New Roman" w:eastAsia="宋体" w:cs="Times New Roman"/>
          <w:color w:val="auto"/>
          <w:highlight w:val="none"/>
          <w:lang w:eastAsia="zh-CN" w:bidi="he-IL"/>
        </w:rPr>
        <w:t>台喷涂机器人，喷涂过程涉及换色时需进行喷枪清洗，每支喷枪每天约清洗</w:t>
      </w:r>
      <w:r>
        <w:rPr>
          <w:rFonts w:hint="eastAsia" w:cs="Times New Roman"/>
          <w:color w:val="auto"/>
          <w:highlight w:val="none"/>
          <w:lang w:val="en-US" w:eastAsia="zh-CN" w:bidi="he-IL"/>
        </w:rPr>
        <w:t>1</w:t>
      </w:r>
      <w:r>
        <w:rPr>
          <w:rFonts w:hint="eastAsia" w:ascii="Times New Roman" w:hAnsi="Times New Roman" w:eastAsia="宋体" w:cs="Times New Roman"/>
          <w:color w:val="auto"/>
          <w:highlight w:val="none"/>
          <w:lang w:eastAsia="zh-CN" w:bidi="he-IL"/>
        </w:rPr>
        <w:t>次，色漆供漆管路、喷枪共需清洗</w:t>
      </w:r>
      <w:r>
        <w:rPr>
          <w:rFonts w:hint="eastAsia" w:cs="Times New Roman"/>
          <w:color w:val="auto"/>
          <w:highlight w:val="none"/>
          <w:lang w:val="en-US" w:eastAsia="zh-CN" w:bidi="he-IL"/>
        </w:rPr>
        <w:t>18</w:t>
      </w:r>
      <w:r>
        <w:rPr>
          <w:rFonts w:hint="eastAsia" w:ascii="Times New Roman" w:hAnsi="Times New Roman" w:eastAsia="宋体" w:cs="Times New Roman"/>
          <w:color w:val="auto"/>
          <w:highlight w:val="none"/>
          <w:lang w:val="en-US" w:eastAsia="zh-CN" w:bidi="he-IL"/>
        </w:rPr>
        <w:t>00</w:t>
      </w:r>
      <w:r>
        <w:rPr>
          <w:rFonts w:hint="eastAsia" w:ascii="Times New Roman" w:hAnsi="Times New Roman" w:eastAsia="宋体" w:cs="Times New Roman"/>
          <w:color w:val="auto"/>
          <w:highlight w:val="none"/>
          <w:lang w:eastAsia="zh-CN" w:bidi="he-IL"/>
        </w:rPr>
        <w:t>次。底漆和清漆供漆管路、喷枪仅需在长时间不使用的情况下清洗，每支喷枪每年约清洗</w:t>
      </w:r>
      <w:r>
        <w:rPr>
          <w:rFonts w:hint="eastAsia" w:ascii="Times New Roman" w:hAnsi="Times New Roman" w:eastAsia="宋体" w:cs="Times New Roman"/>
          <w:color w:val="auto"/>
          <w:highlight w:val="none"/>
          <w:lang w:val="en-US" w:eastAsia="zh-CN" w:bidi="he-IL"/>
        </w:rPr>
        <w:t>10</w:t>
      </w:r>
      <w:r>
        <w:rPr>
          <w:rFonts w:hint="eastAsia" w:ascii="Times New Roman" w:hAnsi="Times New Roman" w:eastAsia="宋体" w:cs="Times New Roman"/>
          <w:color w:val="auto"/>
          <w:highlight w:val="none"/>
          <w:lang w:eastAsia="zh-CN" w:bidi="he-IL"/>
        </w:rPr>
        <w:t>次，底漆设置</w:t>
      </w:r>
      <w:r>
        <w:rPr>
          <w:rFonts w:hint="eastAsia" w:cs="Times New Roman"/>
          <w:color w:val="auto"/>
          <w:highlight w:val="none"/>
          <w:lang w:val="en-US" w:eastAsia="zh-CN" w:bidi="he-IL"/>
        </w:rPr>
        <w:t>2</w:t>
      </w:r>
      <w:r>
        <w:rPr>
          <w:rFonts w:hint="eastAsia" w:ascii="Times New Roman" w:hAnsi="Times New Roman" w:eastAsia="宋体" w:cs="Times New Roman"/>
          <w:color w:val="auto"/>
          <w:highlight w:val="none"/>
          <w:lang w:eastAsia="zh-CN" w:bidi="he-IL"/>
        </w:rPr>
        <w:t>台喷涂机器人</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清漆设置</w:t>
      </w:r>
      <w:r>
        <w:rPr>
          <w:rFonts w:hint="eastAsia" w:cs="Times New Roman"/>
          <w:color w:val="auto"/>
          <w:highlight w:val="none"/>
          <w:lang w:val="en-US" w:eastAsia="zh-CN" w:bidi="he-IL"/>
        </w:rPr>
        <w:t>4</w:t>
      </w:r>
      <w:r>
        <w:rPr>
          <w:rFonts w:hint="eastAsia" w:ascii="Times New Roman" w:hAnsi="Times New Roman" w:eastAsia="宋体" w:cs="Times New Roman"/>
          <w:color w:val="auto"/>
          <w:highlight w:val="none"/>
          <w:lang w:eastAsia="zh-CN" w:bidi="he-IL"/>
        </w:rPr>
        <w:t>台喷涂机器人，底漆和清漆供漆管路、喷枪共需清洗</w:t>
      </w:r>
      <w:r>
        <w:rPr>
          <w:rFonts w:hint="eastAsia" w:cs="Times New Roman"/>
          <w:color w:val="auto"/>
          <w:highlight w:val="none"/>
          <w:lang w:val="en-US" w:eastAsia="zh-CN" w:bidi="he-IL"/>
        </w:rPr>
        <w:t>60</w:t>
      </w:r>
      <w:r>
        <w:rPr>
          <w:rFonts w:hint="eastAsia" w:ascii="Times New Roman" w:hAnsi="Times New Roman" w:eastAsia="宋体" w:cs="Times New Roman"/>
          <w:color w:val="auto"/>
          <w:highlight w:val="none"/>
          <w:lang w:eastAsia="zh-CN" w:bidi="he-IL"/>
        </w:rPr>
        <w:t>次。</w:t>
      </w:r>
      <w:r>
        <w:rPr>
          <w:rFonts w:hint="eastAsia" w:ascii="Times New Roman" w:hAnsi="Times New Roman" w:eastAsia="宋体" w:cs="Times New Roman"/>
          <w:color w:val="auto"/>
          <w:highlight w:val="none"/>
          <w:lang w:val="en-US" w:eastAsia="zh-CN" w:bidi="he-IL"/>
        </w:rPr>
        <w:t>每次清洗约使用</w:t>
      </w:r>
      <w:r>
        <w:rPr>
          <w:rFonts w:hint="default" w:ascii="Times New Roman" w:hAnsi="Times New Roman" w:eastAsia="宋体" w:cs="Times New Roman"/>
          <w:color w:val="auto"/>
          <w:highlight w:val="none"/>
          <w:lang w:val="en-US" w:eastAsia="zh-CN" w:bidi="he-IL"/>
        </w:rPr>
        <w:t>1.5kg</w:t>
      </w:r>
      <w:r>
        <w:rPr>
          <w:rFonts w:hint="eastAsia" w:ascii="Times New Roman" w:hAnsi="Times New Roman" w:eastAsia="宋体" w:cs="Times New Roman"/>
          <w:color w:val="auto"/>
          <w:highlight w:val="none"/>
          <w:lang w:val="en-US" w:eastAsia="zh-CN" w:bidi="he-IL"/>
        </w:rPr>
        <w:t>清洗剂（乙酸丁酯），</w:t>
      </w:r>
      <w:r>
        <w:rPr>
          <w:rFonts w:hint="eastAsia" w:ascii="Times New Roman" w:hAnsi="Times New Roman" w:eastAsia="宋体" w:cs="Times New Roman"/>
          <w:color w:val="auto"/>
          <w:highlight w:val="none"/>
          <w:lang w:eastAsia="zh-CN" w:bidi="he-IL"/>
        </w:rPr>
        <w:t>则年使用清洗剂约</w:t>
      </w:r>
      <w:r>
        <w:rPr>
          <w:rFonts w:hint="eastAsia" w:cs="Times New Roman"/>
          <w:color w:val="auto"/>
          <w:highlight w:val="none"/>
          <w:lang w:val="en-US" w:eastAsia="zh-CN" w:bidi="he-IL"/>
        </w:rPr>
        <w:t>2.79</w:t>
      </w:r>
      <w:r>
        <w:rPr>
          <w:rFonts w:hint="eastAsia" w:ascii="Times New Roman" w:hAnsi="Times New Roman" w:eastAsia="宋体" w:cs="Times New Roman"/>
          <w:color w:val="auto"/>
          <w:highlight w:val="none"/>
          <w:lang w:eastAsia="zh-CN" w:bidi="he-IL"/>
        </w:rPr>
        <w:t>t。</w:t>
      </w:r>
    </w:p>
    <w:p w14:paraId="72B7F8CB">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w:t>
      </w:r>
      <w:r>
        <w:rPr>
          <w:rFonts w:hint="eastAsia" w:ascii="Times New Roman" w:hAnsi="Times New Roman" w:eastAsia="宋体" w:cs="Times New Roman"/>
          <w:color w:val="auto"/>
          <w:highlight w:val="none"/>
          <w:lang w:val="en-US" w:eastAsia="zh-CN" w:bidi="he-IL"/>
        </w:rPr>
        <w:t>6</w:t>
      </w:r>
      <w:r>
        <w:rPr>
          <w:rFonts w:hint="eastAsia" w:ascii="Times New Roman" w:hAnsi="Times New Roman" w:eastAsia="宋体" w:cs="Times New Roman"/>
          <w:color w:val="auto"/>
          <w:highlight w:val="none"/>
          <w:lang w:eastAsia="zh-CN" w:bidi="he-IL"/>
        </w:rPr>
        <w:t>）</w:t>
      </w:r>
      <w:r>
        <w:rPr>
          <w:rFonts w:hint="eastAsia" w:ascii="Times New Roman" w:hAnsi="Times New Roman" w:eastAsia="宋体" w:cs="Times New Roman"/>
          <w:color w:val="auto"/>
          <w:highlight w:val="none"/>
          <w:lang w:val="en-US" w:eastAsia="zh-CN" w:bidi="he-IL"/>
        </w:rPr>
        <w:t>主要原辅材料有害物质含量符合性分析</w:t>
      </w:r>
    </w:p>
    <w:p w14:paraId="03BAEA68">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val="en-US" w:eastAsia="zh-CN" w:bidi="he-IL"/>
        </w:rPr>
        <w:t>①</w:t>
      </w:r>
      <w:r>
        <w:rPr>
          <w:rFonts w:hint="eastAsia" w:ascii="Times New Roman" w:hAnsi="Times New Roman" w:eastAsia="宋体" w:cs="Times New Roman"/>
          <w:color w:val="auto"/>
          <w:highlight w:val="none"/>
          <w:lang w:eastAsia="zh-CN" w:bidi="he-IL"/>
        </w:rPr>
        <w:t>涂料有害物质含量符合性分析</w:t>
      </w:r>
    </w:p>
    <w:p w14:paraId="0292F215">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val="en-US" w:eastAsia="zh-CN" w:bidi="he-IL"/>
        </w:rPr>
        <w:t>根据建设单位提供的涂料VOCs含量检测报告</w:t>
      </w:r>
      <w:r>
        <w:rPr>
          <w:rFonts w:hint="eastAsia" w:cs="Times New Roman"/>
          <w:color w:val="auto"/>
          <w:highlight w:val="none"/>
          <w:lang w:val="en-US" w:eastAsia="zh-CN" w:bidi="he-IL"/>
        </w:rPr>
        <w:t>（</w:t>
      </w:r>
      <w:r>
        <w:rPr>
          <w:rFonts w:hint="eastAsia" w:ascii="Times New Roman" w:hAnsi="Times New Roman" w:eastAsia="宋体" w:cs="Times New Roman"/>
          <w:color w:val="auto"/>
          <w:highlight w:val="none"/>
          <w:lang w:val="en-US" w:eastAsia="zh-CN" w:bidi="he-IL"/>
        </w:rPr>
        <w:t>见附件</w:t>
      </w:r>
      <w:r>
        <w:rPr>
          <w:rFonts w:hint="eastAsia" w:cs="Times New Roman"/>
          <w:color w:val="auto"/>
          <w:highlight w:val="none"/>
          <w:lang w:val="en-US" w:eastAsia="zh-CN" w:bidi="he-IL"/>
        </w:rPr>
        <w:t>8）</w:t>
      </w:r>
      <w:r>
        <w:rPr>
          <w:rFonts w:hint="eastAsia" w:ascii="Times New Roman" w:hAnsi="Times New Roman" w:eastAsia="宋体" w:cs="Times New Roman"/>
          <w:color w:val="auto"/>
          <w:highlight w:val="none"/>
          <w:lang w:val="en-US" w:eastAsia="zh-CN" w:bidi="he-IL"/>
        </w:rPr>
        <w:t>，施工状态油漆VOCs含量分别为底漆462g/L、色漆535g/L、清漆372g/L</w:t>
      </w:r>
      <w:r>
        <w:rPr>
          <w:rFonts w:hint="eastAsia" w:ascii="Times New Roman" w:hAnsi="Times New Roman" w:eastAsia="宋体" w:cs="Times New Roman"/>
          <w:color w:val="auto"/>
          <w:highlight w:val="none"/>
          <w:lang w:eastAsia="zh-CN" w:bidi="he-IL"/>
        </w:rPr>
        <w:t>和涂料MSDS报告</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见附件</w:t>
      </w:r>
      <w:r>
        <w:rPr>
          <w:rFonts w:hint="eastAsia" w:cs="Times New Roman"/>
          <w:color w:val="auto"/>
          <w:highlight w:val="none"/>
          <w:lang w:val="en-US" w:eastAsia="zh-CN" w:bidi="he-IL"/>
        </w:rPr>
        <w:t>8</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val="en-US" w:eastAsia="zh-CN" w:bidi="he-IL"/>
        </w:rPr>
        <w:t>。</w:t>
      </w:r>
      <w:r>
        <w:rPr>
          <w:rFonts w:hint="eastAsia" w:ascii="Times New Roman" w:hAnsi="Times New Roman" w:eastAsia="宋体" w:cs="Times New Roman"/>
          <w:color w:val="auto"/>
          <w:highlight w:val="none"/>
          <w:lang w:eastAsia="zh-CN" w:bidi="he-IL"/>
        </w:rPr>
        <w:t>二甲苯以MSDS报告中最大值核算，溶剂型底漆中二甲苯含量为20%，溶剂型色漆中二甲苯含量为</w:t>
      </w:r>
      <w:r>
        <w:rPr>
          <w:rFonts w:hint="eastAsia" w:ascii="Times New Roman" w:hAnsi="Times New Roman" w:eastAsia="宋体" w:cs="Times New Roman"/>
          <w:color w:val="auto"/>
          <w:highlight w:val="none"/>
          <w:lang w:val="en-US" w:eastAsia="zh-CN" w:bidi="he-IL"/>
        </w:rPr>
        <w:t>20</w:t>
      </w:r>
      <w:r>
        <w:rPr>
          <w:rFonts w:hint="eastAsia" w:ascii="Times New Roman" w:hAnsi="Times New Roman" w:eastAsia="宋体" w:cs="Times New Roman"/>
          <w:color w:val="auto"/>
          <w:highlight w:val="none"/>
          <w:lang w:eastAsia="zh-CN" w:bidi="he-IL"/>
        </w:rPr>
        <w:t>%，溶剂型清漆中二甲苯含量为10%，稀释剂中二甲苯含量为3</w:t>
      </w:r>
      <w:r>
        <w:rPr>
          <w:rFonts w:hint="eastAsia" w:ascii="Times New Roman" w:hAnsi="Times New Roman" w:eastAsia="宋体" w:cs="Times New Roman"/>
          <w:color w:val="auto"/>
          <w:highlight w:val="none"/>
          <w:lang w:val="en-US" w:eastAsia="zh-CN" w:bidi="he-IL"/>
        </w:rPr>
        <w:t>5</w:t>
      </w:r>
      <w:r>
        <w:rPr>
          <w:rFonts w:hint="eastAsia" w:ascii="Times New Roman" w:hAnsi="Times New Roman" w:eastAsia="宋体" w:cs="Times New Roman"/>
          <w:color w:val="auto"/>
          <w:highlight w:val="none"/>
          <w:lang w:eastAsia="zh-CN" w:bidi="he-IL"/>
        </w:rPr>
        <w:t>%，固化剂中二甲苯含量为10%。施工状态底漆调配比例为溶剂型底漆：稀释剂=100：10，施工状态色漆调配比例为溶剂型色漆：稀释剂=100:15</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施工状态清漆调配比例为溶剂型清漆：固化剂：稀释剂=100：55：5，根据调配比例计算，施工状态油漆中二甲苯分别为底漆</w:t>
      </w:r>
      <w:r>
        <w:rPr>
          <w:rFonts w:hint="eastAsia" w:ascii="Times New Roman" w:hAnsi="Times New Roman" w:eastAsia="宋体" w:cs="Times New Roman"/>
          <w:color w:val="auto"/>
          <w:highlight w:val="none"/>
          <w:lang w:val="en-US" w:eastAsia="zh-CN" w:bidi="he-IL"/>
        </w:rPr>
        <w:t>21.36</w:t>
      </w:r>
      <w:r>
        <w:rPr>
          <w:rFonts w:hint="eastAsia" w:ascii="Times New Roman" w:hAnsi="Times New Roman" w:eastAsia="宋体" w:cs="Times New Roman"/>
          <w:color w:val="auto"/>
          <w:highlight w:val="none"/>
          <w:lang w:eastAsia="zh-CN" w:bidi="he-IL"/>
        </w:rPr>
        <w:t>%、色漆</w:t>
      </w:r>
      <w:r>
        <w:rPr>
          <w:rFonts w:hint="eastAsia" w:ascii="Times New Roman" w:hAnsi="Times New Roman" w:eastAsia="宋体" w:cs="Times New Roman"/>
          <w:color w:val="auto"/>
          <w:highlight w:val="none"/>
          <w:lang w:val="en-US" w:eastAsia="zh-CN" w:bidi="he-IL"/>
        </w:rPr>
        <w:t>21.9</w:t>
      </w:r>
      <w:r>
        <w:rPr>
          <w:rFonts w:hint="eastAsia" w:cs="Times New Roman"/>
          <w:color w:val="auto"/>
          <w:highlight w:val="none"/>
          <w:lang w:val="en-US" w:eastAsia="zh-CN" w:bidi="he-IL"/>
        </w:rPr>
        <w:t>5</w:t>
      </w:r>
      <w:r>
        <w:rPr>
          <w:rFonts w:hint="eastAsia" w:ascii="Times New Roman" w:hAnsi="Times New Roman" w:eastAsia="宋体" w:cs="Times New Roman"/>
          <w:color w:val="auto"/>
          <w:highlight w:val="none"/>
          <w:lang w:eastAsia="zh-CN" w:bidi="he-IL"/>
        </w:rPr>
        <w:t>%、清漆10.</w:t>
      </w:r>
      <w:r>
        <w:rPr>
          <w:rFonts w:hint="eastAsia" w:ascii="Times New Roman" w:hAnsi="Times New Roman" w:eastAsia="宋体" w:cs="Times New Roman"/>
          <w:color w:val="auto"/>
          <w:highlight w:val="none"/>
          <w:lang w:val="en-US" w:eastAsia="zh-CN" w:bidi="he-IL"/>
        </w:rPr>
        <w:t>78</w:t>
      </w:r>
      <w:r>
        <w:rPr>
          <w:rFonts w:hint="eastAsia" w:ascii="Times New Roman" w:hAnsi="Times New Roman" w:eastAsia="宋体" w:cs="Times New Roman"/>
          <w:color w:val="auto"/>
          <w:highlight w:val="none"/>
          <w:lang w:eastAsia="zh-CN" w:bidi="he-IL"/>
        </w:rPr>
        <w:t>%。</w:t>
      </w:r>
    </w:p>
    <w:p w14:paraId="36684F18">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本项目涂料有害物质含量与《低挥发性有机化合物含量涂料产品技术要求》</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GB/T38597-2020</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及《车辆涂料中有害物质限量》</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GB24409-2020</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符合性分析见下表。</w:t>
      </w:r>
    </w:p>
    <w:p w14:paraId="10D11C21">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表3.1-9  本项目涂料有害物质含量符合性分析一览表</w:t>
      </w:r>
    </w:p>
    <w:tbl>
      <w:tblPr>
        <w:tblStyle w:val="80"/>
        <w:tblW w:w="88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2"/>
        <w:gridCol w:w="668"/>
        <w:gridCol w:w="742"/>
        <w:gridCol w:w="660"/>
        <w:gridCol w:w="765"/>
        <w:gridCol w:w="765"/>
        <w:gridCol w:w="765"/>
        <w:gridCol w:w="1411"/>
        <w:gridCol w:w="959"/>
        <w:gridCol w:w="1380"/>
        <w:gridCol w:w="371"/>
      </w:tblGrid>
      <w:tr w14:paraId="0403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23F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产品类别</w:t>
            </w:r>
          </w:p>
        </w:tc>
        <w:tc>
          <w:tcPr>
            <w:tcW w:w="2070" w:type="dxa"/>
            <w:gridSpan w:val="3"/>
            <w:tcBorders>
              <w:top w:val="single" w:color="000000" w:sz="4" w:space="0"/>
              <w:left w:val="single" w:color="000000" w:sz="4" w:space="0"/>
              <w:bottom w:val="single" w:color="000000" w:sz="4" w:space="0"/>
              <w:right w:val="single" w:color="000000" w:sz="4" w:space="0"/>
            </w:tcBorders>
            <w:noWrap w:val="0"/>
            <w:vAlign w:val="center"/>
          </w:tcPr>
          <w:p w14:paraId="06671C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《低挥发性有机化合物含量涂料产品技术要求》</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GB/T38597-2020</w:t>
            </w:r>
            <w:r>
              <w:rPr>
                <w:rFonts w:hint="eastAsia" w:cs="Times New Roman"/>
                <w:color w:val="auto"/>
                <w:sz w:val="21"/>
                <w:szCs w:val="21"/>
                <w:highlight w:val="none"/>
                <w:lang w:val="en-US" w:eastAsia="zh-CN"/>
              </w:rPr>
              <w:t>）</w:t>
            </w:r>
          </w:p>
        </w:tc>
        <w:tc>
          <w:tcPr>
            <w:tcW w:w="3706" w:type="dxa"/>
            <w:gridSpan w:val="4"/>
            <w:tcBorders>
              <w:top w:val="single" w:color="000000" w:sz="4" w:space="0"/>
              <w:left w:val="single" w:color="000000" w:sz="4" w:space="0"/>
              <w:bottom w:val="single" w:color="000000" w:sz="4" w:space="0"/>
              <w:right w:val="single" w:color="000000" w:sz="4" w:space="0"/>
            </w:tcBorders>
            <w:noWrap w:val="0"/>
            <w:vAlign w:val="center"/>
          </w:tcPr>
          <w:p w14:paraId="13CC7A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《车辆涂料中有害物质限量》</w:t>
            </w:r>
            <w:r>
              <w:rPr>
                <w:rFonts w:hint="default" w:ascii="Times New Roman" w:hAnsi="Times New Roman" w:eastAsia="宋体" w:cs="Times New Roman"/>
                <w:color w:val="auto"/>
                <w:sz w:val="21"/>
                <w:szCs w:val="21"/>
                <w:highlight w:val="none"/>
                <w:lang w:val="en-US" w:eastAsia="zh-CN"/>
              </w:rPr>
              <w:br w:type="textWrapping"/>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GB24409-2020</w:t>
            </w:r>
            <w:r>
              <w:rPr>
                <w:rFonts w:hint="eastAsia" w:cs="Times New Roman"/>
                <w:color w:val="auto"/>
                <w:sz w:val="21"/>
                <w:szCs w:val="21"/>
                <w:highlight w:val="none"/>
                <w:lang w:val="en-US" w:eastAsia="zh-CN"/>
              </w:rPr>
              <w:t>）</w:t>
            </w:r>
          </w:p>
        </w:tc>
        <w:tc>
          <w:tcPr>
            <w:tcW w:w="2339" w:type="dxa"/>
            <w:gridSpan w:val="2"/>
            <w:tcBorders>
              <w:top w:val="single" w:color="000000" w:sz="4" w:space="0"/>
              <w:left w:val="single" w:color="000000" w:sz="4" w:space="0"/>
              <w:bottom w:val="single" w:color="000000" w:sz="4" w:space="0"/>
              <w:right w:val="single" w:color="000000" w:sz="4" w:space="0"/>
            </w:tcBorders>
            <w:noWrap w:val="0"/>
            <w:vAlign w:val="center"/>
          </w:tcPr>
          <w:p w14:paraId="65435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w:t>
            </w:r>
          </w:p>
        </w:tc>
        <w:tc>
          <w:tcPr>
            <w:tcW w:w="37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EC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w:t>
            </w:r>
          </w:p>
        </w:tc>
      </w:tr>
      <w:tr w14:paraId="3B48D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8DF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2070" w:type="dxa"/>
            <w:gridSpan w:val="3"/>
            <w:tcBorders>
              <w:top w:val="single" w:color="000000" w:sz="4" w:space="0"/>
              <w:left w:val="single" w:color="000000" w:sz="4" w:space="0"/>
              <w:bottom w:val="single" w:color="000000" w:sz="4" w:space="0"/>
              <w:right w:val="single" w:color="000000" w:sz="4" w:space="0"/>
            </w:tcBorders>
            <w:noWrap w:val="0"/>
            <w:vAlign w:val="center"/>
          </w:tcPr>
          <w:p w14:paraId="158DA2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VOCs含量限值</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g/L</w:t>
            </w:r>
            <w:r>
              <w:rPr>
                <w:rFonts w:hint="eastAsia" w:cs="Times New Roman"/>
                <w:color w:val="auto"/>
                <w:sz w:val="21"/>
                <w:szCs w:val="21"/>
                <w:highlight w:val="none"/>
                <w:lang w:val="en-US" w:eastAsia="zh-CN"/>
              </w:rPr>
              <w:t>）</w:t>
            </w:r>
          </w:p>
        </w:tc>
        <w:tc>
          <w:tcPr>
            <w:tcW w:w="2295" w:type="dxa"/>
            <w:gridSpan w:val="3"/>
            <w:tcBorders>
              <w:top w:val="single" w:color="000000" w:sz="4" w:space="0"/>
              <w:left w:val="single" w:color="000000" w:sz="4" w:space="0"/>
              <w:bottom w:val="single" w:color="000000" w:sz="4" w:space="0"/>
              <w:right w:val="single" w:color="000000" w:sz="4" w:space="0"/>
            </w:tcBorders>
            <w:noWrap w:val="0"/>
            <w:vAlign w:val="center"/>
          </w:tcPr>
          <w:p w14:paraId="16E232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VOCs含量限值</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g/L</w:t>
            </w:r>
            <w:r>
              <w:rPr>
                <w:rFonts w:hint="eastAsia" w:cs="Times New Roman"/>
                <w:color w:val="auto"/>
                <w:sz w:val="21"/>
                <w:szCs w:val="21"/>
                <w:highlight w:val="none"/>
                <w:lang w:val="en-US" w:eastAsia="zh-CN"/>
              </w:rPr>
              <w:t>）</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18D526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甲苯与二甲苯</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含乙苯</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总和含量</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10CE6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VOCs含量</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g/L</w:t>
            </w:r>
            <w:r>
              <w:rPr>
                <w:rFonts w:hint="eastAsia" w:cs="Times New Roman"/>
                <w:color w:val="auto"/>
                <w:sz w:val="21"/>
                <w:szCs w:val="21"/>
                <w:highlight w:val="none"/>
                <w:lang w:val="en-US" w:eastAsia="zh-CN"/>
              </w:rPr>
              <w:t>）</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A201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甲苯与二甲苯</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含乙苯</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总和含量</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w:t>
            </w:r>
          </w:p>
        </w:tc>
        <w:tc>
          <w:tcPr>
            <w:tcW w:w="371"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1003F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r>
      <w:tr w14:paraId="366E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 w:type="dxa"/>
            <w:vMerge w:val="restart"/>
            <w:tcBorders>
              <w:top w:val="single" w:color="000000" w:sz="4" w:space="0"/>
              <w:left w:val="single" w:color="000000" w:sz="4" w:space="0"/>
              <w:right w:val="single" w:color="000000" w:sz="4" w:space="0"/>
            </w:tcBorders>
            <w:noWrap w:val="0"/>
            <w:vAlign w:val="center"/>
          </w:tcPr>
          <w:p w14:paraId="230BC5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车辆涂料</w:t>
            </w:r>
          </w:p>
        </w:tc>
        <w:tc>
          <w:tcPr>
            <w:tcW w:w="668" w:type="dxa"/>
            <w:vMerge w:val="restart"/>
            <w:tcBorders>
              <w:top w:val="single" w:color="000000" w:sz="4" w:space="0"/>
              <w:left w:val="single" w:color="000000" w:sz="4" w:space="0"/>
              <w:right w:val="single" w:color="000000" w:sz="4" w:space="0"/>
            </w:tcBorders>
            <w:noWrap w:val="0"/>
            <w:vAlign w:val="center"/>
          </w:tcPr>
          <w:p w14:paraId="07BE19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汽车原厂涂料</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乘用车</w:t>
            </w:r>
            <w:r>
              <w:rPr>
                <w:rFonts w:hint="eastAsia" w:cs="Times New Roman"/>
                <w:color w:val="auto"/>
                <w:sz w:val="21"/>
                <w:szCs w:val="21"/>
                <w:highlight w:val="none"/>
                <w:lang w:val="en-US" w:eastAsia="zh-CN"/>
              </w:rPr>
              <w:t>）</w:t>
            </w: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251890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底色漆-实色漆</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569AA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≤520</w:t>
            </w:r>
          </w:p>
        </w:tc>
        <w:tc>
          <w:tcPr>
            <w:tcW w:w="765" w:type="dxa"/>
            <w:vMerge w:val="restart"/>
            <w:tcBorders>
              <w:top w:val="single" w:color="000000" w:sz="4" w:space="0"/>
              <w:left w:val="single" w:color="000000" w:sz="4" w:space="0"/>
              <w:right w:val="single" w:color="000000" w:sz="4" w:space="0"/>
            </w:tcBorders>
            <w:noWrap w:val="0"/>
            <w:vAlign w:val="center"/>
          </w:tcPr>
          <w:p w14:paraId="146DF3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车辆用零部件涂料-外饰塑胶件用涂料</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09B7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底漆</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0405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≤700</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04773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8FE11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462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1DBEC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21.36</w:t>
            </w:r>
          </w:p>
        </w:tc>
        <w:tc>
          <w:tcPr>
            <w:tcW w:w="371" w:type="dxa"/>
            <w:tcBorders>
              <w:top w:val="single" w:color="000000" w:sz="4" w:space="0"/>
              <w:left w:val="single" w:color="000000" w:sz="4" w:space="0"/>
              <w:bottom w:val="single" w:color="000000" w:sz="4" w:space="0"/>
              <w:right w:val="single" w:color="000000" w:sz="4" w:space="0"/>
            </w:tcBorders>
            <w:noWrap w:val="0"/>
            <w:vAlign w:val="center"/>
          </w:tcPr>
          <w:p w14:paraId="2E08D0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50D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 w:type="dxa"/>
            <w:vMerge w:val="continue"/>
            <w:tcBorders>
              <w:left w:val="single" w:color="000000" w:sz="4" w:space="0"/>
              <w:right w:val="single" w:color="000000" w:sz="4" w:space="0"/>
            </w:tcBorders>
            <w:noWrap w:val="0"/>
            <w:vAlign w:val="center"/>
          </w:tcPr>
          <w:p w14:paraId="5488C2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68" w:type="dxa"/>
            <w:vMerge w:val="continue"/>
            <w:tcBorders>
              <w:left w:val="single" w:color="000000" w:sz="4" w:space="0"/>
              <w:right w:val="single" w:color="000000" w:sz="4" w:space="0"/>
            </w:tcBorders>
            <w:noWrap w:val="0"/>
            <w:vAlign w:val="center"/>
          </w:tcPr>
          <w:p w14:paraId="0B0F70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525F14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底色漆-效应颜料漆</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27426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≤580</w:t>
            </w:r>
          </w:p>
        </w:tc>
        <w:tc>
          <w:tcPr>
            <w:tcW w:w="765" w:type="dxa"/>
            <w:vMerge w:val="continue"/>
            <w:tcBorders>
              <w:left w:val="single" w:color="000000" w:sz="4" w:space="0"/>
              <w:right w:val="single" w:color="000000" w:sz="4" w:space="0"/>
            </w:tcBorders>
            <w:noWrap w:val="0"/>
            <w:vAlign w:val="center"/>
          </w:tcPr>
          <w:p w14:paraId="7F8DCE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638FE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色漆</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077D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≤770</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7B03A5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6F8A6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535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48DBD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21.9</w:t>
            </w:r>
            <w:r>
              <w:rPr>
                <w:rFonts w:hint="eastAsia" w:cs="Times New Roman"/>
                <w:color w:val="auto"/>
                <w:sz w:val="21"/>
                <w:szCs w:val="21"/>
                <w:highlight w:val="none"/>
                <w:lang w:val="en-US" w:eastAsia="zh-CN"/>
              </w:rPr>
              <w:t>5</w:t>
            </w:r>
          </w:p>
        </w:tc>
        <w:tc>
          <w:tcPr>
            <w:tcW w:w="371" w:type="dxa"/>
            <w:tcBorders>
              <w:top w:val="single" w:color="000000" w:sz="4" w:space="0"/>
              <w:left w:val="single" w:color="000000" w:sz="4" w:space="0"/>
              <w:bottom w:val="single" w:color="000000" w:sz="4" w:space="0"/>
              <w:right w:val="single" w:color="000000" w:sz="4" w:space="0"/>
            </w:tcBorders>
            <w:noWrap w:val="0"/>
            <w:vAlign w:val="center"/>
          </w:tcPr>
          <w:p w14:paraId="5DEFD9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315B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12" w:type="dxa"/>
            <w:vMerge w:val="continue"/>
            <w:tcBorders>
              <w:left w:val="single" w:color="000000" w:sz="4" w:space="0"/>
              <w:bottom w:val="single" w:color="000000" w:sz="4" w:space="0"/>
              <w:right w:val="single" w:color="000000" w:sz="4" w:space="0"/>
            </w:tcBorders>
            <w:noWrap w:val="0"/>
            <w:vAlign w:val="center"/>
          </w:tcPr>
          <w:p w14:paraId="1456CE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68" w:type="dxa"/>
            <w:vMerge w:val="continue"/>
            <w:tcBorders>
              <w:left w:val="single" w:color="000000" w:sz="4" w:space="0"/>
              <w:bottom w:val="single" w:color="000000" w:sz="4" w:space="0"/>
              <w:right w:val="single" w:color="000000" w:sz="4" w:space="0"/>
            </w:tcBorders>
            <w:noWrap w:val="0"/>
            <w:vAlign w:val="center"/>
          </w:tcPr>
          <w:p w14:paraId="7B5051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14:paraId="385858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清漆-</w:t>
            </w:r>
            <w:r>
              <w:rPr>
                <w:rFonts w:hint="eastAsia" w:cs="Times New Roman"/>
                <w:color w:val="auto"/>
                <w:sz w:val="21"/>
                <w:szCs w:val="21"/>
                <w:highlight w:val="none"/>
                <w:lang w:val="en-US" w:eastAsia="zh-CN"/>
              </w:rPr>
              <w:t>双组分</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E2B84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≤420</w:t>
            </w:r>
          </w:p>
        </w:tc>
        <w:tc>
          <w:tcPr>
            <w:tcW w:w="765" w:type="dxa"/>
            <w:vMerge w:val="continue"/>
            <w:tcBorders>
              <w:left w:val="single" w:color="000000" w:sz="4" w:space="0"/>
              <w:bottom w:val="single" w:color="000000" w:sz="4" w:space="0"/>
              <w:right w:val="single" w:color="000000" w:sz="4" w:space="0"/>
            </w:tcBorders>
            <w:noWrap w:val="0"/>
            <w:vAlign w:val="center"/>
          </w:tcPr>
          <w:p w14:paraId="49C445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745AA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清漆-其他</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FE2D2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≤560</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017DEC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24236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372</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C8CD8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lang w:val="en-US" w:eastAsia="zh-CN"/>
              </w:rPr>
              <w:t>78</w:t>
            </w:r>
          </w:p>
        </w:tc>
        <w:tc>
          <w:tcPr>
            <w:tcW w:w="371" w:type="dxa"/>
            <w:tcBorders>
              <w:top w:val="single" w:color="000000" w:sz="4" w:space="0"/>
              <w:left w:val="single" w:color="000000" w:sz="4" w:space="0"/>
              <w:bottom w:val="single" w:color="000000" w:sz="4" w:space="0"/>
              <w:right w:val="single" w:color="000000" w:sz="4" w:space="0"/>
            </w:tcBorders>
            <w:noWrap w:val="0"/>
            <w:vAlign w:val="center"/>
          </w:tcPr>
          <w:p w14:paraId="5F4ECB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2D90FEB4">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由上表可知，本项目所用涂料VOCs含量满足《低挥发性有机化合物含量涂料产品技术要求》（GB/T38597-2020）及《车辆涂料中有害物质限量》（GB24409-2020）VOCs含量限值要求，涂料中不含苯，甲苯与二甲苯（含乙苯）总和含量≤30%，符合《车辆涂料中有害物质限量》（GB24409-2020）其他有害物质含量限值要求。</w:t>
      </w:r>
    </w:p>
    <w:p w14:paraId="596D566A">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val="en-US" w:eastAsia="zh-CN" w:bidi="he-IL"/>
        </w:rPr>
        <w:t>②</w:t>
      </w:r>
      <w:r>
        <w:rPr>
          <w:rFonts w:hint="eastAsia" w:ascii="Times New Roman" w:hAnsi="Times New Roman" w:eastAsia="宋体" w:cs="Times New Roman"/>
          <w:color w:val="auto"/>
          <w:highlight w:val="none"/>
          <w:lang w:eastAsia="zh-CN" w:bidi="he-IL"/>
        </w:rPr>
        <w:t>清洗剂有害物质含量符合性分析</w:t>
      </w:r>
    </w:p>
    <w:p w14:paraId="6E72C7FF">
      <w:pPr>
        <w:pStyle w:val="1336"/>
        <w:ind w:firstLine="480"/>
        <w:rPr>
          <w:rFonts w:hint="eastAsia" w:ascii="Times New Roman" w:hAnsi="Times New Roman" w:eastAsia="宋体" w:cs="Times New Roman"/>
          <w:color w:val="auto"/>
          <w:highlight w:val="none"/>
          <w:lang w:eastAsia="zh-CN" w:bidi="he-IL"/>
        </w:rPr>
      </w:pPr>
      <w:r>
        <w:rPr>
          <w:rFonts w:hint="eastAsia" w:ascii="Times New Roman" w:hAnsi="Times New Roman" w:eastAsia="宋体" w:cs="Times New Roman"/>
          <w:color w:val="auto"/>
          <w:highlight w:val="none"/>
          <w:lang w:eastAsia="zh-CN" w:bidi="he-IL"/>
        </w:rPr>
        <w:t>本项目以乙酸丁酯（又名醋酸正丁酯）为清洗剂，属于</w:t>
      </w:r>
      <w:r>
        <w:rPr>
          <w:rFonts w:hint="eastAsia" w:cs="Times New Roman"/>
          <w:color w:val="auto"/>
          <w:highlight w:val="none"/>
          <w:lang w:eastAsia="zh-CN" w:bidi="he-IL"/>
        </w:rPr>
        <w:t>单一组分</w:t>
      </w:r>
      <w:r>
        <w:rPr>
          <w:rFonts w:hint="eastAsia" w:ascii="Times New Roman" w:hAnsi="Times New Roman" w:eastAsia="宋体" w:cs="Times New Roman"/>
          <w:color w:val="auto"/>
          <w:highlight w:val="none"/>
          <w:lang w:eastAsia="zh-CN" w:bidi="he-IL"/>
        </w:rPr>
        <w:t>有机溶剂清洗剂，乙酸丁酯密度为0.88g/cm，以100%挥发计，则VOCs含量为880g/L，不含苯、甲苯、乙苯和二甲苯，符合《清洗剂挥发性有机化合物含量限值》（GB38508-2020）相关限值要求（VOC含量≤900g/L，苯、甲苯、乙苯和二甲苯总和≤2%）。</w:t>
      </w:r>
    </w:p>
    <w:p w14:paraId="44DE0EEE">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（7）溶剂型涂料不可替代性说明</w:t>
      </w:r>
    </w:p>
    <w:p w14:paraId="33F069CD">
      <w:pPr>
        <w:pStyle w:val="1319"/>
        <w:ind w:firstLine="480"/>
        <w:rPr>
          <w:rFonts w:hint="eastAsia"/>
          <w:color w:val="auto"/>
          <w:highlight w:val="none"/>
        </w:rPr>
      </w:pPr>
      <w:r>
        <w:rPr>
          <w:rFonts w:hint="eastAsia"/>
          <w:color w:val="auto"/>
          <w:highlight w:val="none"/>
        </w:rPr>
        <w:t>评价要求建设单位关注涂料产品技术进步，建议后期根据汽车外饰件环境友好型涂料产品的发展应用，选择可替代的水性涂料，从而从源头上进一步减少VOCs的产生量。</w:t>
      </w:r>
    </w:p>
    <w:p w14:paraId="37270662">
      <w:pPr>
        <w:pStyle w:val="1319"/>
        <w:ind w:firstLine="480"/>
        <w:rPr>
          <w:rFonts w:hint="eastAsia"/>
          <w:color w:val="auto"/>
          <w:highlight w:val="none"/>
        </w:rPr>
      </w:pPr>
      <w:r>
        <w:rPr>
          <w:rFonts w:hint="eastAsia"/>
          <w:color w:val="auto"/>
          <w:highlight w:val="none"/>
        </w:rPr>
        <w:t>本项目生产的汽车外饰件供给奇瑞等汽车整车制造企业，主要用于越野车，为了保证越野车在恶劣环境下的使用寿命和性能，奇瑞等汽车整车制造企业对汽车外饰件的质量标准要求为：涂层附着力满足《色漆和清漆划格试验》</w:t>
      </w:r>
      <w:r>
        <w:rPr>
          <w:rFonts w:hint="eastAsia"/>
          <w:color w:val="auto"/>
          <w:highlight w:val="none"/>
          <w:lang w:eastAsia="zh-CN"/>
        </w:rPr>
        <w:t>（</w:t>
      </w:r>
      <w:r>
        <w:rPr>
          <w:rFonts w:hint="eastAsia"/>
          <w:color w:val="auto"/>
          <w:highlight w:val="none"/>
        </w:rPr>
        <w:t>GB/T9286-2021</w:t>
      </w:r>
      <w:r>
        <w:rPr>
          <w:rFonts w:hint="eastAsia"/>
          <w:color w:val="auto"/>
          <w:highlight w:val="none"/>
          <w:lang w:eastAsia="zh-CN"/>
        </w:rPr>
        <w:t>）</w:t>
      </w:r>
      <w:r>
        <w:rPr>
          <w:rFonts w:hint="eastAsia"/>
          <w:color w:val="auto"/>
          <w:highlight w:val="none"/>
        </w:rPr>
        <w:t>中5B标准要求，漆膜硬度满足《色漆和清漆 铅笔法测定漆膜硬度》</w:t>
      </w:r>
      <w:r>
        <w:rPr>
          <w:rFonts w:hint="eastAsia"/>
          <w:color w:val="auto"/>
          <w:highlight w:val="none"/>
          <w:lang w:eastAsia="zh-CN"/>
        </w:rPr>
        <w:t>（</w:t>
      </w:r>
      <w:r>
        <w:rPr>
          <w:rFonts w:hint="eastAsia"/>
          <w:color w:val="auto"/>
          <w:highlight w:val="none"/>
        </w:rPr>
        <w:t>GB/T6739-2022</w:t>
      </w:r>
      <w:r>
        <w:rPr>
          <w:rFonts w:hint="eastAsia"/>
          <w:color w:val="auto"/>
          <w:highlight w:val="none"/>
          <w:lang w:eastAsia="zh-CN"/>
        </w:rPr>
        <w:t>）</w:t>
      </w:r>
      <w:r>
        <w:rPr>
          <w:rFonts w:hint="eastAsia"/>
          <w:color w:val="auto"/>
          <w:highlight w:val="none"/>
        </w:rPr>
        <w:t>中3H标准要求，目前市面上可用的水性涂料附着力在4B~3B之间，漆膜硬度在HB~2H之间，很难达到汽车整车制造企业对越野车外饰件的质检要求。</w:t>
      </w:r>
    </w:p>
    <w:p w14:paraId="4D3D76DD">
      <w:pPr>
        <w:pStyle w:val="1319"/>
        <w:ind w:firstLine="480"/>
        <w:rPr>
          <w:rFonts w:hint="eastAsia"/>
          <w:color w:val="auto"/>
          <w:highlight w:val="none"/>
        </w:rPr>
      </w:pPr>
      <w:r>
        <w:rPr>
          <w:rFonts w:hint="eastAsia"/>
          <w:color w:val="auto"/>
          <w:highlight w:val="none"/>
        </w:rPr>
        <w:t>溶剂型涂料具有更强的附着力和耐久性，能够更牢固地附着在产品表面，且具有较高的耐候性，能够有效抵御紫外线、雨水和其他恶劣天气的侵蚀，确保外饰件在恶劣环境下长期使用中的外观和性能。根据建设单位市场调研，国内汽车外饰件涂装行业使用水性涂料的产品合格率低于80%</w:t>
      </w:r>
      <w:r>
        <w:rPr>
          <w:rFonts w:hint="eastAsia"/>
          <w:color w:val="auto"/>
          <w:highlight w:val="none"/>
          <w:lang w:eastAsia="zh-CN"/>
        </w:rPr>
        <w:t>，</w:t>
      </w:r>
      <w:r>
        <w:rPr>
          <w:rFonts w:hint="eastAsia"/>
          <w:color w:val="auto"/>
          <w:highlight w:val="none"/>
        </w:rPr>
        <w:t>成品合格率过低。水性涂料用于越野车，经阳光暴晒或雨水冲刷，易造成漆层掉落。综合考虑，本项目选择采用更为成熟可靠的溶剂型涂料。</w:t>
      </w:r>
    </w:p>
    <w:p w14:paraId="1184D7FC">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t>（8）能源消耗</w:t>
      </w:r>
    </w:p>
    <w:p w14:paraId="415304C5">
      <w:pPr>
        <w:pStyle w:val="1336"/>
        <w:ind w:firstLine="480"/>
        <w:rPr>
          <w:rFonts w:hint="eastAsia" w:eastAsia="宋体"/>
          <w:color w:val="auto"/>
          <w:highlight w:val="none"/>
          <w:lang w:val="en-US" w:eastAsia="zh-CN"/>
        </w:rPr>
      </w:pPr>
      <w:r>
        <w:rPr>
          <w:color w:val="auto"/>
          <w:highlight w:val="none"/>
        </w:rPr>
        <w:t>项目主要能源消耗见表</w:t>
      </w:r>
      <w:r>
        <w:rPr>
          <w:rFonts w:hint="eastAsia"/>
          <w:color w:val="auto"/>
          <w:highlight w:val="none"/>
          <w:lang w:eastAsia="zh-CN"/>
        </w:rPr>
        <w:t>3.</w:t>
      </w:r>
      <w:r>
        <w:rPr>
          <w:rFonts w:hint="eastAsia"/>
          <w:color w:val="auto"/>
          <w:highlight w:val="none"/>
          <w:lang w:val="en-US" w:eastAsia="zh-CN"/>
        </w:rPr>
        <w:t>1</w:t>
      </w:r>
      <w:r>
        <w:rPr>
          <w:color w:val="auto"/>
          <w:highlight w:val="none"/>
        </w:rPr>
        <w:t>-</w:t>
      </w:r>
      <w:r>
        <w:rPr>
          <w:rFonts w:hint="eastAsia"/>
          <w:color w:val="auto"/>
          <w:highlight w:val="none"/>
          <w:lang w:val="en-US" w:eastAsia="zh-CN"/>
        </w:rPr>
        <w:t>10</w:t>
      </w:r>
      <w:r>
        <w:rPr>
          <w:color w:val="auto"/>
          <w:highlight w:val="none"/>
        </w:rPr>
        <w:t>。</w:t>
      </w:r>
    </w:p>
    <w:p w14:paraId="18477D24">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 xml:space="preserve">10 </w:t>
      </w:r>
      <w:r>
        <w:rPr>
          <w:rFonts w:hint="default" w:ascii="Times New Roman" w:hAnsi="Times New Roman" w:cs="Times New Roman"/>
          <w:color w:val="auto"/>
          <w:highlight w:val="none"/>
        </w:rPr>
        <w:t xml:space="preserve"> 项目主要能源消耗一览表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2018"/>
        <w:gridCol w:w="2531"/>
        <w:gridCol w:w="2527"/>
      </w:tblGrid>
      <w:tr w14:paraId="3AA66C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0" w:type="pct"/>
            <w:tcBorders>
              <w:tl2br w:val="nil"/>
              <w:tr2bl w:val="nil"/>
            </w:tcBorders>
            <w:noWrap w:val="0"/>
            <w:vAlign w:val="center"/>
          </w:tcPr>
          <w:p w14:paraId="72F393F9">
            <w:pPr>
              <w:pStyle w:val="1358"/>
              <w:rPr>
                <w:color w:val="auto"/>
                <w:highlight w:val="none"/>
              </w:rPr>
            </w:pPr>
            <w:r>
              <w:rPr>
                <w:color w:val="auto"/>
                <w:highlight w:val="none"/>
              </w:rPr>
              <w:t>名称</w:t>
            </w:r>
          </w:p>
        </w:tc>
        <w:tc>
          <w:tcPr>
            <w:tcW w:w="1120" w:type="pct"/>
            <w:tcBorders>
              <w:tl2br w:val="nil"/>
              <w:tr2bl w:val="nil"/>
            </w:tcBorders>
            <w:noWrap w:val="0"/>
            <w:vAlign w:val="center"/>
          </w:tcPr>
          <w:p w14:paraId="64D02787">
            <w:pPr>
              <w:pStyle w:val="1358"/>
              <w:rPr>
                <w:color w:val="auto"/>
                <w:highlight w:val="none"/>
              </w:rPr>
            </w:pPr>
            <w:r>
              <w:rPr>
                <w:color w:val="auto"/>
                <w:highlight w:val="none"/>
              </w:rPr>
              <w:t>用量</w:t>
            </w:r>
          </w:p>
        </w:tc>
        <w:tc>
          <w:tcPr>
            <w:tcW w:w="1405" w:type="pct"/>
            <w:tcBorders>
              <w:tl2br w:val="nil"/>
              <w:tr2bl w:val="nil"/>
            </w:tcBorders>
            <w:noWrap w:val="0"/>
            <w:vAlign w:val="center"/>
          </w:tcPr>
          <w:p w14:paraId="542A326B">
            <w:pPr>
              <w:pStyle w:val="1358"/>
              <w:rPr>
                <w:color w:val="auto"/>
                <w:highlight w:val="none"/>
              </w:rPr>
            </w:pPr>
            <w:r>
              <w:rPr>
                <w:color w:val="auto"/>
                <w:highlight w:val="none"/>
              </w:rPr>
              <w:t>单位</w:t>
            </w:r>
          </w:p>
        </w:tc>
        <w:tc>
          <w:tcPr>
            <w:tcW w:w="1403" w:type="pct"/>
            <w:tcBorders>
              <w:tl2br w:val="nil"/>
              <w:tr2bl w:val="nil"/>
            </w:tcBorders>
            <w:noWrap w:val="0"/>
            <w:vAlign w:val="center"/>
          </w:tcPr>
          <w:p w14:paraId="7F9909E0">
            <w:pPr>
              <w:pStyle w:val="1358"/>
              <w:rPr>
                <w:color w:val="auto"/>
                <w:highlight w:val="none"/>
              </w:rPr>
            </w:pPr>
            <w:r>
              <w:rPr>
                <w:color w:val="auto"/>
                <w:highlight w:val="none"/>
              </w:rPr>
              <w:t>来源</w:t>
            </w:r>
          </w:p>
        </w:tc>
      </w:tr>
      <w:tr w14:paraId="194FE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0" w:type="pct"/>
            <w:tcBorders>
              <w:tl2br w:val="nil"/>
              <w:tr2bl w:val="nil"/>
            </w:tcBorders>
            <w:noWrap w:val="0"/>
            <w:vAlign w:val="center"/>
          </w:tcPr>
          <w:p w14:paraId="5954D3D9">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水</w:t>
            </w:r>
          </w:p>
        </w:tc>
        <w:tc>
          <w:tcPr>
            <w:tcW w:w="1120" w:type="pct"/>
            <w:tcBorders>
              <w:tl2br w:val="nil"/>
              <w:tr2bl w:val="nil"/>
            </w:tcBorders>
            <w:shd w:val="clear" w:color="auto" w:fill="auto"/>
            <w:noWrap w:val="0"/>
            <w:vAlign w:val="center"/>
          </w:tcPr>
          <w:p w14:paraId="70771A79">
            <w:pPr>
              <w:pStyle w:val="1358"/>
              <w:ind w:firstLine="0" w:firstLineChars="0"/>
              <w:rPr>
                <w:rFonts w:hint="default" w:ascii="宋体" w:hAnsi="宋体" w:eastAsia="宋体" w:cs="宋体"/>
                <w:i w:val="0"/>
                <w:iCs w:val="0"/>
                <w:color w:val="auto"/>
                <w:kern w:val="2"/>
                <w:sz w:val="21"/>
                <w:szCs w:val="21"/>
                <w:highlight w:val="none"/>
                <w:u w:val="none"/>
                <w:lang w:val="en-US" w:eastAsia="zh-CN" w:bidi="ar-SA"/>
              </w:rPr>
            </w:pPr>
            <w:r>
              <w:rPr>
                <w:rFonts w:hint="eastAsia" w:ascii="Times New Roman" w:hAnsi="Times New Roman" w:eastAsia="宋体" w:cs="Times New Roman"/>
                <w:color w:val="auto"/>
                <w:highlight w:val="none"/>
                <w:lang w:val="en-US" w:eastAsia="zh-CN"/>
              </w:rPr>
              <w:t>44585.7</w:t>
            </w:r>
          </w:p>
        </w:tc>
        <w:tc>
          <w:tcPr>
            <w:tcW w:w="1405" w:type="pct"/>
            <w:tcBorders>
              <w:tl2br w:val="nil"/>
              <w:tr2bl w:val="nil"/>
            </w:tcBorders>
            <w:noWrap w:val="0"/>
            <w:vAlign w:val="center"/>
          </w:tcPr>
          <w:p w14:paraId="23FE57B3">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t/a</w:t>
            </w:r>
          </w:p>
        </w:tc>
        <w:tc>
          <w:tcPr>
            <w:tcW w:w="1403" w:type="pct"/>
            <w:tcBorders>
              <w:tl2br w:val="nil"/>
              <w:tr2bl w:val="nil"/>
            </w:tcBorders>
            <w:noWrap w:val="0"/>
            <w:vAlign w:val="center"/>
          </w:tcPr>
          <w:p w14:paraId="4CE1F42D">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市政供水管网</w:t>
            </w:r>
          </w:p>
        </w:tc>
      </w:tr>
      <w:tr w14:paraId="629B9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0" w:type="pct"/>
            <w:tcBorders>
              <w:tl2br w:val="nil"/>
              <w:tr2bl w:val="nil"/>
            </w:tcBorders>
            <w:noWrap w:val="0"/>
            <w:vAlign w:val="center"/>
          </w:tcPr>
          <w:p w14:paraId="5A91F7FA">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w:t>
            </w:r>
          </w:p>
        </w:tc>
        <w:tc>
          <w:tcPr>
            <w:tcW w:w="1120" w:type="pct"/>
            <w:tcBorders>
              <w:tl2br w:val="nil"/>
              <w:tr2bl w:val="nil"/>
            </w:tcBorders>
            <w:noWrap w:val="0"/>
            <w:vAlign w:val="center"/>
          </w:tcPr>
          <w:p w14:paraId="618C93D8">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330</w:t>
            </w:r>
            <w:r>
              <w:rPr>
                <w:rFonts w:ascii="Times New Roman" w:hAnsi="Times New Roman" w:eastAsia="宋体" w:cs="Times New Roman"/>
                <w:color w:val="auto"/>
                <w:highlight w:val="none"/>
              </w:rPr>
              <w:t>万</w:t>
            </w:r>
          </w:p>
        </w:tc>
        <w:tc>
          <w:tcPr>
            <w:tcW w:w="1405" w:type="pct"/>
            <w:tcBorders>
              <w:tl2br w:val="nil"/>
              <w:tr2bl w:val="nil"/>
            </w:tcBorders>
            <w:noWrap w:val="0"/>
            <w:vAlign w:val="center"/>
          </w:tcPr>
          <w:p w14:paraId="514B7235">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kwh/a</w:t>
            </w:r>
          </w:p>
        </w:tc>
        <w:tc>
          <w:tcPr>
            <w:tcW w:w="1403" w:type="pct"/>
            <w:tcBorders>
              <w:tl2br w:val="nil"/>
              <w:tr2bl w:val="nil"/>
            </w:tcBorders>
            <w:noWrap w:val="0"/>
            <w:vAlign w:val="center"/>
          </w:tcPr>
          <w:p w14:paraId="49F6AC98">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市政供电系统</w:t>
            </w:r>
          </w:p>
        </w:tc>
      </w:tr>
      <w:tr w14:paraId="7E061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0" w:type="pct"/>
            <w:tcBorders>
              <w:tl2br w:val="nil"/>
              <w:tr2bl w:val="nil"/>
            </w:tcBorders>
            <w:noWrap w:val="0"/>
            <w:vAlign w:val="center"/>
          </w:tcPr>
          <w:p w14:paraId="0D008C6D">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天然气</w:t>
            </w:r>
          </w:p>
        </w:tc>
        <w:tc>
          <w:tcPr>
            <w:tcW w:w="1120" w:type="pct"/>
            <w:tcBorders>
              <w:tl2br w:val="nil"/>
              <w:tr2bl w:val="nil"/>
            </w:tcBorders>
            <w:noWrap w:val="0"/>
            <w:vAlign w:val="center"/>
          </w:tcPr>
          <w:p w14:paraId="5287BFBB">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33.408</w:t>
            </w:r>
          </w:p>
        </w:tc>
        <w:tc>
          <w:tcPr>
            <w:tcW w:w="1405" w:type="pct"/>
            <w:tcBorders>
              <w:tl2br w:val="nil"/>
              <w:tr2bl w:val="nil"/>
            </w:tcBorders>
            <w:noWrap w:val="0"/>
            <w:vAlign w:val="center"/>
          </w:tcPr>
          <w:p w14:paraId="01CFB85B">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万m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/a</w:t>
            </w:r>
          </w:p>
        </w:tc>
        <w:tc>
          <w:tcPr>
            <w:tcW w:w="1403" w:type="pct"/>
            <w:tcBorders>
              <w:tl2br w:val="nil"/>
              <w:tr2bl w:val="nil"/>
            </w:tcBorders>
            <w:noWrap w:val="0"/>
            <w:vAlign w:val="center"/>
          </w:tcPr>
          <w:p w14:paraId="17669907">
            <w:pPr>
              <w:pStyle w:val="1358"/>
              <w:ind w:firstLine="0" w:firstLineChars="0"/>
              <w:rPr>
                <w:rFonts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天然气管道</w:t>
            </w:r>
          </w:p>
        </w:tc>
      </w:tr>
    </w:tbl>
    <w:p w14:paraId="6862D24C">
      <w:pPr>
        <w:pStyle w:val="4"/>
        <w:numPr>
          <w:ilvl w:val="2"/>
          <w:numId w:val="0"/>
        </w:numPr>
        <w:tabs>
          <w:tab w:val="clear" w:pos="720"/>
        </w:tabs>
        <w:bidi w:val="0"/>
        <w:rPr>
          <w:color w:val="auto"/>
          <w:highlight w:val="none"/>
        </w:rPr>
      </w:pPr>
      <w:bookmarkStart w:id="336" w:name="_Toc3133"/>
      <w:r>
        <w:rPr>
          <w:rFonts w:hint="eastAsia"/>
          <w:color w:val="auto"/>
          <w:highlight w:val="none"/>
          <w:lang w:val="en-US" w:eastAsia="zh-CN"/>
        </w:rPr>
        <w:t xml:space="preserve">3.1.5 </w:t>
      </w:r>
      <w:r>
        <w:rPr>
          <w:color w:val="auto"/>
          <w:highlight w:val="none"/>
        </w:rPr>
        <w:t>主要生产设备</w:t>
      </w:r>
      <w:bookmarkEnd w:id="336"/>
    </w:p>
    <w:p w14:paraId="3ADF1D00">
      <w:pPr>
        <w:pStyle w:val="441"/>
        <w:ind w:firstLine="480"/>
        <w:rPr>
          <w:color w:val="auto"/>
          <w:highlight w:val="none"/>
        </w:rPr>
      </w:pPr>
      <w:r>
        <w:rPr>
          <w:color w:val="auto"/>
          <w:highlight w:val="none"/>
        </w:rPr>
        <w:t>项目主要设备清单见表</w:t>
      </w:r>
      <w:r>
        <w:rPr>
          <w:rFonts w:hint="eastAsia"/>
          <w:color w:val="auto"/>
          <w:highlight w:val="none"/>
          <w:lang w:eastAsia="zh-CN"/>
        </w:rPr>
        <w:t>3.</w:t>
      </w:r>
      <w:r>
        <w:rPr>
          <w:rFonts w:hint="eastAsia"/>
          <w:color w:val="auto"/>
          <w:highlight w:val="none"/>
          <w:lang w:val="en-US" w:eastAsia="zh-CN"/>
        </w:rPr>
        <w:t>1</w:t>
      </w:r>
      <w:r>
        <w:rPr>
          <w:color w:val="auto"/>
          <w:highlight w:val="none"/>
        </w:rPr>
        <w:t>-</w:t>
      </w:r>
      <w:r>
        <w:rPr>
          <w:rFonts w:hint="eastAsia"/>
          <w:color w:val="auto"/>
          <w:highlight w:val="none"/>
          <w:lang w:val="en-US" w:eastAsia="zh-CN"/>
        </w:rPr>
        <w:t>11</w:t>
      </w:r>
      <w:r>
        <w:rPr>
          <w:color w:val="auto"/>
          <w:highlight w:val="none"/>
        </w:rPr>
        <w:t>。</w:t>
      </w:r>
    </w:p>
    <w:p w14:paraId="072F82F5">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11</w:t>
      </w:r>
      <w:r>
        <w:rPr>
          <w:rFonts w:hint="default" w:ascii="Times New Roman" w:hAnsi="Times New Roman" w:cs="Times New Roman"/>
          <w:color w:val="auto"/>
          <w:highlight w:val="none"/>
        </w:rPr>
        <w:t xml:space="preserve">  主要生产设备一览表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9"/>
        <w:gridCol w:w="1110"/>
        <w:gridCol w:w="2175"/>
        <w:gridCol w:w="1980"/>
        <w:gridCol w:w="975"/>
        <w:gridCol w:w="2374"/>
      </w:tblGrid>
      <w:tr w14:paraId="17679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restart"/>
            <w:tcBorders>
              <w:tl2br w:val="nil"/>
              <w:tr2bl w:val="nil"/>
            </w:tcBorders>
            <w:noWrap w:val="0"/>
            <w:vAlign w:val="center"/>
          </w:tcPr>
          <w:p w14:paraId="31CF388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616" w:type="pct"/>
            <w:vMerge w:val="restart"/>
            <w:tcBorders>
              <w:tl2br w:val="nil"/>
              <w:tr2bl w:val="nil"/>
            </w:tcBorders>
            <w:noWrap w:val="0"/>
            <w:vAlign w:val="center"/>
          </w:tcPr>
          <w:p w14:paraId="261D7DA8">
            <w:pPr>
              <w:pStyle w:val="1358"/>
              <w:rPr>
                <w:rFonts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设备位置</w:t>
            </w:r>
          </w:p>
        </w:tc>
        <w:tc>
          <w:tcPr>
            <w:tcW w:w="2307" w:type="pct"/>
            <w:gridSpan w:val="2"/>
            <w:tcBorders>
              <w:tl2br w:val="nil"/>
              <w:tr2bl w:val="nil"/>
            </w:tcBorders>
            <w:noWrap w:val="0"/>
            <w:vAlign w:val="center"/>
          </w:tcPr>
          <w:p w14:paraId="30372BC9">
            <w:pPr>
              <w:pStyle w:val="1321"/>
              <w:rPr>
                <w:color w:val="auto"/>
                <w:highlight w:val="none"/>
              </w:rPr>
            </w:pPr>
            <w:r>
              <w:rPr>
                <w:color w:val="auto"/>
                <w:highlight w:val="none"/>
              </w:rPr>
              <w:t>主要设备/单元</w:t>
            </w:r>
          </w:p>
        </w:tc>
        <w:tc>
          <w:tcPr>
            <w:tcW w:w="541" w:type="pct"/>
            <w:vMerge w:val="restart"/>
            <w:tcBorders>
              <w:tl2br w:val="nil"/>
              <w:tr2bl w:val="nil"/>
            </w:tcBorders>
            <w:noWrap w:val="0"/>
            <w:vAlign w:val="center"/>
          </w:tcPr>
          <w:p w14:paraId="09A45866">
            <w:pPr>
              <w:pStyle w:val="1321"/>
              <w:rPr>
                <w:color w:val="auto"/>
                <w:highlight w:val="none"/>
              </w:rPr>
            </w:pPr>
            <w:r>
              <w:rPr>
                <w:color w:val="auto"/>
                <w:highlight w:val="none"/>
              </w:rPr>
              <w:t>数量</w:t>
            </w:r>
          </w:p>
        </w:tc>
        <w:tc>
          <w:tcPr>
            <w:tcW w:w="1318" w:type="pct"/>
            <w:vMerge w:val="restart"/>
            <w:tcBorders>
              <w:tl2br w:val="nil"/>
              <w:tr2bl w:val="nil"/>
            </w:tcBorders>
            <w:noWrap w:val="0"/>
            <w:vAlign w:val="center"/>
          </w:tcPr>
          <w:p w14:paraId="2151CE65">
            <w:pPr>
              <w:pStyle w:val="1321"/>
              <w:rPr>
                <w:rFonts w:hint="eastAsia" w:eastAsia="宋体"/>
                <w:color w:val="auto"/>
                <w:highlight w:val="none"/>
                <w:lang w:val="en-US" w:eastAsia="zh-CN"/>
              </w:rPr>
            </w:pPr>
            <w:r>
              <w:rPr>
                <w:rFonts w:hint="eastAsia"/>
                <w:color w:val="auto"/>
                <w:highlight w:val="none"/>
                <w:lang w:val="en-US" w:eastAsia="zh-CN"/>
              </w:rPr>
              <w:t>备注</w:t>
            </w:r>
          </w:p>
        </w:tc>
      </w:tr>
      <w:tr w14:paraId="210930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6C952B40">
            <w:pPr>
              <w:pStyle w:val="1321"/>
              <w:rPr>
                <w:color w:val="auto"/>
                <w:highlight w:val="none"/>
              </w:rPr>
            </w:pPr>
          </w:p>
        </w:tc>
        <w:tc>
          <w:tcPr>
            <w:tcW w:w="616" w:type="pct"/>
            <w:vMerge w:val="continue"/>
            <w:tcBorders>
              <w:tl2br w:val="nil"/>
              <w:tr2bl w:val="nil"/>
            </w:tcBorders>
            <w:noWrap w:val="0"/>
            <w:vAlign w:val="center"/>
          </w:tcPr>
          <w:p w14:paraId="55351FE0">
            <w:pPr>
              <w:pStyle w:val="1321"/>
              <w:rPr>
                <w:color w:val="auto"/>
                <w:highlight w:val="none"/>
              </w:rPr>
            </w:pPr>
          </w:p>
        </w:tc>
        <w:tc>
          <w:tcPr>
            <w:tcW w:w="1207" w:type="pct"/>
            <w:tcBorders>
              <w:tl2br w:val="nil"/>
              <w:tr2bl w:val="nil"/>
            </w:tcBorders>
            <w:noWrap w:val="0"/>
            <w:vAlign w:val="center"/>
          </w:tcPr>
          <w:p w14:paraId="362953EE">
            <w:pPr>
              <w:pStyle w:val="1358"/>
              <w:rPr>
                <w:color w:val="auto"/>
                <w:highlight w:val="none"/>
              </w:rPr>
            </w:pPr>
            <w:r>
              <w:rPr>
                <w:color w:val="auto"/>
                <w:highlight w:val="none"/>
              </w:rPr>
              <w:t>设备名称</w:t>
            </w:r>
          </w:p>
        </w:tc>
        <w:tc>
          <w:tcPr>
            <w:tcW w:w="1099" w:type="pct"/>
            <w:tcBorders>
              <w:tl2br w:val="nil"/>
              <w:tr2bl w:val="nil"/>
            </w:tcBorders>
            <w:noWrap w:val="0"/>
            <w:vAlign w:val="center"/>
          </w:tcPr>
          <w:p w14:paraId="688998FB">
            <w:pPr>
              <w:pStyle w:val="1358"/>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型号</w:t>
            </w:r>
          </w:p>
        </w:tc>
        <w:tc>
          <w:tcPr>
            <w:tcW w:w="541" w:type="pct"/>
            <w:vMerge w:val="continue"/>
            <w:tcBorders>
              <w:tl2br w:val="nil"/>
              <w:tr2bl w:val="nil"/>
            </w:tcBorders>
            <w:noWrap w:val="0"/>
            <w:vAlign w:val="center"/>
          </w:tcPr>
          <w:p w14:paraId="31AEDE36">
            <w:pPr>
              <w:pStyle w:val="1358"/>
              <w:rPr>
                <w:color w:val="auto"/>
                <w:highlight w:val="none"/>
              </w:rPr>
            </w:pPr>
          </w:p>
        </w:tc>
        <w:tc>
          <w:tcPr>
            <w:tcW w:w="1318" w:type="pct"/>
            <w:vMerge w:val="continue"/>
            <w:tcBorders>
              <w:tl2br w:val="nil"/>
              <w:tr2bl w:val="nil"/>
            </w:tcBorders>
            <w:noWrap w:val="0"/>
            <w:vAlign w:val="center"/>
          </w:tcPr>
          <w:p w14:paraId="239D8E21">
            <w:pPr>
              <w:pStyle w:val="1358"/>
              <w:rPr>
                <w:color w:val="auto"/>
                <w:highlight w:val="none"/>
              </w:rPr>
            </w:pPr>
          </w:p>
        </w:tc>
      </w:tr>
      <w:tr w14:paraId="465502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restart"/>
            <w:tcBorders>
              <w:tl2br w:val="nil"/>
              <w:tr2bl w:val="nil"/>
            </w:tcBorders>
            <w:noWrap w:val="0"/>
            <w:vAlign w:val="center"/>
          </w:tcPr>
          <w:p w14:paraId="5EE74F55">
            <w:pPr>
              <w:pStyle w:val="1358"/>
              <w:rPr>
                <w:color w:val="auto"/>
                <w:highlight w:val="none"/>
              </w:rPr>
            </w:pPr>
            <w:r>
              <w:rPr>
                <w:color w:val="auto"/>
                <w:highlight w:val="none"/>
              </w:rPr>
              <w:t>1</w:t>
            </w:r>
          </w:p>
        </w:tc>
        <w:tc>
          <w:tcPr>
            <w:tcW w:w="616" w:type="pct"/>
            <w:vMerge w:val="restart"/>
            <w:tcBorders>
              <w:tl2br w:val="nil"/>
              <w:tr2bl w:val="nil"/>
            </w:tcBorders>
            <w:noWrap w:val="0"/>
            <w:vAlign w:val="center"/>
          </w:tcPr>
          <w:p w14:paraId="3519202C">
            <w:pPr>
              <w:pStyle w:val="1358"/>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A库厂房</w:t>
            </w:r>
          </w:p>
        </w:tc>
        <w:tc>
          <w:tcPr>
            <w:tcW w:w="1207" w:type="pct"/>
            <w:tcBorders>
              <w:tl2br w:val="nil"/>
              <w:tr2bl w:val="nil"/>
            </w:tcBorders>
            <w:shd w:val="clear" w:color="auto" w:fill="auto"/>
            <w:noWrap w:val="0"/>
            <w:vAlign w:val="center"/>
          </w:tcPr>
          <w:p w14:paraId="3B2A18B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除静电室</w:t>
            </w:r>
          </w:p>
        </w:tc>
        <w:tc>
          <w:tcPr>
            <w:tcW w:w="1099" w:type="pct"/>
            <w:tcBorders>
              <w:tl2br w:val="nil"/>
              <w:tr2bl w:val="nil"/>
            </w:tcBorders>
            <w:shd w:val="clear" w:color="auto" w:fill="auto"/>
            <w:noWrap w:val="0"/>
            <w:vAlign w:val="center"/>
          </w:tcPr>
          <w:p w14:paraId="4086027E">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w:t>
            </w:r>
          </w:p>
        </w:tc>
        <w:tc>
          <w:tcPr>
            <w:tcW w:w="541" w:type="pct"/>
            <w:tcBorders>
              <w:tl2br w:val="nil"/>
              <w:tr2bl w:val="nil"/>
            </w:tcBorders>
            <w:shd w:val="clear" w:color="auto" w:fill="auto"/>
            <w:noWrap w:val="0"/>
            <w:vAlign w:val="center"/>
          </w:tcPr>
          <w:p w14:paraId="5470919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013F7A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21F2A4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49900346">
            <w:pPr>
              <w:pStyle w:val="1358"/>
              <w:rPr>
                <w:color w:val="auto"/>
                <w:highlight w:val="none"/>
              </w:rPr>
            </w:pPr>
          </w:p>
        </w:tc>
        <w:tc>
          <w:tcPr>
            <w:tcW w:w="616" w:type="pct"/>
            <w:vMerge w:val="continue"/>
            <w:tcBorders>
              <w:tl2br w:val="nil"/>
              <w:tr2bl w:val="nil"/>
            </w:tcBorders>
            <w:noWrap w:val="0"/>
            <w:vAlign w:val="center"/>
          </w:tcPr>
          <w:p w14:paraId="6FEFD5B0">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086AB39A">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底漆喷漆室</w:t>
            </w:r>
          </w:p>
        </w:tc>
        <w:tc>
          <w:tcPr>
            <w:tcW w:w="1099" w:type="pct"/>
            <w:tcBorders>
              <w:tl2br w:val="nil"/>
              <w:tr2bl w:val="nil"/>
            </w:tcBorders>
            <w:shd w:val="clear" w:color="auto" w:fill="auto"/>
            <w:noWrap w:val="0"/>
            <w:vAlign w:val="center"/>
          </w:tcPr>
          <w:p w14:paraId="1AE285CA">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IRB5400 5.5kw</w:t>
            </w:r>
          </w:p>
        </w:tc>
        <w:tc>
          <w:tcPr>
            <w:tcW w:w="541" w:type="pct"/>
            <w:tcBorders>
              <w:tl2br w:val="nil"/>
              <w:tr2bl w:val="nil"/>
            </w:tcBorders>
            <w:shd w:val="clear" w:color="auto" w:fill="auto"/>
            <w:noWrap w:val="0"/>
            <w:vAlign w:val="center"/>
          </w:tcPr>
          <w:p w14:paraId="03F51FEC">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1318" w:type="pct"/>
            <w:tcBorders>
              <w:tl2br w:val="nil"/>
              <w:tr2bl w:val="nil"/>
            </w:tcBorders>
            <w:shd w:val="clear" w:color="auto" w:fill="auto"/>
            <w:noWrap w:val="0"/>
            <w:vAlign w:val="center"/>
          </w:tcPr>
          <w:p w14:paraId="24B140F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25BA2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04F155D4">
            <w:pPr>
              <w:pStyle w:val="1358"/>
              <w:rPr>
                <w:color w:val="auto"/>
                <w:highlight w:val="none"/>
              </w:rPr>
            </w:pPr>
          </w:p>
        </w:tc>
        <w:tc>
          <w:tcPr>
            <w:tcW w:w="616" w:type="pct"/>
            <w:vMerge w:val="continue"/>
            <w:tcBorders>
              <w:tl2br w:val="nil"/>
              <w:tr2bl w:val="nil"/>
            </w:tcBorders>
            <w:noWrap w:val="0"/>
            <w:vAlign w:val="center"/>
          </w:tcPr>
          <w:p w14:paraId="1C60BC90">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0B655509">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底漆留平室</w:t>
            </w:r>
          </w:p>
        </w:tc>
        <w:tc>
          <w:tcPr>
            <w:tcW w:w="1099" w:type="pct"/>
            <w:tcBorders>
              <w:tl2br w:val="nil"/>
              <w:tr2bl w:val="nil"/>
            </w:tcBorders>
            <w:shd w:val="clear" w:color="auto" w:fill="auto"/>
            <w:noWrap w:val="0"/>
            <w:vAlign w:val="center"/>
          </w:tcPr>
          <w:p w14:paraId="7E4EA2D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w:t>
            </w:r>
          </w:p>
        </w:tc>
        <w:tc>
          <w:tcPr>
            <w:tcW w:w="541" w:type="pct"/>
            <w:tcBorders>
              <w:tl2br w:val="nil"/>
              <w:tr2bl w:val="nil"/>
            </w:tcBorders>
            <w:shd w:val="clear" w:color="auto" w:fill="auto"/>
            <w:noWrap w:val="0"/>
            <w:vAlign w:val="center"/>
          </w:tcPr>
          <w:p w14:paraId="45500FB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48DF9391">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5D1AF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12FD1B3">
            <w:pPr>
              <w:pStyle w:val="1358"/>
              <w:rPr>
                <w:color w:val="auto"/>
                <w:highlight w:val="none"/>
              </w:rPr>
            </w:pPr>
          </w:p>
        </w:tc>
        <w:tc>
          <w:tcPr>
            <w:tcW w:w="616" w:type="pct"/>
            <w:vMerge w:val="continue"/>
            <w:tcBorders>
              <w:tl2br w:val="nil"/>
              <w:tr2bl w:val="nil"/>
            </w:tcBorders>
            <w:noWrap w:val="0"/>
            <w:vAlign w:val="center"/>
          </w:tcPr>
          <w:p w14:paraId="7DAF5090">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6AA5251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色漆喷漆室</w:t>
            </w:r>
          </w:p>
        </w:tc>
        <w:tc>
          <w:tcPr>
            <w:tcW w:w="1099" w:type="pct"/>
            <w:tcBorders>
              <w:tl2br w:val="nil"/>
              <w:tr2bl w:val="nil"/>
            </w:tcBorders>
            <w:shd w:val="clear" w:color="auto" w:fill="auto"/>
            <w:noWrap w:val="0"/>
            <w:vAlign w:val="center"/>
          </w:tcPr>
          <w:p w14:paraId="511A3D6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IRB5400 5.5kw</w:t>
            </w:r>
          </w:p>
        </w:tc>
        <w:tc>
          <w:tcPr>
            <w:tcW w:w="541" w:type="pct"/>
            <w:tcBorders>
              <w:tl2br w:val="nil"/>
              <w:tr2bl w:val="nil"/>
            </w:tcBorders>
            <w:shd w:val="clear" w:color="auto" w:fill="auto"/>
            <w:noWrap w:val="0"/>
            <w:vAlign w:val="center"/>
          </w:tcPr>
          <w:p w14:paraId="2DCC37B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6</w:t>
            </w:r>
          </w:p>
        </w:tc>
        <w:tc>
          <w:tcPr>
            <w:tcW w:w="1318" w:type="pct"/>
            <w:tcBorders>
              <w:tl2br w:val="nil"/>
              <w:tr2bl w:val="nil"/>
            </w:tcBorders>
            <w:shd w:val="clear" w:color="auto" w:fill="auto"/>
            <w:noWrap w:val="0"/>
            <w:vAlign w:val="center"/>
          </w:tcPr>
          <w:p w14:paraId="25ED3BB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3388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36831D0A">
            <w:pPr>
              <w:pStyle w:val="1358"/>
              <w:rPr>
                <w:color w:val="auto"/>
                <w:highlight w:val="none"/>
              </w:rPr>
            </w:pPr>
          </w:p>
        </w:tc>
        <w:tc>
          <w:tcPr>
            <w:tcW w:w="616" w:type="pct"/>
            <w:vMerge w:val="continue"/>
            <w:tcBorders>
              <w:tl2br w:val="nil"/>
              <w:tr2bl w:val="nil"/>
            </w:tcBorders>
            <w:noWrap w:val="0"/>
            <w:vAlign w:val="center"/>
          </w:tcPr>
          <w:p w14:paraId="73CBFFF3">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7926A095">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清漆留平室</w:t>
            </w:r>
          </w:p>
        </w:tc>
        <w:tc>
          <w:tcPr>
            <w:tcW w:w="1099" w:type="pct"/>
            <w:tcBorders>
              <w:tl2br w:val="nil"/>
              <w:tr2bl w:val="nil"/>
            </w:tcBorders>
            <w:shd w:val="clear" w:color="auto" w:fill="auto"/>
            <w:noWrap w:val="0"/>
            <w:vAlign w:val="center"/>
          </w:tcPr>
          <w:p w14:paraId="4190B99E">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541" w:type="pct"/>
            <w:tcBorders>
              <w:tl2br w:val="nil"/>
              <w:tr2bl w:val="nil"/>
            </w:tcBorders>
            <w:shd w:val="clear" w:color="auto" w:fill="auto"/>
            <w:noWrap w:val="0"/>
            <w:vAlign w:val="center"/>
          </w:tcPr>
          <w:p w14:paraId="6D6A9926">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0C03584">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64069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C58B02D">
            <w:pPr>
              <w:pStyle w:val="1358"/>
              <w:rPr>
                <w:color w:val="auto"/>
                <w:highlight w:val="none"/>
              </w:rPr>
            </w:pPr>
          </w:p>
        </w:tc>
        <w:tc>
          <w:tcPr>
            <w:tcW w:w="616" w:type="pct"/>
            <w:vMerge w:val="continue"/>
            <w:tcBorders>
              <w:tl2br w:val="nil"/>
              <w:tr2bl w:val="nil"/>
            </w:tcBorders>
            <w:noWrap w:val="0"/>
            <w:vAlign w:val="center"/>
          </w:tcPr>
          <w:p w14:paraId="696F346A">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52226A28">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清漆喷漆室</w:t>
            </w:r>
          </w:p>
        </w:tc>
        <w:tc>
          <w:tcPr>
            <w:tcW w:w="1099" w:type="pct"/>
            <w:tcBorders>
              <w:tl2br w:val="nil"/>
              <w:tr2bl w:val="nil"/>
            </w:tcBorders>
            <w:shd w:val="clear" w:color="auto" w:fill="auto"/>
            <w:noWrap w:val="0"/>
            <w:vAlign w:val="center"/>
          </w:tcPr>
          <w:p w14:paraId="50F5CF53">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IRB5400 5.5kw</w:t>
            </w:r>
          </w:p>
        </w:tc>
        <w:tc>
          <w:tcPr>
            <w:tcW w:w="541" w:type="pct"/>
            <w:tcBorders>
              <w:tl2br w:val="nil"/>
              <w:tr2bl w:val="nil"/>
            </w:tcBorders>
            <w:shd w:val="clear" w:color="auto" w:fill="auto"/>
            <w:noWrap w:val="0"/>
            <w:vAlign w:val="center"/>
          </w:tcPr>
          <w:p w14:paraId="042E1FCA">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4</w:t>
            </w:r>
          </w:p>
        </w:tc>
        <w:tc>
          <w:tcPr>
            <w:tcW w:w="1318" w:type="pct"/>
            <w:tcBorders>
              <w:tl2br w:val="nil"/>
              <w:tr2bl w:val="nil"/>
            </w:tcBorders>
            <w:shd w:val="clear" w:color="auto" w:fill="auto"/>
            <w:noWrap w:val="0"/>
            <w:vAlign w:val="center"/>
          </w:tcPr>
          <w:p w14:paraId="1FF5725D">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216DF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E8392FF">
            <w:pPr>
              <w:pStyle w:val="1358"/>
              <w:rPr>
                <w:color w:val="auto"/>
                <w:highlight w:val="none"/>
              </w:rPr>
            </w:pPr>
          </w:p>
        </w:tc>
        <w:tc>
          <w:tcPr>
            <w:tcW w:w="616" w:type="pct"/>
            <w:vMerge w:val="continue"/>
            <w:tcBorders>
              <w:tl2br w:val="nil"/>
              <w:tr2bl w:val="nil"/>
            </w:tcBorders>
            <w:noWrap w:val="0"/>
            <w:vAlign w:val="center"/>
          </w:tcPr>
          <w:p w14:paraId="6A50D3F6">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5A1A511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固化炉</w:t>
            </w:r>
          </w:p>
        </w:tc>
        <w:tc>
          <w:tcPr>
            <w:tcW w:w="1099" w:type="pct"/>
            <w:tcBorders>
              <w:tl2br w:val="nil"/>
              <w:tr2bl w:val="nil"/>
            </w:tcBorders>
            <w:shd w:val="clear" w:color="auto" w:fill="auto"/>
            <w:noWrap w:val="0"/>
            <w:vAlign w:val="center"/>
          </w:tcPr>
          <w:p w14:paraId="1A8BCF29">
            <w:pPr>
              <w:pStyle w:val="1358"/>
              <w:ind w:firstLine="0" w:firstLineChars="0"/>
              <w:rPr>
                <w:rFonts w:hint="eastAsia"/>
                <w:color w:val="auto"/>
                <w:szCs w:val="21"/>
                <w:highlight w:val="none"/>
              </w:rPr>
            </w:pPr>
            <w:r>
              <w:rPr>
                <w:rFonts w:hint="eastAsia"/>
                <w:color w:val="auto"/>
                <w:szCs w:val="21"/>
                <w:highlight w:val="none"/>
                <w:lang w:val="en-US" w:eastAsia="zh-CN"/>
              </w:rPr>
              <w:t>7</w:t>
            </w:r>
            <w:r>
              <w:rPr>
                <w:rFonts w:hint="eastAsia"/>
                <w:color w:val="auto"/>
                <w:szCs w:val="21"/>
                <w:highlight w:val="none"/>
              </w:rPr>
              <w:t>0万大卡</w:t>
            </w:r>
          </w:p>
        </w:tc>
        <w:tc>
          <w:tcPr>
            <w:tcW w:w="541" w:type="pct"/>
            <w:tcBorders>
              <w:tl2br w:val="nil"/>
              <w:tr2bl w:val="nil"/>
            </w:tcBorders>
            <w:shd w:val="clear" w:color="auto" w:fill="auto"/>
            <w:noWrap w:val="0"/>
            <w:vAlign w:val="center"/>
          </w:tcPr>
          <w:p w14:paraId="65C28425">
            <w:pPr>
              <w:pStyle w:val="1358"/>
              <w:ind w:firstLine="0" w:firstLineChars="0"/>
              <w:rPr>
                <w:rFonts w:hint="eastAsia" w:eastAsia="宋体"/>
                <w:color w:val="auto"/>
                <w:szCs w:val="21"/>
                <w:highlight w:val="none"/>
                <w:lang w:val="en-US" w:eastAsia="zh-CN"/>
              </w:rPr>
            </w:pPr>
            <w:r>
              <w:rPr>
                <w:rFonts w:hint="eastAsia"/>
                <w:color w:val="auto"/>
                <w:szCs w:val="21"/>
                <w:highlight w:val="none"/>
                <w:lang w:val="en-US" w:eastAsia="zh-CN"/>
              </w:rPr>
              <w:t>1</w:t>
            </w:r>
          </w:p>
        </w:tc>
        <w:tc>
          <w:tcPr>
            <w:tcW w:w="1318" w:type="pct"/>
            <w:tcBorders>
              <w:tl2br w:val="nil"/>
              <w:tr2bl w:val="nil"/>
            </w:tcBorders>
            <w:shd w:val="clear" w:color="auto" w:fill="auto"/>
            <w:noWrap w:val="0"/>
            <w:vAlign w:val="center"/>
          </w:tcPr>
          <w:p w14:paraId="08D2B76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2348D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09D7932F">
            <w:pPr>
              <w:pStyle w:val="1358"/>
              <w:rPr>
                <w:color w:val="auto"/>
                <w:highlight w:val="none"/>
              </w:rPr>
            </w:pPr>
          </w:p>
        </w:tc>
        <w:tc>
          <w:tcPr>
            <w:tcW w:w="616" w:type="pct"/>
            <w:vMerge w:val="continue"/>
            <w:tcBorders>
              <w:tl2br w:val="nil"/>
              <w:tr2bl w:val="nil"/>
            </w:tcBorders>
            <w:noWrap w:val="0"/>
            <w:vAlign w:val="center"/>
          </w:tcPr>
          <w:p w14:paraId="0AA4972C">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3AA846E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油漆烘干室</w:t>
            </w:r>
          </w:p>
        </w:tc>
        <w:tc>
          <w:tcPr>
            <w:tcW w:w="1099" w:type="pct"/>
            <w:tcBorders>
              <w:tl2br w:val="nil"/>
              <w:tr2bl w:val="nil"/>
            </w:tcBorders>
            <w:shd w:val="clear" w:color="auto" w:fill="auto"/>
            <w:noWrap w:val="0"/>
            <w:vAlign w:val="center"/>
          </w:tcPr>
          <w:p w14:paraId="372B3E8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22kw</w:t>
            </w:r>
          </w:p>
        </w:tc>
        <w:tc>
          <w:tcPr>
            <w:tcW w:w="541" w:type="pct"/>
            <w:tcBorders>
              <w:tl2br w:val="nil"/>
              <w:tr2bl w:val="nil"/>
            </w:tcBorders>
            <w:shd w:val="clear" w:color="auto" w:fill="auto"/>
            <w:noWrap w:val="0"/>
            <w:vAlign w:val="center"/>
          </w:tcPr>
          <w:p w14:paraId="799B06B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1318" w:type="pct"/>
            <w:tcBorders>
              <w:tl2br w:val="nil"/>
              <w:tr2bl w:val="nil"/>
            </w:tcBorders>
            <w:shd w:val="clear" w:color="auto" w:fill="auto"/>
            <w:noWrap w:val="0"/>
            <w:vAlign w:val="center"/>
          </w:tcPr>
          <w:p w14:paraId="5A4F6EC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2D157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226DBD36">
            <w:pPr>
              <w:pStyle w:val="1358"/>
              <w:rPr>
                <w:color w:val="auto"/>
                <w:highlight w:val="none"/>
              </w:rPr>
            </w:pPr>
          </w:p>
        </w:tc>
        <w:tc>
          <w:tcPr>
            <w:tcW w:w="616" w:type="pct"/>
            <w:vMerge w:val="continue"/>
            <w:tcBorders>
              <w:tl2br w:val="nil"/>
              <w:tr2bl w:val="nil"/>
            </w:tcBorders>
            <w:noWrap w:val="0"/>
            <w:vAlign w:val="center"/>
          </w:tcPr>
          <w:p w14:paraId="183801F4">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256D92F1">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强冷室</w:t>
            </w:r>
          </w:p>
        </w:tc>
        <w:tc>
          <w:tcPr>
            <w:tcW w:w="1099" w:type="pct"/>
            <w:tcBorders>
              <w:tl2br w:val="nil"/>
              <w:tr2bl w:val="nil"/>
            </w:tcBorders>
            <w:shd w:val="clear" w:color="auto" w:fill="auto"/>
            <w:noWrap w:val="0"/>
            <w:vAlign w:val="center"/>
          </w:tcPr>
          <w:p w14:paraId="6913D398">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风冷</w:t>
            </w:r>
          </w:p>
        </w:tc>
        <w:tc>
          <w:tcPr>
            <w:tcW w:w="541" w:type="pct"/>
            <w:tcBorders>
              <w:tl2br w:val="nil"/>
              <w:tr2bl w:val="nil"/>
            </w:tcBorders>
            <w:shd w:val="clear" w:color="auto" w:fill="auto"/>
            <w:noWrap w:val="0"/>
            <w:vAlign w:val="center"/>
          </w:tcPr>
          <w:p w14:paraId="072E447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384F6E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50581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A8FCE98">
            <w:pPr>
              <w:pStyle w:val="1358"/>
              <w:rPr>
                <w:color w:val="auto"/>
                <w:highlight w:val="none"/>
              </w:rPr>
            </w:pPr>
          </w:p>
        </w:tc>
        <w:tc>
          <w:tcPr>
            <w:tcW w:w="616" w:type="pct"/>
            <w:vMerge w:val="continue"/>
            <w:tcBorders>
              <w:tl2br w:val="nil"/>
              <w:tr2bl w:val="nil"/>
            </w:tcBorders>
            <w:noWrap w:val="0"/>
            <w:vAlign w:val="center"/>
          </w:tcPr>
          <w:p w14:paraId="244FD3D8">
            <w:pPr>
              <w:pStyle w:val="1358"/>
              <w:rPr>
                <w:rFonts w:ascii="Times New Roman" w:hAnsi="Times New Roman" w:eastAsia="宋体" w:cs="Times New Roman"/>
                <w:color w:val="auto"/>
                <w:szCs w:val="21"/>
                <w:highlight w:val="none"/>
              </w:rPr>
            </w:pPr>
          </w:p>
        </w:tc>
        <w:tc>
          <w:tcPr>
            <w:tcW w:w="1207" w:type="pct"/>
            <w:tcBorders>
              <w:tl2br w:val="nil"/>
              <w:tr2bl w:val="nil"/>
            </w:tcBorders>
            <w:shd w:val="clear" w:color="auto" w:fill="auto"/>
            <w:noWrap w:val="0"/>
            <w:vAlign w:val="center"/>
          </w:tcPr>
          <w:p w14:paraId="6326F754">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点补室</w:t>
            </w:r>
          </w:p>
        </w:tc>
        <w:tc>
          <w:tcPr>
            <w:tcW w:w="1099" w:type="pct"/>
            <w:tcBorders>
              <w:tl2br w:val="nil"/>
              <w:tr2bl w:val="nil"/>
            </w:tcBorders>
            <w:shd w:val="clear" w:color="auto" w:fill="auto"/>
            <w:noWrap w:val="0"/>
            <w:vAlign w:val="center"/>
          </w:tcPr>
          <w:p w14:paraId="6695EAD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c>
          <w:tcPr>
            <w:tcW w:w="541" w:type="pct"/>
            <w:tcBorders>
              <w:tl2br w:val="nil"/>
              <w:tr2bl w:val="nil"/>
            </w:tcBorders>
            <w:shd w:val="clear" w:color="auto" w:fill="auto"/>
            <w:noWrap w:val="0"/>
            <w:vAlign w:val="center"/>
          </w:tcPr>
          <w:p w14:paraId="375F21D5">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6AFA7C4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FE7B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4F0E0542">
            <w:pPr>
              <w:pStyle w:val="1321"/>
              <w:rPr>
                <w:color w:val="auto"/>
                <w:highlight w:val="none"/>
              </w:rPr>
            </w:pPr>
          </w:p>
        </w:tc>
        <w:tc>
          <w:tcPr>
            <w:tcW w:w="616" w:type="pct"/>
            <w:vMerge w:val="continue"/>
            <w:tcBorders>
              <w:tl2br w:val="nil"/>
              <w:tr2bl w:val="nil"/>
            </w:tcBorders>
            <w:noWrap w:val="0"/>
            <w:vAlign w:val="center"/>
          </w:tcPr>
          <w:p w14:paraId="4B56581A">
            <w:pPr>
              <w:pStyle w:val="1321"/>
              <w:rPr>
                <w:color w:val="auto"/>
                <w:highlight w:val="none"/>
              </w:rPr>
            </w:pPr>
          </w:p>
        </w:tc>
        <w:tc>
          <w:tcPr>
            <w:tcW w:w="1207" w:type="pct"/>
            <w:tcBorders>
              <w:tl2br w:val="nil"/>
              <w:tr2bl w:val="nil"/>
            </w:tcBorders>
            <w:shd w:val="clear" w:color="auto" w:fill="auto"/>
            <w:noWrap w:val="0"/>
            <w:vAlign w:val="center"/>
          </w:tcPr>
          <w:p w14:paraId="0A44B079">
            <w:pPr>
              <w:pStyle w:val="1358"/>
              <w:ind w:firstLine="0" w:firstLineChars="0"/>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精修抛光室</w:t>
            </w:r>
          </w:p>
        </w:tc>
        <w:tc>
          <w:tcPr>
            <w:tcW w:w="1099" w:type="pct"/>
            <w:tcBorders>
              <w:tl2br w:val="nil"/>
              <w:tr2bl w:val="nil"/>
            </w:tcBorders>
            <w:shd w:val="clear" w:color="auto" w:fill="auto"/>
            <w:noWrap w:val="0"/>
            <w:vAlign w:val="center"/>
          </w:tcPr>
          <w:p w14:paraId="7ECCCE59">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120</w:t>
            </w:r>
            <w:r>
              <w:rPr>
                <w:rFonts w:hint="eastAsia"/>
                <w:color w:val="auto"/>
                <w:szCs w:val="21"/>
                <w:highlight w:val="none"/>
                <w:lang w:val="en-US" w:eastAsia="zh-CN"/>
              </w:rPr>
              <w:t>m</w:t>
            </w:r>
            <w:r>
              <w:rPr>
                <w:rFonts w:hint="eastAsia"/>
                <w:color w:val="auto"/>
                <w:szCs w:val="21"/>
                <w:highlight w:val="none"/>
                <w:vertAlign w:val="superscript"/>
                <w:lang w:val="en-US" w:eastAsia="zh-CN"/>
              </w:rPr>
              <w:t>2</w:t>
            </w:r>
          </w:p>
        </w:tc>
        <w:tc>
          <w:tcPr>
            <w:tcW w:w="541" w:type="pct"/>
            <w:tcBorders>
              <w:tl2br w:val="nil"/>
              <w:tr2bl w:val="nil"/>
            </w:tcBorders>
            <w:shd w:val="clear" w:color="auto" w:fill="auto"/>
            <w:noWrap w:val="0"/>
            <w:vAlign w:val="center"/>
          </w:tcPr>
          <w:p w14:paraId="1C1B1CA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65B69F8E">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FAD8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353C613">
            <w:pPr>
              <w:pStyle w:val="1321"/>
              <w:rPr>
                <w:color w:val="auto"/>
                <w:highlight w:val="none"/>
              </w:rPr>
            </w:pPr>
          </w:p>
        </w:tc>
        <w:tc>
          <w:tcPr>
            <w:tcW w:w="616" w:type="pct"/>
            <w:vMerge w:val="continue"/>
            <w:tcBorders>
              <w:tl2br w:val="nil"/>
              <w:tr2bl w:val="nil"/>
            </w:tcBorders>
            <w:noWrap w:val="0"/>
            <w:vAlign w:val="center"/>
          </w:tcPr>
          <w:p w14:paraId="6B4CABD5">
            <w:pPr>
              <w:pStyle w:val="1321"/>
              <w:rPr>
                <w:color w:val="auto"/>
                <w:highlight w:val="none"/>
              </w:rPr>
            </w:pPr>
          </w:p>
        </w:tc>
        <w:tc>
          <w:tcPr>
            <w:tcW w:w="1207" w:type="pct"/>
            <w:tcBorders>
              <w:tl2br w:val="nil"/>
              <w:tr2bl w:val="nil"/>
            </w:tcBorders>
            <w:shd w:val="clear" w:color="auto" w:fill="auto"/>
            <w:noWrap w:val="0"/>
            <w:vAlign w:val="center"/>
          </w:tcPr>
          <w:p w14:paraId="10CECA7D">
            <w:pPr>
              <w:pStyle w:val="1358"/>
              <w:ind w:firstLine="0" w:firstLineChars="0"/>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空压机</w:t>
            </w:r>
          </w:p>
        </w:tc>
        <w:tc>
          <w:tcPr>
            <w:tcW w:w="1099" w:type="pct"/>
            <w:tcBorders>
              <w:tl2br w:val="nil"/>
              <w:tr2bl w:val="nil"/>
            </w:tcBorders>
            <w:shd w:val="clear" w:color="auto" w:fill="auto"/>
            <w:noWrap w:val="0"/>
            <w:vAlign w:val="center"/>
          </w:tcPr>
          <w:p w14:paraId="237EC02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110</w:t>
            </w:r>
            <w:r>
              <w:rPr>
                <w:rFonts w:hint="eastAsia"/>
                <w:color w:val="auto"/>
                <w:szCs w:val="21"/>
                <w:highlight w:val="none"/>
              </w:rPr>
              <w:t>KW</w:t>
            </w:r>
          </w:p>
        </w:tc>
        <w:tc>
          <w:tcPr>
            <w:tcW w:w="541" w:type="pct"/>
            <w:tcBorders>
              <w:tl2br w:val="nil"/>
              <w:tr2bl w:val="nil"/>
            </w:tcBorders>
            <w:shd w:val="clear" w:color="auto" w:fill="auto"/>
            <w:noWrap w:val="0"/>
            <w:vAlign w:val="center"/>
          </w:tcPr>
          <w:p w14:paraId="3564C64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1318" w:type="pct"/>
            <w:tcBorders>
              <w:tl2br w:val="nil"/>
              <w:tr2bl w:val="nil"/>
            </w:tcBorders>
            <w:shd w:val="clear" w:color="auto" w:fill="auto"/>
            <w:noWrap w:val="0"/>
            <w:vAlign w:val="center"/>
          </w:tcPr>
          <w:p w14:paraId="7C8D4B3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6C62B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20748BFF">
            <w:pPr>
              <w:pStyle w:val="1321"/>
              <w:rPr>
                <w:color w:val="auto"/>
                <w:highlight w:val="none"/>
              </w:rPr>
            </w:pPr>
          </w:p>
        </w:tc>
        <w:tc>
          <w:tcPr>
            <w:tcW w:w="616" w:type="pct"/>
            <w:vMerge w:val="continue"/>
            <w:tcBorders>
              <w:tl2br w:val="nil"/>
              <w:tr2bl w:val="nil"/>
            </w:tcBorders>
            <w:noWrap w:val="0"/>
            <w:vAlign w:val="center"/>
          </w:tcPr>
          <w:p w14:paraId="71BD9AB8">
            <w:pPr>
              <w:pStyle w:val="1321"/>
              <w:rPr>
                <w:color w:val="auto"/>
                <w:highlight w:val="none"/>
              </w:rPr>
            </w:pPr>
          </w:p>
        </w:tc>
        <w:tc>
          <w:tcPr>
            <w:tcW w:w="1207" w:type="pct"/>
            <w:tcBorders>
              <w:tl2br w:val="nil"/>
              <w:tr2bl w:val="nil"/>
            </w:tcBorders>
            <w:shd w:val="clear" w:color="auto" w:fill="auto"/>
            <w:noWrap w:val="0"/>
            <w:vAlign w:val="center"/>
          </w:tcPr>
          <w:p w14:paraId="04096E73">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热水炉</w:t>
            </w:r>
          </w:p>
        </w:tc>
        <w:tc>
          <w:tcPr>
            <w:tcW w:w="1099" w:type="pct"/>
            <w:tcBorders>
              <w:tl2br w:val="nil"/>
              <w:tr2bl w:val="nil"/>
            </w:tcBorders>
            <w:shd w:val="clear" w:color="auto" w:fill="auto"/>
            <w:noWrap w:val="0"/>
            <w:vAlign w:val="center"/>
          </w:tcPr>
          <w:p w14:paraId="0A666AF5">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60万大卡</w:t>
            </w:r>
          </w:p>
        </w:tc>
        <w:tc>
          <w:tcPr>
            <w:tcW w:w="541" w:type="pct"/>
            <w:tcBorders>
              <w:tl2br w:val="nil"/>
              <w:tr2bl w:val="nil"/>
            </w:tcBorders>
            <w:shd w:val="clear" w:color="auto" w:fill="auto"/>
            <w:noWrap w:val="0"/>
            <w:vAlign w:val="center"/>
          </w:tcPr>
          <w:p w14:paraId="70A98952">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vMerge w:val="restart"/>
            <w:tcBorders>
              <w:tl2br w:val="nil"/>
              <w:tr2bl w:val="nil"/>
            </w:tcBorders>
            <w:shd w:val="clear" w:color="auto" w:fill="auto"/>
            <w:noWrap w:val="0"/>
            <w:vAlign w:val="center"/>
          </w:tcPr>
          <w:p w14:paraId="0B3932E3">
            <w:pPr>
              <w:pStyle w:val="1358"/>
              <w:ind w:firstLine="0" w:firstLineChars="0"/>
              <w:rPr>
                <w:rFonts w:hint="eastAsia" w:ascii="Times New Roman" w:hAnsi="Times New Roman" w:eastAsia="宋体" w:cs="Times New Roman"/>
                <w:color w:val="auto"/>
                <w:szCs w:val="21"/>
                <w:highlight w:val="none"/>
                <w:lang w:val="en-US" w:eastAsia="zh-CN"/>
              </w:rPr>
            </w:pPr>
            <w:r>
              <w:rPr>
                <w:rFonts w:hint="eastAsia"/>
                <w:color w:val="auto"/>
                <w:szCs w:val="21"/>
                <w:highlight w:val="none"/>
              </w:rPr>
              <w:t>用于保证涂装线恒温恒湿</w:t>
            </w:r>
          </w:p>
        </w:tc>
      </w:tr>
      <w:tr w14:paraId="5237A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D40F7E1">
            <w:pPr>
              <w:pStyle w:val="1321"/>
              <w:rPr>
                <w:color w:val="auto"/>
                <w:highlight w:val="none"/>
              </w:rPr>
            </w:pPr>
          </w:p>
        </w:tc>
        <w:tc>
          <w:tcPr>
            <w:tcW w:w="616" w:type="pct"/>
            <w:vMerge w:val="continue"/>
            <w:tcBorders>
              <w:tl2br w:val="nil"/>
              <w:tr2bl w:val="nil"/>
            </w:tcBorders>
            <w:noWrap w:val="0"/>
            <w:vAlign w:val="center"/>
          </w:tcPr>
          <w:p w14:paraId="3F6E5847">
            <w:pPr>
              <w:pStyle w:val="1321"/>
              <w:rPr>
                <w:color w:val="auto"/>
                <w:highlight w:val="none"/>
              </w:rPr>
            </w:pPr>
          </w:p>
        </w:tc>
        <w:tc>
          <w:tcPr>
            <w:tcW w:w="1207" w:type="pct"/>
            <w:tcBorders>
              <w:tl2br w:val="nil"/>
              <w:tr2bl w:val="nil"/>
            </w:tcBorders>
            <w:shd w:val="clear" w:color="auto" w:fill="auto"/>
            <w:noWrap w:val="0"/>
            <w:vAlign w:val="center"/>
          </w:tcPr>
          <w:p w14:paraId="12354008">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纯水制备系统</w:t>
            </w:r>
          </w:p>
        </w:tc>
        <w:tc>
          <w:tcPr>
            <w:tcW w:w="1099" w:type="pct"/>
            <w:tcBorders>
              <w:tl2br w:val="nil"/>
              <w:tr2bl w:val="nil"/>
            </w:tcBorders>
            <w:shd w:val="clear" w:color="auto" w:fill="auto"/>
            <w:noWrap w:val="0"/>
            <w:vAlign w:val="center"/>
          </w:tcPr>
          <w:p w14:paraId="4C0F80E7">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r>
              <w:rPr>
                <w:color w:val="auto"/>
                <w:szCs w:val="21"/>
                <w:highlight w:val="none"/>
              </w:rPr>
              <w:t>t/h</w:t>
            </w:r>
            <w:r>
              <w:rPr>
                <w:rFonts w:hint="eastAsia"/>
                <w:color w:val="auto"/>
                <w:szCs w:val="21"/>
                <w:highlight w:val="none"/>
              </w:rPr>
              <w:t>，二级反渗透</w:t>
            </w:r>
          </w:p>
        </w:tc>
        <w:tc>
          <w:tcPr>
            <w:tcW w:w="541" w:type="pct"/>
            <w:tcBorders>
              <w:tl2br w:val="nil"/>
              <w:tr2bl w:val="nil"/>
            </w:tcBorders>
            <w:shd w:val="clear" w:color="auto" w:fill="auto"/>
            <w:noWrap w:val="0"/>
            <w:vAlign w:val="center"/>
          </w:tcPr>
          <w:p w14:paraId="685FB06A">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vMerge w:val="continue"/>
            <w:tcBorders>
              <w:tl2br w:val="nil"/>
              <w:tr2bl w:val="nil"/>
            </w:tcBorders>
            <w:noWrap w:val="0"/>
            <w:vAlign w:val="center"/>
          </w:tcPr>
          <w:p w14:paraId="3F5154A5">
            <w:pPr>
              <w:pStyle w:val="1358"/>
              <w:rPr>
                <w:rFonts w:hint="eastAsia" w:ascii="Times New Roman" w:hAnsi="Times New Roman" w:eastAsia="宋体" w:cs="Times New Roman"/>
                <w:color w:val="auto"/>
                <w:szCs w:val="21"/>
                <w:highlight w:val="none"/>
                <w:lang w:val="en-US" w:eastAsia="zh-CN"/>
              </w:rPr>
            </w:pPr>
          </w:p>
        </w:tc>
      </w:tr>
      <w:tr w14:paraId="1971C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691233BC">
            <w:pPr>
              <w:pStyle w:val="1321"/>
              <w:rPr>
                <w:color w:val="auto"/>
                <w:highlight w:val="none"/>
              </w:rPr>
            </w:pPr>
          </w:p>
        </w:tc>
        <w:tc>
          <w:tcPr>
            <w:tcW w:w="616" w:type="pct"/>
            <w:vMerge w:val="continue"/>
            <w:tcBorders>
              <w:tl2br w:val="nil"/>
              <w:tr2bl w:val="nil"/>
            </w:tcBorders>
            <w:noWrap w:val="0"/>
            <w:vAlign w:val="center"/>
          </w:tcPr>
          <w:p w14:paraId="5A7407D6">
            <w:pPr>
              <w:pStyle w:val="1321"/>
              <w:rPr>
                <w:color w:val="auto"/>
                <w:highlight w:val="none"/>
              </w:rPr>
            </w:pPr>
          </w:p>
        </w:tc>
        <w:tc>
          <w:tcPr>
            <w:tcW w:w="1207" w:type="pct"/>
            <w:tcBorders>
              <w:tl2br w:val="nil"/>
              <w:tr2bl w:val="nil"/>
            </w:tcBorders>
            <w:shd w:val="clear" w:color="auto" w:fill="auto"/>
            <w:noWrap w:val="0"/>
            <w:vAlign w:val="center"/>
          </w:tcPr>
          <w:p w14:paraId="5A402B79">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冰水机</w:t>
            </w:r>
          </w:p>
        </w:tc>
        <w:tc>
          <w:tcPr>
            <w:tcW w:w="1099" w:type="pct"/>
            <w:tcBorders>
              <w:tl2br w:val="nil"/>
              <w:tr2bl w:val="nil"/>
            </w:tcBorders>
            <w:shd w:val="clear" w:color="auto" w:fill="auto"/>
            <w:noWrap w:val="0"/>
            <w:vAlign w:val="center"/>
          </w:tcPr>
          <w:p w14:paraId="2F17AA9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1330KW制冷量</w:t>
            </w:r>
          </w:p>
        </w:tc>
        <w:tc>
          <w:tcPr>
            <w:tcW w:w="541" w:type="pct"/>
            <w:tcBorders>
              <w:tl2br w:val="nil"/>
              <w:tr2bl w:val="nil"/>
            </w:tcBorders>
            <w:shd w:val="clear" w:color="auto" w:fill="auto"/>
            <w:noWrap w:val="0"/>
            <w:vAlign w:val="center"/>
          </w:tcPr>
          <w:p w14:paraId="72E86B64">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vMerge w:val="continue"/>
            <w:tcBorders>
              <w:tl2br w:val="nil"/>
              <w:tr2bl w:val="nil"/>
            </w:tcBorders>
            <w:noWrap w:val="0"/>
            <w:vAlign w:val="center"/>
          </w:tcPr>
          <w:p w14:paraId="2130042B">
            <w:pPr>
              <w:pStyle w:val="1358"/>
              <w:rPr>
                <w:rFonts w:hint="eastAsia" w:ascii="Times New Roman" w:hAnsi="Times New Roman" w:eastAsia="宋体" w:cs="Times New Roman"/>
                <w:color w:val="auto"/>
                <w:szCs w:val="21"/>
                <w:highlight w:val="none"/>
                <w:lang w:val="en-US" w:eastAsia="zh-CN"/>
              </w:rPr>
            </w:pPr>
          </w:p>
        </w:tc>
      </w:tr>
      <w:tr w14:paraId="36C6E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5CE3050">
            <w:pPr>
              <w:pStyle w:val="1321"/>
              <w:rPr>
                <w:color w:val="auto"/>
                <w:highlight w:val="none"/>
              </w:rPr>
            </w:pPr>
          </w:p>
        </w:tc>
        <w:tc>
          <w:tcPr>
            <w:tcW w:w="616" w:type="pct"/>
            <w:vMerge w:val="continue"/>
            <w:tcBorders>
              <w:tl2br w:val="nil"/>
              <w:tr2bl w:val="nil"/>
            </w:tcBorders>
            <w:noWrap w:val="0"/>
            <w:vAlign w:val="center"/>
          </w:tcPr>
          <w:p w14:paraId="49DC9EA3">
            <w:pPr>
              <w:pStyle w:val="1321"/>
              <w:rPr>
                <w:color w:val="auto"/>
                <w:highlight w:val="none"/>
              </w:rPr>
            </w:pPr>
          </w:p>
        </w:tc>
        <w:tc>
          <w:tcPr>
            <w:tcW w:w="1207" w:type="pct"/>
            <w:tcBorders>
              <w:tl2br w:val="nil"/>
              <w:tr2bl w:val="nil"/>
            </w:tcBorders>
            <w:shd w:val="clear" w:color="auto" w:fill="auto"/>
            <w:noWrap w:val="0"/>
            <w:vAlign w:val="center"/>
          </w:tcPr>
          <w:p w14:paraId="52160350">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冷冻水水箱</w:t>
            </w:r>
          </w:p>
        </w:tc>
        <w:tc>
          <w:tcPr>
            <w:tcW w:w="1099" w:type="pct"/>
            <w:tcBorders>
              <w:tl2br w:val="nil"/>
              <w:tr2bl w:val="nil"/>
            </w:tcBorders>
            <w:shd w:val="clear" w:color="auto" w:fill="auto"/>
            <w:noWrap w:val="0"/>
            <w:vAlign w:val="center"/>
          </w:tcPr>
          <w:p w14:paraId="06E8A11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10</w:t>
            </w:r>
            <w:r>
              <w:rPr>
                <w:rFonts w:hint="eastAsia"/>
                <w:color w:val="auto"/>
                <w:szCs w:val="21"/>
                <w:highlight w:val="none"/>
              </w:rPr>
              <w:t>m</w:t>
            </w:r>
            <w:r>
              <w:rPr>
                <w:rFonts w:hint="eastAsia"/>
                <w:color w:val="auto"/>
                <w:szCs w:val="21"/>
                <w:highlight w:val="none"/>
                <w:vertAlign w:val="superscript"/>
              </w:rPr>
              <w:t>3</w:t>
            </w:r>
          </w:p>
        </w:tc>
        <w:tc>
          <w:tcPr>
            <w:tcW w:w="541" w:type="pct"/>
            <w:tcBorders>
              <w:tl2br w:val="nil"/>
              <w:tr2bl w:val="nil"/>
            </w:tcBorders>
            <w:shd w:val="clear" w:color="auto" w:fill="auto"/>
            <w:noWrap w:val="0"/>
            <w:vAlign w:val="center"/>
          </w:tcPr>
          <w:p w14:paraId="3F689E32">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vMerge w:val="continue"/>
            <w:tcBorders>
              <w:tl2br w:val="nil"/>
              <w:tr2bl w:val="nil"/>
            </w:tcBorders>
            <w:noWrap w:val="0"/>
            <w:vAlign w:val="center"/>
          </w:tcPr>
          <w:p w14:paraId="0E2EBB11">
            <w:pPr>
              <w:pStyle w:val="1358"/>
              <w:rPr>
                <w:rFonts w:hint="eastAsia" w:ascii="Times New Roman" w:hAnsi="Times New Roman" w:eastAsia="宋体" w:cs="Times New Roman"/>
                <w:color w:val="auto"/>
                <w:szCs w:val="21"/>
                <w:highlight w:val="none"/>
                <w:lang w:val="en-US" w:eastAsia="zh-CN"/>
              </w:rPr>
            </w:pPr>
          </w:p>
        </w:tc>
      </w:tr>
      <w:tr w14:paraId="4BDCC3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28E07092">
            <w:pPr>
              <w:pStyle w:val="1321"/>
              <w:rPr>
                <w:color w:val="auto"/>
                <w:highlight w:val="none"/>
              </w:rPr>
            </w:pPr>
          </w:p>
        </w:tc>
        <w:tc>
          <w:tcPr>
            <w:tcW w:w="616" w:type="pct"/>
            <w:vMerge w:val="continue"/>
            <w:tcBorders>
              <w:tl2br w:val="nil"/>
              <w:tr2bl w:val="nil"/>
            </w:tcBorders>
            <w:noWrap w:val="0"/>
            <w:vAlign w:val="center"/>
          </w:tcPr>
          <w:p w14:paraId="0D4EA12A">
            <w:pPr>
              <w:pStyle w:val="1321"/>
              <w:rPr>
                <w:color w:val="auto"/>
                <w:highlight w:val="none"/>
              </w:rPr>
            </w:pPr>
          </w:p>
        </w:tc>
        <w:tc>
          <w:tcPr>
            <w:tcW w:w="1207" w:type="pct"/>
            <w:tcBorders>
              <w:tl2br w:val="nil"/>
              <w:tr2bl w:val="nil"/>
            </w:tcBorders>
            <w:shd w:val="clear" w:color="auto" w:fill="auto"/>
            <w:noWrap w:val="0"/>
            <w:vAlign w:val="center"/>
          </w:tcPr>
          <w:p w14:paraId="10C6B91A">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热水箱</w:t>
            </w:r>
          </w:p>
        </w:tc>
        <w:tc>
          <w:tcPr>
            <w:tcW w:w="1099" w:type="pct"/>
            <w:tcBorders>
              <w:tl2br w:val="nil"/>
              <w:tr2bl w:val="nil"/>
            </w:tcBorders>
            <w:shd w:val="clear" w:color="auto" w:fill="auto"/>
            <w:noWrap w:val="0"/>
            <w:vAlign w:val="center"/>
          </w:tcPr>
          <w:p w14:paraId="05E65B7F">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10</w:t>
            </w:r>
            <w:r>
              <w:rPr>
                <w:rFonts w:hint="eastAsia"/>
                <w:color w:val="auto"/>
                <w:szCs w:val="21"/>
                <w:highlight w:val="none"/>
              </w:rPr>
              <w:t>m</w:t>
            </w:r>
            <w:r>
              <w:rPr>
                <w:rFonts w:hint="eastAsia"/>
                <w:color w:val="auto"/>
                <w:szCs w:val="21"/>
                <w:highlight w:val="none"/>
                <w:vertAlign w:val="superscript"/>
              </w:rPr>
              <w:t>3</w:t>
            </w:r>
          </w:p>
        </w:tc>
        <w:tc>
          <w:tcPr>
            <w:tcW w:w="541" w:type="pct"/>
            <w:tcBorders>
              <w:tl2br w:val="nil"/>
              <w:tr2bl w:val="nil"/>
            </w:tcBorders>
            <w:shd w:val="clear" w:color="auto" w:fill="auto"/>
            <w:noWrap w:val="0"/>
            <w:vAlign w:val="center"/>
          </w:tcPr>
          <w:p w14:paraId="607D055C">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5AE2527">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1EE96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5D070F8F">
            <w:pPr>
              <w:pStyle w:val="1321"/>
              <w:rPr>
                <w:color w:val="auto"/>
                <w:highlight w:val="none"/>
              </w:rPr>
            </w:pPr>
          </w:p>
        </w:tc>
        <w:tc>
          <w:tcPr>
            <w:tcW w:w="616" w:type="pct"/>
            <w:vMerge w:val="continue"/>
            <w:tcBorders>
              <w:tl2br w:val="nil"/>
              <w:tr2bl w:val="nil"/>
            </w:tcBorders>
            <w:noWrap w:val="0"/>
            <w:vAlign w:val="center"/>
          </w:tcPr>
          <w:p w14:paraId="2245283E">
            <w:pPr>
              <w:pStyle w:val="1321"/>
              <w:rPr>
                <w:color w:val="auto"/>
                <w:highlight w:val="none"/>
              </w:rPr>
            </w:pPr>
          </w:p>
        </w:tc>
        <w:tc>
          <w:tcPr>
            <w:tcW w:w="1207" w:type="pct"/>
            <w:tcBorders>
              <w:tl2br w:val="nil"/>
              <w:tr2bl w:val="nil"/>
            </w:tcBorders>
            <w:shd w:val="clear" w:color="auto" w:fill="auto"/>
            <w:noWrap w:val="0"/>
            <w:vAlign w:val="center"/>
          </w:tcPr>
          <w:p w14:paraId="00DD965F">
            <w:pPr>
              <w:pStyle w:val="1321"/>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rPr>
              <w:t>冷却塔</w:t>
            </w:r>
          </w:p>
        </w:tc>
        <w:tc>
          <w:tcPr>
            <w:tcW w:w="1099" w:type="pct"/>
            <w:tcBorders>
              <w:tl2br w:val="nil"/>
              <w:tr2bl w:val="nil"/>
            </w:tcBorders>
            <w:shd w:val="clear" w:color="auto" w:fill="auto"/>
            <w:noWrap w:val="0"/>
            <w:vAlign w:val="center"/>
          </w:tcPr>
          <w:p w14:paraId="236C0D43">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color w:val="auto"/>
                <w:szCs w:val="21"/>
                <w:highlight w:val="none"/>
              </w:rPr>
              <w:t>LCT-500</w:t>
            </w:r>
            <w:r>
              <w:rPr>
                <w:rFonts w:hint="eastAsia"/>
                <w:color w:val="auto"/>
                <w:szCs w:val="21"/>
                <w:highlight w:val="none"/>
              </w:rPr>
              <w:t xml:space="preserve"> 11.25KW</w:t>
            </w:r>
          </w:p>
        </w:tc>
        <w:tc>
          <w:tcPr>
            <w:tcW w:w="541" w:type="pct"/>
            <w:tcBorders>
              <w:tl2br w:val="nil"/>
              <w:tr2bl w:val="nil"/>
            </w:tcBorders>
            <w:shd w:val="clear" w:color="auto" w:fill="auto"/>
            <w:noWrap w:val="0"/>
            <w:vAlign w:val="center"/>
          </w:tcPr>
          <w:p w14:paraId="31CAAFE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62841D5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17A3E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6C52EF8D">
            <w:pPr>
              <w:pStyle w:val="1321"/>
              <w:rPr>
                <w:color w:val="auto"/>
                <w:highlight w:val="none"/>
              </w:rPr>
            </w:pPr>
          </w:p>
        </w:tc>
        <w:tc>
          <w:tcPr>
            <w:tcW w:w="616" w:type="pct"/>
            <w:vMerge w:val="continue"/>
            <w:tcBorders>
              <w:tl2br w:val="nil"/>
              <w:tr2bl w:val="nil"/>
            </w:tcBorders>
            <w:noWrap w:val="0"/>
            <w:vAlign w:val="center"/>
          </w:tcPr>
          <w:p w14:paraId="04F8CF7B">
            <w:pPr>
              <w:pStyle w:val="1321"/>
              <w:rPr>
                <w:color w:val="auto"/>
                <w:highlight w:val="none"/>
              </w:rPr>
            </w:pPr>
          </w:p>
        </w:tc>
        <w:tc>
          <w:tcPr>
            <w:tcW w:w="1207" w:type="pct"/>
            <w:tcBorders>
              <w:tl2br w:val="nil"/>
              <w:tr2bl w:val="nil"/>
            </w:tcBorders>
            <w:shd w:val="clear" w:color="auto" w:fill="auto"/>
            <w:noWrap w:val="0"/>
            <w:vAlign w:val="center"/>
          </w:tcPr>
          <w:p w14:paraId="7CBF68B5">
            <w:pPr>
              <w:pStyle w:val="1321"/>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rPr>
              <w:t>底漆循环风空调</w:t>
            </w:r>
          </w:p>
        </w:tc>
        <w:tc>
          <w:tcPr>
            <w:tcW w:w="1099" w:type="pct"/>
            <w:tcBorders>
              <w:tl2br w:val="nil"/>
              <w:tr2bl w:val="nil"/>
            </w:tcBorders>
            <w:shd w:val="clear" w:color="auto" w:fill="auto"/>
            <w:noWrap w:val="0"/>
            <w:vAlign w:val="center"/>
          </w:tcPr>
          <w:p w14:paraId="29D4B73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4.7万m</w:t>
            </w:r>
            <w:r>
              <w:rPr>
                <w:rFonts w:hint="eastAsia"/>
                <w:color w:val="auto"/>
                <w:szCs w:val="21"/>
                <w:highlight w:val="none"/>
                <w:vertAlign w:val="superscript"/>
              </w:rPr>
              <w:t>3</w:t>
            </w:r>
            <w:r>
              <w:rPr>
                <w:rFonts w:hint="eastAsia"/>
                <w:color w:val="auto"/>
                <w:szCs w:val="21"/>
                <w:highlight w:val="none"/>
              </w:rPr>
              <w:t>恒温恒湿</w:t>
            </w:r>
          </w:p>
        </w:tc>
        <w:tc>
          <w:tcPr>
            <w:tcW w:w="541" w:type="pct"/>
            <w:tcBorders>
              <w:tl2br w:val="nil"/>
              <w:tr2bl w:val="nil"/>
            </w:tcBorders>
            <w:shd w:val="clear" w:color="auto" w:fill="auto"/>
            <w:noWrap w:val="0"/>
            <w:vAlign w:val="center"/>
          </w:tcPr>
          <w:p w14:paraId="0C51EEE2">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6EAEF66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508E3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B7EBE98">
            <w:pPr>
              <w:pStyle w:val="1321"/>
              <w:rPr>
                <w:color w:val="auto"/>
                <w:highlight w:val="none"/>
              </w:rPr>
            </w:pPr>
          </w:p>
        </w:tc>
        <w:tc>
          <w:tcPr>
            <w:tcW w:w="616" w:type="pct"/>
            <w:vMerge w:val="continue"/>
            <w:tcBorders>
              <w:tl2br w:val="nil"/>
              <w:tr2bl w:val="nil"/>
            </w:tcBorders>
            <w:noWrap w:val="0"/>
            <w:vAlign w:val="center"/>
          </w:tcPr>
          <w:p w14:paraId="09C83D90">
            <w:pPr>
              <w:pStyle w:val="1321"/>
              <w:rPr>
                <w:color w:val="auto"/>
                <w:highlight w:val="none"/>
              </w:rPr>
            </w:pPr>
          </w:p>
        </w:tc>
        <w:tc>
          <w:tcPr>
            <w:tcW w:w="1207" w:type="pct"/>
            <w:tcBorders>
              <w:tl2br w:val="nil"/>
              <w:tr2bl w:val="nil"/>
            </w:tcBorders>
            <w:shd w:val="clear" w:color="auto" w:fill="auto"/>
            <w:noWrap w:val="0"/>
            <w:vAlign w:val="center"/>
          </w:tcPr>
          <w:p w14:paraId="40877A0C">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色漆循环风空调</w:t>
            </w:r>
          </w:p>
        </w:tc>
        <w:tc>
          <w:tcPr>
            <w:tcW w:w="1099" w:type="pct"/>
            <w:tcBorders>
              <w:tl2br w:val="nil"/>
              <w:tr2bl w:val="nil"/>
            </w:tcBorders>
            <w:shd w:val="clear" w:color="auto" w:fill="auto"/>
            <w:noWrap w:val="0"/>
            <w:vAlign w:val="center"/>
          </w:tcPr>
          <w:p w14:paraId="16AEAD5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10万m</w:t>
            </w:r>
            <w:r>
              <w:rPr>
                <w:rFonts w:hint="eastAsia"/>
                <w:color w:val="auto"/>
                <w:szCs w:val="21"/>
                <w:highlight w:val="none"/>
                <w:vertAlign w:val="superscript"/>
              </w:rPr>
              <w:t>3</w:t>
            </w:r>
            <w:r>
              <w:rPr>
                <w:rFonts w:hint="eastAsia"/>
                <w:color w:val="auto"/>
                <w:szCs w:val="21"/>
                <w:highlight w:val="none"/>
              </w:rPr>
              <w:t>恒温恒湿</w:t>
            </w:r>
          </w:p>
        </w:tc>
        <w:tc>
          <w:tcPr>
            <w:tcW w:w="541" w:type="pct"/>
            <w:tcBorders>
              <w:tl2br w:val="nil"/>
              <w:tr2bl w:val="nil"/>
            </w:tcBorders>
            <w:shd w:val="clear" w:color="auto" w:fill="auto"/>
            <w:noWrap w:val="0"/>
            <w:vAlign w:val="center"/>
          </w:tcPr>
          <w:p w14:paraId="6794E644">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0267880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1FAA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251BF98A">
            <w:pPr>
              <w:pStyle w:val="1321"/>
              <w:rPr>
                <w:color w:val="auto"/>
                <w:highlight w:val="none"/>
              </w:rPr>
            </w:pPr>
          </w:p>
        </w:tc>
        <w:tc>
          <w:tcPr>
            <w:tcW w:w="616" w:type="pct"/>
            <w:vMerge w:val="continue"/>
            <w:tcBorders>
              <w:tl2br w:val="nil"/>
              <w:tr2bl w:val="nil"/>
            </w:tcBorders>
            <w:noWrap w:val="0"/>
            <w:vAlign w:val="center"/>
          </w:tcPr>
          <w:p w14:paraId="79F948F0">
            <w:pPr>
              <w:pStyle w:val="1321"/>
              <w:rPr>
                <w:color w:val="auto"/>
                <w:highlight w:val="none"/>
              </w:rPr>
            </w:pPr>
          </w:p>
        </w:tc>
        <w:tc>
          <w:tcPr>
            <w:tcW w:w="1207" w:type="pct"/>
            <w:tcBorders>
              <w:tl2br w:val="nil"/>
              <w:tr2bl w:val="nil"/>
            </w:tcBorders>
            <w:shd w:val="clear" w:color="auto" w:fill="auto"/>
            <w:noWrap w:val="0"/>
            <w:vAlign w:val="center"/>
          </w:tcPr>
          <w:p w14:paraId="5358D826">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清漆循环风空调</w:t>
            </w:r>
          </w:p>
        </w:tc>
        <w:tc>
          <w:tcPr>
            <w:tcW w:w="1099" w:type="pct"/>
            <w:tcBorders>
              <w:tl2br w:val="nil"/>
              <w:tr2bl w:val="nil"/>
            </w:tcBorders>
            <w:shd w:val="clear" w:color="auto" w:fill="auto"/>
            <w:noWrap w:val="0"/>
            <w:vAlign w:val="center"/>
          </w:tcPr>
          <w:p w14:paraId="10C59397">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7.3万m</w:t>
            </w:r>
            <w:r>
              <w:rPr>
                <w:rFonts w:hint="eastAsia"/>
                <w:color w:val="auto"/>
                <w:szCs w:val="21"/>
                <w:highlight w:val="none"/>
                <w:vertAlign w:val="superscript"/>
              </w:rPr>
              <w:t>3</w:t>
            </w:r>
            <w:r>
              <w:rPr>
                <w:rFonts w:hint="eastAsia"/>
                <w:color w:val="auto"/>
                <w:szCs w:val="21"/>
                <w:highlight w:val="none"/>
              </w:rPr>
              <w:t>恒温恒湿</w:t>
            </w:r>
          </w:p>
        </w:tc>
        <w:tc>
          <w:tcPr>
            <w:tcW w:w="541" w:type="pct"/>
            <w:tcBorders>
              <w:tl2br w:val="nil"/>
              <w:tr2bl w:val="nil"/>
            </w:tcBorders>
            <w:shd w:val="clear" w:color="auto" w:fill="auto"/>
            <w:noWrap w:val="0"/>
            <w:vAlign w:val="center"/>
          </w:tcPr>
          <w:p w14:paraId="439312CE">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3B6B227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3A62B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59D5700">
            <w:pPr>
              <w:pStyle w:val="1321"/>
              <w:rPr>
                <w:color w:val="auto"/>
                <w:highlight w:val="none"/>
              </w:rPr>
            </w:pPr>
          </w:p>
        </w:tc>
        <w:tc>
          <w:tcPr>
            <w:tcW w:w="616" w:type="pct"/>
            <w:vMerge w:val="continue"/>
            <w:tcBorders>
              <w:tl2br w:val="nil"/>
              <w:tr2bl w:val="nil"/>
            </w:tcBorders>
            <w:noWrap w:val="0"/>
            <w:vAlign w:val="center"/>
          </w:tcPr>
          <w:p w14:paraId="619A0BE7">
            <w:pPr>
              <w:pStyle w:val="1321"/>
              <w:rPr>
                <w:color w:val="auto"/>
                <w:highlight w:val="none"/>
              </w:rPr>
            </w:pPr>
          </w:p>
        </w:tc>
        <w:tc>
          <w:tcPr>
            <w:tcW w:w="1207" w:type="pct"/>
            <w:tcBorders>
              <w:tl2br w:val="nil"/>
              <w:tr2bl w:val="nil"/>
            </w:tcBorders>
            <w:shd w:val="clear" w:color="auto" w:fill="auto"/>
            <w:noWrap w:val="0"/>
            <w:vAlign w:val="center"/>
          </w:tcPr>
          <w:p w14:paraId="5E31BED4">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集中供漆系统</w:t>
            </w:r>
          </w:p>
        </w:tc>
        <w:tc>
          <w:tcPr>
            <w:tcW w:w="1099" w:type="pct"/>
            <w:tcBorders>
              <w:tl2br w:val="nil"/>
              <w:tr2bl w:val="nil"/>
            </w:tcBorders>
            <w:shd w:val="clear" w:color="auto" w:fill="auto"/>
            <w:noWrap w:val="0"/>
            <w:vAlign w:val="center"/>
          </w:tcPr>
          <w:p w14:paraId="04953224">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自动供漆，换色</w:t>
            </w:r>
          </w:p>
        </w:tc>
        <w:tc>
          <w:tcPr>
            <w:tcW w:w="541" w:type="pct"/>
            <w:tcBorders>
              <w:tl2br w:val="nil"/>
              <w:tr2bl w:val="nil"/>
            </w:tcBorders>
            <w:shd w:val="clear" w:color="auto" w:fill="auto"/>
            <w:noWrap w:val="0"/>
            <w:vAlign w:val="center"/>
          </w:tcPr>
          <w:p w14:paraId="41A52F4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3E639F44">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5E698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21946DD7">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50D890A6">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2C778277">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废清洗剂回收装置</w:t>
            </w:r>
          </w:p>
        </w:tc>
        <w:tc>
          <w:tcPr>
            <w:tcW w:w="1099" w:type="pct"/>
            <w:tcBorders>
              <w:tl2br w:val="nil"/>
              <w:tr2bl w:val="nil"/>
            </w:tcBorders>
            <w:shd w:val="clear" w:color="auto" w:fill="auto"/>
            <w:noWrap w:val="0"/>
            <w:vAlign w:val="center"/>
          </w:tcPr>
          <w:p w14:paraId="4D22E31F">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541" w:type="pct"/>
            <w:tcBorders>
              <w:tl2br w:val="nil"/>
              <w:tr2bl w:val="nil"/>
            </w:tcBorders>
            <w:shd w:val="clear" w:color="auto" w:fill="auto"/>
            <w:noWrap w:val="0"/>
            <w:vAlign w:val="center"/>
          </w:tcPr>
          <w:p w14:paraId="7F3D76B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7D12CA21">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用于喷枪和管道清洗剂回收</w:t>
            </w:r>
          </w:p>
        </w:tc>
      </w:tr>
      <w:tr w14:paraId="3B2CC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A1B2A40">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37C0EA15">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1888DE4D">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CO2自动灭火装置</w:t>
            </w:r>
          </w:p>
        </w:tc>
        <w:tc>
          <w:tcPr>
            <w:tcW w:w="1099" w:type="pct"/>
            <w:tcBorders>
              <w:tl2br w:val="nil"/>
              <w:tr2bl w:val="nil"/>
            </w:tcBorders>
            <w:shd w:val="clear" w:color="auto" w:fill="auto"/>
            <w:noWrap w:val="0"/>
            <w:vAlign w:val="center"/>
          </w:tcPr>
          <w:p w14:paraId="323E4F5F">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541" w:type="pct"/>
            <w:tcBorders>
              <w:tl2br w:val="nil"/>
              <w:tr2bl w:val="nil"/>
            </w:tcBorders>
            <w:shd w:val="clear" w:color="auto" w:fill="auto"/>
            <w:noWrap w:val="0"/>
            <w:vAlign w:val="center"/>
          </w:tcPr>
          <w:p w14:paraId="771897E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B861D71">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086BB2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D93E3C9">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5F915814">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5B7ED04A">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装配线工作台</w:t>
            </w:r>
          </w:p>
        </w:tc>
        <w:tc>
          <w:tcPr>
            <w:tcW w:w="1099" w:type="pct"/>
            <w:tcBorders>
              <w:tl2br w:val="nil"/>
              <w:tr2bl w:val="nil"/>
            </w:tcBorders>
            <w:shd w:val="clear" w:color="auto" w:fill="auto"/>
            <w:noWrap w:val="0"/>
            <w:vAlign w:val="center"/>
          </w:tcPr>
          <w:p w14:paraId="36F9082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w:t>
            </w:r>
          </w:p>
        </w:tc>
        <w:tc>
          <w:tcPr>
            <w:tcW w:w="541" w:type="pct"/>
            <w:tcBorders>
              <w:tl2br w:val="nil"/>
              <w:tr2bl w:val="nil"/>
            </w:tcBorders>
            <w:shd w:val="clear" w:color="auto" w:fill="auto"/>
            <w:noWrap w:val="0"/>
            <w:vAlign w:val="center"/>
          </w:tcPr>
          <w:p w14:paraId="6D076AC8">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w:t>
            </w:r>
          </w:p>
        </w:tc>
        <w:tc>
          <w:tcPr>
            <w:tcW w:w="1318" w:type="pct"/>
            <w:tcBorders>
              <w:tl2br w:val="nil"/>
              <w:tr2bl w:val="nil"/>
            </w:tcBorders>
            <w:shd w:val="clear" w:color="auto" w:fill="auto"/>
            <w:noWrap w:val="0"/>
            <w:vAlign w:val="center"/>
          </w:tcPr>
          <w:p w14:paraId="2BE3B55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p>
        </w:tc>
      </w:tr>
      <w:tr w14:paraId="3EF1A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9EF956A">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74376A19">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3A4668B6">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RTO蓄热式焚烧炉</w:t>
            </w:r>
          </w:p>
        </w:tc>
        <w:tc>
          <w:tcPr>
            <w:tcW w:w="1099" w:type="pct"/>
            <w:tcBorders>
              <w:tl2br w:val="nil"/>
              <w:tr2bl w:val="nil"/>
            </w:tcBorders>
            <w:shd w:val="clear" w:color="auto" w:fill="auto"/>
            <w:noWrap w:val="0"/>
            <w:vAlign w:val="center"/>
          </w:tcPr>
          <w:p w14:paraId="34C4AAC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25000m</w:t>
            </w:r>
            <w:r>
              <w:rPr>
                <w:rFonts w:hint="eastAsia"/>
                <w:color w:val="auto"/>
                <w:szCs w:val="21"/>
                <w:highlight w:val="none"/>
                <w:vertAlign w:val="superscript"/>
              </w:rPr>
              <w:t>3</w:t>
            </w:r>
            <w:r>
              <w:rPr>
                <w:rFonts w:hint="eastAsia"/>
                <w:color w:val="auto"/>
                <w:szCs w:val="21"/>
                <w:highlight w:val="none"/>
              </w:rPr>
              <w:t>/h</w:t>
            </w:r>
          </w:p>
        </w:tc>
        <w:tc>
          <w:tcPr>
            <w:tcW w:w="541" w:type="pct"/>
            <w:tcBorders>
              <w:tl2br w:val="nil"/>
              <w:tr2bl w:val="nil"/>
            </w:tcBorders>
            <w:shd w:val="clear" w:color="auto" w:fill="auto"/>
            <w:noWrap w:val="0"/>
            <w:vAlign w:val="center"/>
          </w:tcPr>
          <w:p w14:paraId="4D992673">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2E1E8A43">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用于喷漆、流平、烘干、清洗废气处理</w:t>
            </w:r>
          </w:p>
        </w:tc>
      </w:tr>
      <w:tr w14:paraId="220F04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55FFCC85">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5038869E">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648D1CFB">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二级活性炭吸附装置</w:t>
            </w:r>
          </w:p>
        </w:tc>
        <w:tc>
          <w:tcPr>
            <w:tcW w:w="1099" w:type="pct"/>
            <w:tcBorders>
              <w:tl2br w:val="nil"/>
              <w:tr2bl w:val="nil"/>
            </w:tcBorders>
            <w:shd w:val="clear" w:color="auto" w:fill="auto"/>
            <w:noWrap w:val="0"/>
            <w:vAlign w:val="center"/>
          </w:tcPr>
          <w:p w14:paraId="2E576FD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6000m</w:t>
            </w:r>
            <w:r>
              <w:rPr>
                <w:rFonts w:hint="eastAsia"/>
                <w:color w:val="auto"/>
                <w:szCs w:val="21"/>
                <w:highlight w:val="none"/>
                <w:vertAlign w:val="superscript"/>
              </w:rPr>
              <w:t>3</w:t>
            </w:r>
            <w:r>
              <w:rPr>
                <w:rFonts w:hint="eastAsia"/>
                <w:color w:val="auto"/>
                <w:szCs w:val="21"/>
                <w:highlight w:val="none"/>
              </w:rPr>
              <w:t>/h</w:t>
            </w:r>
          </w:p>
        </w:tc>
        <w:tc>
          <w:tcPr>
            <w:tcW w:w="541" w:type="pct"/>
            <w:tcBorders>
              <w:tl2br w:val="nil"/>
              <w:tr2bl w:val="nil"/>
            </w:tcBorders>
            <w:shd w:val="clear" w:color="auto" w:fill="auto"/>
            <w:noWrap w:val="0"/>
            <w:vAlign w:val="center"/>
          </w:tcPr>
          <w:p w14:paraId="220A216D">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04420CE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用调漆废气处理</w:t>
            </w:r>
          </w:p>
        </w:tc>
      </w:tr>
      <w:tr w14:paraId="275BFE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5549F72D">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481B5C69">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37117817">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二级活性炭吸附装置</w:t>
            </w:r>
          </w:p>
        </w:tc>
        <w:tc>
          <w:tcPr>
            <w:tcW w:w="1099" w:type="pct"/>
            <w:tcBorders>
              <w:tl2br w:val="nil"/>
              <w:tr2bl w:val="nil"/>
            </w:tcBorders>
            <w:shd w:val="clear" w:color="auto" w:fill="auto"/>
            <w:noWrap w:val="0"/>
            <w:vAlign w:val="center"/>
          </w:tcPr>
          <w:p w14:paraId="2B87A147">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15000m</w:t>
            </w:r>
            <w:r>
              <w:rPr>
                <w:rFonts w:hint="eastAsia"/>
                <w:color w:val="auto"/>
                <w:szCs w:val="21"/>
                <w:highlight w:val="none"/>
                <w:vertAlign w:val="superscript"/>
              </w:rPr>
              <w:t>3</w:t>
            </w:r>
            <w:r>
              <w:rPr>
                <w:rFonts w:hint="eastAsia"/>
                <w:color w:val="auto"/>
                <w:szCs w:val="21"/>
                <w:highlight w:val="none"/>
              </w:rPr>
              <w:t>/h</w:t>
            </w:r>
          </w:p>
        </w:tc>
        <w:tc>
          <w:tcPr>
            <w:tcW w:w="541" w:type="pct"/>
            <w:tcBorders>
              <w:tl2br w:val="nil"/>
              <w:tr2bl w:val="nil"/>
            </w:tcBorders>
            <w:shd w:val="clear" w:color="auto" w:fill="auto"/>
            <w:noWrap w:val="0"/>
            <w:vAlign w:val="center"/>
          </w:tcPr>
          <w:p w14:paraId="06CCA7BA">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318" w:type="pct"/>
            <w:tcBorders>
              <w:tl2br w:val="nil"/>
              <w:tr2bl w:val="nil"/>
            </w:tcBorders>
            <w:shd w:val="clear" w:color="auto" w:fill="auto"/>
            <w:noWrap w:val="0"/>
            <w:vAlign w:val="center"/>
          </w:tcPr>
          <w:p w14:paraId="56069685">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用点补废气处理</w:t>
            </w:r>
          </w:p>
        </w:tc>
      </w:tr>
      <w:tr w14:paraId="5476C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CA3A3BE">
            <w:pPr>
              <w:pStyle w:val="1358"/>
              <w:rPr>
                <w:rFonts w:hint="eastAsia" w:ascii="Times New Roman" w:hAnsi="Times New Roman" w:eastAsia="宋体" w:cs="Times New Roman"/>
                <w:color w:val="auto"/>
                <w:szCs w:val="21"/>
                <w:highlight w:val="none"/>
                <w:lang w:val="en-US" w:eastAsia="zh-CN"/>
              </w:rPr>
            </w:pPr>
          </w:p>
        </w:tc>
        <w:tc>
          <w:tcPr>
            <w:tcW w:w="616" w:type="pct"/>
            <w:vMerge w:val="continue"/>
            <w:tcBorders>
              <w:tl2br w:val="nil"/>
              <w:tr2bl w:val="nil"/>
            </w:tcBorders>
            <w:noWrap w:val="0"/>
            <w:vAlign w:val="center"/>
          </w:tcPr>
          <w:p w14:paraId="15A08F3B">
            <w:pPr>
              <w:pStyle w:val="1358"/>
              <w:rPr>
                <w:rFonts w:hint="eastAsia" w:ascii="Times New Roman" w:hAnsi="Times New Roman" w:eastAsia="宋体" w:cs="Times New Roman"/>
                <w:color w:val="auto"/>
                <w:szCs w:val="21"/>
                <w:highlight w:val="none"/>
                <w:lang w:val="en-US" w:eastAsia="zh-CN"/>
              </w:rPr>
            </w:pPr>
          </w:p>
        </w:tc>
        <w:tc>
          <w:tcPr>
            <w:tcW w:w="1207" w:type="pct"/>
            <w:tcBorders>
              <w:tl2br w:val="nil"/>
              <w:tr2bl w:val="nil"/>
            </w:tcBorders>
            <w:shd w:val="clear" w:color="auto" w:fill="auto"/>
            <w:noWrap w:val="0"/>
            <w:vAlign w:val="center"/>
          </w:tcPr>
          <w:p w14:paraId="6E1E897A">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热洁炉</w:t>
            </w:r>
          </w:p>
        </w:tc>
        <w:tc>
          <w:tcPr>
            <w:tcW w:w="1099" w:type="pct"/>
            <w:tcBorders>
              <w:tl2br w:val="nil"/>
              <w:tr2bl w:val="nil"/>
            </w:tcBorders>
            <w:shd w:val="clear" w:color="auto" w:fill="auto"/>
            <w:noWrap w:val="0"/>
            <w:vAlign w:val="center"/>
          </w:tcPr>
          <w:p w14:paraId="7D4DC40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BD</w:t>
            </w:r>
            <w:r>
              <w:rPr>
                <w:rFonts w:hint="eastAsia" w:ascii="Times New Roman" w:hAnsi="Times New Roman" w:eastAsia="宋体" w:cs="Times New Roman"/>
                <w:color w:val="auto"/>
                <w:kern w:val="2"/>
                <w:sz w:val="21"/>
                <w:szCs w:val="21"/>
                <w:highlight w:val="none"/>
                <w:lang w:val="en-US" w:eastAsia="zh-CN" w:bidi="ar-SA"/>
              </w:rPr>
              <w:t>G</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0</w:t>
            </w:r>
            <w:r>
              <w:rPr>
                <w:rFonts w:hint="default" w:ascii="Times New Roman" w:hAnsi="Times New Roman" w:eastAsia="宋体" w:cs="Times New Roman"/>
                <w:color w:val="auto"/>
                <w:kern w:val="2"/>
                <w:sz w:val="21"/>
                <w:szCs w:val="21"/>
                <w:highlight w:val="none"/>
                <w:lang w:val="en-US" w:eastAsia="zh-CN" w:bidi="ar-SA"/>
              </w:rPr>
              <w:t>5</w:t>
            </w:r>
          </w:p>
        </w:tc>
        <w:tc>
          <w:tcPr>
            <w:tcW w:w="541" w:type="pct"/>
            <w:tcBorders>
              <w:tl2br w:val="nil"/>
              <w:tr2bl w:val="nil"/>
            </w:tcBorders>
            <w:shd w:val="clear" w:color="auto" w:fill="auto"/>
            <w:noWrap w:val="0"/>
            <w:vAlign w:val="center"/>
          </w:tcPr>
          <w:p w14:paraId="39154AD8">
            <w:pPr>
              <w:pStyle w:val="1358"/>
              <w:ind w:firstLine="0" w:firstLineChars="0"/>
              <w:rPr>
                <w:rFonts w:hint="eastAsia" w:eastAsia="宋体"/>
                <w:color w:val="auto"/>
                <w:szCs w:val="21"/>
                <w:highlight w:val="none"/>
                <w:lang w:val="en-US" w:eastAsia="zh-CN"/>
              </w:rPr>
            </w:pPr>
            <w:r>
              <w:rPr>
                <w:rFonts w:hint="eastAsia"/>
                <w:color w:val="auto"/>
                <w:szCs w:val="21"/>
                <w:highlight w:val="none"/>
                <w:lang w:val="en-US" w:eastAsia="zh-CN"/>
              </w:rPr>
              <w:t>1</w:t>
            </w:r>
          </w:p>
        </w:tc>
        <w:tc>
          <w:tcPr>
            <w:tcW w:w="1318" w:type="pct"/>
            <w:tcBorders>
              <w:tl2br w:val="nil"/>
              <w:tr2bl w:val="nil"/>
            </w:tcBorders>
            <w:shd w:val="clear" w:color="auto" w:fill="auto"/>
            <w:noWrap w:val="0"/>
            <w:vAlign w:val="center"/>
          </w:tcPr>
          <w:p w14:paraId="5DE3BD71">
            <w:pPr>
              <w:pStyle w:val="1358"/>
              <w:ind w:firstLine="0" w:firstLineChars="0"/>
              <w:rPr>
                <w:rFonts w:hint="eastAsia"/>
                <w:color w:val="auto"/>
                <w:szCs w:val="21"/>
                <w:highlight w:val="none"/>
              </w:rPr>
            </w:pPr>
          </w:p>
        </w:tc>
      </w:tr>
      <w:tr w14:paraId="5F8201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restart"/>
            <w:tcBorders>
              <w:tl2br w:val="nil"/>
              <w:tr2bl w:val="nil"/>
            </w:tcBorders>
            <w:noWrap w:val="0"/>
            <w:vAlign w:val="center"/>
          </w:tcPr>
          <w:p w14:paraId="3F09E9DB">
            <w:pPr>
              <w:pStyle w:val="1321"/>
              <w:rPr>
                <w:color w:val="auto"/>
                <w:highlight w:val="none"/>
              </w:rPr>
            </w:pPr>
            <w:r>
              <w:rPr>
                <w:color w:val="auto"/>
                <w:highlight w:val="none"/>
              </w:rPr>
              <w:t>2</w:t>
            </w:r>
          </w:p>
        </w:tc>
        <w:tc>
          <w:tcPr>
            <w:tcW w:w="616" w:type="pct"/>
            <w:vMerge w:val="restart"/>
            <w:tcBorders>
              <w:tl2br w:val="nil"/>
              <w:tr2bl w:val="nil"/>
            </w:tcBorders>
            <w:noWrap w:val="0"/>
            <w:vAlign w:val="center"/>
          </w:tcPr>
          <w:p w14:paraId="7D3C047E">
            <w:pPr>
              <w:pStyle w:val="1321"/>
              <w:rPr>
                <w:color w:val="auto"/>
                <w:highlight w:val="none"/>
              </w:rPr>
            </w:pPr>
            <w:r>
              <w:rPr>
                <w:rFonts w:hint="eastAsia"/>
                <w:color w:val="auto"/>
                <w:highlight w:val="none"/>
              </w:rPr>
              <w:t>B库厂房</w:t>
            </w:r>
          </w:p>
        </w:tc>
        <w:tc>
          <w:tcPr>
            <w:tcW w:w="1207" w:type="pct"/>
            <w:tcBorders>
              <w:tl2br w:val="nil"/>
              <w:tr2bl w:val="nil"/>
            </w:tcBorders>
            <w:noWrap w:val="0"/>
            <w:vAlign w:val="center"/>
          </w:tcPr>
          <w:p w14:paraId="5EF0058F">
            <w:pPr>
              <w:pStyle w:val="1321"/>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注塑机组</w:t>
            </w:r>
          </w:p>
        </w:tc>
        <w:tc>
          <w:tcPr>
            <w:tcW w:w="1099" w:type="pct"/>
            <w:tcBorders>
              <w:tl2br w:val="nil"/>
              <w:tr2bl w:val="nil"/>
            </w:tcBorders>
            <w:noWrap w:val="0"/>
            <w:vAlign w:val="center"/>
          </w:tcPr>
          <w:p w14:paraId="21A046E4">
            <w:pPr>
              <w:pStyle w:val="1321"/>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541" w:type="pct"/>
            <w:tcBorders>
              <w:tl2br w:val="nil"/>
              <w:tr2bl w:val="nil"/>
            </w:tcBorders>
            <w:noWrap w:val="0"/>
            <w:vAlign w:val="center"/>
          </w:tcPr>
          <w:p w14:paraId="6929EF8C">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318" w:type="pct"/>
            <w:tcBorders>
              <w:tl2br w:val="nil"/>
              <w:tr2bl w:val="nil"/>
            </w:tcBorders>
            <w:noWrap w:val="0"/>
            <w:vAlign w:val="center"/>
          </w:tcPr>
          <w:p w14:paraId="7DAF7B4B">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p>
        </w:tc>
      </w:tr>
      <w:tr w14:paraId="255889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3EB534A8">
            <w:pPr>
              <w:pStyle w:val="1321"/>
              <w:rPr>
                <w:color w:val="auto"/>
                <w:highlight w:val="none"/>
              </w:rPr>
            </w:pPr>
          </w:p>
        </w:tc>
        <w:tc>
          <w:tcPr>
            <w:tcW w:w="616" w:type="pct"/>
            <w:vMerge w:val="continue"/>
            <w:tcBorders>
              <w:tl2br w:val="nil"/>
              <w:tr2bl w:val="nil"/>
            </w:tcBorders>
            <w:noWrap w:val="0"/>
            <w:vAlign w:val="center"/>
          </w:tcPr>
          <w:p w14:paraId="22941CE8">
            <w:pPr>
              <w:pStyle w:val="1321"/>
              <w:rPr>
                <w:color w:val="auto"/>
                <w:highlight w:val="none"/>
              </w:rPr>
            </w:pPr>
          </w:p>
        </w:tc>
        <w:tc>
          <w:tcPr>
            <w:tcW w:w="1207" w:type="pct"/>
            <w:tcBorders>
              <w:tl2br w:val="nil"/>
              <w:tr2bl w:val="nil"/>
            </w:tcBorders>
            <w:noWrap w:val="0"/>
            <w:vAlign w:val="center"/>
          </w:tcPr>
          <w:p w14:paraId="16AA4255">
            <w:pPr>
              <w:pStyle w:val="1321"/>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粉碎机</w:t>
            </w:r>
          </w:p>
        </w:tc>
        <w:tc>
          <w:tcPr>
            <w:tcW w:w="1099" w:type="pct"/>
            <w:tcBorders>
              <w:tl2br w:val="nil"/>
              <w:tr2bl w:val="nil"/>
            </w:tcBorders>
            <w:noWrap w:val="0"/>
            <w:vAlign w:val="center"/>
          </w:tcPr>
          <w:p w14:paraId="09841E73">
            <w:pPr>
              <w:pStyle w:val="1321"/>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541" w:type="pct"/>
            <w:tcBorders>
              <w:tl2br w:val="nil"/>
              <w:tr2bl w:val="nil"/>
            </w:tcBorders>
            <w:noWrap w:val="0"/>
            <w:vAlign w:val="center"/>
          </w:tcPr>
          <w:p w14:paraId="4B7036F0">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1318" w:type="pct"/>
            <w:tcBorders>
              <w:tl2br w:val="nil"/>
              <w:tr2bl w:val="nil"/>
            </w:tcBorders>
            <w:noWrap w:val="0"/>
            <w:vAlign w:val="center"/>
          </w:tcPr>
          <w:p w14:paraId="146C2109">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用于边角废料和不合格品粉碎，间歇运行</w:t>
            </w:r>
          </w:p>
        </w:tc>
      </w:tr>
      <w:tr w14:paraId="4786E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6C74B790">
            <w:pPr>
              <w:pStyle w:val="1321"/>
              <w:rPr>
                <w:color w:val="auto"/>
                <w:highlight w:val="none"/>
              </w:rPr>
            </w:pPr>
          </w:p>
        </w:tc>
        <w:tc>
          <w:tcPr>
            <w:tcW w:w="616" w:type="pct"/>
            <w:vMerge w:val="continue"/>
            <w:tcBorders>
              <w:tl2br w:val="nil"/>
              <w:tr2bl w:val="nil"/>
            </w:tcBorders>
            <w:noWrap w:val="0"/>
            <w:vAlign w:val="center"/>
          </w:tcPr>
          <w:p w14:paraId="03B776EE">
            <w:pPr>
              <w:pStyle w:val="1321"/>
              <w:rPr>
                <w:color w:val="auto"/>
                <w:highlight w:val="none"/>
              </w:rPr>
            </w:pPr>
          </w:p>
        </w:tc>
        <w:tc>
          <w:tcPr>
            <w:tcW w:w="1207" w:type="pct"/>
            <w:tcBorders>
              <w:tl2br w:val="nil"/>
              <w:tr2bl w:val="nil"/>
            </w:tcBorders>
            <w:noWrap w:val="0"/>
            <w:vAlign w:val="center"/>
          </w:tcPr>
          <w:p w14:paraId="716DBEFF">
            <w:pPr>
              <w:pStyle w:val="1321"/>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冷却塔</w:t>
            </w:r>
          </w:p>
        </w:tc>
        <w:tc>
          <w:tcPr>
            <w:tcW w:w="1099" w:type="pct"/>
            <w:tcBorders>
              <w:tl2br w:val="nil"/>
              <w:tr2bl w:val="nil"/>
            </w:tcBorders>
            <w:noWrap w:val="0"/>
            <w:vAlign w:val="center"/>
          </w:tcPr>
          <w:p w14:paraId="4C1E59F0">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100m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tc>
        <w:tc>
          <w:tcPr>
            <w:tcW w:w="541" w:type="pct"/>
            <w:tcBorders>
              <w:tl2br w:val="nil"/>
              <w:tr2bl w:val="nil"/>
            </w:tcBorders>
            <w:noWrap w:val="0"/>
            <w:vAlign w:val="center"/>
          </w:tcPr>
          <w:p w14:paraId="23382249">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1318" w:type="pct"/>
            <w:tcBorders>
              <w:tl2br w:val="nil"/>
              <w:tr2bl w:val="nil"/>
            </w:tcBorders>
            <w:noWrap w:val="0"/>
            <w:vAlign w:val="center"/>
          </w:tcPr>
          <w:p w14:paraId="66CA04E6">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间接冷却</w:t>
            </w:r>
          </w:p>
        </w:tc>
      </w:tr>
      <w:tr w14:paraId="48C930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78950F7B">
            <w:pPr>
              <w:pStyle w:val="1321"/>
              <w:rPr>
                <w:color w:val="auto"/>
                <w:highlight w:val="none"/>
              </w:rPr>
            </w:pPr>
          </w:p>
        </w:tc>
        <w:tc>
          <w:tcPr>
            <w:tcW w:w="616" w:type="pct"/>
            <w:vMerge w:val="continue"/>
            <w:tcBorders>
              <w:tl2br w:val="nil"/>
              <w:tr2bl w:val="nil"/>
            </w:tcBorders>
            <w:noWrap w:val="0"/>
            <w:vAlign w:val="center"/>
          </w:tcPr>
          <w:p w14:paraId="768E965F">
            <w:pPr>
              <w:pStyle w:val="1321"/>
              <w:rPr>
                <w:color w:val="auto"/>
                <w:highlight w:val="none"/>
              </w:rPr>
            </w:pPr>
          </w:p>
        </w:tc>
        <w:tc>
          <w:tcPr>
            <w:tcW w:w="1207" w:type="pct"/>
            <w:tcBorders>
              <w:tl2br w:val="nil"/>
              <w:tr2bl w:val="nil"/>
            </w:tcBorders>
            <w:noWrap w:val="0"/>
            <w:vAlign w:val="center"/>
          </w:tcPr>
          <w:p w14:paraId="0346BE76">
            <w:pPr>
              <w:pStyle w:val="1321"/>
              <w:rPr>
                <w:color w:val="auto"/>
                <w:highlight w:val="none"/>
              </w:rPr>
            </w:pPr>
            <w:r>
              <w:rPr>
                <w:rFonts w:hint="eastAsia" w:ascii="Times New Roman" w:hAnsi="Times New Roman" w:eastAsia="宋体" w:cs="Times New Roman"/>
                <w:color w:val="auto"/>
                <w:highlight w:val="none"/>
                <w:lang w:val="en-US" w:eastAsia="zh-CN"/>
              </w:rPr>
              <w:t>袋式除尘器</w:t>
            </w:r>
          </w:p>
        </w:tc>
        <w:tc>
          <w:tcPr>
            <w:tcW w:w="1099" w:type="pct"/>
            <w:tcBorders>
              <w:tl2br w:val="nil"/>
              <w:tr2bl w:val="nil"/>
            </w:tcBorders>
            <w:noWrap w:val="0"/>
            <w:vAlign w:val="center"/>
          </w:tcPr>
          <w:p w14:paraId="7D6533D6">
            <w:pPr>
              <w:keepNext w:val="0"/>
              <w:keepLines w:val="0"/>
              <w:widowControl/>
              <w:suppressLineNumbers w:val="0"/>
              <w:jc w:val="left"/>
              <w:rPr>
                <w:rFonts w:hint="eastAsia" w:eastAsia="宋体"/>
                <w:color w:val="auto"/>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2000</w:t>
            </w:r>
            <w:r>
              <w:rPr>
                <w:rFonts w:hint="eastAsia" w:ascii="Times New Roman" w:hAnsi="Times New Roman" w:eastAsia="宋体" w:cs="Times New Roman"/>
                <w:color w:val="auto"/>
                <w:highlight w:val="none"/>
                <w:lang w:val="en-US" w:eastAsia="zh-CN"/>
              </w:rPr>
              <w:t>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tc>
        <w:tc>
          <w:tcPr>
            <w:tcW w:w="541" w:type="pct"/>
            <w:tcBorders>
              <w:tl2br w:val="nil"/>
              <w:tr2bl w:val="nil"/>
            </w:tcBorders>
            <w:noWrap w:val="0"/>
            <w:vAlign w:val="center"/>
          </w:tcPr>
          <w:p w14:paraId="54A20F9D">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p>
        </w:tc>
        <w:tc>
          <w:tcPr>
            <w:tcW w:w="1318" w:type="pct"/>
            <w:tcBorders>
              <w:tl2br w:val="nil"/>
              <w:tr2bl w:val="nil"/>
            </w:tcBorders>
            <w:noWrap w:val="0"/>
            <w:vAlign w:val="center"/>
          </w:tcPr>
          <w:p w14:paraId="5062736C">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用于粉碎粉尘处理</w:t>
            </w:r>
          </w:p>
        </w:tc>
      </w:tr>
      <w:tr w14:paraId="00ABC3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A97F8A9">
            <w:pPr>
              <w:pStyle w:val="1321"/>
              <w:rPr>
                <w:color w:val="auto"/>
                <w:highlight w:val="none"/>
              </w:rPr>
            </w:pPr>
          </w:p>
        </w:tc>
        <w:tc>
          <w:tcPr>
            <w:tcW w:w="616" w:type="pct"/>
            <w:vMerge w:val="continue"/>
            <w:tcBorders>
              <w:tl2br w:val="nil"/>
              <w:tr2bl w:val="nil"/>
            </w:tcBorders>
            <w:noWrap w:val="0"/>
            <w:vAlign w:val="center"/>
          </w:tcPr>
          <w:p w14:paraId="08AF6C4A">
            <w:pPr>
              <w:pStyle w:val="1321"/>
              <w:rPr>
                <w:color w:val="auto"/>
                <w:highlight w:val="none"/>
              </w:rPr>
            </w:pPr>
          </w:p>
        </w:tc>
        <w:tc>
          <w:tcPr>
            <w:tcW w:w="1207" w:type="pct"/>
            <w:tcBorders>
              <w:tl2br w:val="nil"/>
              <w:tr2bl w:val="nil"/>
            </w:tcBorders>
            <w:noWrap w:val="0"/>
            <w:vAlign w:val="center"/>
          </w:tcPr>
          <w:p w14:paraId="16C0D583">
            <w:pPr>
              <w:pStyle w:val="1321"/>
              <w:ind w:firstLine="0" w:firstLineChars="0"/>
              <w:rPr>
                <w:color w:val="auto"/>
                <w:highlight w:val="none"/>
              </w:rPr>
            </w:pPr>
            <w:r>
              <w:rPr>
                <w:rFonts w:hint="eastAsia" w:ascii="Times New Roman" w:hAnsi="Times New Roman" w:eastAsia="宋体" w:cs="Times New Roman"/>
                <w:color w:val="auto"/>
                <w:highlight w:val="none"/>
                <w:lang w:val="en-US" w:eastAsia="zh-CN"/>
              </w:rPr>
              <w:t>空压机</w:t>
            </w:r>
          </w:p>
        </w:tc>
        <w:tc>
          <w:tcPr>
            <w:tcW w:w="1099" w:type="pct"/>
            <w:tcBorders>
              <w:tl2br w:val="nil"/>
              <w:tr2bl w:val="nil"/>
            </w:tcBorders>
            <w:noWrap w:val="0"/>
            <w:vAlign w:val="center"/>
          </w:tcPr>
          <w:p w14:paraId="3F9516BD">
            <w:pPr>
              <w:pStyle w:val="1321"/>
              <w:ind w:firstLine="0" w:firstLineChars="0"/>
              <w:rPr>
                <w:rFonts w:hint="default" w:eastAsia="宋体"/>
                <w:color w:val="auto"/>
                <w:highlight w:val="none"/>
                <w:lang w:val="en-US" w:eastAsia="zh-CN"/>
              </w:rPr>
            </w:pPr>
            <w:r>
              <w:rPr>
                <w:rFonts w:hint="eastAsia" w:cs="Times New Roman"/>
                <w:color w:val="auto"/>
                <w:highlight w:val="none"/>
                <w:lang w:val="en-US" w:eastAsia="zh-CN"/>
              </w:rPr>
              <w:t>37kw</w:t>
            </w:r>
          </w:p>
        </w:tc>
        <w:tc>
          <w:tcPr>
            <w:tcW w:w="541" w:type="pct"/>
            <w:tcBorders>
              <w:tl2br w:val="nil"/>
              <w:tr2bl w:val="nil"/>
            </w:tcBorders>
            <w:noWrap w:val="0"/>
            <w:vAlign w:val="center"/>
          </w:tcPr>
          <w:p w14:paraId="3770F2CC">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1318" w:type="pct"/>
            <w:tcBorders>
              <w:tl2br w:val="nil"/>
              <w:tr2bl w:val="nil"/>
            </w:tcBorders>
            <w:noWrap w:val="0"/>
            <w:vAlign w:val="center"/>
          </w:tcPr>
          <w:p w14:paraId="46B05742">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p>
        </w:tc>
      </w:tr>
      <w:tr w14:paraId="2CF3A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 w:type="pct"/>
            <w:vMerge w:val="continue"/>
            <w:tcBorders>
              <w:tl2br w:val="nil"/>
              <w:tr2bl w:val="nil"/>
            </w:tcBorders>
            <w:noWrap w:val="0"/>
            <w:vAlign w:val="center"/>
          </w:tcPr>
          <w:p w14:paraId="17CEA628">
            <w:pPr>
              <w:pStyle w:val="1321"/>
              <w:rPr>
                <w:color w:val="auto"/>
                <w:highlight w:val="none"/>
              </w:rPr>
            </w:pPr>
          </w:p>
        </w:tc>
        <w:tc>
          <w:tcPr>
            <w:tcW w:w="616" w:type="pct"/>
            <w:vMerge w:val="continue"/>
            <w:tcBorders>
              <w:tl2br w:val="nil"/>
              <w:tr2bl w:val="nil"/>
            </w:tcBorders>
            <w:noWrap w:val="0"/>
            <w:vAlign w:val="center"/>
          </w:tcPr>
          <w:p w14:paraId="6CB3D856">
            <w:pPr>
              <w:pStyle w:val="1321"/>
              <w:rPr>
                <w:color w:val="auto"/>
                <w:highlight w:val="none"/>
              </w:rPr>
            </w:pPr>
          </w:p>
        </w:tc>
        <w:tc>
          <w:tcPr>
            <w:tcW w:w="1207" w:type="pct"/>
            <w:tcBorders>
              <w:tl2br w:val="nil"/>
              <w:tr2bl w:val="nil"/>
            </w:tcBorders>
            <w:noWrap w:val="0"/>
            <w:vAlign w:val="center"/>
          </w:tcPr>
          <w:p w14:paraId="274F2856">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二级活性炭吸附装置</w:t>
            </w:r>
          </w:p>
        </w:tc>
        <w:tc>
          <w:tcPr>
            <w:tcW w:w="1099" w:type="pct"/>
            <w:tcBorders>
              <w:tl2br w:val="nil"/>
              <w:tr2bl w:val="nil"/>
            </w:tcBorders>
            <w:noWrap w:val="0"/>
            <w:vAlign w:val="center"/>
          </w:tcPr>
          <w:p w14:paraId="773654BB">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120</w:t>
            </w:r>
            <w:r>
              <w:rPr>
                <w:rFonts w:hint="eastAsia" w:ascii="Times New Roman" w:hAnsi="Times New Roman" w:eastAsia="宋体" w:cs="Times New Roman"/>
                <w:color w:val="auto"/>
                <w:szCs w:val="21"/>
                <w:highlight w:val="none"/>
                <w:lang w:val="en-US" w:eastAsia="zh-CN"/>
              </w:rPr>
              <w:t>00m</w:t>
            </w:r>
            <w:r>
              <w:rPr>
                <w:rFonts w:hint="eastAsia" w:ascii="Times New Roman" w:hAnsi="Times New Roman" w:eastAsia="宋体" w:cs="Times New Roman"/>
                <w:color w:val="auto"/>
                <w:szCs w:val="21"/>
                <w:highlight w:val="none"/>
                <w:vertAlign w:val="superscript"/>
                <w:lang w:val="en-US" w:eastAsia="zh-CN"/>
              </w:rPr>
              <w:t>3</w:t>
            </w:r>
            <w:r>
              <w:rPr>
                <w:rFonts w:hint="eastAsia" w:ascii="Times New Roman" w:hAnsi="Times New Roman" w:eastAsia="宋体" w:cs="Times New Roman"/>
                <w:color w:val="auto"/>
                <w:szCs w:val="21"/>
                <w:highlight w:val="none"/>
                <w:lang w:val="en-US" w:eastAsia="zh-CN"/>
              </w:rPr>
              <w:t>/h</w:t>
            </w:r>
          </w:p>
        </w:tc>
        <w:tc>
          <w:tcPr>
            <w:tcW w:w="541" w:type="pct"/>
            <w:tcBorders>
              <w:tl2br w:val="nil"/>
              <w:tr2bl w:val="nil"/>
            </w:tcBorders>
            <w:noWrap w:val="0"/>
            <w:vAlign w:val="center"/>
          </w:tcPr>
          <w:p w14:paraId="14A4B3E6">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1318" w:type="pct"/>
            <w:tcBorders>
              <w:tl2br w:val="nil"/>
              <w:tr2bl w:val="nil"/>
            </w:tcBorders>
            <w:noWrap w:val="0"/>
            <w:vAlign w:val="center"/>
          </w:tcPr>
          <w:p w14:paraId="13AF8646">
            <w:pPr>
              <w:pStyle w:val="1358"/>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用于注塑废气处理</w:t>
            </w:r>
          </w:p>
        </w:tc>
      </w:tr>
    </w:tbl>
    <w:p w14:paraId="22680E6E">
      <w:pPr>
        <w:pStyle w:val="4"/>
        <w:numPr>
          <w:ilvl w:val="2"/>
          <w:numId w:val="0"/>
        </w:numPr>
        <w:tabs>
          <w:tab w:val="clear" w:pos="720"/>
        </w:tabs>
        <w:bidi w:val="0"/>
        <w:rPr>
          <w:rFonts w:hint="eastAsia"/>
          <w:color w:val="auto"/>
          <w:highlight w:val="none"/>
          <w:lang w:eastAsia="zh-CN"/>
        </w:rPr>
      </w:pPr>
      <w:bookmarkStart w:id="337" w:name="_Toc18386"/>
      <w:r>
        <w:rPr>
          <w:rFonts w:hint="eastAsia"/>
          <w:color w:val="auto"/>
          <w:highlight w:val="none"/>
          <w:lang w:val="en-US" w:eastAsia="zh-CN"/>
        </w:rPr>
        <w:t xml:space="preserve">3.1.6 </w:t>
      </w:r>
      <w:r>
        <w:rPr>
          <w:rFonts w:hint="eastAsia"/>
          <w:color w:val="auto"/>
          <w:highlight w:val="none"/>
          <w:lang w:eastAsia="zh-CN"/>
        </w:rPr>
        <w:t>总图布置</w:t>
      </w:r>
      <w:bookmarkEnd w:id="337"/>
    </w:p>
    <w:p w14:paraId="6DAC6C72">
      <w:pPr>
        <w:pStyle w:val="1336"/>
        <w:ind w:firstLine="480"/>
        <w:rPr>
          <w:rFonts w:hint="eastAsia"/>
          <w:color w:val="auto"/>
          <w:highlight w:val="none"/>
        </w:rPr>
      </w:pPr>
      <w:r>
        <w:rPr>
          <w:rFonts w:hint="eastAsia"/>
          <w:color w:val="auto"/>
          <w:highlight w:val="none"/>
        </w:rPr>
        <w:t>本项目租赁2座厂房（A库、B库）、1座办公楼及门卫室等建（构）筑物，厂区沿竖向主干道进行功能分区布置，整体布局紧凑合理。</w:t>
      </w:r>
    </w:p>
    <w:p w14:paraId="6227BA85">
      <w:pPr>
        <w:pStyle w:val="1336"/>
        <w:ind w:firstLine="480"/>
        <w:rPr>
          <w:rFonts w:hint="eastAsia"/>
          <w:color w:val="auto"/>
          <w:highlight w:val="none"/>
        </w:rPr>
      </w:pPr>
      <w:r>
        <w:rPr>
          <w:rFonts w:hint="eastAsia"/>
          <w:color w:val="auto"/>
          <w:highlight w:val="none"/>
        </w:rPr>
        <w:t>项目西面紧邻东长路，路对面为颖明（福州）标准件企业有限公司厂房；南侧大门口紧邻祥宏南路，路对面为大义家具；西侧为福州鑫旺物流服务有限公司厂房；北侧为福州庆合汽车配件有限公司。</w:t>
      </w:r>
    </w:p>
    <w:p w14:paraId="03DD7A45">
      <w:pPr>
        <w:pStyle w:val="1336"/>
        <w:ind w:firstLine="480"/>
        <w:rPr>
          <w:rFonts w:hint="eastAsia"/>
          <w:color w:val="auto"/>
          <w:highlight w:val="none"/>
        </w:rPr>
      </w:pPr>
      <w:r>
        <w:rPr>
          <w:rFonts w:hint="eastAsia"/>
          <w:color w:val="auto"/>
          <w:highlight w:val="none"/>
        </w:rPr>
        <w:t>A库厂房：设置涂装车间和装配车间，按生产工艺流程依次布置，做到流程顺畅、管线短捷。调漆间、集中供漆室及</w:t>
      </w:r>
      <w:r>
        <w:rPr>
          <w:rFonts w:hint="eastAsia"/>
          <w:color w:val="auto"/>
          <w:highlight w:val="none"/>
          <w:lang w:val="en-US" w:eastAsia="zh-CN"/>
        </w:rPr>
        <w:t>CO</w:t>
      </w:r>
      <w:r>
        <w:rPr>
          <w:rFonts w:hint="eastAsia"/>
          <w:color w:val="auto"/>
          <w:highlight w:val="none"/>
          <w:vertAlign w:val="subscript"/>
          <w:lang w:val="en-US" w:eastAsia="zh-CN"/>
        </w:rPr>
        <w:t>2</w:t>
      </w:r>
      <w:r>
        <w:rPr>
          <w:rFonts w:hint="eastAsia"/>
          <w:color w:val="auto"/>
          <w:highlight w:val="none"/>
        </w:rPr>
        <w:t>灭火系统等辅助设施紧邻涂装车间布置，便于热水、油漆及废水的就近输送与管理。</w:t>
      </w:r>
    </w:p>
    <w:p w14:paraId="217096C3">
      <w:pPr>
        <w:pStyle w:val="1336"/>
        <w:ind w:firstLine="480"/>
        <w:rPr>
          <w:rFonts w:hint="eastAsia"/>
          <w:color w:val="auto"/>
          <w:highlight w:val="none"/>
        </w:rPr>
      </w:pPr>
      <w:r>
        <w:rPr>
          <w:rFonts w:hint="eastAsia"/>
          <w:color w:val="auto"/>
          <w:highlight w:val="none"/>
        </w:rPr>
        <w:t>B库厂房：主要设置注塑车间及原料、成品仓库。</w:t>
      </w:r>
    </w:p>
    <w:p w14:paraId="08792E75">
      <w:pPr>
        <w:pStyle w:val="4"/>
        <w:numPr>
          <w:ilvl w:val="2"/>
          <w:numId w:val="0"/>
        </w:numPr>
        <w:tabs>
          <w:tab w:val="clear" w:pos="720"/>
        </w:tabs>
        <w:bidi w:val="0"/>
        <w:rPr>
          <w:rFonts w:hint="eastAsia"/>
          <w:color w:val="auto"/>
          <w:highlight w:val="none"/>
          <w:lang w:eastAsia="zh-CN"/>
        </w:rPr>
      </w:pPr>
      <w:bookmarkStart w:id="338" w:name="_Toc13960"/>
      <w:r>
        <w:rPr>
          <w:rFonts w:hint="eastAsia"/>
          <w:color w:val="auto"/>
          <w:highlight w:val="none"/>
          <w:lang w:val="en-US" w:eastAsia="zh-CN"/>
        </w:rPr>
        <w:t>3.1.7 公用工程</w:t>
      </w:r>
      <w:bookmarkEnd w:id="338"/>
    </w:p>
    <w:p w14:paraId="273330E5">
      <w:pPr>
        <w:pStyle w:val="1319"/>
        <w:numPr>
          <w:ilvl w:val="0"/>
          <w:numId w:val="16"/>
        </w:numPr>
        <w:ind w:firstLine="480"/>
        <w:rPr>
          <w:rFonts w:hint="eastAsia"/>
          <w:color w:val="auto"/>
          <w:highlight w:val="none"/>
          <w:lang w:val="en-US" w:eastAsia="zh-CN"/>
        </w:rPr>
      </w:pPr>
      <w:r>
        <w:rPr>
          <w:rFonts w:hint="eastAsia"/>
          <w:color w:val="auto"/>
          <w:highlight w:val="none"/>
          <w:lang w:val="en-US" w:eastAsia="zh-CN"/>
        </w:rPr>
        <w:t>给水工程</w:t>
      </w:r>
    </w:p>
    <w:p w14:paraId="42CEE705">
      <w:pPr>
        <w:pStyle w:val="441"/>
        <w:ind w:firstLine="480"/>
        <w:rPr>
          <w:rFonts w:hint="eastAsia" w:ascii="宋体" w:hAnsi="宋体" w:eastAsia="宋体" w:cs="宋体"/>
          <w:bCs/>
          <w:color w:val="auto"/>
          <w:highlight w:val="none"/>
        </w:rPr>
      </w:pPr>
      <w:r>
        <w:rPr>
          <w:rFonts w:hint="eastAsia" w:ascii="宋体" w:hAnsi="宋体" w:eastAsia="宋体" w:cs="宋体"/>
          <w:bCs/>
          <w:color w:val="auto"/>
          <w:highlight w:val="none"/>
        </w:rPr>
        <w:t>给水系统：项目用水主要为生产用水和生活用水，由市政供水管网供应，厂区自建水泵房以满足用水需要。</w:t>
      </w:r>
    </w:p>
    <w:p w14:paraId="2854F23B">
      <w:pPr>
        <w:pStyle w:val="441"/>
        <w:ind w:firstLine="480"/>
        <w:rPr>
          <w:rFonts w:hint="eastAsia" w:ascii="宋体" w:hAnsi="宋体" w:eastAsia="宋体" w:cs="宋体"/>
          <w:bCs/>
          <w:color w:val="auto"/>
          <w:highlight w:val="none"/>
        </w:rPr>
      </w:pPr>
      <w:r>
        <w:rPr>
          <w:rFonts w:hint="eastAsia" w:ascii="宋体" w:hAnsi="宋体" w:eastAsia="宋体" w:cs="宋体"/>
          <w:bCs/>
          <w:color w:val="auto"/>
          <w:highlight w:val="none"/>
        </w:rPr>
        <w:t>消防供水系统：厂区采用生活消防统一的供水管道系统。消防供水采用低压制，按规范设置室外地上式消防栓。厂房内按照消防要求</w:t>
      </w:r>
      <w:r>
        <w:rPr>
          <w:rFonts w:hint="eastAsia" w:ascii="宋体" w:hAnsi="宋体" w:eastAsia="宋体" w:cs="宋体"/>
          <w:bCs/>
          <w:color w:val="auto"/>
          <w:highlight w:val="none"/>
          <w:lang w:eastAsia="zh-CN"/>
        </w:rPr>
        <w:t>配置</w:t>
      </w:r>
      <w:r>
        <w:rPr>
          <w:rFonts w:hint="eastAsia" w:ascii="宋体" w:hAnsi="宋体" w:eastAsia="宋体" w:cs="宋体"/>
          <w:bCs/>
          <w:color w:val="auto"/>
          <w:highlight w:val="none"/>
        </w:rPr>
        <w:t>室内消防设施，保证厂区的消防安全。</w:t>
      </w:r>
    </w:p>
    <w:p w14:paraId="72A7E15B">
      <w:pPr>
        <w:pStyle w:val="441"/>
        <w:numPr>
          <w:ilvl w:val="0"/>
          <w:numId w:val="16"/>
        </w:numPr>
        <w:ind w:left="0" w:leftChars="0" w:firstLine="480" w:firstLineChars="20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排水工程</w:t>
      </w:r>
    </w:p>
    <w:p w14:paraId="4FB24A41">
      <w:pPr>
        <w:pStyle w:val="441"/>
        <w:ind w:firstLine="480"/>
        <w:rPr>
          <w:rFonts w:hint="eastAsia" w:ascii="宋体" w:hAnsi="宋体" w:cs="宋体"/>
          <w:color w:val="auto"/>
          <w:highlight w:val="none"/>
          <w:lang w:eastAsia="zh-CN"/>
        </w:rPr>
      </w:pPr>
      <w:r>
        <w:rPr>
          <w:rFonts w:hint="eastAsia" w:ascii="宋体" w:hAnsi="宋体" w:cs="宋体"/>
          <w:color w:val="auto"/>
          <w:highlight w:val="none"/>
        </w:rPr>
        <w:t>项目排水实行雨污分流，雨水</w:t>
      </w:r>
      <w:r>
        <w:rPr>
          <w:rFonts w:hint="eastAsia" w:ascii="宋体" w:hAnsi="宋体" w:cs="宋体"/>
          <w:color w:val="auto"/>
          <w:highlight w:val="none"/>
          <w:lang w:eastAsia="zh-CN"/>
        </w:rPr>
        <w:t>汇入</w:t>
      </w:r>
      <w:r>
        <w:rPr>
          <w:rFonts w:hint="eastAsia" w:ascii="宋体" w:hAnsi="宋体" w:cs="宋体"/>
          <w:color w:val="auto"/>
          <w:highlight w:val="none"/>
        </w:rPr>
        <w:t>市政雨水管网</w:t>
      </w:r>
      <w:r>
        <w:rPr>
          <w:rFonts w:hint="eastAsia" w:ascii="宋体" w:hAnsi="宋体" w:cs="宋体"/>
          <w:color w:val="auto"/>
          <w:highlight w:val="none"/>
          <w:lang w:eastAsia="zh-CN"/>
        </w:rPr>
        <w:t>；</w:t>
      </w:r>
    </w:p>
    <w:p w14:paraId="79376D1A">
      <w:pPr>
        <w:pStyle w:val="441"/>
        <w:ind w:firstLine="480"/>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生产废水：热水炉排水、纯水制备系统浓水和冷却循环系统排水均</w:t>
      </w:r>
      <w:r>
        <w:rPr>
          <w:rFonts w:hint="eastAsia" w:ascii="宋体" w:hAnsi="宋体" w:eastAsia="宋体" w:cs="宋体"/>
          <w:bCs/>
          <w:color w:val="auto"/>
          <w:highlight w:val="none"/>
          <w:lang w:val="en-US" w:eastAsia="zh-CN"/>
        </w:rPr>
        <w:t>较清净</w:t>
      </w:r>
      <w:r>
        <w:rPr>
          <w:rFonts w:hint="eastAsia" w:ascii="宋体" w:hAnsi="宋体" w:eastAsia="宋体" w:cs="宋体"/>
          <w:bCs/>
          <w:color w:val="auto"/>
          <w:highlight w:val="none"/>
        </w:rPr>
        <w:t>，可直接排至厂区总排口。</w:t>
      </w:r>
    </w:p>
    <w:p w14:paraId="4F1EC0EC">
      <w:pPr>
        <w:pStyle w:val="441"/>
        <w:ind w:firstLine="480"/>
        <w:rPr>
          <w:rFonts w:hint="eastAsia" w:ascii="Times New Roman" w:hAnsi="Times New Roman" w:eastAsia="宋体" w:cs="Times New Roman"/>
          <w:bCs/>
          <w:color w:val="auto"/>
          <w:highlight w:val="none"/>
          <w:lang w:eastAsia="zh-CN"/>
        </w:rPr>
      </w:pPr>
      <w:r>
        <w:rPr>
          <w:rFonts w:hint="eastAsia" w:ascii="宋体" w:hAnsi="宋体" w:cs="宋体"/>
          <w:color w:val="auto"/>
          <w:highlight w:val="none"/>
          <w:lang w:eastAsia="zh-CN"/>
        </w:rPr>
        <w:t>生活污水：</w:t>
      </w:r>
      <w:r>
        <w:rPr>
          <w:rFonts w:hint="eastAsia" w:ascii="宋体" w:hAnsi="宋体" w:cs="宋体"/>
          <w:color w:val="auto"/>
          <w:highlight w:val="none"/>
          <w:lang w:val="en-US" w:eastAsia="zh-CN"/>
        </w:rPr>
        <w:t>依托厂房现有</w:t>
      </w:r>
      <w:r>
        <w:rPr>
          <w:rFonts w:hint="eastAsia" w:ascii="宋体" w:hAnsi="宋体" w:cs="宋体"/>
          <w:color w:val="auto"/>
          <w:highlight w:val="none"/>
          <w:lang w:eastAsia="zh-CN"/>
        </w:rPr>
        <w:t>化粪池处理后，纳入市政污水管网，排入青口汽车工业开发区污水处理厂进一步处</w:t>
      </w:r>
      <w:r>
        <w:rPr>
          <w:rFonts w:hint="eastAsia" w:ascii="Times New Roman" w:hAnsi="Times New Roman" w:eastAsia="宋体" w:cs="Times New Roman"/>
          <w:bCs/>
          <w:color w:val="auto"/>
          <w:highlight w:val="none"/>
          <w:lang w:eastAsia="zh-CN"/>
        </w:rPr>
        <w:t>理。</w:t>
      </w:r>
    </w:p>
    <w:p w14:paraId="4550ABF4">
      <w:pPr>
        <w:pStyle w:val="441"/>
        <w:numPr>
          <w:ilvl w:val="0"/>
          <w:numId w:val="16"/>
        </w:numPr>
        <w:ind w:left="0" w:leftChars="0" w:firstLine="480" w:firstLineChars="20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供电</w:t>
      </w:r>
    </w:p>
    <w:p w14:paraId="4510D03C">
      <w:pPr>
        <w:pStyle w:val="441"/>
        <w:ind w:firstLine="480"/>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本项目年用电量为</w:t>
      </w:r>
      <w:r>
        <w:rPr>
          <w:rFonts w:hint="eastAsia" w:ascii="Times New Roman" w:hAnsi="Times New Roman" w:eastAsia="宋体" w:cs="Times New Roman"/>
          <w:bCs/>
          <w:color w:val="auto"/>
          <w:highlight w:val="none"/>
          <w:lang w:val="en-US" w:eastAsia="zh-CN"/>
        </w:rPr>
        <w:t>33</w:t>
      </w:r>
      <w:r>
        <w:rPr>
          <w:rFonts w:hint="default" w:ascii="Times New Roman" w:hAnsi="Times New Roman" w:eastAsia="宋体" w:cs="Times New Roman"/>
          <w:bCs/>
          <w:color w:val="auto"/>
          <w:highlight w:val="none"/>
          <w:lang w:val="en-US" w:eastAsia="zh-CN"/>
        </w:rPr>
        <w:t>0万kW·h，由市政电网集中供电，可满足项目用电需求。</w:t>
      </w:r>
    </w:p>
    <w:p w14:paraId="679BF114">
      <w:pPr>
        <w:pStyle w:val="441"/>
        <w:numPr>
          <w:ilvl w:val="0"/>
          <w:numId w:val="16"/>
        </w:numPr>
        <w:ind w:left="0" w:leftChars="0" w:firstLine="480" w:firstLineChars="200"/>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供气</w:t>
      </w:r>
    </w:p>
    <w:p w14:paraId="7F217B34">
      <w:pPr>
        <w:pStyle w:val="441"/>
        <w:ind w:firstLine="480"/>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本项目油漆烘干、RTO废气处理装置、热水炉均采用天然气燃烧加热，燃烧机均配有低氮燃烧装置。本项目天然气由市政天然气管道引入，厂区附近铺设有天然气管道，可满足项目生产需要。</w:t>
      </w:r>
    </w:p>
    <w:p w14:paraId="5D2C1E01">
      <w:pPr>
        <w:pStyle w:val="3"/>
        <w:numPr>
          <w:ilvl w:val="1"/>
          <w:numId w:val="0"/>
        </w:numPr>
        <w:bidi w:val="0"/>
        <w:rPr>
          <w:color w:val="auto"/>
          <w:highlight w:val="none"/>
        </w:rPr>
      </w:pPr>
      <w:bookmarkStart w:id="339" w:name="_Toc25823"/>
      <w:bookmarkStart w:id="340" w:name="_Toc24054"/>
      <w:r>
        <w:rPr>
          <w:rFonts w:hint="eastAsia"/>
          <w:color w:val="auto"/>
          <w:highlight w:val="none"/>
          <w:lang w:val="en-US" w:eastAsia="zh-CN"/>
        </w:rPr>
        <w:t xml:space="preserve">3.2 </w:t>
      </w:r>
      <w:r>
        <w:rPr>
          <w:color w:val="auto"/>
          <w:highlight w:val="none"/>
        </w:rPr>
        <w:t>生产工艺流程及产污环节</w:t>
      </w:r>
      <w:bookmarkEnd w:id="339"/>
      <w:bookmarkEnd w:id="340"/>
    </w:p>
    <w:p w14:paraId="0E0B4E53">
      <w:pPr>
        <w:pStyle w:val="1354"/>
        <w:rPr>
          <w:color w:val="auto"/>
          <w:highlight w:val="none"/>
        </w:rPr>
      </w:pPr>
      <w:r>
        <w:rPr>
          <w:color w:val="auto"/>
          <w:highlight w:val="none"/>
        </w:rPr>
        <w:t>项目生产工艺流程及产污环节见图3.2-1。</w:t>
      </w:r>
    </w:p>
    <w:p w14:paraId="5DB1347D">
      <w:pPr>
        <w:bidi w:val="0"/>
        <w:ind w:left="0" w:leftChars="0" w:firstLine="0" w:firstLineChars="0"/>
        <w:jc w:val="center"/>
        <w:rPr>
          <w:rFonts w:hint="eastAsia"/>
          <w:color w:val="auto"/>
          <w:highlight w:val="none"/>
          <w:lang w:eastAsia="zh-CN"/>
        </w:rPr>
      </w:pPr>
      <w:r>
        <w:rPr>
          <w:color w:val="auto"/>
          <w:highlight w:val="none"/>
        </w:rPr>
        <w:drawing>
          <wp:inline distT="0" distB="0" distL="114300" distR="114300">
            <wp:extent cx="5328920" cy="6942455"/>
            <wp:effectExtent l="0" t="0" r="5080" b="10795"/>
            <wp:docPr id="3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5"/>
                    <pic:cNvPicPr>
                      <a:picLocks noChangeAspect="1"/>
                    </pic:cNvPicPr>
                  </pic:nvPicPr>
                  <pic:blipFill>
                    <a:blip r:embed="rId42"/>
                    <a:srcRect t="3342" b="3853"/>
                    <a:stretch>
                      <a:fillRect/>
                    </a:stretch>
                  </pic:blipFill>
                  <pic:spPr>
                    <a:xfrm>
                      <a:off x="0" y="0"/>
                      <a:ext cx="5328920" cy="6942455"/>
                    </a:xfrm>
                    <a:prstGeom prst="rect">
                      <a:avLst/>
                    </a:prstGeom>
                    <a:noFill/>
                    <a:ln>
                      <a:noFill/>
                    </a:ln>
                  </pic:spPr>
                </pic:pic>
              </a:graphicData>
            </a:graphic>
          </wp:inline>
        </w:drawing>
      </w:r>
    </w:p>
    <w:p w14:paraId="27FEAF89">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图3.2-1  项目生产工艺流程及产污环节图</w:t>
      </w:r>
    </w:p>
    <w:p w14:paraId="03F1C14E">
      <w:pPr>
        <w:pStyle w:val="1319"/>
        <w:ind w:firstLine="480"/>
        <w:rPr>
          <w:color w:val="auto"/>
          <w:highlight w:val="none"/>
        </w:rPr>
      </w:pPr>
      <w:r>
        <w:rPr>
          <w:color w:val="auto"/>
          <w:highlight w:val="none"/>
        </w:rPr>
        <w:t>工艺流程简述：</w:t>
      </w:r>
    </w:p>
    <w:p w14:paraId="6A272AB8">
      <w:pPr>
        <w:pStyle w:val="1336"/>
        <w:ind w:firstLine="480"/>
        <w:rPr>
          <w:rFonts w:hint="eastAsia"/>
          <w:color w:val="auto"/>
          <w:highlight w:val="none"/>
          <w:lang w:eastAsia="zh-CN"/>
        </w:rPr>
      </w:pPr>
      <w:r>
        <w:rPr>
          <w:rFonts w:hint="eastAsia"/>
          <w:color w:val="auto"/>
          <w:highlight w:val="none"/>
          <w:lang w:val="en-US" w:eastAsia="zh-CN"/>
        </w:rPr>
        <w:t>1、</w:t>
      </w:r>
      <w:r>
        <w:rPr>
          <w:rFonts w:hint="eastAsia"/>
          <w:color w:val="auto"/>
          <w:highlight w:val="none"/>
          <w:lang w:eastAsia="zh-CN"/>
        </w:rPr>
        <w:t>注塑</w:t>
      </w:r>
    </w:p>
    <w:p w14:paraId="5C543534">
      <w:pPr>
        <w:pStyle w:val="1336"/>
        <w:ind w:firstLine="480"/>
        <w:rPr>
          <w:rFonts w:hint="eastAsia"/>
          <w:color w:val="auto"/>
          <w:highlight w:val="none"/>
          <w:lang w:eastAsia="zh-CN"/>
        </w:rPr>
      </w:pPr>
      <w:r>
        <w:rPr>
          <w:rFonts w:hint="eastAsia"/>
          <w:color w:val="auto"/>
          <w:highlight w:val="none"/>
          <w:lang w:eastAsia="zh-CN"/>
        </w:rPr>
        <w:t>将外购的塑料粒子（PP/ABS）运至注塑机旁，由自动上料机通过抽真空的方式输送至注塑机上方的料桶内，经给料装置送入注塑机内。注塑机通过自带的电加热系统，加热至</w:t>
      </w:r>
      <w:r>
        <w:rPr>
          <w:rFonts w:hint="default" w:ascii="Times New Roman" w:hAnsi="Times New Roman" w:cs="Times New Roman"/>
          <w:color w:val="auto"/>
          <w:highlight w:val="none"/>
          <w:lang w:eastAsia="zh-CN"/>
        </w:rPr>
        <w:t>170~200℃，</w:t>
      </w:r>
      <w:r>
        <w:rPr>
          <w:rFonts w:hint="eastAsia"/>
          <w:color w:val="auto"/>
          <w:highlight w:val="none"/>
          <w:lang w:eastAsia="zh-CN"/>
        </w:rPr>
        <w:t>使塑料粒子熔融后，再利用压力将熔融的塑料注进塑料制品模具中，在模具内空腔中的循环冷却水间接冷却作用下成型。</w:t>
      </w:r>
    </w:p>
    <w:p w14:paraId="57D9F850">
      <w:pPr>
        <w:pStyle w:val="1336"/>
        <w:ind w:firstLine="480"/>
        <w:rPr>
          <w:rFonts w:hint="eastAsia"/>
          <w:color w:val="auto"/>
          <w:highlight w:val="none"/>
          <w:lang w:eastAsia="zh-CN"/>
        </w:rPr>
      </w:pPr>
      <w:r>
        <w:rPr>
          <w:rFonts w:hint="eastAsia"/>
          <w:color w:val="auto"/>
          <w:highlight w:val="none"/>
          <w:lang w:eastAsia="zh-CN"/>
        </w:rPr>
        <w:t>人工将冷却的塑料件从模具中取出，并用刀具进行修边，去除边角、毛刺等，再经目视检测合格后入库。不合格品及边角废料收集后定期由粉碎机粉碎成颗粒状，作为原料回用于生产。</w:t>
      </w:r>
    </w:p>
    <w:p w14:paraId="2E097C74">
      <w:pPr>
        <w:pStyle w:val="1336"/>
        <w:ind w:firstLine="480"/>
        <w:rPr>
          <w:rFonts w:hint="eastAsia"/>
          <w:color w:val="auto"/>
          <w:highlight w:val="none"/>
          <w:lang w:eastAsia="zh-CN"/>
        </w:rPr>
      </w:pPr>
      <w:r>
        <w:rPr>
          <w:rFonts w:hint="eastAsia"/>
          <w:color w:val="auto"/>
          <w:highlight w:val="none"/>
          <w:lang w:eastAsia="zh-CN"/>
        </w:rPr>
        <w:t>此过程会产生注塑废气、粉碎粉尘、注塑不合格品和边角废料、注塑废包装材料、注塑机定期更换的废</w:t>
      </w:r>
      <w:r>
        <w:rPr>
          <w:rFonts w:hint="eastAsia"/>
          <w:color w:val="auto"/>
          <w:highlight w:val="none"/>
          <w:lang w:val="en-US" w:eastAsia="zh-CN"/>
        </w:rPr>
        <w:t>润滑</w:t>
      </w:r>
      <w:r>
        <w:rPr>
          <w:rFonts w:hint="eastAsia"/>
          <w:color w:val="auto"/>
          <w:highlight w:val="none"/>
          <w:lang w:eastAsia="zh-CN"/>
        </w:rPr>
        <w:t>油和噪声。</w:t>
      </w:r>
    </w:p>
    <w:p w14:paraId="28FB0519">
      <w:pPr>
        <w:pStyle w:val="1336"/>
        <w:ind w:firstLine="480"/>
        <w:rPr>
          <w:rFonts w:hint="eastAsia"/>
          <w:color w:val="auto"/>
          <w:highlight w:val="none"/>
          <w:lang w:eastAsia="zh-CN"/>
        </w:rPr>
      </w:pPr>
      <w:r>
        <w:rPr>
          <w:rFonts w:hint="eastAsia"/>
          <w:color w:val="auto"/>
          <w:highlight w:val="none"/>
          <w:lang w:val="en-US" w:eastAsia="zh-CN"/>
        </w:rPr>
        <w:t>2、</w:t>
      </w:r>
      <w:r>
        <w:rPr>
          <w:rFonts w:hint="eastAsia"/>
          <w:color w:val="auto"/>
          <w:highlight w:val="none"/>
          <w:lang w:eastAsia="zh-CN"/>
        </w:rPr>
        <w:t>除静电</w:t>
      </w:r>
    </w:p>
    <w:p w14:paraId="4A96D44F">
      <w:pPr>
        <w:pStyle w:val="1336"/>
        <w:ind w:firstLine="480"/>
        <w:rPr>
          <w:rFonts w:hint="eastAsia"/>
          <w:color w:val="auto"/>
          <w:highlight w:val="none"/>
          <w:lang w:eastAsia="zh-CN"/>
        </w:rPr>
      </w:pPr>
      <w:r>
        <w:rPr>
          <w:rFonts w:hint="eastAsia"/>
          <w:color w:val="auto"/>
          <w:highlight w:val="none"/>
          <w:lang w:eastAsia="zh-CN"/>
        </w:rPr>
        <w:t>由于塑料工件为不良导体，易产生静电吸附灰尘，因此涂装前需进行除静电。工作原理为空气通过装有高压电极的喷嘴，通过电晕放电电离，离子化的空气吹到塑料工件表面，从而中和塑料件表面的电荷，以达到除去塑料工件表面的静电的目的。</w:t>
      </w:r>
    </w:p>
    <w:p w14:paraId="5FF2C8E8">
      <w:pPr>
        <w:pStyle w:val="1336"/>
        <w:ind w:firstLine="480"/>
        <w:rPr>
          <w:rFonts w:hint="eastAsia"/>
          <w:color w:val="auto"/>
          <w:highlight w:val="none"/>
          <w:lang w:eastAsia="zh-CN"/>
        </w:rPr>
      </w:pPr>
      <w:r>
        <w:rPr>
          <w:rFonts w:hint="eastAsia"/>
          <w:color w:val="auto"/>
          <w:highlight w:val="none"/>
          <w:lang w:eastAsia="zh-CN"/>
        </w:rPr>
        <w:t>此过程不产生污染物。</w:t>
      </w:r>
    </w:p>
    <w:p w14:paraId="6623AB1D">
      <w:pPr>
        <w:pStyle w:val="1336"/>
        <w:ind w:firstLine="480"/>
        <w:rPr>
          <w:rFonts w:hint="eastAsia"/>
          <w:color w:val="auto"/>
          <w:highlight w:val="none"/>
          <w:lang w:eastAsia="zh-CN"/>
        </w:rPr>
      </w:pPr>
      <w:r>
        <w:rPr>
          <w:rFonts w:hint="eastAsia"/>
          <w:color w:val="auto"/>
          <w:highlight w:val="none"/>
          <w:lang w:val="en-US" w:eastAsia="zh-CN"/>
        </w:rPr>
        <w:t>3</w:t>
      </w:r>
      <w:r>
        <w:rPr>
          <w:rFonts w:hint="eastAsia"/>
          <w:color w:val="auto"/>
          <w:highlight w:val="none"/>
          <w:lang w:eastAsia="zh-CN"/>
        </w:rPr>
        <w:t>、喷涂</w:t>
      </w:r>
    </w:p>
    <w:p w14:paraId="1E4E01C6">
      <w:pPr>
        <w:pStyle w:val="1336"/>
        <w:ind w:firstLine="480"/>
        <w:rPr>
          <w:rFonts w:hint="eastAsia"/>
          <w:color w:val="auto"/>
          <w:highlight w:val="none"/>
          <w:lang w:eastAsia="zh-CN"/>
        </w:rPr>
      </w:pPr>
      <w:r>
        <w:rPr>
          <w:rFonts w:hint="eastAsia"/>
          <w:color w:val="auto"/>
          <w:highlight w:val="none"/>
          <w:lang w:eastAsia="zh-CN"/>
        </w:rPr>
        <w:t>本项目拟采用3C1B（三喷一烘）涂装工艺，即工件依次喷涂底漆、色漆、清漆，采用溶剂型涂料，每次涂装后均需进行流平处理，三次涂装完成后再进行一次烘干。具体工艺介绍如下：</w:t>
      </w:r>
    </w:p>
    <w:p w14:paraId="52D78979">
      <w:pPr>
        <w:pStyle w:val="1336"/>
        <w:ind w:firstLine="480"/>
        <w:rPr>
          <w:rFonts w:hint="eastAsia"/>
          <w:color w:val="auto"/>
          <w:highlight w:val="none"/>
          <w:lang w:eastAsia="zh-CN"/>
        </w:rPr>
      </w:pPr>
      <w:r>
        <w:rPr>
          <w:rFonts w:hint="eastAsia"/>
          <w:color w:val="auto"/>
          <w:highlight w:val="none"/>
          <w:lang w:eastAsia="zh-CN"/>
        </w:rPr>
        <w:t>①调漆</w:t>
      </w:r>
    </w:p>
    <w:p w14:paraId="723909F6">
      <w:pPr>
        <w:pStyle w:val="1336"/>
        <w:ind w:firstLine="480"/>
        <w:rPr>
          <w:rFonts w:hint="eastAsia"/>
          <w:color w:val="auto"/>
          <w:highlight w:val="none"/>
          <w:lang w:eastAsia="zh-CN"/>
        </w:rPr>
      </w:pPr>
      <w:r>
        <w:rPr>
          <w:rFonts w:hint="eastAsia"/>
          <w:color w:val="auto"/>
          <w:highlight w:val="none"/>
          <w:lang w:eastAsia="zh-CN"/>
        </w:rPr>
        <w:t>本项目调漆、输漆过程均在调漆间内进行，不同的油漆使用不同的油漆罐单独存储循环使用，油漆管路输送系统为密闭循环系统。机器人根据生产计划，不同颜色的需求油漆自动选取不同罐体油漆进行喷涂使用。换色阀前端一一对应，换色阀后端的管道采用清洗剂清洗。</w:t>
      </w:r>
    </w:p>
    <w:p w14:paraId="49882E3A">
      <w:pPr>
        <w:pStyle w:val="1336"/>
        <w:ind w:firstLine="480"/>
        <w:rPr>
          <w:rFonts w:hint="eastAsia"/>
          <w:color w:val="auto"/>
          <w:highlight w:val="none"/>
          <w:lang w:eastAsia="zh-CN"/>
        </w:rPr>
      </w:pPr>
      <w:r>
        <w:rPr>
          <w:rFonts w:hint="eastAsia"/>
          <w:color w:val="auto"/>
          <w:highlight w:val="none"/>
          <w:lang w:eastAsia="zh-CN"/>
        </w:rPr>
        <w:t>供漆管路、喷枪清洗仅在色漆换色、放假等长时间不使用的情况下进行清洗，由于底漆和清漆使用过程中无需换色，且涂装工序为连续生产，仅在长时间不使用的情况下进行清洗。本项目油漆中均含有乙酸丁酯溶剂，因此以乙酸丁酯（又名醋酸正丁酯）为清洗剂，清洗在喷漆室内进行。清洗时停止喷涂作业，清洗剂由供漆系统管道自动供入喷涂室内喷枪，通过溶剂流动溶解掉管道内的涂料，再由喷枪喷出，完成清洗过程。本项目拟采用负压回收罐回收清洗后的废清洗剂。</w:t>
      </w:r>
    </w:p>
    <w:p w14:paraId="0001F347">
      <w:pPr>
        <w:pStyle w:val="1336"/>
        <w:ind w:firstLine="480"/>
        <w:rPr>
          <w:rFonts w:hint="eastAsia"/>
          <w:color w:val="auto"/>
          <w:highlight w:val="none"/>
          <w:lang w:eastAsia="zh-CN"/>
        </w:rPr>
      </w:pPr>
      <w:r>
        <w:rPr>
          <w:rFonts w:hint="eastAsia"/>
          <w:color w:val="auto"/>
          <w:highlight w:val="none"/>
          <w:lang w:eastAsia="zh-CN"/>
        </w:rPr>
        <w:t>此过程会产生调漆废气、清洗废气、废包装桶（包括油漆、稀释剂、固化剂和清洗剂废包装桶）、废清洗剂。</w:t>
      </w:r>
    </w:p>
    <w:p w14:paraId="64152B62">
      <w:pPr>
        <w:pStyle w:val="1336"/>
        <w:ind w:firstLine="480"/>
        <w:rPr>
          <w:rFonts w:hint="eastAsia"/>
          <w:color w:val="auto"/>
          <w:highlight w:val="none"/>
          <w:lang w:eastAsia="zh-CN"/>
        </w:rPr>
      </w:pPr>
      <w:r>
        <w:rPr>
          <w:rFonts w:hint="eastAsia"/>
          <w:color w:val="auto"/>
          <w:highlight w:val="none"/>
          <w:lang w:eastAsia="zh-CN"/>
        </w:rPr>
        <w:t>②喷漆、流平</w:t>
      </w:r>
    </w:p>
    <w:p w14:paraId="6521B82C">
      <w:pPr>
        <w:pStyle w:val="1336"/>
        <w:ind w:firstLine="480"/>
        <w:rPr>
          <w:rFonts w:hint="eastAsia"/>
          <w:color w:val="auto"/>
          <w:highlight w:val="none"/>
          <w:lang w:eastAsia="zh-CN"/>
        </w:rPr>
      </w:pPr>
      <w:r>
        <w:rPr>
          <w:rFonts w:hint="eastAsia"/>
          <w:color w:val="auto"/>
          <w:highlight w:val="none"/>
          <w:lang w:eastAsia="zh-CN"/>
        </w:rPr>
        <w:t>喷漆时先喷底漆，使塑料件表面更为光滑平整，并且具有一定的厚度，为塑料件着色提供准备；底漆喷涂、流平后喷涂色漆，使塑料件具备客户要求的颜色；最后喷涂清漆，使漆面具有较好的光泽度和耐久度。本项目拟设置底漆喷漆室、色漆喷漆室和清漆喷漆室各1个，每个喷漆室后各配设1个流平室，喷漆室采用上送风、下排风的干式纸盒喷漆室。</w:t>
      </w:r>
    </w:p>
    <w:p w14:paraId="0F5BD644">
      <w:pPr>
        <w:pStyle w:val="1336"/>
        <w:ind w:firstLine="480"/>
        <w:rPr>
          <w:rFonts w:hint="eastAsia"/>
          <w:color w:val="auto"/>
          <w:highlight w:val="none"/>
          <w:lang w:eastAsia="zh-CN"/>
        </w:rPr>
      </w:pPr>
      <w:r>
        <w:rPr>
          <w:rFonts w:hint="eastAsia"/>
          <w:color w:val="auto"/>
          <w:highlight w:val="none"/>
          <w:lang w:eastAsia="zh-CN"/>
        </w:rPr>
        <w:t>本项目底漆喷漆室拟设置1台机器人，采用自动空气喷涂方式；色漆喷漆室拟设置3台机器人，清漆喷漆室拟设置2台机器人，均采用自动静电喷涂和自动空气喷涂相结合的方式。喷涂后的工件进入流平间，使喷在工件表面上的漆滴摊平，并使部分溶剂挥发，以防止在漆膜上出现针孔。</w:t>
      </w:r>
    </w:p>
    <w:p w14:paraId="0B584195">
      <w:pPr>
        <w:pStyle w:val="1336"/>
        <w:ind w:firstLine="480"/>
        <w:rPr>
          <w:rFonts w:hint="eastAsia"/>
          <w:color w:val="auto"/>
          <w:highlight w:val="none"/>
          <w:lang w:eastAsia="zh-CN"/>
        </w:rPr>
      </w:pPr>
      <w:r>
        <w:rPr>
          <w:rFonts w:hint="eastAsia"/>
          <w:color w:val="auto"/>
          <w:highlight w:val="none"/>
          <w:lang w:eastAsia="zh-CN"/>
        </w:rPr>
        <w:t>此过程产生喷漆废气、流平废气和噪声。</w:t>
      </w:r>
    </w:p>
    <w:p w14:paraId="3AB47D47">
      <w:pPr>
        <w:pStyle w:val="1336"/>
        <w:ind w:firstLine="480"/>
        <w:rPr>
          <w:rFonts w:hint="eastAsia"/>
          <w:color w:val="auto"/>
          <w:highlight w:val="none"/>
          <w:lang w:eastAsia="zh-CN"/>
        </w:rPr>
      </w:pPr>
      <w:r>
        <w:rPr>
          <w:rFonts w:hint="eastAsia"/>
          <w:color w:val="auto"/>
          <w:highlight w:val="none"/>
          <w:lang w:eastAsia="zh-CN"/>
        </w:rPr>
        <w:t>③烘干、冷却</w:t>
      </w:r>
    </w:p>
    <w:p w14:paraId="039CA14F">
      <w:pPr>
        <w:pStyle w:val="1336"/>
        <w:ind w:firstLine="480"/>
        <w:rPr>
          <w:rFonts w:hint="eastAsia"/>
          <w:color w:val="auto"/>
          <w:highlight w:val="none"/>
          <w:lang w:eastAsia="zh-CN"/>
        </w:rPr>
      </w:pPr>
      <w:r>
        <w:rPr>
          <w:rFonts w:hint="eastAsia"/>
          <w:color w:val="auto"/>
          <w:highlight w:val="none"/>
          <w:lang w:eastAsia="zh-CN"/>
        </w:rPr>
        <w:t>烘干室为全密闭结构，采用燃烧机燃烧天然气提供热源，烘干温度均控制在80~85℃，烘干时间为40~60min，燃烧天然气间接加热循环热风，热风送往混合室，在混合室内高温空气与来自烘干室内的循环空气混合，混合空气由循环风机送往烘干室。烘干后的工件进入强冷室，通过空气吹扫，使工件快速降温。</w:t>
      </w:r>
    </w:p>
    <w:p w14:paraId="436694AF">
      <w:pPr>
        <w:pStyle w:val="1336"/>
        <w:ind w:firstLine="480"/>
        <w:rPr>
          <w:rFonts w:hint="eastAsia"/>
          <w:color w:val="auto"/>
          <w:highlight w:val="none"/>
          <w:lang w:eastAsia="zh-CN"/>
        </w:rPr>
      </w:pPr>
      <w:r>
        <w:rPr>
          <w:rFonts w:hint="eastAsia"/>
          <w:color w:val="auto"/>
          <w:highlight w:val="none"/>
          <w:lang w:eastAsia="zh-CN"/>
        </w:rPr>
        <w:t>此过程产生烘干废气、油漆烘干天然气燃烧废气和噪声。</w:t>
      </w:r>
    </w:p>
    <w:p w14:paraId="6157403E">
      <w:pPr>
        <w:pStyle w:val="1336"/>
        <w:ind w:firstLine="480"/>
        <w:rPr>
          <w:rFonts w:hint="eastAsia"/>
          <w:color w:val="auto"/>
          <w:highlight w:val="none"/>
          <w:lang w:eastAsia="zh-CN"/>
        </w:rPr>
      </w:pPr>
      <w:r>
        <w:rPr>
          <w:rFonts w:hint="eastAsia"/>
          <w:color w:val="auto"/>
          <w:highlight w:val="none"/>
          <w:lang w:eastAsia="zh-CN"/>
        </w:rPr>
        <w:t>④检查补修</w:t>
      </w:r>
    </w:p>
    <w:p w14:paraId="708B36D1">
      <w:pPr>
        <w:pStyle w:val="1336"/>
        <w:ind w:firstLine="480"/>
        <w:rPr>
          <w:rFonts w:hint="eastAsia"/>
          <w:color w:val="auto"/>
          <w:highlight w:val="none"/>
          <w:lang w:eastAsia="zh-CN"/>
        </w:rPr>
      </w:pPr>
      <w:r>
        <w:rPr>
          <w:rFonts w:hint="eastAsia"/>
          <w:color w:val="auto"/>
          <w:highlight w:val="none"/>
          <w:lang w:eastAsia="zh-CN"/>
        </w:rPr>
        <w:t>喷涂后对产品进行检查，需重新喷涂的不合格品返回喷涂线重新喷涂；需要抛光处理的，在精修抛光室内使用小型手持抛光机将膏体抛光蜡分散在漆膜表面，修饰工件漆膜轻微缺陷；有瑕疵的不合格品送到点补室进行维修补漆，点补拟采用高流低压（HVLP）喷枪进行手动喷涂，并用红外线-光辐射器（烤灯）烤干；经检验不可维修件作为固废处理。本项目产品不合格率约为1%，不合格品中40%报废处理，30%抛光处理，10%返回重新涂装，20%需要点补。</w:t>
      </w:r>
    </w:p>
    <w:p w14:paraId="373517F5">
      <w:pPr>
        <w:pStyle w:val="1336"/>
        <w:ind w:firstLine="480"/>
        <w:rPr>
          <w:rFonts w:hint="eastAsia"/>
          <w:color w:val="auto"/>
          <w:highlight w:val="none"/>
          <w:lang w:eastAsia="zh-CN"/>
        </w:rPr>
      </w:pPr>
      <w:r>
        <w:rPr>
          <w:rFonts w:hint="eastAsia"/>
          <w:color w:val="auto"/>
          <w:highlight w:val="none"/>
          <w:lang w:eastAsia="zh-CN"/>
        </w:rPr>
        <w:t>此过程产生点补废气、废砂纸、喷漆不合格品和废抛光片。</w:t>
      </w:r>
    </w:p>
    <w:p w14:paraId="30EB30FE">
      <w:pPr>
        <w:pStyle w:val="1336"/>
        <w:ind w:firstLine="480"/>
        <w:rPr>
          <w:rFonts w:hint="eastAsia"/>
          <w:color w:val="auto"/>
          <w:highlight w:val="none"/>
          <w:lang w:eastAsia="zh-CN"/>
        </w:rPr>
      </w:pPr>
      <w:r>
        <w:rPr>
          <w:rFonts w:hint="eastAsia"/>
          <w:color w:val="auto"/>
          <w:highlight w:val="none"/>
          <w:lang w:eastAsia="zh-CN"/>
        </w:rPr>
        <w:t>4、装配</w:t>
      </w:r>
    </w:p>
    <w:p w14:paraId="3ABDE2BE">
      <w:pPr>
        <w:pStyle w:val="1336"/>
        <w:ind w:firstLine="480"/>
        <w:rPr>
          <w:rFonts w:hint="eastAsia"/>
          <w:color w:val="auto"/>
          <w:highlight w:val="none"/>
          <w:lang w:eastAsia="zh-CN"/>
        </w:rPr>
      </w:pPr>
      <w:r>
        <w:rPr>
          <w:rFonts w:hint="eastAsia"/>
          <w:color w:val="auto"/>
          <w:highlight w:val="none"/>
          <w:lang w:eastAsia="zh-CN"/>
        </w:rPr>
        <w:t>采用人工的方式将喷漆件与外购零件进行组装，装配后经检验合格出厂，本项目装配过程不涉及焊接、涂胶等工序，不产生污染物。</w:t>
      </w:r>
    </w:p>
    <w:p w14:paraId="58748489">
      <w:pPr>
        <w:pStyle w:val="1336"/>
        <w:ind w:firstLine="480"/>
        <w:rPr>
          <w:rFonts w:hint="eastAsia"/>
          <w:color w:val="auto"/>
          <w:highlight w:val="none"/>
          <w:lang w:eastAsia="zh-CN"/>
        </w:rPr>
      </w:pPr>
      <w:r>
        <w:rPr>
          <w:color w:val="auto"/>
          <w:highlight w:val="none"/>
        </w:rPr>
        <w:drawing>
          <wp:inline distT="0" distB="0" distL="114300" distR="114300">
            <wp:extent cx="5010150" cy="2085975"/>
            <wp:effectExtent l="0" t="0" r="0" b="9525"/>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43"/>
                    <a:stretch>
                      <a:fillRect/>
                    </a:stretch>
                  </pic:blipFill>
                  <pic:spPr>
                    <a:xfrm>
                      <a:off x="0" y="0"/>
                      <a:ext cx="5010150" cy="2085975"/>
                    </a:xfrm>
                    <a:prstGeom prst="rect">
                      <a:avLst/>
                    </a:prstGeom>
                    <a:noFill/>
                    <a:ln>
                      <a:noFill/>
                    </a:ln>
                  </pic:spPr>
                </pic:pic>
              </a:graphicData>
            </a:graphic>
          </wp:inline>
        </w:drawing>
      </w:r>
    </w:p>
    <w:p w14:paraId="350835BC">
      <w:pPr>
        <w:pStyle w:val="8"/>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图</w:t>
      </w:r>
      <w:r>
        <w:rPr>
          <w:rFonts w:hint="eastAsia" w:cs="Times New Roman"/>
          <w:color w:val="auto"/>
          <w:highlight w:val="none"/>
          <w:lang w:val="en-US" w:eastAsia="zh-CN"/>
        </w:rPr>
        <w:t>3.2-2  项目热洁炉</w:t>
      </w:r>
      <w:r>
        <w:rPr>
          <w:rFonts w:hint="eastAsia" w:ascii="Times New Roman" w:hAnsi="Times New Roman" w:cs="Times New Roman"/>
          <w:color w:val="auto"/>
          <w:highlight w:val="none"/>
          <w:lang w:val="en-US" w:eastAsia="zh-CN"/>
        </w:rPr>
        <w:t>工艺流程及产污节点图</w:t>
      </w:r>
    </w:p>
    <w:p w14:paraId="3BF42D14">
      <w:pPr>
        <w:pStyle w:val="1336"/>
        <w:ind w:firstLine="480"/>
        <w:rPr>
          <w:rFonts w:hint="eastAsia"/>
          <w:color w:val="auto"/>
          <w:highlight w:val="none"/>
          <w:lang w:val="en-US" w:eastAsia="zh-CN"/>
        </w:rPr>
      </w:pPr>
      <w:r>
        <w:rPr>
          <w:rFonts w:hint="eastAsia"/>
          <w:color w:val="auto"/>
          <w:highlight w:val="none"/>
          <w:lang w:val="en-US" w:eastAsia="zh-CN"/>
        </w:rPr>
        <w:t>工艺说明：将处理挂具装载至内小车上，将装载车推入炉子内后，将炉门关闭，之后至操作界面前，一键式启动（绿色“启动”按钮），设备自检无故障报警后，开始运行，主燃烧室升温，处理挂具涂层开始逐渐裂解，裂解出来的烟气通过二燃室将尾气二次燃烧，净化后的尾气由20m高排气筒（DA006）排放。</w:t>
      </w:r>
    </w:p>
    <w:p w14:paraId="25762A99">
      <w:pPr>
        <w:pStyle w:val="1336"/>
        <w:ind w:firstLine="480"/>
        <w:rPr>
          <w:color w:val="auto"/>
          <w:highlight w:val="none"/>
        </w:rPr>
      </w:pPr>
      <w:r>
        <w:rPr>
          <w:rFonts w:hint="eastAsia"/>
          <w:color w:val="auto"/>
          <w:highlight w:val="none"/>
          <w:lang w:val="en-US" w:eastAsia="zh-CN"/>
        </w:rPr>
        <w:t>热洁炉主要部件功能说明：</w:t>
      </w:r>
    </w:p>
    <w:p w14:paraId="4E099D13">
      <w:pPr>
        <w:pStyle w:val="1336"/>
        <w:ind w:firstLine="480"/>
        <w:rPr>
          <w:color w:val="auto"/>
          <w:highlight w:val="none"/>
        </w:rPr>
      </w:pPr>
      <w:r>
        <w:rPr>
          <w:rFonts w:hint="eastAsia"/>
          <w:color w:val="auto"/>
          <w:highlight w:val="none"/>
          <w:lang w:val="en-US" w:eastAsia="zh-CN"/>
        </w:rPr>
        <w:t>1主燃烧室：温度通常情况下达到</w:t>
      </w:r>
      <w:r>
        <w:rPr>
          <w:rFonts w:hint="default"/>
          <w:color w:val="auto"/>
          <w:highlight w:val="none"/>
          <w:lang w:val="en-US" w:eastAsia="zh-CN"/>
        </w:rPr>
        <w:t>4</w:t>
      </w:r>
      <w:r>
        <w:rPr>
          <w:rFonts w:hint="eastAsia"/>
          <w:color w:val="auto"/>
          <w:highlight w:val="none"/>
          <w:lang w:val="en-US" w:eastAsia="zh-CN"/>
        </w:rPr>
        <w:t>8</w:t>
      </w:r>
      <w:r>
        <w:rPr>
          <w:rFonts w:hint="default"/>
          <w:color w:val="auto"/>
          <w:highlight w:val="none"/>
          <w:lang w:val="en-US" w:eastAsia="zh-CN"/>
        </w:rPr>
        <w:t>0℃</w:t>
      </w:r>
      <w:r>
        <w:rPr>
          <w:rFonts w:hint="eastAsia"/>
          <w:color w:val="auto"/>
          <w:highlight w:val="none"/>
          <w:lang w:val="en-US" w:eastAsia="zh-CN"/>
        </w:rPr>
        <w:t>，工件表面涂层开始裂解，当工作温度至设定温度（可由人机界面设定）后，主燃烧器停止工作，副燃烧器延时停机，裂解完毕，待尾气温度将至安全温度（可由人机界面设定）后，设备停机。</w:t>
      </w:r>
    </w:p>
    <w:p w14:paraId="4892FD6B">
      <w:pPr>
        <w:pStyle w:val="1336"/>
        <w:ind w:firstLine="480"/>
        <w:rPr>
          <w:color w:val="auto"/>
          <w:highlight w:val="none"/>
        </w:rPr>
      </w:pPr>
      <w:r>
        <w:rPr>
          <w:rFonts w:hint="eastAsia"/>
          <w:color w:val="auto"/>
          <w:highlight w:val="none"/>
          <w:lang w:val="en-US" w:eastAsia="zh-CN"/>
        </w:rPr>
        <w:t>2二燃室：从主燃烧室裂解的烟气通过二燃室进行二次燃烧（700~900</w:t>
      </w:r>
      <w:r>
        <w:rPr>
          <w:rFonts w:hint="default"/>
          <w:color w:val="auto"/>
          <w:highlight w:val="none"/>
          <w:lang w:val="en-US" w:eastAsia="zh-CN"/>
        </w:rPr>
        <w:t>℃</w:t>
      </w:r>
      <w:r>
        <w:rPr>
          <w:rFonts w:hint="eastAsia"/>
          <w:color w:val="auto"/>
          <w:highlight w:val="none"/>
          <w:lang w:val="en-US" w:eastAsia="zh-CN"/>
        </w:rPr>
        <w:t>），将绝大部分有机物燃烧生成二氧化碳及微量废气。热洁炉采用天然气燃烧。</w:t>
      </w:r>
    </w:p>
    <w:p w14:paraId="04F8224F">
      <w:pPr>
        <w:pStyle w:val="1336"/>
        <w:ind w:firstLine="480"/>
        <w:rPr>
          <w:color w:val="auto"/>
          <w:highlight w:val="none"/>
        </w:rPr>
      </w:pPr>
      <w:r>
        <w:rPr>
          <w:color w:val="auto"/>
          <w:highlight w:val="none"/>
        </w:rPr>
        <w:t>项目产污环节详见表3.2-1。</w:t>
      </w:r>
    </w:p>
    <w:p w14:paraId="6CA48F5E">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表3.2-1  项目运营期生产产污环节汇总情况一览表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071"/>
        <w:gridCol w:w="2122"/>
        <w:gridCol w:w="4177"/>
      </w:tblGrid>
      <w:tr w14:paraId="0B2A1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tcBorders>
              <w:tl2br w:val="nil"/>
              <w:tr2bl w:val="nil"/>
            </w:tcBorders>
            <w:noWrap w:val="0"/>
            <w:vAlign w:val="center"/>
          </w:tcPr>
          <w:p w14:paraId="7125175D">
            <w:pPr>
              <w:pStyle w:val="1358"/>
              <w:rPr>
                <w:color w:val="auto"/>
                <w:highlight w:val="none"/>
              </w:rPr>
            </w:pPr>
            <w:r>
              <w:rPr>
                <w:color w:val="auto"/>
                <w:highlight w:val="none"/>
              </w:rPr>
              <w:t>类别</w:t>
            </w:r>
          </w:p>
        </w:tc>
        <w:tc>
          <w:tcPr>
            <w:tcW w:w="1150" w:type="pct"/>
            <w:tcBorders>
              <w:tl2br w:val="nil"/>
              <w:tr2bl w:val="nil"/>
            </w:tcBorders>
            <w:noWrap w:val="0"/>
            <w:vAlign w:val="center"/>
          </w:tcPr>
          <w:p w14:paraId="57E8B093">
            <w:pPr>
              <w:pStyle w:val="1358"/>
              <w:rPr>
                <w:color w:val="auto"/>
                <w:highlight w:val="none"/>
              </w:rPr>
            </w:pPr>
            <w:r>
              <w:rPr>
                <w:color w:val="auto"/>
                <w:highlight w:val="none"/>
              </w:rPr>
              <w:t>污染来源</w:t>
            </w:r>
          </w:p>
        </w:tc>
        <w:tc>
          <w:tcPr>
            <w:tcW w:w="1177" w:type="pct"/>
            <w:tcBorders>
              <w:tl2br w:val="nil"/>
              <w:tr2bl w:val="nil"/>
            </w:tcBorders>
            <w:noWrap w:val="0"/>
            <w:vAlign w:val="center"/>
          </w:tcPr>
          <w:p w14:paraId="4EDEE2BF">
            <w:pPr>
              <w:pStyle w:val="1358"/>
              <w:rPr>
                <w:color w:val="auto"/>
                <w:highlight w:val="none"/>
              </w:rPr>
            </w:pPr>
            <w:r>
              <w:rPr>
                <w:color w:val="auto"/>
                <w:highlight w:val="none"/>
              </w:rPr>
              <w:t>主要污染物种类</w:t>
            </w:r>
          </w:p>
        </w:tc>
        <w:tc>
          <w:tcPr>
            <w:tcW w:w="2319" w:type="pct"/>
            <w:tcBorders>
              <w:tl2br w:val="nil"/>
              <w:tr2bl w:val="nil"/>
            </w:tcBorders>
            <w:noWrap w:val="0"/>
            <w:vAlign w:val="center"/>
          </w:tcPr>
          <w:p w14:paraId="76D82033">
            <w:pPr>
              <w:pStyle w:val="1358"/>
              <w:rPr>
                <w:color w:val="auto"/>
                <w:highlight w:val="none"/>
              </w:rPr>
            </w:pPr>
            <w:r>
              <w:rPr>
                <w:color w:val="auto"/>
                <w:highlight w:val="none"/>
              </w:rPr>
              <w:t>排放方式（处置方式）</w:t>
            </w:r>
          </w:p>
        </w:tc>
      </w:tr>
      <w:tr w14:paraId="0C936F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restart"/>
            <w:tcBorders>
              <w:tl2br w:val="nil"/>
              <w:tr2bl w:val="nil"/>
            </w:tcBorders>
            <w:noWrap w:val="0"/>
            <w:vAlign w:val="center"/>
          </w:tcPr>
          <w:p w14:paraId="139A2AB7">
            <w:pPr>
              <w:pStyle w:val="1358"/>
              <w:rPr>
                <w:color w:val="auto"/>
                <w:highlight w:val="none"/>
              </w:rPr>
            </w:pPr>
            <w:r>
              <w:rPr>
                <w:color w:val="auto"/>
                <w:highlight w:val="none"/>
              </w:rPr>
              <w:t>废水</w:t>
            </w:r>
          </w:p>
        </w:tc>
        <w:tc>
          <w:tcPr>
            <w:tcW w:w="1150" w:type="pct"/>
            <w:tcBorders>
              <w:tl2br w:val="nil"/>
              <w:tr2bl w:val="nil"/>
            </w:tcBorders>
            <w:noWrap w:val="0"/>
            <w:vAlign w:val="center"/>
          </w:tcPr>
          <w:p w14:paraId="72B4E4C0">
            <w:pPr>
              <w:pStyle w:val="1358"/>
              <w:rPr>
                <w:rFonts w:hint="default" w:eastAsia="宋体"/>
                <w:color w:val="auto"/>
                <w:highlight w:val="none"/>
                <w:lang w:val="en-US" w:eastAsia="zh-CN"/>
              </w:rPr>
            </w:pPr>
            <w:r>
              <w:rPr>
                <w:rFonts w:hint="eastAsia" w:eastAsia="宋体"/>
                <w:color w:val="auto"/>
                <w:highlight w:val="none"/>
                <w:lang w:val="en-US" w:eastAsia="zh-CN"/>
              </w:rPr>
              <w:t>冷却循环水</w:t>
            </w:r>
          </w:p>
        </w:tc>
        <w:tc>
          <w:tcPr>
            <w:tcW w:w="1177" w:type="pct"/>
            <w:vMerge w:val="restart"/>
            <w:tcBorders>
              <w:tl2br w:val="nil"/>
              <w:tr2bl w:val="nil"/>
            </w:tcBorders>
            <w:noWrap w:val="0"/>
            <w:vAlign w:val="center"/>
          </w:tcPr>
          <w:p w14:paraId="733EFD93">
            <w:pPr>
              <w:pStyle w:val="1358"/>
              <w:rPr>
                <w:rFonts w:hint="eastAsia" w:ascii="Times New Roman" w:hAnsi="Times New Roman" w:eastAsia="宋体" w:cs="Times New Roman"/>
                <w:color w:val="auto"/>
                <w:highlight w:val="none"/>
                <w:lang w:eastAsia="zh-CN"/>
              </w:rPr>
            </w:pPr>
            <w:r>
              <w:rPr>
                <w:color w:val="auto"/>
                <w:highlight w:val="none"/>
              </w:rPr>
              <w:t>pH、COD、</w:t>
            </w:r>
            <w:r>
              <w:rPr>
                <w:rFonts w:hint="eastAsia"/>
                <w:color w:val="auto"/>
                <w:highlight w:val="none"/>
                <w:lang w:val="en-US" w:eastAsia="zh-CN"/>
              </w:rPr>
              <w:t>SS</w:t>
            </w:r>
          </w:p>
        </w:tc>
        <w:tc>
          <w:tcPr>
            <w:tcW w:w="2319" w:type="pct"/>
            <w:tcBorders>
              <w:tl2br w:val="nil"/>
              <w:tr2bl w:val="nil"/>
            </w:tcBorders>
            <w:noWrap w:val="0"/>
            <w:vAlign w:val="center"/>
          </w:tcPr>
          <w:p w14:paraId="644607E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循环使用不外排</w:t>
            </w:r>
          </w:p>
        </w:tc>
      </w:tr>
      <w:tr w14:paraId="538A2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6461ED42">
            <w:pPr>
              <w:pStyle w:val="1358"/>
              <w:rPr>
                <w:color w:val="auto"/>
                <w:highlight w:val="none"/>
              </w:rPr>
            </w:pPr>
          </w:p>
        </w:tc>
        <w:tc>
          <w:tcPr>
            <w:tcW w:w="1150" w:type="pct"/>
            <w:tcBorders>
              <w:tl2br w:val="nil"/>
              <w:tr2bl w:val="nil"/>
            </w:tcBorders>
            <w:noWrap w:val="0"/>
            <w:vAlign w:val="center"/>
          </w:tcPr>
          <w:p w14:paraId="5A83BE07">
            <w:pPr>
              <w:pStyle w:val="1358"/>
              <w:rPr>
                <w:rFonts w:hint="default" w:eastAsia="宋体"/>
                <w:color w:val="auto"/>
                <w:highlight w:val="none"/>
                <w:lang w:val="en-US" w:eastAsia="zh-CN"/>
              </w:rPr>
            </w:pPr>
            <w:r>
              <w:rPr>
                <w:rFonts w:hint="eastAsia" w:eastAsia="宋体"/>
                <w:color w:val="auto"/>
                <w:highlight w:val="none"/>
                <w:lang w:val="en-US" w:eastAsia="zh-CN"/>
              </w:rPr>
              <w:t>纯水制备反渗透浓水、热水炉排水</w:t>
            </w:r>
          </w:p>
        </w:tc>
        <w:tc>
          <w:tcPr>
            <w:tcW w:w="1177" w:type="pct"/>
            <w:vMerge w:val="continue"/>
            <w:tcBorders>
              <w:tl2br w:val="nil"/>
              <w:tr2bl w:val="nil"/>
            </w:tcBorders>
            <w:noWrap w:val="0"/>
            <w:vAlign w:val="center"/>
          </w:tcPr>
          <w:p w14:paraId="57F8077B">
            <w:pPr>
              <w:pStyle w:val="1358"/>
              <w:rPr>
                <w:rFonts w:hint="eastAsia" w:ascii="Times New Roman" w:hAnsi="Times New Roman" w:eastAsia="宋体" w:cs="Times New Roman"/>
                <w:color w:val="auto"/>
                <w:highlight w:val="none"/>
                <w:lang w:eastAsia="zh-CN"/>
              </w:rPr>
            </w:pPr>
          </w:p>
        </w:tc>
        <w:tc>
          <w:tcPr>
            <w:tcW w:w="2319" w:type="pct"/>
            <w:tcBorders>
              <w:tl2br w:val="nil"/>
              <w:tr2bl w:val="nil"/>
            </w:tcBorders>
            <w:noWrap w:val="0"/>
            <w:vAlign w:val="center"/>
          </w:tcPr>
          <w:p w14:paraId="3D12A165">
            <w:pPr>
              <w:pStyle w:val="1358"/>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纳入</w:t>
            </w:r>
            <w:r>
              <w:rPr>
                <w:color w:val="auto"/>
                <w:highlight w:val="none"/>
              </w:rPr>
              <w:t>市政污水管网，</w:t>
            </w:r>
            <w:r>
              <w:rPr>
                <w:rFonts w:hint="eastAsia"/>
                <w:color w:val="auto"/>
                <w:highlight w:val="none"/>
                <w:lang w:val="en-US" w:eastAsia="zh-CN"/>
              </w:rPr>
              <w:t>接入</w:t>
            </w:r>
            <w:r>
              <w:rPr>
                <w:rFonts w:hint="eastAsia"/>
                <w:color w:val="auto"/>
                <w:highlight w:val="none"/>
                <w:lang w:eastAsia="zh-CN"/>
              </w:rPr>
              <w:t>青口汽车工业开发区污水处理厂</w:t>
            </w:r>
          </w:p>
        </w:tc>
      </w:tr>
      <w:tr w14:paraId="1C2F0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220AC000">
            <w:pPr>
              <w:pStyle w:val="1358"/>
              <w:rPr>
                <w:color w:val="auto"/>
                <w:highlight w:val="none"/>
              </w:rPr>
            </w:pPr>
          </w:p>
        </w:tc>
        <w:tc>
          <w:tcPr>
            <w:tcW w:w="1150" w:type="pct"/>
            <w:tcBorders>
              <w:tl2br w:val="nil"/>
              <w:tr2bl w:val="nil"/>
            </w:tcBorders>
            <w:noWrap w:val="0"/>
            <w:vAlign w:val="center"/>
          </w:tcPr>
          <w:p w14:paraId="44575AD0">
            <w:pPr>
              <w:pStyle w:val="1358"/>
              <w:rPr>
                <w:color w:val="auto"/>
                <w:highlight w:val="none"/>
              </w:rPr>
            </w:pPr>
            <w:r>
              <w:rPr>
                <w:color w:val="auto"/>
                <w:highlight w:val="none"/>
              </w:rPr>
              <w:t>职工生活</w:t>
            </w:r>
          </w:p>
        </w:tc>
        <w:tc>
          <w:tcPr>
            <w:tcW w:w="1177" w:type="pct"/>
            <w:tcBorders>
              <w:tl2br w:val="nil"/>
              <w:tr2bl w:val="nil"/>
            </w:tcBorders>
            <w:noWrap w:val="0"/>
            <w:vAlign w:val="center"/>
          </w:tcPr>
          <w:p w14:paraId="070BE669">
            <w:pPr>
              <w:pStyle w:val="1358"/>
              <w:rPr>
                <w:color w:val="auto"/>
                <w:highlight w:val="none"/>
              </w:rPr>
            </w:pPr>
            <w:r>
              <w:rPr>
                <w:color w:val="auto"/>
                <w:highlight w:val="none"/>
              </w:rPr>
              <w:t>pH、COD、BOD</w:t>
            </w:r>
            <w:r>
              <w:rPr>
                <w:color w:val="auto"/>
                <w:highlight w:val="none"/>
                <w:vertAlign w:val="subscript"/>
              </w:rPr>
              <w:t>5</w:t>
            </w:r>
            <w:r>
              <w:rPr>
                <w:color w:val="auto"/>
                <w:highlight w:val="none"/>
              </w:rPr>
              <w:t>、SS、NH</w:t>
            </w:r>
            <w:r>
              <w:rPr>
                <w:color w:val="auto"/>
                <w:highlight w:val="none"/>
                <w:vertAlign w:val="subscript"/>
              </w:rPr>
              <w:t>3</w:t>
            </w:r>
            <w:r>
              <w:rPr>
                <w:color w:val="auto"/>
                <w:highlight w:val="none"/>
              </w:rPr>
              <w:t>-N</w:t>
            </w:r>
          </w:p>
        </w:tc>
        <w:tc>
          <w:tcPr>
            <w:tcW w:w="2319" w:type="pct"/>
            <w:tcBorders>
              <w:tl2br w:val="nil"/>
              <w:tr2bl w:val="nil"/>
            </w:tcBorders>
            <w:noWrap w:val="0"/>
            <w:vAlign w:val="center"/>
          </w:tcPr>
          <w:p w14:paraId="6FCAD7CB">
            <w:pPr>
              <w:pStyle w:val="1358"/>
              <w:rPr>
                <w:rFonts w:hint="eastAsia" w:eastAsia="宋体"/>
                <w:color w:val="auto"/>
                <w:highlight w:val="none"/>
                <w:lang w:eastAsia="zh-CN"/>
              </w:rPr>
            </w:pPr>
            <w:r>
              <w:rPr>
                <w:rFonts w:hint="eastAsia"/>
                <w:color w:val="auto"/>
                <w:highlight w:val="none"/>
                <w:lang w:val="en-US" w:eastAsia="zh-CN"/>
              </w:rPr>
              <w:t>经</w:t>
            </w:r>
            <w:r>
              <w:rPr>
                <w:color w:val="auto"/>
                <w:highlight w:val="none"/>
              </w:rPr>
              <w:t>化粪池</w:t>
            </w:r>
            <w:r>
              <w:rPr>
                <w:rFonts w:hint="eastAsia"/>
                <w:color w:val="auto"/>
                <w:highlight w:val="none"/>
                <w:lang w:val="en-US" w:eastAsia="zh-CN"/>
              </w:rPr>
              <w:t>处理达标后纳入</w:t>
            </w:r>
            <w:r>
              <w:rPr>
                <w:color w:val="auto"/>
                <w:highlight w:val="none"/>
              </w:rPr>
              <w:t>市政污水管网，</w:t>
            </w:r>
            <w:r>
              <w:rPr>
                <w:rFonts w:hint="eastAsia"/>
                <w:color w:val="auto"/>
                <w:highlight w:val="none"/>
                <w:lang w:val="en-US" w:eastAsia="zh-CN"/>
              </w:rPr>
              <w:t>接入</w:t>
            </w:r>
            <w:r>
              <w:rPr>
                <w:rFonts w:hint="eastAsia"/>
                <w:color w:val="auto"/>
                <w:highlight w:val="none"/>
                <w:lang w:eastAsia="zh-CN"/>
              </w:rPr>
              <w:t>青口汽车工业开发区污水处理厂</w:t>
            </w:r>
          </w:p>
        </w:tc>
      </w:tr>
      <w:tr w14:paraId="762A3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restart"/>
            <w:tcBorders>
              <w:tl2br w:val="nil"/>
              <w:tr2bl w:val="nil"/>
            </w:tcBorders>
            <w:noWrap w:val="0"/>
            <w:vAlign w:val="center"/>
          </w:tcPr>
          <w:p w14:paraId="7506DCF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废气</w:t>
            </w:r>
          </w:p>
        </w:tc>
        <w:tc>
          <w:tcPr>
            <w:tcW w:w="1150" w:type="pct"/>
            <w:tcBorders>
              <w:tl2br w:val="nil"/>
              <w:tr2bl w:val="nil"/>
            </w:tcBorders>
            <w:shd w:val="clear" w:color="auto" w:fill="auto"/>
            <w:noWrap w:val="0"/>
            <w:vAlign w:val="center"/>
          </w:tcPr>
          <w:p w14:paraId="3686EDBE">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燃烧废气</w:t>
            </w:r>
          </w:p>
        </w:tc>
        <w:tc>
          <w:tcPr>
            <w:tcW w:w="1177" w:type="pct"/>
            <w:tcBorders>
              <w:tl2br w:val="nil"/>
              <w:tr2bl w:val="nil"/>
            </w:tcBorders>
            <w:shd w:val="clear" w:color="auto" w:fill="auto"/>
            <w:noWrap w:val="0"/>
            <w:vAlign w:val="center"/>
          </w:tcPr>
          <w:p w14:paraId="45C52B2A">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颗粒物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二氧化硫</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氮氧化物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烟气黑度</w:t>
            </w:r>
          </w:p>
        </w:tc>
        <w:tc>
          <w:tcPr>
            <w:tcW w:w="2319" w:type="pct"/>
            <w:vMerge w:val="restart"/>
            <w:tcBorders>
              <w:tl2br w:val="nil"/>
              <w:tr2bl w:val="nil"/>
            </w:tcBorders>
            <w:noWrap w:val="0"/>
            <w:vAlign w:val="center"/>
          </w:tcPr>
          <w:p w14:paraId="111E5DA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喷漆室、流平室、油漆烘干室产生的废气与固化炉燃烧产生的废气一并经负压收集后由</w:t>
            </w:r>
            <w:r>
              <w:rPr>
                <w:rFonts w:hint="eastAsia" w:cs="Times New Roman"/>
                <w:color w:val="auto"/>
                <w:highlight w:val="none"/>
                <w:lang w:val="en-US" w:eastAsia="zh-CN"/>
              </w:rPr>
              <w:t>“干式纸盒+过滤棉过滤+二级活性炭吸附”</w:t>
            </w:r>
            <w:r>
              <w:rPr>
                <w:rFonts w:hint="eastAsia" w:ascii="Times New Roman" w:hAnsi="Times New Roman" w:eastAsia="宋体" w:cs="Times New Roman"/>
                <w:color w:val="auto"/>
                <w:highlight w:val="none"/>
                <w:lang w:val="en-US" w:eastAsia="zh-CN"/>
              </w:rPr>
              <w:t>（TA001）处理达标后经20m排气筒（DA001）高空排放</w:t>
            </w:r>
          </w:p>
        </w:tc>
      </w:tr>
      <w:tr w14:paraId="41DD5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352" w:type="pct"/>
            <w:vMerge w:val="continue"/>
            <w:tcBorders>
              <w:tl2br w:val="nil"/>
              <w:tr2bl w:val="nil"/>
            </w:tcBorders>
            <w:noWrap w:val="0"/>
            <w:vAlign w:val="center"/>
          </w:tcPr>
          <w:p w14:paraId="3399036B">
            <w:pPr>
              <w:pStyle w:val="1358"/>
              <w:rPr>
                <w:color w:val="auto"/>
                <w:highlight w:val="none"/>
              </w:rPr>
            </w:pPr>
          </w:p>
        </w:tc>
        <w:tc>
          <w:tcPr>
            <w:tcW w:w="1150" w:type="pct"/>
            <w:tcBorders>
              <w:tl2br w:val="nil"/>
              <w:tr2bl w:val="nil"/>
            </w:tcBorders>
            <w:shd w:val="clear" w:color="auto" w:fill="auto"/>
            <w:noWrap w:val="0"/>
            <w:vAlign w:val="center"/>
          </w:tcPr>
          <w:p w14:paraId="0AED371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喷漆、流平、烘干</w:t>
            </w:r>
            <w:r>
              <w:rPr>
                <w:rFonts w:hint="eastAsia" w:cs="Times New Roman"/>
                <w:color w:val="auto"/>
                <w:highlight w:val="none"/>
                <w:lang w:val="en-US" w:eastAsia="zh-CN"/>
              </w:rPr>
              <w:t>、清洗</w:t>
            </w:r>
            <w:r>
              <w:rPr>
                <w:rFonts w:hint="eastAsia" w:ascii="Times New Roman" w:hAnsi="Times New Roman" w:eastAsia="宋体" w:cs="Times New Roman"/>
                <w:color w:val="auto"/>
                <w:highlight w:val="none"/>
                <w:lang w:val="en-US" w:eastAsia="zh-CN"/>
              </w:rPr>
              <w:t>废气</w:t>
            </w:r>
          </w:p>
        </w:tc>
        <w:tc>
          <w:tcPr>
            <w:tcW w:w="1177" w:type="pct"/>
            <w:tcBorders>
              <w:tl2br w:val="nil"/>
              <w:tr2bl w:val="nil"/>
            </w:tcBorders>
            <w:shd w:val="clear" w:color="auto" w:fill="auto"/>
            <w:noWrap w:val="0"/>
            <w:vAlign w:val="center"/>
          </w:tcPr>
          <w:p w14:paraId="2F863274">
            <w:pPr>
              <w:pStyle w:val="1358"/>
              <w:ind w:firstLine="0" w:firstLineChars="0"/>
              <w:rPr>
                <w:rFonts w:hint="default" w:eastAsia="宋体"/>
                <w:color w:val="auto"/>
                <w:kern w:val="2"/>
                <w:sz w:val="21"/>
                <w:szCs w:val="24"/>
                <w:highlight w:val="none"/>
                <w:lang w:val="en-US" w:eastAsia="zh-CN" w:bidi="ar-SA"/>
              </w:rPr>
            </w:pPr>
            <w:r>
              <w:rPr>
                <w:rFonts w:hint="eastAsia" w:eastAsia="宋体"/>
                <w:color w:val="auto"/>
                <w:highlight w:val="none"/>
                <w:lang w:val="en-US" w:eastAsia="zh-CN"/>
              </w:rPr>
              <w:t>非甲烷总烃、二甲苯、乙酸丁酯、颗粒物</w:t>
            </w:r>
          </w:p>
        </w:tc>
        <w:tc>
          <w:tcPr>
            <w:tcW w:w="2319" w:type="pct"/>
            <w:vMerge w:val="continue"/>
            <w:tcBorders>
              <w:tl2br w:val="nil"/>
              <w:tr2bl w:val="nil"/>
            </w:tcBorders>
            <w:noWrap w:val="0"/>
            <w:vAlign w:val="center"/>
          </w:tcPr>
          <w:p w14:paraId="12C8F169">
            <w:pPr>
              <w:pStyle w:val="1358"/>
              <w:rPr>
                <w:rFonts w:hint="eastAsia" w:ascii="Times New Roman" w:hAnsi="Times New Roman" w:eastAsia="宋体" w:cs="Times New Roman"/>
                <w:color w:val="auto"/>
                <w:highlight w:val="none"/>
                <w:lang w:val="en-US" w:eastAsia="zh-CN"/>
              </w:rPr>
            </w:pPr>
          </w:p>
        </w:tc>
      </w:tr>
      <w:tr w14:paraId="44D3B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63CF4321">
            <w:pPr>
              <w:pStyle w:val="1358"/>
              <w:rPr>
                <w:color w:val="auto"/>
                <w:highlight w:val="none"/>
              </w:rPr>
            </w:pPr>
          </w:p>
        </w:tc>
        <w:tc>
          <w:tcPr>
            <w:tcW w:w="1150" w:type="pct"/>
            <w:tcBorders>
              <w:tl2br w:val="nil"/>
              <w:tr2bl w:val="nil"/>
            </w:tcBorders>
            <w:noWrap w:val="0"/>
            <w:vAlign w:val="center"/>
          </w:tcPr>
          <w:p w14:paraId="1CF6FDE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调漆废气</w:t>
            </w:r>
          </w:p>
        </w:tc>
        <w:tc>
          <w:tcPr>
            <w:tcW w:w="1177" w:type="pct"/>
            <w:tcBorders>
              <w:tl2br w:val="nil"/>
              <w:tr2bl w:val="nil"/>
            </w:tcBorders>
            <w:noWrap w:val="0"/>
            <w:vAlign w:val="center"/>
          </w:tcPr>
          <w:p w14:paraId="4954AB06">
            <w:pPr>
              <w:pStyle w:val="1358"/>
              <w:rPr>
                <w:rFonts w:hint="default" w:ascii="Times New Roman" w:hAnsi="Times New Roman" w:eastAsia="宋体" w:cs="Times New Roman"/>
                <w:color w:val="auto"/>
                <w:highlight w:val="none"/>
                <w:lang w:val="en-US" w:eastAsia="zh-CN"/>
              </w:rPr>
            </w:pPr>
            <w:r>
              <w:rPr>
                <w:rFonts w:hint="eastAsia" w:eastAsia="宋体"/>
                <w:color w:val="auto"/>
                <w:highlight w:val="none"/>
                <w:lang w:val="en-US" w:eastAsia="zh-CN"/>
              </w:rPr>
              <w:t>非甲烷总烃、二甲苯、乙酸丁酯</w:t>
            </w:r>
          </w:p>
        </w:tc>
        <w:tc>
          <w:tcPr>
            <w:tcW w:w="2319" w:type="pct"/>
            <w:tcBorders>
              <w:tl2br w:val="nil"/>
              <w:tr2bl w:val="nil"/>
            </w:tcBorders>
            <w:noWrap w:val="0"/>
            <w:vAlign w:val="center"/>
          </w:tcPr>
          <w:p w14:paraId="427DC808">
            <w:pPr>
              <w:pStyle w:val="7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1"/>
                <w:szCs w:val="21"/>
                <w:highlight w:val="none"/>
                <w:lang w:val="en-US" w:eastAsia="zh-CN"/>
              </w:rPr>
              <w:t>经负压收集后由</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二级活性炭吸附</w:t>
            </w:r>
            <w:r>
              <w:rPr>
                <w:rFonts w:hint="eastAsia" w:ascii="Times New Roman" w:hAns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（TA002）处理达标后经20m排气筒（DA002）高空排放</w:t>
            </w:r>
          </w:p>
        </w:tc>
      </w:tr>
      <w:tr w14:paraId="4D966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640AE77A">
            <w:pPr>
              <w:pStyle w:val="1358"/>
              <w:rPr>
                <w:color w:val="auto"/>
                <w:highlight w:val="none"/>
              </w:rPr>
            </w:pPr>
          </w:p>
        </w:tc>
        <w:tc>
          <w:tcPr>
            <w:tcW w:w="1150" w:type="pct"/>
            <w:tcBorders>
              <w:tl2br w:val="nil"/>
              <w:tr2bl w:val="nil"/>
            </w:tcBorders>
            <w:noWrap w:val="0"/>
            <w:vAlign w:val="center"/>
          </w:tcPr>
          <w:p w14:paraId="670F65C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点补废气</w:t>
            </w:r>
          </w:p>
        </w:tc>
        <w:tc>
          <w:tcPr>
            <w:tcW w:w="1177" w:type="pct"/>
            <w:tcBorders>
              <w:tl2br w:val="nil"/>
              <w:tr2bl w:val="nil"/>
            </w:tcBorders>
            <w:noWrap w:val="0"/>
            <w:vAlign w:val="center"/>
          </w:tcPr>
          <w:p w14:paraId="0CFF3C0B">
            <w:pPr>
              <w:pStyle w:val="1358"/>
              <w:rPr>
                <w:rFonts w:hint="default" w:eastAsia="宋体"/>
                <w:color w:val="auto"/>
                <w:highlight w:val="none"/>
                <w:lang w:val="en-US" w:eastAsia="zh-CN"/>
              </w:rPr>
            </w:pPr>
            <w:r>
              <w:rPr>
                <w:rFonts w:hint="eastAsia" w:eastAsia="宋体"/>
                <w:color w:val="auto"/>
                <w:highlight w:val="none"/>
                <w:lang w:val="en-US" w:eastAsia="zh-CN"/>
              </w:rPr>
              <w:t>非甲烷总烃、二甲苯、乙酸丁酯、颗粒物</w:t>
            </w:r>
          </w:p>
        </w:tc>
        <w:tc>
          <w:tcPr>
            <w:tcW w:w="2319" w:type="pct"/>
            <w:tcBorders>
              <w:tl2br w:val="nil"/>
              <w:tr2bl w:val="nil"/>
            </w:tcBorders>
            <w:noWrap w:val="0"/>
            <w:vAlign w:val="center"/>
          </w:tcPr>
          <w:p w14:paraId="678BAAF9">
            <w:pPr>
              <w:pStyle w:val="1358"/>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经负压收集后由</w:t>
            </w:r>
            <w:r>
              <w:rPr>
                <w:rFonts w:hint="eastAsia" w:cs="Times New Roman"/>
                <w:color w:val="auto"/>
                <w:sz w:val="21"/>
                <w:szCs w:val="21"/>
                <w:highlight w:val="none"/>
                <w:lang w:val="en-US" w:eastAsia="zh-CN"/>
              </w:rPr>
              <w:t>“过滤棉过滤+二级活性炭吸附”</w:t>
            </w:r>
            <w:r>
              <w:rPr>
                <w:rFonts w:hint="eastAsia" w:ascii="Times New Roman" w:hAnsi="Times New Roman" w:eastAsia="宋体" w:cs="Times New Roman"/>
                <w:color w:val="auto"/>
                <w:sz w:val="21"/>
                <w:szCs w:val="21"/>
                <w:highlight w:val="none"/>
                <w:lang w:val="en-US" w:eastAsia="zh-CN"/>
              </w:rPr>
              <w:t>（TA003）处理达标后经20m排气筒（DA003）高空排放</w:t>
            </w:r>
          </w:p>
        </w:tc>
      </w:tr>
      <w:tr w14:paraId="5CE2F8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6985AA0C">
            <w:pPr>
              <w:pStyle w:val="1358"/>
              <w:rPr>
                <w:color w:val="auto"/>
                <w:highlight w:val="none"/>
              </w:rPr>
            </w:pPr>
          </w:p>
        </w:tc>
        <w:tc>
          <w:tcPr>
            <w:tcW w:w="1150" w:type="pct"/>
            <w:tcBorders>
              <w:tl2br w:val="nil"/>
              <w:tr2bl w:val="nil"/>
            </w:tcBorders>
            <w:shd w:val="clear" w:color="auto" w:fill="auto"/>
            <w:noWrap w:val="0"/>
            <w:vAlign w:val="center"/>
          </w:tcPr>
          <w:p w14:paraId="4F46D0A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注塑废气</w:t>
            </w:r>
          </w:p>
        </w:tc>
        <w:tc>
          <w:tcPr>
            <w:tcW w:w="1177" w:type="pct"/>
            <w:tcBorders>
              <w:tl2br w:val="nil"/>
              <w:tr2bl w:val="nil"/>
            </w:tcBorders>
            <w:shd w:val="clear" w:color="auto" w:fill="auto"/>
            <w:noWrap w:val="0"/>
            <w:vAlign w:val="center"/>
          </w:tcPr>
          <w:p w14:paraId="49AEE582">
            <w:pPr>
              <w:pStyle w:val="1358"/>
              <w:ind w:firstLine="0" w:firstLineChars="0"/>
              <w:rPr>
                <w:rFonts w:hint="eastAsia" w:eastAsia="宋体"/>
                <w:color w:val="auto"/>
                <w:kern w:val="2"/>
                <w:sz w:val="21"/>
                <w:szCs w:val="24"/>
                <w:highlight w:val="none"/>
                <w:lang w:val="en-US" w:eastAsia="zh-CN" w:bidi="ar-SA"/>
              </w:rPr>
            </w:pPr>
            <w:r>
              <w:rPr>
                <w:rFonts w:hint="eastAsia" w:eastAsia="宋体"/>
                <w:color w:val="auto"/>
                <w:highlight w:val="none"/>
                <w:lang w:val="en-US" w:eastAsia="zh-CN"/>
              </w:rPr>
              <w:t>非甲烷总烃、臭气浓度</w:t>
            </w:r>
          </w:p>
        </w:tc>
        <w:tc>
          <w:tcPr>
            <w:tcW w:w="2319" w:type="pct"/>
            <w:tcBorders>
              <w:tl2br w:val="nil"/>
              <w:tr2bl w:val="nil"/>
            </w:tcBorders>
            <w:shd w:val="clear" w:color="auto" w:fill="auto"/>
            <w:noWrap w:val="0"/>
            <w:vAlign w:val="center"/>
          </w:tcPr>
          <w:p w14:paraId="594258FB">
            <w:pPr>
              <w:pStyle w:val="1358"/>
              <w:ind w:firstLine="0" w:firstLineChars="0"/>
              <w:rPr>
                <w:rFonts w:hint="eastAsia" w:eastAsia="宋体"/>
                <w:color w:val="auto"/>
                <w:kern w:val="2"/>
                <w:sz w:val="21"/>
                <w:szCs w:val="24"/>
                <w:highlight w:val="none"/>
                <w:lang w:val="en-US" w:eastAsia="zh-CN" w:bidi="ar-SA"/>
              </w:rPr>
            </w:pPr>
            <w:r>
              <w:rPr>
                <w:rFonts w:hint="eastAsia" w:ascii="Times New Roman" w:hAnsi="Times New Roman" w:eastAsia="宋体" w:cs="Times New Roman"/>
                <w:color w:val="auto"/>
                <w:sz w:val="21"/>
                <w:szCs w:val="21"/>
                <w:highlight w:val="none"/>
                <w:lang w:val="en-US" w:eastAsia="zh-CN"/>
              </w:rPr>
              <w:t>经设备直连管道收集后由</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二级活性炭吸附</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（TA004）处理后通过1根20m高排气筒（DA004）排放</w:t>
            </w:r>
          </w:p>
        </w:tc>
      </w:tr>
      <w:tr w14:paraId="5915E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5B473DC8">
            <w:pPr>
              <w:pStyle w:val="1358"/>
              <w:rPr>
                <w:color w:val="auto"/>
                <w:highlight w:val="none"/>
              </w:rPr>
            </w:pPr>
          </w:p>
        </w:tc>
        <w:tc>
          <w:tcPr>
            <w:tcW w:w="1150" w:type="pct"/>
            <w:tcBorders>
              <w:tl2br w:val="nil"/>
              <w:tr2bl w:val="nil"/>
            </w:tcBorders>
            <w:noWrap w:val="0"/>
            <w:vAlign w:val="center"/>
          </w:tcPr>
          <w:p w14:paraId="6F4EFE3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1"/>
                <w:szCs w:val="21"/>
                <w:highlight w:val="none"/>
                <w:lang w:val="en-US" w:eastAsia="zh-CN"/>
              </w:rPr>
              <w:t>热水炉天然气燃烧废气</w:t>
            </w:r>
          </w:p>
        </w:tc>
        <w:tc>
          <w:tcPr>
            <w:tcW w:w="1177" w:type="pct"/>
            <w:tcBorders>
              <w:tl2br w:val="nil"/>
              <w:tr2bl w:val="nil"/>
            </w:tcBorders>
            <w:noWrap w:val="0"/>
            <w:vAlign w:val="center"/>
          </w:tcPr>
          <w:p w14:paraId="17C05C00">
            <w:pPr>
              <w:pStyle w:val="1358"/>
              <w:rPr>
                <w:rFonts w:hint="eastAsia" w:eastAsia="宋体"/>
                <w:color w:val="auto"/>
                <w:highlight w:val="none"/>
                <w:lang w:val="en-US" w:eastAsia="zh-CN"/>
              </w:rPr>
            </w:pPr>
            <w:r>
              <w:rPr>
                <w:rFonts w:hint="default" w:ascii="Times New Roman" w:hAnsi="Times New Roman" w:eastAsia="宋体" w:cs="Times New Roman"/>
                <w:color w:val="auto"/>
                <w:highlight w:val="none"/>
                <w:lang w:val="en-US" w:eastAsia="zh-CN"/>
              </w:rPr>
              <w:t>颗粒物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二氧化硫</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氮氧化物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烟气黑度</w:t>
            </w:r>
          </w:p>
        </w:tc>
        <w:tc>
          <w:tcPr>
            <w:tcW w:w="2319" w:type="pct"/>
            <w:tcBorders>
              <w:tl2br w:val="nil"/>
              <w:tr2bl w:val="nil"/>
            </w:tcBorders>
            <w:noWrap w:val="0"/>
            <w:vAlign w:val="center"/>
          </w:tcPr>
          <w:p w14:paraId="4637E73F">
            <w:pPr>
              <w:pStyle w:val="1358"/>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经低氮燃烧后由不低于</w:t>
            </w:r>
            <w:r>
              <w:rPr>
                <w:rFonts w:hint="default" w:ascii="Times New Roman" w:hAnsi="Times New Roman" w:eastAsia="宋体" w:cs="Times New Roman"/>
                <w:color w:val="auto"/>
                <w:sz w:val="21"/>
                <w:szCs w:val="21"/>
                <w:highlight w:val="none"/>
                <w:lang w:val="en-US" w:eastAsia="zh-CN"/>
              </w:rPr>
              <w:t>8m</w:t>
            </w:r>
            <w:r>
              <w:rPr>
                <w:rFonts w:hint="eastAsia" w:ascii="Times New Roman" w:hAnsi="Times New Roman" w:eastAsia="宋体" w:cs="Times New Roman"/>
                <w:color w:val="auto"/>
                <w:sz w:val="21"/>
                <w:szCs w:val="21"/>
                <w:highlight w:val="none"/>
                <w:lang w:val="en-US" w:eastAsia="zh-CN"/>
              </w:rPr>
              <w:t>排气筒（</w:t>
            </w:r>
            <w:r>
              <w:rPr>
                <w:rFonts w:hint="default" w:ascii="Times New Roman" w:hAnsi="Times New Roman" w:eastAsia="宋体" w:cs="Times New Roman"/>
                <w:color w:val="auto"/>
                <w:sz w:val="21"/>
                <w:szCs w:val="21"/>
                <w:highlight w:val="none"/>
                <w:lang w:val="en-US" w:eastAsia="zh-CN"/>
              </w:rPr>
              <w:t>DA00</w:t>
            </w:r>
            <w:r>
              <w:rPr>
                <w:rFonts w:hint="eastAsia" w:ascii="Times New Roman" w:hAnsi="Times New Roman" w:eastAsia="宋体" w:cs="Times New Roman"/>
                <w:color w:val="auto"/>
                <w:sz w:val="21"/>
                <w:szCs w:val="21"/>
                <w:highlight w:val="none"/>
                <w:lang w:val="en-US" w:eastAsia="zh-CN"/>
              </w:rPr>
              <w:t>5）高空排放</w:t>
            </w:r>
          </w:p>
        </w:tc>
      </w:tr>
      <w:tr w14:paraId="07D9B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3382DA23">
            <w:pPr>
              <w:pStyle w:val="1358"/>
              <w:rPr>
                <w:color w:val="auto"/>
                <w:highlight w:val="none"/>
              </w:rPr>
            </w:pPr>
          </w:p>
        </w:tc>
        <w:tc>
          <w:tcPr>
            <w:tcW w:w="1150" w:type="pct"/>
            <w:tcBorders>
              <w:tl2br w:val="nil"/>
              <w:tr2bl w:val="nil"/>
            </w:tcBorders>
            <w:noWrap w:val="0"/>
            <w:vAlign w:val="center"/>
          </w:tcPr>
          <w:p w14:paraId="243EE194">
            <w:pPr>
              <w:pStyle w:val="1358"/>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热洁炉废气</w:t>
            </w:r>
          </w:p>
        </w:tc>
        <w:tc>
          <w:tcPr>
            <w:tcW w:w="1177" w:type="pct"/>
            <w:tcBorders>
              <w:tl2br w:val="nil"/>
              <w:tr2bl w:val="nil"/>
            </w:tcBorders>
            <w:noWrap w:val="0"/>
            <w:vAlign w:val="center"/>
          </w:tcPr>
          <w:p w14:paraId="175D1E8A">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颗粒物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二氧化硫</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氮氧化物</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烟气黑度</w:t>
            </w:r>
            <w:r>
              <w:rPr>
                <w:rFonts w:hint="eastAsia" w:cs="Times New Roman"/>
                <w:color w:val="auto"/>
                <w:highlight w:val="none"/>
                <w:lang w:val="en-US" w:eastAsia="zh-CN"/>
              </w:rPr>
              <w:t>、非甲烷总烃、臭气浓度</w:t>
            </w:r>
          </w:p>
        </w:tc>
        <w:tc>
          <w:tcPr>
            <w:tcW w:w="2319" w:type="pct"/>
            <w:tcBorders>
              <w:tl2br w:val="nil"/>
              <w:tr2bl w:val="nil"/>
            </w:tcBorders>
            <w:noWrap w:val="0"/>
            <w:vAlign w:val="center"/>
          </w:tcPr>
          <w:p w14:paraId="6B94E37B">
            <w:pPr>
              <w:pStyle w:val="1358"/>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经通过二燃室+换热器处理达标后由20m排气筒（DA006）高空排放</w:t>
            </w:r>
          </w:p>
        </w:tc>
      </w:tr>
      <w:tr w14:paraId="5D55F7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2C27FA47">
            <w:pPr>
              <w:pStyle w:val="1358"/>
              <w:rPr>
                <w:color w:val="auto"/>
                <w:highlight w:val="none"/>
              </w:rPr>
            </w:pPr>
          </w:p>
        </w:tc>
        <w:tc>
          <w:tcPr>
            <w:tcW w:w="1150" w:type="pct"/>
            <w:tcBorders>
              <w:tl2br w:val="nil"/>
              <w:tr2bl w:val="nil"/>
            </w:tcBorders>
            <w:noWrap w:val="0"/>
            <w:vAlign w:val="center"/>
          </w:tcPr>
          <w:p w14:paraId="0AA2145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1"/>
                <w:szCs w:val="21"/>
                <w:highlight w:val="none"/>
                <w:lang w:val="en-US" w:eastAsia="zh-CN"/>
              </w:rPr>
              <w:t>粉碎废气</w:t>
            </w:r>
          </w:p>
        </w:tc>
        <w:tc>
          <w:tcPr>
            <w:tcW w:w="1177" w:type="pct"/>
            <w:tcBorders>
              <w:tl2br w:val="nil"/>
              <w:tr2bl w:val="nil"/>
            </w:tcBorders>
            <w:noWrap w:val="0"/>
            <w:vAlign w:val="center"/>
          </w:tcPr>
          <w:p w14:paraId="45523F7B">
            <w:pPr>
              <w:pStyle w:val="1358"/>
              <w:rPr>
                <w:rFonts w:hint="default" w:eastAsia="宋体"/>
                <w:color w:val="auto"/>
                <w:highlight w:val="none"/>
                <w:lang w:val="en-US" w:eastAsia="zh-CN"/>
              </w:rPr>
            </w:pPr>
            <w:r>
              <w:rPr>
                <w:rFonts w:hint="eastAsia" w:eastAsia="宋体"/>
                <w:color w:val="auto"/>
                <w:highlight w:val="none"/>
                <w:lang w:val="en-US" w:eastAsia="zh-CN"/>
              </w:rPr>
              <w:t>颗粒物</w:t>
            </w:r>
          </w:p>
        </w:tc>
        <w:tc>
          <w:tcPr>
            <w:tcW w:w="2319" w:type="pct"/>
            <w:tcBorders>
              <w:tl2br w:val="nil"/>
              <w:tr2bl w:val="nil"/>
            </w:tcBorders>
            <w:noWrap w:val="0"/>
            <w:vAlign w:val="center"/>
          </w:tcPr>
          <w:p w14:paraId="171A834B">
            <w:pPr>
              <w:pStyle w:val="1358"/>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通过布袋除尘器处理后无组织排放</w:t>
            </w:r>
          </w:p>
        </w:tc>
      </w:tr>
      <w:tr w14:paraId="6536F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tcBorders>
              <w:tl2br w:val="nil"/>
              <w:tr2bl w:val="nil"/>
            </w:tcBorders>
            <w:noWrap w:val="0"/>
            <w:vAlign w:val="center"/>
          </w:tcPr>
          <w:p w14:paraId="619D123B">
            <w:pPr>
              <w:pStyle w:val="1358"/>
              <w:rPr>
                <w:color w:val="auto"/>
                <w:highlight w:val="none"/>
              </w:rPr>
            </w:pPr>
            <w:r>
              <w:rPr>
                <w:color w:val="auto"/>
                <w:highlight w:val="none"/>
              </w:rPr>
              <w:t>噪声</w:t>
            </w:r>
          </w:p>
        </w:tc>
        <w:tc>
          <w:tcPr>
            <w:tcW w:w="1150" w:type="pct"/>
            <w:tcBorders>
              <w:tl2br w:val="nil"/>
              <w:tr2bl w:val="nil"/>
            </w:tcBorders>
            <w:noWrap w:val="0"/>
            <w:vAlign w:val="center"/>
          </w:tcPr>
          <w:p w14:paraId="47AD833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机械设备</w:t>
            </w:r>
          </w:p>
        </w:tc>
        <w:tc>
          <w:tcPr>
            <w:tcW w:w="1177" w:type="pct"/>
            <w:tcBorders>
              <w:tl2br w:val="nil"/>
              <w:tr2bl w:val="nil"/>
            </w:tcBorders>
            <w:noWrap w:val="0"/>
            <w:vAlign w:val="center"/>
          </w:tcPr>
          <w:p w14:paraId="7C9D82F1">
            <w:pPr>
              <w:pStyle w:val="1358"/>
              <w:rPr>
                <w:color w:val="auto"/>
                <w:highlight w:val="none"/>
              </w:rPr>
            </w:pPr>
            <w:r>
              <w:rPr>
                <w:color w:val="auto"/>
                <w:highlight w:val="none"/>
              </w:rPr>
              <w:t>L</w:t>
            </w:r>
            <w:r>
              <w:rPr>
                <w:color w:val="auto"/>
                <w:highlight w:val="none"/>
                <w:vertAlign w:val="subscript"/>
              </w:rPr>
              <w:t>Aeq</w:t>
            </w:r>
          </w:p>
        </w:tc>
        <w:tc>
          <w:tcPr>
            <w:tcW w:w="2319" w:type="pct"/>
            <w:tcBorders>
              <w:tl2br w:val="nil"/>
              <w:tr2bl w:val="nil"/>
            </w:tcBorders>
            <w:noWrap w:val="0"/>
            <w:vAlign w:val="center"/>
          </w:tcPr>
          <w:p w14:paraId="3F97C7E8">
            <w:pPr>
              <w:pStyle w:val="1358"/>
              <w:rPr>
                <w:color w:val="auto"/>
                <w:highlight w:val="none"/>
              </w:rPr>
            </w:pPr>
            <w:r>
              <w:rPr>
                <w:color w:val="auto"/>
                <w:szCs w:val="21"/>
                <w:highlight w:val="none"/>
              </w:rPr>
              <w:t>选用低噪声设备，对高噪声设备减振，利用厂房隔声</w:t>
            </w:r>
          </w:p>
        </w:tc>
      </w:tr>
      <w:tr w14:paraId="650910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restart"/>
            <w:tcBorders>
              <w:tl2br w:val="nil"/>
              <w:tr2bl w:val="nil"/>
            </w:tcBorders>
            <w:noWrap w:val="0"/>
            <w:vAlign w:val="center"/>
          </w:tcPr>
          <w:p w14:paraId="4EA36CC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固体废物</w:t>
            </w:r>
          </w:p>
        </w:tc>
        <w:tc>
          <w:tcPr>
            <w:tcW w:w="1150" w:type="pct"/>
            <w:tcBorders>
              <w:tl2br w:val="nil"/>
              <w:tr2bl w:val="nil"/>
            </w:tcBorders>
            <w:noWrap w:val="0"/>
            <w:vAlign w:val="center"/>
          </w:tcPr>
          <w:p w14:paraId="16828DC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注塑产生的不合格品和边角废料</w:t>
            </w:r>
          </w:p>
        </w:tc>
        <w:tc>
          <w:tcPr>
            <w:tcW w:w="1177" w:type="pct"/>
            <w:vMerge w:val="restart"/>
            <w:tcBorders>
              <w:tl2br w:val="nil"/>
              <w:tr2bl w:val="nil"/>
            </w:tcBorders>
            <w:noWrap w:val="0"/>
            <w:vAlign w:val="center"/>
          </w:tcPr>
          <w:p w14:paraId="71B684F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一般固体废物</w:t>
            </w:r>
          </w:p>
        </w:tc>
        <w:tc>
          <w:tcPr>
            <w:tcW w:w="2319" w:type="pct"/>
            <w:tcBorders>
              <w:tl2br w:val="nil"/>
              <w:tr2bl w:val="nil"/>
            </w:tcBorders>
            <w:noWrap w:val="0"/>
            <w:vAlign w:val="center"/>
          </w:tcPr>
          <w:p w14:paraId="045053DB">
            <w:pPr>
              <w:pStyle w:val="1358"/>
              <w:rPr>
                <w:color w:val="auto"/>
                <w:highlight w:val="none"/>
              </w:rPr>
            </w:pPr>
            <w:r>
              <w:rPr>
                <w:rFonts w:hint="eastAsia" w:ascii="Times New Roman" w:hAnsi="Times New Roman" w:eastAsia="宋体" w:cs="Times New Roman"/>
                <w:color w:val="auto"/>
                <w:szCs w:val="21"/>
                <w:highlight w:val="none"/>
                <w:lang w:val="en-US" w:eastAsia="zh-CN"/>
              </w:rPr>
              <w:t>粉碎后回用于生产</w:t>
            </w:r>
          </w:p>
        </w:tc>
      </w:tr>
      <w:tr w14:paraId="778FB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051DCCB7">
            <w:pPr>
              <w:pStyle w:val="1358"/>
              <w:rPr>
                <w:color w:val="auto"/>
                <w:highlight w:val="none"/>
              </w:rPr>
            </w:pPr>
          </w:p>
        </w:tc>
        <w:tc>
          <w:tcPr>
            <w:tcW w:w="1150" w:type="pct"/>
            <w:tcBorders>
              <w:tl2br w:val="nil"/>
              <w:tr2bl w:val="nil"/>
            </w:tcBorders>
            <w:noWrap w:val="0"/>
            <w:vAlign w:val="center"/>
          </w:tcPr>
          <w:p w14:paraId="01DAA78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废包装材料</w:t>
            </w:r>
          </w:p>
        </w:tc>
        <w:tc>
          <w:tcPr>
            <w:tcW w:w="1177" w:type="pct"/>
            <w:vMerge w:val="continue"/>
            <w:tcBorders>
              <w:tl2br w:val="nil"/>
              <w:tr2bl w:val="nil"/>
            </w:tcBorders>
            <w:noWrap w:val="0"/>
            <w:vAlign w:val="center"/>
          </w:tcPr>
          <w:p w14:paraId="5E10E77E">
            <w:pPr>
              <w:pStyle w:val="1358"/>
              <w:rPr>
                <w:color w:val="auto"/>
                <w:highlight w:val="none"/>
              </w:rPr>
            </w:pPr>
          </w:p>
        </w:tc>
        <w:tc>
          <w:tcPr>
            <w:tcW w:w="2319" w:type="pct"/>
            <w:vMerge w:val="restart"/>
            <w:tcBorders>
              <w:tl2br w:val="nil"/>
              <w:tr2bl w:val="nil"/>
            </w:tcBorders>
            <w:shd w:val="clear" w:color="auto" w:fill="auto"/>
            <w:noWrap w:val="0"/>
            <w:vAlign w:val="center"/>
          </w:tcPr>
          <w:p w14:paraId="5A461542">
            <w:pPr>
              <w:pStyle w:val="1358"/>
              <w:ind w:firstLine="0" w:firstLineChars="0"/>
              <w:rPr>
                <w:color w:val="auto"/>
                <w:kern w:val="2"/>
                <w:sz w:val="21"/>
                <w:szCs w:val="24"/>
                <w:highlight w:val="none"/>
                <w:lang w:val="en-US" w:eastAsia="zh-CN" w:bidi="ar-SA"/>
              </w:rPr>
            </w:pPr>
            <w:r>
              <w:rPr>
                <w:color w:val="auto"/>
                <w:highlight w:val="none"/>
              </w:rPr>
              <w:t>暂存于</w:t>
            </w:r>
            <w:r>
              <w:rPr>
                <w:color w:val="auto"/>
                <w:szCs w:val="21"/>
                <w:highlight w:val="none"/>
              </w:rPr>
              <w:t>一般固废暂存间，定期外售综合利用</w:t>
            </w:r>
          </w:p>
        </w:tc>
      </w:tr>
      <w:tr w14:paraId="7F4FDF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6C6AD168">
            <w:pPr>
              <w:pStyle w:val="1358"/>
              <w:rPr>
                <w:color w:val="auto"/>
                <w:highlight w:val="none"/>
              </w:rPr>
            </w:pPr>
          </w:p>
        </w:tc>
        <w:tc>
          <w:tcPr>
            <w:tcW w:w="1150" w:type="pct"/>
            <w:tcBorders>
              <w:tl2br w:val="nil"/>
              <w:tr2bl w:val="nil"/>
            </w:tcBorders>
            <w:noWrap w:val="0"/>
            <w:vAlign w:val="center"/>
          </w:tcPr>
          <w:p w14:paraId="0FD3CD5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废抛光片</w:t>
            </w:r>
          </w:p>
        </w:tc>
        <w:tc>
          <w:tcPr>
            <w:tcW w:w="1177" w:type="pct"/>
            <w:vMerge w:val="continue"/>
            <w:tcBorders>
              <w:tl2br w:val="nil"/>
              <w:tr2bl w:val="nil"/>
            </w:tcBorders>
            <w:noWrap w:val="0"/>
            <w:vAlign w:val="center"/>
          </w:tcPr>
          <w:p w14:paraId="404F0A63">
            <w:pPr>
              <w:pStyle w:val="1358"/>
              <w:rPr>
                <w:color w:val="auto"/>
                <w:highlight w:val="none"/>
              </w:rPr>
            </w:pPr>
          </w:p>
        </w:tc>
        <w:tc>
          <w:tcPr>
            <w:tcW w:w="2319" w:type="pct"/>
            <w:vMerge w:val="continue"/>
            <w:tcBorders>
              <w:tl2br w:val="nil"/>
              <w:tr2bl w:val="nil"/>
            </w:tcBorders>
            <w:noWrap w:val="0"/>
            <w:vAlign w:val="center"/>
          </w:tcPr>
          <w:p w14:paraId="7C6E383E">
            <w:pPr>
              <w:pStyle w:val="1358"/>
              <w:rPr>
                <w:color w:val="auto"/>
                <w:highlight w:val="none"/>
              </w:rPr>
            </w:pPr>
          </w:p>
        </w:tc>
      </w:tr>
      <w:tr w14:paraId="453FC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51C82603">
            <w:pPr>
              <w:pStyle w:val="1358"/>
              <w:rPr>
                <w:color w:val="auto"/>
                <w:highlight w:val="none"/>
              </w:rPr>
            </w:pPr>
          </w:p>
        </w:tc>
        <w:tc>
          <w:tcPr>
            <w:tcW w:w="1150" w:type="pct"/>
            <w:tcBorders>
              <w:tl2br w:val="nil"/>
              <w:tr2bl w:val="nil"/>
            </w:tcBorders>
            <w:noWrap w:val="0"/>
            <w:vAlign w:val="center"/>
          </w:tcPr>
          <w:p w14:paraId="10F23340">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布袋</w:t>
            </w:r>
            <w:r>
              <w:rPr>
                <w:rFonts w:hint="eastAsia" w:ascii="Times New Roman" w:hAnsi="Times New Roman" w:eastAsia="宋体" w:cs="Times New Roman"/>
                <w:color w:val="auto"/>
                <w:highlight w:val="none"/>
                <w:lang w:val="en-US" w:eastAsia="zh-CN"/>
              </w:rPr>
              <w:t>收集粉尘</w:t>
            </w:r>
          </w:p>
        </w:tc>
        <w:tc>
          <w:tcPr>
            <w:tcW w:w="1177" w:type="pct"/>
            <w:vMerge w:val="continue"/>
            <w:tcBorders>
              <w:tl2br w:val="nil"/>
              <w:tr2bl w:val="nil"/>
            </w:tcBorders>
            <w:noWrap w:val="0"/>
            <w:vAlign w:val="center"/>
          </w:tcPr>
          <w:p w14:paraId="7A3E751B">
            <w:pPr>
              <w:pStyle w:val="1358"/>
              <w:rPr>
                <w:color w:val="auto"/>
                <w:highlight w:val="none"/>
              </w:rPr>
            </w:pPr>
          </w:p>
        </w:tc>
        <w:tc>
          <w:tcPr>
            <w:tcW w:w="2319" w:type="pct"/>
            <w:vMerge w:val="continue"/>
            <w:tcBorders>
              <w:tl2br w:val="nil"/>
              <w:tr2bl w:val="nil"/>
            </w:tcBorders>
            <w:noWrap w:val="0"/>
            <w:vAlign w:val="center"/>
          </w:tcPr>
          <w:p w14:paraId="1A5CBA2D">
            <w:pPr>
              <w:pStyle w:val="1358"/>
              <w:rPr>
                <w:color w:val="auto"/>
                <w:highlight w:val="none"/>
              </w:rPr>
            </w:pPr>
          </w:p>
        </w:tc>
      </w:tr>
      <w:tr w14:paraId="00415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01F5526B">
            <w:pPr>
              <w:pStyle w:val="1358"/>
              <w:rPr>
                <w:color w:val="auto"/>
                <w:highlight w:val="none"/>
              </w:rPr>
            </w:pPr>
          </w:p>
        </w:tc>
        <w:tc>
          <w:tcPr>
            <w:tcW w:w="1150" w:type="pct"/>
            <w:tcBorders>
              <w:tl2br w:val="nil"/>
              <w:tr2bl w:val="nil"/>
            </w:tcBorders>
            <w:noWrap w:val="0"/>
            <w:vAlign w:val="center"/>
          </w:tcPr>
          <w:p w14:paraId="5C6642B8">
            <w:pPr>
              <w:pStyle w:val="1358"/>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纯水制备产生的</w:t>
            </w:r>
            <w:r>
              <w:rPr>
                <w:rFonts w:hint="eastAsia" w:ascii="Times New Roman" w:hAnsi="Times New Roman" w:eastAsia="宋体" w:cs="Times New Roman"/>
                <w:color w:val="auto"/>
                <w:highlight w:val="none"/>
                <w:lang w:val="en-US" w:eastAsia="zh-CN"/>
              </w:rPr>
              <w:t>废滤材（包括废石英砂、废活性炭和废反渗透膜等）</w:t>
            </w:r>
          </w:p>
        </w:tc>
        <w:tc>
          <w:tcPr>
            <w:tcW w:w="1177" w:type="pct"/>
            <w:vMerge w:val="continue"/>
            <w:tcBorders>
              <w:tl2br w:val="nil"/>
              <w:tr2bl w:val="nil"/>
            </w:tcBorders>
            <w:noWrap w:val="0"/>
            <w:vAlign w:val="center"/>
          </w:tcPr>
          <w:p w14:paraId="489F51E5">
            <w:pPr>
              <w:pStyle w:val="1358"/>
              <w:ind w:firstLine="0" w:firstLineChars="0"/>
              <w:rPr>
                <w:rFonts w:ascii="Times New Roman" w:hAnsi="Times New Roman" w:eastAsia="宋体" w:cs="Times New Roman"/>
                <w:color w:val="auto"/>
                <w:szCs w:val="21"/>
                <w:highlight w:val="none"/>
              </w:rPr>
            </w:pPr>
          </w:p>
        </w:tc>
        <w:tc>
          <w:tcPr>
            <w:tcW w:w="2319" w:type="pct"/>
            <w:vMerge w:val="restart"/>
            <w:tcBorders>
              <w:tl2br w:val="nil"/>
              <w:tr2bl w:val="nil"/>
            </w:tcBorders>
            <w:noWrap w:val="0"/>
            <w:vAlign w:val="center"/>
          </w:tcPr>
          <w:p w14:paraId="15553AD9">
            <w:pPr>
              <w:pStyle w:val="1358"/>
              <w:ind w:firstLine="0" w:firstLineChars="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更换时由厂家回收处理，不在厂区暂存</w:t>
            </w:r>
          </w:p>
        </w:tc>
      </w:tr>
      <w:tr w14:paraId="323746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2" w:type="pct"/>
            <w:vMerge w:val="continue"/>
            <w:tcBorders>
              <w:tl2br w:val="nil"/>
              <w:tr2bl w:val="nil"/>
            </w:tcBorders>
            <w:noWrap w:val="0"/>
            <w:vAlign w:val="center"/>
          </w:tcPr>
          <w:p w14:paraId="5329CEC1">
            <w:pPr>
              <w:pStyle w:val="1358"/>
              <w:rPr>
                <w:color w:val="auto"/>
                <w:highlight w:val="none"/>
              </w:rPr>
            </w:pPr>
          </w:p>
        </w:tc>
        <w:tc>
          <w:tcPr>
            <w:tcW w:w="1150" w:type="pct"/>
            <w:tcBorders>
              <w:tl2br w:val="nil"/>
              <w:tr2bl w:val="nil"/>
            </w:tcBorders>
            <w:noWrap w:val="0"/>
            <w:vAlign w:val="center"/>
          </w:tcPr>
          <w:p w14:paraId="78AF5E8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废蓄热陶瓷体</w:t>
            </w:r>
          </w:p>
        </w:tc>
        <w:tc>
          <w:tcPr>
            <w:tcW w:w="1177" w:type="pct"/>
            <w:vMerge w:val="continue"/>
            <w:tcBorders>
              <w:tl2br w:val="nil"/>
              <w:tr2bl w:val="nil"/>
            </w:tcBorders>
            <w:noWrap w:val="0"/>
            <w:vAlign w:val="center"/>
          </w:tcPr>
          <w:p w14:paraId="26CC9548">
            <w:pPr>
              <w:pStyle w:val="1358"/>
              <w:ind w:firstLine="0" w:firstLineChars="0"/>
              <w:rPr>
                <w:rFonts w:ascii="Times New Roman" w:hAnsi="Times New Roman" w:eastAsia="宋体" w:cs="Times New Roman"/>
                <w:color w:val="auto"/>
                <w:szCs w:val="21"/>
                <w:highlight w:val="none"/>
              </w:rPr>
            </w:pPr>
          </w:p>
        </w:tc>
        <w:tc>
          <w:tcPr>
            <w:tcW w:w="2319" w:type="pct"/>
            <w:vMerge w:val="continue"/>
            <w:tcBorders>
              <w:tl2br w:val="nil"/>
              <w:tr2bl w:val="nil"/>
            </w:tcBorders>
            <w:noWrap w:val="0"/>
            <w:vAlign w:val="center"/>
          </w:tcPr>
          <w:p w14:paraId="60900BB8">
            <w:pPr>
              <w:pStyle w:val="1358"/>
              <w:ind w:firstLine="0" w:firstLineChars="0"/>
              <w:rPr>
                <w:rFonts w:hint="eastAsia" w:ascii="Times New Roman" w:hAnsi="Times New Roman" w:eastAsia="宋体" w:cs="Times New Roman"/>
                <w:color w:val="auto"/>
                <w:szCs w:val="21"/>
                <w:highlight w:val="none"/>
                <w:lang w:val="en-US" w:eastAsia="zh-CN"/>
              </w:rPr>
            </w:pPr>
          </w:p>
        </w:tc>
      </w:tr>
      <w:tr w14:paraId="53F12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76123484">
            <w:pPr>
              <w:pStyle w:val="1358"/>
              <w:rPr>
                <w:color w:val="auto"/>
                <w:highlight w:val="none"/>
              </w:rPr>
            </w:pPr>
          </w:p>
        </w:tc>
        <w:tc>
          <w:tcPr>
            <w:tcW w:w="1150" w:type="pct"/>
            <w:tcBorders>
              <w:tl2br w:val="nil"/>
              <w:tr2bl w:val="nil"/>
            </w:tcBorders>
            <w:noWrap w:val="0"/>
            <w:vAlign w:val="center"/>
          </w:tcPr>
          <w:p w14:paraId="6E97EEE9">
            <w:pPr>
              <w:pStyle w:val="1358"/>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含油的手套及废抹布</w:t>
            </w:r>
          </w:p>
        </w:tc>
        <w:tc>
          <w:tcPr>
            <w:tcW w:w="1177" w:type="pct"/>
            <w:vMerge w:val="restart"/>
            <w:tcBorders>
              <w:tl2br w:val="nil"/>
              <w:tr2bl w:val="nil"/>
            </w:tcBorders>
            <w:noWrap w:val="0"/>
            <w:vAlign w:val="center"/>
          </w:tcPr>
          <w:p w14:paraId="48C6BEA2">
            <w:pPr>
              <w:pStyle w:val="1358"/>
              <w:rPr>
                <w:color w:val="auto"/>
                <w:highlight w:val="none"/>
              </w:rPr>
            </w:pPr>
            <w:r>
              <w:rPr>
                <w:color w:val="auto"/>
                <w:highlight w:val="none"/>
              </w:rPr>
              <w:t>危险废物</w:t>
            </w:r>
          </w:p>
        </w:tc>
        <w:tc>
          <w:tcPr>
            <w:tcW w:w="2319" w:type="pct"/>
            <w:vMerge w:val="restart"/>
            <w:tcBorders>
              <w:tl2br w:val="nil"/>
              <w:tr2bl w:val="nil"/>
            </w:tcBorders>
            <w:noWrap w:val="0"/>
            <w:vAlign w:val="center"/>
          </w:tcPr>
          <w:p w14:paraId="4134A03D">
            <w:pPr>
              <w:pStyle w:val="1358"/>
              <w:rPr>
                <w:color w:val="auto"/>
                <w:highlight w:val="none"/>
              </w:rPr>
            </w:pPr>
            <w:r>
              <w:rPr>
                <w:color w:val="auto"/>
                <w:highlight w:val="none"/>
              </w:rPr>
              <w:t>暂存于</w:t>
            </w:r>
            <w:r>
              <w:rPr>
                <w:rFonts w:hint="eastAsia"/>
                <w:color w:val="auto"/>
                <w:szCs w:val="21"/>
                <w:highlight w:val="none"/>
                <w:lang w:eastAsia="zh-CN"/>
              </w:rPr>
              <w:t>危废贮存库</w:t>
            </w:r>
            <w:r>
              <w:rPr>
                <w:color w:val="auto"/>
                <w:szCs w:val="21"/>
                <w:highlight w:val="none"/>
              </w:rPr>
              <w:t>，定期委托有资质单位处理</w:t>
            </w:r>
            <w:r>
              <w:rPr>
                <w:rFonts w:hint="eastAsia"/>
                <w:color w:val="auto"/>
                <w:szCs w:val="21"/>
                <w:highlight w:val="none"/>
                <w:lang w:eastAsia="zh-CN"/>
              </w:rPr>
              <w:t>，</w:t>
            </w:r>
            <w:r>
              <w:rPr>
                <w:rFonts w:hint="eastAsia"/>
                <w:color w:val="auto"/>
                <w:highlight w:val="none"/>
                <w:lang w:val="en-US" w:eastAsia="zh-CN"/>
              </w:rPr>
              <w:t>其中含油抹布及手套属于危险废物豁免管理清单，分类收集后混入生活垃圾，委托环卫部门统一清运处置。</w:t>
            </w:r>
          </w:p>
        </w:tc>
      </w:tr>
      <w:tr w14:paraId="55B7C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14CB840A">
            <w:pPr>
              <w:pStyle w:val="1358"/>
              <w:rPr>
                <w:color w:val="auto"/>
                <w:highlight w:val="none"/>
              </w:rPr>
            </w:pPr>
          </w:p>
        </w:tc>
        <w:tc>
          <w:tcPr>
            <w:tcW w:w="1150" w:type="pct"/>
            <w:tcBorders>
              <w:tl2br w:val="nil"/>
              <w:tr2bl w:val="nil"/>
            </w:tcBorders>
            <w:noWrap w:val="0"/>
            <w:vAlign w:val="center"/>
          </w:tcPr>
          <w:p w14:paraId="528DEA1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废润滑油</w:t>
            </w:r>
          </w:p>
        </w:tc>
        <w:tc>
          <w:tcPr>
            <w:tcW w:w="1177" w:type="pct"/>
            <w:vMerge w:val="continue"/>
            <w:tcBorders>
              <w:tl2br w:val="nil"/>
              <w:tr2bl w:val="nil"/>
            </w:tcBorders>
            <w:noWrap w:val="0"/>
            <w:vAlign w:val="center"/>
          </w:tcPr>
          <w:p w14:paraId="63870507">
            <w:pPr>
              <w:pStyle w:val="1358"/>
              <w:rPr>
                <w:color w:val="auto"/>
                <w:highlight w:val="none"/>
              </w:rPr>
            </w:pPr>
          </w:p>
        </w:tc>
        <w:tc>
          <w:tcPr>
            <w:tcW w:w="2319" w:type="pct"/>
            <w:vMerge w:val="continue"/>
            <w:tcBorders>
              <w:tl2br w:val="nil"/>
              <w:tr2bl w:val="nil"/>
            </w:tcBorders>
            <w:noWrap w:val="0"/>
            <w:vAlign w:val="center"/>
          </w:tcPr>
          <w:p w14:paraId="347C3CA0">
            <w:pPr>
              <w:pStyle w:val="1358"/>
              <w:rPr>
                <w:color w:val="auto"/>
                <w:highlight w:val="none"/>
              </w:rPr>
            </w:pPr>
          </w:p>
        </w:tc>
      </w:tr>
      <w:tr w14:paraId="302E0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583BDA1C">
            <w:pPr>
              <w:pStyle w:val="1358"/>
              <w:rPr>
                <w:color w:val="auto"/>
                <w:highlight w:val="none"/>
              </w:rPr>
            </w:pPr>
          </w:p>
        </w:tc>
        <w:tc>
          <w:tcPr>
            <w:tcW w:w="1150" w:type="pct"/>
            <w:tcBorders>
              <w:tl2br w:val="nil"/>
              <w:tr2bl w:val="nil"/>
            </w:tcBorders>
            <w:noWrap w:val="0"/>
            <w:vAlign w:val="center"/>
          </w:tcPr>
          <w:p w14:paraId="0FDCC85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废清洗剂</w:t>
            </w:r>
          </w:p>
        </w:tc>
        <w:tc>
          <w:tcPr>
            <w:tcW w:w="1177" w:type="pct"/>
            <w:vMerge w:val="continue"/>
            <w:tcBorders>
              <w:tl2br w:val="nil"/>
              <w:tr2bl w:val="nil"/>
            </w:tcBorders>
            <w:noWrap w:val="0"/>
            <w:vAlign w:val="center"/>
          </w:tcPr>
          <w:p w14:paraId="3345C762">
            <w:pPr>
              <w:pStyle w:val="1358"/>
              <w:rPr>
                <w:color w:val="auto"/>
                <w:highlight w:val="none"/>
              </w:rPr>
            </w:pPr>
          </w:p>
        </w:tc>
        <w:tc>
          <w:tcPr>
            <w:tcW w:w="2319" w:type="pct"/>
            <w:vMerge w:val="continue"/>
            <w:tcBorders>
              <w:tl2br w:val="nil"/>
              <w:tr2bl w:val="nil"/>
            </w:tcBorders>
            <w:noWrap w:val="0"/>
            <w:vAlign w:val="center"/>
          </w:tcPr>
          <w:p w14:paraId="15CFD19F">
            <w:pPr>
              <w:pStyle w:val="1358"/>
              <w:rPr>
                <w:color w:val="auto"/>
                <w:highlight w:val="none"/>
              </w:rPr>
            </w:pPr>
          </w:p>
        </w:tc>
      </w:tr>
      <w:tr w14:paraId="229155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04A71AD0">
            <w:pPr>
              <w:pStyle w:val="1358"/>
              <w:rPr>
                <w:color w:val="auto"/>
                <w:highlight w:val="none"/>
              </w:rPr>
            </w:pPr>
          </w:p>
        </w:tc>
        <w:tc>
          <w:tcPr>
            <w:tcW w:w="1150" w:type="pct"/>
            <w:tcBorders>
              <w:tl2br w:val="nil"/>
              <w:tr2bl w:val="nil"/>
            </w:tcBorders>
            <w:noWrap w:val="0"/>
            <w:vAlign w:val="center"/>
          </w:tcPr>
          <w:p w14:paraId="4EA16B2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废活性炭</w:t>
            </w:r>
          </w:p>
        </w:tc>
        <w:tc>
          <w:tcPr>
            <w:tcW w:w="1177" w:type="pct"/>
            <w:vMerge w:val="continue"/>
            <w:tcBorders>
              <w:tl2br w:val="nil"/>
              <w:tr2bl w:val="nil"/>
            </w:tcBorders>
            <w:noWrap w:val="0"/>
            <w:vAlign w:val="center"/>
          </w:tcPr>
          <w:p w14:paraId="74660718">
            <w:pPr>
              <w:pStyle w:val="1358"/>
              <w:rPr>
                <w:color w:val="auto"/>
                <w:highlight w:val="none"/>
              </w:rPr>
            </w:pPr>
          </w:p>
        </w:tc>
        <w:tc>
          <w:tcPr>
            <w:tcW w:w="2319" w:type="pct"/>
            <w:vMerge w:val="continue"/>
            <w:tcBorders>
              <w:tl2br w:val="nil"/>
              <w:tr2bl w:val="nil"/>
            </w:tcBorders>
            <w:noWrap w:val="0"/>
            <w:vAlign w:val="center"/>
          </w:tcPr>
          <w:p w14:paraId="3E1C1CDB">
            <w:pPr>
              <w:pStyle w:val="1358"/>
              <w:rPr>
                <w:color w:val="auto"/>
                <w:highlight w:val="none"/>
              </w:rPr>
            </w:pPr>
          </w:p>
        </w:tc>
      </w:tr>
      <w:tr w14:paraId="4B797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0E4CBC03">
            <w:pPr>
              <w:pStyle w:val="1358"/>
              <w:rPr>
                <w:color w:val="auto"/>
                <w:highlight w:val="none"/>
              </w:rPr>
            </w:pPr>
          </w:p>
        </w:tc>
        <w:tc>
          <w:tcPr>
            <w:tcW w:w="1150" w:type="pct"/>
            <w:tcBorders>
              <w:tl2br w:val="nil"/>
              <w:tr2bl w:val="nil"/>
            </w:tcBorders>
            <w:noWrap w:val="0"/>
            <w:vAlign w:val="center"/>
          </w:tcPr>
          <w:p w14:paraId="0012BF5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废干式纸盒</w:t>
            </w:r>
          </w:p>
          <w:p w14:paraId="6A12213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（含漆渣）</w:t>
            </w:r>
          </w:p>
        </w:tc>
        <w:tc>
          <w:tcPr>
            <w:tcW w:w="1177" w:type="pct"/>
            <w:vMerge w:val="continue"/>
            <w:tcBorders>
              <w:tl2br w:val="nil"/>
              <w:tr2bl w:val="nil"/>
            </w:tcBorders>
            <w:noWrap w:val="0"/>
            <w:vAlign w:val="center"/>
          </w:tcPr>
          <w:p w14:paraId="5F070A6D">
            <w:pPr>
              <w:pStyle w:val="1358"/>
              <w:rPr>
                <w:color w:val="auto"/>
                <w:highlight w:val="none"/>
              </w:rPr>
            </w:pPr>
          </w:p>
        </w:tc>
        <w:tc>
          <w:tcPr>
            <w:tcW w:w="2319" w:type="pct"/>
            <w:vMerge w:val="continue"/>
            <w:tcBorders>
              <w:tl2br w:val="nil"/>
              <w:tr2bl w:val="nil"/>
            </w:tcBorders>
            <w:noWrap w:val="0"/>
            <w:vAlign w:val="center"/>
          </w:tcPr>
          <w:p w14:paraId="16A88F72">
            <w:pPr>
              <w:pStyle w:val="1358"/>
              <w:rPr>
                <w:color w:val="auto"/>
                <w:highlight w:val="none"/>
              </w:rPr>
            </w:pPr>
          </w:p>
        </w:tc>
      </w:tr>
      <w:tr w14:paraId="669503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76A792A6">
            <w:pPr>
              <w:pStyle w:val="1358"/>
              <w:rPr>
                <w:color w:val="auto"/>
                <w:highlight w:val="none"/>
              </w:rPr>
            </w:pPr>
          </w:p>
        </w:tc>
        <w:tc>
          <w:tcPr>
            <w:tcW w:w="1150" w:type="pct"/>
            <w:tcBorders>
              <w:tl2br w:val="nil"/>
              <w:tr2bl w:val="nil"/>
            </w:tcBorders>
            <w:noWrap w:val="0"/>
            <w:vAlign w:val="center"/>
          </w:tcPr>
          <w:p w14:paraId="57889A9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废过滤棉（含漆渣）</w:t>
            </w:r>
          </w:p>
        </w:tc>
        <w:tc>
          <w:tcPr>
            <w:tcW w:w="1177" w:type="pct"/>
            <w:vMerge w:val="continue"/>
            <w:tcBorders>
              <w:tl2br w:val="nil"/>
              <w:tr2bl w:val="nil"/>
            </w:tcBorders>
            <w:noWrap w:val="0"/>
            <w:vAlign w:val="center"/>
          </w:tcPr>
          <w:p w14:paraId="7174E754">
            <w:pPr>
              <w:pStyle w:val="1358"/>
              <w:rPr>
                <w:color w:val="auto"/>
                <w:highlight w:val="none"/>
              </w:rPr>
            </w:pPr>
          </w:p>
        </w:tc>
        <w:tc>
          <w:tcPr>
            <w:tcW w:w="2319" w:type="pct"/>
            <w:vMerge w:val="continue"/>
            <w:tcBorders>
              <w:tl2br w:val="nil"/>
              <w:tr2bl w:val="nil"/>
            </w:tcBorders>
            <w:noWrap w:val="0"/>
            <w:vAlign w:val="center"/>
          </w:tcPr>
          <w:p w14:paraId="623F58CE">
            <w:pPr>
              <w:pStyle w:val="1358"/>
              <w:rPr>
                <w:color w:val="auto"/>
                <w:highlight w:val="none"/>
              </w:rPr>
            </w:pPr>
          </w:p>
        </w:tc>
      </w:tr>
      <w:tr w14:paraId="43C58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0DBAC2EF">
            <w:pPr>
              <w:pStyle w:val="1358"/>
              <w:rPr>
                <w:color w:val="auto"/>
                <w:highlight w:val="none"/>
              </w:rPr>
            </w:pPr>
          </w:p>
        </w:tc>
        <w:tc>
          <w:tcPr>
            <w:tcW w:w="1150" w:type="pct"/>
            <w:tcBorders>
              <w:tl2br w:val="nil"/>
              <w:tr2bl w:val="nil"/>
            </w:tcBorders>
            <w:noWrap w:val="0"/>
            <w:vAlign w:val="center"/>
          </w:tcPr>
          <w:p w14:paraId="28628C89">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热洁炉灰渣</w:t>
            </w:r>
          </w:p>
        </w:tc>
        <w:tc>
          <w:tcPr>
            <w:tcW w:w="1177" w:type="pct"/>
            <w:vMerge w:val="continue"/>
            <w:tcBorders>
              <w:tl2br w:val="nil"/>
              <w:tr2bl w:val="nil"/>
            </w:tcBorders>
            <w:noWrap w:val="0"/>
            <w:vAlign w:val="center"/>
          </w:tcPr>
          <w:p w14:paraId="2B149DAF">
            <w:pPr>
              <w:pStyle w:val="1358"/>
              <w:rPr>
                <w:color w:val="auto"/>
                <w:highlight w:val="none"/>
              </w:rPr>
            </w:pPr>
          </w:p>
        </w:tc>
        <w:tc>
          <w:tcPr>
            <w:tcW w:w="2319" w:type="pct"/>
            <w:vMerge w:val="continue"/>
            <w:tcBorders>
              <w:tl2br w:val="nil"/>
              <w:tr2bl w:val="nil"/>
            </w:tcBorders>
            <w:noWrap w:val="0"/>
            <w:vAlign w:val="center"/>
          </w:tcPr>
          <w:p w14:paraId="0151C887">
            <w:pPr>
              <w:pStyle w:val="1358"/>
              <w:rPr>
                <w:color w:val="auto"/>
                <w:highlight w:val="none"/>
              </w:rPr>
            </w:pPr>
          </w:p>
        </w:tc>
      </w:tr>
      <w:tr w14:paraId="49C84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2" w:type="pct"/>
            <w:vMerge w:val="continue"/>
            <w:tcBorders>
              <w:tl2br w:val="nil"/>
              <w:tr2bl w:val="nil"/>
            </w:tcBorders>
            <w:noWrap w:val="0"/>
            <w:vAlign w:val="center"/>
          </w:tcPr>
          <w:p w14:paraId="2DC39324">
            <w:pPr>
              <w:pStyle w:val="1358"/>
              <w:rPr>
                <w:color w:val="auto"/>
                <w:highlight w:val="none"/>
              </w:rPr>
            </w:pPr>
          </w:p>
        </w:tc>
        <w:tc>
          <w:tcPr>
            <w:tcW w:w="2328" w:type="pct"/>
            <w:gridSpan w:val="2"/>
            <w:tcBorders>
              <w:tl2br w:val="nil"/>
              <w:tr2bl w:val="nil"/>
            </w:tcBorders>
            <w:noWrap w:val="0"/>
            <w:vAlign w:val="center"/>
          </w:tcPr>
          <w:p w14:paraId="63288D30">
            <w:pPr>
              <w:pStyle w:val="1358"/>
              <w:rPr>
                <w:color w:val="auto"/>
                <w:highlight w:val="none"/>
              </w:rPr>
            </w:pPr>
            <w:r>
              <w:rPr>
                <w:color w:val="auto"/>
                <w:highlight w:val="none"/>
              </w:rPr>
              <w:t>生活垃圾</w:t>
            </w:r>
          </w:p>
        </w:tc>
        <w:tc>
          <w:tcPr>
            <w:tcW w:w="2319" w:type="pct"/>
            <w:tcBorders>
              <w:tl2br w:val="nil"/>
              <w:tr2bl w:val="nil"/>
            </w:tcBorders>
            <w:noWrap w:val="0"/>
            <w:vAlign w:val="center"/>
          </w:tcPr>
          <w:p w14:paraId="1CD26B21">
            <w:pPr>
              <w:pStyle w:val="1358"/>
              <w:rPr>
                <w:color w:val="auto"/>
                <w:highlight w:val="none"/>
              </w:rPr>
            </w:pPr>
            <w:r>
              <w:rPr>
                <w:color w:val="auto"/>
                <w:highlight w:val="none"/>
              </w:rPr>
              <w:t>生活垃圾收集桶收集后委托环卫部门清运处置</w:t>
            </w:r>
          </w:p>
        </w:tc>
      </w:tr>
    </w:tbl>
    <w:p w14:paraId="16FAC4B0">
      <w:pPr>
        <w:pStyle w:val="1336"/>
        <w:ind w:firstLine="480"/>
        <w:rPr>
          <w:rFonts w:hint="eastAsia" w:ascii="Times New Roman" w:hAnsi="Times New Roman" w:eastAsia="宋体" w:cs="Times New Roman"/>
          <w:color w:val="auto"/>
          <w:highlight w:val="none"/>
        </w:rPr>
        <w:sectPr>
          <w:pgSz w:w="11906" w:h="16838"/>
          <w:pgMar w:top="141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3B934093">
      <w:pPr>
        <w:pStyle w:val="3"/>
        <w:numPr>
          <w:ilvl w:val="1"/>
          <w:numId w:val="0"/>
        </w:numPr>
        <w:bidi w:val="0"/>
        <w:rPr>
          <w:color w:val="auto"/>
          <w:highlight w:val="none"/>
        </w:rPr>
      </w:pPr>
      <w:bookmarkStart w:id="341" w:name="_Toc26806"/>
      <w:bookmarkStart w:id="342" w:name="_Toc17708"/>
      <w:r>
        <w:rPr>
          <w:rFonts w:hint="eastAsia"/>
          <w:color w:val="auto"/>
          <w:highlight w:val="none"/>
          <w:lang w:val="en-US" w:eastAsia="zh-CN"/>
        </w:rPr>
        <w:t xml:space="preserve">3.3 </w:t>
      </w:r>
      <w:r>
        <w:rPr>
          <w:color w:val="auto"/>
          <w:highlight w:val="none"/>
        </w:rPr>
        <w:t>平衡分析</w:t>
      </w:r>
      <w:bookmarkEnd w:id="341"/>
      <w:bookmarkEnd w:id="342"/>
    </w:p>
    <w:p w14:paraId="399AFB63">
      <w:pPr>
        <w:pStyle w:val="4"/>
        <w:numPr>
          <w:ilvl w:val="2"/>
          <w:numId w:val="0"/>
        </w:numPr>
        <w:tabs>
          <w:tab w:val="clear" w:pos="720"/>
        </w:tabs>
        <w:bidi w:val="0"/>
        <w:rPr>
          <w:color w:val="auto"/>
          <w:highlight w:val="none"/>
        </w:rPr>
      </w:pPr>
      <w:bookmarkStart w:id="343" w:name="_Toc12130"/>
      <w:r>
        <w:rPr>
          <w:rFonts w:hint="eastAsia"/>
          <w:color w:val="auto"/>
          <w:highlight w:val="none"/>
          <w:lang w:val="en-US" w:eastAsia="zh-CN"/>
        </w:rPr>
        <w:t xml:space="preserve">3.3.1 </w:t>
      </w:r>
      <w:r>
        <w:rPr>
          <w:color w:val="auto"/>
          <w:highlight w:val="none"/>
        </w:rPr>
        <w:t>水平衡</w:t>
      </w:r>
      <w:bookmarkEnd w:id="343"/>
    </w:p>
    <w:p w14:paraId="2397B4BB">
      <w:pPr>
        <w:pStyle w:val="441"/>
        <w:ind w:firstLine="480"/>
        <w:rPr>
          <w:rFonts w:hint="eastAsia"/>
          <w:color w:val="auto"/>
          <w:highlight w:val="none"/>
          <w:lang w:val="en-US" w:eastAsia="zh-CN" w:bidi="he-IL"/>
        </w:rPr>
      </w:pPr>
      <w:r>
        <w:rPr>
          <w:rFonts w:hint="eastAsia"/>
          <w:color w:val="auto"/>
          <w:highlight w:val="none"/>
          <w:lang w:val="en-US" w:eastAsia="zh-CN" w:bidi="he-IL"/>
        </w:rPr>
        <w:t>（1）生活用水</w:t>
      </w:r>
    </w:p>
    <w:p w14:paraId="6F78965C">
      <w:pPr>
        <w:pStyle w:val="441"/>
        <w:ind w:firstLine="480"/>
        <w:rPr>
          <w:rFonts w:hint="eastAsia"/>
          <w:color w:val="auto"/>
          <w:highlight w:val="none"/>
          <w:lang w:bidi="he-IL"/>
        </w:rPr>
      </w:pPr>
      <w:r>
        <w:rPr>
          <w:rFonts w:hint="eastAsia"/>
          <w:color w:val="auto"/>
          <w:highlight w:val="none"/>
          <w:lang w:bidi="he-IL"/>
        </w:rPr>
        <w:t>本项目运营期职工</w:t>
      </w:r>
      <w:r>
        <w:rPr>
          <w:rFonts w:hint="eastAsia"/>
          <w:color w:val="auto"/>
          <w:highlight w:val="none"/>
          <w:lang w:val="en-US" w:eastAsia="zh-CN" w:bidi="he-IL"/>
        </w:rPr>
        <w:t>50</w:t>
      </w:r>
      <w:r>
        <w:rPr>
          <w:rFonts w:hint="eastAsia"/>
          <w:color w:val="auto"/>
          <w:highlight w:val="none"/>
          <w:lang w:bidi="he-IL"/>
        </w:rPr>
        <w:t>人，均不住宿，年工作</w:t>
      </w:r>
      <w:r>
        <w:rPr>
          <w:rFonts w:hint="eastAsia"/>
          <w:color w:val="auto"/>
          <w:highlight w:val="none"/>
          <w:lang w:val="en-US" w:eastAsia="zh-CN" w:bidi="he-IL"/>
        </w:rPr>
        <w:t>300</w:t>
      </w:r>
      <w:r>
        <w:rPr>
          <w:rFonts w:hint="eastAsia"/>
          <w:color w:val="auto"/>
          <w:highlight w:val="none"/>
          <w:lang w:bidi="he-IL"/>
        </w:rPr>
        <w:t>天。参考《福建省行业用水定额》</w:t>
      </w:r>
      <w:r>
        <w:rPr>
          <w:rFonts w:hint="eastAsia"/>
          <w:color w:val="auto"/>
          <w:highlight w:val="none"/>
          <w:lang w:eastAsia="zh-CN" w:bidi="he-IL"/>
        </w:rPr>
        <w:t>（</w:t>
      </w:r>
      <w:r>
        <w:rPr>
          <w:rFonts w:hint="eastAsia"/>
          <w:color w:val="auto"/>
          <w:highlight w:val="none"/>
          <w:lang w:bidi="he-IL"/>
        </w:rPr>
        <w:t>DB35/T772-2018</w:t>
      </w:r>
      <w:r>
        <w:rPr>
          <w:rFonts w:hint="eastAsia"/>
          <w:color w:val="auto"/>
          <w:highlight w:val="none"/>
          <w:lang w:eastAsia="zh-CN" w:bidi="he-IL"/>
        </w:rPr>
        <w:t>），</w:t>
      </w:r>
      <w:r>
        <w:rPr>
          <w:rFonts w:hint="eastAsia"/>
          <w:color w:val="auto"/>
          <w:highlight w:val="none"/>
          <w:lang w:bidi="he-IL"/>
        </w:rPr>
        <w:t>不住厂员工生活用水量按50L/d·人计，则生活用水量约为</w:t>
      </w:r>
      <w:r>
        <w:rPr>
          <w:rFonts w:hint="eastAsia"/>
          <w:color w:val="auto"/>
          <w:highlight w:val="none"/>
          <w:lang w:val="en-US" w:eastAsia="zh-CN" w:bidi="he-IL"/>
        </w:rPr>
        <w:t>2.5</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/d</w:t>
      </w:r>
      <w:r>
        <w:rPr>
          <w:rFonts w:hint="eastAsia"/>
          <w:color w:val="auto"/>
          <w:highlight w:val="none"/>
          <w:lang w:eastAsia="zh-CN" w:bidi="he-IL"/>
        </w:rPr>
        <w:t>（</w:t>
      </w:r>
      <w:r>
        <w:rPr>
          <w:rFonts w:hint="eastAsia"/>
          <w:color w:val="auto"/>
          <w:highlight w:val="none"/>
          <w:lang w:val="en-US" w:eastAsia="zh-CN" w:bidi="he-IL"/>
        </w:rPr>
        <w:t>750</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/a</w:t>
      </w:r>
      <w:r>
        <w:rPr>
          <w:rFonts w:hint="eastAsia"/>
          <w:color w:val="auto"/>
          <w:highlight w:val="none"/>
          <w:lang w:eastAsia="zh-CN" w:bidi="he-IL"/>
        </w:rPr>
        <w:t>）</w:t>
      </w:r>
      <w:r>
        <w:rPr>
          <w:rFonts w:hint="eastAsia"/>
          <w:color w:val="auto"/>
          <w:highlight w:val="none"/>
          <w:lang w:bidi="he-IL"/>
        </w:rPr>
        <w:t>。生活污水排放系数按80%计，则生活污水产生量为</w:t>
      </w:r>
      <w:r>
        <w:rPr>
          <w:rFonts w:hint="eastAsia"/>
          <w:color w:val="auto"/>
          <w:highlight w:val="none"/>
          <w:lang w:val="en-US" w:eastAsia="zh-CN" w:bidi="he-IL"/>
        </w:rPr>
        <w:t>2</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/d</w:t>
      </w:r>
      <w:r>
        <w:rPr>
          <w:rFonts w:hint="eastAsia"/>
          <w:color w:val="auto"/>
          <w:highlight w:val="none"/>
          <w:lang w:eastAsia="zh-CN" w:bidi="he-IL"/>
        </w:rPr>
        <w:t>（</w:t>
      </w:r>
      <w:r>
        <w:rPr>
          <w:rFonts w:hint="eastAsia"/>
          <w:color w:val="auto"/>
          <w:highlight w:val="none"/>
          <w:lang w:val="en-US" w:eastAsia="zh-CN" w:bidi="he-IL"/>
        </w:rPr>
        <w:t>600</w:t>
      </w:r>
      <w:r>
        <w:rPr>
          <w:rFonts w:hint="eastAsia"/>
          <w:color w:val="auto"/>
          <w:highlight w:val="none"/>
          <w:lang w:bidi="he-IL"/>
        </w:rPr>
        <w:t>m</w:t>
      </w:r>
      <w:r>
        <w:rPr>
          <w:rFonts w:hint="eastAsia"/>
          <w:color w:val="auto"/>
          <w:highlight w:val="none"/>
          <w:vertAlign w:val="superscript"/>
          <w:lang w:val="en-US" w:eastAsia="zh-CN" w:bidi="he-IL"/>
        </w:rPr>
        <w:t>3</w:t>
      </w:r>
      <w:r>
        <w:rPr>
          <w:rFonts w:hint="eastAsia"/>
          <w:color w:val="auto"/>
          <w:highlight w:val="none"/>
          <w:lang w:bidi="he-IL"/>
        </w:rPr>
        <w:t>/a</w:t>
      </w:r>
      <w:r>
        <w:rPr>
          <w:rFonts w:hint="eastAsia"/>
          <w:color w:val="auto"/>
          <w:highlight w:val="none"/>
          <w:lang w:eastAsia="zh-CN" w:bidi="he-IL"/>
        </w:rPr>
        <w:t>）</w:t>
      </w:r>
      <w:r>
        <w:rPr>
          <w:rFonts w:hint="eastAsia"/>
          <w:color w:val="auto"/>
          <w:highlight w:val="none"/>
          <w:lang w:bidi="he-IL"/>
        </w:rPr>
        <w:t>。项目生活污水经</w:t>
      </w:r>
      <w:r>
        <w:rPr>
          <w:rFonts w:hint="eastAsia"/>
          <w:color w:val="auto"/>
          <w:highlight w:val="none"/>
          <w:lang w:val="en-US" w:eastAsia="zh-CN" w:bidi="he-IL"/>
        </w:rPr>
        <w:t>出租方已建</w:t>
      </w:r>
      <w:r>
        <w:rPr>
          <w:rFonts w:hint="eastAsia"/>
          <w:color w:val="auto"/>
          <w:highlight w:val="none"/>
          <w:lang w:bidi="he-IL"/>
        </w:rPr>
        <w:t>化粪池处理后，纳入市政污水管网，排入</w:t>
      </w:r>
      <w:r>
        <w:rPr>
          <w:rFonts w:hint="eastAsia"/>
          <w:color w:val="auto"/>
          <w:highlight w:val="none"/>
          <w:lang w:eastAsia="zh-CN" w:bidi="he-IL"/>
        </w:rPr>
        <w:t>青口汽车工业开发区污水处理厂</w:t>
      </w:r>
      <w:r>
        <w:rPr>
          <w:rFonts w:hint="eastAsia"/>
          <w:color w:val="auto"/>
          <w:highlight w:val="none"/>
          <w:lang w:bidi="he-IL"/>
        </w:rPr>
        <w:t>进一步处理。</w:t>
      </w:r>
    </w:p>
    <w:p w14:paraId="25635AE7">
      <w:pPr>
        <w:pStyle w:val="441"/>
        <w:ind w:firstLine="480"/>
        <w:rPr>
          <w:rFonts w:hint="eastAsia"/>
          <w:color w:val="auto"/>
          <w:highlight w:val="none"/>
          <w:lang w:val="en-US" w:eastAsia="zh-CN" w:bidi="he-IL"/>
        </w:rPr>
      </w:pPr>
      <w:r>
        <w:rPr>
          <w:rFonts w:hint="eastAsia"/>
          <w:color w:val="auto"/>
          <w:highlight w:val="none"/>
          <w:lang w:val="en-US" w:eastAsia="zh-CN" w:bidi="he-IL"/>
        </w:rPr>
        <w:t>（2）生产用水</w:t>
      </w:r>
    </w:p>
    <w:p w14:paraId="13F7E2FE">
      <w:pPr>
        <w:pStyle w:val="441"/>
        <w:ind w:firstLine="480"/>
        <w:rPr>
          <w:rFonts w:hint="default"/>
          <w:color w:val="auto"/>
          <w:highlight w:val="none"/>
          <w:lang w:val="en-US" w:eastAsia="zh-CN" w:bidi="he-IL"/>
        </w:rPr>
      </w:pPr>
      <w:r>
        <w:rPr>
          <w:rFonts w:hint="eastAsia"/>
          <w:color w:val="auto"/>
          <w:highlight w:val="none"/>
          <w:lang w:val="en-US" w:eastAsia="zh-CN" w:bidi="he-IL"/>
        </w:rPr>
        <w:t>①冷却循环系统用水</w:t>
      </w:r>
    </w:p>
    <w:p w14:paraId="02CFFA5C">
      <w:pPr>
        <w:pStyle w:val="441"/>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val="en-US" w:eastAsia="zh-CN" w:bidi="he-IL"/>
        </w:rPr>
        <w:t>本项目冷却水系统主要包括注塑生产线、涂装生产线及热洁炉二燃室三部分，均采用间接冷却方式，冷却水不与物料、产品直接接触，仅通过热交换设备降温，水质基本不受污染。冷却水经降温后全部循环使用，不外排，仅定期补充因蒸发、风吹等造成的损耗水量。具体用水量如下：</w:t>
      </w:r>
    </w:p>
    <w:p w14:paraId="01A5FA31">
      <w:pPr>
        <w:pStyle w:val="441"/>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bidi="he-IL"/>
        </w:rPr>
        <w:t>注塑生产线：拟设置1台处理能力为100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h的冷却塔。系统循环水量为2400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d（720000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a），冷却水经冷却塔降温后循环利用，定期补充损耗。</w:t>
      </w:r>
    </w:p>
    <w:p w14:paraId="320D74B2">
      <w:pPr>
        <w:pStyle w:val="441"/>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bidi="he-IL"/>
        </w:rPr>
        <w:t>涂装生产线：拟为冰水机配套设置1台处理能力为300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h的冷却塔。系统循环水量为7200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d（2160000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a），冷却水经降温后全部循环使用，定期补充损耗。</w:t>
      </w:r>
    </w:p>
    <w:p w14:paraId="395EEC13">
      <w:pPr>
        <w:pStyle w:val="441"/>
        <w:ind w:firstLine="480"/>
        <w:rPr>
          <w:rFonts w:hint="eastAsia" w:ascii="Times New Roman" w:hAnsi="Times New Roman" w:eastAsia="宋体" w:cs="Times New Roman"/>
          <w:color w:val="auto"/>
          <w:highlight w:val="none"/>
          <w:lang w:bidi="he-IL"/>
        </w:rPr>
      </w:pPr>
      <w:r>
        <w:rPr>
          <w:rFonts w:hint="eastAsia" w:ascii="Times New Roman" w:hAnsi="Times New Roman" w:eastAsia="宋体" w:cs="Times New Roman"/>
          <w:color w:val="auto"/>
          <w:highlight w:val="none"/>
          <w:lang w:bidi="he-IL"/>
        </w:rPr>
        <w:t>热洁炉二燃室：拟设置1台处理能力为12.5</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h的换热器。该设备每月运行3次，每次2小时，年运行时间约72小时。系统循环水量为25</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d（900</w:t>
      </w: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w:t>
      </w:r>
      <w:r>
        <w:rPr>
          <w:rFonts w:hint="eastAsia" w:ascii="Times New Roman" w:hAnsi="Times New Roman" w:eastAsia="宋体" w:cs="Times New Roman"/>
          <w:color w:val="auto"/>
          <w:highlight w:val="none"/>
          <w:lang w:bidi="he-IL"/>
        </w:rPr>
        <w:t>a），冷却水循环利用，不外排。</w:t>
      </w:r>
    </w:p>
    <w:p w14:paraId="7364B163">
      <w:pPr>
        <w:pStyle w:val="441"/>
        <w:ind w:firstLine="480"/>
        <w:rPr>
          <w:rFonts w:hint="eastAsia"/>
          <w:color w:val="auto"/>
          <w:highlight w:val="none"/>
          <w:lang w:val="en-US" w:eastAsia="zh-CN" w:bidi="he-IL"/>
        </w:rPr>
      </w:pPr>
      <w:r>
        <w:rPr>
          <w:rFonts w:hint="eastAsia"/>
          <w:color w:val="auto"/>
          <w:highlight w:val="none"/>
          <w:lang w:val="en-US" w:eastAsia="zh-CN" w:bidi="he-IL"/>
        </w:rPr>
        <w:t>经参考《工业循环冷却水处理设计规范》（GB/T50050-2017），冷却水蒸发损失率以1.5%计，则本项目冷却循环系统补充水量为注塑冷却塔36m</w:t>
      </w:r>
      <w:r>
        <w:rPr>
          <w:rFonts w:hint="eastAsia"/>
          <w:color w:val="auto"/>
          <w:highlight w:val="none"/>
          <w:vertAlign w:val="superscript"/>
          <w:lang w:val="en-US" w:eastAsia="zh-CN" w:bidi="he-IL"/>
        </w:rPr>
        <w:t>3</w:t>
      </w:r>
      <w:r>
        <w:rPr>
          <w:rFonts w:hint="eastAsia"/>
          <w:color w:val="auto"/>
          <w:highlight w:val="none"/>
          <w:lang w:val="en-US" w:eastAsia="zh-CN" w:bidi="he-IL"/>
        </w:rPr>
        <w:t>/d（10800m</w:t>
      </w:r>
      <w:r>
        <w:rPr>
          <w:rFonts w:hint="eastAsia"/>
          <w:color w:val="auto"/>
          <w:highlight w:val="none"/>
          <w:vertAlign w:val="superscript"/>
          <w:lang w:val="en-US" w:eastAsia="zh-CN" w:bidi="he-IL"/>
        </w:rPr>
        <w:t>3</w:t>
      </w:r>
      <w:r>
        <w:rPr>
          <w:rFonts w:hint="eastAsia"/>
          <w:color w:val="auto"/>
          <w:highlight w:val="none"/>
          <w:lang w:val="en-US" w:eastAsia="zh-CN" w:bidi="he-IL"/>
        </w:rPr>
        <w:t>/a）、涂装线冰水机冷却塔108m</w:t>
      </w:r>
      <w:r>
        <w:rPr>
          <w:rFonts w:hint="eastAsia"/>
          <w:color w:val="auto"/>
          <w:highlight w:val="none"/>
          <w:vertAlign w:val="superscript"/>
          <w:lang w:val="en-US" w:eastAsia="zh-CN" w:bidi="he-IL"/>
        </w:rPr>
        <w:t>3</w:t>
      </w:r>
      <w:r>
        <w:rPr>
          <w:rFonts w:hint="eastAsia"/>
          <w:color w:val="auto"/>
          <w:highlight w:val="none"/>
          <w:lang w:val="en-US" w:eastAsia="zh-CN" w:bidi="he-IL"/>
        </w:rPr>
        <w:t>/d（32400m</w:t>
      </w:r>
      <w:r>
        <w:rPr>
          <w:rFonts w:hint="eastAsia"/>
          <w:color w:val="auto"/>
          <w:highlight w:val="none"/>
          <w:vertAlign w:val="superscript"/>
          <w:lang w:val="en-US" w:eastAsia="zh-CN" w:bidi="he-IL"/>
        </w:rPr>
        <w:t>3</w:t>
      </w:r>
      <w:r>
        <w:rPr>
          <w:rFonts w:hint="eastAsia"/>
          <w:color w:val="auto"/>
          <w:highlight w:val="none"/>
          <w:lang w:val="en-US" w:eastAsia="zh-CN" w:bidi="he-IL"/>
        </w:rPr>
        <w:t>/a）、换热器0.375m</w:t>
      </w:r>
      <w:r>
        <w:rPr>
          <w:rFonts w:hint="eastAsia"/>
          <w:color w:val="auto"/>
          <w:highlight w:val="none"/>
          <w:vertAlign w:val="superscript"/>
          <w:lang w:val="en-US" w:eastAsia="zh-CN" w:bidi="he-IL"/>
        </w:rPr>
        <w:t>3</w:t>
      </w:r>
      <w:r>
        <w:rPr>
          <w:rFonts w:hint="eastAsia"/>
          <w:color w:val="auto"/>
          <w:highlight w:val="none"/>
          <w:lang w:val="en-US" w:eastAsia="zh-CN" w:bidi="he-IL"/>
        </w:rPr>
        <w:t>/d（13.5m</w:t>
      </w:r>
      <w:r>
        <w:rPr>
          <w:rFonts w:hint="eastAsia"/>
          <w:color w:val="auto"/>
          <w:highlight w:val="none"/>
          <w:vertAlign w:val="superscript"/>
          <w:lang w:val="en-US" w:eastAsia="zh-CN" w:bidi="he-IL"/>
        </w:rPr>
        <w:t>3</w:t>
      </w:r>
      <w:r>
        <w:rPr>
          <w:rFonts w:hint="eastAsia"/>
          <w:color w:val="auto"/>
          <w:highlight w:val="none"/>
          <w:lang w:val="en-US" w:eastAsia="zh-CN" w:bidi="he-IL"/>
        </w:rPr>
        <w:t>/a）。</w:t>
      </w:r>
    </w:p>
    <w:p w14:paraId="7D29D030">
      <w:pPr>
        <w:pStyle w:val="441"/>
        <w:ind w:firstLine="480"/>
        <w:rPr>
          <w:rFonts w:hint="eastAsia"/>
          <w:color w:val="auto"/>
          <w:highlight w:val="none"/>
          <w:lang w:val="en-US" w:eastAsia="zh-CN" w:bidi="he-IL"/>
        </w:rPr>
      </w:pPr>
      <w:r>
        <w:rPr>
          <w:rFonts w:hint="eastAsia"/>
          <w:color w:val="auto"/>
          <w:highlight w:val="none"/>
          <w:lang w:val="en-US" w:eastAsia="zh-CN" w:bidi="he-IL"/>
        </w:rPr>
        <w:t>②纯水制备水</w:t>
      </w:r>
    </w:p>
    <w:p w14:paraId="510ACD37">
      <w:pPr>
        <w:pStyle w:val="441"/>
        <w:ind w:firstLine="480"/>
        <w:rPr>
          <w:rFonts w:hint="default"/>
          <w:color w:val="auto"/>
          <w:highlight w:val="none"/>
          <w:lang w:val="en-US" w:eastAsia="zh-CN" w:bidi="he-IL"/>
        </w:rPr>
      </w:pPr>
      <w:r>
        <w:rPr>
          <w:rFonts w:hint="eastAsia"/>
          <w:color w:val="auto"/>
          <w:highlight w:val="none"/>
          <w:lang w:val="en-US" w:eastAsia="zh-CN" w:bidi="he-IL"/>
        </w:rPr>
        <w:t>本项目热水炉拟配置1台纯水制备系统（砂滤+炭滤+两级反渗透工艺），产水率为75%。根据设计资料，本项目热水炉循环水量为25.8m</w:t>
      </w:r>
      <w:r>
        <w:rPr>
          <w:rFonts w:hint="eastAsia"/>
          <w:color w:val="auto"/>
          <w:highlight w:val="none"/>
          <w:vertAlign w:val="superscript"/>
          <w:lang w:val="en-US" w:eastAsia="zh-CN" w:bidi="he-IL"/>
        </w:rPr>
        <w:t>3</w:t>
      </w:r>
      <w:r>
        <w:rPr>
          <w:rFonts w:hint="eastAsia"/>
          <w:color w:val="auto"/>
          <w:highlight w:val="none"/>
          <w:lang w:val="en-US" w:eastAsia="zh-CN" w:bidi="he-IL"/>
        </w:rPr>
        <w:t>/h，热水炉运行时间为3600h/a，热水炉循环水量为619.2m</w:t>
      </w:r>
      <w:r>
        <w:rPr>
          <w:rFonts w:hint="eastAsia"/>
          <w:color w:val="auto"/>
          <w:highlight w:val="none"/>
          <w:vertAlign w:val="superscript"/>
          <w:lang w:val="en-US" w:eastAsia="zh-CN" w:bidi="he-IL"/>
        </w:rPr>
        <w:t>3</w:t>
      </w:r>
      <w:r>
        <w:rPr>
          <w:rFonts w:hint="eastAsia"/>
          <w:color w:val="auto"/>
          <w:highlight w:val="none"/>
          <w:lang w:val="en-US" w:eastAsia="zh-CN" w:bidi="he-IL"/>
        </w:rPr>
        <w:t>/d（92880m</w:t>
      </w:r>
      <w:r>
        <w:rPr>
          <w:rFonts w:hint="eastAsia"/>
          <w:color w:val="auto"/>
          <w:highlight w:val="none"/>
          <w:vertAlign w:val="superscript"/>
          <w:lang w:val="en-US" w:eastAsia="zh-CN" w:bidi="he-IL"/>
        </w:rPr>
        <w:t>3</w:t>
      </w:r>
      <w:r>
        <w:rPr>
          <w:rFonts w:hint="eastAsia"/>
          <w:color w:val="auto"/>
          <w:highlight w:val="none"/>
          <w:lang w:val="en-US" w:eastAsia="zh-CN" w:bidi="he-IL"/>
        </w:rPr>
        <w:t>/a），供热过程中汽水损失量约为循环量的0.5%，则补充水量为3.096m</w:t>
      </w:r>
      <w:r>
        <w:rPr>
          <w:rFonts w:hint="eastAsia"/>
          <w:color w:val="auto"/>
          <w:highlight w:val="none"/>
          <w:vertAlign w:val="superscript"/>
          <w:lang w:val="en-US" w:eastAsia="zh-CN" w:bidi="he-IL"/>
        </w:rPr>
        <w:t>3</w:t>
      </w:r>
      <w:r>
        <w:rPr>
          <w:rFonts w:hint="eastAsia"/>
          <w:color w:val="auto"/>
          <w:highlight w:val="none"/>
          <w:lang w:val="en-US" w:eastAsia="zh-CN" w:bidi="he-IL"/>
        </w:rPr>
        <w:t>/d（464.4m</w:t>
      </w:r>
      <w:r>
        <w:rPr>
          <w:rFonts w:hint="eastAsia"/>
          <w:color w:val="auto"/>
          <w:highlight w:val="none"/>
          <w:vertAlign w:val="superscript"/>
          <w:lang w:val="en-US" w:eastAsia="zh-CN" w:bidi="he-IL"/>
        </w:rPr>
        <w:t>3</w:t>
      </w:r>
      <w:r>
        <w:rPr>
          <w:rFonts w:hint="eastAsia"/>
          <w:color w:val="auto"/>
          <w:highlight w:val="none"/>
          <w:lang w:val="en-US" w:eastAsia="zh-CN" w:bidi="he-IL"/>
        </w:rPr>
        <w:t>/a）。热水炉在正常运行的情况下，由于汽水损失，使炉内循环水浓缩，需要定期排出一定量的高盐度废水。根据设计资料，热水炉排水量为0.015m</w:t>
      </w:r>
      <w:r>
        <w:rPr>
          <w:rFonts w:hint="eastAsia"/>
          <w:color w:val="auto"/>
          <w:highlight w:val="none"/>
          <w:vertAlign w:val="superscript"/>
          <w:lang w:val="en-US" w:eastAsia="zh-CN" w:bidi="he-IL"/>
        </w:rPr>
        <w:t>3</w:t>
      </w:r>
      <w:r>
        <w:rPr>
          <w:rFonts w:hint="eastAsia"/>
          <w:color w:val="auto"/>
          <w:highlight w:val="none"/>
          <w:lang w:val="en-US" w:eastAsia="zh-CN" w:bidi="he-IL"/>
        </w:rPr>
        <w:t>/d（2.25m</w:t>
      </w:r>
      <w:r>
        <w:rPr>
          <w:rFonts w:hint="eastAsia"/>
          <w:color w:val="auto"/>
          <w:highlight w:val="none"/>
          <w:vertAlign w:val="superscript"/>
          <w:lang w:val="en-US" w:eastAsia="zh-CN" w:bidi="he-IL"/>
        </w:rPr>
        <w:t>3</w:t>
      </w:r>
      <w:r>
        <w:rPr>
          <w:rFonts w:hint="eastAsia"/>
          <w:color w:val="auto"/>
          <w:highlight w:val="none"/>
          <w:lang w:val="en-US" w:eastAsia="zh-CN" w:bidi="he-IL"/>
        </w:rPr>
        <w:t>/a）。本项目热水炉用水量共为3.111m</w:t>
      </w:r>
      <w:r>
        <w:rPr>
          <w:rFonts w:hint="eastAsia"/>
          <w:color w:val="auto"/>
          <w:highlight w:val="none"/>
          <w:vertAlign w:val="superscript"/>
          <w:lang w:val="en-US" w:eastAsia="zh-CN" w:bidi="he-IL"/>
        </w:rPr>
        <w:t>3</w:t>
      </w:r>
      <w:r>
        <w:rPr>
          <w:rFonts w:hint="eastAsia"/>
          <w:color w:val="auto"/>
          <w:highlight w:val="none"/>
          <w:lang w:val="en-US" w:eastAsia="zh-CN" w:bidi="he-IL"/>
        </w:rPr>
        <w:t>/d（466.65m</w:t>
      </w:r>
      <w:r>
        <w:rPr>
          <w:rFonts w:hint="eastAsia"/>
          <w:color w:val="auto"/>
          <w:highlight w:val="none"/>
          <w:vertAlign w:val="superscript"/>
          <w:lang w:val="en-US" w:eastAsia="zh-CN" w:bidi="he-IL"/>
        </w:rPr>
        <w:t>3</w:t>
      </w:r>
      <w:r>
        <w:rPr>
          <w:rFonts w:hint="eastAsia"/>
          <w:color w:val="auto"/>
          <w:highlight w:val="none"/>
          <w:lang w:val="en-US" w:eastAsia="zh-CN" w:bidi="he-IL"/>
        </w:rPr>
        <w:t>/a），则纯水制备系统新鲜水用量为4.148m</w:t>
      </w:r>
      <w:r>
        <w:rPr>
          <w:rFonts w:hint="eastAsia"/>
          <w:color w:val="auto"/>
          <w:highlight w:val="none"/>
          <w:vertAlign w:val="superscript"/>
          <w:lang w:val="en-US" w:eastAsia="zh-CN" w:bidi="he-IL"/>
        </w:rPr>
        <w:t>3</w:t>
      </w:r>
      <w:r>
        <w:rPr>
          <w:rFonts w:hint="eastAsia"/>
          <w:color w:val="auto"/>
          <w:highlight w:val="none"/>
          <w:lang w:val="en-US" w:eastAsia="zh-CN" w:bidi="he-IL"/>
        </w:rPr>
        <w:t>/d（622.2m</w:t>
      </w:r>
      <w:r>
        <w:rPr>
          <w:rFonts w:hint="eastAsia"/>
          <w:color w:val="auto"/>
          <w:highlight w:val="none"/>
          <w:vertAlign w:val="superscript"/>
          <w:lang w:val="en-US" w:eastAsia="zh-CN" w:bidi="he-IL"/>
        </w:rPr>
        <w:t>3</w:t>
      </w:r>
      <w:r>
        <w:rPr>
          <w:rFonts w:hint="eastAsia"/>
          <w:color w:val="auto"/>
          <w:highlight w:val="none"/>
          <w:lang w:val="en-US" w:eastAsia="zh-CN" w:bidi="he-IL"/>
        </w:rPr>
        <w:t>/a）。</w:t>
      </w:r>
    </w:p>
    <w:p w14:paraId="15C47F80">
      <w:pPr>
        <w:pStyle w:val="441"/>
        <w:ind w:firstLine="480"/>
        <w:rPr>
          <w:rFonts w:hint="default"/>
          <w:color w:val="auto"/>
          <w:highlight w:val="none"/>
          <w:lang w:val="en-US" w:eastAsia="zh-CN" w:bidi="he-IL"/>
        </w:rPr>
      </w:pPr>
      <w:r>
        <w:rPr>
          <w:rFonts w:hint="eastAsia"/>
          <w:color w:val="auto"/>
          <w:highlight w:val="none"/>
          <w:lang w:val="en-US" w:eastAsia="zh-CN" w:bidi="he-IL"/>
        </w:rPr>
        <w:t>本项目热水炉配套的纯水制备系统浓水产生量共为1.037m</w:t>
      </w:r>
      <w:r>
        <w:rPr>
          <w:rFonts w:hint="eastAsia"/>
          <w:color w:val="auto"/>
          <w:highlight w:val="none"/>
          <w:vertAlign w:val="superscript"/>
          <w:lang w:val="en-US" w:eastAsia="zh-CN" w:bidi="he-IL"/>
        </w:rPr>
        <w:t>3</w:t>
      </w:r>
      <w:r>
        <w:rPr>
          <w:rFonts w:hint="eastAsia"/>
          <w:color w:val="auto"/>
          <w:highlight w:val="none"/>
          <w:lang w:val="en-US" w:eastAsia="zh-CN" w:bidi="he-IL"/>
        </w:rPr>
        <w:t>/d、155.55m</w:t>
      </w:r>
      <w:r>
        <w:rPr>
          <w:rFonts w:hint="eastAsia"/>
          <w:color w:val="auto"/>
          <w:highlight w:val="none"/>
          <w:vertAlign w:val="superscript"/>
          <w:lang w:val="en-US" w:eastAsia="zh-CN" w:bidi="he-IL"/>
        </w:rPr>
        <w:t>3</w:t>
      </w:r>
      <w:r>
        <w:rPr>
          <w:rFonts w:hint="eastAsia"/>
          <w:color w:val="auto"/>
          <w:highlight w:val="none"/>
          <w:lang w:val="en-US" w:eastAsia="zh-CN" w:bidi="he-IL"/>
        </w:rPr>
        <w:t xml:space="preserve">/a。反渗透浓水水质较清洁，主要污染物为高浓度溶解性总固体（TDS）及少量COD，不含重金属及有毒有害物质。该废水水质简单，经厂区污水总排口接入市政污水管网。 </w:t>
      </w:r>
    </w:p>
    <w:p w14:paraId="14160307">
      <w:pPr>
        <w:pStyle w:val="441"/>
        <w:ind w:firstLine="480"/>
        <w:rPr>
          <w:rFonts w:hint="eastAsia"/>
          <w:color w:val="auto"/>
          <w:highlight w:val="none"/>
          <w:lang w:val="en-US" w:eastAsia="zh-CN" w:bidi="he-IL"/>
        </w:rPr>
      </w:pPr>
      <w:r>
        <w:rPr>
          <w:rFonts w:hint="eastAsia"/>
          <w:color w:val="auto"/>
          <w:highlight w:val="none"/>
          <w:lang w:val="en-US" w:eastAsia="zh-CN" w:bidi="he-IL"/>
        </w:rPr>
        <w:t>③热水炉排污水</w:t>
      </w:r>
    </w:p>
    <w:p w14:paraId="78788E14">
      <w:pPr>
        <w:pStyle w:val="441"/>
        <w:ind w:firstLine="480"/>
        <w:rPr>
          <w:rFonts w:hint="eastAsia"/>
          <w:color w:val="auto"/>
          <w:highlight w:val="none"/>
          <w:lang w:val="en-US" w:eastAsia="zh-CN" w:bidi="he-IL"/>
        </w:rPr>
      </w:pPr>
      <w:r>
        <w:rPr>
          <w:rFonts w:hint="eastAsia"/>
          <w:color w:val="auto"/>
          <w:szCs w:val="21"/>
          <w:highlight w:val="none"/>
          <w:lang w:val="en-US" w:eastAsia="zh-CN"/>
        </w:rPr>
        <w:t>为保证</w:t>
      </w:r>
      <w:r>
        <w:rPr>
          <w:rFonts w:hint="eastAsia"/>
          <w:color w:val="auto"/>
          <w:szCs w:val="21"/>
          <w:highlight w:val="none"/>
        </w:rPr>
        <w:t>涂装线</w:t>
      </w:r>
      <w:r>
        <w:rPr>
          <w:rFonts w:hint="eastAsia"/>
          <w:color w:val="auto"/>
          <w:szCs w:val="21"/>
          <w:highlight w:val="none"/>
          <w:lang w:val="en-US" w:eastAsia="zh-CN"/>
        </w:rPr>
        <w:t>处于</w:t>
      </w:r>
      <w:r>
        <w:rPr>
          <w:rFonts w:hint="eastAsia"/>
          <w:color w:val="auto"/>
          <w:szCs w:val="21"/>
          <w:highlight w:val="none"/>
        </w:rPr>
        <w:t>恒温恒湿</w:t>
      </w:r>
      <w:r>
        <w:rPr>
          <w:rFonts w:hint="eastAsia"/>
          <w:color w:val="auto"/>
          <w:szCs w:val="21"/>
          <w:highlight w:val="none"/>
          <w:lang w:val="en-US" w:eastAsia="zh-CN"/>
        </w:rPr>
        <w:t>状态，项目在秋冬季设置</w:t>
      </w:r>
      <w:r>
        <w:rPr>
          <w:rFonts w:hint="eastAsia"/>
          <w:color w:val="auto"/>
          <w:highlight w:val="none"/>
          <w:lang w:val="en-US" w:eastAsia="zh-CN" w:bidi="he-IL"/>
        </w:rPr>
        <w:t>热水炉（按6个月计算）。在正常运行的情况下，由于汽水损失，使炉内循环水浓缩，需要定期排出一定量的高盐度废水。根据设计资料，热水炉每运行8h排放一次废水，每次排放5L，则本项目热水炉排水次数为450次（以150天，每天24h计），排水量为0.015m</w:t>
      </w:r>
      <w:r>
        <w:rPr>
          <w:rFonts w:hint="eastAsia"/>
          <w:color w:val="auto"/>
          <w:highlight w:val="none"/>
          <w:vertAlign w:val="superscript"/>
          <w:lang w:val="en-US" w:eastAsia="zh-CN" w:bidi="he-IL"/>
        </w:rPr>
        <w:t>3</w:t>
      </w:r>
      <w:r>
        <w:rPr>
          <w:rFonts w:hint="eastAsia"/>
          <w:color w:val="auto"/>
          <w:highlight w:val="none"/>
          <w:lang w:val="en-US" w:eastAsia="zh-CN" w:bidi="he-IL"/>
        </w:rPr>
        <w:t>/d（2.25m</w:t>
      </w:r>
      <w:r>
        <w:rPr>
          <w:rFonts w:hint="eastAsia"/>
          <w:color w:val="auto"/>
          <w:highlight w:val="none"/>
          <w:vertAlign w:val="superscript"/>
          <w:lang w:val="en-US" w:eastAsia="zh-CN" w:bidi="he-IL"/>
        </w:rPr>
        <w:t>3</w:t>
      </w:r>
      <w:r>
        <w:rPr>
          <w:rFonts w:hint="eastAsia"/>
          <w:color w:val="auto"/>
          <w:highlight w:val="none"/>
          <w:lang w:val="en-US" w:eastAsia="zh-CN" w:bidi="he-IL"/>
        </w:rPr>
        <w:t>/a）。</w:t>
      </w:r>
    </w:p>
    <w:p w14:paraId="628B02E7">
      <w:pPr>
        <w:pStyle w:val="441"/>
        <w:ind w:firstLine="480"/>
        <w:rPr>
          <w:rFonts w:hint="eastAsia"/>
          <w:color w:val="auto"/>
          <w:highlight w:val="none"/>
          <w:lang w:val="en-US" w:eastAsia="zh-CN" w:bidi="he-IL"/>
        </w:rPr>
      </w:pPr>
      <w:r>
        <w:rPr>
          <w:rFonts w:hint="eastAsia"/>
          <w:color w:val="auto"/>
          <w:highlight w:val="none"/>
          <w:lang w:val="en-US" w:eastAsia="zh-CN" w:bidi="he-IL"/>
        </w:rPr>
        <w:t>热水炉排污水水质较清洁，主要污染物为高浓度溶解性总固体（TDS）及少量COD，不含重金属及有毒有害物质。该废水经冷却降温后经厂区污水总排口接入市政污水管网。</w:t>
      </w:r>
    </w:p>
    <w:p w14:paraId="1F8A4CE8">
      <w:pPr>
        <w:pStyle w:val="441"/>
        <w:ind w:firstLine="480"/>
        <w:rPr>
          <w:color w:val="auto"/>
          <w:highlight w:val="none"/>
          <w:lang w:bidi="he-IL"/>
        </w:rPr>
      </w:pPr>
      <w:r>
        <w:rPr>
          <w:rFonts w:hint="eastAsia"/>
          <w:color w:val="auto"/>
          <w:highlight w:val="none"/>
          <w:lang w:val="en-US" w:eastAsia="zh-CN"/>
        </w:rPr>
        <w:t>全厂</w:t>
      </w:r>
      <w:r>
        <w:rPr>
          <w:color w:val="auto"/>
          <w:highlight w:val="none"/>
        </w:rPr>
        <w:t>用排</w:t>
      </w:r>
      <w:r>
        <w:rPr>
          <w:rFonts w:hint="eastAsia"/>
          <w:color w:val="auto"/>
          <w:highlight w:val="none"/>
          <w:lang w:val="en-US" w:eastAsia="zh-CN"/>
        </w:rPr>
        <w:t>水</w:t>
      </w:r>
      <w:r>
        <w:rPr>
          <w:color w:val="auto"/>
          <w:highlight w:val="none"/>
          <w:lang w:bidi="he-IL"/>
        </w:rPr>
        <w:t>情况见表3.3-1，水平衡图见图3.3-1。</w:t>
      </w:r>
    </w:p>
    <w:p w14:paraId="4DC2B714">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表3.3-1  </w:t>
      </w:r>
      <w:r>
        <w:rPr>
          <w:rFonts w:hint="default" w:ascii="Times New Roman" w:hAnsi="Times New Roman" w:cs="Times New Roman"/>
          <w:color w:val="auto"/>
          <w:highlight w:val="none"/>
          <w:lang w:val="en-US" w:eastAsia="zh-CN"/>
        </w:rPr>
        <w:t>全厂</w:t>
      </w:r>
      <w:r>
        <w:rPr>
          <w:rFonts w:hint="default" w:ascii="Times New Roman" w:hAnsi="Times New Roman" w:cs="Times New Roman"/>
          <w:color w:val="auto"/>
          <w:highlight w:val="none"/>
        </w:rPr>
        <w:t>用排</w:t>
      </w:r>
      <w:r>
        <w:rPr>
          <w:rFonts w:hint="default" w:ascii="Times New Roman" w:hAnsi="Times New Roman" w:cs="Times New Roman"/>
          <w:color w:val="auto"/>
          <w:highlight w:val="none"/>
          <w:lang w:val="en-US" w:eastAsia="zh-CN"/>
        </w:rPr>
        <w:t>水</w:t>
      </w:r>
      <w:r>
        <w:rPr>
          <w:rFonts w:hint="default" w:ascii="Times New Roman" w:hAnsi="Times New Roman" w:cs="Times New Roman"/>
          <w:color w:val="auto"/>
          <w:highlight w:val="none"/>
        </w:rPr>
        <w:t>情况一览表</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940"/>
        <w:gridCol w:w="2745"/>
        <w:gridCol w:w="2703"/>
      </w:tblGrid>
      <w:tr w14:paraId="5F91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8" w:type="dxa"/>
            <w:gridSpan w:val="2"/>
            <w:vMerge w:val="restart"/>
            <w:noWrap w:val="0"/>
            <w:vAlign w:val="center"/>
          </w:tcPr>
          <w:p w14:paraId="43DF8EE0">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类别</w:t>
            </w:r>
          </w:p>
        </w:tc>
        <w:tc>
          <w:tcPr>
            <w:tcW w:w="5448" w:type="dxa"/>
            <w:gridSpan w:val="2"/>
            <w:noWrap w:val="0"/>
            <w:vAlign w:val="center"/>
          </w:tcPr>
          <w:p w14:paraId="33237F43">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水量</w:t>
            </w:r>
          </w:p>
        </w:tc>
      </w:tr>
      <w:tr w14:paraId="7E85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8" w:type="dxa"/>
            <w:gridSpan w:val="2"/>
            <w:vMerge w:val="continue"/>
            <w:noWrap w:val="0"/>
            <w:vAlign w:val="center"/>
          </w:tcPr>
          <w:p w14:paraId="412FC3E6">
            <w:pPr>
              <w:pStyle w:val="1358"/>
              <w:ind w:firstLine="0" w:firstLineChars="0"/>
              <w:jc w:val="center"/>
              <w:rPr>
                <w:rFonts w:hint="eastAsia" w:ascii="Times New Roman" w:hAnsi="Times New Roman" w:eastAsia="宋体" w:cs="Times New Roman"/>
                <w:color w:val="auto"/>
                <w:highlight w:val="none"/>
                <w:lang w:val="en-US" w:eastAsia="zh-CN"/>
              </w:rPr>
            </w:pPr>
          </w:p>
        </w:tc>
        <w:tc>
          <w:tcPr>
            <w:tcW w:w="2745" w:type="dxa"/>
            <w:noWrap w:val="0"/>
            <w:vAlign w:val="center"/>
          </w:tcPr>
          <w:p w14:paraId="28FCF2FC">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/d</w:t>
            </w:r>
          </w:p>
        </w:tc>
        <w:tc>
          <w:tcPr>
            <w:tcW w:w="2703" w:type="dxa"/>
            <w:noWrap w:val="0"/>
            <w:vAlign w:val="center"/>
          </w:tcPr>
          <w:p w14:paraId="78571166">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color w:val="auto"/>
                <w:highlight w:val="none"/>
                <w:lang w:val="en-US" w:eastAsia="zh-CN" w:bidi="he-IL"/>
              </w:rPr>
              <w:t>m</w:t>
            </w:r>
            <w:r>
              <w:rPr>
                <w:rFonts w:hint="eastAsia"/>
                <w:color w:val="auto"/>
                <w:highlight w:val="none"/>
                <w:vertAlign w:val="superscript"/>
                <w:lang w:val="en-US" w:eastAsia="zh-CN" w:bidi="he-IL"/>
              </w:rPr>
              <w:t>3</w:t>
            </w:r>
            <w:r>
              <w:rPr>
                <w:rFonts w:hint="eastAsia"/>
                <w:color w:val="auto"/>
                <w:highlight w:val="none"/>
                <w:lang w:val="en-US" w:eastAsia="zh-CN" w:bidi="he-IL"/>
              </w:rPr>
              <w:t>/a</w:t>
            </w:r>
          </w:p>
        </w:tc>
      </w:tr>
      <w:tr w14:paraId="35E8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restart"/>
            <w:noWrap w:val="0"/>
            <w:vAlign w:val="center"/>
          </w:tcPr>
          <w:p w14:paraId="5886A84F">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用水</w:t>
            </w:r>
          </w:p>
        </w:tc>
        <w:tc>
          <w:tcPr>
            <w:tcW w:w="2940" w:type="dxa"/>
            <w:noWrap w:val="0"/>
            <w:vAlign w:val="center"/>
          </w:tcPr>
          <w:p w14:paraId="35D40D40">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总用水量</w:t>
            </w:r>
          </w:p>
        </w:tc>
        <w:tc>
          <w:tcPr>
            <w:tcW w:w="2745" w:type="dxa"/>
            <w:noWrap w:val="0"/>
            <w:vAlign w:val="center"/>
          </w:tcPr>
          <w:p w14:paraId="122EF40E">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10395.223</w:t>
            </w:r>
          </w:p>
        </w:tc>
        <w:tc>
          <w:tcPr>
            <w:tcW w:w="2703" w:type="dxa"/>
            <w:noWrap w:val="0"/>
            <w:vAlign w:val="center"/>
          </w:tcPr>
          <w:p w14:paraId="4A1C0184">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3018365.7</w:t>
            </w:r>
          </w:p>
        </w:tc>
      </w:tr>
      <w:tr w14:paraId="5D9D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18095E77">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20CE0BD1">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其中：（1）新鲜水用量</w:t>
            </w:r>
          </w:p>
        </w:tc>
        <w:tc>
          <w:tcPr>
            <w:tcW w:w="2745" w:type="dxa"/>
            <w:noWrap w:val="0"/>
            <w:vAlign w:val="center"/>
          </w:tcPr>
          <w:p w14:paraId="1A21878A">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151.023</w:t>
            </w:r>
          </w:p>
        </w:tc>
        <w:tc>
          <w:tcPr>
            <w:tcW w:w="2703" w:type="dxa"/>
            <w:noWrap w:val="0"/>
            <w:vAlign w:val="center"/>
          </w:tcPr>
          <w:p w14:paraId="7A9B73F7">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44585.7</w:t>
            </w:r>
          </w:p>
        </w:tc>
      </w:tr>
      <w:tr w14:paraId="6506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4D4AB89D">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54761096">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①注塑冷却水</w:t>
            </w:r>
          </w:p>
        </w:tc>
        <w:tc>
          <w:tcPr>
            <w:tcW w:w="2745" w:type="dxa"/>
            <w:noWrap w:val="0"/>
            <w:vAlign w:val="center"/>
          </w:tcPr>
          <w:p w14:paraId="0B013EFE">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36</w:t>
            </w:r>
          </w:p>
        </w:tc>
        <w:tc>
          <w:tcPr>
            <w:tcW w:w="2703" w:type="dxa"/>
            <w:noWrap w:val="0"/>
            <w:vAlign w:val="center"/>
          </w:tcPr>
          <w:p w14:paraId="1CA1D758">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10800</w:t>
            </w:r>
          </w:p>
        </w:tc>
      </w:tr>
      <w:tr w14:paraId="2827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4095A66E">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3733EB6E">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②涂装生产线冷却水</w:t>
            </w:r>
          </w:p>
        </w:tc>
        <w:tc>
          <w:tcPr>
            <w:tcW w:w="2745" w:type="dxa"/>
            <w:noWrap w:val="0"/>
            <w:vAlign w:val="center"/>
          </w:tcPr>
          <w:p w14:paraId="48C5915E">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w:t>
            </w:r>
          </w:p>
        </w:tc>
        <w:tc>
          <w:tcPr>
            <w:tcW w:w="2703" w:type="dxa"/>
            <w:noWrap w:val="0"/>
            <w:vAlign w:val="center"/>
          </w:tcPr>
          <w:p w14:paraId="6BD93BC4">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32400</w:t>
            </w:r>
          </w:p>
        </w:tc>
      </w:tr>
      <w:tr w14:paraId="0A69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7C315AEE">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31B249B9">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③换热器冷却水</w:t>
            </w:r>
          </w:p>
        </w:tc>
        <w:tc>
          <w:tcPr>
            <w:tcW w:w="2745" w:type="dxa"/>
            <w:noWrap w:val="0"/>
            <w:vAlign w:val="center"/>
          </w:tcPr>
          <w:p w14:paraId="00B08CB6">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0.375</w:t>
            </w:r>
          </w:p>
        </w:tc>
        <w:tc>
          <w:tcPr>
            <w:tcW w:w="2703" w:type="dxa"/>
            <w:noWrap w:val="0"/>
            <w:vAlign w:val="center"/>
          </w:tcPr>
          <w:p w14:paraId="0B8BA4B3">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13.5</w:t>
            </w:r>
          </w:p>
        </w:tc>
      </w:tr>
      <w:tr w14:paraId="686C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341B8F14">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shd w:val="clear" w:color="auto" w:fill="auto"/>
            <w:noWrap w:val="0"/>
            <w:vAlign w:val="center"/>
          </w:tcPr>
          <w:p w14:paraId="1353299F">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④纯水制备水</w:t>
            </w:r>
          </w:p>
        </w:tc>
        <w:tc>
          <w:tcPr>
            <w:tcW w:w="2745" w:type="dxa"/>
            <w:shd w:val="clear" w:color="auto" w:fill="auto"/>
            <w:noWrap w:val="0"/>
            <w:vAlign w:val="center"/>
          </w:tcPr>
          <w:p w14:paraId="33655849">
            <w:pPr>
              <w:pStyle w:val="1358"/>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4.148</w:t>
            </w:r>
          </w:p>
        </w:tc>
        <w:tc>
          <w:tcPr>
            <w:tcW w:w="2703" w:type="dxa"/>
            <w:shd w:val="clear" w:color="auto" w:fill="auto"/>
            <w:noWrap w:val="0"/>
            <w:vAlign w:val="center"/>
          </w:tcPr>
          <w:p w14:paraId="340D8D43">
            <w:pPr>
              <w:pStyle w:val="1358"/>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622.2</w:t>
            </w:r>
          </w:p>
        </w:tc>
      </w:tr>
      <w:tr w14:paraId="3B87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7C86CA92">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5BE4874A">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⑤生活用水</w:t>
            </w:r>
          </w:p>
        </w:tc>
        <w:tc>
          <w:tcPr>
            <w:tcW w:w="2745" w:type="dxa"/>
            <w:noWrap w:val="0"/>
            <w:vAlign w:val="center"/>
          </w:tcPr>
          <w:p w14:paraId="3A8ED41A">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2.5</w:t>
            </w:r>
          </w:p>
        </w:tc>
        <w:tc>
          <w:tcPr>
            <w:tcW w:w="2703" w:type="dxa"/>
            <w:noWrap w:val="0"/>
            <w:vAlign w:val="center"/>
          </w:tcPr>
          <w:p w14:paraId="634D2FF7">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750</w:t>
            </w:r>
          </w:p>
        </w:tc>
      </w:tr>
      <w:tr w14:paraId="1437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06E1274E">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384ABE50">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（2）循环水量</w:t>
            </w:r>
          </w:p>
        </w:tc>
        <w:tc>
          <w:tcPr>
            <w:tcW w:w="2745" w:type="dxa"/>
            <w:noWrap w:val="0"/>
            <w:vAlign w:val="center"/>
          </w:tcPr>
          <w:p w14:paraId="2727BBEF">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10244.2</w:t>
            </w:r>
          </w:p>
        </w:tc>
        <w:tc>
          <w:tcPr>
            <w:tcW w:w="2703" w:type="dxa"/>
            <w:noWrap w:val="0"/>
            <w:vAlign w:val="center"/>
          </w:tcPr>
          <w:p w14:paraId="2B2AE1EB">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2973780</w:t>
            </w:r>
          </w:p>
        </w:tc>
      </w:tr>
      <w:tr w14:paraId="788B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1EE262CE">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30C8CF46">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①注塑循环水</w:t>
            </w:r>
          </w:p>
        </w:tc>
        <w:tc>
          <w:tcPr>
            <w:tcW w:w="2745" w:type="dxa"/>
            <w:noWrap w:val="0"/>
            <w:vAlign w:val="center"/>
          </w:tcPr>
          <w:p w14:paraId="5BE1850C">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2400</w:t>
            </w:r>
          </w:p>
        </w:tc>
        <w:tc>
          <w:tcPr>
            <w:tcW w:w="2703" w:type="dxa"/>
            <w:noWrap w:val="0"/>
            <w:vAlign w:val="center"/>
          </w:tcPr>
          <w:p w14:paraId="187255FE">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720000</w:t>
            </w:r>
          </w:p>
        </w:tc>
      </w:tr>
      <w:tr w14:paraId="3221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1961E20E">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323949C2">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②涂装生产线循环水</w:t>
            </w:r>
          </w:p>
        </w:tc>
        <w:tc>
          <w:tcPr>
            <w:tcW w:w="2745" w:type="dxa"/>
            <w:noWrap w:val="0"/>
            <w:vAlign w:val="center"/>
          </w:tcPr>
          <w:p w14:paraId="48FDC15B">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7200</w:t>
            </w:r>
          </w:p>
        </w:tc>
        <w:tc>
          <w:tcPr>
            <w:tcW w:w="2703" w:type="dxa"/>
            <w:noWrap w:val="0"/>
            <w:vAlign w:val="center"/>
          </w:tcPr>
          <w:p w14:paraId="1799EC69">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2160000</w:t>
            </w:r>
          </w:p>
        </w:tc>
      </w:tr>
      <w:tr w14:paraId="7406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5DC69665">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shd w:val="clear" w:color="auto" w:fill="auto"/>
            <w:noWrap w:val="0"/>
            <w:vAlign w:val="center"/>
          </w:tcPr>
          <w:p w14:paraId="78E21D66">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③换热器循环水水</w:t>
            </w:r>
          </w:p>
        </w:tc>
        <w:tc>
          <w:tcPr>
            <w:tcW w:w="2745" w:type="dxa"/>
            <w:noWrap w:val="0"/>
            <w:vAlign w:val="center"/>
          </w:tcPr>
          <w:p w14:paraId="7EE3C023">
            <w:pPr>
              <w:pStyle w:val="1358"/>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25</w:t>
            </w:r>
          </w:p>
        </w:tc>
        <w:tc>
          <w:tcPr>
            <w:tcW w:w="2703" w:type="dxa"/>
            <w:noWrap w:val="0"/>
            <w:vAlign w:val="center"/>
          </w:tcPr>
          <w:p w14:paraId="31497220">
            <w:pPr>
              <w:pStyle w:val="1358"/>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900</w:t>
            </w:r>
          </w:p>
        </w:tc>
      </w:tr>
      <w:tr w14:paraId="2353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4CFB1DE5">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shd w:val="clear" w:color="auto" w:fill="auto"/>
            <w:noWrap w:val="0"/>
            <w:vAlign w:val="center"/>
          </w:tcPr>
          <w:p w14:paraId="4D45FB7C">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④热水炉循环水</w:t>
            </w:r>
          </w:p>
        </w:tc>
        <w:tc>
          <w:tcPr>
            <w:tcW w:w="2745" w:type="dxa"/>
            <w:noWrap w:val="0"/>
            <w:vAlign w:val="center"/>
          </w:tcPr>
          <w:p w14:paraId="1D8DF615">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619.2 </w:t>
            </w:r>
          </w:p>
        </w:tc>
        <w:tc>
          <w:tcPr>
            <w:tcW w:w="2703" w:type="dxa"/>
            <w:noWrap w:val="0"/>
            <w:vAlign w:val="center"/>
          </w:tcPr>
          <w:p w14:paraId="7614E837">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92880.0 </w:t>
            </w:r>
          </w:p>
        </w:tc>
      </w:tr>
      <w:tr w14:paraId="7332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094A2C90">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01F15FDB">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循环水利用率</w:t>
            </w:r>
          </w:p>
        </w:tc>
        <w:tc>
          <w:tcPr>
            <w:tcW w:w="5448" w:type="dxa"/>
            <w:gridSpan w:val="2"/>
            <w:noWrap w:val="0"/>
            <w:vAlign w:val="center"/>
          </w:tcPr>
          <w:p w14:paraId="67A6FAAA">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98.55%</w:t>
            </w:r>
          </w:p>
        </w:tc>
      </w:tr>
      <w:tr w14:paraId="3FD6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restart"/>
            <w:noWrap w:val="0"/>
            <w:vAlign w:val="center"/>
          </w:tcPr>
          <w:p w14:paraId="04292821">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损耗</w:t>
            </w:r>
          </w:p>
        </w:tc>
        <w:tc>
          <w:tcPr>
            <w:tcW w:w="2940" w:type="dxa"/>
            <w:noWrap w:val="0"/>
            <w:vAlign w:val="center"/>
          </w:tcPr>
          <w:p w14:paraId="7A8AA902">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损耗水量</w:t>
            </w:r>
          </w:p>
        </w:tc>
        <w:tc>
          <w:tcPr>
            <w:tcW w:w="2745" w:type="dxa"/>
            <w:noWrap w:val="0"/>
            <w:vAlign w:val="center"/>
          </w:tcPr>
          <w:p w14:paraId="3B801CF1">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147.971</w:t>
            </w:r>
          </w:p>
        </w:tc>
        <w:tc>
          <w:tcPr>
            <w:tcW w:w="2703" w:type="dxa"/>
            <w:noWrap w:val="0"/>
            <w:vAlign w:val="center"/>
          </w:tcPr>
          <w:p w14:paraId="47D1B99E">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43827.9</w:t>
            </w:r>
          </w:p>
        </w:tc>
      </w:tr>
      <w:tr w14:paraId="6AF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24A0F298">
            <w:pPr>
              <w:pStyle w:val="1358"/>
              <w:ind w:firstLine="0" w:firstLineChars="0"/>
              <w:jc w:val="center"/>
              <w:rPr>
                <w:rFonts w:hint="eastAsia" w:ascii="Times New Roman" w:hAnsi="Times New Roman" w:eastAsia="宋体" w:cs="Times New Roman"/>
                <w:color w:val="auto"/>
                <w:highlight w:val="none"/>
                <w:lang w:val="en-US" w:eastAsia="zh-CN"/>
              </w:rPr>
            </w:pPr>
          </w:p>
        </w:tc>
        <w:tc>
          <w:tcPr>
            <w:tcW w:w="2940" w:type="dxa"/>
            <w:noWrap w:val="0"/>
            <w:vAlign w:val="center"/>
          </w:tcPr>
          <w:p w14:paraId="13F41965">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①注塑损耗水</w:t>
            </w:r>
          </w:p>
        </w:tc>
        <w:tc>
          <w:tcPr>
            <w:tcW w:w="2745" w:type="dxa"/>
            <w:noWrap w:val="0"/>
            <w:vAlign w:val="center"/>
          </w:tcPr>
          <w:p w14:paraId="5047F725">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36</w:t>
            </w:r>
          </w:p>
        </w:tc>
        <w:tc>
          <w:tcPr>
            <w:tcW w:w="2703" w:type="dxa"/>
            <w:noWrap w:val="0"/>
            <w:vAlign w:val="center"/>
          </w:tcPr>
          <w:p w14:paraId="34E7A42F">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10800</w:t>
            </w:r>
          </w:p>
        </w:tc>
      </w:tr>
      <w:tr w14:paraId="6A1E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6380E80C">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224A89A6">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②涂装生产线损耗水</w:t>
            </w:r>
          </w:p>
        </w:tc>
        <w:tc>
          <w:tcPr>
            <w:tcW w:w="2745" w:type="dxa"/>
            <w:noWrap w:val="0"/>
            <w:vAlign w:val="center"/>
          </w:tcPr>
          <w:p w14:paraId="0233A197">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108</w:t>
            </w:r>
          </w:p>
        </w:tc>
        <w:tc>
          <w:tcPr>
            <w:tcW w:w="2703" w:type="dxa"/>
            <w:noWrap w:val="0"/>
            <w:vAlign w:val="center"/>
          </w:tcPr>
          <w:p w14:paraId="332DD8E7">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32400</w:t>
            </w:r>
          </w:p>
        </w:tc>
      </w:tr>
      <w:tr w14:paraId="472A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7848A3DB">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1BFA7DDB">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③换热器损耗水</w:t>
            </w:r>
          </w:p>
        </w:tc>
        <w:tc>
          <w:tcPr>
            <w:tcW w:w="2745" w:type="dxa"/>
            <w:noWrap w:val="0"/>
            <w:vAlign w:val="center"/>
          </w:tcPr>
          <w:p w14:paraId="696EDC1E">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0.375</w:t>
            </w:r>
          </w:p>
        </w:tc>
        <w:tc>
          <w:tcPr>
            <w:tcW w:w="2703" w:type="dxa"/>
            <w:noWrap w:val="0"/>
            <w:vAlign w:val="center"/>
          </w:tcPr>
          <w:p w14:paraId="0A00F840">
            <w:pPr>
              <w:pStyle w:val="1358"/>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13.5</w:t>
            </w:r>
          </w:p>
        </w:tc>
      </w:tr>
      <w:tr w14:paraId="53B3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7A70A30D">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0F5A913D">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④</w:t>
            </w:r>
            <w:r>
              <w:rPr>
                <w:rFonts w:hint="eastAsia"/>
                <w:color w:val="auto"/>
                <w:highlight w:val="none"/>
                <w:lang w:val="en-US" w:eastAsia="zh-CN" w:bidi="he-IL"/>
              </w:rPr>
              <w:t>热水炉</w:t>
            </w:r>
            <w:r>
              <w:rPr>
                <w:rFonts w:hint="eastAsia" w:ascii="Times New Roman" w:hAnsi="Times New Roman" w:eastAsia="宋体" w:cs="Times New Roman"/>
                <w:color w:val="auto"/>
                <w:highlight w:val="none"/>
                <w:lang w:val="en-US" w:eastAsia="zh-CN"/>
              </w:rPr>
              <w:t>损耗水</w:t>
            </w:r>
          </w:p>
        </w:tc>
        <w:tc>
          <w:tcPr>
            <w:tcW w:w="2745" w:type="dxa"/>
            <w:noWrap w:val="0"/>
            <w:vAlign w:val="center"/>
          </w:tcPr>
          <w:p w14:paraId="363D23F2">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3.096</w:t>
            </w:r>
          </w:p>
        </w:tc>
        <w:tc>
          <w:tcPr>
            <w:tcW w:w="2703" w:type="dxa"/>
            <w:noWrap w:val="0"/>
            <w:vAlign w:val="center"/>
          </w:tcPr>
          <w:p w14:paraId="6A6AD5C9">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464.4</w:t>
            </w:r>
          </w:p>
        </w:tc>
      </w:tr>
      <w:tr w14:paraId="6ABB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65C98486">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14C51FE6">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⑤</w:t>
            </w:r>
            <w:r>
              <w:rPr>
                <w:rFonts w:hint="eastAsia" w:ascii="Times New Roman" w:hAnsi="Times New Roman" w:eastAsia="宋体" w:cs="Times New Roman"/>
                <w:color w:val="auto"/>
                <w:highlight w:val="none"/>
                <w:lang w:val="en-US" w:eastAsia="zh-CN"/>
              </w:rPr>
              <w:t>生活损耗水</w:t>
            </w:r>
          </w:p>
        </w:tc>
        <w:tc>
          <w:tcPr>
            <w:tcW w:w="2745" w:type="dxa"/>
            <w:noWrap w:val="0"/>
            <w:vAlign w:val="center"/>
          </w:tcPr>
          <w:p w14:paraId="228FAA42">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2703" w:type="dxa"/>
            <w:noWrap w:val="0"/>
            <w:vAlign w:val="center"/>
          </w:tcPr>
          <w:p w14:paraId="7A81927F">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150</w:t>
            </w:r>
          </w:p>
        </w:tc>
      </w:tr>
      <w:tr w14:paraId="76D2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restart"/>
            <w:noWrap w:val="0"/>
            <w:vAlign w:val="center"/>
          </w:tcPr>
          <w:p w14:paraId="78B355AE">
            <w:pPr>
              <w:pStyle w:val="1358"/>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排水</w:t>
            </w:r>
          </w:p>
        </w:tc>
        <w:tc>
          <w:tcPr>
            <w:tcW w:w="2940" w:type="dxa"/>
            <w:noWrap w:val="0"/>
            <w:vAlign w:val="center"/>
          </w:tcPr>
          <w:p w14:paraId="6055368D">
            <w:pPr>
              <w:pStyle w:val="1358"/>
              <w:ind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总排水量</w:t>
            </w:r>
          </w:p>
        </w:tc>
        <w:tc>
          <w:tcPr>
            <w:tcW w:w="2745" w:type="dxa"/>
            <w:noWrap w:val="0"/>
            <w:vAlign w:val="center"/>
          </w:tcPr>
          <w:p w14:paraId="6B97F38D">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3.052</w:t>
            </w:r>
          </w:p>
        </w:tc>
        <w:tc>
          <w:tcPr>
            <w:tcW w:w="2703" w:type="dxa"/>
            <w:noWrap w:val="0"/>
            <w:vAlign w:val="center"/>
          </w:tcPr>
          <w:p w14:paraId="48275A87">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757.8</w:t>
            </w:r>
          </w:p>
        </w:tc>
      </w:tr>
      <w:tr w14:paraId="7401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68BEC399">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269F8302">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w:t>
            </w:r>
            <w:r>
              <w:rPr>
                <w:rFonts w:hint="eastAsia"/>
                <w:color w:val="auto"/>
                <w:highlight w:val="none"/>
                <w:lang w:val="en-US" w:eastAsia="zh-CN" w:bidi="he-IL"/>
              </w:rPr>
              <w:t>热水炉</w:t>
            </w:r>
            <w:r>
              <w:rPr>
                <w:rFonts w:hint="eastAsia" w:ascii="Times New Roman" w:hAnsi="Times New Roman" w:eastAsia="宋体" w:cs="Times New Roman"/>
                <w:color w:val="auto"/>
                <w:highlight w:val="none"/>
                <w:lang w:val="en-US" w:eastAsia="zh-CN"/>
              </w:rPr>
              <w:t>排污水</w:t>
            </w:r>
          </w:p>
        </w:tc>
        <w:tc>
          <w:tcPr>
            <w:tcW w:w="2745" w:type="dxa"/>
            <w:noWrap w:val="0"/>
            <w:vAlign w:val="center"/>
          </w:tcPr>
          <w:p w14:paraId="335AF853">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0.015</w:t>
            </w:r>
          </w:p>
        </w:tc>
        <w:tc>
          <w:tcPr>
            <w:tcW w:w="2703" w:type="dxa"/>
            <w:noWrap w:val="0"/>
            <w:vAlign w:val="center"/>
          </w:tcPr>
          <w:p w14:paraId="3242E473">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2.25</w:t>
            </w:r>
          </w:p>
        </w:tc>
      </w:tr>
      <w:tr w14:paraId="0102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29D714C6">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18C2A6FB">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②反渗透浓水</w:t>
            </w:r>
          </w:p>
        </w:tc>
        <w:tc>
          <w:tcPr>
            <w:tcW w:w="2745" w:type="dxa"/>
            <w:noWrap w:val="0"/>
            <w:vAlign w:val="center"/>
          </w:tcPr>
          <w:p w14:paraId="6649A2E6">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1.037</w:t>
            </w:r>
          </w:p>
        </w:tc>
        <w:tc>
          <w:tcPr>
            <w:tcW w:w="2703" w:type="dxa"/>
            <w:noWrap w:val="0"/>
            <w:vAlign w:val="center"/>
          </w:tcPr>
          <w:p w14:paraId="0B1E454A">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155.55</w:t>
            </w:r>
          </w:p>
        </w:tc>
      </w:tr>
      <w:tr w14:paraId="727C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8" w:type="dxa"/>
            <w:vMerge w:val="continue"/>
            <w:noWrap w:val="0"/>
            <w:vAlign w:val="center"/>
          </w:tcPr>
          <w:p w14:paraId="1B655E91">
            <w:pPr>
              <w:pStyle w:val="1358"/>
              <w:ind w:firstLine="0" w:firstLineChars="0"/>
              <w:jc w:val="both"/>
              <w:rPr>
                <w:rFonts w:hint="eastAsia" w:ascii="Times New Roman" w:hAnsi="Times New Roman" w:eastAsia="宋体" w:cs="Times New Roman"/>
                <w:color w:val="auto"/>
                <w:highlight w:val="none"/>
                <w:lang w:val="en-US" w:eastAsia="zh-CN"/>
              </w:rPr>
            </w:pPr>
          </w:p>
        </w:tc>
        <w:tc>
          <w:tcPr>
            <w:tcW w:w="2940" w:type="dxa"/>
            <w:noWrap w:val="0"/>
            <w:vAlign w:val="center"/>
          </w:tcPr>
          <w:p w14:paraId="509792EA">
            <w:pPr>
              <w:pStyle w:val="1358"/>
              <w:ind w:firstLine="0" w:firstLineChars="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③生活废水</w:t>
            </w:r>
          </w:p>
        </w:tc>
        <w:tc>
          <w:tcPr>
            <w:tcW w:w="2745" w:type="dxa"/>
            <w:noWrap w:val="0"/>
            <w:vAlign w:val="center"/>
          </w:tcPr>
          <w:p w14:paraId="346014EF">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p>
        </w:tc>
        <w:tc>
          <w:tcPr>
            <w:tcW w:w="2703" w:type="dxa"/>
            <w:noWrap w:val="0"/>
            <w:vAlign w:val="center"/>
          </w:tcPr>
          <w:p w14:paraId="0C2061D2">
            <w:pPr>
              <w:pStyle w:val="1358"/>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600</w:t>
            </w:r>
          </w:p>
        </w:tc>
      </w:tr>
    </w:tbl>
    <w:p w14:paraId="0F3497B5">
      <w:pPr>
        <w:bidi w:val="0"/>
        <w:rPr>
          <w:rFonts w:hint="default"/>
          <w:color w:val="auto"/>
          <w:highlight w:val="none"/>
        </w:rPr>
      </w:pPr>
    </w:p>
    <w:p w14:paraId="78B83A98">
      <w:pPr>
        <w:ind w:left="0" w:leftChars="0" w:firstLine="0" w:firstLineChars="0"/>
        <w:jc w:val="left"/>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749925" cy="4134485"/>
            <wp:effectExtent l="0" t="0" r="3175" b="18415"/>
            <wp:docPr id="29" name="图片 29" descr="水平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水平衡"/>
                    <pic:cNvPicPr>
                      <a:picLocks noChangeAspect="1"/>
                    </pic:cNvPicPr>
                  </pic:nvPicPr>
                  <pic:blipFill>
                    <a:blip r:embed="rId44"/>
                    <a:stretch>
                      <a:fillRect/>
                    </a:stretch>
                  </pic:blipFill>
                  <pic:spPr>
                    <a:xfrm>
                      <a:off x="0" y="0"/>
                      <a:ext cx="5749925" cy="4134485"/>
                    </a:xfrm>
                    <a:prstGeom prst="rect">
                      <a:avLst/>
                    </a:prstGeom>
                  </pic:spPr>
                </pic:pic>
              </a:graphicData>
            </a:graphic>
          </wp:inline>
        </w:drawing>
      </w:r>
    </w:p>
    <w:p w14:paraId="54BEF4BA">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图3.3-</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全厂</w:t>
      </w:r>
      <w:r>
        <w:rPr>
          <w:rFonts w:hint="default" w:ascii="Times New Roman" w:hAnsi="Times New Roman" w:cs="Times New Roman"/>
          <w:color w:val="auto"/>
          <w:highlight w:val="none"/>
        </w:rPr>
        <w:t>水平衡图 单位：t/</w:t>
      </w:r>
      <w:r>
        <w:rPr>
          <w:rFonts w:hint="default" w:ascii="Times New Roman" w:hAnsi="Times New Roman" w:cs="Times New Roman"/>
          <w:color w:val="auto"/>
          <w:highlight w:val="none"/>
          <w:lang w:val="en-US" w:eastAsia="zh-CN"/>
        </w:rPr>
        <w:t>d</w:t>
      </w:r>
    </w:p>
    <w:p w14:paraId="629F41BE">
      <w:pPr>
        <w:pStyle w:val="4"/>
        <w:keepNext/>
        <w:keepLines/>
        <w:pageBreakBefore w:val="0"/>
        <w:widowControl w:val="0"/>
        <w:numPr>
          <w:ilvl w:val="2"/>
          <w:numId w:val="0"/>
        </w:numPr>
        <w:tabs>
          <w:tab w:val="clear" w:pos="720"/>
        </w:tabs>
        <w:kinsoku/>
        <w:wordWrap/>
        <w:overflowPunct/>
        <w:topLinePunct w:val="0"/>
        <w:autoSpaceDE/>
        <w:autoSpaceDN/>
        <w:bidi w:val="0"/>
        <w:adjustRightInd/>
        <w:snapToGrid/>
        <w:textAlignment w:val="auto"/>
        <w:outlineLvl w:val="2"/>
        <w:rPr>
          <w:rFonts w:hint="eastAsia"/>
          <w:color w:val="auto"/>
          <w:highlight w:val="none"/>
          <w:lang w:val="en-US" w:eastAsia="zh-CN"/>
        </w:rPr>
      </w:pPr>
      <w:bookmarkStart w:id="344" w:name="_Toc10523"/>
      <w:r>
        <w:rPr>
          <w:rFonts w:hint="eastAsia"/>
          <w:color w:val="auto"/>
          <w:highlight w:val="none"/>
          <w:lang w:val="en-US" w:eastAsia="zh-CN"/>
        </w:rPr>
        <w:t>3.3.2物料平衡</w:t>
      </w:r>
      <w:bookmarkEnd w:id="344"/>
    </w:p>
    <w:p w14:paraId="5E30385A">
      <w:pPr>
        <w:pStyle w:val="1319"/>
        <w:ind w:firstLine="480"/>
        <w:rPr>
          <w:rFonts w:hint="eastAsia"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 xml:space="preserve">（1）注塑线物料平衡 </w:t>
      </w:r>
    </w:p>
    <w:p w14:paraId="398A8F69">
      <w:pPr>
        <w:pStyle w:val="1319"/>
        <w:ind w:firstLine="480"/>
        <w:rPr>
          <w:rFonts w:hint="eastAsia"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注塑工序不合格品和边角废料经粉碎后回用于生产，注塑线物料平衡见下表。</w:t>
      </w:r>
    </w:p>
    <w:p w14:paraId="47D4D970">
      <w:pPr>
        <w:pStyle w:val="8"/>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表</w:t>
      </w:r>
      <w:r>
        <w:rPr>
          <w:rFonts w:hint="eastAsia" w:cs="Times New Roman"/>
          <w:color w:val="auto"/>
          <w:highlight w:val="none"/>
          <w:lang w:val="en-US" w:eastAsia="zh-CN"/>
        </w:rPr>
        <w:t xml:space="preserve">3.3-2  </w:t>
      </w:r>
      <w:r>
        <w:rPr>
          <w:rFonts w:hint="eastAsia" w:ascii="Times New Roman" w:hAnsi="Times New Roman" w:cs="Times New Roman"/>
          <w:color w:val="auto"/>
          <w:highlight w:val="none"/>
          <w:lang w:val="en-US" w:eastAsia="zh-CN"/>
        </w:rPr>
        <w:t>本项目注塑线物料平衡表</w:t>
      </w:r>
    </w:p>
    <w:tbl>
      <w:tblPr>
        <w:tblStyle w:val="80"/>
        <w:tblW w:w="9059"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799"/>
        <w:gridCol w:w="1425"/>
        <w:gridCol w:w="1020"/>
        <w:gridCol w:w="3465"/>
        <w:gridCol w:w="1350"/>
      </w:tblGrid>
      <w:tr w14:paraId="165DA4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340" w:hRule="atLeast"/>
        </w:trPr>
        <w:tc>
          <w:tcPr>
            <w:tcW w:w="3224" w:type="dxa"/>
            <w:gridSpan w:val="2"/>
            <w:tcBorders>
              <w:tl2br w:val="nil"/>
              <w:tr2bl w:val="nil"/>
            </w:tcBorders>
            <w:shd w:val="clear" w:color="auto" w:fill="auto"/>
            <w:vAlign w:val="center"/>
          </w:tcPr>
          <w:p w14:paraId="4A75272B">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输入</w:t>
            </w:r>
          </w:p>
        </w:tc>
        <w:tc>
          <w:tcPr>
            <w:tcW w:w="5835" w:type="dxa"/>
            <w:gridSpan w:val="3"/>
            <w:tcBorders>
              <w:tl2br w:val="nil"/>
              <w:tr2bl w:val="nil"/>
            </w:tcBorders>
            <w:shd w:val="clear" w:color="auto" w:fill="auto"/>
            <w:vAlign w:val="center"/>
          </w:tcPr>
          <w:p w14:paraId="277499F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输出</w:t>
            </w:r>
          </w:p>
        </w:tc>
      </w:tr>
      <w:tr w14:paraId="38C3E9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6968048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物料</w:t>
            </w:r>
          </w:p>
        </w:tc>
        <w:tc>
          <w:tcPr>
            <w:tcW w:w="1425" w:type="dxa"/>
            <w:tcBorders>
              <w:tl2br w:val="nil"/>
              <w:tr2bl w:val="nil"/>
            </w:tcBorders>
            <w:shd w:val="clear" w:color="auto" w:fill="auto"/>
            <w:vAlign w:val="center"/>
          </w:tcPr>
          <w:p w14:paraId="59252D9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投入量</w:t>
            </w:r>
            <w:r>
              <w:rPr>
                <w:rFonts w:hint="default" w:ascii="Times New Roman" w:hAnsi="Times New Roman" w:eastAsia="宋体" w:cs="Times New Roman"/>
                <w:color w:val="auto"/>
                <w:highlight w:val="none"/>
                <w:lang w:val="en-US" w:eastAsia="zh-CN"/>
              </w:rPr>
              <w:t>t/a</w:t>
            </w:r>
          </w:p>
        </w:tc>
        <w:tc>
          <w:tcPr>
            <w:tcW w:w="4485" w:type="dxa"/>
            <w:gridSpan w:val="2"/>
            <w:tcBorders>
              <w:tl2br w:val="nil"/>
              <w:tr2bl w:val="nil"/>
            </w:tcBorders>
            <w:shd w:val="clear" w:color="auto" w:fill="auto"/>
            <w:vAlign w:val="center"/>
          </w:tcPr>
          <w:p w14:paraId="30C1BA14">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物料</w:t>
            </w:r>
          </w:p>
        </w:tc>
        <w:tc>
          <w:tcPr>
            <w:tcW w:w="1350" w:type="dxa"/>
            <w:tcBorders>
              <w:tl2br w:val="nil"/>
              <w:tr2bl w:val="nil"/>
            </w:tcBorders>
            <w:shd w:val="clear" w:color="auto" w:fill="auto"/>
            <w:vAlign w:val="center"/>
          </w:tcPr>
          <w:p w14:paraId="3C912CA7">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产出量</w:t>
            </w:r>
            <w:r>
              <w:rPr>
                <w:rFonts w:hint="default" w:ascii="Times New Roman" w:hAnsi="Times New Roman" w:eastAsia="宋体" w:cs="Times New Roman"/>
                <w:color w:val="auto"/>
                <w:highlight w:val="none"/>
                <w:lang w:val="en-US" w:eastAsia="zh-CN"/>
              </w:rPr>
              <w:t>t/a</w:t>
            </w:r>
          </w:p>
        </w:tc>
      </w:tr>
      <w:tr w14:paraId="132606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38096CFC">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改性</w:t>
            </w:r>
            <w:r>
              <w:rPr>
                <w:rFonts w:hint="default" w:ascii="Times New Roman" w:hAnsi="Times New Roman" w:eastAsia="宋体" w:cs="Times New Roman"/>
                <w:color w:val="auto"/>
                <w:highlight w:val="none"/>
                <w:lang w:val="en-US" w:eastAsia="zh-CN"/>
              </w:rPr>
              <w:t>PP</w:t>
            </w:r>
          </w:p>
        </w:tc>
        <w:tc>
          <w:tcPr>
            <w:tcW w:w="1425" w:type="dxa"/>
            <w:tcBorders>
              <w:tl2br w:val="nil"/>
              <w:tr2bl w:val="nil"/>
            </w:tcBorders>
            <w:shd w:val="clear" w:color="auto" w:fill="auto"/>
            <w:vAlign w:val="center"/>
          </w:tcPr>
          <w:p w14:paraId="34B5563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762</w:t>
            </w:r>
          </w:p>
        </w:tc>
        <w:tc>
          <w:tcPr>
            <w:tcW w:w="1020" w:type="dxa"/>
            <w:vMerge w:val="restart"/>
            <w:tcBorders>
              <w:tl2br w:val="nil"/>
              <w:tr2bl w:val="nil"/>
            </w:tcBorders>
            <w:shd w:val="clear" w:color="auto" w:fill="auto"/>
            <w:vAlign w:val="center"/>
          </w:tcPr>
          <w:p w14:paraId="6E377CDD">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产品</w:t>
            </w:r>
          </w:p>
        </w:tc>
        <w:tc>
          <w:tcPr>
            <w:tcW w:w="3465" w:type="dxa"/>
            <w:tcBorders>
              <w:tl2br w:val="nil"/>
              <w:tr2bl w:val="nil"/>
            </w:tcBorders>
            <w:shd w:val="clear" w:color="auto" w:fill="auto"/>
            <w:vAlign w:val="center"/>
          </w:tcPr>
          <w:p w14:paraId="49736590">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前、后保险杆总成（半成品）</w:t>
            </w:r>
          </w:p>
        </w:tc>
        <w:tc>
          <w:tcPr>
            <w:tcW w:w="1350" w:type="dxa"/>
            <w:tcBorders>
              <w:tl2br w:val="nil"/>
              <w:tr2bl w:val="nil"/>
            </w:tcBorders>
            <w:shd w:val="clear" w:color="auto" w:fill="auto"/>
            <w:vAlign w:val="center"/>
          </w:tcPr>
          <w:p w14:paraId="08C7FF2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760.9638</w:t>
            </w:r>
          </w:p>
        </w:tc>
      </w:tr>
      <w:tr w14:paraId="37EBA0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4736FB8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ABS</w:t>
            </w:r>
          </w:p>
        </w:tc>
        <w:tc>
          <w:tcPr>
            <w:tcW w:w="1425" w:type="dxa"/>
            <w:tcBorders>
              <w:tl2br w:val="nil"/>
              <w:tr2bl w:val="nil"/>
            </w:tcBorders>
            <w:shd w:val="clear" w:color="auto" w:fill="auto"/>
            <w:vAlign w:val="center"/>
          </w:tcPr>
          <w:p w14:paraId="24CBC86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684</w:t>
            </w:r>
          </w:p>
        </w:tc>
        <w:tc>
          <w:tcPr>
            <w:tcW w:w="1020" w:type="dxa"/>
            <w:vMerge w:val="continue"/>
            <w:tcBorders>
              <w:tl2br w:val="nil"/>
              <w:tr2bl w:val="nil"/>
            </w:tcBorders>
            <w:shd w:val="clear" w:color="auto" w:fill="auto"/>
            <w:vAlign w:val="center"/>
          </w:tcPr>
          <w:p w14:paraId="7A383F64">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3465" w:type="dxa"/>
            <w:tcBorders>
              <w:tl2br w:val="nil"/>
              <w:tr2bl w:val="nil"/>
            </w:tcBorders>
            <w:shd w:val="clear" w:color="auto" w:fill="auto"/>
            <w:vAlign w:val="center"/>
          </w:tcPr>
          <w:p w14:paraId="7D3E0A68">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前格栅总成（半成品）</w:t>
            </w:r>
          </w:p>
        </w:tc>
        <w:tc>
          <w:tcPr>
            <w:tcW w:w="1350" w:type="dxa"/>
            <w:tcBorders>
              <w:tl2br w:val="nil"/>
              <w:tr2bl w:val="nil"/>
            </w:tcBorders>
            <w:shd w:val="clear" w:color="auto" w:fill="auto"/>
            <w:vAlign w:val="center"/>
          </w:tcPr>
          <w:p w14:paraId="7B8209D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683.0699</w:t>
            </w:r>
          </w:p>
        </w:tc>
      </w:tr>
      <w:tr w14:paraId="1AD7EB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vMerge w:val="restart"/>
            <w:tcBorders>
              <w:tl2br w:val="nil"/>
              <w:tr2bl w:val="nil"/>
            </w:tcBorders>
            <w:shd w:val="clear" w:color="auto" w:fill="auto"/>
            <w:vAlign w:val="center"/>
          </w:tcPr>
          <w:p w14:paraId="1D76F744">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回用料（不合格品和边角料）</w:t>
            </w:r>
          </w:p>
        </w:tc>
        <w:tc>
          <w:tcPr>
            <w:tcW w:w="1425" w:type="dxa"/>
            <w:vMerge w:val="restart"/>
            <w:tcBorders>
              <w:tl2br w:val="nil"/>
              <w:tr2bl w:val="nil"/>
            </w:tcBorders>
            <w:shd w:val="clear" w:color="auto" w:fill="auto"/>
            <w:vAlign w:val="center"/>
          </w:tcPr>
          <w:p w14:paraId="2007630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144.5424</w:t>
            </w:r>
          </w:p>
        </w:tc>
        <w:tc>
          <w:tcPr>
            <w:tcW w:w="1020" w:type="dxa"/>
            <w:vMerge w:val="restart"/>
            <w:tcBorders>
              <w:tl2br w:val="nil"/>
              <w:tr2bl w:val="nil"/>
            </w:tcBorders>
            <w:shd w:val="clear" w:color="auto" w:fill="auto"/>
            <w:vAlign w:val="center"/>
          </w:tcPr>
          <w:p w14:paraId="755888C7">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废气</w:t>
            </w:r>
          </w:p>
        </w:tc>
        <w:tc>
          <w:tcPr>
            <w:tcW w:w="3465" w:type="dxa"/>
            <w:tcBorders>
              <w:tl2br w:val="nil"/>
              <w:tr2bl w:val="nil"/>
            </w:tcBorders>
            <w:shd w:val="clear" w:color="auto" w:fill="auto"/>
            <w:vAlign w:val="center"/>
          </w:tcPr>
          <w:p w14:paraId="3F6FC49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注塑废气排放</w:t>
            </w:r>
          </w:p>
        </w:tc>
        <w:tc>
          <w:tcPr>
            <w:tcW w:w="1350" w:type="dxa"/>
            <w:tcBorders>
              <w:tl2br w:val="nil"/>
              <w:tr2bl w:val="nil"/>
            </w:tcBorders>
            <w:shd w:val="clear" w:color="auto" w:fill="auto"/>
            <w:vAlign w:val="center"/>
          </w:tcPr>
          <w:p w14:paraId="2B997DF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0.7635</w:t>
            </w:r>
          </w:p>
        </w:tc>
      </w:tr>
      <w:tr w14:paraId="3AA006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vMerge w:val="continue"/>
            <w:tcBorders>
              <w:tl2br w:val="nil"/>
              <w:tr2bl w:val="nil"/>
            </w:tcBorders>
            <w:shd w:val="clear" w:color="auto" w:fill="auto"/>
            <w:vAlign w:val="center"/>
          </w:tcPr>
          <w:p w14:paraId="62CE01E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425" w:type="dxa"/>
            <w:vMerge w:val="continue"/>
            <w:tcBorders>
              <w:tl2br w:val="nil"/>
              <w:tr2bl w:val="nil"/>
            </w:tcBorders>
            <w:shd w:val="clear" w:color="auto" w:fill="auto"/>
            <w:vAlign w:val="center"/>
          </w:tcPr>
          <w:p w14:paraId="2401097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020" w:type="dxa"/>
            <w:vMerge w:val="continue"/>
            <w:tcBorders>
              <w:tl2br w:val="nil"/>
              <w:tr2bl w:val="nil"/>
            </w:tcBorders>
            <w:shd w:val="clear" w:color="auto" w:fill="auto"/>
            <w:vAlign w:val="center"/>
          </w:tcPr>
          <w:p w14:paraId="54CAE9C6">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3465" w:type="dxa"/>
            <w:tcBorders>
              <w:tl2br w:val="nil"/>
              <w:tr2bl w:val="nil"/>
            </w:tcBorders>
            <w:shd w:val="clear" w:color="auto" w:fill="auto"/>
            <w:vAlign w:val="center"/>
          </w:tcPr>
          <w:p w14:paraId="6AE8B97B">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粉碎粉尘排放</w:t>
            </w:r>
          </w:p>
        </w:tc>
        <w:tc>
          <w:tcPr>
            <w:tcW w:w="1350" w:type="dxa"/>
            <w:tcBorders>
              <w:tl2br w:val="nil"/>
              <w:tr2bl w:val="nil"/>
            </w:tcBorders>
            <w:shd w:val="clear" w:color="auto" w:fill="auto"/>
            <w:vAlign w:val="center"/>
          </w:tcPr>
          <w:p w14:paraId="3FD4454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0.0138</w:t>
            </w:r>
          </w:p>
        </w:tc>
      </w:tr>
      <w:tr w14:paraId="23A9C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21BFCB9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425" w:type="dxa"/>
            <w:tcBorders>
              <w:tl2br w:val="nil"/>
              <w:tr2bl w:val="nil"/>
            </w:tcBorders>
            <w:shd w:val="clear" w:color="auto" w:fill="auto"/>
            <w:vAlign w:val="center"/>
          </w:tcPr>
          <w:p w14:paraId="5DAEB60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020" w:type="dxa"/>
            <w:vMerge w:val="restart"/>
            <w:tcBorders>
              <w:tl2br w:val="nil"/>
              <w:tr2bl w:val="nil"/>
            </w:tcBorders>
            <w:shd w:val="clear" w:color="auto" w:fill="auto"/>
            <w:vAlign w:val="center"/>
          </w:tcPr>
          <w:p w14:paraId="7F210D82">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固废</w:t>
            </w:r>
          </w:p>
        </w:tc>
        <w:tc>
          <w:tcPr>
            <w:tcW w:w="3465" w:type="dxa"/>
            <w:tcBorders>
              <w:tl2br w:val="nil"/>
              <w:tr2bl w:val="nil"/>
            </w:tcBorders>
            <w:shd w:val="clear" w:color="auto" w:fill="auto"/>
            <w:vAlign w:val="center"/>
          </w:tcPr>
          <w:p w14:paraId="2514ED4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回用料（不合格品和边角料）</w:t>
            </w:r>
          </w:p>
        </w:tc>
        <w:tc>
          <w:tcPr>
            <w:tcW w:w="1350" w:type="dxa"/>
            <w:tcBorders>
              <w:tl2br w:val="nil"/>
              <w:tr2bl w:val="nil"/>
            </w:tcBorders>
            <w:shd w:val="clear" w:color="auto" w:fill="auto"/>
            <w:vAlign w:val="center"/>
          </w:tcPr>
          <w:p w14:paraId="7B98D64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144.5424</w:t>
            </w:r>
          </w:p>
        </w:tc>
      </w:tr>
      <w:tr w14:paraId="2BE1E6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32C3792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425" w:type="dxa"/>
            <w:tcBorders>
              <w:tl2br w:val="nil"/>
              <w:tr2bl w:val="nil"/>
            </w:tcBorders>
            <w:shd w:val="clear" w:color="auto" w:fill="auto"/>
            <w:vAlign w:val="center"/>
          </w:tcPr>
          <w:p w14:paraId="3105663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020" w:type="dxa"/>
            <w:vMerge w:val="continue"/>
            <w:tcBorders>
              <w:tl2br w:val="nil"/>
              <w:tr2bl w:val="nil"/>
            </w:tcBorders>
            <w:shd w:val="clear" w:color="auto" w:fill="auto"/>
            <w:vAlign w:val="center"/>
          </w:tcPr>
          <w:p w14:paraId="1FB8B651">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3465" w:type="dxa"/>
            <w:tcBorders>
              <w:tl2br w:val="nil"/>
              <w:tr2bl w:val="nil"/>
            </w:tcBorders>
            <w:shd w:val="clear" w:color="auto" w:fill="auto"/>
            <w:vAlign w:val="center"/>
          </w:tcPr>
          <w:p w14:paraId="6DE7A771">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袋式除尘器收集的粉尘</w:t>
            </w:r>
          </w:p>
        </w:tc>
        <w:tc>
          <w:tcPr>
            <w:tcW w:w="1350" w:type="dxa"/>
            <w:tcBorders>
              <w:tl2br w:val="nil"/>
              <w:tr2bl w:val="nil"/>
            </w:tcBorders>
            <w:shd w:val="clear" w:color="auto" w:fill="auto"/>
            <w:vAlign w:val="center"/>
          </w:tcPr>
          <w:p w14:paraId="1F225B2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0.0438</w:t>
            </w:r>
          </w:p>
        </w:tc>
      </w:tr>
      <w:tr w14:paraId="33085E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013B370F">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425" w:type="dxa"/>
            <w:tcBorders>
              <w:tl2br w:val="nil"/>
              <w:tr2bl w:val="nil"/>
            </w:tcBorders>
            <w:shd w:val="clear" w:color="auto" w:fill="auto"/>
            <w:vAlign w:val="center"/>
          </w:tcPr>
          <w:p w14:paraId="04306D49">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020" w:type="dxa"/>
            <w:tcBorders>
              <w:tl2br w:val="nil"/>
              <w:tr2bl w:val="nil"/>
            </w:tcBorders>
            <w:shd w:val="clear" w:color="auto" w:fill="auto"/>
            <w:vAlign w:val="center"/>
          </w:tcPr>
          <w:p w14:paraId="74D0A987">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去除量</w:t>
            </w:r>
          </w:p>
        </w:tc>
        <w:tc>
          <w:tcPr>
            <w:tcW w:w="3465" w:type="dxa"/>
            <w:tcBorders>
              <w:tl2br w:val="nil"/>
              <w:tr2bl w:val="nil"/>
            </w:tcBorders>
            <w:shd w:val="clear" w:color="auto" w:fill="auto"/>
            <w:vAlign w:val="center"/>
          </w:tcPr>
          <w:p w14:paraId="00AE441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二级活性炭吸附</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去除量</w:t>
            </w:r>
          </w:p>
        </w:tc>
        <w:tc>
          <w:tcPr>
            <w:tcW w:w="1350" w:type="dxa"/>
            <w:tcBorders>
              <w:tl2br w:val="nil"/>
              <w:tr2bl w:val="nil"/>
            </w:tcBorders>
            <w:shd w:val="clear" w:color="auto" w:fill="auto"/>
            <w:vAlign w:val="center"/>
          </w:tcPr>
          <w:p w14:paraId="6683EE8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1.1452</w:t>
            </w:r>
          </w:p>
        </w:tc>
      </w:tr>
      <w:tr w14:paraId="5AF14F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799" w:type="dxa"/>
            <w:tcBorders>
              <w:tl2br w:val="nil"/>
              <w:tr2bl w:val="nil"/>
            </w:tcBorders>
            <w:shd w:val="clear" w:color="auto" w:fill="auto"/>
            <w:vAlign w:val="center"/>
          </w:tcPr>
          <w:p w14:paraId="200975D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1425" w:type="dxa"/>
            <w:tcBorders>
              <w:tl2br w:val="nil"/>
              <w:tr2bl w:val="nil"/>
            </w:tcBorders>
            <w:shd w:val="clear" w:color="auto" w:fill="auto"/>
            <w:vAlign w:val="center"/>
          </w:tcPr>
          <w:p w14:paraId="480E14E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1590.5424</w:t>
            </w:r>
          </w:p>
        </w:tc>
        <w:tc>
          <w:tcPr>
            <w:tcW w:w="4485" w:type="dxa"/>
            <w:gridSpan w:val="2"/>
            <w:tcBorders>
              <w:tl2br w:val="nil"/>
              <w:tr2bl w:val="nil"/>
            </w:tcBorders>
            <w:shd w:val="clear" w:color="auto" w:fill="auto"/>
            <w:vAlign w:val="center"/>
          </w:tcPr>
          <w:p w14:paraId="09CD370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1350" w:type="dxa"/>
            <w:tcBorders>
              <w:tl2br w:val="nil"/>
              <w:tr2bl w:val="nil"/>
            </w:tcBorders>
            <w:shd w:val="clear" w:color="auto" w:fill="auto"/>
            <w:noWrap/>
            <w:vAlign w:val="center"/>
          </w:tcPr>
          <w:p w14:paraId="4E662F04">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1590.5424</w:t>
            </w:r>
          </w:p>
        </w:tc>
      </w:tr>
    </w:tbl>
    <w:p w14:paraId="7AA3B4BC">
      <w:pPr>
        <w:pStyle w:val="1319"/>
        <w:ind w:firstLine="480"/>
        <w:rPr>
          <w:rFonts w:hint="eastAsia"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（2）漆料平衡</w:t>
      </w:r>
    </w:p>
    <w:p w14:paraId="1BA91D05">
      <w:pPr>
        <w:pStyle w:val="1319"/>
        <w:ind w:firstLine="480"/>
        <w:rPr>
          <w:rFonts w:hint="default"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项目建成投产后</w:t>
      </w:r>
      <w:r>
        <w:rPr>
          <w:rFonts w:hint="eastAsia" w:cs="Times New Roman"/>
          <w:bCs/>
          <w:color w:val="auto"/>
          <w:highlight w:val="none"/>
          <w:lang w:val="en-US" w:eastAsia="zh-CN" w:bidi="he-IL"/>
        </w:rPr>
        <w:t>漆料</w:t>
      </w:r>
      <w:r>
        <w:rPr>
          <w:rFonts w:hint="eastAsia" w:ascii="Times New Roman" w:hAnsi="Times New Roman" w:eastAsia="宋体" w:cs="Times New Roman"/>
          <w:bCs/>
          <w:color w:val="auto"/>
          <w:highlight w:val="none"/>
          <w:lang w:val="en-US" w:eastAsia="zh-CN" w:bidi="he-IL"/>
        </w:rPr>
        <w:t>使用过程物料平衡见表3.3-3。</w:t>
      </w:r>
    </w:p>
    <w:p w14:paraId="2C0A1962">
      <w:pPr>
        <w:pStyle w:val="8"/>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表3.3-3  油漆物料平衡表</w:t>
      </w:r>
    </w:p>
    <w:tbl>
      <w:tblPr>
        <w:tblStyle w:val="80"/>
        <w:tblW w:w="89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9"/>
        <w:gridCol w:w="1387"/>
        <w:gridCol w:w="2031"/>
        <w:gridCol w:w="2537"/>
        <w:gridCol w:w="1525"/>
      </w:tblGrid>
      <w:tr w14:paraId="32747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26" w:type="dxa"/>
            <w:gridSpan w:val="2"/>
            <w:tcBorders>
              <w:top w:val="single" w:color="auto" w:sz="12" w:space="0"/>
              <w:left w:val="nil"/>
              <w:bottom w:val="single" w:color="auto" w:sz="4" w:space="0"/>
              <w:right w:val="single" w:color="auto" w:sz="4" w:space="0"/>
            </w:tcBorders>
            <w:shd w:val="clear" w:color="auto" w:fill="auto"/>
            <w:noWrap/>
            <w:vAlign w:val="center"/>
          </w:tcPr>
          <w:p w14:paraId="1F9A30F5">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物料投入</w:t>
            </w:r>
          </w:p>
        </w:tc>
        <w:tc>
          <w:tcPr>
            <w:tcW w:w="6093" w:type="dxa"/>
            <w:gridSpan w:val="3"/>
            <w:tcBorders>
              <w:top w:val="single" w:color="auto" w:sz="12" w:space="0"/>
              <w:left w:val="single" w:color="auto" w:sz="4" w:space="0"/>
              <w:bottom w:val="single" w:color="auto" w:sz="4" w:space="0"/>
              <w:right w:val="nil"/>
            </w:tcBorders>
            <w:shd w:val="clear" w:color="auto" w:fill="auto"/>
            <w:noWrap/>
            <w:vAlign w:val="center"/>
          </w:tcPr>
          <w:p w14:paraId="07B9ABF5">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物料产出</w:t>
            </w:r>
          </w:p>
        </w:tc>
      </w:tr>
      <w:tr w14:paraId="3E299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5B289B40">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名称</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9C279">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用量（t/a）</w:t>
            </w:r>
          </w:p>
        </w:tc>
        <w:tc>
          <w:tcPr>
            <w:tcW w:w="45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B7C3C2">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名称</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7E56C226">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用量（t/a）</w:t>
            </w:r>
          </w:p>
        </w:tc>
      </w:tr>
      <w:tr w14:paraId="223B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776D8FC7">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底漆</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86C68">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14.85</w:t>
            </w:r>
          </w:p>
        </w:tc>
        <w:tc>
          <w:tcPr>
            <w:tcW w:w="45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A2AA9E9">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产品附着固体份</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04A1CFB5">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24.8511 </w:t>
            </w:r>
          </w:p>
        </w:tc>
      </w:tr>
      <w:tr w14:paraId="59B1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33CACA6F">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色漆</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300B2">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26.01</w:t>
            </w:r>
          </w:p>
        </w:tc>
        <w:tc>
          <w:tcPr>
            <w:tcW w:w="2031" w:type="dxa"/>
            <w:vMerge w:val="restart"/>
            <w:tcBorders>
              <w:top w:val="single" w:color="auto" w:sz="4" w:space="0"/>
              <w:left w:val="single" w:color="auto" w:sz="4" w:space="0"/>
              <w:right w:val="single" w:color="auto" w:sz="4" w:space="0"/>
            </w:tcBorders>
            <w:shd w:val="clear" w:color="auto" w:fill="auto"/>
            <w:noWrap/>
            <w:vAlign w:val="center"/>
          </w:tcPr>
          <w:p w14:paraId="4D60A80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废气</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6A5BB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漆雾有组织排放</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3BEEE5DF">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0.1624 </w:t>
            </w:r>
          </w:p>
        </w:tc>
      </w:tr>
      <w:tr w14:paraId="7B12C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04A6EEEF">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清漆</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56C99">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24.49</w:t>
            </w:r>
          </w:p>
        </w:tc>
        <w:tc>
          <w:tcPr>
            <w:tcW w:w="2031" w:type="dxa"/>
            <w:vMerge w:val="continue"/>
            <w:tcBorders>
              <w:left w:val="single" w:color="auto" w:sz="4" w:space="0"/>
              <w:right w:val="single" w:color="auto" w:sz="4" w:space="0"/>
            </w:tcBorders>
            <w:shd w:val="clear" w:color="auto" w:fill="auto"/>
            <w:noWrap/>
            <w:vAlign w:val="center"/>
          </w:tcPr>
          <w:p w14:paraId="6A1FC218">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E3B29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漆雾无组织排放</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7CC87F36">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1.8018 </w:t>
            </w:r>
          </w:p>
        </w:tc>
      </w:tr>
      <w:tr w14:paraId="58BA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4300C97B">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稀释剂</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FC19D">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17.56</w:t>
            </w:r>
          </w:p>
        </w:tc>
        <w:tc>
          <w:tcPr>
            <w:tcW w:w="2031" w:type="dxa"/>
            <w:vMerge w:val="continue"/>
            <w:tcBorders>
              <w:left w:val="single" w:color="auto" w:sz="4" w:space="0"/>
              <w:right w:val="single" w:color="auto" w:sz="4" w:space="0"/>
            </w:tcBorders>
            <w:shd w:val="clear" w:color="auto" w:fill="auto"/>
            <w:noWrap/>
            <w:vAlign w:val="center"/>
          </w:tcPr>
          <w:p w14:paraId="7B251763">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B02F25">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有机废气有组织排放</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1B730D1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1.1547 </w:t>
            </w:r>
          </w:p>
        </w:tc>
      </w:tr>
      <w:tr w14:paraId="54327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6ABD867B">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固化剂</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CE812">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1.22</w:t>
            </w:r>
          </w:p>
        </w:tc>
        <w:tc>
          <w:tcPr>
            <w:tcW w:w="2031" w:type="dxa"/>
            <w:vMerge w:val="continue"/>
            <w:tcBorders>
              <w:left w:val="single" w:color="auto" w:sz="4" w:space="0"/>
              <w:bottom w:val="single" w:color="auto" w:sz="4" w:space="0"/>
              <w:right w:val="single" w:color="auto" w:sz="4" w:space="0"/>
            </w:tcBorders>
            <w:shd w:val="clear" w:color="auto" w:fill="auto"/>
            <w:noWrap/>
            <w:vAlign w:val="center"/>
          </w:tcPr>
          <w:p w14:paraId="51932B6D">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C4E263">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有机废气无组织排放</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22E22BD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4.1095 </w:t>
            </w:r>
          </w:p>
        </w:tc>
      </w:tr>
      <w:tr w14:paraId="007D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5CBC5C2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53323">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45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652DF2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漆渣</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033B1BD9">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16.2192 </w:t>
            </w:r>
          </w:p>
        </w:tc>
      </w:tr>
      <w:tr w14:paraId="2CF02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4" w:space="0"/>
              <w:right w:val="single" w:color="auto" w:sz="4" w:space="0"/>
            </w:tcBorders>
            <w:shd w:val="clear" w:color="auto" w:fill="auto"/>
            <w:noWrap/>
            <w:vAlign w:val="center"/>
          </w:tcPr>
          <w:p w14:paraId="12DF4C8D">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A50A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456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DB450C">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有机废气去除量</w:t>
            </w:r>
          </w:p>
        </w:tc>
        <w:tc>
          <w:tcPr>
            <w:tcW w:w="0" w:type="auto"/>
            <w:tcBorders>
              <w:top w:val="single" w:color="auto" w:sz="4" w:space="0"/>
              <w:left w:val="single" w:color="auto" w:sz="4" w:space="0"/>
              <w:bottom w:val="single" w:color="auto" w:sz="4" w:space="0"/>
              <w:right w:val="nil"/>
            </w:tcBorders>
            <w:shd w:val="clear" w:color="auto" w:fill="auto"/>
            <w:noWrap/>
            <w:vAlign w:val="center"/>
          </w:tcPr>
          <w:p w14:paraId="183C8216">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35.8312 </w:t>
            </w:r>
          </w:p>
        </w:tc>
      </w:tr>
      <w:tr w14:paraId="3A6F5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39" w:type="dxa"/>
            <w:tcBorders>
              <w:top w:val="single" w:color="auto" w:sz="4" w:space="0"/>
              <w:left w:val="nil"/>
              <w:bottom w:val="single" w:color="auto" w:sz="12" w:space="0"/>
              <w:right w:val="single" w:color="auto" w:sz="4" w:space="0"/>
            </w:tcBorders>
            <w:shd w:val="clear" w:color="auto" w:fill="auto"/>
            <w:noWrap/>
            <w:vAlign w:val="center"/>
          </w:tcPr>
          <w:p w14:paraId="688FD6F1">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1387"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60F7081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84.13</w:t>
            </w:r>
          </w:p>
        </w:tc>
        <w:tc>
          <w:tcPr>
            <w:tcW w:w="4568" w:type="dxa"/>
            <w:gridSpan w:val="2"/>
            <w:tcBorders>
              <w:top w:val="single" w:color="auto" w:sz="4" w:space="0"/>
              <w:left w:val="single" w:color="auto" w:sz="4" w:space="0"/>
              <w:bottom w:val="single" w:color="auto" w:sz="12" w:space="0"/>
              <w:right w:val="single" w:color="auto" w:sz="4" w:space="0"/>
            </w:tcBorders>
            <w:shd w:val="clear" w:color="auto" w:fill="auto"/>
            <w:noWrap/>
            <w:vAlign w:val="center"/>
          </w:tcPr>
          <w:p w14:paraId="5F096836">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0" w:type="auto"/>
            <w:tcBorders>
              <w:top w:val="single" w:color="auto" w:sz="4" w:space="0"/>
              <w:left w:val="single" w:color="auto" w:sz="4" w:space="0"/>
              <w:bottom w:val="single" w:color="auto" w:sz="12" w:space="0"/>
              <w:right w:val="nil"/>
            </w:tcBorders>
            <w:shd w:val="clear" w:color="auto" w:fill="auto"/>
            <w:noWrap/>
            <w:vAlign w:val="center"/>
          </w:tcPr>
          <w:p w14:paraId="2C259FDA">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84.13</w:t>
            </w:r>
          </w:p>
        </w:tc>
      </w:tr>
      <w:bookmarkEnd w:id="323"/>
      <w:bookmarkEnd w:id="324"/>
      <w:bookmarkEnd w:id="325"/>
      <w:bookmarkEnd w:id="326"/>
    </w:tbl>
    <w:p w14:paraId="058CEB64">
      <w:pPr>
        <w:pStyle w:val="3"/>
        <w:numPr>
          <w:ilvl w:val="1"/>
          <w:numId w:val="0"/>
        </w:numPr>
        <w:bidi w:val="0"/>
        <w:rPr>
          <w:color w:val="auto"/>
          <w:highlight w:val="none"/>
        </w:rPr>
      </w:pPr>
      <w:bookmarkStart w:id="345" w:name="_Toc29706"/>
      <w:bookmarkStart w:id="346" w:name="_Toc23610"/>
      <w:bookmarkStart w:id="347" w:name="_Toc359709211"/>
      <w:bookmarkStart w:id="348" w:name="_Toc359708300"/>
      <w:bookmarkStart w:id="349" w:name="_Toc359708675"/>
      <w:r>
        <w:rPr>
          <w:rFonts w:hint="eastAsia"/>
          <w:color w:val="auto"/>
          <w:highlight w:val="none"/>
          <w:lang w:val="en-US" w:eastAsia="zh-CN"/>
        </w:rPr>
        <w:t xml:space="preserve">3.4 </w:t>
      </w:r>
      <w:r>
        <w:rPr>
          <w:color w:val="auto"/>
          <w:highlight w:val="none"/>
        </w:rPr>
        <w:t>运营期污染源及污染源强分析</w:t>
      </w:r>
      <w:bookmarkEnd w:id="345"/>
      <w:bookmarkEnd w:id="346"/>
    </w:p>
    <w:p w14:paraId="69841B5A">
      <w:pPr>
        <w:pStyle w:val="1319"/>
        <w:ind w:firstLine="480"/>
        <w:rPr>
          <w:rFonts w:hint="eastAsia"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根据《污染源源强核算技术指南 汽车制造》</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HJ1097-2020</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，污染源源强核算可采用实测法、类比法、物料衡算法和产污系数法等方法。根据《污染源源强核算技术指南 锅炉》</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HJ991-2018</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污染源源强核算可采用物料衡算法、类比法和产污系数法等方法。本项目通过对项目工艺过程进行阐述与分析，识别出可能对环境产生影响的主要因素，通过物料衡算法、产污系数法、类比法等方式确定各污染物源强。</w:t>
      </w:r>
    </w:p>
    <w:p w14:paraId="1809AEAB">
      <w:pPr>
        <w:pStyle w:val="1319"/>
        <w:ind w:firstLine="480"/>
        <w:rPr>
          <w:rFonts w:hint="default" w:ascii="Times New Roman" w:hAnsi="Times New Roman" w:eastAsia="宋体" w:cs="Times New Roman"/>
          <w:bCs/>
          <w:color w:val="auto"/>
          <w:highlight w:val="none"/>
          <w:lang w:val="en-US" w:eastAsia="zh-CN" w:bidi="he-IL"/>
        </w:rPr>
      </w:pPr>
      <w:r>
        <w:rPr>
          <w:rFonts w:hint="eastAsia" w:ascii="Times New Roman" w:hAnsi="Times New Roman" w:eastAsia="宋体" w:cs="Times New Roman"/>
          <w:bCs/>
          <w:color w:val="auto"/>
          <w:highlight w:val="none"/>
          <w:lang w:val="en-US" w:eastAsia="zh-CN" w:bidi="he-IL"/>
        </w:rPr>
        <w:t>在本项目源强核算过程中，主要参考《污染源源强核算技术指南 汽车制造》</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HJ1097-2020</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、《汽车工业污染防治可行技术指南》</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HJ1181-2021</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、《排放源统计调查产排污核算方法和系数手册》</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生态环境部公告2021年第24号</w:t>
      </w:r>
      <w:r>
        <w:rPr>
          <w:rFonts w:hint="eastAsia" w:cs="Times New Roman"/>
          <w:bCs/>
          <w:color w:val="auto"/>
          <w:highlight w:val="none"/>
          <w:lang w:val="en-US" w:eastAsia="zh-CN" w:bidi="he-IL"/>
        </w:rPr>
        <w:t>）</w:t>
      </w:r>
      <w:r>
        <w:rPr>
          <w:rFonts w:hint="eastAsia" w:ascii="Times New Roman" w:hAnsi="Times New Roman" w:eastAsia="宋体" w:cs="Times New Roman"/>
          <w:bCs/>
          <w:color w:val="auto"/>
          <w:highlight w:val="none"/>
          <w:lang w:val="en-US" w:eastAsia="zh-CN" w:bidi="he-IL"/>
        </w:rPr>
        <w:t>等相关资料文件，确定本项目主要污染物源强。</w:t>
      </w:r>
    </w:p>
    <w:p w14:paraId="41BCC72E">
      <w:pPr>
        <w:pStyle w:val="4"/>
        <w:numPr>
          <w:ilvl w:val="2"/>
          <w:numId w:val="0"/>
        </w:numPr>
        <w:tabs>
          <w:tab w:val="clear" w:pos="720"/>
        </w:tabs>
        <w:bidi w:val="0"/>
        <w:rPr>
          <w:color w:val="auto"/>
          <w:highlight w:val="none"/>
        </w:rPr>
      </w:pPr>
      <w:bookmarkStart w:id="350" w:name="_Toc25786"/>
      <w:r>
        <w:rPr>
          <w:rFonts w:hint="eastAsia"/>
          <w:color w:val="auto"/>
          <w:highlight w:val="none"/>
          <w:lang w:eastAsia="zh-CN"/>
        </w:rPr>
        <w:t>3.4</w:t>
      </w:r>
      <w:r>
        <w:rPr>
          <w:color w:val="auto"/>
          <w:highlight w:val="none"/>
        </w:rPr>
        <w:t>.1</w:t>
      </w:r>
      <w:r>
        <w:rPr>
          <w:rFonts w:hint="eastAsia"/>
          <w:color w:val="auto"/>
          <w:highlight w:val="none"/>
          <w:lang w:val="en-US" w:eastAsia="zh-CN"/>
        </w:rPr>
        <w:t xml:space="preserve"> </w:t>
      </w:r>
      <w:r>
        <w:rPr>
          <w:color w:val="auto"/>
          <w:highlight w:val="none"/>
        </w:rPr>
        <w:t>运营期水污染源</w:t>
      </w:r>
      <w:bookmarkEnd w:id="347"/>
      <w:bookmarkEnd w:id="348"/>
      <w:bookmarkEnd w:id="349"/>
      <w:r>
        <w:rPr>
          <w:color w:val="auto"/>
          <w:highlight w:val="none"/>
        </w:rPr>
        <w:t>及污染源强分析</w:t>
      </w:r>
      <w:bookmarkEnd w:id="350"/>
    </w:p>
    <w:p w14:paraId="3278C405">
      <w:pPr>
        <w:pStyle w:val="441"/>
        <w:ind w:firstLine="480"/>
        <w:rPr>
          <w:color w:val="auto"/>
          <w:highlight w:val="none"/>
        </w:rPr>
      </w:pPr>
      <w:r>
        <w:rPr>
          <w:rFonts w:hint="eastAsia"/>
          <w:color w:val="auto"/>
          <w:highlight w:val="none"/>
        </w:rPr>
        <w:t>项目产生的废水主要为</w:t>
      </w:r>
      <w:r>
        <w:rPr>
          <w:rFonts w:hint="default" w:ascii="Times New Roman" w:hAnsi="Times New Roman" w:cs="Times New Roman"/>
          <w:color w:val="auto"/>
          <w:highlight w:val="none"/>
        </w:rPr>
        <w:t>热水炉排水、纯水制备系统浓水</w:t>
      </w:r>
      <w:r>
        <w:rPr>
          <w:rFonts w:hint="eastAsia"/>
          <w:color w:val="auto"/>
          <w:highlight w:val="none"/>
        </w:rPr>
        <w:t>和生活污水。</w:t>
      </w:r>
    </w:p>
    <w:p w14:paraId="3D929317">
      <w:pPr>
        <w:pStyle w:val="441"/>
        <w:numPr>
          <w:ilvl w:val="0"/>
          <w:numId w:val="17"/>
        </w:numPr>
        <w:ind w:firstLine="480"/>
        <w:rPr>
          <w:rFonts w:hint="default" w:ascii="Times New Roman" w:hAnsi="Times New Roman" w:cs="Times New Roman"/>
          <w:color w:val="auto"/>
          <w:highlight w:val="none"/>
        </w:rPr>
      </w:pPr>
      <w:r>
        <w:rPr>
          <w:rFonts w:hint="default" w:ascii="Times New Roman" w:hAnsi="Times New Roman" w:eastAsia="宋体" w:cs="Times New Roman"/>
          <w:bCs/>
          <w:color w:val="auto"/>
          <w:highlight w:val="none"/>
        </w:rPr>
        <w:t>热水炉排水、纯水制备系统浓</w:t>
      </w:r>
      <w:r>
        <w:rPr>
          <w:rFonts w:hint="default" w:ascii="Times New Roman" w:hAnsi="Times New Roman" w:cs="Times New Roman"/>
          <w:color w:val="auto"/>
          <w:highlight w:val="none"/>
        </w:rPr>
        <w:t>水</w:t>
      </w:r>
    </w:p>
    <w:p w14:paraId="28432A0D">
      <w:pPr>
        <w:pStyle w:val="441"/>
        <w:numPr>
          <w:ilvl w:val="0"/>
          <w:numId w:val="0"/>
        </w:numPr>
        <w:ind w:firstLine="480" w:firstLineChars="200"/>
        <w:rPr>
          <w:rFonts w:hint="default" w:ascii="Times New Roman" w:hAnsi="Times New Roman" w:cs="Times New Roman"/>
          <w:color w:val="auto"/>
          <w:highlight w:val="none"/>
          <w:lang w:bidi="he-IL"/>
        </w:rPr>
      </w:pPr>
      <w:r>
        <w:rPr>
          <w:rFonts w:hint="default" w:ascii="Times New Roman" w:hAnsi="Times New Roman" w:eastAsia="宋体" w:cs="Times New Roman"/>
          <w:bCs/>
          <w:color w:val="auto"/>
          <w:highlight w:val="none"/>
        </w:rPr>
        <w:t>热水炉排水、纯水制备系统浓</w:t>
      </w:r>
      <w:r>
        <w:rPr>
          <w:rFonts w:hint="default" w:ascii="Times New Roman" w:hAnsi="Times New Roman" w:cs="Times New Roman"/>
          <w:color w:val="auto"/>
          <w:highlight w:val="none"/>
        </w:rPr>
        <w:t>水</w:t>
      </w:r>
      <w:r>
        <w:rPr>
          <w:rFonts w:hint="eastAsia" w:cs="Times New Roman"/>
          <w:color w:val="auto"/>
          <w:highlight w:val="none"/>
          <w:lang w:val="en-US" w:eastAsia="zh-CN"/>
        </w:rPr>
        <w:t>较为清净</w:t>
      </w:r>
      <w:r>
        <w:rPr>
          <w:rFonts w:hint="default" w:ascii="Times New Roman" w:hAnsi="Times New Roman" w:cs="Times New Roman"/>
          <w:color w:val="auto"/>
          <w:highlight w:val="none"/>
        </w:rPr>
        <w:t>，废水量为</w:t>
      </w:r>
      <w:r>
        <w:rPr>
          <w:rFonts w:hint="eastAsia" w:ascii="Times New Roman" w:hAnsi="Times New Roman" w:cs="Times New Roman"/>
          <w:color w:val="auto"/>
          <w:highlight w:val="none"/>
          <w:lang w:val="en-US" w:eastAsia="zh-CN"/>
        </w:rPr>
        <w:t>1.052</w:t>
      </w:r>
      <w:r>
        <w:rPr>
          <w:rFonts w:hint="default" w:ascii="Times New Roman" w:hAnsi="Times New Roman" w:cs="Times New Roman"/>
          <w:color w:val="auto"/>
          <w:highlight w:val="none"/>
        </w:rPr>
        <w:t>m</w:t>
      </w:r>
      <w:r>
        <w:rPr>
          <w:rFonts w:hint="eastAsia"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/d、</w:t>
      </w:r>
      <w:r>
        <w:rPr>
          <w:rFonts w:hint="eastAsia" w:cs="Times New Roman"/>
          <w:color w:val="auto"/>
          <w:highlight w:val="none"/>
          <w:lang w:val="en-US" w:eastAsia="zh-CN"/>
        </w:rPr>
        <w:t>157.8</w:t>
      </w:r>
      <w:r>
        <w:rPr>
          <w:rFonts w:hint="default" w:ascii="Times New Roman" w:hAnsi="Times New Roman" w:cs="Times New Roman"/>
          <w:color w:val="auto"/>
          <w:highlight w:val="none"/>
        </w:rPr>
        <w:t>m</w:t>
      </w:r>
      <w:r>
        <w:rPr>
          <w:rFonts w:hint="eastAsia"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/a</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可直接排至厂区总排口</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由市政污水管网排入</w:t>
      </w:r>
      <w:r>
        <w:rPr>
          <w:rFonts w:hint="eastAsia" w:ascii="Times New Roman" w:hAnsi="Times New Roman" w:cs="Times New Roman"/>
          <w:color w:val="auto"/>
          <w:highlight w:val="none"/>
          <w:lang w:eastAsia="zh-CN"/>
        </w:rPr>
        <w:t>青口汽车工业开发区污水处理厂</w:t>
      </w:r>
      <w:r>
        <w:rPr>
          <w:rFonts w:hint="default" w:ascii="Times New Roman" w:hAnsi="Times New Roman" w:cs="Times New Roman"/>
          <w:color w:val="auto"/>
          <w:highlight w:val="none"/>
        </w:rPr>
        <w:t>处理</w:t>
      </w:r>
      <w:r>
        <w:rPr>
          <w:rFonts w:hint="eastAsia" w:ascii="Times New Roman" w:hAnsi="Times New Roman" w:cs="Times New Roman"/>
          <w:color w:val="auto"/>
          <w:highlight w:val="none"/>
          <w:lang w:eastAsia="zh-CN"/>
        </w:rPr>
        <w:t>。</w:t>
      </w:r>
    </w:p>
    <w:p w14:paraId="5DF7576F">
      <w:pPr>
        <w:pStyle w:val="441"/>
        <w:numPr>
          <w:ilvl w:val="0"/>
          <w:numId w:val="17"/>
        </w:numPr>
        <w:ind w:firstLine="480"/>
        <w:rPr>
          <w:rFonts w:hint="default" w:ascii="Times New Roman" w:hAnsi="Times New Roman" w:cs="Times New Roman"/>
          <w:color w:val="auto"/>
          <w:highlight w:val="none"/>
          <w:lang w:bidi="he-IL"/>
        </w:rPr>
      </w:pPr>
      <w:r>
        <w:rPr>
          <w:rFonts w:hint="eastAsia" w:ascii="Times New Roman" w:hAnsi="Times New Roman" w:cs="Times New Roman"/>
          <w:color w:val="auto"/>
          <w:highlight w:val="none"/>
          <w:lang w:val="en-US" w:eastAsia="zh-CN" w:bidi="he-IL"/>
        </w:rPr>
        <w:t>生活污水</w:t>
      </w:r>
    </w:p>
    <w:p w14:paraId="037F095C">
      <w:pPr>
        <w:pStyle w:val="441"/>
        <w:ind w:firstLine="480"/>
        <w:rPr>
          <w:rFonts w:hint="eastAsia"/>
          <w:color w:val="auto"/>
          <w:highlight w:val="none"/>
          <w:lang w:bidi="he-IL"/>
        </w:rPr>
      </w:pPr>
      <w:r>
        <w:rPr>
          <w:rFonts w:hint="eastAsia"/>
          <w:color w:val="auto"/>
          <w:highlight w:val="none"/>
          <w:lang w:bidi="he-IL"/>
        </w:rPr>
        <w:t>本项目运营期职工</w:t>
      </w:r>
      <w:r>
        <w:rPr>
          <w:rFonts w:hint="eastAsia"/>
          <w:color w:val="auto"/>
          <w:highlight w:val="none"/>
          <w:lang w:val="en-US" w:eastAsia="zh-CN" w:bidi="he-IL"/>
        </w:rPr>
        <w:t>50</w:t>
      </w:r>
      <w:r>
        <w:rPr>
          <w:rFonts w:hint="eastAsia"/>
          <w:color w:val="auto"/>
          <w:highlight w:val="none"/>
          <w:lang w:bidi="he-IL"/>
        </w:rPr>
        <w:t>人，均不住宿，年工作</w:t>
      </w:r>
      <w:r>
        <w:rPr>
          <w:rFonts w:hint="eastAsia"/>
          <w:color w:val="auto"/>
          <w:highlight w:val="none"/>
          <w:lang w:val="en-US" w:eastAsia="zh-CN" w:bidi="he-IL"/>
        </w:rPr>
        <w:t>300</w:t>
      </w:r>
      <w:r>
        <w:rPr>
          <w:rFonts w:hint="eastAsia"/>
          <w:color w:val="auto"/>
          <w:highlight w:val="none"/>
          <w:lang w:bidi="he-IL"/>
        </w:rPr>
        <w:t>天。参考《福建省行业用水定额》</w:t>
      </w:r>
      <w:r>
        <w:rPr>
          <w:rFonts w:hint="eastAsia"/>
          <w:color w:val="auto"/>
          <w:highlight w:val="none"/>
          <w:lang w:eastAsia="zh-CN" w:bidi="he-IL"/>
        </w:rPr>
        <w:t>（</w:t>
      </w:r>
      <w:r>
        <w:rPr>
          <w:rFonts w:hint="eastAsia"/>
          <w:color w:val="auto"/>
          <w:highlight w:val="none"/>
          <w:lang w:bidi="he-IL"/>
        </w:rPr>
        <w:t>DB35/T772-2018</w:t>
      </w:r>
      <w:r>
        <w:rPr>
          <w:rFonts w:hint="eastAsia"/>
          <w:color w:val="auto"/>
          <w:highlight w:val="none"/>
          <w:lang w:eastAsia="zh-CN" w:bidi="he-IL"/>
        </w:rPr>
        <w:t>），</w:t>
      </w:r>
      <w:r>
        <w:rPr>
          <w:rFonts w:hint="eastAsia"/>
          <w:color w:val="auto"/>
          <w:highlight w:val="none"/>
          <w:lang w:bidi="he-IL"/>
        </w:rPr>
        <w:t>不住厂员工生活用水量按50L/d·人计，则生活用水量约为</w:t>
      </w:r>
      <w:r>
        <w:rPr>
          <w:rFonts w:hint="eastAsia"/>
          <w:color w:val="auto"/>
          <w:highlight w:val="none"/>
          <w:lang w:val="en-US" w:eastAsia="zh-CN" w:bidi="he-IL"/>
        </w:rPr>
        <w:t>2.5</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/d</w:t>
      </w:r>
      <w:r>
        <w:rPr>
          <w:rFonts w:hint="eastAsia"/>
          <w:color w:val="auto"/>
          <w:highlight w:val="none"/>
          <w:lang w:eastAsia="zh-CN" w:bidi="he-IL"/>
        </w:rPr>
        <w:t>（</w:t>
      </w:r>
      <w:r>
        <w:rPr>
          <w:rFonts w:hint="eastAsia"/>
          <w:color w:val="auto"/>
          <w:highlight w:val="none"/>
          <w:lang w:val="en-US" w:eastAsia="zh-CN" w:bidi="he-IL"/>
        </w:rPr>
        <w:t>750</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/a</w:t>
      </w:r>
      <w:r>
        <w:rPr>
          <w:rFonts w:hint="eastAsia"/>
          <w:color w:val="auto"/>
          <w:highlight w:val="none"/>
          <w:lang w:eastAsia="zh-CN" w:bidi="he-IL"/>
        </w:rPr>
        <w:t>）</w:t>
      </w:r>
      <w:r>
        <w:rPr>
          <w:rFonts w:hint="eastAsia"/>
          <w:color w:val="auto"/>
          <w:highlight w:val="none"/>
          <w:lang w:bidi="he-IL"/>
        </w:rPr>
        <w:t>。生活污水排放系数按80%计，则生活污水产生量为</w:t>
      </w:r>
      <w:r>
        <w:rPr>
          <w:rFonts w:hint="eastAsia"/>
          <w:color w:val="auto"/>
          <w:highlight w:val="none"/>
          <w:lang w:val="en-US" w:eastAsia="zh-CN" w:bidi="he-IL"/>
        </w:rPr>
        <w:t>2</w:t>
      </w:r>
      <w:r>
        <w:rPr>
          <w:rFonts w:hint="eastAsia"/>
          <w:color w:val="auto"/>
          <w:highlight w:val="none"/>
          <w:lang w:bidi="he-IL"/>
        </w:rPr>
        <w:t>m</w:t>
      </w:r>
      <w:r>
        <w:rPr>
          <w:rFonts w:hint="eastAsia"/>
          <w:color w:val="auto"/>
          <w:highlight w:val="none"/>
          <w:vertAlign w:val="superscript"/>
          <w:lang w:bidi="he-IL"/>
        </w:rPr>
        <w:t>3</w:t>
      </w:r>
      <w:r>
        <w:rPr>
          <w:rFonts w:hint="eastAsia"/>
          <w:color w:val="auto"/>
          <w:highlight w:val="none"/>
          <w:lang w:bidi="he-IL"/>
        </w:rPr>
        <w:t>/d</w:t>
      </w:r>
      <w:r>
        <w:rPr>
          <w:rFonts w:hint="eastAsia"/>
          <w:color w:val="auto"/>
          <w:highlight w:val="none"/>
          <w:lang w:eastAsia="zh-CN" w:bidi="he-IL"/>
        </w:rPr>
        <w:t>（</w:t>
      </w:r>
      <w:r>
        <w:rPr>
          <w:rFonts w:hint="eastAsia"/>
          <w:color w:val="auto"/>
          <w:highlight w:val="none"/>
          <w:lang w:val="en-US" w:eastAsia="zh-CN" w:bidi="he-IL"/>
        </w:rPr>
        <w:t>600</w:t>
      </w:r>
      <w:r>
        <w:rPr>
          <w:rFonts w:hint="eastAsia"/>
          <w:color w:val="auto"/>
          <w:highlight w:val="none"/>
          <w:lang w:bidi="he-IL"/>
        </w:rPr>
        <w:t>m</w:t>
      </w:r>
      <w:r>
        <w:rPr>
          <w:rFonts w:hint="eastAsia"/>
          <w:color w:val="auto"/>
          <w:highlight w:val="none"/>
          <w:vertAlign w:val="superscript"/>
          <w:lang w:val="en-US" w:eastAsia="zh-CN" w:bidi="he-IL"/>
        </w:rPr>
        <w:t>3</w:t>
      </w:r>
      <w:r>
        <w:rPr>
          <w:rFonts w:hint="eastAsia"/>
          <w:color w:val="auto"/>
          <w:highlight w:val="none"/>
          <w:lang w:bidi="he-IL"/>
        </w:rPr>
        <w:t>/a</w:t>
      </w:r>
      <w:r>
        <w:rPr>
          <w:rFonts w:hint="eastAsia"/>
          <w:color w:val="auto"/>
          <w:highlight w:val="none"/>
          <w:lang w:eastAsia="zh-CN" w:bidi="he-IL"/>
        </w:rPr>
        <w:t>）</w:t>
      </w:r>
      <w:r>
        <w:rPr>
          <w:rFonts w:hint="eastAsia"/>
          <w:color w:val="auto"/>
          <w:highlight w:val="none"/>
          <w:lang w:bidi="he-IL"/>
        </w:rPr>
        <w:t>。项目生活污水经</w:t>
      </w:r>
      <w:r>
        <w:rPr>
          <w:rFonts w:hint="eastAsia"/>
          <w:color w:val="auto"/>
          <w:highlight w:val="none"/>
          <w:lang w:val="en-US" w:eastAsia="zh-CN" w:bidi="he-IL"/>
        </w:rPr>
        <w:t>出租方已建</w:t>
      </w:r>
      <w:r>
        <w:rPr>
          <w:rFonts w:hint="eastAsia"/>
          <w:color w:val="auto"/>
          <w:highlight w:val="none"/>
          <w:lang w:bidi="he-IL"/>
        </w:rPr>
        <w:t>化粪池处理后，纳入市政污水管网，排入</w:t>
      </w:r>
      <w:r>
        <w:rPr>
          <w:rFonts w:hint="eastAsia"/>
          <w:color w:val="auto"/>
          <w:highlight w:val="none"/>
          <w:lang w:eastAsia="zh-CN" w:bidi="he-IL"/>
        </w:rPr>
        <w:t>青口汽车工业开发区污水处理厂</w:t>
      </w:r>
      <w:r>
        <w:rPr>
          <w:rFonts w:hint="eastAsia"/>
          <w:color w:val="auto"/>
          <w:highlight w:val="none"/>
          <w:lang w:bidi="he-IL"/>
        </w:rPr>
        <w:t>进一步处理。</w:t>
      </w:r>
    </w:p>
    <w:p w14:paraId="51F8FFE0">
      <w:pPr>
        <w:pStyle w:val="441"/>
        <w:ind w:firstLine="480"/>
        <w:rPr>
          <w:rFonts w:hint="default" w:ascii="Times New Roman" w:hAnsi="Times New Roman" w:cs="Times New Roman"/>
          <w:color w:val="auto"/>
          <w:highlight w:val="none"/>
          <w:lang w:bidi="he-IL"/>
        </w:rPr>
      </w:pPr>
      <w:r>
        <w:rPr>
          <w:rFonts w:hint="default" w:ascii="Times New Roman" w:hAnsi="Times New Roman" w:cs="Times New Roman"/>
          <w:color w:val="auto"/>
          <w:highlight w:val="none"/>
          <w:lang w:bidi="he-IL"/>
        </w:rPr>
        <w:t>生活污水的主要污染物为COD、BOD</w:t>
      </w:r>
      <w:r>
        <w:rPr>
          <w:rFonts w:hint="eastAsia" w:ascii="Times New Roman" w:hAnsi="Times New Roman" w:cs="Times New Roman"/>
          <w:color w:val="auto"/>
          <w:highlight w:val="none"/>
          <w:vertAlign w:val="subscript"/>
          <w:lang w:val="en-US" w:eastAsia="zh-CN" w:bidi="he-IL"/>
        </w:rPr>
        <w:t>5</w:t>
      </w:r>
      <w:r>
        <w:rPr>
          <w:rFonts w:hint="default" w:ascii="Times New Roman" w:hAnsi="Times New Roman" w:cs="Times New Roman"/>
          <w:color w:val="auto"/>
          <w:highlight w:val="none"/>
          <w:lang w:bidi="he-IL"/>
        </w:rPr>
        <w:t>、SS、NH</w:t>
      </w:r>
      <w:r>
        <w:rPr>
          <w:rFonts w:hint="eastAsia" w:ascii="Times New Roman" w:hAnsi="Times New Roman" w:cs="Times New Roman"/>
          <w:color w:val="auto"/>
          <w:highlight w:val="none"/>
          <w:vertAlign w:val="subscript"/>
          <w:lang w:val="en-US" w:eastAsia="zh-CN" w:bidi="he-IL"/>
        </w:rPr>
        <w:t>3</w:t>
      </w:r>
      <w:r>
        <w:rPr>
          <w:rFonts w:hint="default" w:ascii="Times New Roman" w:hAnsi="Times New Roman" w:cs="Times New Roman"/>
          <w:color w:val="auto"/>
          <w:highlight w:val="none"/>
          <w:lang w:bidi="he-IL"/>
        </w:rPr>
        <w:t>-N等，参考《给排水设计手册》</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第五册城镇排水</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典型的生活污水水质，主要污染物浓度选取：COD</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400mg/L、BOD</w:t>
      </w:r>
      <w:r>
        <w:rPr>
          <w:rFonts w:hint="eastAsia" w:ascii="Times New Roman" w:hAnsi="Times New Roman" w:cs="Times New Roman"/>
          <w:color w:val="auto"/>
          <w:highlight w:val="none"/>
          <w:vertAlign w:val="subscript"/>
          <w:lang w:val="en-US" w:eastAsia="zh-CN" w:bidi="he-IL"/>
        </w:rPr>
        <w:t>5</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200mg/L、NH</w:t>
      </w:r>
      <w:r>
        <w:rPr>
          <w:rFonts w:hint="eastAsia" w:ascii="Times New Roman" w:hAnsi="Times New Roman" w:cs="Times New Roman"/>
          <w:color w:val="auto"/>
          <w:highlight w:val="none"/>
          <w:vertAlign w:val="subscript"/>
          <w:lang w:val="en-US" w:eastAsia="zh-CN" w:bidi="he-IL"/>
        </w:rPr>
        <w:t>3</w:t>
      </w:r>
      <w:r>
        <w:rPr>
          <w:rFonts w:hint="default" w:ascii="Times New Roman" w:hAnsi="Times New Roman" w:cs="Times New Roman"/>
          <w:color w:val="auto"/>
          <w:highlight w:val="none"/>
          <w:lang w:bidi="he-IL"/>
        </w:rPr>
        <w:t>-N</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30mg/L、SS</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300mg/L。化粪池处理效率参照《村镇生活污染防治最佳可行技术指南</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试行</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HJ-BAT-9</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化粪池对污染物的去除效率为：COD</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40%、BOD</w:t>
      </w:r>
      <w:r>
        <w:rPr>
          <w:rFonts w:hint="eastAsia" w:ascii="Times New Roman" w:hAnsi="Times New Roman" w:cs="Times New Roman"/>
          <w:color w:val="auto"/>
          <w:highlight w:val="none"/>
          <w:vertAlign w:val="subscript"/>
          <w:lang w:val="en-US" w:eastAsia="zh-CN" w:bidi="he-IL"/>
        </w:rPr>
        <w:t>5</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22%、SS</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60%、NH</w:t>
      </w:r>
      <w:r>
        <w:rPr>
          <w:rFonts w:hint="eastAsia" w:ascii="Times New Roman" w:hAnsi="Times New Roman" w:cs="Times New Roman"/>
          <w:color w:val="auto"/>
          <w:highlight w:val="none"/>
          <w:vertAlign w:val="subscript"/>
          <w:lang w:val="en-US" w:eastAsia="zh-CN" w:bidi="he-IL"/>
        </w:rPr>
        <w:t>3</w:t>
      </w:r>
      <w:r>
        <w:rPr>
          <w:rFonts w:hint="default" w:ascii="Times New Roman" w:hAnsi="Times New Roman" w:cs="Times New Roman"/>
          <w:color w:val="auto"/>
          <w:highlight w:val="none"/>
          <w:lang w:bidi="he-IL"/>
        </w:rPr>
        <w:t>-N</w:t>
      </w:r>
      <w:r>
        <w:rPr>
          <w:rFonts w:hint="eastAsia" w:ascii="Times New Roman" w:hAnsi="Times New Roman" w:cs="Times New Roman"/>
          <w:color w:val="auto"/>
          <w:highlight w:val="none"/>
          <w:lang w:eastAsia="zh-CN" w:bidi="he-IL"/>
        </w:rPr>
        <w:t>：</w:t>
      </w:r>
      <w:r>
        <w:rPr>
          <w:rFonts w:hint="default" w:ascii="Times New Roman" w:hAnsi="Times New Roman" w:cs="Times New Roman"/>
          <w:color w:val="auto"/>
          <w:highlight w:val="none"/>
          <w:lang w:bidi="he-IL"/>
        </w:rPr>
        <w:t>10%。</w:t>
      </w:r>
    </w:p>
    <w:p w14:paraId="1033DDB3">
      <w:pPr>
        <w:pStyle w:val="1336"/>
        <w:ind w:firstLine="480"/>
        <w:rPr>
          <w:color w:val="auto"/>
          <w:highlight w:val="none"/>
          <w:lang w:bidi="he-IL"/>
        </w:rPr>
      </w:pPr>
      <w:r>
        <w:rPr>
          <w:color w:val="auto"/>
          <w:highlight w:val="none"/>
        </w:rPr>
        <w:t>废水中各污染物产生情况见表</w:t>
      </w:r>
      <w:r>
        <w:rPr>
          <w:rFonts w:hint="eastAsia"/>
          <w:color w:val="auto"/>
          <w:highlight w:val="none"/>
          <w:lang w:eastAsia="zh-CN"/>
        </w:rPr>
        <w:t>3.4</w:t>
      </w:r>
      <w:r>
        <w:rPr>
          <w:color w:val="auto"/>
          <w:highlight w:val="none"/>
        </w:rPr>
        <w:t>-</w:t>
      </w:r>
      <w:r>
        <w:rPr>
          <w:rFonts w:hint="eastAsia"/>
          <w:color w:val="auto"/>
          <w:highlight w:val="none"/>
          <w:lang w:val="en-US" w:eastAsia="zh-CN"/>
        </w:rPr>
        <w:t>1</w:t>
      </w:r>
      <w:r>
        <w:rPr>
          <w:color w:val="auto"/>
          <w:highlight w:val="none"/>
        </w:rPr>
        <w:t>。</w:t>
      </w:r>
    </w:p>
    <w:p w14:paraId="18F31143">
      <w:pPr>
        <w:pStyle w:val="8"/>
        <w:bidi w:val="0"/>
        <w:rPr>
          <w:rFonts w:hint="default" w:ascii="Times New Roman" w:hAnsi="Times New Roman" w:cs="Times New Roman"/>
          <w:color w:val="auto"/>
          <w:highlight w:val="none"/>
        </w:rPr>
        <w:sectPr>
          <w:pgSz w:w="11906" w:h="16838"/>
          <w:pgMar w:top="1440" w:right="1418" w:bottom="1440" w:left="1418"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6747ADBB">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生活污水</w:t>
      </w:r>
      <w:r>
        <w:rPr>
          <w:rFonts w:hint="default" w:ascii="Times New Roman" w:hAnsi="Times New Roman" w:cs="Times New Roman"/>
          <w:color w:val="auto"/>
          <w:highlight w:val="none"/>
        </w:rPr>
        <w:t>中各污染物产生情况一览表</w:t>
      </w:r>
    </w:p>
    <w:tbl>
      <w:tblPr>
        <w:tblStyle w:val="1311"/>
        <w:tblW w:w="14155" w:type="dxa"/>
        <w:tblInd w:w="106"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384"/>
        <w:gridCol w:w="306"/>
        <w:gridCol w:w="681"/>
        <w:gridCol w:w="385"/>
        <w:gridCol w:w="649"/>
        <w:gridCol w:w="751"/>
        <w:gridCol w:w="783"/>
        <w:gridCol w:w="556"/>
        <w:gridCol w:w="607"/>
        <w:gridCol w:w="595"/>
        <w:gridCol w:w="484"/>
        <w:gridCol w:w="886"/>
        <w:gridCol w:w="879"/>
        <w:gridCol w:w="459"/>
        <w:gridCol w:w="611"/>
        <w:gridCol w:w="606"/>
        <w:gridCol w:w="838"/>
        <w:gridCol w:w="681"/>
        <w:gridCol w:w="1214"/>
        <w:gridCol w:w="632"/>
        <w:gridCol w:w="1168"/>
      </w:tblGrid>
      <w:tr w14:paraId="24E8813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restart"/>
            <w:tcBorders>
              <w:tl2br w:val="nil"/>
              <w:tr2bl w:val="nil"/>
            </w:tcBorders>
            <w:noWrap w:val="0"/>
            <w:vAlign w:val="center"/>
          </w:tcPr>
          <w:p w14:paraId="6717312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产 排 污 环 节</w:t>
            </w:r>
          </w:p>
        </w:tc>
        <w:tc>
          <w:tcPr>
            <w:tcW w:w="306" w:type="dxa"/>
            <w:vMerge w:val="restart"/>
            <w:tcBorders>
              <w:tl2br w:val="nil"/>
              <w:tr2bl w:val="nil"/>
            </w:tcBorders>
            <w:noWrap w:val="0"/>
            <w:vAlign w:val="center"/>
          </w:tcPr>
          <w:p w14:paraId="687F42DF">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类 别</w:t>
            </w:r>
          </w:p>
        </w:tc>
        <w:tc>
          <w:tcPr>
            <w:tcW w:w="681" w:type="dxa"/>
            <w:vMerge w:val="restart"/>
            <w:tcBorders>
              <w:tl2br w:val="nil"/>
              <w:tr2bl w:val="nil"/>
            </w:tcBorders>
            <w:noWrap w:val="0"/>
            <w:vAlign w:val="center"/>
          </w:tcPr>
          <w:p w14:paraId="3BED94F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污染物种类</w:t>
            </w:r>
          </w:p>
        </w:tc>
        <w:tc>
          <w:tcPr>
            <w:tcW w:w="2568" w:type="dxa"/>
            <w:gridSpan w:val="4"/>
            <w:tcBorders>
              <w:tl2br w:val="nil"/>
              <w:tr2bl w:val="nil"/>
            </w:tcBorders>
            <w:noWrap w:val="0"/>
            <w:vAlign w:val="center"/>
          </w:tcPr>
          <w:p w14:paraId="3DBD8D3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污染源产生</w:t>
            </w:r>
          </w:p>
        </w:tc>
        <w:tc>
          <w:tcPr>
            <w:tcW w:w="1758" w:type="dxa"/>
            <w:gridSpan w:val="3"/>
            <w:tcBorders>
              <w:tl2br w:val="nil"/>
              <w:tr2bl w:val="nil"/>
            </w:tcBorders>
            <w:noWrap w:val="0"/>
            <w:vAlign w:val="center"/>
          </w:tcPr>
          <w:p w14:paraId="7F4F52B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治理措施</w:t>
            </w:r>
          </w:p>
        </w:tc>
        <w:tc>
          <w:tcPr>
            <w:tcW w:w="2249" w:type="dxa"/>
            <w:gridSpan w:val="3"/>
            <w:tcBorders>
              <w:tl2br w:val="nil"/>
              <w:tr2bl w:val="nil"/>
            </w:tcBorders>
            <w:noWrap w:val="0"/>
            <w:vAlign w:val="center"/>
          </w:tcPr>
          <w:p w14:paraId="0D7B09A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污染物排放</w:t>
            </w:r>
          </w:p>
        </w:tc>
        <w:tc>
          <w:tcPr>
            <w:tcW w:w="459" w:type="dxa"/>
            <w:vMerge w:val="restart"/>
            <w:tcBorders>
              <w:tl2br w:val="nil"/>
              <w:tr2bl w:val="nil"/>
            </w:tcBorders>
            <w:noWrap w:val="0"/>
            <w:vAlign w:val="center"/>
          </w:tcPr>
          <w:p w14:paraId="23C8685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排放方式</w:t>
            </w:r>
          </w:p>
        </w:tc>
        <w:tc>
          <w:tcPr>
            <w:tcW w:w="611" w:type="dxa"/>
            <w:vMerge w:val="restart"/>
            <w:tcBorders>
              <w:tl2br w:val="nil"/>
              <w:tr2bl w:val="nil"/>
            </w:tcBorders>
            <w:noWrap w:val="0"/>
            <w:vAlign w:val="center"/>
          </w:tcPr>
          <w:p w14:paraId="5E4E675C">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排放去向</w:t>
            </w:r>
          </w:p>
        </w:tc>
        <w:tc>
          <w:tcPr>
            <w:tcW w:w="606" w:type="dxa"/>
            <w:vMerge w:val="restart"/>
            <w:tcBorders>
              <w:tl2br w:val="nil"/>
              <w:tr2bl w:val="nil"/>
            </w:tcBorders>
            <w:noWrap w:val="0"/>
            <w:vAlign w:val="center"/>
          </w:tcPr>
          <w:p w14:paraId="31B035B9">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排放规律</w:t>
            </w:r>
          </w:p>
        </w:tc>
        <w:tc>
          <w:tcPr>
            <w:tcW w:w="2733" w:type="dxa"/>
            <w:gridSpan w:val="3"/>
            <w:tcBorders>
              <w:tl2br w:val="nil"/>
              <w:tr2bl w:val="nil"/>
            </w:tcBorders>
            <w:noWrap w:val="0"/>
            <w:vAlign w:val="center"/>
          </w:tcPr>
          <w:p w14:paraId="45F90E4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排放口基本情况</w:t>
            </w:r>
          </w:p>
        </w:tc>
        <w:tc>
          <w:tcPr>
            <w:tcW w:w="632" w:type="dxa"/>
            <w:vMerge w:val="restart"/>
            <w:tcBorders>
              <w:tl2br w:val="nil"/>
              <w:tr2bl w:val="nil"/>
            </w:tcBorders>
            <w:noWrap w:val="0"/>
            <w:vAlign w:val="center"/>
          </w:tcPr>
          <w:p w14:paraId="6D0A4C3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w:t>
            </w:r>
          </w:p>
          <w:p w14:paraId="20C91508">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时间</w:t>
            </w:r>
          </w:p>
          <w:p w14:paraId="1F2F1B69">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h</w:t>
            </w:r>
          </w:p>
        </w:tc>
        <w:tc>
          <w:tcPr>
            <w:tcW w:w="1168" w:type="dxa"/>
            <w:tcBorders>
              <w:tl2br w:val="nil"/>
              <w:tr2bl w:val="nil"/>
            </w:tcBorders>
            <w:noWrap w:val="0"/>
            <w:vAlign w:val="center"/>
          </w:tcPr>
          <w:p w14:paraId="5CF0575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排放标准</w:t>
            </w:r>
          </w:p>
        </w:tc>
      </w:tr>
      <w:tr w14:paraId="2D52931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continue"/>
            <w:tcBorders>
              <w:tl2br w:val="nil"/>
              <w:tr2bl w:val="nil"/>
            </w:tcBorders>
            <w:noWrap w:val="0"/>
            <w:textDirection w:val="tbRlV"/>
            <w:vAlign w:val="center"/>
          </w:tcPr>
          <w:p w14:paraId="29E5E82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06" w:type="dxa"/>
            <w:vMerge w:val="continue"/>
            <w:tcBorders>
              <w:tl2br w:val="nil"/>
              <w:tr2bl w:val="nil"/>
            </w:tcBorders>
            <w:noWrap w:val="0"/>
            <w:textDirection w:val="tbRlV"/>
            <w:vAlign w:val="center"/>
          </w:tcPr>
          <w:p w14:paraId="644AA3B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vMerge w:val="continue"/>
            <w:tcBorders>
              <w:tl2br w:val="nil"/>
              <w:tr2bl w:val="nil"/>
            </w:tcBorders>
            <w:noWrap w:val="0"/>
            <w:vAlign w:val="center"/>
          </w:tcPr>
          <w:p w14:paraId="3185339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85" w:type="dxa"/>
            <w:tcBorders>
              <w:tl2br w:val="nil"/>
              <w:tr2bl w:val="nil"/>
            </w:tcBorders>
            <w:noWrap w:val="0"/>
            <w:vAlign w:val="center"/>
          </w:tcPr>
          <w:p w14:paraId="5FB21A1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核算方法</w:t>
            </w:r>
          </w:p>
        </w:tc>
        <w:tc>
          <w:tcPr>
            <w:tcW w:w="649" w:type="dxa"/>
            <w:tcBorders>
              <w:tl2br w:val="nil"/>
              <w:tr2bl w:val="nil"/>
            </w:tcBorders>
            <w:noWrap w:val="0"/>
            <w:vAlign w:val="center"/>
          </w:tcPr>
          <w:p w14:paraId="327CFCE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产生</w:t>
            </w:r>
          </w:p>
          <w:p w14:paraId="1179C37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废水</w:t>
            </w:r>
          </w:p>
          <w:p w14:paraId="5CAC3C1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量</w:t>
            </w:r>
          </w:p>
          <w:p w14:paraId="397AD13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/a</w:t>
            </w:r>
          </w:p>
        </w:tc>
        <w:tc>
          <w:tcPr>
            <w:tcW w:w="751" w:type="dxa"/>
            <w:tcBorders>
              <w:tl2br w:val="nil"/>
              <w:tr2bl w:val="nil"/>
            </w:tcBorders>
            <w:noWrap w:val="0"/>
            <w:vAlign w:val="center"/>
          </w:tcPr>
          <w:p w14:paraId="44E0589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产生浓度/mg/L</w:t>
            </w:r>
          </w:p>
        </w:tc>
        <w:tc>
          <w:tcPr>
            <w:tcW w:w="783" w:type="dxa"/>
            <w:tcBorders>
              <w:tl2br w:val="nil"/>
              <w:tr2bl w:val="nil"/>
            </w:tcBorders>
            <w:noWrap w:val="0"/>
            <w:vAlign w:val="center"/>
          </w:tcPr>
          <w:p w14:paraId="1BA1F91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产生</w:t>
            </w:r>
          </w:p>
          <w:p w14:paraId="4F61EA79">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量</w:t>
            </w:r>
          </w:p>
          <w:p w14:paraId="5AD816BE">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/t/a</w:t>
            </w:r>
          </w:p>
        </w:tc>
        <w:tc>
          <w:tcPr>
            <w:tcW w:w="556" w:type="dxa"/>
            <w:tcBorders>
              <w:tl2br w:val="nil"/>
              <w:tr2bl w:val="nil"/>
            </w:tcBorders>
            <w:noWrap w:val="0"/>
            <w:vAlign w:val="center"/>
          </w:tcPr>
          <w:p w14:paraId="4664742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处理能力</w:t>
            </w:r>
          </w:p>
        </w:tc>
        <w:tc>
          <w:tcPr>
            <w:tcW w:w="607" w:type="dxa"/>
            <w:tcBorders>
              <w:tl2br w:val="nil"/>
              <w:tr2bl w:val="nil"/>
            </w:tcBorders>
            <w:noWrap w:val="0"/>
            <w:vAlign w:val="center"/>
          </w:tcPr>
          <w:p w14:paraId="327D701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治理效率</w:t>
            </w:r>
          </w:p>
        </w:tc>
        <w:tc>
          <w:tcPr>
            <w:tcW w:w="595" w:type="dxa"/>
            <w:tcBorders>
              <w:tl2br w:val="nil"/>
              <w:tr2bl w:val="nil"/>
            </w:tcBorders>
            <w:noWrap w:val="0"/>
            <w:vAlign w:val="center"/>
          </w:tcPr>
          <w:p w14:paraId="75BC5EC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是否为可行技术</w:t>
            </w:r>
          </w:p>
        </w:tc>
        <w:tc>
          <w:tcPr>
            <w:tcW w:w="484" w:type="dxa"/>
            <w:tcBorders>
              <w:tl2br w:val="nil"/>
              <w:tr2bl w:val="nil"/>
            </w:tcBorders>
            <w:noWrap w:val="0"/>
            <w:vAlign w:val="center"/>
          </w:tcPr>
          <w:p w14:paraId="5D7443B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w:t>
            </w:r>
          </w:p>
          <w:p w14:paraId="5C1DE9E4">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废水</w:t>
            </w:r>
          </w:p>
          <w:p w14:paraId="5C5EAF3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量</w:t>
            </w:r>
          </w:p>
          <w:p w14:paraId="2474589F">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/a</w:t>
            </w:r>
          </w:p>
        </w:tc>
        <w:tc>
          <w:tcPr>
            <w:tcW w:w="886" w:type="dxa"/>
            <w:tcBorders>
              <w:tl2br w:val="nil"/>
              <w:tr2bl w:val="nil"/>
            </w:tcBorders>
            <w:noWrap w:val="0"/>
            <w:vAlign w:val="center"/>
          </w:tcPr>
          <w:p w14:paraId="75BB3CE6">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排放浓度</w:t>
            </w:r>
          </w:p>
          <w:p w14:paraId="6C6D40A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/mg/L</w:t>
            </w:r>
          </w:p>
        </w:tc>
        <w:tc>
          <w:tcPr>
            <w:tcW w:w="879" w:type="dxa"/>
            <w:tcBorders>
              <w:tl2br w:val="nil"/>
              <w:tr2bl w:val="nil"/>
            </w:tcBorders>
            <w:noWrap w:val="0"/>
            <w:vAlign w:val="center"/>
          </w:tcPr>
          <w:p w14:paraId="4453817C">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排放量/t/a</w:t>
            </w:r>
          </w:p>
        </w:tc>
        <w:tc>
          <w:tcPr>
            <w:tcW w:w="459" w:type="dxa"/>
            <w:vMerge w:val="continue"/>
            <w:tcBorders>
              <w:tl2br w:val="nil"/>
              <w:tr2bl w:val="nil"/>
            </w:tcBorders>
            <w:noWrap w:val="0"/>
            <w:textDirection w:val="tbRlV"/>
            <w:vAlign w:val="center"/>
          </w:tcPr>
          <w:p w14:paraId="40160646">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11" w:type="dxa"/>
            <w:vMerge w:val="continue"/>
            <w:tcBorders>
              <w:tl2br w:val="nil"/>
              <w:tr2bl w:val="nil"/>
            </w:tcBorders>
            <w:noWrap w:val="0"/>
            <w:vAlign w:val="center"/>
          </w:tcPr>
          <w:p w14:paraId="0E86A21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6" w:type="dxa"/>
            <w:vMerge w:val="continue"/>
            <w:tcBorders>
              <w:tl2br w:val="nil"/>
              <w:tr2bl w:val="nil"/>
            </w:tcBorders>
            <w:noWrap w:val="0"/>
            <w:vAlign w:val="center"/>
          </w:tcPr>
          <w:p w14:paraId="068D4A0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838" w:type="dxa"/>
            <w:tcBorders>
              <w:tl2br w:val="nil"/>
              <w:tr2bl w:val="nil"/>
            </w:tcBorders>
            <w:noWrap w:val="0"/>
            <w:vAlign w:val="center"/>
          </w:tcPr>
          <w:p w14:paraId="00A9D00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编号及名称</w:t>
            </w:r>
          </w:p>
        </w:tc>
        <w:tc>
          <w:tcPr>
            <w:tcW w:w="681" w:type="dxa"/>
            <w:tcBorders>
              <w:tl2br w:val="nil"/>
              <w:tr2bl w:val="nil"/>
            </w:tcBorders>
            <w:noWrap w:val="0"/>
            <w:vAlign w:val="center"/>
          </w:tcPr>
          <w:p w14:paraId="196504A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类型</w:t>
            </w:r>
          </w:p>
        </w:tc>
        <w:tc>
          <w:tcPr>
            <w:tcW w:w="1214" w:type="dxa"/>
            <w:tcBorders>
              <w:tl2br w:val="nil"/>
              <w:tr2bl w:val="nil"/>
            </w:tcBorders>
            <w:noWrap w:val="0"/>
            <w:vAlign w:val="center"/>
          </w:tcPr>
          <w:p w14:paraId="4D131D4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地理</w:t>
            </w:r>
          </w:p>
          <w:p w14:paraId="030141DC">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坐标</w:t>
            </w:r>
          </w:p>
        </w:tc>
        <w:tc>
          <w:tcPr>
            <w:tcW w:w="632" w:type="dxa"/>
            <w:vMerge w:val="continue"/>
            <w:tcBorders>
              <w:tl2br w:val="nil"/>
              <w:tr2bl w:val="nil"/>
            </w:tcBorders>
            <w:noWrap w:val="0"/>
            <w:vAlign w:val="center"/>
          </w:tcPr>
          <w:p w14:paraId="70CAC28C">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168" w:type="dxa"/>
            <w:tcBorders>
              <w:tl2br w:val="nil"/>
              <w:tr2bl w:val="nil"/>
            </w:tcBorders>
            <w:noWrap w:val="0"/>
            <w:vAlign w:val="center"/>
          </w:tcPr>
          <w:p w14:paraId="48B60DB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浓度</w:t>
            </w:r>
          </w:p>
          <w:p w14:paraId="0C53B95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/mg/L</w:t>
            </w:r>
          </w:p>
        </w:tc>
      </w:tr>
      <w:tr w14:paraId="2FCAF8F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restart"/>
            <w:tcBorders>
              <w:tl2br w:val="nil"/>
              <w:tr2bl w:val="nil"/>
            </w:tcBorders>
            <w:noWrap w:val="0"/>
            <w:vAlign w:val="center"/>
          </w:tcPr>
          <w:p w14:paraId="6651138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职 工</w:t>
            </w:r>
          </w:p>
        </w:tc>
        <w:tc>
          <w:tcPr>
            <w:tcW w:w="306" w:type="dxa"/>
            <w:vMerge w:val="restart"/>
            <w:tcBorders>
              <w:tl2br w:val="nil"/>
              <w:tr2bl w:val="nil"/>
            </w:tcBorders>
            <w:noWrap w:val="0"/>
            <w:vAlign w:val="center"/>
          </w:tcPr>
          <w:p w14:paraId="20618C03">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 活 污 水</w:t>
            </w:r>
          </w:p>
        </w:tc>
        <w:tc>
          <w:tcPr>
            <w:tcW w:w="681" w:type="dxa"/>
            <w:tcBorders>
              <w:tl2br w:val="nil"/>
              <w:tr2bl w:val="nil"/>
            </w:tcBorders>
            <w:noWrap w:val="0"/>
            <w:vAlign w:val="center"/>
          </w:tcPr>
          <w:p w14:paraId="4296177F">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pH</w:t>
            </w:r>
          </w:p>
        </w:tc>
        <w:tc>
          <w:tcPr>
            <w:tcW w:w="385" w:type="dxa"/>
            <w:vMerge w:val="restart"/>
            <w:tcBorders>
              <w:tl2br w:val="nil"/>
              <w:tr2bl w:val="nil"/>
            </w:tcBorders>
            <w:noWrap w:val="0"/>
            <w:vAlign w:val="center"/>
          </w:tcPr>
          <w:p w14:paraId="7DE5662C">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类比法</w:t>
            </w:r>
          </w:p>
        </w:tc>
        <w:tc>
          <w:tcPr>
            <w:tcW w:w="649" w:type="dxa"/>
            <w:vMerge w:val="restart"/>
            <w:tcBorders>
              <w:tl2br w:val="nil"/>
              <w:tr2bl w:val="nil"/>
            </w:tcBorders>
            <w:noWrap w:val="0"/>
            <w:vAlign w:val="center"/>
          </w:tcPr>
          <w:p w14:paraId="309C6E0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600</w:t>
            </w:r>
          </w:p>
        </w:tc>
        <w:tc>
          <w:tcPr>
            <w:tcW w:w="751" w:type="dxa"/>
            <w:tcBorders>
              <w:tl2br w:val="nil"/>
              <w:tr2bl w:val="nil"/>
            </w:tcBorders>
            <w:noWrap w:val="0"/>
            <w:vAlign w:val="center"/>
          </w:tcPr>
          <w:p w14:paraId="075ED8B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6-9</w:t>
            </w:r>
          </w:p>
        </w:tc>
        <w:tc>
          <w:tcPr>
            <w:tcW w:w="783" w:type="dxa"/>
            <w:tcBorders>
              <w:tl2br w:val="nil"/>
              <w:tr2bl w:val="nil"/>
            </w:tcBorders>
            <w:noWrap w:val="0"/>
            <w:vAlign w:val="center"/>
          </w:tcPr>
          <w:p w14:paraId="37DA9EBA">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556" w:type="dxa"/>
            <w:vMerge w:val="restart"/>
            <w:tcBorders>
              <w:tl2br w:val="nil"/>
              <w:tr2bl w:val="nil"/>
            </w:tcBorders>
            <w:noWrap w:val="0"/>
            <w:vAlign w:val="center"/>
          </w:tcPr>
          <w:p w14:paraId="443296D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化粪池</w:t>
            </w:r>
          </w:p>
        </w:tc>
        <w:tc>
          <w:tcPr>
            <w:tcW w:w="607" w:type="dxa"/>
            <w:tcBorders>
              <w:tl2br w:val="nil"/>
              <w:tr2bl w:val="nil"/>
            </w:tcBorders>
            <w:noWrap w:val="0"/>
            <w:vAlign w:val="center"/>
          </w:tcPr>
          <w:p w14:paraId="03C8F55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595" w:type="dxa"/>
            <w:vMerge w:val="restart"/>
            <w:tcBorders>
              <w:tl2br w:val="nil"/>
              <w:tr2bl w:val="nil"/>
            </w:tcBorders>
            <w:noWrap w:val="0"/>
            <w:vAlign w:val="center"/>
          </w:tcPr>
          <w:p w14:paraId="1E59D6EB">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是</w:t>
            </w:r>
          </w:p>
        </w:tc>
        <w:tc>
          <w:tcPr>
            <w:tcW w:w="484" w:type="dxa"/>
            <w:vMerge w:val="restart"/>
            <w:tcBorders>
              <w:tl2br w:val="nil"/>
              <w:tr2bl w:val="nil"/>
            </w:tcBorders>
            <w:noWrap w:val="0"/>
            <w:vAlign w:val="center"/>
          </w:tcPr>
          <w:p w14:paraId="40C029A8">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600</w:t>
            </w:r>
          </w:p>
        </w:tc>
        <w:tc>
          <w:tcPr>
            <w:tcW w:w="886" w:type="dxa"/>
            <w:tcBorders>
              <w:tl2br w:val="nil"/>
              <w:tr2bl w:val="nil"/>
            </w:tcBorders>
            <w:noWrap w:val="0"/>
            <w:vAlign w:val="center"/>
          </w:tcPr>
          <w:p w14:paraId="6F220C5E">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879" w:type="dxa"/>
            <w:tcBorders>
              <w:tl2br w:val="nil"/>
              <w:tr2bl w:val="nil"/>
            </w:tcBorders>
            <w:noWrap w:val="0"/>
            <w:vAlign w:val="center"/>
          </w:tcPr>
          <w:p w14:paraId="34ACE5F7">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459" w:type="dxa"/>
            <w:vMerge w:val="restart"/>
            <w:tcBorders>
              <w:tl2br w:val="nil"/>
              <w:tr2bl w:val="nil"/>
            </w:tcBorders>
            <w:noWrap w:val="0"/>
            <w:vAlign w:val="center"/>
          </w:tcPr>
          <w:p w14:paraId="29A58C1F">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间接 排放</w:t>
            </w:r>
          </w:p>
        </w:tc>
        <w:tc>
          <w:tcPr>
            <w:tcW w:w="611" w:type="dxa"/>
            <w:vMerge w:val="restart"/>
            <w:tcBorders>
              <w:tl2br w:val="nil"/>
              <w:tr2bl w:val="nil"/>
            </w:tcBorders>
            <w:noWrap w:val="0"/>
            <w:vAlign w:val="center"/>
          </w:tcPr>
          <w:p w14:paraId="6622D02B">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接</w:t>
            </w:r>
            <w:r>
              <w:rPr>
                <w:rFonts w:hint="default" w:ascii="Times New Roman" w:hAnsi="Times New Roman" w:eastAsia="宋体" w:cs="Times New Roman"/>
                <w:color w:val="auto"/>
                <w:highlight w:val="none"/>
                <w:lang w:val="en-US" w:eastAsia="zh-CN"/>
              </w:rPr>
              <w:t>入市政污水管网</w:t>
            </w:r>
            <w:r>
              <w:rPr>
                <w:rFonts w:hint="eastAsia" w:ascii="Times New Roman" w:hAnsi="Times New Roman" w:eastAsia="宋体" w:cs="Times New Roman"/>
                <w:color w:val="auto"/>
                <w:highlight w:val="none"/>
                <w:lang w:val="en-US" w:eastAsia="zh-CN"/>
              </w:rPr>
              <w:t>排入</w:t>
            </w:r>
            <w:r>
              <w:rPr>
                <w:rFonts w:hint="default" w:ascii="Times New Roman" w:hAnsi="Times New Roman" w:eastAsia="宋体" w:cs="Times New Roman"/>
                <w:color w:val="auto"/>
                <w:highlight w:val="none"/>
                <w:lang w:val="en-US" w:eastAsia="zh-CN"/>
              </w:rPr>
              <w:t>污水厂</w:t>
            </w:r>
          </w:p>
        </w:tc>
        <w:tc>
          <w:tcPr>
            <w:tcW w:w="606" w:type="dxa"/>
            <w:vMerge w:val="restart"/>
            <w:tcBorders>
              <w:tl2br w:val="nil"/>
              <w:tr2bl w:val="nil"/>
            </w:tcBorders>
            <w:noWrap w:val="0"/>
            <w:vAlign w:val="center"/>
          </w:tcPr>
          <w:p w14:paraId="5FF96D13">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间歇排放</w:t>
            </w:r>
          </w:p>
        </w:tc>
        <w:tc>
          <w:tcPr>
            <w:tcW w:w="838" w:type="dxa"/>
            <w:vMerge w:val="restart"/>
            <w:tcBorders>
              <w:tl2br w:val="nil"/>
              <w:tr2bl w:val="nil"/>
            </w:tcBorders>
            <w:noWrap w:val="0"/>
            <w:vAlign w:val="center"/>
          </w:tcPr>
          <w:p w14:paraId="32A3A98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编号</w:t>
            </w:r>
          </w:p>
          <w:p w14:paraId="647FCB1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DW001， 厂区污水</w:t>
            </w:r>
          </w:p>
          <w:p w14:paraId="7C656FC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总排口</w:t>
            </w:r>
          </w:p>
        </w:tc>
        <w:tc>
          <w:tcPr>
            <w:tcW w:w="681" w:type="dxa"/>
            <w:vMerge w:val="restart"/>
            <w:tcBorders>
              <w:tl2br w:val="nil"/>
              <w:tr2bl w:val="nil"/>
            </w:tcBorders>
            <w:noWrap w:val="0"/>
            <w:vAlign w:val="center"/>
          </w:tcPr>
          <w:p w14:paraId="34EB077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一般</w:t>
            </w:r>
          </w:p>
          <w:p w14:paraId="314BC0C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排放</w:t>
            </w:r>
          </w:p>
          <w:p w14:paraId="1E4DC343">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口</w:t>
            </w:r>
          </w:p>
        </w:tc>
        <w:tc>
          <w:tcPr>
            <w:tcW w:w="1214" w:type="dxa"/>
            <w:vMerge w:val="restart"/>
            <w:tcBorders>
              <w:tl2br w:val="nil"/>
              <w:tr2bl w:val="nil"/>
            </w:tcBorders>
            <w:noWrap w:val="0"/>
            <w:vAlign w:val="center"/>
          </w:tcPr>
          <w:p w14:paraId="3A2BC6A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经度：119°</w:t>
            </w:r>
          </w:p>
          <w:p w14:paraId="5D261B7E">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7.359</w:t>
            </w:r>
            <w:r>
              <w:rPr>
                <w:rFonts w:hint="default" w:ascii="Times New Roman" w:hAnsi="Times New Roman" w:eastAsia="宋体" w:cs="Times New Roman"/>
                <w:color w:val="auto"/>
                <w:highlight w:val="none"/>
                <w:lang w:val="en-US" w:eastAsia="zh-CN"/>
              </w:rPr>
              <w:t xml:space="preserve">" </w:t>
            </w:r>
          </w:p>
          <w:p w14:paraId="731FFAF8">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纬度：25°</w:t>
            </w:r>
          </w:p>
          <w:p w14:paraId="608FDC7A">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53</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28.660</w:t>
            </w:r>
            <w:r>
              <w:rPr>
                <w:rFonts w:hint="default" w:ascii="Times New Roman" w:hAnsi="Times New Roman" w:eastAsia="宋体" w:cs="Times New Roman"/>
                <w:color w:val="auto"/>
                <w:highlight w:val="none"/>
                <w:lang w:val="en-US" w:eastAsia="zh-CN"/>
              </w:rPr>
              <w:t xml:space="preserve">" </w:t>
            </w:r>
          </w:p>
        </w:tc>
        <w:tc>
          <w:tcPr>
            <w:tcW w:w="632" w:type="dxa"/>
            <w:vMerge w:val="restart"/>
            <w:tcBorders>
              <w:tl2br w:val="nil"/>
              <w:tr2bl w:val="nil"/>
            </w:tcBorders>
            <w:noWrap w:val="0"/>
            <w:vAlign w:val="center"/>
          </w:tcPr>
          <w:p w14:paraId="2085C48C">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7200</w:t>
            </w:r>
          </w:p>
        </w:tc>
        <w:tc>
          <w:tcPr>
            <w:tcW w:w="1168" w:type="dxa"/>
            <w:tcBorders>
              <w:tl2br w:val="nil"/>
              <w:tr2bl w:val="nil"/>
            </w:tcBorders>
            <w:noWrap w:val="0"/>
            <w:vAlign w:val="center"/>
          </w:tcPr>
          <w:p w14:paraId="3D514B3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6-9</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无量纲</w:t>
            </w:r>
            <w:r>
              <w:rPr>
                <w:rFonts w:hint="eastAsia" w:ascii="Times New Roman" w:hAnsi="Times New Roman" w:eastAsia="宋体" w:cs="Times New Roman"/>
                <w:color w:val="auto"/>
                <w:highlight w:val="none"/>
                <w:lang w:val="en-US" w:eastAsia="zh-CN"/>
              </w:rPr>
              <w:t>）</w:t>
            </w:r>
          </w:p>
        </w:tc>
      </w:tr>
      <w:tr w14:paraId="6DE1DD3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continue"/>
            <w:tcBorders>
              <w:tl2br w:val="nil"/>
              <w:tr2bl w:val="nil"/>
            </w:tcBorders>
            <w:noWrap w:val="0"/>
            <w:textDirection w:val="tbRlV"/>
            <w:vAlign w:val="center"/>
          </w:tcPr>
          <w:p w14:paraId="6C13DAFB">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06" w:type="dxa"/>
            <w:vMerge w:val="continue"/>
            <w:tcBorders>
              <w:tl2br w:val="nil"/>
              <w:tr2bl w:val="nil"/>
            </w:tcBorders>
            <w:noWrap w:val="0"/>
            <w:textDirection w:val="tbRlV"/>
            <w:vAlign w:val="center"/>
          </w:tcPr>
          <w:p w14:paraId="5898D6C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tcBorders>
              <w:tl2br w:val="nil"/>
              <w:tr2bl w:val="nil"/>
            </w:tcBorders>
            <w:noWrap w:val="0"/>
            <w:vAlign w:val="center"/>
          </w:tcPr>
          <w:p w14:paraId="1F9EA57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COD</w:t>
            </w:r>
            <w:r>
              <w:rPr>
                <w:rFonts w:hint="default" w:ascii="Times New Roman" w:hAnsi="Times New Roman" w:eastAsia="宋体" w:cs="Times New Roman"/>
                <w:color w:val="auto"/>
                <w:highlight w:val="none"/>
                <w:vertAlign w:val="subscript"/>
                <w:lang w:val="en-US" w:eastAsia="zh-CN"/>
              </w:rPr>
              <w:t>Cr</w:t>
            </w:r>
          </w:p>
        </w:tc>
        <w:tc>
          <w:tcPr>
            <w:tcW w:w="385" w:type="dxa"/>
            <w:vMerge w:val="continue"/>
            <w:tcBorders>
              <w:tl2br w:val="nil"/>
              <w:tr2bl w:val="nil"/>
            </w:tcBorders>
            <w:noWrap w:val="0"/>
            <w:textDirection w:val="tbRlV"/>
            <w:vAlign w:val="center"/>
          </w:tcPr>
          <w:p w14:paraId="173830FC">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49" w:type="dxa"/>
            <w:vMerge w:val="continue"/>
            <w:tcBorders>
              <w:tl2br w:val="nil"/>
              <w:tr2bl w:val="nil"/>
            </w:tcBorders>
            <w:noWrap w:val="0"/>
            <w:vAlign w:val="center"/>
          </w:tcPr>
          <w:p w14:paraId="0A238F8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751" w:type="dxa"/>
            <w:tcBorders>
              <w:tl2br w:val="nil"/>
              <w:tr2bl w:val="nil"/>
            </w:tcBorders>
            <w:noWrap w:val="0"/>
            <w:vAlign w:val="center"/>
          </w:tcPr>
          <w:p w14:paraId="24739AD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400</w:t>
            </w:r>
          </w:p>
        </w:tc>
        <w:tc>
          <w:tcPr>
            <w:tcW w:w="783" w:type="dxa"/>
            <w:tcBorders>
              <w:tl2br w:val="nil"/>
              <w:tr2bl w:val="nil"/>
            </w:tcBorders>
            <w:noWrap w:val="0"/>
            <w:vAlign w:val="center"/>
          </w:tcPr>
          <w:p w14:paraId="4688EEE8">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0.24</w:t>
            </w:r>
          </w:p>
        </w:tc>
        <w:tc>
          <w:tcPr>
            <w:tcW w:w="556" w:type="dxa"/>
            <w:vMerge w:val="continue"/>
            <w:tcBorders>
              <w:tl2br w:val="nil"/>
              <w:tr2bl w:val="nil"/>
            </w:tcBorders>
            <w:noWrap w:val="0"/>
            <w:vAlign w:val="center"/>
          </w:tcPr>
          <w:p w14:paraId="4C23273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7" w:type="dxa"/>
            <w:tcBorders>
              <w:tl2br w:val="nil"/>
              <w:tr2bl w:val="nil"/>
            </w:tcBorders>
            <w:noWrap w:val="0"/>
            <w:vAlign w:val="center"/>
          </w:tcPr>
          <w:p w14:paraId="223EB1DC">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40</w:t>
            </w:r>
            <w:r>
              <w:rPr>
                <w:rFonts w:hint="default" w:ascii="Times New Roman" w:hAnsi="Times New Roman" w:eastAsia="宋体" w:cs="Times New Roman"/>
                <w:color w:val="auto"/>
                <w:highlight w:val="none"/>
                <w:lang w:val="en-US" w:eastAsia="zh-CN"/>
              </w:rPr>
              <w:t>%</w:t>
            </w:r>
          </w:p>
        </w:tc>
        <w:tc>
          <w:tcPr>
            <w:tcW w:w="595" w:type="dxa"/>
            <w:vMerge w:val="continue"/>
            <w:tcBorders>
              <w:tl2br w:val="nil"/>
              <w:tr2bl w:val="nil"/>
            </w:tcBorders>
            <w:noWrap w:val="0"/>
            <w:vAlign w:val="center"/>
          </w:tcPr>
          <w:p w14:paraId="6099AC03">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484" w:type="dxa"/>
            <w:vMerge w:val="continue"/>
            <w:tcBorders>
              <w:tl2br w:val="nil"/>
              <w:tr2bl w:val="nil"/>
            </w:tcBorders>
            <w:noWrap w:val="0"/>
            <w:vAlign w:val="center"/>
          </w:tcPr>
          <w:p w14:paraId="1B0CC181">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886" w:type="dxa"/>
            <w:tcBorders>
              <w:tl2br w:val="nil"/>
              <w:tr2bl w:val="nil"/>
            </w:tcBorders>
            <w:noWrap w:val="0"/>
            <w:vAlign w:val="center"/>
          </w:tcPr>
          <w:p w14:paraId="188943CF">
            <w:pPr>
              <w:pStyle w:val="1358"/>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240</w:t>
            </w:r>
          </w:p>
        </w:tc>
        <w:tc>
          <w:tcPr>
            <w:tcW w:w="879" w:type="dxa"/>
            <w:tcBorders>
              <w:tl2br w:val="nil"/>
              <w:tr2bl w:val="nil"/>
            </w:tcBorders>
            <w:noWrap w:val="0"/>
            <w:vAlign w:val="center"/>
          </w:tcPr>
          <w:p w14:paraId="158B8D95">
            <w:pPr>
              <w:pStyle w:val="1358"/>
              <w:autoSpaceDE w:val="0"/>
              <w:autoSpaceDN w:val="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0.144</w:t>
            </w:r>
          </w:p>
        </w:tc>
        <w:tc>
          <w:tcPr>
            <w:tcW w:w="459" w:type="dxa"/>
            <w:vMerge w:val="continue"/>
            <w:tcBorders>
              <w:tl2br w:val="nil"/>
              <w:tr2bl w:val="nil"/>
            </w:tcBorders>
            <w:noWrap w:val="0"/>
            <w:textDirection w:val="tbRlV"/>
            <w:vAlign w:val="center"/>
          </w:tcPr>
          <w:p w14:paraId="5BE6D0CF">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11" w:type="dxa"/>
            <w:vMerge w:val="continue"/>
            <w:tcBorders>
              <w:tl2br w:val="nil"/>
              <w:tr2bl w:val="nil"/>
            </w:tcBorders>
            <w:noWrap w:val="0"/>
            <w:vAlign w:val="center"/>
          </w:tcPr>
          <w:p w14:paraId="1266C57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6" w:type="dxa"/>
            <w:vMerge w:val="continue"/>
            <w:tcBorders>
              <w:tl2br w:val="nil"/>
              <w:tr2bl w:val="nil"/>
            </w:tcBorders>
            <w:noWrap w:val="0"/>
            <w:vAlign w:val="center"/>
          </w:tcPr>
          <w:p w14:paraId="45C1A36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838" w:type="dxa"/>
            <w:vMerge w:val="continue"/>
            <w:tcBorders>
              <w:tl2br w:val="nil"/>
              <w:tr2bl w:val="nil"/>
            </w:tcBorders>
            <w:noWrap w:val="0"/>
            <w:vAlign w:val="center"/>
          </w:tcPr>
          <w:p w14:paraId="0D4DC66B">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vMerge w:val="continue"/>
            <w:tcBorders>
              <w:tl2br w:val="nil"/>
              <w:tr2bl w:val="nil"/>
            </w:tcBorders>
            <w:noWrap w:val="0"/>
            <w:vAlign w:val="center"/>
          </w:tcPr>
          <w:p w14:paraId="466BD60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214" w:type="dxa"/>
            <w:vMerge w:val="continue"/>
            <w:tcBorders>
              <w:tl2br w:val="nil"/>
              <w:tr2bl w:val="nil"/>
            </w:tcBorders>
            <w:noWrap w:val="0"/>
            <w:vAlign w:val="center"/>
          </w:tcPr>
          <w:p w14:paraId="7002ECE0">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32" w:type="dxa"/>
            <w:vMerge w:val="continue"/>
            <w:tcBorders>
              <w:tl2br w:val="nil"/>
              <w:tr2bl w:val="nil"/>
            </w:tcBorders>
            <w:noWrap w:val="0"/>
            <w:vAlign w:val="center"/>
          </w:tcPr>
          <w:p w14:paraId="14DAB7D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168" w:type="dxa"/>
            <w:tcBorders>
              <w:tl2br w:val="nil"/>
              <w:tr2bl w:val="nil"/>
            </w:tcBorders>
            <w:noWrap w:val="0"/>
            <w:vAlign w:val="center"/>
          </w:tcPr>
          <w:p w14:paraId="65E35B3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500</w:t>
            </w:r>
          </w:p>
        </w:tc>
      </w:tr>
      <w:tr w14:paraId="35C15F1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continue"/>
            <w:tcBorders>
              <w:tl2br w:val="nil"/>
              <w:tr2bl w:val="nil"/>
            </w:tcBorders>
            <w:noWrap w:val="0"/>
            <w:textDirection w:val="tbRlV"/>
            <w:vAlign w:val="center"/>
          </w:tcPr>
          <w:p w14:paraId="71A3C53A">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06" w:type="dxa"/>
            <w:vMerge w:val="continue"/>
            <w:tcBorders>
              <w:tl2br w:val="nil"/>
              <w:tr2bl w:val="nil"/>
            </w:tcBorders>
            <w:noWrap w:val="0"/>
            <w:textDirection w:val="tbRlV"/>
            <w:vAlign w:val="center"/>
          </w:tcPr>
          <w:p w14:paraId="3B8F3E7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tcBorders>
              <w:tl2br w:val="nil"/>
              <w:tr2bl w:val="nil"/>
            </w:tcBorders>
            <w:noWrap w:val="0"/>
            <w:vAlign w:val="center"/>
          </w:tcPr>
          <w:p w14:paraId="1C11EA4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BOD</w:t>
            </w:r>
            <w:r>
              <w:rPr>
                <w:rFonts w:hint="default" w:ascii="Times New Roman" w:hAnsi="Times New Roman" w:eastAsia="宋体" w:cs="Times New Roman"/>
                <w:color w:val="auto"/>
                <w:highlight w:val="none"/>
                <w:vertAlign w:val="subscript"/>
                <w:lang w:val="en-US" w:eastAsia="zh-CN"/>
              </w:rPr>
              <w:t>5</w:t>
            </w:r>
          </w:p>
        </w:tc>
        <w:tc>
          <w:tcPr>
            <w:tcW w:w="385" w:type="dxa"/>
            <w:vMerge w:val="continue"/>
            <w:tcBorders>
              <w:tl2br w:val="nil"/>
              <w:tr2bl w:val="nil"/>
            </w:tcBorders>
            <w:noWrap w:val="0"/>
            <w:textDirection w:val="tbRlV"/>
            <w:vAlign w:val="center"/>
          </w:tcPr>
          <w:p w14:paraId="6A1D24F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49" w:type="dxa"/>
            <w:vMerge w:val="continue"/>
            <w:tcBorders>
              <w:tl2br w:val="nil"/>
              <w:tr2bl w:val="nil"/>
            </w:tcBorders>
            <w:noWrap w:val="0"/>
            <w:vAlign w:val="center"/>
          </w:tcPr>
          <w:p w14:paraId="2F35F91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751" w:type="dxa"/>
            <w:tcBorders>
              <w:tl2br w:val="nil"/>
              <w:tr2bl w:val="nil"/>
            </w:tcBorders>
            <w:noWrap w:val="0"/>
            <w:vAlign w:val="center"/>
          </w:tcPr>
          <w:p w14:paraId="5C107D4D">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200</w:t>
            </w:r>
          </w:p>
        </w:tc>
        <w:tc>
          <w:tcPr>
            <w:tcW w:w="783" w:type="dxa"/>
            <w:tcBorders>
              <w:tl2br w:val="nil"/>
              <w:tr2bl w:val="nil"/>
            </w:tcBorders>
            <w:noWrap w:val="0"/>
            <w:vAlign w:val="center"/>
          </w:tcPr>
          <w:p w14:paraId="6A1E4061">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0.12</w:t>
            </w:r>
          </w:p>
        </w:tc>
        <w:tc>
          <w:tcPr>
            <w:tcW w:w="556" w:type="dxa"/>
            <w:vMerge w:val="continue"/>
            <w:tcBorders>
              <w:tl2br w:val="nil"/>
              <w:tr2bl w:val="nil"/>
            </w:tcBorders>
            <w:noWrap w:val="0"/>
            <w:vAlign w:val="center"/>
          </w:tcPr>
          <w:p w14:paraId="5BC8B7A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7" w:type="dxa"/>
            <w:tcBorders>
              <w:tl2br w:val="nil"/>
              <w:tr2bl w:val="nil"/>
            </w:tcBorders>
            <w:noWrap w:val="0"/>
            <w:vAlign w:val="center"/>
          </w:tcPr>
          <w:p w14:paraId="13E5F6FB">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w:t>
            </w:r>
            <w:r>
              <w:rPr>
                <w:rFonts w:hint="default" w:ascii="Times New Roman" w:hAnsi="Times New Roman" w:eastAsia="宋体" w:cs="Times New Roman"/>
                <w:color w:val="auto"/>
                <w:highlight w:val="none"/>
                <w:lang w:val="en-US" w:eastAsia="zh-CN"/>
              </w:rPr>
              <w:t>%</w:t>
            </w:r>
          </w:p>
        </w:tc>
        <w:tc>
          <w:tcPr>
            <w:tcW w:w="595" w:type="dxa"/>
            <w:vMerge w:val="continue"/>
            <w:tcBorders>
              <w:tl2br w:val="nil"/>
              <w:tr2bl w:val="nil"/>
            </w:tcBorders>
            <w:noWrap w:val="0"/>
            <w:vAlign w:val="center"/>
          </w:tcPr>
          <w:p w14:paraId="0ABF8412">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484" w:type="dxa"/>
            <w:vMerge w:val="continue"/>
            <w:tcBorders>
              <w:tl2br w:val="nil"/>
              <w:tr2bl w:val="nil"/>
            </w:tcBorders>
            <w:noWrap w:val="0"/>
            <w:vAlign w:val="center"/>
          </w:tcPr>
          <w:p w14:paraId="78114DAD">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886" w:type="dxa"/>
            <w:tcBorders>
              <w:tl2br w:val="nil"/>
              <w:tr2bl w:val="nil"/>
            </w:tcBorders>
            <w:noWrap w:val="0"/>
            <w:vAlign w:val="center"/>
          </w:tcPr>
          <w:p w14:paraId="7703ED58">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156</w:t>
            </w:r>
          </w:p>
        </w:tc>
        <w:tc>
          <w:tcPr>
            <w:tcW w:w="879" w:type="dxa"/>
            <w:tcBorders>
              <w:tl2br w:val="nil"/>
              <w:tr2bl w:val="nil"/>
            </w:tcBorders>
            <w:noWrap w:val="0"/>
            <w:vAlign w:val="center"/>
          </w:tcPr>
          <w:p w14:paraId="59505EBA">
            <w:pPr>
              <w:pStyle w:val="1358"/>
              <w:autoSpaceDE w:val="0"/>
              <w:autoSpaceDN w:val="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0.0936</w:t>
            </w:r>
          </w:p>
        </w:tc>
        <w:tc>
          <w:tcPr>
            <w:tcW w:w="459" w:type="dxa"/>
            <w:vMerge w:val="continue"/>
            <w:tcBorders>
              <w:tl2br w:val="nil"/>
              <w:tr2bl w:val="nil"/>
            </w:tcBorders>
            <w:noWrap w:val="0"/>
            <w:textDirection w:val="tbRlV"/>
            <w:vAlign w:val="center"/>
          </w:tcPr>
          <w:p w14:paraId="2F82AED5">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11" w:type="dxa"/>
            <w:vMerge w:val="continue"/>
            <w:tcBorders>
              <w:tl2br w:val="nil"/>
              <w:tr2bl w:val="nil"/>
            </w:tcBorders>
            <w:noWrap w:val="0"/>
            <w:vAlign w:val="center"/>
          </w:tcPr>
          <w:p w14:paraId="436CCF1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6" w:type="dxa"/>
            <w:vMerge w:val="continue"/>
            <w:tcBorders>
              <w:tl2br w:val="nil"/>
              <w:tr2bl w:val="nil"/>
            </w:tcBorders>
            <w:noWrap w:val="0"/>
            <w:vAlign w:val="center"/>
          </w:tcPr>
          <w:p w14:paraId="14460DF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838" w:type="dxa"/>
            <w:vMerge w:val="continue"/>
            <w:tcBorders>
              <w:tl2br w:val="nil"/>
              <w:tr2bl w:val="nil"/>
            </w:tcBorders>
            <w:noWrap w:val="0"/>
            <w:vAlign w:val="center"/>
          </w:tcPr>
          <w:p w14:paraId="2651688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vMerge w:val="continue"/>
            <w:tcBorders>
              <w:tl2br w:val="nil"/>
              <w:tr2bl w:val="nil"/>
            </w:tcBorders>
            <w:noWrap w:val="0"/>
            <w:vAlign w:val="center"/>
          </w:tcPr>
          <w:p w14:paraId="60ED30AF">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214" w:type="dxa"/>
            <w:vMerge w:val="continue"/>
            <w:tcBorders>
              <w:tl2br w:val="nil"/>
              <w:tr2bl w:val="nil"/>
            </w:tcBorders>
            <w:noWrap w:val="0"/>
            <w:vAlign w:val="center"/>
          </w:tcPr>
          <w:p w14:paraId="6D01EFEB">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32" w:type="dxa"/>
            <w:vMerge w:val="continue"/>
            <w:tcBorders>
              <w:tl2br w:val="nil"/>
              <w:tr2bl w:val="nil"/>
            </w:tcBorders>
            <w:noWrap w:val="0"/>
            <w:vAlign w:val="center"/>
          </w:tcPr>
          <w:p w14:paraId="65772BF2">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168" w:type="dxa"/>
            <w:tcBorders>
              <w:tl2br w:val="nil"/>
              <w:tr2bl w:val="nil"/>
            </w:tcBorders>
            <w:noWrap w:val="0"/>
            <w:vAlign w:val="center"/>
          </w:tcPr>
          <w:p w14:paraId="270F9E79">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300</w:t>
            </w:r>
          </w:p>
        </w:tc>
      </w:tr>
      <w:tr w14:paraId="2667A37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continue"/>
            <w:tcBorders>
              <w:tl2br w:val="nil"/>
              <w:tr2bl w:val="nil"/>
            </w:tcBorders>
            <w:noWrap w:val="0"/>
            <w:textDirection w:val="tbRlV"/>
            <w:vAlign w:val="center"/>
          </w:tcPr>
          <w:p w14:paraId="3A4CF5A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06" w:type="dxa"/>
            <w:vMerge w:val="continue"/>
            <w:tcBorders>
              <w:tl2br w:val="nil"/>
              <w:tr2bl w:val="nil"/>
            </w:tcBorders>
            <w:noWrap w:val="0"/>
            <w:textDirection w:val="tbRlV"/>
            <w:vAlign w:val="center"/>
          </w:tcPr>
          <w:p w14:paraId="4A495E2E">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tcBorders>
              <w:tl2br w:val="nil"/>
              <w:tr2bl w:val="nil"/>
            </w:tcBorders>
            <w:noWrap w:val="0"/>
            <w:vAlign w:val="center"/>
          </w:tcPr>
          <w:p w14:paraId="29833C2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SS</w:t>
            </w:r>
          </w:p>
        </w:tc>
        <w:tc>
          <w:tcPr>
            <w:tcW w:w="385" w:type="dxa"/>
            <w:vMerge w:val="continue"/>
            <w:tcBorders>
              <w:tl2br w:val="nil"/>
              <w:tr2bl w:val="nil"/>
            </w:tcBorders>
            <w:noWrap w:val="0"/>
            <w:textDirection w:val="tbRlV"/>
            <w:vAlign w:val="center"/>
          </w:tcPr>
          <w:p w14:paraId="07994B6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49" w:type="dxa"/>
            <w:vMerge w:val="continue"/>
            <w:tcBorders>
              <w:tl2br w:val="nil"/>
              <w:tr2bl w:val="nil"/>
            </w:tcBorders>
            <w:noWrap w:val="0"/>
            <w:vAlign w:val="center"/>
          </w:tcPr>
          <w:p w14:paraId="69A4A74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751" w:type="dxa"/>
            <w:tcBorders>
              <w:tl2br w:val="nil"/>
              <w:tr2bl w:val="nil"/>
            </w:tcBorders>
            <w:noWrap w:val="0"/>
            <w:vAlign w:val="center"/>
          </w:tcPr>
          <w:p w14:paraId="7E405547">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300</w:t>
            </w:r>
          </w:p>
        </w:tc>
        <w:tc>
          <w:tcPr>
            <w:tcW w:w="783" w:type="dxa"/>
            <w:tcBorders>
              <w:tl2br w:val="nil"/>
              <w:tr2bl w:val="nil"/>
            </w:tcBorders>
            <w:noWrap w:val="0"/>
            <w:vAlign w:val="center"/>
          </w:tcPr>
          <w:p w14:paraId="5A0A26F0">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0.18</w:t>
            </w:r>
          </w:p>
        </w:tc>
        <w:tc>
          <w:tcPr>
            <w:tcW w:w="556" w:type="dxa"/>
            <w:vMerge w:val="continue"/>
            <w:tcBorders>
              <w:tl2br w:val="nil"/>
              <w:tr2bl w:val="nil"/>
            </w:tcBorders>
            <w:noWrap w:val="0"/>
            <w:vAlign w:val="center"/>
          </w:tcPr>
          <w:p w14:paraId="172BB22A">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7" w:type="dxa"/>
            <w:tcBorders>
              <w:tl2br w:val="nil"/>
              <w:tr2bl w:val="nil"/>
            </w:tcBorders>
            <w:noWrap w:val="0"/>
            <w:vAlign w:val="center"/>
          </w:tcPr>
          <w:p w14:paraId="7F7DBB5F">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w:t>
            </w:r>
            <w:r>
              <w:rPr>
                <w:rFonts w:hint="default" w:ascii="Times New Roman" w:hAnsi="Times New Roman" w:eastAsia="宋体" w:cs="Times New Roman"/>
                <w:color w:val="auto"/>
                <w:highlight w:val="none"/>
                <w:lang w:val="en-US" w:eastAsia="zh-CN"/>
              </w:rPr>
              <w:t>%</w:t>
            </w:r>
          </w:p>
        </w:tc>
        <w:tc>
          <w:tcPr>
            <w:tcW w:w="595" w:type="dxa"/>
            <w:vMerge w:val="continue"/>
            <w:tcBorders>
              <w:tl2br w:val="nil"/>
              <w:tr2bl w:val="nil"/>
            </w:tcBorders>
            <w:noWrap w:val="0"/>
            <w:vAlign w:val="center"/>
          </w:tcPr>
          <w:p w14:paraId="6AD68F8F">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484" w:type="dxa"/>
            <w:vMerge w:val="continue"/>
            <w:tcBorders>
              <w:tl2br w:val="nil"/>
              <w:tr2bl w:val="nil"/>
            </w:tcBorders>
            <w:noWrap w:val="0"/>
            <w:vAlign w:val="center"/>
          </w:tcPr>
          <w:p w14:paraId="2FD9C136">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886" w:type="dxa"/>
            <w:tcBorders>
              <w:tl2br w:val="nil"/>
              <w:tr2bl w:val="nil"/>
            </w:tcBorders>
            <w:noWrap w:val="0"/>
            <w:vAlign w:val="center"/>
          </w:tcPr>
          <w:p w14:paraId="025CF79F">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w:t>
            </w:r>
          </w:p>
        </w:tc>
        <w:tc>
          <w:tcPr>
            <w:tcW w:w="879" w:type="dxa"/>
            <w:tcBorders>
              <w:tl2br w:val="nil"/>
              <w:tr2bl w:val="nil"/>
            </w:tcBorders>
            <w:noWrap w:val="0"/>
            <w:vAlign w:val="center"/>
          </w:tcPr>
          <w:p w14:paraId="363A8D03">
            <w:pPr>
              <w:pStyle w:val="1358"/>
              <w:autoSpaceDE w:val="0"/>
              <w:autoSpaceDN w:val="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0.072</w:t>
            </w:r>
          </w:p>
        </w:tc>
        <w:tc>
          <w:tcPr>
            <w:tcW w:w="459" w:type="dxa"/>
            <w:vMerge w:val="continue"/>
            <w:tcBorders>
              <w:tl2br w:val="nil"/>
              <w:tr2bl w:val="nil"/>
            </w:tcBorders>
            <w:noWrap w:val="0"/>
            <w:textDirection w:val="tbRlV"/>
            <w:vAlign w:val="center"/>
          </w:tcPr>
          <w:p w14:paraId="5DF1076C">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11" w:type="dxa"/>
            <w:vMerge w:val="continue"/>
            <w:tcBorders>
              <w:tl2br w:val="nil"/>
              <w:tr2bl w:val="nil"/>
            </w:tcBorders>
            <w:noWrap w:val="0"/>
            <w:vAlign w:val="center"/>
          </w:tcPr>
          <w:p w14:paraId="023C05AA">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6" w:type="dxa"/>
            <w:vMerge w:val="continue"/>
            <w:tcBorders>
              <w:tl2br w:val="nil"/>
              <w:tr2bl w:val="nil"/>
            </w:tcBorders>
            <w:noWrap w:val="0"/>
            <w:vAlign w:val="center"/>
          </w:tcPr>
          <w:p w14:paraId="510C71F8">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838" w:type="dxa"/>
            <w:vMerge w:val="continue"/>
            <w:tcBorders>
              <w:tl2br w:val="nil"/>
              <w:tr2bl w:val="nil"/>
            </w:tcBorders>
            <w:noWrap w:val="0"/>
            <w:vAlign w:val="center"/>
          </w:tcPr>
          <w:p w14:paraId="0156819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vMerge w:val="continue"/>
            <w:tcBorders>
              <w:tl2br w:val="nil"/>
              <w:tr2bl w:val="nil"/>
            </w:tcBorders>
            <w:noWrap w:val="0"/>
            <w:vAlign w:val="center"/>
          </w:tcPr>
          <w:p w14:paraId="69A25D0F">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214" w:type="dxa"/>
            <w:vMerge w:val="continue"/>
            <w:tcBorders>
              <w:tl2br w:val="nil"/>
              <w:tr2bl w:val="nil"/>
            </w:tcBorders>
            <w:noWrap w:val="0"/>
            <w:vAlign w:val="center"/>
          </w:tcPr>
          <w:p w14:paraId="17B7F5FF">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32" w:type="dxa"/>
            <w:vMerge w:val="continue"/>
            <w:tcBorders>
              <w:tl2br w:val="nil"/>
              <w:tr2bl w:val="nil"/>
            </w:tcBorders>
            <w:noWrap w:val="0"/>
            <w:vAlign w:val="center"/>
          </w:tcPr>
          <w:p w14:paraId="14D4AAD1">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168" w:type="dxa"/>
            <w:tcBorders>
              <w:tl2br w:val="nil"/>
              <w:tr2bl w:val="nil"/>
            </w:tcBorders>
            <w:noWrap w:val="0"/>
            <w:vAlign w:val="center"/>
          </w:tcPr>
          <w:p w14:paraId="33D32F3D">
            <w:pPr>
              <w:pStyle w:val="1358"/>
              <w:autoSpaceDE w:val="0"/>
              <w:autoSpaceDN w:val="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5</w:t>
            </w:r>
          </w:p>
        </w:tc>
      </w:tr>
      <w:tr w14:paraId="56FC58F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84" w:type="dxa"/>
            <w:vMerge w:val="continue"/>
            <w:tcBorders>
              <w:tl2br w:val="nil"/>
              <w:tr2bl w:val="nil"/>
            </w:tcBorders>
            <w:noWrap w:val="0"/>
            <w:textDirection w:val="tbRlV"/>
            <w:vAlign w:val="center"/>
          </w:tcPr>
          <w:p w14:paraId="6A6659D4">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306" w:type="dxa"/>
            <w:vMerge w:val="continue"/>
            <w:tcBorders>
              <w:tl2br w:val="nil"/>
              <w:tr2bl w:val="nil"/>
            </w:tcBorders>
            <w:noWrap w:val="0"/>
            <w:textDirection w:val="tbRlV"/>
            <w:vAlign w:val="center"/>
          </w:tcPr>
          <w:p w14:paraId="484E29C5">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tcBorders>
              <w:tl2br w:val="nil"/>
              <w:tr2bl w:val="nil"/>
            </w:tcBorders>
            <w:noWrap w:val="0"/>
            <w:vAlign w:val="center"/>
          </w:tcPr>
          <w:p w14:paraId="471BC985">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NH</w:t>
            </w:r>
            <w:r>
              <w:rPr>
                <w:rFonts w:hint="default" w:ascii="Times New Roman" w:hAnsi="Times New Roman" w:eastAsia="宋体" w:cs="Times New Roman"/>
                <w:color w:val="auto"/>
                <w:highlight w:val="none"/>
                <w:vertAlign w:val="subscript"/>
                <w:lang w:val="en-US" w:eastAsia="zh-CN"/>
              </w:rPr>
              <w:t>3</w:t>
            </w:r>
            <w:r>
              <w:rPr>
                <w:rFonts w:hint="default" w:ascii="Times New Roman" w:hAnsi="Times New Roman" w:eastAsia="宋体" w:cs="Times New Roman"/>
                <w:color w:val="auto"/>
                <w:highlight w:val="none"/>
                <w:lang w:val="en-US" w:eastAsia="zh-CN"/>
              </w:rPr>
              <w:t>-N</w:t>
            </w:r>
          </w:p>
        </w:tc>
        <w:tc>
          <w:tcPr>
            <w:tcW w:w="385" w:type="dxa"/>
            <w:vMerge w:val="continue"/>
            <w:tcBorders>
              <w:tl2br w:val="nil"/>
              <w:tr2bl w:val="nil"/>
            </w:tcBorders>
            <w:noWrap w:val="0"/>
            <w:textDirection w:val="tbRlV"/>
            <w:vAlign w:val="center"/>
          </w:tcPr>
          <w:p w14:paraId="45AD1946">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49" w:type="dxa"/>
            <w:vMerge w:val="continue"/>
            <w:tcBorders>
              <w:tl2br w:val="nil"/>
              <w:tr2bl w:val="nil"/>
            </w:tcBorders>
            <w:noWrap w:val="0"/>
            <w:vAlign w:val="center"/>
          </w:tcPr>
          <w:p w14:paraId="000AA1BE">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751" w:type="dxa"/>
            <w:tcBorders>
              <w:tl2br w:val="nil"/>
              <w:tr2bl w:val="nil"/>
            </w:tcBorders>
            <w:noWrap w:val="0"/>
            <w:vAlign w:val="center"/>
          </w:tcPr>
          <w:p w14:paraId="6844A5FB">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30</w:t>
            </w:r>
          </w:p>
        </w:tc>
        <w:tc>
          <w:tcPr>
            <w:tcW w:w="783" w:type="dxa"/>
            <w:tcBorders>
              <w:tl2br w:val="nil"/>
              <w:tr2bl w:val="nil"/>
            </w:tcBorders>
            <w:noWrap w:val="0"/>
            <w:vAlign w:val="center"/>
          </w:tcPr>
          <w:p w14:paraId="657B96D2">
            <w:pPr>
              <w:pStyle w:val="1358"/>
              <w:autoSpaceDE w:val="0"/>
              <w:autoSpaceDN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0.018</w:t>
            </w:r>
          </w:p>
        </w:tc>
        <w:tc>
          <w:tcPr>
            <w:tcW w:w="556" w:type="dxa"/>
            <w:vMerge w:val="continue"/>
            <w:tcBorders>
              <w:tl2br w:val="nil"/>
              <w:tr2bl w:val="nil"/>
            </w:tcBorders>
            <w:noWrap w:val="0"/>
            <w:vAlign w:val="center"/>
          </w:tcPr>
          <w:p w14:paraId="67061136">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7" w:type="dxa"/>
            <w:tcBorders>
              <w:tl2br w:val="nil"/>
              <w:tr2bl w:val="nil"/>
            </w:tcBorders>
            <w:noWrap w:val="0"/>
            <w:vAlign w:val="center"/>
          </w:tcPr>
          <w:p w14:paraId="1C154351">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0%</w:t>
            </w:r>
          </w:p>
        </w:tc>
        <w:tc>
          <w:tcPr>
            <w:tcW w:w="595" w:type="dxa"/>
            <w:vMerge w:val="continue"/>
            <w:tcBorders>
              <w:tl2br w:val="nil"/>
              <w:tr2bl w:val="nil"/>
            </w:tcBorders>
            <w:noWrap w:val="0"/>
            <w:vAlign w:val="center"/>
          </w:tcPr>
          <w:p w14:paraId="2EE83DA7">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484" w:type="dxa"/>
            <w:vMerge w:val="continue"/>
            <w:tcBorders>
              <w:tl2br w:val="nil"/>
              <w:tr2bl w:val="nil"/>
            </w:tcBorders>
            <w:noWrap w:val="0"/>
            <w:vAlign w:val="center"/>
          </w:tcPr>
          <w:p w14:paraId="7A0FE47F">
            <w:pPr>
              <w:pStyle w:val="1358"/>
              <w:autoSpaceDE w:val="0"/>
              <w:autoSpaceDN w:val="0"/>
              <w:jc w:val="center"/>
              <w:rPr>
                <w:rFonts w:hint="eastAsia" w:ascii="Times New Roman" w:hAnsi="Times New Roman" w:eastAsia="宋体" w:cs="Times New Roman"/>
                <w:color w:val="auto"/>
                <w:highlight w:val="none"/>
                <w:lang w:val="en-US" w:eastAsia="zh-CN"/>
              </w:rPr>
            </w:pPr>
          </w:p>
        </w:tc>
        <w:tc>
          <w:tcPr>
            <w:tcW w:w="886" w:type="dxa"/>
            <w:tcBorders>
              <w:tl2br w:val="nil"/>
              <w:tr2bl w:val="nil"/>
            </w:tcBorders>
            <w:noWrap w:val="0"/>
            <w:vAlign w:val="center"/>
          </w:tcPr>
          <w:p w14:paraId="7DAC83A2">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27</w:t>
            </w:r>
          </w:p>
        </w:tc>
        <w:tc>
          <w:tcPr>
            <w:tcW w:w="879" w:type="dxa"/>
            <w:tcBorders>
              <w:tl2br w:val="nil"/>
              <w:tr2bl w:val="nil"/>
            </w:tcBorders>
            <w:noWrap w:val="0"/>
            <w:vAlign w:val="center"/>
          </w:tcPr>
          <w:p w14:paraId="0FFF6E3E">
            <w:pPr>
              <w:pStyle w:val="1358"/>
              <w:autoSpaceDE w:val="0"/>
              <w:autoSpaceDN w:val="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0.0162</w:t>
            </w:r>
          </w:p>
        </w:tc>
        <w:tc>
          <w:tcPr>
            <w:tcW w:w="459" w:type="dxa"/>
            <w:vMerge w:val="continue"/>
            <w:tcBorders>
              <w:tl2br w:val="nil"/>
              <w:tr2bl w:val="nil"/>
            </w:tcBorders>
            <w:noWrap w:val="0"/>
            <w:textDirection w:val="tbRlV"/>
            <w:vAlign w:val="center"/>
          </w:tcPr>
          <w:p w14:paraId="217DA903">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11" w:type="dxa"/>
            <w:vMerge w:val="continue"/>
            <w:tcBorders>
              <w:tl2br w:val="nil"/>
              <w:tr2bl w:val="nil"/>
            </w:tcBorders>
            <w:noWrap w:val="0"/>
            <w:vAlign w:val="center"/>
          </w:tcPr>
          <w:p w14:paraId="2FFD776A">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06" w:type="dxa"/>
            <w:vMerge w:val="continue"/>
            <w:tcBorders>
              <w:tl2br w:val="nil"/>
              <w:tr2bl w:val="nil"/>
            </w:tcBorders>
            <w:noWrap w:val="0"/>
            <w:vAlign w:val="center"/>
          </w:tcPr>
          <w:p w14:paraId="3E2EAAE4">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838" w:type="dxa"/>
            <w:vMerge w:val="continue"/>
            <w:tcBorders>
              <w:tl2br w:val="nil"/>
              <w:tr2bl w:val="nil"/>
            </w:tcBorders>
            <w:noWrap w:val="0"/>
            <w:vAlign w:val="center"/>
          </w:tcPr>
          <w:p w14:paraId="6CE0FC4C">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81" w:type="dxa"/>
            <w:vMerge w:val="continue"/>
            <w:tcBorders>
              <w:tl2br w:val="nil"/>
              <w:tr2bl w:val="nil"/>
            </w:tcBorders>
            <w:noWrap w:val="0"/>
            <w:vAlign w:val="center"/>
          </w:tcPr>
          <w:p w14:paraId="2B1398CB">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214" w:type="dxa"/>
            <w:vMerge w:val="continue"/>
            <w:tcBorders>
              <w:tl2br w:val="nil"/>
              <w:tr2bl w:val="nil"/>
            </w:tcBorders>
            <w:noWrap w:val="0"/>
            <w:vAlign w:val="center"/>
          </w:tcPr>
          <w:p w14:paraId="28F3C859">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632" w:type="dxa"/>
            <w:vMerge w:val="continue"/>
            <w:tcBorders>
              <w:tl2br w:val="nil"/>
              <w:tr2bl w:val="nil"/>
            </w:tcBorders>
            <w:noWrap w:val="0"/>
            <w:vAlign w:val="center"/>
          </w:tcPr>
          <w:p w14:paraId="1C47F5CD">
            <w:pPr>
              <w:pStyle w:val="1358"/>
              <w:autoSpaceDE w:val="0"/>
              <w:autoSpaceDN w:val="0"/>
              <w:jc w:val="center"/>
              <w:rPr>
                <w:rFonts w:hint="default" w:ascii="Times New Roman" w:hAnsi="Times New Roman" w:eastAsia="宋体" w:cs="Times New Roman"/>
                <w:color w:val="auto"/>
                <w:highlight w:val="none"/>
                <w:lang w:val="en-US" w:eastAsia="zh-CN"/>
              </w:rPr>
            </w:pPr>
          </w:p>
        </w:tc>
        <w:tc>
          <w:tcPr>
            <w:tcW w:w="1168" w:type="dxa"/>
            <w:tcBorders>
              <w:tl2br w:val="nil"/>
              <w:tr2bl w:val="nil"/>
            </w:tcBorders>
            <w:noWrap w:val="0"/>
            <w:vAlign w:val="center"/>
          </w:tcPr>
          <w:p w14:paraId="444E1F68">
            <w:pPr>
              <w:pStyle w:val="1358"/>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400</w:t>
            </w:r>
          </w:p>
        </w:tc>
      </w:tr>
    </w:tbl>
    <w:p w14:paraId="7AC2D163">
      <w:pPr>
        <w:bidi w:val="0"/>
        <w:rPr>
          <w:color w:val="auto"/>
          <w:highlight w:val="none"/>
        </w:rPr>
      </w:pPr>
    </w:p>
    <w:p w14:paraId="479C2405">
      <w:pPr>
        <w:bidi w:val="0"/>
        <w:rPr>
          <w:color w:val="auto"/>
          <w:highlight w:val="none"/>
        </w:rPr>
      </w:pPr>
    </w:p>
    <w:p w14:paraId="10104666">
      <w:pPr>
        <w:bidi w:val="0"/>
        <w:rPr>
          <w:color w:val="auto"/>
          <w:highlight w:val="none"/>
        </w:rPr>
        <w:sectPr>
          <w:pgSz w:w="16838" w:h="11906"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0B801A85">
      <w:pPr>
        <w:pStyle w:val="4"/>
        <w:numPr>
          <w:ilvl w:val="2"/>
          <w:numId w:val="0"/>
        </w:numPr>
        <w:tabs>
          <w:tab w:val="clear" w:pos="720"/>
        </w:tabs>
        <w:bidi w:val="0"/>
        <w:rPr>
          <w:color w:val="auto"/>
          <w:highlight w:val="none"/>
        </w:rPr>
      </w:pPr>
      <w:bookmarkStart w:id="351" w:name="_Toc1972"/>
      <w:r>
        <w:rPr>
          <w:rFonts w:hint="eastAsia"/>
          <w:color w:val="auto"/>
          <w:highlight w:val="none"/>
          <w:lang w:eastAsia="zh-CN"/>
        </w:rPr>
        <w:t>3.4</w:t>
      </w:r>
      <w:r>
        <w:rPr>
          <w:color w:val="auto"/>
          <w:highlight w:val="none"/>
        </w:rPr>
        <w:t>.2</w:t>
      </w:r>
      <w:r>
        <w:rPr>
          <w:rFonts w:hint="eastAsia"/>
          <w:color w:val="auto"/>
          <w:highlight w:val="none"/>
          <w:lang w:val="en-US" w:eastAsia="zh-CN"/>
        </w:rPr>
        <w:t xml:space="preserve"> </w:t>
      </w:r>
      <w:r>
        <w:rPr>
          <w:color w:val="auto"/>
          <w:highlight w:val="none"/>
        </w:rPr>
        <w:t>运营期废气污染源及污染源强分析</w:t>
      </w:r>
      <w:bookmarkEnd w:id="351"/>
    </w:p>
    <w:p w14:paraId="5339D86F">
      <w:pPr>
        <w:pStyle w:val="1336"/>
        <w:ind w:firstLine="480"/>
        <w:rPr>
          <w:rFonts w:hint="eastAsia"/>
          <w:color w:val="auto"/>
          <w:highlight w:val="none"/>
        </w:rPr>
      </w:pPr>
      <w:r>
        <w:rPr>
          <w:rFonts w:hint="eastAsia"/>
          <w:color w:val="auto"/>
          <w:highlight w:val="none"/>
        </w:rPr>
        <w:t>本项目运营期废气主要为注塑废气、粉碎粉尘、天然气燃烧废气</w:t>
      </w:r>
      <w:r>
        <w:rPr>
          <w:rFonts w:hint="eastAsia"/>
          <w:color w:val="auto"/>
          <w:highlight w:val="none"/>
          <w:lang w:eastAsia="zh-CN"/>
        </w:rPr>
        <w:t>（</w:t>
      </w:r>
      <w:r>
        <w:rPr>
          <w:rFonts w:hint="eastAsia"/>
          <w:color w:val="auto"/>
          <w:highlight w:val="none"/>
          <w:lang w:val="en-US" w:eastAsia="zh-CN"/>
        </w:rPr>
        <w:t>热水炉燃烧废气、固化炉燃烧废气、热洁炉燃烧废气、RTO燃烧废气</w:t>
      </w:r>
      <w:r>
        <w:rPr>
          <w:rFonts w:hint="eastAsia"/>
          <w:color w:val="auto"/>
          <w:highlight w:val="none"/>
          <w:lang w:eastAsia="zh-CN"/>
        </w:rPr>
        <w:t>）</w:t>
      </w:r>
      <w:r>
        <w:rPr>
          <w:rFonts w:hint="eastAsia"/>
          <w:color w:val="auto"/>
          <w:highlight w:val="none"/>
        </w:rPr>
        <w:t>、调漆废气、喷漆废气、流平废气、烘干废气</w:t>
      </w:r>
      <w:r>
        <w:rPr>
          <w:rFonts w:hint="eastAsia"/>
          <w:color w:val="auto"/>
          <w:highlight w:val="none"/>
          <w:lang w:eastAsia="zh-CN"/>
        </w:rPr>
        <w:t>、</w:t>
      </w:r>
      <w:r>
        <w:rPr>
          <w:rFonts w:hint="eastAsia"/>
          <w:color w:val="auto"/>
          <w:highlight w:val="none"/>
          <w:lang w:val="en-US" w:eastAsia="zh-CN"/>
        </w:rPr>
        <w:t>清洗废气</w:t>
      </w:r>
      <w:r>
        <w:rPr>
          <w:rFonts w:hint="eastAsia"/>
          <w:color w:val="auto"/>
          <w:highlight w:val="none"/>
          <w:lang w:eastAsia="zh-CN"/>
        </w:rPr>
        <w:t>、</w:t>
      </w:r>
      <w:r>
        <w:rPr>
          <w:rFonts w:hint="eastAsia"/>
          <w:color w:val="auto"/>
          <w:highlight w:val="none"/>
        </w:rPr>
        <w:t>点补废气</w:t>
      </w:r>
      <w:r>
        <w:rPr>
          <w:rFonts w:hint="eastAsia"/>
          <w:color w:val="auto"/>
          <w:highlight w:val="none"/>
          <w:lang w:val="en-US" w:eastAsia="zh-CN"/>
        </w:rPr>
        <w:t>和挂具去除废气</w:t>
      </w:r>
      <w:r>
        <w:rPr>
          <w:rFonts w:hint="eastAsia"/>
          <w:color w:val="auto"/>
          <w:highlight w:val="none"/>
        </w:rPr>
        <w:t>。</w:t>
      </w:r>
    </w:p>
    <w:p w14:paraId="6F26A907">
      <w:pPr>
        <w:pStyle w:val="1336"/>
        <w:numPr>
          <w:ilvl w:val="0"/>
          <w:numId w:val="0"/>
        </w:numPr>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sz w:val="24"/>
          <w:szCs w:val="22"/>
          <w:highlight w:val="none"/>
          <w:lang w:val="en-US" w:eastAsia="zh-CN" w:bidi="ar-SA"/>
        </w:rPr>
        <w:t>（1）</w:t>
      </w:r>
      <w:r>
        <w:rPr>
          <w:rFonts w:hint="eastAsia"/>
          <w:color w:val="auto"/>
          <w:highlight w:val="none"/>
          <w:lang w:val="en-US" w:eastAsia="zh-CN"/>
        </w:rPr>
        <w:t>注塑废气、粉碎粉尘</w:t>
      </w:r>
    </w:p>
    <w:p w14:paraId="4A901744">
      <w:pPr>
        <w:pStyle w:val="1336"/>
        <w:ind w:firstLine="480"/>
        <w:rPr>
          <w:rFonts w:hint="default"/>
          <w:color w:val="auto"/>
          <w:highlight w:val="none"/>
          <w:lang w:val="en-US" w:eastAsia="zh-CN"/>
        </w:rPr>
      </w:pPr>
      <w:r>
        <w:rPr>
          <w:rFonts w:hint="eastAsia"/>
          <w:color w:val="auto"/>
          <w:highlight w:val="none"/>
          <w:lang w:val="en-US" w:eastAsia="zh-CN"/>
        </w:rPr>
        <w:t>①源强分析</w:t>
      </w:r>
    </w:p>
    <w:p w14:paraId="550AC4E3">
      <w:pPr>
        <w:pStyle w:val="1336"/>
        <w:ind w:firstLine="480"/>
        <w:rPr>
          <w:rFonts w:hint="default"/>
          <w:color w:val="auto"/>
          <w:highlight w:val="none"/>
          <w:lang w:val="en-US" w:eastAsia="zh-CN"/>
        </w:rPr>
      </w:pPr>
      <w:r>
        <w:rPr>
          <w:rFonts w:hint="default"/>
          <w:color w:val="auto"/>
          <w:highlight w:val="none"/>
          <w:lang w:val="en-US" w:eastAsia="zh-CN"/>
        </w:rPr>
        <w:t>本项目注塑件原料主要为聚丙烯（PP）和丙烯腈-丁二烯-苯乙烯共聚物（ABS）。根据资料，PP热分解温度为328～410℃，ABS热分解温度为270～350℃。本项目注塑工序机头加热温度为170～200℃，均低于PP、ABS树脂的热分解温度，不会导致树脂发生明显热解。但由于塑料颗粒中存在少量残留单体及低分子挥发物，在熔融塑化过程中不可避免地会挥发出有机废气。由于原料加热在密闭机头内进行，产生的有机废气仅有少量排出。</w:t>
      </w:r>
    </w:p>
    <w:p w14:paraId="0035D70D">
      <w:pPr>
        <w:pStyle w:val="1336"/>
        <w:ind w:firstLine="480"/>
        <w:rPr>
          <w:rFonts w:hint="default"/>
          <w:color w:val="auto"/>
          <w:highlight w:val="none"/>
          <w:lang w:val="en-US" w:eastAsia="zh-CN"/>
        </w:rPr>
      </w:pPr>
      <w:r>
        <w:rPr>
          <w:rFonts w:hint="eastAsia"/>
          <w:color w:val="auto"/>
          <w:highlight w:val="none"/>
          <w:lang w:val="en-US" w:eastAsia="zh-CN"/>
        </w:rPr>
        <w:t>改性</w:t>
      </w:r>
      <w:r>
        <w:rPr>
          <w:rFonts w:hint="default"/>
          <w:color w:val="auto"/>
          <w:highlight w:val="none"/>
          <w:lang w:val="en-US" w:eastAsia="zh-CN"/>
        </w:rPr>
        <w:t>PP残留单体为丙烯，污染因子定为非甲烷总烃。ABS是丙烯腈-丁二烯-苯乙烯共聚物（丙烯腈占15%~35%、丁二烯占5%~30%、苯乙烯占40%~60%），A代表丙烯腈，B代表丁二烯，S代表苯乙烯。经参考《废旧电子塑料ABS的热解动力学和热解产物的生成机理研究》中实验结果，苯乙烯化学键断裂才能进一步生成甲苯、乙苯等苯系物，苯乙烯中烯烃双键和苯环共轭构成大π键，使整个分子结构变得稳定，不易断裂，因此ABS直接热解产物主要为苯乙烯单体、饱和烃类等，采用催化剂高温降解的情况下，使π键断裂后，降解产物将会以苯、甲苯、二甲苯为主。本项目生产过程中设备操作温度均低于塑料树脂分解温度，不会导致ABS发生明显热分解，且注塑过程中不添加催化剂。但考虑到加热可能释放ABS中残存的微量苯乙烯、丙烯腈残留单体，最终该工序废气污染因子均以非甲烷总烃计。</w:t>
      </w:r>
    </w:p>
    <w:p w14:paraId="736348E4">
      <w:pPr>
        <w:pStyle w:val="1336"/>
        <w:ind w:firstLine="480"/>
        <w:rPr>
          <w:rFonts w:hint="eastAsia"/>
          <w:color w:val="auto"/>
          <w:highlight w:val="none"/>
          <w:lang w:val="en-US" w:eastAsia="zh-CN"/>
        </w:rPr>
      </w:pPr>
      <w:r>
        <w:rPr>
          <w:rFonts w:hint="default"/>
          <w:color w:val="auto"/>
          <w:highlight w:val="none"/>
          <w:lang w:val="en-US" w:eastAsia="zh-CN"/>
        </w:rPr>
        <w:t>根据《排放源统计调查产排污核算方法和系数手册》（生态环境部公告2021年第24号）33-37、431-434机械行业系数手册，树脂纤维加工（ABS、PE、PVC、PP等原料）挥发性有机物产污系数为1.2 kg/t-原料。本项目注塑工序</w:t>
      </w:r>
      <w:r>
        <w:rPr>
          <w:rFonts w:hint="eastAsia"/>
          <w:color w:val="auto"/>
          <w:highlight w:val="none"/>
          <w:lang w:val="en-US" w:eastAsia="zh-CN"/>
        </w:rPr>
        <w:t>年工作时间为7200h，</w:t>
      </w:r>
      <w:r>
        <w:rPr>
          <w:rFonts w:hint="default"/>
          <w:color w:val="auto"/>
          <w:highlight w:val="none"/>
          <w:lang w:val="en-US" w:eastAsia="zh-CN"/>
        </w:rPr>
        <w:t>塑料颗粒用量为1446 t/a，回用料（不合格品和边角废料）用量为144.</w:t>
      </w:r>
      <w:r>
        <w:rPr>
          <w:rFonts w:hint="eastAsia"/>
          <w:color w:val="auto"/>
          <w:highlight w:val="none"/>
          <w:lang w:val="en-US" w:eastAsia="zh-CN"/>
        </w:rPr>
        <w:t>5423</w:t>
      </w:r>
      <w:r>
        <w:rPr>
          <w:rFonts w:hint="default"/>
          <w:color w:val="auto"/>
          <w:highlight w:val="none"/>
          <w:lang w:val="en-US" w:eastAsia="zh-CN"/>
        </w:rPr>
        <w:t xml:space="preserve"> t/a，合计原料用量1590.</w:t>
      </w:r>
      <w:r>
        <w:rPr>
          <w:rFonts w:hint="eastAsia"/>
          <w:color w:val="auto"/>
          <w:highlight w:val="none"/>
          <w:lang w:val="en-US" w:eastAsia="zh-CN"/>
        </w:rPr>
        <w:t>5423</w:t>
      </w:r>
      <w:r>
        <w:rPr>
          <w:rFonts w:hint="default"/>
          <w:color w:val="auto"/>
          <w:highlight w:val="none"/>
          <w:lang w:val="en-US" w:eastAsia="zh-CN"/>
        </w:rPr>
        <w:t xml:space="preserve"> t/a，则挥发性有机物产生量为1.90</w:t>
      </w:r>
      <w:r>
        <w:rPr>
          <w:rFonts w:hint="eastAsia"/>
          <w:color w:val="auto"/>
          <w:highlight w:val="none"/>
          <w:lang w:val="en-US" w:eastAsia="zh-CN"/>
        </w:rPr>
        <w:t>87</w:t>
      </w:r>
      <w:r>
        <w:rPr>
          <w:rFonts w:hint="default"/>
          <w:color w:val="auto"/>
          <w:highlight w:val="none"/>
          <w:lang w:val="en-US" w:eastAsia="zh-CN"/>
        </w:rPr>
        <w:t>t/a。</w:t>
      </w:r>
    </w:p>
    <w:p w14:paraId="670D8352">
      <w:pPr>
        <w:spacing w:line="360" w:lineRule="auto"/>
        <w:ind w:firstLine="480" w:firstLineChars="200"/>
        <w:contextualSpacing/>
        <w:rPr>
          <w:rFonts w:hint="eastAsia" w:ascii="Times New Roman" w:hAnsi="Times New Roman" w:eastAsia="宋体" w:cs="宋体"/>
          <w:bCs/>
          <w:color w:val="auto"/>
          <w:szCs w:val="21"/>
          <w:highlight w:val="none"/>
          <w:lang w:val="en-US" w:eastAsia="zh-CN"/>
        </w:rPr>
      </w:pPr>
      <w:r>
        <w:rPr>
          <w:rFonts w:hint="eastAsia" w:ascii="Times New Roman" w:hAnsi="Times New Roman" w:eastAsia="宋体" w:cs="宋体"/>
          <w:bCs/>
          <w:color w:val="auto"/>
          <w:szCs w:val="21"/>
          <w:highlight w:val="none"/>
          <w:lang w:val="en-US" w:eastAsia="zh-CN"/>
        </w:rPr>
        <w:t>本项目塑料颗粒在注塑加热过程会产生少量的臭气，主要为塑料颗粒在高温加热工序，发生反应，挥发而成。项目原料受热情况下，原料中残存未聚合的反应单体以及从聚合物中分解出的单体可挥发至空气中，其组分较复杂，因此本项目用臭气浓度指标来衡量项目生产过程中产生的恶臭污染程度。此异味的主要影响范围集中在生产设备周边以及车间边界区域。车间内的异味与有机废气会通过收集系统进行统一收集，之后由活性炭吸附处理，再进行有组织排放。与此同时，仍有少量未被收集的异味会在车间内呈现无组织排放状态。该项目所采用的塑料</w:t>
      </w:r>
      <w:r>
        <w:rPr>
          <w:rFonts w:hint="eastAsia" w:cs="宋体"/>
          <w:bCs/>
          <w:color w:val="auto"/>
          <w:szCs w:val="21"/>
          <w:highlight w:val="none"/>
          <w:lang w:val="en-US" w:eastAsia="zh-CN"/>
        </w:rPr>
        <w:t>颗粒</w:t>
      </w:r>
      <w:r>
        <w:rPr>
          <w:rFonts w:hint="eastAsia" w:ascii="Times New Roman" w:hAnsi="Times New Roman" w:eastAsia="宋体" w:cs="宋体"/>
          <w:bCs/>
          <w:color w:val="auto"/>
          <w:szCs w:val="21"/>
          <w:highlight w:val="none"/>
          <w:lang w:val="en-US" w:eastAsia="zh-CN"/>
        </w:rPr>
        <w:t>皆</w:t>
      </w:r>
      <w:r>
        <w:rPr>
          <w:rFonts w:hint="eastAsia" w:cs="宋体"/>
          <w:bCs/>
          <w:color w:val="auto"/>
          <w:szCs w:val="21"/>
          <w:highlight w:val="none"/>
          <w:lang w:val="en-US" w:eastAsia="zh-CN"/>
        </w:rPr>
        <w:t>为改性PP及ABS</w:t>
      </w:r>
      <w:r>
        <w:rPr>
          <w:rFonts w:hint="eastAsia" w:ascii="Times New Roman" w:hAnsi="Times New Roman" w:eastAsia="宋体" w:cs="宋体"/>
          <w:bCs/>
          <w:color w:val="auto"/>
          <w:szCs w:val="21"/>
          <w:highlight w:val="none"/>
          <w:lang w:val="en-US" w:eastAsia="zh-CN"/>
        </w:rPr>
        <w:t>粒子制成，并不涉及再生塑料，因此生产异味小，难以定量分析，对外环境影响不大。</w:t>
      </w:r>
    </w:p>
    <w:p w14:paraId="1B416E0D">
      <w:pPr>
        <w:pStyle w:val="1336"/>
        <w:ind w:firstLine="480"/>
        <w:rPr>
          <w:rFonts w:hint="default"/>
          <w:color w:val="auto"/>
          <w:highlight w:val="none"/>
          <w:lang w:val="en-US" w:eastAsia="zh-CN"/>
        </w:rPr>
      </w:pPr>
      <w:r>
        <w:rPr>
          <w:rFonts w:hint="eastAsia"/>
          <w:color w:val="auto"/>
          <w:highlight w:val="none"/>
        </w:rPr>
        <w:t>本项目注塑工序产生的不合格品和边角废料经粉碎机粉碎成颗粒状后，回用于生产，粉碎机密闭运行，仅出料口处会产生少量粉尘。根据《排放源统计调查产排污核算方法和系数手册》</w:t>
      </w:r>
      <w:r>
        <w:rPr>
          <w:rFonts w:hint="eastAsia"/>
          <w:color w:val="auto"/>
          <w:highlight w:val="none"/>
          <w:lang w:eastAsia="zh-CN"/>
        </w:rPr>
        <w:t>（</w:t>
      </w:r>
      <w:r>
        <w:rPr>
          <w:rFonts w:hint="eastAsia"/>
          <w:color w:val="auto"/>
          <w:highlight w:val="none"/>
        </w:rPr>
        <w:t>生态环境部公告2021年第24号</w:t>
      </w:r>
      <w:r>
        <w:rPr>
          <w:rFonts w:hint="eastAsia"/>
          <w:color w:val="auto"/>
          <w:highlight w:val="none"/>
          <w:lang w:eastAsia="zh-CN"/>
        </w:rPr>
        <w:t>）</w:t>
      </w:r>
      <w:r>
        <w:rPr>
          <w:rFonts w:hint="eastAsia"/>
          <w:color w:val="auto"/>
          <w:highlight w:val="none"/>
        </w:rPr>
        <w:t>废弃资源综合利用行业系数手册，废PP干法破碎颗粒物产生系数为0.375kg/t-原料，废ABS干法破碎颗粒物产生系数为0.425kg/t-原料，本项目所用塑料粒子包括改性PP</w:t>
      </w:r>
      <w:r>
        <w:rPr>
          <w:rFonts w:hint="eastAsia"/>
          <w:color w:val="auto"/>
          <w:highlight w:val="none"/>
          <w:lang w:val="en-US" w:eastAsia="zh-CN"/>
        </w:rPr>
        <w:t>762t/a</w:t>
      </w:r>
      <w:r>
        <w:rPr>
          <w:rFonts w:hint="eastAsia"/>
          <w:color w:val="auto"/>
          <w:highlight w:val="none"/>
        </w:rPr>
        <w:t>、ABS</w:t>
      </w:r>
      <w:r>
        <w:rPr>
          <w:rFonts w:hint="eastAsia"/>
          <w:color w:val="auto"/>
          <w:highlight w:val="none"/>
          <w:lang w:val="en-US" w:eastAsia="zh-CN"/>
        </w:rPr>
        <w:t>684t/a</w:t>
      </w:r>
      <w:r>
        <w:rPr>
          <w:rFonts w:hint="eastAsia"/>
          <w:color w:val="auto"/>
          <w:highlight w:val="none"/>
          <w:lang w:eastAsia="zh-CN"/>
        </w:rPr>
        <w:t>，</w:t>
      </w:r>
      <w:r>
        <w:rPr>
          <w:rFonts w:hint="eastAsia"/>
          <w:color w:val="auto"/>
          <w:highlight w:val="none"/>
        </w:rPr>
        <w:t>注塑工序不合格品和边角废料产生量约为原料用量的10%</w:t>
      </w:r>
      <w:r>
        <w:rPr>
          <w:rFonts w:hint="eastAsia"/>
          <w:color w:val="auto"/>
          <w:highlight w:val="none"/>
          <w:lang w:eastAsia="zh-CN"/>
        </w:rPr>
        <w:t>（</w:t>
      </w:r>
      <w:r>
        <w:rPr>
          <w:rFonts w:hint="eastAsia"/>
          <w:color w:val="auto"/>
          <w:highlight w:val="none"/>
          <w:lang w:val="en-US" w:eastAsia="zh-CN"/>
        </w:rPr>
        <w:t>废改性PP破碎粉尘产生量约为0.0286t/a、废ABS破碎粉尘产生量为</w:t>
      </w:r>
      <w:r>
        <w:rPr>
          <w:rFonts w:hint="eastAsia"/>
          <w:color w:val="auto"/>
          <w:highlight w:val="none"/>
        </w:rPr>
        <w:t>0.029</w:t>
      </w:r>
      <w:r>
        <w:rPr>
          <w:rFonts w:hint="eastAsia"/>
          <w:color w:val="auto"/>
          <w:highlight w:val="none"/>
          <w:lang w:val="en-US" w:eastAsia="zh-CN"/>
        </w:rPr>
        <w:t>1</w:t>
      </w:r>
      <w:r>
        <w:rPr>
          <w:rFonts w:hint="eastAsia"/>
          <w:color w:val="auto"/>
          <w:highlight w:val="none"/>
        </w:rPr>
        <w:t>t/a</w:t>
      </w:r>
      <w:r>
        <w:rPr>
          <w:rFonts w:hint="eastAsia"/>
          <w:color w:val="auto"/>
          <w:highlight w:val="none"/>
          <w:lang w:eastAsia="zh-CN"/>
        </w:rPr>
        <w:t>），</w:t>
      </w:r>
      <w:r>
        <w:rPr>
          <w:rFonts w:hint="eastAsia"/>
          <w:color w:val="auto"/>
          <w:highlight w:val="none"/>
        </w:rPr>
        <w:t>则粉碎粉尘</w:t>
      </w:r>
      <w:r>
        <w:rPr>
          <w:rFonts w:hint="eastAsia"/>
          <w:color w:val="auto"/>
          <w:highlight w:val="none"/>
          <w:lang w:val="en-US" w:eastAsia="zh-CN"/>
        </w:rPr>
        <w:t>合计</w:t>
      </w:r>
      <w:r>
        <w:rPr>
          <w:rFonts w:hint="eastAsia"/>
          <w:color w:val="auto"/>
          <w:highlight w:val="none"/>
        </w:rPr>
        <w:t>产生量为0.057</w:t>
      </w:r>
      <w:r>
        <w:rPr>
          <w:rFonts w:hint="eastAsia"/>
          <w:color w:val="auto"/>
          <w:highlight w:val="none"/>
          <w:lang w:val="en-US" w:eastAsia="zh-CN"/>
        </w:rPr>
        <w:t>6</w:t>
      </w:r>
      <w:r>
        <w:rPr>
          <w:rFonts w:hint="eastAsia"/>
          <w:color w:val="auto"/>
          <w:highlight w:val="none"/>
        </w:rPr>
        <w:t xml:space="preserve"> t/a</w:t>
      </w:r>
      <w:r>
        <w:rPr>
          <w:rFonts w:hint="eastAsia"/>
          <w:color w:val="auto"/>
          <w:highlight w:val="none"/>
          <w:lang w:eastAsia="zh-CN"/>
        </w:rPr>
        <w:t>，</w:t>
      </w:r>
      <w:r>
        <w:rPr>
          <w:rFonts w:hint="eastAsia"/>
          <w:color w:val="auto"/>
          <w:highlight w:val="none"/>
          <w:lang w:val="en-US" w:eastAsia="zh-CN"/>
        </w:rPr>
        <w:t>项目</w:t>
      </w:r>
      <w:r>
        <w:rPr>
          <w:rFonts w:hint="eastAsia"/>
          <w:color w:val="auto"/>
          <w:highlight w:val="none"/>
        </w:rPr>
        <w:t>粉碎机间歇性运行</w:t>
      </w:r>
      <w:r>
        <w:rPr>
          <w:rFonts w:hint="eastAsia"/>
          <w:color w:val="auto"/>
          <w:highlight w:val="none"/>
          <w:lang w:eastAsia="zh-CN"/>
        </w:rPr>
        <w:t>，</w:t>
      </w:r>
      <w:r>
        <w:rPr>
          <w:rFonts w:hint="eastAsia"/>
          <w:color w:val="auto"/>
          <w:highlight w:val="none"/>
          <w:lang w:val="en-US" w:eastAsia="zh-CN"/>
        </w:rPr>
        <w:t>年工作时间为300h</w:t>
      </w:r>
      <w:r>
        <w:rPr>
          <w:rFonts w:hint="eastAsia"/>
          <w:color w:val="auto"/>
          <w:highlight w:val="none"/>
        </w:rPr>
        <w:t>。</w:t>
      </w:r>
    </w:p>
    <w:p w14:paraId="56174F20">
      <w:pPr>
        <w:pStyle w:val="1336"/>
        <w:ind w:firstLine="480"/>
        <w:rPr>
          <w:rFonts w:hint="default"/>
          <w:color w:val="auto"/>
          <w:highlight w:val="none"/>
          <w:lang w:val="en-US" w:eastAsia="zh-CN"/>
        </w:rPr>
      </w:pPr>
      <w:r>
        <w:rPr>
          <w:rFonts w:hint="eastAsia"/>
          <w:color w:val="auto"/>
          <w:highlight w:val="none"/>
          <w:lang w:val="en-US" w:eastAsia="zh-CN"/>
        </w:rPr>
        <w:t>②</w:t>
      </w:r>
      <w:r>
        <w:rPr>
          <w:rFonts w:hint="eastAsia" w:hAnsi="宋体" w:cs="Times New Roman"/>
          <w:color w:val="auto"/>
          <w:szCs w:val="24"/>
          <w:highlight w:val="none"/>
          <w:lang w:val="en-US" w:eastAsia="zh-CN"/>
        </w:rPr>
        <w:t>集气风量</w:t>
      </w:r>
    </w:p>
    <w:p w14:paraId="099D69D9">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集气罩收集风量计算方法根据《大气污染控制工程》中的控制风速法计算。计算公式如下：</w:t>
      </w:r>
    </w:p>
    <w:p w14:paraId="7BC7DA8A">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Q=3600×K×P×H×Vx</w:t>
      </w:r>
    </w:p>
    <w:p w14:paraId="2117BF0A">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其中，Q为风量，m</w:t>
      </w:r>
      <w:r>
        <w:rPr>
          <w:rFonts w:hint="eastAsia" w:hAnsi="宋体" w:cs="Times New Roman"/>
          <w:color w:val="auto"/>
          <w:szCs w:val="24"/>
          <w:highlight w:val="none"/>
          <w:vertAlign w:val="superscript"/>
          <w:lang w:val="en-US" w:eastAsia="zh-CN"/>
        </w:rPr>
        <w:t>3</w:t>
      </w:r>
      <w:r>
        <w:rPr>
          <w:rFonts w:hint="eastAsia" w:hAnsi="宋体" w:cs="Times New Roman"/>
          <w:color w:val="auto"/>
          <w:szCs w:val="24"/>
          <w:highlight w:val="none"/>
          <w:lang w:val="en-US" w:eastAsia="zh-CN"/>
        </w:rPr>
        <w:t>/h；</w:t>
      </w:r>
    </w:p>
    <w:p w14:paraId="07CE031C">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K：考虑沿高度速度不均匀的安全系数，通常取1.4；</w:t>
      </w:r>
    </w:p>
    <w:p w14:paraId="73A81127">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P：集气罩罩口周长，m；</w:t>
      </w:r>
    </w:p>
    <w:p w14:paraId="603E7694">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H：集气罩罩口至污染源的距离m；本次取0.1m；</w:t>
      </w:r>
    </w:p>
    <w:p w14:paraId="5DCDE62C">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Vx：污染源控制速度，m/s；控制风速不应低于0.5m/s，因此，Vx取0.5。</w:t>
      </w:r>
    </w:p>
    <w:p w14:paraId="5669472F">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项目注塑机上方设置边长为1m×1m的正方形集气罩、破碎机上方设置边长0.8m的正方形集气罩；</w:t>
      </w:r>
    </w:p>
    <w:p w14:paraId="24199DAD">
      <w:pPr>
        <w:spacing w:line="360" w:lineRule="auto"/>
        <w:ind w:firstLine="480" w:firstLineChars="200"/>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项目集气风量详见表3.4-2。</w:t>
      </w:r>
    </w:p>
    <w:p w14:paraId="3F9343C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表3.4-2  项目注塑、粉碎废气收集集气风量一览表</w:t>
      </w:r>
    </w:p>
    <w:tbl>
      <w:tblPr>
        <w:tblStyle w:val="81"/>
        <w:tblW w:w="931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2325"/>
        <w:gridCol w:w="1442"/>
        <w:gridCol w:w="1695"/>
        <w:gridCol w:w="1739"/>
      </w:tblGrid>
      <w:tr w14:paraId="4BAEA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2118" w:type="dxa"/>
            <w:vMerge w:val="restart"/>
            <w:vAlign w:val="center"/>
          </w:tcPr>
          <w:p w14:paraId="6211033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生产设备</w:t>
            </w:r>
          </w:p>
        </w:tc>
        <w:tc>
          <w:tcPr>
            <w:tcW w:w="2325" w:type="dxa"/>
            <w:vAlign w:val="center"/>
          </w:tcPr>
          <w:p w14:paraId="18B3A217">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单个风量</w:t>
            </w:r>
          </w:p>
        </w:tc>
        <w:tc>
          <w:tcPr>
            <w:tcW w:w="1442" w:type="dxa"/>
            <w:vAlign w:val="center"/>
          </w:tcPr>
          <w:p w14:paraId="5F6EC99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数量</w:t>
            </w:r>
          </w:p>
        </w:tc>
        <w:tc>
          <w:tcPr>
            <w:tcW w:w="1695" w:type="dxa"/>
            <w:vAlign w:val="center"/>
          </w:tcPr>
          <w:p w14:paraId="52EE134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所需风量</w:t>
            </w:r>
          </w:p>
        </w:tc>
        <w:tc>
          <w:tcPr>
            <w:tcW w:w="1739" w:type="dxa"/>
            <w:vAlign w:val="center"/>
          </w:tcPr>
          <w:p w14:paraId="140F320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设计风量</w:t>
            </w:r>
          </w:p>
        </w:tc>
      </w:tr>
      <w:tr w14:paraId="66374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118" w:type="dxa"/>
            <w:vMerge w:val="continue"/>
            <w:vAlign w:val="center"/>
          </w:tcPr>
          <w:p w14:paraId="4BDD59D9">
            <w:pPr>
              <w:pStyle w:val="1358"/>
              <w:rPr>
                <w:rFonts w:hint="default" w:ascii="Times New Roman" w:hAnsi="Times New Roman" w:eastAsia="宋体" w:cs="Times New Roman"/>
                <w:color w:val="auto"/>
                <w:highlight w:val="none"/>
                <w:lang w:val="en-US" w:eastAsia="zh-CN"/>
              </w:rPr>
            </w:pPr>
          </w:p>
        </w:tc>
        <w:tc>
          <w:tcPr>
            <w:tcW w:w="2325" w:type="dxa"/>
            <w:vAlign w:val="center"/>
          </w:tcPr>
          <w:p w14:paraId="11DC86E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tc>
        <w:tc>
          <w:tcPr>
            <w:tcW w:w="1442" w:type="dxa"/>
            <w:vAlign w:val="center"/>
          </w:tcPr>
          <w:p w14:paraId="4A04DDC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个</w:t>
            </w:r>
          </w:p>
        </w:tc>
        <w:tc>
          <w:tcPr>
            <w:tcW w:w="1695" w:type="dxa"/>
            <w:vAlign w:val="center"/>
          </w:tcPr>
          <w:p w14:paraId="05655E5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tc>
        <w:tc>
          <w:tcPr>
            <w:tcW w:w="1739" w:type="dxa"/>
            <w:vAlign w:val="center"/>
          </w:tcPr>
          <w:p w14:paraId="7B49B41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tc>
      </w:tr>
      <w:tr w14:paraId="50398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118" w:type="dxa"/>
            <w:vAlign w:val="center"/>
          </w:tcPr>
          <w:p w14:paraId="7ED4B77D">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注塑机</w:t>
            </w:r>
          </w:p>
        </w:tc>
        <w:tc>
          <w:tcPr>
            <w:tcW w:w="2325" w:type="dxa"/>
            <w:vAlign w:val="center"/>
          </w:tcPr>
          <w:p w14:paraId="293CE8E2">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1008</w:t>
            </w:r>
          </w:p>
        </w:tc>
        <w:tc>
          <w:tcPr>
            <w:tcW w:w="1442" w:type="dxa"/>
            <w:vAlign w:val="center"/>
          </w:tcPr>
          <w:p w14:paraId="6E3770F1">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w:t>
            </w:r>
          </w:p>
        </w:tc>
        <w:tc>
          <w:tcPr>
            <w:tcW w:w="1695" w:type="dxa"/>
            <w:vAlign w:val="center"/>
          </w:tcPr>
          <w:p w14:paraId="3B06218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11088</w:t>
            </w:r>
          </w:p>
        </w:tc>
        <w:tc>
          <w:tcPr>
            <w:tcW w:w="1739" w:type="dxa"/>
            <w:vAlign w:val="center"/>
          </w:tcPr>
          <w:p w14:paraId="22CC809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12000</w:t>
            </w:r>
          </w:p>
        </w:tc>
      </w:tr>
      <w:tr w14:paraId="297AB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118" w:type="dxa"/>
            <w:shd w:val="clear" w:color="auto" w:fill="auto"/>
            <w:vAlign w:val="center"/>
          </w:tcPr>
          <w:p w14:paraId="44E0415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破碎机</w:t>
            </w:r>
          </w:p>
        </w:tc>
        <w:tc>
          <w:tcPr>
            <w:tcW w:w="2325" w:type="dxa"/>
            <w:shd w:val="clear" w:color="auto" w:fill="auto"/>
            <w:vAlign w:val="center"/>
          </w:tcPr>
          <w:p w14:paraId="7BC544D2">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806.4</w:t>
            </w:r>
          </w:p>
        </w:tc>
        <w:tc>
          <w:tcPr>
            <w:tcW w:w="1442" w:type="dxa"/>
            <w:shd w:val="clear" w:color="auto" w:fill="auto"/>
            <w:vAlign w:val="center"/>
          </w:tcPr>
          <w:p w14:paraId="1330340E">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w:t>
            </w:r>
          </w:p>
        </w:tc>
        <w:tc>
          <w:tcPr>
            <w:tcW w:w="1695" w:type="dxa"/>
            <w:shd w:val="clear" w:color="auto" w:fill="auto"/>
            <w:vAlign w:val="center"/>
          </w:tcPr>
          <w:p w14:paraId="5FE75CC2">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806.4</w:t>
            </w:r>
          </w:p>
        </w:tc>
        <w:tc>
          <w:tcPr>
            <w:tcW w:w="1739" w:type="dxa"/>
            <w:shd w:val="clear" w:color="auto" w:fill="auto"/>
            <w:vAlign w:val="center"/>
          </w:tcPr>
          <w:p w14:paraId="216051F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1000</w:t>
            </w:r>
          </w:p>
        </w:tc>
      </w:tr>
    </w:tbl>
    <w:p w14:paraId="4CFD23CC">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参考《浙江省重点行业VOCs污染排放源排放量计算方法（1.1版）》“表1-1 VOCs认定收集效率表”中对各类收集方式的收集效率见表4-8，项目注塑及破碎废气收集罩采用半密闭罩，确保集气罩应尽可能靠近有害物发散源，集气罩四周加装垂帘，尽可能将污染源包围起来且生产时车间门窗紧闭，使污染物的扩散限值在最小的范围内，以便防止横向气流的干扰，减少排气量，在使得污染物产生点（面）处往吸入口方向的控制风速不小于0.5m/s的情况下，能达到65~85%的收集效率，项目注塑及破碎废气收集效率取值80%。</w:t>
      </w:r>
    </w:p>
    <w:p w14:paraId="165BAE7A">
      <w:pPr>
        <w:pStyle w:val="8"/>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w:t>
      </w:r>
      <w:r>
        <w:rPr>
          <w:rFonts w:hint="eastAsia" w:cs="Times New Roman"/>
          <w:color w:val="auto"/>
          <w:highlight w:val="none"/>
          <w:lang w:val="en-US" w:eastAsia="zh-CN"/>
        </w:rPr>
        <w:t xml:space="preserve">3.4-3  </w:t>
      </w:r>
      <w:r>
        <w:rPr>
          <w:rFonts w:hint="eastAsia" w:ascii="Times New Roman" w:hAnsi="Times New Roman" w:cs="Times New Roman"/>
          <w:color w:val="auto"/>
          <w:highlight w:val="none"/>
          <w:lang w:val="en-US" w:eastAsia="zh-CN"/>
        </w:rPr>
        <w:t>VOCs认定收集效率表</w:t>
      </w:r>
    </w:p>
    <w:tbl>
      <w:tblPr>
        <w:tblStyle w:val="80"/>
        <w:tblW w:w="9165" w:type="dxa"/>
        <w:tblInd w:w="21"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003"/>
        <w:gridCol w:w="1400"/>
        <w:gridCol w:w="5762"/>
      </w:tblGrid>
      <w:tr w14:paraId="5FD03DE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641BB605">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收集方式</w:t>
            </w:r>
          </w:p>
        </w:tc>
        <w:tc>
          <w:tcPr>
            <w:tcW w:w="1400" w:type="dxa"/>
            <w:tcBorders>
              <w:tl2br w:val="nil"/>
              <w:tr2bl w:val="nil"/>
            </w:tcBorders>
            <w:vAlign w:val="center"/>
          </w:tcPr>
          <w:p w14:paraId="72D7B36C">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收集效率%</w:t>
            </w:r>
          </w:p>
        </w:tc>
        <w:tc>
          <w:tcPr>
            <w:tcW w:w="5762" w:type="dxa"/>
            <w:tcBorders>
              <w:tl2br w:val="nil"/>
              <w:tr2bl w:val="nil"/>
            </w:tcBorders>
            <w:vAlign w:val="center"/>
          </w:tcPr>
          <w:p w14:paraId="373F328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达到上限效率必须满足的条件，否则按下限计</w:t>
            </w:r>
          </w:p>
        </w:tc>
      </w:tr>
      <w:tr w14:paraId="1049278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49A019F2">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设备废气排口直连</w:t>
            </w:r>
          </w:p>
        </w:tc>
        <w:tc>
          <w:tcPr>
            <w:tcW w:w="1400" w:type="dxa"/>
            <w:tcBorders>
              <w:tl2br w:val="nil"/>
              <w:tr2bl w:val="nil"/>
            </w:tcBorders>
            <w:vAlign w:val="center"/>
          </w:tcPr>
          <w:p w14:paraId="776E792E">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80-95</w:t>
            </w:r>
          </w:p>
        </w:tc>
        <w:tc>
          <w:tcPr>
            <w:tcW w:w="5762" w:type="dxa"/>
            <w:tcBorders>
              <w:tl2br w:val="nil"/>
              <w:tr2bl w:val="nil"/>
            </w:tcBorders>
            <w:vAlign w:val="center"/>
          </w:tcPr>
          <w:p w14:paraId="1DBC0F29">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设备有固定排放管（或口）直接与风管连接，设备整体密闭只留产品进出口且进出口处有废气收集措施，收集系统运行时周边基本无VOCs散发。</w:t>
            </w:r>
          </w:p>
        </w:tc>
      </w:tr>
      <w:tr w14:paraId="1A60BF9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4D4169F1">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车间或密闭间进行密闭收集</w:t>
            </w:r>
          </w:p>
        </w:tc>
        <w:tc>
          <w:tcPr>
            <w:tcW w:w="1400" w:type="dxa"/>
            <w:tcBorders>
              <w:tl2br w:val="nil"/>
              <w:tr2bl w:val="nil"/>
            </w:tcBorders>
            <w:vAlign w:val="center"/>
          </w:tcPr>
          <w:p w14:paraId="2E14D859">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80-95</w:t>
            </w:r>
          </w:p>
        </w:tc>
        <w:tc>
          <w:tcPr>
            <w:tcW w:w="5762" w:type="dxa"/>
            <w:tcBorders>
              <w:tl2br w:val="nil"/>
              <w:tr2bl w:val="nil"/>
            </w:tcBorders>
            <w:vAlign w:val="center"/>
          </w:tcPr>
          <w:p w14:paraId="2B1E01A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屋面现浇，四周墙壁或门窗等密闭性好。收集总风量能确保开口处保持微负压（敞开截面处的吸入风速不小于0.5m/s），不让废气外泄。</w:t>
            </w:r>
          </w:p>
        </w:tc>
      </w:tr>
      <w:tr w14:paraId="554D103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7196AE1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半密闭罩或通风橱方式收集（罩内或橱内操作）</w:t>
            </w:r>
          </w:p>
        </w:tc>
        <w:tc>
          <w:tcPr>
            <w:tcW w:w="1400" w:type="dxa"/>
            <w:tcBorders>
              <w:tl2br w:val="nil"/>
              <w:tr2bl w:val="nil"/>
            </w:tcBorders>
            <w:vAlign w:val="center"/>
          </w:tcPr>
          <w:p w14:paraId="0DB87600">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65-85</w:t>
            </w:r>
          </w:p>
        </w:tc>
        <w:tc>
          <w:tcPr>
            <w:tcW w:w="5762" w:type="dxa"/>
            <w:tcBorders>
              <w:tl2br w:val="nil"/>
              <w:tr2bl w:val="nil"/>
            </w:tcBorders>
            <w:vAlign w:val="center"/>
          </w:tcPr>
          <w:p w14:paraId="260D5498">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污染物产生点（面）处，往吸入口方向的控制风速不小于某一数值（喷漆不小于0.75m/s，其余不小于0.5m/s）</w:t>
            </w:r>
          </w:p>
        </w:tc>
      </w:tr>
      <w:tr w14:paraId="33A2B0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1F76B455">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热态上吸风罩</w:t>
            </w:r>
          </w:p>
        </w:tc>
        <w:tc>
          <w:tcPr>
            <w:tcW w:w="1400" w:type="dxa"/>
            <w:tcBorders>
              <w:tl2br w:val="nil"/>
              <w:tr2bl w:val="nil"/>
            </w:tcBorders>
            <w:vAlign w:val="center"/>
          </w:tcPr>
          <w:p w14:paraId="3F01335F">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30-60</w:t>
            </w:r>
          </w:p>
        </w:tc>
        <w:tc>
          <w:tcPr>
            <w:tcW w:w="5762" w:type="dxa"/>
            <w:tcBorders>
              <w:tl2br w:val="nil"/>
              <w:tr2bl w:val="nil"/>
            </w:tcBorders>
            <w:vAlign w:val="center"/>
          </w:tcPr>
          <w:p w14:paraId="16E41E8D">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污染物产生点（面）处，往吸入口方向的控制风速不小于0.5m/s。热态指污染源散发气体温度≥60℃</w:t>
            </w:r>
          </w:p>
        </w:tc>
      </w:tr>
      <w:tr w14:paraId="764290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289245A8">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冷态上吸风罩</w:t>
            </w:r>
          </w:p>
        </w:tc>
        <w:tc>
          <w:tcPr>
            <w:tcW w:w="1400" w:type="dxa"/>
            <w:tcBorders>
              <w:tl2br w:val="nil"/>
              <w:tr2bl w:val="nil"/>
            </w:tcBorders>
            <w:vAlign w:val="center"/>
          </w:tcPr>
          <w:p w14:paraId="57D5CDBE">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20-50</w:t>
            </w:r>
          </w:p>
        </w:tc>
        <w:tc>
          <w:tcPr>
            <w:tcW w:w="5762" w:type="dxa"/>
            <w:tcBorders>
              <w:tl2br w:val="nil"/>
              <w:tr2bl w:val="nil"/>
            </w:tcBorders>
            <w:vAlign w:val="center"/>
          </w:tcPr>
          <w:p w14:paraId="12D3AE20">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污染物产生点（面）处，往吸入口方向的控制风速不小于0.25m/s。冷态指污染源散发气体温度&lt;60℃</w:t>
            </w:r>
          </w:p>
        </w:tc>
      </w:tr>
      <w:tr w14:paraId="63A232F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003" w:type="dxa"/>
            <w:tcBorders>
              <w:tl2br w:val="nil"/>
              <w:tr2bl w:val="nil"/>
            </w:tcBorders>
            <w:vAlign w:val="center"/>
          </w:tcPr>
          <w:p w14:paraId="4D95943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侧吸风罩</w:t>
            </w:r>
          </w:p>
        </w:tc>
        <w:tc>
          <w:tcPr>
            <w:tcW w:w="1400" w:type="dxa"/>
            <w:tcBorders>
              <w:tl2br w:val="nil"/>
              <w:tr2bl w:val="nil"/>
            </w:tcBorders>
            <w:vAlign w:val="center"/>
          </w:tcPr>
          <w:p w14:paraId="589A19E8">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20-40</w:t>
            </w:r>
          </w:p>
        </w:tc>
        <w:tc>
          <w:tcPr>
            <w:tcW w:w="5762" w:type="dxa"/>
            <w:tcBorders>
              <w:tl2br w:val="nil"/>
              <w:tr2bl w:val="nil"/>
            </w:tcBorders>
            <w:vAlign w:val="center"/>
          </w:tcPr>
          <w:p w14:paraId="101D43C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污染物产生点（面）处，往吸入口方向的控制风速不小于0.5m/s且吸风罩离污染源远端的距离不大于0.6m。</w:t>
            </w:r>
          </w:p>
        </w:tc>
      </w:tr>
    </w:tbl>
    <w:p w14:paraId="6B20E792">
      <w:pPr>
        <w:spacing w:line="360" w:lineRule="auto"/>
        <w:ind w:firstLine="480" w:firstLineChars="200"/>
        <w:contextualSpacing/>
        <w:rPr>
          <w:rFonts w:hint="eastAsia" w:hAnsi="宋体" w:cs="Times New Roman"/>
          <w:color w:val="auto"/>
          <w:szCs w:val="24"/>
          <w:highlight w:val="none"/>
          <w:lang w:val="en-US" w:eastAsia="zh-CN"/>
        </w:rPr>
      </w:pPr>
      <w:r>
        <w:rPr>
          <w:rFonts w:hint="eastAsia" w:hAnsi="宋体" w:cs="Times New Roman"/>
          <w:color w:val="auto"/>
          <w:szCs w:val="24"/>
          <w:highlight w:val="none"/>
          <w:lang w:val="en-US" w:eastAsia="zh-CN"/>
        </w:rPr>
        <w:t>③处理效率</w:t>
      </w:r>
    </w:p>
    <w:p w14:paraId="49A83CAF">
      <w:pPr>
        <w:spacing w:line="360" w:lineRule="auto"/>
        <w:ind w:firstLine="480" w:firstLineChars="200"/>
        <w:contextualSpacing/>
        <w:rPr>
          <w:rFonts w:hint="default" w:cs="宋体"/>
          <w:bCs/>
          <w:color w:val="auto"/>
          <w:szCs w:val="21"/>
          <w:highlight w:val="none"/>
          <w:lang w:val="en-US" w:eastAsia="zh-CN"/>
        </w:rPr>
      </w:pPr>
      <w:r>
        <w:rPr>
          <w:rFonts w:hint="eastAsia"/>
          <w:color w:val="auto"/>
          <w:highlight w:val="none"/>
          <w:lang w:val="en-US" w:eastAsia="zh-CN"/>
        </w:rPr>
        <w:t>注塑区产生的有机废气以及伴随的臭气经集气罩收集（集气效率以80%计）后由“二级活性炭吸附”（TA004）处理后通过1根20m高排气筒（DA004）排放，</w:t>
      </w:r>
      <w:r>
        <w:rPr>
          <w:rFonts w:hint="eastAsia" w:ascii="Times New Roman" w:hAnsi="宋体" w:eastAsia="宋体" w:cs="Times New Roman"/>
          <w:color w:val="auto"/>
          <w:szCs w:val="24"/>
          <w:highlight w:val="none"/>
          <w:lang w:val="en-US" w:eastAsia="zh-CN"/>
        </w:rPr>
        <w:t>选用的活性炭</w:t>
      </w:r>
      <w:r>
        <w:rPr>
          <w:rFonts w:hint="eastAsia" w:hAnsi="宋体" w:cs="Times New Roman"/>
          <w:color w:val="auto"/>
          <w:szCs w:val="24"/>
          <w:highlight w:val="none"/>
          <w:lang w:val="en-US" w:eastAsia="zh-CN"/>
        </w:rPr>
        <w:t>碘值大于</w:t>
      </w:r>
      <w:r>
        <w:rPr>
          <w:rFonts w:hint="eastAsia" w:ascii="Times New Roman" w:hAnsi="宋体" w:eastAsia="宋体" w:cs="Times New Roman"/>
          <w:color w:val="auto"/>
          <w:szCs w:val="24"/>
          <w:highlight w:val="none"/>
          <w:lang w:val="en-US" w:eastAsia="zh-CN"/>
        </w:rPr>
        <w:t>800毫克/克活性炭。查阅《资源节约与环保》2020年第1期《工业固定源挥发性有机物治理技术效果研究》（蒋卫兵），其中关于活性炭吸附处理VOCs平均效率为67.4%，考虑废气处理设施使用过程活性炭会有磨损，单级活性炭吸附装置对有机废气的日常稳定处理效率按</w:t>
      </w:r>
      <w:r>
        <w:rPr>
          <w:rFonts w:hint="eastAsia" w:hAnsi="宋体" w:cs="Times New Roman"/>
          <w:color w:val="auto"/>
          <w:szCs w:val="24"/>
          <w:highlight w:val="none"/>
          <w:lang w:val="en-US" w:eastAsia="zh-CN"/>
        </w:rPr>
        <w:t>50</w:t>
      </w:r>
      <w:r>
        <w:rPr>
          <w:rFonts w:hint="eastAsia" w:ascii="Times New Roman" w:hAnsi="宋体" w:eastAsia="宋体" w:cs="Times New Roman"/>
          <w:color w:val="auto"/>
          <w:szCs w:val="24"/>
          <w:highlight w:val="none"/>
          <w:lang w:val="en-US" w:eastAsia="zh-CN"/>
        </w:rPr>
        <w:t>%核算。</w:t>
      </w:r>
      <w:r>
        <w:rPr>
          <w:rFonts w:hint="default" w:ascii="Times New Roman" w:hAnsi="宋体" w:eastAsia="宋体" w:cs="Times New Roman"/>
          <w:color w:val="auto"/>
          <w:szCs w:val="24"/>
          <w:highlight w:val="none"/>
          <w:lang w:val="en-US" w:eastAsia="zh-CN"/>
        </w:rPr>
        <w:t>根据</w:t>
      </w:r>
      <w:r>
        <w:rPr>
          <w:rFonts w:hint="eastAsia" w:ascii="Times New Roman" w:hAnsi="宋体" w:eastAsia="宋体" w:cs="Times New Roman"/>
          <w:color w:val="auto"/>
          <w:szCs w:val="24"/>
          <w:highlight w:val="none"/>
          <w:lang w:val="en-US" w:eastAsia="zh-CN"/>
        </w:rPr>
        <w:t>生态环境部发布</w:t>
      </w:r>
      <w:r>
        <w:rPr>
          <w:rFonts w:hint="default" w:ascii="Times New Roman" w:hAnsi="宋体" w:eastAsia="宋体" w:cs="Times New Roman"/>
          <w:color w:val="auto"/>
          <w:szCs w:val="24"/>
          <w:highlight w:val="none"/>
          <w:lang w:val="en-US" w:eastAsia="zh-CN"/>
        </w:rPr>
        <w:t>《</w:t>
      </w:r>
      <w:r>
        <w:rPr>
          <w:rFonts w:hint="eastAsia" w:ascii="Times New Roman" w:hAnsi="宋体" w:eastAsia="宋体" w:cs="Times New Roman"/>
          <w:color w:val="auto"/>
          <w:szCs w:val="24"/>
          <w:highlight w:val="none"/>
          <w:lang w:val="en-US" w:eastAsia="zh-CN"/>
        </w:rPr>
        <w:t>关于印发〈主要污染物总量减排核算技术指南（2022年修订）</w:t>
      </w:r>
      <w:r>
        <w:rPr>
          <w:rFonts w:hint="eastAsia" w:hAnsi="宋体" w:cs="Times New Roman"/>
          <w:color w:val="auto"/>
          <w:szCs w:val="24"/>
          <w:highlight w:val="none"/>
          <w:lang w:val="en-US" w:eastAsia="zh-CN"/>
        </w:rPr>
        <w:t>〉的通知》</w:t>
      </w:r>
      <w:r>
        <w:rPr>
          <w:rFonts w:hint="eastAsia" w:ascii="Times New Roman" w:hAnsi="宋体" w:eastAsia="宋体" w:cs="Times New Roman"/>
          <w:color w:val="auto"/>
          <w:szCs w:val="24"/>
          <w:highlight w:val="none"/>
          <w:lang w:val="en-US" w:eastAsia="zh-CN"/>
        </w:rPr>
        <w:t>〔2022〕350号中规定</w:t>
      </w:r>
      <w:r>
        <w:rPr>
          <w:rFonts w:hint="default" w:ascii="Times New Roman" w:hAnsi="宋体" w:eastAsia="宋体" w:cs="Times New Roman"/>
          <w:color w:val="auto"/>
          <w:szCs w:val="24"/>
          <w:highlight w:val="none"/>
          <w:lang w:val="en-US" w:eastAsia="zh-CN"/>
        </w:rPr>
        <w:t>，</w:t>
      </w:r>
      <w:r>
        <w:rPr>
          <w:rFonts w:hint="eastAsia" w:ascii="Times New Roman" w:hAnsi="宋体" w:eastAsia="宋体" w:cs="Times New Roman"/>
          <w:color w:val="auto"/>
          <w:szCs w:val="24"/>
          <w:highlight w:val="none"/>
          <w:lang w:val="en-US" w:eastAsia="zh-CN"/>
        </w:rPr>
        <w:t>采用二级活性炭吸附效率为1-（1-</w:t>
      </w:r>
      <w:r>
        <w:rPr>
          <w:rFonts w:hint="eastAsia" w:hAnsi="宋体" w:cs="Times New Roman"/>
          <w:color w:val="auto"/>
          <w:szCs w:val="24"/>
          <w:highlight w:val="none"/>
          <w:lang w:val="en-US" w:eastAsia="zh-CN"/>
        </w:rPr>
        <w:t>50</w:t>
      </w:r>
      <w:r>
        <w:rPr>
          <w:rFonts w:hint="eastAsia" w:ascii="Times New Roman" w:hAnsi="宋体" w:eastAsia="宋体" w:cs="Times New Roman"/>
          <w:color w:val="auto"/>
          <w:szCs w:val="24"/>
          <w:highlight w:val="none"/>
          <w:lang w:val="en-US" w:eastAsia="zh-CN"/>
        </w:rPr>
        <w:t>%）</w:t>
      </w:r>
      <w:r>
        <w:rPr>
          <w:rFonts w:hint="default" w:ascii="Times New Roman" w:hAnsi="宋体" w:eastAsia="宋体" w:cs="Times New Roman"/>
          <w:color w:val="auto"/>
          <w:szCs w:val="24"/>
          <w:highlight w:val="none"/>
          <w:lang w:val="en-US" w:eastAsia="zh-CN"/>
        </w:rPr>
        <w:t>×</w:t>
      </w:r>
      <w:r>
        <w:rPr>
          <w:rFonts w:hint="eastAsia" w:ascii="Times New Roman" w:hAnsi="宋体" w:eastAsia="宋体" w:cs="Times New Roman"/>
          <w:color w:val="auto"/>
          <w:szCs w:val="24"/>
          <w:highlight w:val="none"/>
          <w:lang w:val="en-US" w:eastAsia="zh-CN"/>
        </w:rPr>
        <w:t>（1-</w:t>
      </w:r>
      <w:r>
        <w:rPr>
          <w:rFonts w:hint="eastAsia" w:hAnsi="宋体" w:cs="Times New Roman"/>
          <w:color w:val="auto"/>
          <w:szCs w:val="24"/>
          <w:highlight w:val="none"/>
          <w:lang w:val="en-US" w:eastAsia="zh-CN"/>
        </w:rPr>
        <w:t>5</w:t>
      </w:r>
      <w:r>
        <w:rPr>
          <w:rFonts w:hint="eastAsia" w:ascii="Times New Roman" w:hAnsi="宋体" w:eastAsia="宋体" w:cs="Times New Roman"/>
          <w:color w:val="auto"/>
          <w:szCs w:val="24"/>
          <w:highlight w:val="none"/>
          <w:lang w:val="en-US" w:eastAsia="zh-CN"/>
        </w:rPr>
        <w:t>0%）=</w:t>
      </w:r>
      <w:r>
        <w:rPr>
          <w:rFonts w:hint="eastAsia" w:hAnsi="宋体" w:cs="Times New Roman"/>
          <w:color w:val="auto"/>
          <w:szCs w:val="24"/>
          <w:highlight w:val="none"/>
          <w:lang w:val="en-US" w:eastAsia="zh-CN"/>
        </w:rPr>
        <w:t>75</w:t>
      </w:r>
      <w:r>
        <w:rPr>
          <w:rFonts w:hint="eastAsia" w:ascii="Times New Roman" w:hAnsi="宋体" w:eastAsia="宋体" w:cs="Times New Roman"/>
          <w:color w:val="auto"/>
          <w:szCs w:val="24"/>
          <w:highlight w:val="none"/>
          <w:lang w:val="en-US" w:eastAsia="zh-CN"/>
        </w:rPr>
        <w:t>%。因此项目</w:t>
      </w:r>
      <w:r>
        <w:rPr>
          <w:rFonts w:hint="eastAsia" w:hAnsi="宋体" w:cs="Times New Roman"/>
          <w:color w:val="auto"/>
          <w:szCs w:val="24"/>
          <w:highlight w:val="none"/>
          <w:lang w:val="en-US" w:eastAsia="zh-CN"/>
        </w:rPr>
        <w:t>采用的“二级</w:t>
      </w:r>
      <w:r>
        <w:rPr>
          <w:rFonts w:hint="eastAsia" w:ascii="Times New Roman" w:hAnsi="宋体" w:eastAsia="宋体" w:cs="Times New Roman"/>
          <w:color w:val="auto"/>
          <w:szCs w:val="24"/>
          <w:highlight w:val="none"/>
          <w:lang w:val="en-US" w:eastAsia="zh-CN"/>
        </w:rPr>
        <w:t>活性炭</w:t>
      </w:r>
      <w:r>
        <w:rPr>
          <w:rFonts w:hint="eastAsia" w:hAnsi="宋体" w:cs="Times New Roman"/>
          <w:color w:val="auto"/>
          <w:szCs w:val="24"/>
          <w:highlight w:val="none"/>
          <w:lang w:val="en-US" w:eastAsia="zh-CN"/>
        </w:rPr>
        <w:t>吸附”</w:t>
      </w:r>
      <w:r>
        <w:rPr>
          <w:rFonts w:hint="eastAsia" w:ascii="Times New Roman" w:hAnsi="宋体" w:eastAsia="宋体" w:cs="Times New Roman"/>
          <w:color w:val="auto"/>
          <w:szCs w:val="24"/>
          <w:highlight w:val="none"/>
          <w:lang w:val="en-US" w:eastAsia="zh-CN"/>
        </w:rPr>
        <w:t>效率以</w:t>
      </w:r>
      <w:r>
        <w:rPr>
          <w:rFonts w:hint="eastAsia" w:hAnsi="宋体" w:cs="Times New Roman"/>
          <w:color w:val="auto"/>
          <w:szCs w:val="24"/>
          <w:highlight w:val="none"/>
          <w:lang w:val="en-US" w:eastAsia="zh-CN"/>
        </w:rPr>
        <w:t>75</w:t>
      </w:r>
      <w:r>
        <w:rPr>
          <w:rFonts w:hint="eastAsia" w:ascii="Times New Roman" w:hAnsi="宋体" w:eastAsia="宋体" w:cs="Times New Roman"/>
          <w:color w:val="auto"/>
          <w:szCs w:val="24"/>
          <w:highlight w:val="none"/>
          <w:lang w:val="en-US" w:eastAsia="zh-CN"/>
        </w:rPr>
        <w:t>%计。</w:t>
      </w:r>
    </w:p>
    <w:p w14:paraId="4A1F25AD">
      <w:pPr>
        <w:pStyle w:val="1336"/>
        <w:ind w:firstLine="480"/>
        <w:rPr>
          <w:rFonts w:hint="eastAsia"/>
          <w:color w:val="auto"/>
          <w:highlight w:val="none"/>
        </w:rPr>
      </w:pPr>
      <w:r>
        <w:rPr>
          <w:rFonts w:hint="eastAsia"/>
          <w:color w:val="auto"/>
          <w:highlight w:val="none"/>
          <w:lang w:val="en-US" w:eastAsia="zh-CN"/>
        </w:rPr>
        <w:t>根据《排污许可证申请与核发技术规范橡胶和塑料制品工业》（HJ1122-2020），颗粒物污染防治可行技术为“袋式除尘；滤筒/滤芯除尘”，本项目粉碎粉尘拟采用袋式除尘器处理，属于可行技术范畴。</w:t>
      </w:r>
    </w:p>
    <w:p w14:paraId="14C76E42">
      <w:pPr>
        <w:pStyle w:val="1336"/>
        <w:ind w:firstLine="480"/>
        <w:rPr>
          <w:rFonts w:hint="eastAsia"/>
          <w:color w:val="auto"/>
          <w:highlight w:val="none"/>
        </w:rPr>
      </w:pPr>
      <w:r>
        <w:rPr>
          <w:rFonts w:hint="eastAsia"/>
          <w:color w:val="auto"/>
          <w:highlight w:val="none"/>
          <w:lang w:val="en-US" w:eastAsia="zh-CN"/>
        </w:rPr>
        <w:t>本项目拟在粉碎机上方设置1个集气罩（集气效率以80%计），粉碎粉尘经收集后，通过管道引至1套袋式除尘器集中处理（处理效率以95%计，风机风量1000m</w:t>
      </w:r>
      <w:r>
        <w:rPr>
          <w:rFonts w:hint="eastAsia"/>
          <w:color w:val="auto"/>
          <w:highlight w:val="none"/>
          <w:vertAlign w:val="superscript"/>
          <w:lang w:val="en-US" w:eastAsia="zh-CN"/>
        </w:rPr>
        <w:t>3</w:t>
      </w:r>
      <w:r>
        <w:rPr>
          <w:rFonts w:hint="eastAsia"/>
          <w:color w:val="auto"/>
          <w:highlight w:val="none"/>
          <w:lang w:val="en-US" w:eastAsia="zh-CN"/>
        </w:rPr>
        <w:t>/h），处理后在车间内无组织沉降。由于破碎产生的颗粒物粒径较大，未被集气罩收集的无组织排放部分（约占产生量的20%）将主要沉降在粉碎机设备周边区域，企业将及时对沉降粉尘进行清扫收集，避免二次扬尘，确保车间环境整洁。</w:t>
      </w:r>
    </w:p>
    <w:p w14:paraId="0F6F9EE4">
      <w:pPr>
        <w:pStyle w:val="1336"/>
        <w:numPr>
          <w:ilvl w:val="0"/>
          <w:numId w:val="0"/>
        </w:numPr>
        <w:ind w:left="0" w:leftChars="0" w:firstLine="480" w:firstLineChars="200"/>
        <w:rPr>
          <w:rFonts w:hint="default"/>
          <w:color w:val="auto"/>
          <w:highlight w:val="none"/>
          <w:lang w:val="en-US" w:eastAsia="zh-CN"/>
        </w:rPr>
      </w:pPr>
      <w:r>
        <w:rPr>
          <w:rFonts w:hint="default" w:ascii="Times New Roman" w:hAnsi="Times New Roman" w:eastAsia="宋体" w:cs="Times New Roman"/>
          <w:color w:val="auto"/>
          <w:sz w:val="24"/>
          <w:szCs w:val="22"/>
          <w:highlight w:val="none"/>
          <w:lang w:val="en-US" w:eastAsia="zh-CN" w:bidi="ar-SA"/>
        </w:rPr>
        <w:t>（2）</w:t>
      </w:r>
      <w:r>
        <w:rPr>
          <w:rFonts w:hint="eastAsia"/>
          <w:color w:val="auto"/>
          <w:highlight w:val="none"/>
          <w:lang w:val="en-US" w:eastAsia="zh-CN"/>
        </w:rPr>
        <w:t>调漆、喷漆、流平、烘干、点补废气</w:t>
      </w:r>
    </w:p>
    <w:p w14:paraId="7330BEBA">
      <w:pPr>
        <w:pStyle w:val="1336"/>
        <w:ind w:firstLine="480"/>
        <w:rPr>
          <w:rFonts w:hint="eastAsia"/>
          <w:color w:val="auto"/>
          <w:highlight w:val="none"/>
        </w:rPr>
      </w:pPr>
      <w:r>
        <w:rPr>
          <w:rFonts w:hint="eastAsia" w:ascii="Times New Roman" w:hAnsi="Times New Roman" w:eastAsia="宋体" w:cs="Times New Roman"/>
          <w:color w:val="auto"/>
          <w:highlight w:val="none"/>
          <w:lang w:val="en-US" w:eastAsia="zh-CN"/>
        </w:rPr>
        <w:t>本项目</w:t>
      </w:r>
      <w:r>
        <w:rPr>
          <w:rFonts w:hint="eastAsia" w:cs="Times New Roman"/>
          <w:color w:val="auto"/>
          <w:highlight w:val="none"/>
          <w:lang w:val="en-US" w:eastAsia="zh-CN"/>
        </w:rPr>
        <w:t>施工状态下漆料</w:t>
      </w:r>
      <w:r>
        <w:rPr>
          <w:rFonts w:hint="eastAsia"/>
          <w:color w:val="auto"/>
          <w:highlight w:val="none"/>
        </w:rPr>
        <w:t>中固体成分及</w:t>
      </w:r>
      <w:r>
        <w:rPr>
          <w:rFonts w:hint="eastAsia"/>
          <w:color w:val="auto"/>
          <w:highlight w:val="none"/>
          <w:lang w:val="en-US" w:eastAsia="zh-CN"/>
        </w:rPr>
        <w:t>挥发份</w:t>
      </w:r>
      <w:r>
        <w:rPr>
          <w:rFonts w:hint="eastAsia"/>
          <w:color w:val="auto"/>
          <w:highlight w:val="none"/>
        </w:rPr>
        <w:t>成分占比见下表：</w:t>
      </w:r>
    </w:p>
    <w:p w14:paraId="2B1F9509">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3.4</w:t>
      </w:r>
      <w:r>
        <w:rPr>
          <w:rFonts w:hint="default" w:ascii="Times New Roman" w:hAnsi="Times New Roman" w:cs="Times New Roman"/>
          <w:color w:val="auto"/>
          <w:highlight w:val="none"/>
        </w:rPr>
        <w:t>-</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 xml:space="preserve">  漆料</w:t>
      </w:r>
      <w:r>
        <w:rPr>
          <w:rFonts w:hint="default" w:ascii="Times New Roman" w:hAnsi="Times New Roman" w:cs="Times New Roman"/>
          <w:color w:val="auto"/>
          <w:highlight w:val="none"/>
        </w:rPr>
        <w:t>固、液体成分占比情况一览表</w:t>
      </w:r>
    </w:p>
    <w:tbl>
      <w:tblPr>
        <w:tblStyle w:val="80"/>
        <w:tblW w:w="9191" w:type="dxa"/>
        <w:tblInd w:w="9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100"/>
        <w:gridCol w:w="1275"/>
        <w:gridCol w:w="1335"/>
        <w:gridCol w:w="1470"/>
        <w:gridCol w:w="1706"/>
      </w:tblGrid>
      <w:tr w14:paraId="224C0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vMerge w:val="restart"/>
            <w:tcBorders>
              <w:tl2br w:val="nil"/>
              <w:tr2bl w:val="nil"/>
            </w:tcBorders>
            <w:noWrap/>
            <w:vAlign w:val="center"/>
          </w:tcPr>
          <w:p w14:paraId="0764286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名称</w:t>
            </w:r>
          </w:p>
        </w:tc>
        <w:tc>
          <w:tcPr>
            <w:tcW w:w="2100" w:type="dxa"/>
            <w:vMerge w:val="restart"/>
            <w:tcBorders>
              <w:tl2br w:val="nil"/>
              <w:tr2bl w:val="nil"/>
            </w:tcBorders>
            <w:noWrap/>
            <w:vAlign w:val="center"/>
          </w:tcPr>
          <w:p w14:paraId="10399E8A">
            <w:pPr>
              <w:pStyle w:val="1358"/>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施工状态下</w:t>
            </w:r>
            <w:r>
              <w:rPr>
                <w:rFonts w:hint="eastAsia" w:ascii="Times New Roman" w:hAnsi="Times New Roman" w:eastAsia="宋体" w:cs="Times New Roman"/>
                <w:color w:val="auto"/>
                <w:highlight w:val="none"/>
                <w:lang w:val="en-US" w:eastAsia="zh-CN"/>
              </w:rPr>
              <w:t>漆料用量t/a</w:t>
            </w:r>
          </w:p>
        </w:tc>
        <w:tc>
          <w:tcPr>
            <w:tcW w:w="2610" w:type="dxa"/>
            <w:gridSpan w:val="2"/>
            <w:tcBorders>
              <w:tl2br w:val="nil"/>
              <w:tr2bl w:val="nil"/>
            </w:tcBorders>
            <w:noWrap/>
            <w:vAlign w:val="center"/>
          </w:tcPr>
          <w:p w14:paraId="655D227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固体份</w:t>
            </w:r>
          </w:p>
        </w:tc>
        <w:tc>
          <w:tcPr>
            <w:tcW w:w="3176" w:type="dxa"/>
            <w:gridSpan w:val="2"/>
            <w:tcBorders>
              <w:tl2br w:val="nil"/>
              <w:tr2bl w:val="nil"/>
            </w:tcBorders>
            <w:noWrap/>
            <w:vAlign w:val="center"/>
          </w:tcPr>
          <w:p w14:paraId="50CED5C6">
            <w:pPr>
              <w:pStyle w:val="1358"/>
              <w:rPr>
                <w:rFonts w:hint="eastAsia" w:ascii="Times New Roman" w:hAnsi="Times New Roman" w:eastAsia="宋体" w:cs="Times New Roman"/>
                <w:color w:val="auto"/>
                <w:highlight w:val="none"/>
                <w:lang w:val="en-US" w:eastAsia="zh-CN"/>
              </w:rPr>
            </w:pPr>
            <w:r>
              <w:rPr>
                <w:rFonts w:hint="eastAsia"/>
                <w:color w:val="auto"/>
                <w:highlight w:val="none"/>
                <w:lang w:val="en-US" w:eastAsia="zh-CN"/>
              </w:rPr>
              <w:t>挥发份</w:t>
            </w:r>
          </w:p>
        </w:tc>
      </w:tr>
      <w:tr w14:paraId="4B3D4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vMerge w:val="continue"/>
            <w:tcBorders>
              <w:tl2br w:val="nil"/>
              <w:tr2bl w:val="nil"/>
            </w:tcBorders>
            <w:noWrap/>
            <w:vAlign w:val="center"/>
          </w:tcPr>
          <w:p w14:paraId="03E2CA1D">
            <w:pPr>
              <w:pStyle w:val="1358"/>
              <w:rPr>
                <w:rFonts w:hint="eastAsia" w:ascii="Times New Roman" w:hAnsi="Times New Roman" w:eastAsia="宋体" w:cs="Times New Roman"/>
                <w:color w:val="auto"/>
                <w:highlight w:val="none"/>
                <w:lang w:val="en-US" w:eastAsia="zh-CN"/>
              </w:rPr>
            </w:pPr>
          </w:p>
        </w:tc>
        <w:tc>
          <w:tcPr>
            <w:tcW w:w="2100" w:type="dxa"/>
            <w:vMerge w:val="continue"/>
            <w:tcBorders>
              <w:tl2br w:val="nil"/>
              <w:tr2bl w:val="nil"/>
            </w:tcBorders>
            <w:noWrap/>
            <w:vAlign w:val="center"/>
          </w:tcPr>
          <w:p w14:paraId="13C09D0A">
            <w:pPr>
              <w:pStyle w:val="1358"/>
              <w:rPr>
                <w:rFonts w:hint="eastAsia" w:ascii="Times New Roman" w:hAnsi="Times New Roman" w:eastAsia="宋体" w:cs="Times New Roman"/>
                <w:color w:val="auto"/>
                <w:highlight w:val="none"/>
                <w:lang w:val="en-US" w:eastAsia="zh-CN"/>
              </w:rPr>
            </w:pPr>
          </w:p>
        </w:tc>
        <w:tc>
          <w:tcPr>
            <w:tcW w:w="1275" w:type="dxa"/>
            <w:tcBorders>
              <w:tl2br w:val="nil"/>
              <w:tr2bl w:val="nil"/>
            </w:tcBorders>
            <w:noWrap/>
            <w:vAlign w:val="center"/>
          </w:tcPr>
          <w:p w14:paraId="30E1716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比例%</w:t>
            </w:r>
          </w:p>
        </w:tc>
        <w:tc>
          <w:tcPr>
            <w:tcW w:w="1335" w:type="dxa"/>
            <w:tcBorders>
              <w:tl2br w:val="nil"/>
              <w:tr2bl w:val="nil"/>
            </w:tcBorders>
            <w:noWrap/>
            <w:vAlign w:val="center"/>
          </w:tcPr>
          <w:p w14:paraId="5C0D229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含量t/a</w:t>
            </w:r>
          </w:p>
        </w:tc>
        <w:tc>
          <w:tcPr>
            <w:tcW w:w="1470" w:type="dxa"/>
            <w:tcBorders>
              <w:tl2br w:val="nil"/>
              <w:tr2bl w:val="nil"/>
            </w:tcBorders>
            <w:noWrap/>
            <w:vAlign w:val="center"/>
          </w:tcPr>
          <w:p w14:paraId="29096F2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比例%</w:t>
            </w:r>
          </w:p>
        </w:tc>
        <w:tc>
          <w:tcPr>
            <w:tcW w:w="1706" w:type="dxa"/>
            <w:tcBorders>
              <w:tl2br w:val="nil"/>
              <w:tr2bl w:val="nil"/>
            </w:tcBorders>
            <w:noWrap/>
            <w:vAlign w:val="center"/>
          </w:tcPr>
          <w:p w14:paraId="217A652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含量t/a</w:t>
            </w:r>
          </w:p>
        </w:tc>
      </w:tr>
      <w:tr w14:paraId="4D585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tcBorders>
              <w:tl2br w:val="nil"/>
              <w:tr2bl w:val="nil"/>
            </w:tcBorders>
            <w:noWrap w:val="0"/>
            <w:vAlign w:val="center"/>
          </w:tcPr>
          <w:p w14:paraId="6BEA109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底漆</w:t>
            </w:r>
          </w:p>
        </w:tc>
        <w:tc>
          <w:tcPr>
            <w:tcW w:w="2100" w:type="dxa"/>
            <w:tcBorders>
              <w:tl2br w:val="nil"/>
              <w:tr2bl w:val="nil"/>
            </w:tcBorders>
            <w:noWrap/>
            <w:vAlign w:val="center"/>
          </w:tcPr>
          <w:p w14:paraId="4FA02164">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16.34</w:t>
            </w:r>
          </w:p>
        </w:tc>
        <w:tc>
          <w:tcPr>
            <w:tcW w:w="1275" w:type="dxa"/>
            <w:tcBorders>
              <w:tl2br w:val="nil"/>
              <w:tr2bl w:val="nil"/>
            </w:tcBorders>
            <w:noWrap/>
            <w:vAlign w:val="center"/>
          </w:tcPr>
          <w:p w14:paraId="70091606">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54.55%</w:t>
            </w:r>
          </w:p>
        </w:tc>
        <w:tc>
          <w:tcPr>
            <w:tcW w:w="1335" w:type="dxa"/>
            <w:tcBorders>
              <w:tl2br w:val="nil"/>
              <w:tr2bl w:val="nil"/>
            </w:tcBorders>
            <w:noWrap/>
            <w:vAlign w:val="center"/>
          </w:tcPr>
          <w:p w14:paraId="1F9F2A78">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8.91</w:t>
            </w:r>
          </w:p>
        </w:tc>
        <w:tc>
          <w:tcPr>
            <w:tcW w:w="1470" w:type="dxa"/>
            <w:tcBorders>
              <w:tl2br w:val="nil"/>
              <w:tr2bl w:val="nil"/>
            </w:tcBorders>
            <w:noWrap/>
            <w:vAlign w:val="center"/>
          </w:tcPr>
          <w:p w14:paraId="39EEFE0A">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45.45%</w:t>
            </w:r>
          </w:p>
        </w:tc>
        <w:tc>
          <w:tcPr>
            <w:tcW w:w="1706" w:type="dxa"/>
            <w:tcBorders>
              <w:tl2br w:val="nil"/>
              <w:tr2bl w:val="nil"/>
            </w:tcBorders>
            <w:noWrap/>
            <w:vAlign w:val="center"/>
          </w:tcPr>
          <w:p w14:paraId="71C69D1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7.43 </w:t>
            </w:r>
          </w:p>
        </w:tc>
      </w:tr>
      <w:tr w14:paraId="1CC1D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tcBorders>
              <w:tl2br w:val="nil"/>
              <w:tr2bl w:val="nil"/>
            </w:tcBorders>
            <w:noWrap w:val="0"/>
            <w:vAlign w:val="center"/>
          </w:tcPr>
          <w:p w14:paraId="34A9540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色漆</w:t>
            </w:r>
          </w:p>
        </w:tc>
        <w:tc>
          <w:tcPr>
            <w:tcW w:w="2100" w:type="dxa"/>
            <w:tcBorders>
              <w:tl2br w:val="nil"/>
              <w:tr2bl w:val="nil"/>
            </w:tcBorders>
            <w:noWrap/>
            <w:vAlign w:val="center"/>
          </w:tcPr>
          <w:p w14:paraId="10849B38">
            <w:pPr>
              <w:pStyle w:val="1358"/>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28.61</w:t>
            </w:r>
          </w:p>
        </w:tc>
        <w:tc>
          <w:tcPr>
            <w:tcW w:w="1275" w:type="dxa"/>
            <w:tcBorders>
              <w:tl2br w:val="nil"/>
              <w:tr2bl w:val="nil"/>
            </w:tcBorders>
            <w:noWrap/>
            <w:vAlign w:val="center"/>
          </w:tcPr>
          <w:p w14:paraId="0C7EDCCD">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43.48%</w:t>
            </w:r>
          </w:p>
        </w:tc>
        <w:tc>
          <w:tcPr>
            <w:tcW w:w="1335" w:type="dxa"/>
            <w:tcBorders>
              <w:tl2br w:val="nil"/>
              <w:tr2bl w:val="nil"/>
            </w:tcBorders>
            <w:noWrap/>
            <w:vAlign w:val="center"/>
          </w:tcPr>
          <w:p w14:paraId="7A727FEE">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12.44</w:t>
            </w:r>
          </w:p>
        </w:tc>
        <w:tc>
          <w:tcPr>
            <w:tcW w:w="1470" w:type="dxa"/>
            <w:tcBorders>
              <w:tl2br w:val="nil"/>
              <w:tr2bl w:val="nil"/>
            </w:tcBorders>
            <w:noWrap/>
            <w:vAlign w:val="center"/>
          </w:tcPr>
          <w:p w14:paraId="4DEA6617">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56.52%</w:t>
            </w:r>
          </w:p>
        </w:tc>
        <w:tc>
          <w:tcPr>
            <w:tcW w:w="1706" w:type="dxa"/>
            <w:tcBorders>
              <w:tl2br w:val="nil"/>
              <w:tr2bl w:val="nil"/>
            </w:tcBorders>
            <w:noWrap/>
            <w:vAlign w:val="center"/>
          </w:tcPr>
          <w:p w14:paraId="3563EB5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16.17 </w:t>
            </w:r>
          </w:p>
        </w:tc>
      </w:tr>
      <w:tr w14:paraId="6D501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tcBorders>
              <w:tl2br w:val="nil"/>
              <w:tr2bl w:val="nil"/>
            </w:tcBorders>
            <w:noWrap w:val="0"/>
            <w:vAlign w:val="center"/>
          </w:tcPr>
          <w:p w14:paraId="4143458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清漆</w:t>
            </w:r>
          </w:p>
        </w:tc>
        <w:tc>
          <w:tcPr>
            <w:tcW w:w="2100" w:type="dxa"/>
            <w:tcBorders>
              <w:tl2br w:val="nil"/>
              <w:tr2bl w:val="nil"/>
            </w:tcBorders>
            <w:noWrap/>
            <w:vAlign w:val="center"/>
          </w:tcPr>
          <w:p w14:paraId="42ADCCEC">
            <w:pPr>
              <w:pStyle w:val="1358"/>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39.18</w:t>
            </w:r>
          </w:p>
        </w:tc>
        <w:tc>
          <w:tcPr>
            <w:tcW w:w="1275" w:type="dxa"/>
            <w:tcBorders>
              <w:tl2br w:val="nil"/>
              <w:tr2bl w:val="nil"/>
            </w:tcBorders>
            <w:noWrap/>
            <w:vAlign w:val="center"/>
          </w:tcPr>
          <w:p w14:paraId="471B567A">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55.00%</w:t>
            </w:r>
          </w:p>
        </w:tc>
        <w:tc>
          <w:tcPr>
            <w:tcW w:w="1335" w:type="dxa"/>
            <w:tcBorders>
              <w:tl2br w:val="nil"/>
              <w:tr2bl w:val="nil"/>
            </w:tcBorders>
            <w:noWrap/>
            <w:vAlign w:val="center"/>
          </w:tcPr>
          <w:p w14:paraId="664F9CAA">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21.55</w:t>
            </w:r>
          </w:p>
        </w:tc>
        <w:tc>
          <w:tcPr>
            <w:tcW w:w="1470" w:type="dxa"/>
            <w:tcBorders>
              <w:tl2br w:val="nil"/>
              <w:tr2bl w:val="nil"/>
            </w:tcBorders>
            <w:noWrap/>
            <w:vAlign w:val="center"/>
          </w:tcPr>
          <w:p w14:paraId="00E469C8">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45.00%</w:t>
            </w:r>
          </w:p>
        </w:tc>
        <w:tc>
          <w:tcPr>
            <w:tcW w:w="1706" w:type="dxa"/>
            <w:tcBorders>
              <w:tl2br w:val="nil"/>
              <w:tr2bl w:val="nil"/>
            </w:tcBorders>
            <w:noWrap/>
            <w:vAlign w:val="center"/>
          </w:tcPr>
          <w:p w14:paraId="766668D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17.63 </w:t>
            </w:r>
          </w:p>
        </w:tc>
      </w:tr>
      <w:tr w14:paraId="0796A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5" w:type="dxa"/>
            <w:tcBorders>
              <w:tl2br w:val="nil"/>
              <w:tr2bl w:val="nil"/>
            </w:tcBorders>
            <w:noWrap/>
            <w:vAlign w:val="center"/>
          </w:tcPr>
          <w:p w14:paraId="0127CA2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2100" w:type="dxa"/>
            <w:tcBorders>
              <w:tl2br w:val="nil"/>
              <w:tr2bl w:val="nil"/>
            </w:tcBorders>
            <w:shd w:val="clear" w:color="auto" w:fill="auto"/>
            <w:noWrap/>
            <w:vAlign w:val="center"/>
          </w:tcPr>
          <w:p w14:paraId="4EA56D0F">
            <w:pPr>
              <w:pStyle w:val="1358"/>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84.13</w:t>
            </w:r>
          </w:p>
        </w:tc>
        <w:tc>
          <w:tcPr>
            <w:tcW w:w="1275" w:type="dxa"/>
            <w:tcBorders>
              <w:tl2br w:val="nil"/>
              <w:tr2bl w:val="nil"/>
            </w:tcBorders>
            <w:noWrap/>
            <w:vAlign w:val="center"/>
          </w:tcPr>
          <w:p w14:paraId="71325F59">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335" w:type="dxa"/>
            <w:tcBorders>
              <w:tl2br w:val="nil"/>
              <w:tr2bl w:val="nil"/>
            </w:tcBorders>
            <w:noWrap/>
            <w:vAlign w:val="center"/>
          </w:tcPr>
          <w:p w14:paraId="43E6A148">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42.90</w:t>
            </w:r>
          </w:p>
        </w:tc>
        <w:tc>
          <w:tcPr>
            <w:tcW w:w="1470" w:type="dxa"/>
            <w:tcBorders>
              <w:tl2br w:val="nil"/>
              <w:tr2bl w:val="nil"/>
            </w:tcBorders>
            <w:noWrap/>
            <w:vAlign w:val="center"/>
          </w:tcPr>
          <w:p w14:paraId="5F5F5E7C">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706" w:type="dxa"/>
            <w:tcBorders>
              <w:tl2br w:val="nil"/>
              <w:tr2bl w:val="nil"/>
            </w:tcBorders>
            <w:noWrap/>
            <w:vAlign w:val="center"/>
          </w:tcPr>
          <w:p w14:paraId="4A9CDEE8">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41.23 </w:t>
            </w:r>
          </w:p>
        </w:tc>
      </w:tr>
    </w:tbl>
    <w:p w14:paraId="416127B7">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根据《污染源源强核算技术指南 汽车制造》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HJ1097-2020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及同类企业喷涂机器人作业情况，底漆附着率取50%，色漆和清漆附着率取60%。本项目拟对部分不合格品进行点补，点补量约为总喷涂量的0.2%。根据《工业涂装工序挥发性有机物</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VOCs</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排放量计算方法》，油漆中挥发份约5%在调漆过程中挥发，95%在喷涂过程中</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包括喷漆、流平</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烘干</w:t>
      </w:r>
      <w:r>
        <w:rPr>
          <w:rFonts w:hint="eastAsia" w:cs="Times New Roman"/>
          <w:color w:val="auto"/>
          <w:highlight w:val="none"/>
          <w:lang w:val="en-US" w:eastAsia="zh-CN"/>
        </w:rPr>
        <w:t>和点补</w:t>
      </w:r>
      <w:r>
        <w:rPr>
          <w:rFonts w:hint="eastAsia" w:ascii="Times New Roman" w:hAnsi="Times New Roman" w:eastAsia="宋体" w:cs="Times New Roman"/>
          <w:color w:val="auto"/>
          <w:highlight w:val="none"/>
          <w:lang w:val="en-US" w:eastAsia="zh-CN"/>
        </w:rPr>
        <w:t>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挥发。本项目涂装车间</w:t>
      </w:r>
      <w:r>
        <w:rPr>
          <w:rFonts w:hint="eastAsia" w:cs="Times New Roman"/>
          <w:color w:val="auto"/>
          <w:highlight w:val="none"/>
          <w:lang w:val="en-US" w:eastAsia="zh-CN"/>
        </w:rPr>
        <w:t>采用</w:t>
      </w:r>
      <w:r>
        <w:rPr>
          <w:rFonts w:hint="eastAsia" w:ascii="Times New Roman" w:hAnsi="Times New Roman" w:eastAsia="宋体" w:cs="Times New Roman"/>
          <w:color w:val="auto"/>
          <w:highlight w:val="none"/>
          <w:lang w:val="en-US" w:eastAsia="zh-CN"/>
        </w:rPr>
        <w:t>密闭负压设计，涂装车间进行整体换风，各喷漆室、流平室、烘干室均采用上送风下排风的循环风方式，喷漆过程为机器人自动操作，无人员进出，收集效率以90%计。</w:t>
      </w:r>
    </w:p>
    <w:p w14:paraId="42F5A14D">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调漆间和点补室均采用密闭负压设计，进行整体换风，无组织排放量较少，仅在工件进出时会有少量废气逸散出来，收集效率以90%计。</w:t>
      </w:r>
    </w:p>
    <w:p w14:paraId="18995670">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①漆雾</w:t>
      </w:r>
    </w:p>
    <w:p w14:paraId="740FAB3B">
      <w:pPr>
        <w:pStyle w:val="1336"/>
        <w:ind w:firstLine="480"/>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rPr>
        <w:t>本项目喷漆及点补工序均会产生漆雾，</w:t>
      </w:r>
      <w:r>
        <w:rPr>
          <w:rFonts w:hint="eastAsia" w:ascii="Times New Roman" w:hAnsi="Times New Roman" w:eastAsia="宋体" w:cs="Times New Roman"/>
          <w:color w:val="auto"/>
          <w:highlight w:val="none"/>
          <w:lang w:val="en-US" w:eastAsia="zh-CN" w:bidi="he-IL"/>
        </w:rPr>
        <w:t>根据前文分析，</w:t>
      </w:r>
      <w:r>
        <w:rPr>
          <w:rFonts w:hint="eastAsia"/>
          <w:color w:val="auto"/>
          <w:highlight w:val="none"/>
        </w:rPr>
        <w:t>喷</w:t>
      </w:r>
      <w:r>
        <w:rPr>
          <w:rFonts w:hint="eastAsia"/>
          <w:color w:val="auto"/>
          <w:highlight w:val="none"/>
          <w:lang w:val="en-US" w:eastAsia="zh-CN"/>
        </w:rPr>
        <w:t>底</w:t>
      </w:r>
      <w:r>
        <w:rPr>
          <w:rFonts w:hint="eastAsia"/>
          <w:color w:val="auto"/>
          <w:highlight w:val="none"/>
        </w:rPr>
        <w:t>漆过程中约有</w:t>
      </w:r>
      <w:r>
        <w:rPr>
          <w:rFonts w:hint="eastAsia"/>
          <w:color w:val="auto"/>
          <w:highlight w:val="none"/>
          <w:lang w:val="en-US" w:eastAsia="zh-CN"/>
        </w:rPr>
        <w:t>50</w:t>
      </w:r>
      <w:r>
        <w:rPr>
          <w:rFonts w:hint="eastAsia"/>
          <w:color w:val="auto"/>
          <w:highlight w:val="none"/>
        </w:rPr>
        <w:t>%的固体成分转化为漆雾</w:t>
      </w:r>
      <w:r>
        <w:rPr>
          <w:rFonts w:hint="eastAsia"/>
          <w:color w:val="auto"/>
          <w:highlight w:val="none"/>
          <w:lang w:eastAsia="zh-CN"/>
        </w:rPr>
        <w:t>，</w:t>
      </w:r>
      <w:r>
        <w:rPr>
          <w:rFonts w:hint="eastAsia"/>
          <w:color w:val="auto"/>
          <w:highlight w:val="none"/>
          <w:lang w:val="en-US" w:eastAsia="zh-CN"/>
        </w:rPr>
        <w:t>喷色漆与清漆过程中约40</w:t>
      </w:r>
      <w:r>
        <w:rPr>
          <w:rFonts w:hint="eastAsia"/>
          <w:color w:val="auto"/>
          <w:highlight w:val="none"/>
        </w:rPr>
        <w:t>%的固体成分转化为漆雾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rPr>
        <w:t>。</w:t>
      </w:r>
    </w:p>
    <w:p w14:paraId="5480A732">
      <w:pPr>
        <w:pStyle w:val="1336"/>
        <w:ind w:firstLine="480"/>
        <w:rPr>
          <w:rFonts w:hint="eastAsia"/>
          <w:color w:val="auto"/>
          <w:highlight w:val="none"/>
          <w:lang w:eastAsia="zh-CN"/>
        </w:rPr>
      </w:pPr>
      <w:r>
        <w:rPr>
          <w:rFonts w:hint="eastAsia"/>
          <w:color w:val="auto"/>
          <w:highlight w:val="none"/>
        </w:rPr>
        <w:t>项目喷漆过程漆雾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rPr>
        <w:t>产生量为</w:t>
      </w:r>
      <w:r>
        <w:rPr>
          <w:rFonts w:hint="eastAsia"/>
          <w:color w:val="auto"/>
          <w:highlight w:val="none"/>
          <w:lang w:val="en-US" w:eastAsia="zh-CN"/>
        </w:rPr>
        <w:t>18.0167</w:t>
      </w:r>
      <w:r>
        <w:rPr>
          <w:rFonts w:hint="eastAsia"/>
          <w:color w:val="auto"/>
          <w:highlight w:val="none"/>
        </w:rPr>
        <w:t>t/a</w:t>
      </w:r>
      <w:r>
        <w:rPr>
          <w:rFonts w:hint="eastAsia"/>
          <w:color w:val="auto"/>
          <w:highlight w:val="none"/>
          <w:lang w:eastAsia="zh-CN"/>
        </w:rPr>
        <w:t>、</w:t>
      </w:r>
      <w:r>
        <w:rPr>
          <w:rFonts w:hint="eastAsia"/>
          <w:color w:val="auto"/>
          <w:highlight w:val="none"/>
          <w:lang w:val="en-US" w:eastAsia="zh-CN"/>
        </w:rPr>
        <w:t>点补过程</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lang w:val="en-US" w:eastAsia="zh-CN"/>
        </w:rPr>
        <w:t>产生量为0.0013t/a。</w:t>
      </w:r>
      <w:r>
        <w:rPr>
          <w:rFonts w:hint="eastAsia" w:ascii="Times New Roman" w:hAnsi="Times New Roman" w:eastAsia="宋体" w:cs="Times New Roman"/>
          <w:color w:val="auto"/>
          <w:highlight w:val="none"/>
          <w:lang w:val="en-US" w:eastAsia="zh-CN"/>
        </w:rPr>
        <w:t>参考《污染源源强核算技术指南 汽车制造》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HJ1097-2020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附录F，喷漆室</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ascii="Times New Roman" w:hAnsi="Times New Roman" w:eastAsia="宋体" w:cs="Times New Roman"/>
          <w:color w:val="auto"/>
          <w:highlight w:val="none"/>
          <w:lang w:val="en-US" w:eastAsia="zh-CN"/>
        </w:rPr>
        <w:t>拟采用干式纸盒过滤+过滤棉过滤处理，点补室</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ascii="Times New Roman" w:hAnsi="Times New Roman" w:eastAsia="宋体" w:cs="Times New Roman"/>
          <w:color w:val="auto"/>
          <w:highlight w:val="none"/>
          <w:lang w:val="en-US" w:eastAsia="zh-CN"/>
        </w:rPr>
        <w:t>拟采用过滤棉过滤处理</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纸盒过滤去除效率95%，化学纤维过滤去除效率80%，根据《主要污染物总量减排核算技术指南（2022年修订）》，则干式纸盒过滤+过滤棉过滤处理效率为95%+（1-80%）*80%=99%，则喷漆室</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ascii="Times New Roman" w:hAnsi="Times New Roman" w:eastAsia="宋体" w:cs="Times New Roman"/>
          <w:color w:val="auto"/>
          <w:highlight w:val="none"/>
          <w:lang w:val="en-US" w:eastAsia="zh-CN"/>
        </w:rPr>
        <w:t>综合去除效率为99%，点补室</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ascii="Times New Roman" w:hAnsi="Times New Roman" w:eastAsia="宋体" w:cs="Times New Roman"/>
          <w:color w:val="auto"/>
          <w:highlight w:val="none"/>
          <w:lang w:val="en-US" w:eastAsia="zh-CN"/>
        </w:rPr>
        <w:t>去除效率取80%</w:t>
      </w:r>
      <w:r>
        <w:rPr>
          <w:rFonts w:hint="eastAsia"/>
          <w:color w:val="auto"/>
          <w:highlight w:val="none"/>
          <w:lang w:eastAsia="zh-CN"/>
        </w:rPr>
        <w:t>。</w:t>
      </w:r>
    </w:p>
    <w:p w14:paraId="2CF0BC07">
      <w:pPr>
        <w:pStyle w:val="1336"/>
        <w:ind w:firstLine="480"/>
        <w:rPr>
          <w:rFonts w:hint="eastAsia"/>
          <w:color w:val="auto"/>
          <w:highlight w:val="none"/>
        </w:rPr>
      </w:pPr>
      <w:r>
        <w:rPr>
          <w:rFonts w:hint="eastAsia"/>
          <w:color w:val="auto"/>
          <w:highlight w:val="none"/>
          <w:lang w:val="en-US" w:eastAsia="zh-CN"/>
        </w:rPr>
        <w:t>综上所述，</w:t>
      </w:r>
      <w:r>
        <w:rPr>
          <w:rFonts w:hint="eastAsia"/>
          <w:color w:val="auto"/>
          <w:highlight w:val="none"/>
        </w:rPr>
        <w:t>喷漆过程漆雾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rPr>
        <w:t>经处理后</w:t>
      </w:r>
      <w:r>
        <w:rPr>
          <w:rFonts w:hint="eastAsia"/>
          <w:color w:val="auto"/>
          <w:highlight w:val="none"/>
          <w:lang w:val="en-US" w:eastAsia="zh-CN"/>
        </w:rPr>
        <w:t>排放</w:t>
      </w:r>
      <w:r>
        <w:rPr>
          <w:rFonts w:hint="eastAsia"/>
          <w:color w:val="auto"/>
          <w:highlight w:val="none"/>
        </w:rPr>
        <w:t>量为</w:t>
      </w:r>
      <w:r>
        <w:rPr>
          <w:rFonts w:hint="eastAsia"/>
          <w:color w:val="auto"/>
          <w:highlight w:val="none"/>
          <w:lang w:val="en-US" w:eastAsia="zh-CN"/>
        </w:rPr>
        <w:t>0.1622</w:t>
      </w:r>
      <w:r>
        <w:rPr>
          <w:rFonts w:hint="eastAsia"/>
          <w:color w:val="auto"/>
          <w:highlight w:val="none"/>
        </w:rPr>
        <w:t>t/a</w:t>
      </w:r>
      <w:r>
        <w:rPr>
          <w:rFonts w:hint="eastAsia"/>
          <w:color w:val="auto"/>
          <w:highlight w:val="none"/>
          <w:lang w:eastAsia="zh-CN"/>
        </w:rPr>
        <w:t>、</w:t>
      </w:r>
      <w:r>
        <w:rPr>
          <w:rFonts w:hint="eastAsia"/>
          <w:color w:val="auto"/>
          <w:highlight w:val="none"/>
          <w:lang w:val="en-US" w:eastAsia="zh-CN"/>
        </w:rPr>
        <w:t>点补过程</w:t>
      </w:r>
      <w:r>
        <w:rPr>
          <w:rFonts w:hint="eastAsia"/>
          <w:color w:val="auto"/>
          <w:highlight w:val="none"/>
        </w:rPr>
        <w:t>漆雾</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rPr>
        <w:t>经处理后</w:t>
      </w:r>
      <w:r>
        <w:rPr>
          <w:rFonts w:hint="eastAsia"/>
          <w:color w:val="auto"/>
          <w:highlight w:val="none"/>
          <w:lang w:val="en-US" w:eastAsia="zh-CN"/>
        </w:rPr>
        <w:t>排放</w:t>
      </w:r>
      <w:r>
        <w:rPr>
          <w:rFonts w:hint="eastAsia"/>
          <w:color w:val="auto"/>
          <w:highlight w:val="none"/>
        </w:rPr>
        <w:t>量为</w:t>
      </w:r>
      <w:r>
        <w:rPr>
          <w:rFonts w:hint="eastAsia"/>
          <w:color w:val="auto"/>
          <w:highlight w:val="none"/>
          <w:lang w:val="en-US" w:eastAsia="zh-CN"/>
        </w:rPr>
        <w:t>0.0002</w:t>
      </w:r>
      <w:r>
        <w:rPr>
          <w:rFonts w:hint="eastAsia"/>
          <w:color w:val="auto"/>
          <w:highlight w:val="none"/>
        </w:rPr>
        <w:t>t/a。</w:t>
      </w:r>
    </w:p>
    <w:p w14:paraId="1A541DC9">
      <w:pPr>
        <w:pStyle w:val="1336"/>
        <w:ind w:firstLine="480"/>
        <w:rPr>
          <w:rFonts w:hint="default" w:ascii="Times New Roman" w:hAnsi="Times New Roman" w:eastAsia="宋体" w:cs="Times New Roman"/>
          <w:color w:val="auto"/>
          <w:highlight w:val="none"/>
          <w:lang w:val="en-US" w:eastAsia="zh-CN"/>
        </w:rPr>
      </w:pPr>
      <w:r>
        <w:rPr>
          <w:rFonts w:hint="eastAsia"/>
          <w:color w:val="auto"/>
          <w:highlight w:val="none"/>
        </w:rPr>
        <w:t>②挥发性有机废气</w:t>
      </w:r>
      <w:r>
        <w:rPr>
          <w:rFonts w:hint="eastAsia"/>
          <w:color w:val="auto"/>
          <w:highlight w:val="none"/>
          <w:lang w:eastAsia="zh-CN"/>
        </w:rPr>
        <w:t>（</w:t>
      </w:r>
      <w:r>
        <w:rPr>
          <w:rFonts w:hint="eastAsia"/>
          <w:color w:val="auto"/>
          <w:highlight w:val="none"/>
        </w:rPr>
        <w:t>含</w:t>
      </w:r>
      <w:r>
        <w:rPr>
          <w:rFonts w:hint="eastAsia"/>
          <w:color w:val="auto"/>
          <w:highlight w:val="none"/>
          <w:lang w:val="en-US" w:eastAsia="zh-CN"/>
        </w:rPr>
        <w:t>调漆、</w:t>
      </w:r>
      <w:r>
        <w:rPr>
          <w:rFonts w:hint="eastAsia"/>
          <w:color w:val="auto"/>
          <w:highlight w:val="none"/>
        </w:rPr>
        <w:t>喷漆、流平、烘干</w:t>
      </w:r>
      <w:r>
        <w:rPr>
          <w:rFonts w:hint="eastAsia"/>
          <w:color w:val="auto"/>
          <w:highlight w:val="none"/>
          <w:lang w:val="en-US" w:eastAsia="zh-CN"/>
        </w:rPr>
        <w:t>、点补</w:t>
      </w:r>
      <w:r>
        <w:rPr>
          <w:rFonts w:hint="eastAsia"/>
          <w:color w:val="auto"/>
          <w:highlight w:val="none"/>
          <w:lang w:eastAsia="zh-CN"/>
        </w:rPr>
        <w:t>）</w:t>
      </w:r>
      <w:r>
        <w:rPr>
          <w:rFonts w:hint="eastAsia"/>
          <w:color w:val="auto"/>
          <w:highlight w:val="none"/>
          <w:lang w:val="en-US" w:eastAsia="zh-CN"/>
        </w:rPr>
        <w:t xml:space="preserve"> </w:t>
      </w:r>
    </w:p>
    <w:p w14:paraId="1252979A">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bidi="he-IL"/>
        </w:rPr>
        <w:t>根据建设单位提供的涂料</w:t>
      </w:r>
      <w:r>
        <w:rPr>
          <w:rFonts w:hint="eastAsia" w:ascii="Times New Roman" w:hAnsi="Times New Roman" w:eastAsia="宋体" w:cs="Times New Roman"/>
          <w:color w:val="auto"/>
          <w:highlight w:val="none"/>
          <w:lang w:eastAsia="zh-CN" w:bidi="he-IL"/>
        </w:rPr>
        <w:t>MSDS</w:t>
      </w:r>
      <w:r>
        <w:rPr>
          <w:rFonts w:hint="eastAsia" w:cs="Times New Roman"/>
          <w:color w:val="auto"/>
          <w:highlight w:val="none"/>
          <w:lang w:eastAsia="zh-CN" w:bidi="he-IL"/>
        </w:rPr>
        <w:t>（</w:t>
      </w:r>
      <w:r>
        <w:rPr>
          <w:rFonts w:hint="eastAsia" w:cs="Times New Roman"/>
          <w:color w:val="auto"/>
          <w:highlight w:val="none"/>
          <w:lang w:val="en-US" w:eastAsia="zh-CN" w:bidi="he-IL"/>
        </w:rPr>
        <w:t>详见附件8</w:t>
      </w:r>
      <w:r>
        <w:rPr>
          <w:rFonts w:hint="eastAsia" w:cs="Times New Roman"/>
          <w:color w:val="auto"/>
          <w:highlight w:val="none"/>
          <w:lang w:eastAsia="zh-CN" w:bidi="he-IL"/>
        </w:rPr>
        <w:t>）</w:t>
      </w:r>
      <w:r>
        <w:rPr>
          <w:rFonts w:hint="eastAsia" w:cs="Times New Roman"/>
          <w:color w:val="auto"/>
          <w:highlight w:val="none"/>
          <w:lang w:val="en-US" w:eastAsia="zh-CN" w:bidi="he-IL"/>
        </w:rPr>
        <w:t>及</w:t>
      </w:r>
      <w:r>
        <w:rPr>
          <w:rFonts w:hint="eastAsia" w:cs="Times New Roman"/>
          <w:color w:val="auto"/>
          <w:highlight w:val="none"/>
          <w:lang w:eastAsia="zh-CN" w:bidi="he-IL"/>
        </w:rPr>
        <w:t>施工状态</w:t>
      </w:r>
      <w:r>
        <w:rPr>
          <w:rFonts w:hint="eastAsia" w:cs="Times New Roman"/>
          <w:color w:val="auto"/>
          <w:highlight w:val="none"/>
          <w:lang w:val="en-US" w:eastAsia="zh-CN" w:bidi="he-IL"/>
        </w:rPr>
        <w:t>涂料</w:t>
      </w:r>
      <w:r>
        <w:rPr>
          <w:rFonts w:hint="eastAsia" w:cs="Times New Roman"/>
          <w:color w:val="auto"/>
          <w:highlight w:val="none"/>
          <w:lang w:eastAsia="zh-CN" w:bidi="he-IL"/>
        </w:rPr>
        <w:t>调配比例</w:t>
      </w:r>
      <w:r>
        <w:rPr>
          <w:rFonts w:hint="eastAsia" w:cs="Times New Roman"/>
          <w:color w:val="auto"/>
          <w:highlight w:val="none"/>
          <w:lang w:val="en-US" w:eastAsia="zh-CN" w:bidi="he-IL"/>
        </w:rPr>
        <w:t>计算，</w:t>
      </w:r>
      <w:r>
        <w:rPr>
          <w:rFonts w:hint="eastAsia" w:cs="Times New Roman"/>
          <w:color w:val="auto"/>
          <w:highlight w:val="none"/>
          <w:lang w:eastAsia="zh-CN" w:bidi="he-IL"/>
        </w:rPr>
        <w:t>施工状态油漆中乙酸丁酯分别为</w:t>
      </w:r>
      <w:r>
        <w:rPr>
          <w:rFonts w:hint="eastAsia" w:ascii="Times New Roman" w:hAnsi="Times New Roman" w:eastAsia="宋体" w:cs="Times New Roman"/>
          <w:color w:val="auto"/>
          <w:highlight w:val="none"/>
          <w:lang w:eastAsia="zh-CN" w:bidi="he-IL"/>
        </w:rPr>
        <w:t>底漆</w:t>
      </w:r>
      <w:r>
        <w:rPr>
          <w:rFonts w:hint="eastAsia" w:cs="Times New Roman"/>
          <w:color w:val="auto"/>
          <w:highlight w:val="none"/>
          <w:lang w:val="en-US" w:eastAsia="zh-CN" w:bidi="he-IL"/>
        </w:rPr>
        <w:t>16.82</w:t>
      </w:r>
      <w:r>
        <w:rPr>
          <w:rFonts w:hint="eastAsia" w:ascii="Times New Roman" w:hAnsi="Times New Roman" w:eastAsia="宋体" w:cs="Times New Roman"/>
          <w:color w:val="auto"/>
          <w:highlight w:val="none"/>
          <w:lang w:eastAsia="zh-CN" w:bidi="he-IL"/>
        </w:rPr>
        <w:t>%、色漆</w:t>
      </w:r>
      <w:r>
        <w:rPr>
          <w:rFonts w:hint="eastAsia" w:cs="Times New Roman"/>
          <w:color w:val="auto"/>
          <w:highlight w:val="none"/>
          <w:lang w:val="en-US" w:eastAsia="zh-CN" w:bidi="he-IL"/>
        </w:rPr>
        <w:t>26.30</w:t>
      </w:r>
      <w:r>
        <w:rPr>
          <w:rFonts w:hint="eastAsia" w:ascii="Times New Roman" w:hAnsi="Times New Roman" w:eastAsia="宋体" w:cs="Times New Roman"/>
          <w:color w:val="auto"/>
          <w:highlight w:val="none"/>
          <w:lang w:eastAsia="zh-CN" w:bidi="he-IL"/>
        </w:rPr>
        <w:t>%、清漆</w:t>
      </w:r>
      <w:r>
        <w:rPr>
          <w:rFonts w:hint="eastAsia" w:cs="Times New Roman"/>
          <w:color w:val="auto"/>
          <w:highlight w:val="none"/>
          <w:lang w:val="en-US" w:eastAsia="zh-CN" w:bidi="he-IL"/>
        </w:rPr>
        <w:t>23.91</w:t>
      </w:r>
      <w:r>
        <w:rPr>
          <w:rFonts w:hint="eastAsia" w:ascii="Times New Roman" w:hAnsi="Times New Roman" w:eastAsia="宋体" w:cs="Times New Roman"/>
          <w:color w:val="auto"/>
          <w:highlight w:val="none"/>
          <w:lang w:eastAsia="zh-CN" w:bidi="he-IL"/>
        </w:rPr>
        <w:t>%</w:t>
      </w:r>
      <w:r>
        <w:rPr>
          <w:rFonts w:hint="eastAsia" w:cs="Times New Roman"/>
          <w:color w:val="auto"/>
          <w:highlight w:val="none"/>
          <w:lang w:eastAsia="zh-CN" w:bidi="he-IL"/>
        </w:rPr>
        <w:t>，</w:t>
      </w:r>
      <w:r>
        <w:rPr>
          <w:rFonts w:hint="eastAsia" w:ascii="Times New Roman" w:hAnsi="Times New Roman" w:eastAsia="宋体" w:cs="Times New Roman"/>
          <w:color w:val="auto"/>
          <w:highlight w:val="none"/>
          <w:lang w:eastAsia="zh-CN" w:bidi="he-IL"/>
        </w:rPr>
        <w:t>二甲苯分别为底漆</w:t>
      </w:r>
      <w:r>
        <w:rPr>
          <w:rFonts w:hint="eastAsia" w:ascii="Times New Roman" w:hAnsi="Times New Roman" w:eastAsia="宋体" w:cs="Times New Roman"/>
          <w:color w:val="auto"/>
          <w:highlight w:val="none"/>
          <w:lang w:val="en-US" w:eastAsia="zh-CN" w:bidi="he-IL"/>
        </w:rPr>
        <w:t>21.36</w:t>
      </w:r>
      <w:r>
        <w:rPr>
          <w:rFonts w:hint="eastAsia" w:ascii="Times New Roman" w:hAnsi="Times New Roman" w:eastAsia="宋体" w:cs="Times New Roman"/>
          <w:color w:val="auto"/>
          <w:highlight w:val="none"/>
          <w:lang w:eastAsia="zh-CN" w:bidi="he-IL"/>
        </w:rPr>
        <w:t>%、色漆</w:t>
      </w:r>
      <w:r>
        <w:rPr>
          <w:rFonts w:hint="eastAsia" w:ascii="Times New Roman" w:hAnsi="Times New Roman" w:eastAsia="宋体" w:cs="Times New Roman"/>
          <w:color w:val="auto"/>
          <w:highlight w:val="none"/>
          <w:lang w:val="en-US" w:eastAsia="zh-CN" w:bidi="he-IL"/>
        </w:rPr>
        <w:t>21.9</w:t>
      </w:r>
      <w:r>
        <w:rPr>
          <w:rFonts w:hint="eastAsia" w:cs="Times New Roman"/>
          <w:color w:val="auto"/>
          <w:highlight w:val="none"/>
          <w:lang w:val="en-US" w:eastAsia="zh-CN" w:bidi="he-IL"/>
        </w:rPr>
        <w:t>5</w:t>
      </w:r>
      <w:r>
        <w:rPr>
          <w:rFonts w:hint="eastAsia" w:ascii="Times New Roman" w:hAnsi="Times New Roman" w:eastAsia="宋体" w:cs="Times New Roman"/>
          <w:color w:val="auto"/>
          <w:highlight w:val="none"/>
          <w:lang w:eastAsia="zh-CN" w:bidi="he-IL"/>
        </w:rPr>
        <w:t>%、清漆10.</w:t>
      </w:r>
      <w:r>
        <w:rPr>
          <w:rFonts w:hint="eastAsia" w:ascii="Times New Roman" w:hAnsi="Times New Roman" w:eastAsia="宋体" w:cs="Times New Roman"/>
          <w:color w:val="auto"/>
          <w:highlight w:val="none"/>
          <w:lang w:val="en-US" w:eastAsia="zh-CN" w:bidi="he-IL"/>
        </w:rPr>
        <w:t>78</w:t>
      </w:r>
      <w:r>
        <w:rPr>
          <w:rFonts w:hint="eastAsia" w:ascii="Times New Roman" w:hAnsi="Times New Roman" w:eastAsia="宋体" w:cs="Times New Roman"/>
          <w:color w:val="auto"/>
          <w:highlight w:val="none"/>
          <w:lang w:eastAsia="zh-CN" w:bidi="he-IL"/>
        </w:rPr>
        <w:t>%</w:t>
      </w:r>
      <w:r>
        <w:rPr>
          <w:rFonts w:hint="eastAsia" w:cs="Times New Roman"/>
          <w:color w:val="auto"/>
          <w:highlight w:val="none"/>
          <w:lang w:eastAsia="zh-CN" w:bidi="he-IL"/>
        </w:rPr>
        <w:t>，</w:t>
      </w:r>
      <w:r>
        <w:rPr>
          <w:rFonts w:hint="default" w:ascii="Times New Roman" w:hAnsi="Times New Roman" w:eastAsia="宋体" w:cs="Times New Roman"/>
          <w:color w:val="auto"/>
          <w:highlight w:val="none"/>
          <w:shd w:val="clear" w:color="auto" w:fill="auto"/>
          <w:lang w:val="en-US" w:eastAsia="zh-CN"/>
        </w:rPr>
        <w:t>NMHC</w:t>
      </w:r>
      <w:r>
        <w:rPr>
          <w:rFonts w:hint="eastAsia" w:ascii="Times New Roman" w:hAnsi="Times New Roman" w:eastAsia="宋体" w:cs="Times New Roman"/>
          <w:color w:val="auto"/>
          <w:highlight w:val="none"/>
          <w:shd w:val="clear" w:color="auto" w:fill="auto"/>
          <w:lang w:val="en-US" w:eastAsia="zh-CN"/>
        </w:rPr>
        <w:t>（含乙酸丁酯）</w:t>
      </w:r>
      <w:r>
        <w:rPr>
          <w:rFonts w:hint="eastAsia" w:cs="Times New Roman"/>
          <w:color w:val="auto"/>
          <w:highlight w:val="none"/>
          <w:lang w:eastAsia="zh-CN" w:bidi="he-IL"/>
        </w:rPr>
        <w:t>分别为</w:t>
      </w:r>
      <w:r>
        <w:rPr>
          <w:rFonts w:hint="eastAsia" w:ascii="Times New Roman" w:hAnsi="Times New Roman" w:eastAsia="宋体" w:cs="Times New Roman"/>
          <w:color w:val="auto"/>
          <w:highlight w:val="none"/>
          <w:lang w:eastAsia="zh-CN" w:bidi="he-IL"/>
        </w:rPr>
        <w:t>底漆</w:t>
      </w:r>
      <w:r>
        <w:rPr>
          <w:rFonts w:hint="eastAsia" w:cs="Times New Roman"/>
          <w:color w:val="auto"/>
          <w:highlight w:val="none"/>
          <w:lang w:val="en-US" w:eastAsia="zh-CN" w:bidi="he-IL"/>
        </w:rPr>
        <w:t>24.09</w:t>
      </w:r>
      <w:r>
        <w:rPr>
          <w:rFonts w:hint="eastAsia" w:ascii="Times New Roman" w:hAnsi="Times New Roman" w:eastAsia="宋体" w:cs="Times New Roman"/>
          <w:color w:val="auto"/>
          <w:highlight w:val="none"/>
          <w:lang w:eastAsia="zh-CN" w:bidi="he-IL"/>
        </w:rPr>
        <w:t>%、色漆</w:t>
      </w:r>
      <w:r>
        <w:rPr>
          <w:rFonts w:hint="eastAsia" w:cs="Times New Roman"/>
          <w:color w:val="auto"/>
          <w:highlight w:val="none"/>
          <w:lang w:val="en-US" w:eastAsia="zh-CN" w:bidi="he-IL"/>
        </w:rPr>
        <w:t>34.57</w:t>
      </w:r>
      <w:r>
        <w:rPr>
          <w:rFonts w:hint="eastAsia" w:ascii="Times New Roman" w:hAnsi="Times New Roman" w:eastAsia="宋体" w:cs="Times New Roman"/>
          <w:color w:val="auto"/>
          <w:highlight w:val="none"/>
          <w:lang w:eastAsia="zh-CN" w:bidi="he-IL"/>
        </w:rPr>
        <w:t>%、清漆</w:t>
      </w:r>
      <w:r>
        <w:rPr>
          <w:rFonts w:hint="eastAsia" w:cs="Times New Roman"/>
          <w:color w:val="auto"/>
          <w:highlight w:val="none"/>
          <w:lang w:val="en-US" w:eastAsia="zh-CN" w:bidi="he-IL"/>
        </w:rPr>
        <w:t>34.22</w:t>
      </w:r>
      <w:r>
        <w:rPr>
          <w:rFonts w:hint="eastAsia" w:ascii="Times New Roman" w:hAnsi="Times New Roman" w:eastAsia="宋体" w:cs="Times New Roman"/>
          <w:color w:val="auto"/>
          <w:highlight w:val="none"/>
          <w:lang w:eastAsia="zh-CN" w:bidi="he-IL"/>
        </w:rPr>
        <w:t>%。</w:t>
      </w:r>
    </w:p>
    <w:p w14:paraId="794862DC">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根据《污染源源强核算技术指南 汽车制造》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HJ1097-2020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新建工程涂装工序废气采用物料衡算法核算。根据物料平衡分析，</w:t>
      </w:r>
      <w:r>
        <w:rPr>
          <w:rFonts w:hint="eastAsia" w:cs="Times New Roman"/>
          <w:color w:val="auto"/>
          <w:highlight w:val="none"/>
          <w:lang w:val="en-US" w:eastAsia="zh-CN"/>
        </w:rPr>
        <w:t>项目涂料中有机废气产生情况见表3.4-3</w:t>
      </w:r>
      <w:r>
        <w:rPr>
          <w:rFonts w:hint="eastAsia" w:ascii="Times New Roman" w:hAnsi="Times New Roman" w:eastAsia="宋体" w:cs="Times New Roman"/>
          <w:color w:val="auto"/>
          <w:highlight w:val="none"/>
          <w:lang w:val="en-US" w:eastAsia="zh-CN"/>
        </w:rPr>
        <w:t>。</w:t>
      </w:r>
    </w:p>
    <w:p w14:paraId="742753E4">
      <w:pPr>
        <w:pStyle w:val="1336"/>
        <w:ind w:firstLine="480"/>
        <w:rPr>
          <w:rFonts w:hint="eastAsia" w:cs="Times New Roman"/>
          <w:color w:val="auto"/>
          <w:highlight w:val="none"/>
          <w:lang w:val="en-US" w:eastAsia="zh-CN"/>
        </w:rPr>
      </w:pPr>
      <w:r>
        <w:rPr>
          <w:rFonts w:hint="eastAsia"/>
          <w:color w:val="auto"/>
          <w:highlight w:val="none"/>
        </w:rPr>
        <w:t>项目调漆、喷漆、流平、烘干</w:t>
      </w:r>
      <w:r>
        <w:rPr>
          <w:rFonts w:hint="eastAsia"/>
          <w:color w:val="auto"/>
          <w:highlight w:val="none"/>
          <w:lang w:eastAsia="zh-CN"/>
        </w:rPr>
        <w:t>、</w:t>
      </w:r>
      <w:r>
        <w:rPr>
          <w:rFonts w:hint="eastAsia"/>
          <w:color w:val="auto"/>
          <w:highlight w:val="none"/>
          <w:lang w:val="en-US" w:eastAsia="zh-CN"/>
        </w:rPr>
        <w:t>点补</w:t>
      </w:r>
      <w:r>
        <w:rPr>
          <w:rFonts w:hint="eastAsia"/>
          <w:color w:val="auto"/>
          <w:highlight w:val="none"/>
        </w:rPr>
        <w:t>均在密闭空间内进行，根据</w:t>
      </w:r>
      <w:r>
        <w:rPr>
          <w:rFonts w:hint="eastAsia" w:cs="Times New Roman"/>
          <w:color w:val="auto"/>
          <w:highlight w:val="none"/>
          <w:lang w:val="en-US" w:eastAsia="zh-CN"/>
        </w:rPr>
        <w:t>生态环境部发布《关于印发〈主要污染物总量减排核算技术指南（2022年修订）〉的通知》（〔2022〕350号）</w:t>
      </w:r>
      <w:r>
        <w:rPr>
          <w:rFonts w:hint="eastAsia"/>
          <w:color w:val="auto"/>
          <w:highlight w:val="none"/>
        </w:rPr>
        <w:t>表2-3VOCs废气收集率和治理设施去除率通用系数，在密闭空间</w:t>
      </w:r>
      <w:r>
        <w:rPr>
          <w:rFonts w:hint="eastAsia"/>
          <w:color w:val="auto"/>
          <w:highlight w:val="none"/>
          <w:lang w:eastAsia="zh-CN"/>
        </w:rPr>
        <w:t>（</w:t>
      </w:r>
      <w:r>
        <w:rPr>
          <w:rFonts w:hint="eastAsia"/>
          <w:color w:val="auto"/>
          <w:highlight w:val="none"/>
        </w:rPr>
        <w:t>含密闭式集气罩</w:t>
      </w:r>
      <w:r>
        <w:rPr>
          <w:rFonts w:hint="eastAsia"/>
          <w:color w:val="auto"/>
          <w:highlight w:val="none"/>
          <w:lang w:eastAsia="zh-CN"/>
        </w:rPr>
        <w:t>）</w:t>
      </w:r>
      <w:r>
        <w:rPr>
          <w:rFonts w:hint="eastAsia"/>
          <w:color w:val="auto"/>
          <w:highlight w:val="none"/>
        </w:rPr>
        <w:t>采用负压收集废气时，废气收集效率可达90%。</w:t>
      </w:r>
    </w:p>
    <w:p w14:paraId="62EA24BA">
      <w:pPr>
        <w:pStyle w:val="1336"/>
        <w:ind w:firstLine="480"/>
        <w:rPr>
          <w:rFonts w:hint="eastAsia" w:cs="Times New Roman"/>
          <w:color w:val="auto"/>
          <w:highlight w:val="none"/>
          <w:lang w:val="en-US" w:eastAsia="zh-CN"/>
        </w:rPr>
      </w:pPr>
      <w:r>
        <w:rPr>
          <w:rFonts w:hint="eastAsia" w:cs="Times New Roman"/>
          <w:color w:val="auto"/>
          <w:highlight w:val="none"/>
          <w:lang w:val="en-US" w:eastAsia="zh-CN"/>
        </w:rPr>
        <w:t>本项目</w:t>
      </w:r>
      <w:r>
        <w:rPr>
          <w:rFonts w:hint="eastAsia" w:ascii="Times New Roman" w:hAnsi="Times New Roman" w:eastAsia="宋体" w:cs="Times New Roman"/>
          <w:color w:val="auto"/>
          <w:highlight w:val="none"/>
          <w:lang w:val="en-US" w:eastAsia="zh-CN"/>
        </w:rPr>
        <w:t>调漆产生的有机废气经负压收集后由</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二级活性炭吸附</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（TA002）处理达标后经20m排气筒（DA002）高空排放；</w:t>
      </w:r>
      <w:r>
        <w:rPr>
          <w:rFonts w:hint="eastAsia" w:cs="Times New Roman"/>
          <w:color w:val="auto"/>
          <w:highlight w:val="none"/>
          <w:lang w:val="en-US" w:eastAsia="zh-CN"/>
        </w:rPr>
        <w:t>喷漆、流平和烘干产生的有机废气经1套“干式纸盒</w:t>
      </w:r>
      <w:r>
        <w:rPr>
          <w:rFonts w:hint="default" w:cs="Times New Roman"/>
          <w:color w:val="auto"/>
          <w:highlight w:val="none"/>
          <w:lang w:val="en-US" w:eastAsia="zh-CN"/>
        </w:rPr>
        <w:t>+</w:t>
      </w:r>
      <w:r>
        <w:rPr>
          <w:rFonts w:hint="eastAsia" w:cs="Times New Roman"/>
          <w:color w:val="auto"/>
          <w:highlight w:val="none"/>
          <w:lang w:val="en-US" w:eastAsia="zh-CN"/>
        </w:rPr>
        <w:t>过滤棉过滤+RTO蓄热式焚烧炉”（TA001）处理达标后经20m排气筒（DA001）高空排放。经参考《蓄热燃烧法工业有机废气治理工程技术规范》（HJ1093-2020）及《工业涂装工序挥发性有机物污染防治技术规范》（DB41/T1946-2020），多室或旋转式蓄热燃烧</w:t>
      </w:r>
      <w:r>
        <w:rPr>
          <w:rFonts w:hint="eastAsia" w:ascii="Times New Roman" w:hAnsi="Times New Roman" w:eastAsia="宋体" w:cs="Times New Roman"/>
          <w:color w:val="auto"/>
          <w:highlight w:val="none"/>
          <w:lang w:val="en-US" w:eastAsia="zh-CN"/>
        </w:rPr>
        <w:t>装置净化效率不宜低于98%，RTO蓄热式焚烧炉对VOCs去除效率取98%</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点补室产生的废气经负压收集后由</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过滤棉过滤+二级活性炭吸附</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（TA003）处理达标后经20m排气筒（DA003）高空排放</w:t>
      </w:r>
      <w:r>
        <w:rPr>
          <w:rFonts w:hint="eastAsia" w:cs="Times New Roman"/>
          <w:color w:val="auto"/>
          <w:highlight w:val="none"/>
          <w:lang w:val="en-US" w:eastAsia="zh-CN"/>
        </w:rPr>
        <w:t>。</w:t>
      </w:r>
    </w:p>
    <w:p w14:paraId="21114820">
      <w:pPr>
        <w:pStyle w:val="1336"/>
        <w:ind w:firstLine="480"/>
        <w:rPr>
          <w:rFonts w:hint="eastAsia" w:ascii="Times New Roman" w:hAnsi="Times New Roman" w:eastAsia="宋体" w:cs="Times New Roman"/>
          <w:color w:val="auto"/>
          <w:highlight w:val="none"/>
          <w:lang w:val="en-US" w:eastAsia="zh-CN"/>
        </w:rPr>
        <w:sectPr>
          <w:pgSz w:w="11906" w:h="16838"/>
          <w:pgMar w:top="1440" w:right="1418" w:bottom="1440" w:left="1418" w:header="964" w:footer="964" w:gutter="0"/>
          <w:pgBorders w:offsetFrom="page">
            <w:top w:val="none" w:sz="0" w:space="0"/>
            <w:left w:val="none" w:sz="0" w:space="0"/>
            <w:bottom w:val="none" w:sz="0" w:space="0"/>
            <w:right w:val="none" w:sz="0" w:space="0"/>
          </w:pgBorders>
          <w:pgNumType w:fmt="decimal"/>
          <w:cols w:space="720" w:num="1"/>
          <w:docGrid w:linePitch="326" w:charSpace="0"/>
        </w:sectPr>
      </w:pPr>
      <w:r>
        <w:rPr>
          <w:rFonts w:hint="eastAsia" w:cs="Times New Roman"/>
          <w:color w:val="auto"/>
          <w:highlight w:val="none"/>
          <w:lang w:val="en-US" w:eastAsia="zh-CN"/>
        </w:rPr>
        <w:t>根据生态环境部发布《关于印发〈主要污染物总量减排核算技术指南（2022年修订）〉的通知》（〔2022〕350号）中规定，一次性活性炭的吸附效率为50%。采用二级活性炭吸附效率为1-（1-50%）×（1-50%）=75%。</w:t>
      </w:r>
    </w:p>
    <w:p w14:paraId="601CA5F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w:t>
      </w:r>
      <w:r>
        <w:rPr>
          <w:rFonts w:hint="eastAsia" w:cs="Times New Roman"/>
          <w:color w:val="auto"/>
          <w:highlight w:val="none"/>
          <w:lang w:val="en-US" w:eastAsia="zh-CN"/>
        </w:rPr>
        <w:t>5</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油</w:t>
      </w:r>
      <w:r>
        <w:rPr>
          <w:rFonts w:hint="default" w:ascii="Times New Roman" w:hAnsi="Times New Roman" w:cs="Times New Roman"/>
          <w:color w:val="auto"/>
          <w:highlight w:val="none"/>
          <w:lang w:val="en-US" w:eastAsia="zh-CN"/>
        </w:rPr>
        <w:t>漆</w:t>
      </w:r>
      <w:r>
        <w:rPr>
          <w:rFonts w:hint="default" w:ascii="Times New Roman" w:hAnsi="Times New Roman" w:cs="Times New Roman"/>
          <w:color w:val="auto"/>
          <w:highlight w:val="none"/>
        </w:rPr>
        <w:t>、稀释剂、固化剂污染物产生情况一览表</w:t>
      </w:r>
    </w:p>
    <w:tbl>
      <w:tblPr>
        <w:tblStyle w:val="80"/>
        <w:tblpPr w:leftFromText="180" w:rightFromText="180" w:vertAnchor="text" w:horzAnchor="page" w:tblpX="1587" w:tblpY="321"/>
        <w:tblOverlap w:val="neve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864"/>
        <w:gridCol w:w="854"/>
        <w:gridCol w:w="1896"/>
        <w:gridCol w:w="795"/>
        <w:gridCol w:w="865"/>
        <w:gridCol w:w="794"/>
        <w:gridCol w:w="1896"/>
        <w:gridCol w:w="797"/>
        <w:gridCol w:w="864"/>
        <w:gridCol w:w="794"/>
        <w:gridCol w:w="1896"/>
        <w:gridCol w:w="797"/>
      </w:tblGrid>
      <w:tr w14:paraId="4D5D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72" w:type="pct"/>
            <w:vMerge w:val="restart"/>
            <w:tcBorders>
              <w:top w:val="single" w:color="000000" w:sz="4" w:space="0"/>
              <w:left w:val="single" w:color="000000" w:sz="4" w:space="0"/>
              <w:right w:val="single" w:color="000000" w:sz="4" w:space="0"/>
            </w:tcBorders>
            <w:shd w:val="clear" w:color="auto" w:fill="auto"/>
            <w:noWrap/>
            <w:vAlign w:val="center"/>
          </w:tcPr>
          <w:p w14:paraId="12CD1C2B">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物料名称</w:t>
            </w:r>
          </w:p>
        </w:tc>
        <w:tc>
          <w:tcPr>
            <w:tcW w:w="15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7C94">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二甲苯</w:t>
            </w:r>
          </w:p>
        </w:tc>
        <w:tc>
          <w:tcPr>
            <w:tcW w:w="153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BC1D">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乙酸丁酯</w:t>
            </w:r>
          </w:p>
        </w:tc>
        <w:tc>
          <w:tcPr>
            <w:tcW w:w="153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4992">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NMHC</w:t>
            </w:r>
            <w:r>
              <w:rPr>
                <w:rFonts w:hint="eastAsia" w:ascii="Times New Roman" w:hAnsi="Times New Roman" w:eastAsia="宋体" w:cs="Times New Roman"/>
                <w:color w:val="auto"/>
                <w:highlight w:val="none"/>
                <w:shd w:val="clear" w:color="auto" w:fill="auto"/>
                <w:lang w:val="en-US" w:eastAsia="zh-CN"/>
              </w:rPr>
              <w:t>（含乙酸丁酯）</w:t>
            </w:r>
          </w:p>
        </w:tc>
      </w:tr>
      <w:tr w14:paraId="042B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2" w:type="pct"/>
            <w:vMerge w:val="continue"/>
            <w:tcBorders>
              <w:left w:val="single" w:color="000000" w:sz="4" w:space="0"/>
              <w:right w:val="single" w:color="000000" w:sz="4" w:space="0"/>
            </w:tcBorders>
            <w:shd w:val="clear" w:color="auto" w:fill="auto"/>
            <w:noWrap/>
            <w:vAlign w:val="center"/>
          </w:tcPr>
          <w:p w14:paraId="6BBECAD8">
            <w:pPr>
              <w:pStyle w:val="1358"/>
              <w:rPr>
                <w:rFonts w:hint="eastAsia" w:ascii="Times New Roman" w:hAnsi="Times New Roman" w:eastAsia="宋体" w:cs="Times New Roman"/>
                <w:color w:val="auto"/>
                <w:highlight w:val="none"/>
                <w:shd w:val="clear" w:color="auto" w:fill="auto"/>
                <w:lang w:val="en-US" w:eastAsia="zh-CN"/>
              </w:rPr>
            </w:pP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8233">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比例</w:t>
            </w:r>
          </w:p>
        </w:tc>
        <w:tc>
          <w:tcPr>
            <w:tcW w:w="125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109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产生量</w:t>
            </w:r>
          </w:p>
        </w:tc>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084C">
            <w:pPr>
              <w:pStyle w:val="1358"/>
              <w:rPr>
                <w:rFonts w:hint="eastAsia"/>
                <w:color w:val="auto"/>
                <w:highlight w:val="none"/>
                <w:lang w:val="en-US" w:eastAsia="zh-CN"/>
              </w:rPr>
            </w:pPr>
            <w:r>
              <w:rPr>
                <w:rFonts w:hint="eastAsia" w:ascii="Times New Roman" w:hAnsi="Times New Roman" w:eastAsia="宋体" w:cs="Times New Roman"/>
                <w:color w:val="auto"/>
                <w:highlight w:val="none"/>
                <w:shd w:val="clear" w:color="auto" w:fill="auto"/>
                <w:lang w:val="en-US" w:eastAsia="zh-CN"/>
              </w:rPr>
              <w:t>比例</w:t>
            </w:r>
          </w:p>
        </w:tc>
        <w:tc>
          <w:tcPr>
            <w:tcW w:w="12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C67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产生量</w:t>
            </w: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A2AF">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比例</w:t>
            </w:r>
          </w:p>
        </w:tc>
        <w:tc>
          <w:tcPr>
            <w:tcW w:w="1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2E5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产生量</w:t>
            </w:r>
          </w:p>
        </w:tc>
      </w:tr>
      <w:tr w14:paraId="009B2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72" w:type="pct"/>
            <w:vMerge w:val="continue"/>
            <w:tcBorders>
              <w:left w:val="single" w:color="000000" w:sz="4" w:space="0"/>
              <w:bottom w:val="single" w:color="000000" w:sz="4" w:space="0"/>
              <w:right w:val="single" w:color="000000" w:sz="4" w:space="0"/>
            </w:tcBorders>
            <w:shd w:val="clear" w:color="auto" w:fill="auto"/>
            <w:noWrap/>
            <w:vAlign w:val="center"/>
          </w:tcPr>
          <w:p w14:paraId="10C79477">
            <w:pPr>
              <w:pStyle w:val="1358"/>
              <w:rPr>
                <w:rFonts w:hint="eastAsia" w:ascii="Times New Roman" w:hAnsi="Times New Roman" w:eastAsia="宋体" w:cs="Times New Roman"/>
                <w:color w:val="auto"/>
                <w:highlight w:val="none"/>
                <w:shd w:val="clear" w:color="auto" w:fill="auto"/>
                <w:lang w:val="en-US" w:eastAsia="zh-CN"/>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15FE">
            <w:pPr>
              <w:pStyle w:val="1358"/>
              <w:rPr>
                <w:rFonts w:hint="eastAsia" w:ascii="Times New Roman" w:hAnsi="Times New Roman" w:eastAsia="宋体" w:cs="Times New Roman"/>
                <w:color w:val="auto"/>
                <w:highlight w:val="none"/>
                <w:shd w:val="clear" w:color="auto" w:fill="auto"/>
                <w:lang w:val="en-US" w:eastAsia="zh-CN"/>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844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调漆</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AC18">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喷漆、流平、烘干</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2FBB">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点补</w:t>
            </w:r>
          </w:p>
        </w:tc>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4260">
            <w:pPr>
              <w:pStyle w:val="1358"/>
              <w:rPr>
                <w:rFonts w:hint="eastAsia" w:ascii="Times New Roman" w:hAnsi="Times New Roman" w:eastAsia="宋体" w:cs="Times New Roman"/>
                <w:color w:val="auto"/>
                <w:highlight w:val="none"/>
                <w:shd w:val="clear" w:color="auto" w:fill="auto"/>
                <w:lang w:val="en-US" w:eastAsia="zh-CN"/>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B579">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调漆</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7DE2">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喷漆、流平、烘干</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3AC0">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点补</w:t>
            </w: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66A1">
            <w:pPr>
              <w:pStyle w:val="1358"/>
              <w:rPr>
                <w:rFonts w:hint="eastAsia" w:ascii="Times New Roman" w:hAnsi="Times New Roman" w:eastAsia="宋体" w:cs="Times New Roman"/>
                <w:color w:val="auto"/>
                <w:highlight w:val="none"/>
                <w:shd w:val="clear" w:color="auto" w:fill="auto"/>
                <w:lang w:val="en-US" w:eastAsia="zh-CN"/>
              </w:rPr>
            </w:pP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A960">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调漆</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A807">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喷漆、流平、烘干</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973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点补</w:t>
            </w:r>
          </w:p>
        </w:tc>
      </w:tr>
      <w:tr w14:paraId="23B0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592E">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底漆</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D3CA">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21.36%</w:t>
            </w: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A278">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0.1745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4F63">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3.3086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B097">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0.0066 </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EA6A">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16.82%</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F54E">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0.1374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6A6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2.6054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A0A6B">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0.0052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6059">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24.09%</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FD1E">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0.1968 </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A645">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3.7315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5216">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0.0075 </w:t>
            </w:r>
          </w:p>
        </w:tc>
      </w:tr>
      <w:tr w14:paraId="6C950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65E9">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色漆</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217D">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21.95%</w:t>
            </w: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2D9A">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0.1793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F9A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5.9549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2C68">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0.0119 </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B357">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26.30%</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4FFD">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0.3763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17BCF">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7.1350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23B6">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0.0143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81F7">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34.57%</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E146">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0.4946 </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94BA">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9.3786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7B64">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0.0188 </w:t>
            </w:r>
          </w:p>
        </w:tc>
      </w:tr>
      <w:tr w14:paraId="73D5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DF31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清漆</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E776">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10.78%</w:t>
            </w: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5033">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0.2112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6EB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4.0047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A7C4F">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0.0080 </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DFC3">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23.91%</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3080">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0.4684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11F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8.8823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4839">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0.0178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55048">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34.22%</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E10B">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0.6704 </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0EB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12.7124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79C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0.0254 </w:t>
            </w:r>
          </w:p>
        </w:tc>
      </w:tr>
      <w:tr w14:paraId="2433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624A">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合计</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3DEA">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116F">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0.5650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56F5">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13.2681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7BC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0.0265 </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9D47">
            <w:pPr>
              <w:pStyle w:val="1358"/>
              <w:rPr>
                <w:rFonts w:hint="default" w:ascii="Times New Roman" w:hAnsi="Times New Roman" w:eastAsia="宋体" w:cs="Times New Roman"/>
                <w:color w:val="auto"/>
                <w:highlight w:val="none"/>
                <w:shd w:val="clear" w:color="auto" w:fill="auto"/>
                <w:lang w:val="en-US" w:eastAsia="zh-CN"/>
              </w:rPr>
            </w:pPr>
            <w:r>
              <w:rPr>
                <w:rFonts w:hint="eastAsia" w:cs="Times New Roman"/>
                <w:color w:val="auto"/>
                <w:highlight w:val="none"/>
                <w:shd w:val="clear" w:color="auto" w:fill="auto"/>
                <w:lang w:val="en-US" w:eastAsia="zh-CN"/>
              </w:rPr>
              <w:t>/</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7D4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0.9821 </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24E7">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18.6227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F99C">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0.0372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98A5">
            <w:pPr>
              <w:pStyle w:val="1358"/>
              <w:rPr>
                <w:rFonts w:hint="default" w:ascii="Times New Roman" w:hAnsi="Times New Roman" w:eastAsia="宋体" w:cs="Times New Roman"/>
                <w:color w:val="auto"/>
                <w:highlight w:val="none"/>
                <w:shd w:val="clear" w:color="auto" w:fill="auto"/>
                <w:lang w:val="en-US" w:eastAsia="zh-CN"/>
              </w:rPr>
            </w:pPr>
            <w:r>
              <w:rPr>
                <w:rFonts w:hint="default" w:ascii="Times New Roman" w:hAnsi="Times New Roman" w:eastAsia="宋体" w:cs="Times New Roman"/>
                <w:color w:val="auto"/>
                <w:highlight w:val="none"/>
                <w:shd w:val="clear" w:color="auto" w:fill="auto"/>
                <w:lang w:val="en-US" w:eastAsia="zh-CN"/>
              </w:rPr>
              <w:t>/</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3481">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1.3618 </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DC60">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25.8224 </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55148">
            <w:pPr>
              <w:pStyle w:val="1358"/>
              <w:rPr>
                <w:rFonts w:hint="eastAsia" w:ascii="Times New Roman" w:hAnsi="Times New Roman" w:eastAsia="宋体" w:cs="Times New Roman"/>
                <w:color w:val="auto"/>
                <w:highlight w:val="none"/>
                <w:shd w:val="clear" w:color="auto" w:fill="auto"/>
                <w:lang w:val="en-US" w:eastAsia="zh-CN"/>
              </w:rPr>
            </w:pPr>
            <w:r>
              <w:rPr>
                <w:rFonts w:hint="eastAsia" w:ascii="Times New Roman" w:hAnsi="Times New Roman" w:eastAsia="宋体" w:cs="Times New Roman"/>
                <w:color w:val="auto"/>
                <w:highlight w:val="none"/>
                <w:shd w:val="clear" w:color="auto" w:fill="auto"/>
                <w:lang w:val="en-US" w:eastAsia="zh-CN"/>
              </w:rPr>
              <w:t xml:space="preserve">0.0516 </w:t>
            </w:r>
          </w:p>
        </w:tc>
      </w:tr>
    </w:tbl>
    <w:p w14:paraId="0E1C7930">
      <w:pPr>
        <w:pStyle w:val="1336"/>
        <w:numPr>
          <w:ilvl w:val="0"/>
          <w:numId w:val="0"/>
        </w:numPr>
        <w:rPr>
          <w:rFonts w:hint="eastAsia" w:ascii="Times New Roman" w:hAnsi="Times New Roman" w:eastAsia="宋体" w:cs="Times New Roman"/>
          <w:color w:val="auto"/>
          <w:sz w:val="24"/>
          <w:szCs w:val="22"/>
          <w:highlight w:val="none"/>
          <w:lang w:val="en-US" w:eastAsia="zh-CN" w:bidi="ar-SA"/>
        </w:rPr>
        <w:sectPr>
          <w:pgSz w:w="16838" w:h="11906"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639E701D">
      <w:pPr>
        <w:pStyle w:val="1336"/>
        <w:numPr>
          <w:ilvl w:val="0"/>
          <w:numId w:val="0"/>
        </w:numPr>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sz w:val="24"/>
          <w:szCs w:val="22"/>
          <w:highlight w:val="none"/>
          <w:lang w:val="en-US" w:eastAsia="zh-CN" w:bidi="ar-SA"/>
        </w:rPr>
        <w:t>（3）</w:t>
      </w:r>
      <w:r>
        <w:rPr>
          <w:rFonts w:hint="eastAsia"/>
          <w:color w:val="auto"/>
          <w:highlight w:val="none"/>
          <w:lang w:val="en-US" w:eastAsia="zh-CN"/>
        </w:rPr>
        <w:t>清洗废气</w:t>
      </w:r>
    </w:p>
    <w:p w14:paraId="76000DB7">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根据《污染源源强核算技术指南 汽车制造》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HJ1097-2020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设置废溶剂负压回收罐的废溶剂回收率为70%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则废气产生量以30%计。本项目以乙酸丁酯为清洗剂，清洗剂用量为2.79t/a，废溶剂产生量约</w:t>
      </w:r>
      <w:r>
        <w:rPr>
          <w:rFonts w:hint="eastAsia" w:cs="Times New Roman"/>
          <w:color w:val="auto"/>
          <w:highlight w:val="none"/>
          <w:lang w:val="en-US" w:eastAsia="zh-CN"/>
        </w:rPr>
        <w:t>1.953</w:t>
      </w:r>
      <w:r>
        <w:rPr>
          <w:rFonts w:hint="eastAsia" w:ascii="Times New Roman" w:hAnsi="Times New Roman" w:eastAsia="宋体" w:cs="Times New Roman"/>
          <w:color w:val="auto"/>
          <w:highlight w:val="none"/>
          <w:lang w:val="en-US" w:eastAsia="zh-CN"/>
        </w:rPr>
        <w:t>t/a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清洗废气产生量为</w:t>
      </w:r>
      <w:r>
        <w:rPr>
          <w:rFonts w:hint="eastAsia" w:cs="Times New Roman"/>
          <w:color w:val="auto"/>
          <w:highlight w:val="none"/>
          <w:lang w:val="en-US" w:eastAsia="zh-CN"/>
        </w:rPr>
        <w:t>0.837</w:t>
      </w:r>
      <w:r>
        <w:rPr>
          <w:rFonts w:hint="eastAsia" w:ascii="Times New Roman" w:hAnsi="Times New Roman" w:eastAsia="宋体" w:cs="Times New Roman"/>
          <w:color w:val="auto"/>
          <w:highlight w:val="none"/>
          <w:lang w:val="en-US" w:eastAsia="zh-CN"/>
        </w:rPr>
        <w:t>t/a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污染因子为乙酸丁酯。</w:t>
      </w:r>
    </w:p>
    <w:p w14:paraId="5D93BD25">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本项目清洗产生的有机废气经1套</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干式纸盒</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过滤棉过滤+RTO蓄热式焚烧炉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（TA001）处理达标后经20m排气筒（DA001）高空排放。</w:t>
      </w:r>
    </w:p>
    <w:p w14:paraId="4C101A0B">
      <w:pPr>
        <w:pStyle w:val="1336"/>
        <w:numPr>
          <w:ilvl w:val="0"/>
          <w:numId w:val="0"/>
        </w:numPr>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sz w:val="24"/>
          <w:szCs w:val="22"/>
          <w:highlight w:val="none"/>
          <w:lang w:val="en-US" w:eastAsia="zh-CN" w:bidi="ar-SA"/>
        </w:rPr>
        <w:t>（4）</w:t>
      </w:r>
      <w:r>
        <w:rPr>
          <w:rFonts w:hint="eastAsia"/>
          <w:color w:val="auto"/>
          <w:highlight w:val="none"/>
          <w:lang w:val="en-US" w:eastAsia="zh-CN"/>
        </w:rPr>
        <w:t>天然气燃烧废气</w:t>
      </w:r>
      <w:r>
        <w:rPr>
          <w:rFonts w:hint="eastAsia"/>
          <w:color w:val="auto"/>
          <w:highlight w:val="none"/>
          <w:lang w:eastAsia="zh-CN"/>
        </w:rPr>
        <w:t>（</w:t>
      </w:r>
      <w:r>
        <w:rPr>
          <w:rFonts w:hint="eastAsia"/>
          <w:color w:val="auto"/>
          <w:highlight w:val="none"/>
          <w:lang w:val="en-US" w:eastAsia="zh-CN"/>
        </w:rPr>
        <w:t>热水炉燃烧废气、固化炉燃烧废气、热洁炉燃烧废气、RTO燃烧废气</w:t>
      </w:r>
      <w:r>
        <w:rPr>
          <w:rFonts w:hint="eastAsia"/>
          <w:color w:val="auto"/>
          <w:highlight w:val="none"/>
          <w:lang w:eastAsia="zh-CN"/>
        </w:rPr>
        <w:t>）</w:t>
      </w:r>
    </w:p>
    <w:p w14:paraId="0F044400">
      <w:pPr>
        <w:pStyle w:val="1336"/>
        <w:numPr>
          <w:ilvl w:val="0"/>
          <w:numId w:val="0"/>
        </w:numPr>
        <w:ind w:leftChars="200"/>
        <w:rPr>
          <w:rFonts w:hint="eastAsia"/>
          <w:color w:val="auto"/>
          <w:highlight w:val="none"/>
          <w:lang w:val="en-US" w:eastAsia="zh-CN"/>
        </w:rPr>
      </w:pPr>
      <w:r>
        <w:rPr>
          <w:rFonts w:hint="eastAsia"/>
          <w:color w:val="auto"/>
          <w:highlight w:val="none"/>
          <w:lang w:val="en-US" w:eastAsia="zh-CN"/>
        </w:rPr>
        <w:t>①热水炉燃烧废气</w:t>
      </w:r>
    </w:p>
    <w:p w14:paraId="1385D7D8">
      <w:pPr>
        <w:keepNext w:val="0"/>
        <w:keepLines w:val="0"/>
        <w:widowControl/>
        <w:suppressLineNumbers w:val="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本项目拟建设1台</w:t>
      </w:r>
      <w:r>
        <w:rPr>
          <w:rFonts w:hint="eastAsia" w:ascii="Times New Roman" w:hAnsi="Times New Roman" w:eastAsia="宋体" w:cs="Times New Roman"/>
          <w:color w:val="auto"/>
          <w:kern w:val="0"/>
          <w:sz w:val="24"/>
          <w:szCs w:val="22"/>
          <w:highlight w:val="none"/>
          <w:lang w:val="en-US" w:eastAsia="zh-CN" w:bidi="ar-SA"/>
        </w:rPr>
        <w:t>30KW燃气</w:t>
      </w:r>
      <w:r>
        <w:rPr>
          <w:rFonts w:hint="eastAsia" w:ascii="Times New Roman" w:hAnsi="Times New Roman" w:eastAsia="宋体" w:cs="Times New Roman"/>
          <w:color w:val="auto"/>
          <w:highlight w:val="none"/>
          <w:lang w:val="en-US" w:eastAsia="zh-CN"/>
        </w:rPr>
        <w:t>热水炉为供漆温控系统提供热水，热水炉运行时间为</w:t>
      </w:r>
      <w:r>
        <w:rPr>
          <w:rFonts w:hint="eastAsia" w:cs="Times New Roman"/>
          <w:color w:val="auto"/>
          <w:highlight w:val="none"/>
          <w:lang w:val="en-US" w:eastAsia="zh-CN"/>
        </w:rPr>
        <w:t>36</w:t>
      </w:r>
      <w:r>
        <w:rPr>
          <w:rFonts w:hint="eastAsia" w:ascii="Times New Roman" w:hAnsi="Times New Roman" w:eastAsia="宋体" w:cs="Times New Roman"/>
          <w:color w:val="auto"/>
          <w:highlight w:val="none"/>
          <w:lang w:val="en-US" w:eastAsia="zh-CN"/>
        </w:rPr>
        <w:t>00h/a，天然气用量为</w:t>
      </w:r>
      <w:r>
        <w:rPr>
          <w:rFonts w:hint="eastAsia" w:cs="Times New Roman"/>
          <w:color w:val="auto"/>
          <w:highlight w:val="none"/>
          <w:lang w:val="en-US" w:eastAsia="zh-CN"/>
        </w:rPr>
        <w:t>3.6</w:t>
      </w:r>
      <w:r>
        <w:rPr>
          <w:rFonts w:hint="eastAsia" w:ascii="Times New Roman" w:hAnsi="Times New Roman" w:eastAsia="宋体" w:cs="Times New Roman"/>
          <w:color w:val="auto"/>
          <w:highlight w:val="none"/>
          <w:lang w:val="en-US" w:eastAsia="zh-CN"/>
        </w:rPr>
        <w:t>万m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/a。</w:t>
      </w:r>
      <w:r>
        <w:rPr>
          <w:rFonts w:hint="eastAsia" w:cs="Times New Roman"/>
          <w:color w:val="auto"/>
          <w:highlight w:val="none"/>
          <w:lang w:val="en-US" w:eastAsia="zh-CN"/>
        </w:rPr>
        <w:t>其中二氧化硫、氮氧化物</w:t>
      </w:r>
      <w:r>
        <w:rPr>
          <w:rFonts w:hint="eastAsia" w:ascii="Times New Roman" w:hAnsi="Times New Roman" w:eastAsia="宋体" w:cs="Times New Roman"/>
          <w:color w:val="auto"/>
          <w:highlight w:val="none"/>
          <w:lang w:val="en-US" w:eastAsia="zh-CN"/>
        </w:rPr>
        <w:t>参考《排放源统计调查产排污核算方法和系数手册》（生态环境部公告2021年第24号）工业锅炉（热力供应）行业系数手册</w:t>
      </w:r>
      <w:r>
        <w:rPr>
          <w:rFonts w:hint="default" w:ascii="Times New Roman" w:hAnsi="Times New Roman" w:eastAsia="宋体" w:cs="Times New Roman"/>
          <w:color w:val="auto"/>
          <w:highlight w:val="none"/>
          <w:lang w:val="en-US" w:eastAsia="zh-CN"/>
        </w:rPr>
        <w:t>进行计算</w:t>
      </w:r>
      <w:r>
        <w:rPr>
          <w:rFonts w:hint="eastAsia" w:ascii="Times New Roman" w:hAnsi="Times New Roman" w:eastAsia="宋体" w:cs="Times New Roman"/>
          <w:color w:val="auto"/>
          <w:highlight w:val="none"/>
          <w:lang w:val="en-US" w:eastAsia="zh-CN"/>
        </w:rPr>
        <w:t>，颗粒物源强参照原环境保护部《大气可吸入颗粒物一次源排放清单编制技术指南（试行）》（公告2014年第92号）表1中天然气固定燃烧源PM</w:t>
      </w:r>
      <w:r>
        <w:rPr>
          <w:rFonts w:hint="eastAsia" w:ascii="Times New Roman" w:hAnsi="Times New Roman" w:eastAsia="宋体" w:cs="Times New Roman"/>
          <w:color w:val="auto"/>
          <w:highlight w:val="none"/>
          <w:vertAlign w:val="subscript"/>
          <w:lang w:val="en-US" w:eastAsia="zh-CN"/>
        </w:rPr>
        <w:t>10</w:t>
      </w:r>
      <w:r>
        <w:rPr>
          <w:rFonts w:hint="eastAsia" w:ascii="Times New Roman" w:hAnsi="Times New Roman" w:eastAsia="宋体" w:cs="Times New Roman"/>
          <w:color w:val="auto"/>
          <w:highlight w:val="none"/>
          <w:lang w:val="en-US" w:eastAsia="zh-CN"/>
        </w:rPr>
        <w:t>产生系数0.03g/m³-燃料进行核算</w:t>
      </w:r>
      <w:r>
        <w:rPr>
          <w:rFonts w:hint="eastAsia" w:cs="Times New Roman"/>
          <w:color w:val="auto"/>
          <w:highlight w:val="none"/>
          <w:lang w:val="en-US" w:eastAsia="zh-CN"/>
        </w:rPr>
        <w:t>，</w:t>
      </w:r>
      <w:r>
        <w:rPr>
          <w:rFonts w:hint="eastAsia"/>
          <w:color w:val="auto"/>
          <w:highlight w:val="none"/>
          <w:lang w:val="en-US" w:eastAsia="zh-CN"/>
        </w:rPr>
        <w:t>热水炉燃烧废气</w:t>
      </w:r>
      <w:r>
        <w:rPr>
          <w:rFonts w:hint="eastAsia" w:ascii="Times New Roman" w:hAnsi="Times New Roman" w:eastAsia="宋体" w:cs="Times New Roman"/>
          <w:color w:val="auto"/>
          <w:highlight w:val="none"/>
          <w:lang w:val="en-US" w:eastAsia="zh-CN"/>
        </w:rPr>
        <w:t>产污见下表。</w:t>
      </w:r>
    </w:p>
    <w:p w14:paraId="19B94B6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本项目热水炉燃烧废气污染源源强计算结果</w:t>
      </w:r>
    </w:p>
    <w:tbl>
      <w:tblPr>
        <w:tblStyle w:val="80"/>
        <w:tblW w:w="4962"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67"/>
        <w:gridCol w:w="660"/>
        <w:gridCol w:w="420"/>
        <w:gridCol w:w="1140"/>
        <w:gridCol w:w="2040"/>
        <w:gridCol w:w="1230"/>
        <w:gridCol w:w="1125"/>
        <w:gridCol w:w="1117"/>
        <w:gridCol w:w="817"/>
      </w:tblGrid>
      <w:tr w14:paraId="4E9E67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restart"/>
            <w:tcBorders>
              <w:tl2br w:val="nil"/>
              <w:tr2bl w:val="nil"/>
            </w:tcBorders>
            <w:noWrap w:val="0"/>
            <w:vAlign w:val="center"/>
          </w:tcPr>
          <w:p w14:paraId="252258B0">
            <w:pPr>
              <w:pStyle w:val="1405"/>
              <w:bidi w:val="0"/>
              <w:rPr>
                <w:rFonts w:hint="default"/>
                <w:color w:val="auto"/>
                <w:highlight w:val="none"/>
                <w:lang w:val="en-US" w:eastAsia="zh-CN"/>
              </w:rPr>
            </w:pPr>
            <w:r>
              <w:rPr>
                <w:rFonts w:hint="default"/>
                <w:color w:val="auto"/>
                <w:highlight w:val="none"/>
                <w:lang w:val="en-US" w:eastAsia="zh-CN"/>
              </w:rPr>
              <w:t>燃料名称</w:t>
            </w:r>
          </w:p>
        </w:tc>
        <w:tc>
          <w:tcPr>
            <w:tcW w:w="358" w:type="pct"/>
            <w:vMerge w:val="restart"/>
            <w:tcBorders>
              <w:tl2br w:val="nil"/>
              <w:tr2bl w:val="nil"/>
            </w:tcBorders>
            <w:noWrap w:val="0"/>
            <w:vAlign w:val="center"/>
          </w:tcPr>
          <w:p w14:paraId="002250A3">
            <w:pPr>
              <w:pStyle w:val="1405"/>
              <w:bidi w:val="0"/>
              <w:rPr>
                <w:rFonts w:hint="default"/>
                <w:color w:val="auto"/>
                <w:highlight w:val="none"/>
                <w:lang w:val="en-US" w:eastAsia="zh-CN"/>
              </w:rPr>
            </w:pPr>
            <w:r>
              <w:rPr>
                <w:rFonts w:hint="default"/>
                <w:color w:val="auto"/>
                <w:highlight w:val="none"/>
                <w:lang w:val="en-US" w:eastAsia="zh-CN"/>
              </w:rPr>
              <w:t>工艺名称</w:t>
            </w:r>
          </w:p>
        </w:tc>
        <w:tc>
          <w:tcPr>
            <w:tcW w:w="227" w:type="pct"/>
            <w:vMerge w:val="restart"/>
            <w:tcBorders>
              <w:tl2br w:val="nil"/>
              <w:tr2bl w:val="nil"/>
            </w:tcBorders>
            <w:noWrap w:val="0"/>
            <w:vAlign w:val="center"/>
          </w:tcPr>
          <w:p w14:paraId="51819D74">
            <w:pPr>
              <w:pStyle w:val="1405"/>
              <w:bidi w:val="0"/>
              <w:rPr>
                <w:rFonts w:hint="default"/>
                <w:color w:val="auto"/>
                <w:highlight w:val="none"/>
                <w:lang w:val="en-US" w:eastAsia="zh-CN"/>
              </w:rPr>
            </w:pPr>
            <w:r>
              <w:rPr>
                <w:rFonts w:hint="default"/>
                <w:color w:val="auto"/>
                <w:highlight w:val="none"/>
                <w:lang w:val="en-US" w:eastAsia="zh-CN"/>
              </w:rPr>
              <w:t>规模等级</w:t>
            </w:r>
          </w:p>
        </w:tc>
        <w:tc>
          <w:tcPr>
            <w:tcW w:w="618" w:type="pct"/>
            <w:vMerge w:val="restart"/>
            <w:tcBorders>
              <w:tl2br w:val="nil"/>
              <w:tr2bl w:val="nil"/>
            </w:tcBorders>
            <w:noWrap w:val="0"/>
            <w:vAlign w:val="center"/>
          </w:tcPr>
          <w:p w14:paraId="7C97651E">
            <w:pPr>
              <w:pStyle w:val="1405"/>
              <w:bidi w:val="0"/>
              <w:rPr>
                <w:rFonts w:hint="default"/>
                <w:color w:val="auto"/>
                <w:highlight w:val="none"/>
                <w:lang w:val="en-US" w:eastAsia="zh-CN"/>
              </w:rPr>
            </w:pPr>
            <w:r>
              <w:rPr>
                <w:rFonts w:hint="default"/>
                <w:color w:val="auto"/>
                <w:highlight w:val="none"/>
                <w:lang w:val="en-US" w:eastAsia="zh-CN"/>
              </w:rPr>
              <w:t>污染物指标</w:t>
            </w:r>
          </w:p>
        </w:tc>
        <w:tc>
          <w:tcPr>
            <w:tcW w:w="1106" w:type="pct"/>
            <w:vMerge w:val="restart"/>
            <w:tcBorders>
              <w:tl2br w:val="nil"/>
              <w:tr2bl w:val="nil"/>
            </w:tcBorders>
            <w:noWrap w:val="0"/>
            <w:vAlign w:val="center"/>
          </w:tcPr>
          <w:p w14:paraId="4A108035">
            <w:pPr>
              <w:pStyle w:val="1405"/>
              <w:bidi w:val="0"/>
              <w:rPr>
                <w:rFonts w:hint="default"/>
                <w:color w:val="auto"/>
                <w:highlight w:val="none"/>
                <w:lang w:val="en-US" w:eastAsia="zh-CN"/>
              </w:rPr>
            </w:pPr>
            <w:r>
              <w:rPr>
                <w:rFonts w:hint="default"/>
                <w:color w:val="auto"/>
                <w:highlight w:val="none"/>
                <w:lang w:val="en-US" w:eastAsia="zh-CN"/>
              </w:rPr>
              <w:t>单位</w:t>
            </w:r>
          </w:p>
        </w:tc>
        <w:tc>
          <w:tcPr>
            <w:tcW w:w="667" w:type="pct"/>
            <w:vMerge w:val="restart"/>
            <w:tcBorders>
              <w:tl2br w:val="nil"/>
              <w:tr2bl w:val="nil"/>
            </w:tcBorders>
            <w:noWrap w:val="0"/>
            <w:vAlign w:val="center"/>
          </w:tcPr>
          <w:p w14:paraId="55152E5F">
            <w:pPr>
              <w:pStyle w:val="1405"/>
              <w:bidi w:val="0"/>
              <w:rPr>
                <w:rFonts w:hint="default"/>
                <w:color w:val="auto"/>
                <w:highlight w:val="none"/>
                <w:lang w:val="en-US" w:eastAsia="zh-CN"/>
              </w:rPr>
            </w:pPr>
            <w:r>
              <w:rPr>
                <w:rFonts w:hint="default"/>
                <w:color w:val="auto"/>
                <w:highlight w:val="none"/>
                <w:lang w:val="en-US" w:eastAsia="zh-CN"/>
              </w:rPr>
              <w:t>产污/排污系数</w:t>
            </w:r>
          </w:p>
        </w:tc>
        <w:tc>
          <w:tcPr>
            <w:tcW w:w="610" w:type="pct"/>
            <w:vMerge w:val="restart"/>
            <w:tcBorders>
              <w:tl2br w:val="nil"/>
              <w:tr2bl w:val="nil"/>
            </w:tcBorders>
            <w:noWrap w:val="0"/>
            <w:vAlign w:val="center"/>
          </w:tcPr>
          <w:p w14:paraId="6233C03F">
            <w:pPr>
              <w:pStyle w:val="1405"/>
              <w:bidi w:val="0"/>
              <w:rPr>
                <w:rFonts w:hint="default"/>
                <w:color w:val="auto"/>
                <w:highlight w:val="none"/>
                <w:lang w:val="en-US" w:eastAsia="zh-CN"/>
              </w:rPr>
            </w:pPr>
            <w:r>
              <w:rPr>
                <w:rFonts w:hint="default"/>
                <w:color w:val="auto"/>
                <w:highlight w:val="none"/>
                <w:lang w:val="en-US" w:eastAsia="zh-CN"/>
              </w:rPr>
              <w:t>末端治理技术名称</w:t>
            </w:r>
          </w:p>
        </w:tc>
        <w:tc>
          <w:tcPr>
            <w:tcW w:w="1049" w:type="pct"/>
            <w:gridSpan w:val="2"/>
            <w:tcBorders>
              <w:tl2br w:val="nil"/>
              <w:tr2bl w:val="nil"/>
            </w:tcBorders>
            <w:noWrap w:val="0"/>
            <w:vAlign w:val="center"/>
          </w:tcPr>
          <w:p w14:paraId="79B9ADD4">
            <w:pPr>
              <w:pStyle w:val="1405"/>
              <w:bidi w:val="0"/>
              <w:rPr>
                <w:rFonts w:hint="default"/>
                <w:color w:val="auto"/>
                <w:highlight w:val="none"/>
                <w:lang w:val="en-US" w:eastAsia="zh-CN"/>
              </w:rPr>
            </w:pPr>
            <w:r>
              <w:rPr>
                <w:rFonts w:hint="default"/>
                <w:color w:val="auto"/>
                <w:highlight w:val="none"/>
                <w:lang w:val="en-US" w:eastAsia="zh-CN"/>
              </w:rPr>
              <w:t>产污情况</w:t>
            </w:r>
          </w:p>
        </w:tc>
      </w:tr>
      <w:tr w14:paraId="62AEFE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continue"/>
            <w:tcBorders>
              <w:tl2br w:val="nil"/>
              <w:tr2bl w:val="nil"/>
            </w:tcBorders>
            <w:noWrap w:val="0"/>
            <w:vAlign w:val="center"/>
          </w:tcPr>
          <w:p w14:paraId="326DD385">
            <w:pPr>
              <w:pStyle w:val="1405"/>
              <w:bidi w:val="0"/>
              <w:rPr>
                <w:rFonts w:hint="default"/>
                <w:color w:val="auto"/>
                <w:highlight w:val="none"/>
                <w:lang w:val="en-US" w:eastAsia="zh-CN"/>
              </w:rPr>
            </w:pPr>
          </w:p>
        </w:tc>
        <w:tc>
          <w:tcPr>
            <w:tcW w:w="358" w:type="pct"/>
            <w:vMerge w:val="continue"/>
            <w:tcBorders>
              <w:tl2br w:val="nil"/>
              <w:tr2bl w:val="nil"/>
            </w:tcBorders>
            <w:noWrap w:val="0"/>
            <w:vAlign w:val="center"/>
          </w:tcPr>
          <w:p w14:paraId="350E145B">
            <w:pPr>
              <w:pStyle w:val="1405"/>
              <w:bidi w:val="0"/>
              <w:rPr>
                <w:rFonts w:hint="default"/>
                <w:color w:val="auto"/>
                <w:highlight w:val="none"/>
                <w:lang w:val="en-US" w:eastAsia="zh-CN"/>
              </w:rPr>
            </w:pPr>
          </w:p>
        </w:tc>
        <w:tc>
          <w:tcPr>
            <w:tcW w:w="227" w:type="pct"/>
            <w:vMerge w:val="continue"/>
            <w:tcBorders>
              <w:tl2br w:val="nil"/>
              <w:tr2bl w:val="nil"/>
            </w:tcBorders>
            <w:noWrap w:val="0"/>
            <w:vAlign w:val="center"/>
          </w:tcPr>
          <w:p w14:paraId="77BB2B9B">
            <w:pPr>
              <w:pStyle w:val="1405"/>
              <w:bidi w:val="0"/>
              <w:rPr>
                <w:rFonts w:hint="default"/>
                <w:color w:val="auto"/>
                <w:highlight w:val="none"/>
                <w:lang w:val="en-US" w:eastAsia="zh-CN"/>
              </w:rPr>
            </w:pPr>
          </w:p>
        </w:tc>
        <w:tc>
          <w:tcPr>
            <w:tcW w:w="618" w:type="pct"/>
            <w:vMerge w:val="continue"/>
            <w:tcBorders>
              <w:tl2br w:val="nil"/>
              <w:tr2bl w:val="nil"/>
            </w:tcBorders>
            <w:noWrap w:val="0"/>
            <w:vAlign w:val="center"/>
          </w:tcPr>
          <w:p w14:paraId="315DEF29">
            <w:pPr>
              <w:pStyle w:val="1405"/>
              <w:bidi w:val="0"/>
              <w:rPr>
                <w:rFonts w:hint="default"/>
                <w:color w:val="auto"/>
                <w:highlight w:val="none"/>
                <w:lang w:val="en-US" w:eastAsia="zh-CN"/>
              </w:rPr>
            </w:pPr>
          </w:p>
        </w:tc>
        <w:tc>
          <w:tcPr>
            <w:tcW w:w="1106" w:type="pct"/>
            <w:vMerge w:val="continue"/>
            <w:tcBorders>
              <w:tl2br w:val="nil"/>
              <w:tr2bl w:val="nil"/>
            </w:tcBorders>
            <w:noWrap w:val="0"/>
            <w:vAlign w:val="center"/>
          </w:tcPr>
          <w:p w14:paraId="0518BA82">
            <w:pPr>
              <w:pStyle w:val="1405"/>
              <w:bidi w:val="0"/>
              <w:rPr>
                <w:rFonts w:hint="default"/>
                <w:color w:val="auto"/>
                <w:highlight w:val="none"/>
                <w:lang w:val="en-US" w:eastAsia="zh-CN"/>
              </w:rPr>
            </w:pPr>
          </w:p>
        </w:tc>
        <w:tc>
          <w:tcPr>
            <w:tcW w:w="667" w:type="pct"/>
            <w:vMerge w:val="continue"/>
            <w:tcBorders>
              <w:tl2br w:val="nil"/>
              <w:tr2bl w:val="nil"/>
            </w:tcBorders>
            <w:noWrap w:val="0"/>
            <w:vAlign w:val="center"/>
          </w:tcPr>
          <w:p w14:paraId="56C13186">
            <w:pPr>
              <w:pStyle w:val="1405"/>
              <w:bidi w:val="0"/>
              <w:rPr>
                <w:rFonts w:hint="default"/>
                <w:color w:val="auto"/>
                <w:highlight w:val="none"/>
                <w:lang w:val="en-US" w:eastAsia="zh-CN"/>
              </w:rPr>
            </w:pPr>
          </w:p>
        </w:tc>
        <w:tc>
          <w:tcPr>
            <w:tcW w:w="610" w:type="pct"/>
            <w:vMerge w:val="continue"/>
            <w:tcBorders>
              <w:tl2br w:val="nil"/>
              <w:tr2bl w:val="nil"/>
            </w:tcBorders>
            <w:noWrap w:val="0"/>
            <w:vAlign w:val="center"/>
          </w:tcPr>
          <w:p w14:paraId="65652289">
            <w:pPr>
              <w:pStyle w:val="1405"/>
              <w:bidi w:val="0"/>
              <w:rPr>
                <w:rFonts w:hint="default"/>
                <w:color w:val="auto"/>
                <w:highlight w:val="none"/>
                <w:lang w:val="en-US" w:eastAsia="zh-CN"/>
              </w:rPr>
            </w:pPr>
          </w:p>
        </w:tc>
        <w:tc>
          <w:tcPr>
            <w:tcW w:w="606" w:type="pct"/>
            <w:tcBorders>
              <w:tl2br w:val="nil"/>
              <w:tr2bl w:val="nil"/>
            </w:tcBorders>
            <w:noWrap w:val="0"/>
            <w:vAlign w:val="center"/>
          </w:tcPr>
          <w:p w14:paraId="04C7D446">
            <w:pPr>
              <w:pStyle w:val="1405"/>
              <w:bidi w:val="0"/>
              <w:rPr>
                <w:rFonts w:hint="default"/>
                <w:color w:val="auto"/>
                <w:highlight w:val="none"/>
                <w:lang w:val="en-US" w:eastAsia="zh-CN"/>
              </w:rPr>
            </w:pPr>
            <w:r>
              <w:rPr>
                <w:rFonts w:hint="default"/>
                <w:color w:val="auto"/>
                <w:highlight w:val="none"/>
                <w:lang w:val="en-US" w:eastAsia="zh-CN"/>
              </w:rPr>
              <w:t>产生量</w:t>
            </w:r>
          </w:p>
        </w:tc>
        <w:tc>
          <w:tcPr>
            <w:tcW w:w="443" w:type="pct"/>
            <w:tcBorders>
              <w:tl2br w:val="nil"/>
              <w:tr2bl w:val="nil"/>
            </w:tcBorders>
            <w:noWrap w:val="0"/>
            <w:vAlign w:val="center"/>
          </w:tcPr>
          <w:p w14:paraId="0447847A">
            <w:pPr>
              <w:pStyle w:val="1405"/>
              <w:bidi w:val="0"/>
              <w:rPr>
                <w:rFonts w:hint="default"/>
                <w:color w:val="auto"/>
                <w:highlight w:val="none"/>
                <w:lang w:val="en-US" w:eastAsia="zh-CN"/>
              </w:rPr>
            </w:pPr>
            <w:r>
              <w:rPr>
                <w:rFonts w:hint="default"/>
                <w:color w:val="auto"/>
                <w:highlight w:val="none"/>
                <w:lang w:val="en-US" w:eastAsia="zh-CN"/>
              </w:rPr>
              <w:t>单位</w:t>
            </w:r>
          </w:p>
        </w:tc>
      </w:tr>
      <w:tr w14:paraId="0C1D07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restart"/>
            <w:tcBorders>
              <w:tl2br w:val="nil"/>
              <w:tr2bl w:val="nil"/>
            </w:tcBorders>
            <w:noWrap w:val="0"/>
            <w:vAlign w:val="center"/>
          </w:tcPr>
          <w:p w14:paraId="486C9DDC">
            <w:pPr>
              <w:pStyle w:val="1405"/>
              <w:bidi w:val="0"/>
              <w:rPr>
                <w:rFonts w:hint="default"/>
                <w:color w:val="auto"/>
                <w:highlight w:val="none"/>
                <w:lang w:val="en-US" w:eastAsia="zh-CN"/>
              </w:rPr>
            </w:pPr>
            <w:r>
              <w:rPr>
                <w:rFonts w:hint="default"/>
                <w:color w:val="auto"/>
                <w:highlight w:val="none"/>
                <w:lang w:val="en-US" w:eastAsia="zh-CN"/>
              </w:rPr>
              <w:t>天然气</w:t>
            </w:r>
          </w:p>
        </w:tc>
        <w:tc>
          <w:tcPr>
            <w:tcW w:w="358" w:type="pct"/>
            <w:vMerge w:val="restart"/>
            <w:tcBorders>
              <w:tl2br w:val="nil"/>
              <w:tr2bl w:val="nil"/>
            </w:tcBorders>
            <w:noWrap w:val="0"/>
            <w:vAlign w:val="center"/>
          </w:tcPr>
          <w:p w14:paraId="04F956CC">
            <w:pPr>
              <w:pStyle w:val="1405"/>
              <w:bidi w:val="0"/>
              <w:rPr>
                <w:rFonts w:hint="default"/>
                <w:color w:val="auto"/>
                <w:highlight w:val="none"/>
                <w:lang w:val="en-US" w:eastAsia="zh-CN"/>
              </w:rPr>
            </w:pPr>
            <w:r>
              <w:rPr>
                <w:rFonts w:hint="default"/>
                <w:color w:val="auto"/>
                <w:highlight w:val="none"/>
                <w:lang w:val="en-US" w:eastAsia="zh-CN"/>
              </w:rPr>
              <w:t>室燃炉</w:t>
            </w:r>
          </w:p>
        </w:tc>
        <w:tc>
          <w:tcPr>
            <w:tcW w:w="227" w:type="pct"/>
            <w:vMerge w:val="restart"/>
            <w:tcBorders>
              <w:tl2br w:val="nil"/>
              <w:tr2bl w:val="nil"/>
            </w:tcBorders>
            <w:noWrap w:val="0"/>
            <w:vAlign w:val="center"/>
          </w:tcPr>
          <w:p w14:paraId="7485D969">
            <w:pPr>
              <w:pStyle w:val="1405"/>
              <w:bidi w:val="0"/>
              <w:rPr>
                <w:rFonts w:hint="default"/>
                <w:color w:val="auto"/>
                <w:highlight w:val="none"/>
                <w:lang w:val="en-US" w:eastAsia="zh-CN"/>
              </w:rPr>
            </w:pPr>
            <w:r>
              <w:rPr>
                <w:rFonts w:hint="default"/>
                <w:color w:val="auto"/>
                <w:highlight w:val="none"/>
                <w:lang w:val="en-US" w:eastAsia="zh-CN"/>
              </w:rPr>
              <w:t>所有规模</w:t>
            </w:r>
          </w:p>
        </w:tc>
        <w:tc>
          <w:tcPr>
            <w:tcW w:w="618" w:type="pct"/>
            <w:tcBorders>
              <w:tl2br w:val="nil"/>
              <w:tr2bl w:val="nil"/>
            </w:tcBorders>
            <w:noWrap w:val="0"/>
            <w:vAlign w:val="center"/>
          </w:tcPr>
          <w:p w14:paraId="011B9511">
            <w:pPr>
              <w:pStyle w:val="1405"/>
              <w:bidi w:val="0"/>
              <w:rPr>
                <w:rFonts w:hint="default"/>
                <w:color w:val="auto"/>
                <w:highlight w:val="none"/>
                <w:lang w:val="en-US" w:eastAsia="zh-CN"/>
              </w:rPr>
            </w:pPr>
            <w:r>
              <w:rPr>
                <w:rFonts w:hint="default"/>
                <w:color w:val="auto"/>
                <w:highlight w:val="none"/>
                <w:lang w:val="en-US" w:eastAsia="zh-CN"/>
              </w:rPr>
              <w:t>工业废气量</w:t>
            </w:r>
          </w:p>
        </w:tc>
        <w:tc>
          <w:tcPr>
            <w:tcW w:w="1106" w:type="pct"/>
            <w:tcBorders>
              <w:tl2br w:val="nil"/>
              <w:tr2bl w:val="nil"/>
            </w:tcBorders>
            <w:noWrap w:val="0"/>
            <w:vAlign w:val="center"/>
          </w:tcPr>
          <w:p w14:paraId="59741809">
            <w:pPr>
              <w:pStyle w:val="1405"/>
              <w:bidi w:val="0"/>
              <w:rPr>
                <w:rFonts w:hint="default"/>
                <w:color w:val="auto"/>
                <w:highlight w:val="none"/>
                <w:lang w:val="en-US" w:eastAsia="zh-CN"/>
              </w:rPr>
            </w:pPr>
            <w:r>
              <w:rPr>
                <w:rFonts w:hint="default"/>
                <w:color w:val="auto"/>
                <w:highlight w:val="none"/>
                <w:lang w:val="en-US" w:eastAsia="zh-CN"/>
              </w:rPr>
              <w:t>标立方米/万立方米-原料</w:t>
            </w:r>
          </w:p>
        </w:tc>
        <w:tc>
          <w:tcPr>
            <w:tcW w:w="667" w:type="pct"/>
            <w:tcBorders>
              <w:tl2br w:val="nil"/>
              <w:tr2bl w:val="nil"/>
            </w:tcBorders>
            <w:noWrap w:val="0"/>
            <w:vAlign w:val="center"/>
          </w:tcPr>
          <w:p w14:paraId="7587C656">
            <w:pPr>
              <w:pStyle w:val="1405"/>
              <w:bidi w:val="0"/>
              <w:rPr>
                <w:rFonts w:hint="default"/>
                <w:color w:val="auto"/>
                <w:highlight w:val="none"/>
                <w:lang w:val="en-US" w:eastAsia="zh-CN"/>
              </w:rPr>
            </w:pPr>
            <w:r>
              <w:rPr>
                <w:rFonts w:hint="default"/>
                <w:color w:val="auto"/>
                <w:highlight w:val="none"/>
                <w:lang w:val="en-US" w:eastAsia="zh-CN"/>
              </w:rPr>
              <w:t>107753</w:t>
            </w:r>
          </w:p>
        </w:tc>
        <w:tc>
          <w:tcPr>
            <w:tcW w:w="610" w:type="pct"/>
            <w:tcBorders>
              <w:tl2br w:val="nil"/>
              <w:tr2bl w:val="nil"/>
            </w:tcBorders>
            <w:noWrap w:val="0"/>
            <w:vAlign w:val="center"/>
          </w:tcPr>
          <w:p w14:paraId="28B9EE04">
            <w:pPr>
              <w:pStyle w:val="1405"/>
              <w:bidi w:val="0"/>
              <w:rPr>
                <w:rFonts w:hint="default"/>
                <w:color w:val="auto"/>
                <w:highlight w:val="none"/>
                <w:lang w:val="en-US" w:eastAsia="zh-CN"/>
              </w:rPr>
            </w:pPr>
            <w:r>
              <w:rPr>
                <w:rFonts w:hint="default"/>
                <w:color w:val="auto"/>
                <w:highlight w:val="none"/>
                <w:lang w:val="en-US" w:eastAsia="zh-CN"/>
              </w:rPr>
              <w:t>直排</w:t>
            </w:r>
          </w:p>
        </w:tc>
        <w:tc>
          <w:tcPr>
            <w:tcW w:w="1117" w:type="dxa"/>
            <w:tcBorders>
              <w:tl2br w:val="nil"/>
              <w:tr2bl w:val="nil"/>
            </w:tcBorders>
            <w:noWrap w:val="0"/>
            <w:vAlign w:val="center"/>
          </w:tcPr>
          <w:p w14:paraId="758A75FD">
            <w:pPr>
              <w:pStyle w:val="1405"/>
              <w:bidi w:val="0"/>
              <w:jc w:val="center"/>
              <w:rPr>
                <w:rFonts w:hint="default"/>
                <w:color w:val="auto"/>
                <w:highlight w:val="none"/>
                <w:lang w:val="en-US" w:eastAsia="zh-CN"/>
              </w:rPr>
            </w:pPr>
            <w:r>
              <w:rPr>
                <w:rFonts w:hint="default"/>
                <w:color w:val="auto"/>
                <w:highlight w:val="none"/>
                <w:lang w:val="en-US" w:eastAsia="zh-CN"/>
              </w:rPr>
              <w:t>38.79108</w:t>
            </w:r>
          </w:p>
        </w:tc>
        <w:tc>
          <w:tcPr>
            <w:tcW w:w="443" w:type="pct"/>
            <w:tcBorders>
              <w:tl2br w:val="nil"/>
              <w:tr2bl w:val="nil"/>
            </w:tcBorders>
            <w:noWrap w:val="0"/>
            <w:vAlign w:val="center"/>
          </w:tcPr>
          <w:p w14:paraId="57ED172B">
            <w:pPr>
              <w:pStyle w:val="1405"/>
              <w:bidi w:val="0"/>
              <w:rPr>
                <w:rFonts w:hint="default"/>
                <w:color w:val="auto"/>
                <w:highlight w:val="none"/>
                <w:lang w:val="en-US" w:eastAsia="zh-CN"/>
              </w:rPr>
            </w:pPr>
            <w:r>
              <w:rPr>
                <w:rFonts w:hint="eastAsia"/>
                <w:color w:val="auto"/>
                <w:highlight w:val="none"/>
                <w:lang w:val="en-US" w:eastAsia="zh-CN"/>
              </w:rPr>
              <w:t>万</w:t>
            </w:r>
            <w:r>
              <w:rPr>
                <w:rFonts w:hint="default"/>
                <w:color w:val="auto"/>
                <w:highlight w:val="none"/>
                <w:lang w:val="en-US" w:eastAsia="zh-CN"/>
              </w:rPr>
              <w:t>m</w:t>
            </w:r>
            <w:r>
              <w:rPr>
                <w:rFonts w:hint="default"/>
                <w:color w:val="auto"/>
                <w:highlight w:val="none"/>
                <w:vertAlign w:val="superscript"/>
                <w:lang w:val="en-US" w:eastAsia="zh-CN"/>
              </w:rPr>
              <w:t>3</w:t>
            </w:r>
          </w:p>
        </w:tc>
      </w:tr>
      <w:tr w14:paraId="420B4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continue"/>
            <w:tcBorders>
              <w:tl2br w:val="nil"/>
              <w:tr2bl w:val="nil"/>
            </w:tcBorders>
            <w:noWrap w:val="0"/>
            <w:vAlign w:val="center"/>
          </w:tcPr>
          <w:p w14:paraId="1351E868">
            <w:pPr>
              <w:pStyle w:val="1405"/>
              <w:bidi w:val="0"/>
              <w:rPr>
                <w:rFonts w:hint="default"/>
                <w:color w:val="auto"/>
                <w:highlight w:val="none"/>
                <w:lang w:val="en-US" w:eastAsia="zh-CN"/>
              </w:rPr>
            </w:pPr>
          </w:p>
        </w:tc>
        <w:tc>
          <w:tcPr>
            <w:tcW w:w="358" w:type="pct"/>
            <w:vMerge w:val="continue"/>
            <w:tcBorders>
              <w:tl2br w:val="nil"/>
              <w:tr2bl w:val="nil"/>
            </w:tcBorders>
            <w:noWrap w:val="0"/>
            <w:vAlign w:val="center"/>
          </w:tcPr>
          <w:p w14:paraId="258278BF">
            <w:pPr>
              <w:pStyle w:val="1405"/>
              <w:bidi w:val="0"/>
              <w:rPr>
                <w:rFonts w:hint="default"/>
                <w:color w:val="auto"/>
                <w:highlight w:val="none"/>
                <w:lang w:val="en-US" w:eastAsia="zh-CN"/>
              </w:rPr>
            </w:pPr>
          </w:p>
        </w:tc>
        <w:tc>
          <w:tcPr>
            <w:tcW w:w="227" w:type="pct"/>
            <w:vMerge w:val="continue"/>
            <w:tcBorders>
              <w:tl2br w:val="nil"/>
              <w:tr2bl w:val="nil"/>
            </w:tcBorders>
            <w:noWrap w:val="0"/>
            <w:vAlign w:val="center"/>
          </w:tcPr>
          <w:p w14:paraId="078620E9">
            <w:pPr>
              <w:pStyle w:val="1405"/>
              <w:bidi w:val="0"/>
              <w:rPr>
                <w:rFonts w:hint="default"/>
                <w:color w:val="auto"/>
                <w:highlight w:val="none"/>
                <w:lang w:val="en-US" w:eastAsia="zh-CN"/>
              </w:rPr>
            </w:pPr>
          </w:p>
        </w:tc>
        <w:tc>
          <w:tcPr>
            <w:tcW w:w="618" w:type="pct"/>
            <w:tcBorders>
              <w:tl2br w:val="nil"/>
              <w:tr2bl w:val="nil"/>
            </w:tcBorders>
            <w:noWrap w:val="0"/>
            <w:vAlign w:val="center"/>
          </w:tcPr>
          <w:p w14:paraId="17339C98">
            <w:pPr>
              <w:pStyle w:val="1405"/>
              <w:bidi w:val="0"/>
              <w:rPr>
                <w:rFonts w:hint="default"/>
                <w:color w:val="auto"/>
                <w:highlight w:val="none"/>
                <w:lang w:val="en-US" w:eastAsia="zh-CN"/>
              </w:rPr>
            </w:pPr>
            <w:r>
              <w:rPr>
                <w:rFonts w:hint="default"/>
                <w:color w:val="auto"/>
                <w:highlight w:val="none"/>
                <w:lang w:val="en-US" w:eastAsia="zh-CN"/>
              </w:rPr>
              <w:t>二氧化硫</w:t>
            </w:r>
          </w:p>
        </w:tc>
        <w:tc>
          <w:tcPr>
            <w:tcW w:w="1106" w:type="pct"/>
            <w:tcBorders>
              <w:tl2br w:val="nil"/>
              <w:tr2bl w:val="nil"/>
            </w:tcBorders>
            <w:noWrap w:val="0"/>
            <w:vAlign w:val="center"/>
          </w:tcPr>
          <w:p w14:paraId="6F63EEA4">
            <w:pPr>
              <w:pStyle w:val="1405"/>
              <w:bidi w:val="0"/>
              <w:rPr>
                <w:rFonts w:hint="default"/>
                <w:color w:val="auto"/>
                <w:highlight w:val="none"/>
                <w:lang w:val="en-US" w:eastAsia="zh-CN"/>
              </w:rPr>
            </w:pPr>
            <w:r>
              <w:rPr>
                <w:rFonts w:hint="default"/>
                <w:color w:val="auto"/>
                <w:highlight w:val="none"/>
                <w:lang w:val="en-US" w:eastAsia="zh-CN"/>
              </w:rPr>
              <w:t>千克/万立方米-燃料</w:t>
            </w:r>
          </w:p>
        </w:tc>
        <w:tc>
          <w:tcPr>
            <w:tcW w:w="667" w:type="pct"/>
            <w:tcBorders>
              <w:tl2br w:val="nil"/>
              <w:tr2bl w:val="nil"/>
            </w:tcBorders>
            <w:noWrap w:val="0"/>
            <w:vAlign w:val="center"/>
          </w:tcPr>
          <w:p w14:paraId="4C81F9C5">
            <w:pPr>
              <w:pStyle w:val="1405"/>
              <w:bidi w:val="0"/>
              <w:rPr>
                <w:rFonts w:hint="default"/>
                <w:color w:val="auto"/>
                <w:highlight w:val="none"/>
                <w:lang w:val="en-US" w:eastAsia="zh-CN"/>
              </w:rPr>
            </w:pPr>
            <w:r>
              <w:rPr>
                <w:rFonts w:hint="default"/>
                <w:color w:val="auto"/>
                <w:highlight w:val="none"/>
                <w:lang w:val="en-US" w:eastAsia="zh-CN"/>
              </w:rPr>
              <w:t>0.02S</w:t>
            </w:r>
          </w:p>
        </w:tc>
        <w:tc>
          <w:tcPr>
            <w:tcW w:w="610" w:type="pct"/>
            <w:tcBorders>
              <w:tl2br w:val="nil"/>
              <w:tr2bl w:val="nil"/>
            </w:tcBorders>
            <w:noWrap w:val="0"/>
            <w:vAlign w:val="center"/>
          </w:tcPr>
          <w:p w14:paraId="06799A68">
            <w:pPr>
              <w:pStyle w:val="1405"/>
              <w:bidi w:val="0"/>
              <w:rPr>
                <w:rFonts w:hint="default"/>
                <w:color w:val="auto"/>
                <w:highlight w:val="none"/>
                <w:lang w:val="en-US" w:eastAsia="zh-CN"/>
              </w:rPr>
            </w:pPr>
            <w:r>
              <w:rPr>
                <w:rFonts w:hint="default"/>
                <w:color w:val="auto"/>
                <w:highlight w:val="none"/>
                <w:lang w:val="en-US" w:eastAsia="zh-CN"/>
              </w:rPr>
              <w:t>直排</w:t>
            </w:r>
          </w:p>
        </w:tc>
        <w:tc>
          <w:tcPr>
            <w:tcW w:w="1117" w:type="dxa"/>
            <w:tcBorders>
              <w:tl2br w:val="nil"/>
              <w:tr2bl w:val="nil"/>
            </w:tcBorders>
            <w:noWrap w:val="0"/>
            <w:vAlign w:val="top"/>
          </w:tcPr>
          <w:p w14:paraId="571EC9FC">
            <w:pPr>
              <w:pStyle w:val="1405"/>
              <w:bidi w:val="0"/>
              <w:jc w:val="center"/>
              <w:rPr>
                <w:rFonts w:hint="default"/>
                <w:color w:val="auto"/>
                <w:highlight w:val="none"/>
                <w:lang w:val="en-US" w:eastAsia="zh-CN"/>
              </w:rPr>
            </w:pPr>
            <w:r>
              <w:rPr>
                <w:rFonts w:hint="default"/>
                <w:color w:val="auto"/>
                <w:highlight w:val="none"/>
                <w:lang w:val="en-US" w:eastAsia="zh-CN"/>
              </w:rPr>
              <w:t>0.0072</w:t>
            </w:r>
          </w:p>
        </w:tc>
        <w:tc>
          <w:tcPr>
            <w:tcW w:w="443" w:type="pct"/>
            <w:tcBorders>
              <w:tl2br w:val="nil"/>
              <w:tr2bl w:val="nil"/>
            </w:tcBorders>
            <w:noWrap w:val="0"/>
            <w:vAlign w:val="center"/>
          </w:tcPr>
          <w:p w14:paraId="15D44EED">
            <w:pPr>
              <w:pStyle w:val="1405"/>
              <w:bidi w:val="0"/>
              <w:rPr>
                <w:rFonts w:hint="default"/>
                <w:color w:val="auto"/>
                <w:highlight w:val="none"/>
                <w:lang w:val="en-US" w:eastAsia="zh-CN"/>
              </w:rPr>
            </w:pPr>
            <w:r>
              <w:rPr>
                <w:rFonts w:hint="default"/>
                <w:color w:val="auto"/>
                <w:highlight w:val="none"/>
                <w:lang w:val="en-US" w:eastAsia="zh-CN"/>
              </w:rPr>
              <w:t>t</w:t>
            </w:r>
          </w:p>
        </w:tc>
      </w:tr>
      <w:tr w14:paraId="7F9697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continue"/>
            <w:tcBorders>
              <w:tl2br w:val="nil"/>
              <w:tr2bl w:val="nil"/>
            </w:tcBorders>
            <w:noWrap w:val="0"/>
            <w:vAlign w:val="center"/>
          </w:tcPr>
          <w:p w14:paraId="45DA56D5">
            <w:pPr>
              <w:pStyle w:val="1405"/>
              <w:bidi w:val="0"/>
              <w:rPr>
                <w:rFonts w:hint="default"/>
                <w:color w:val="auto"/>
                <w:highlight w:val="none"/>
                <w:lang w:val="en-US" w:eastAsia="zh-CN"/>
              </w:rPr>
            </w:pPr>
          </w:p>
        </w:tc>
        <w:tc>
          <w:tcPr>
            <w:tcW w:w="358" w:type="pct"/>
            <w:vMerge w:val="continue"/>
            <w:tcBorders>
              <w:tl2br w:val="nil"/>
              <w:tr2bl w:val="nil"/>
            </w:tcBorders>
            <w:noWrap w:val="0"/>
            <w:vAlign w:val="center"/>
          </w:tcPr>
          <w:p w14:paraId="31F71CD7">
            <w:pPr>
              <w:pStyle w:val="1405"/>
              <w:bidi w:val="0"/>
              <w:rPr>
                <w:rFonts w:hint="default"/>
                <w:color w:val="auto"/>
                <w:highlight w:val="none"/>
                <w:lang w:val="en-US" w:eastAsia="zh-CN"/>
              </w:rPr>
            </w:pPr>
          </w:p>
        </w:tc>
        <w:tc>
          <w:tcPr>
            <w:tcW w:w="227" w:type="pct"/>
            <w:vMerge w:val="continue"/>
            <w:tcBorders>
              <w:tl2br w:val="nil"/>
              <w:tr2bl w:val="nil"/>
            </w:tcBorders>
            <w:noWrap w:val="0"/>
            <w:vAlign w:val="center"/>
          </w:tcPr>
          <w:p w14:paraId="750906CB">
            <w:pPr>
              <w:pStyle w:val="1405"/>
              <w:bidi w:val="0"/>
              <w:rPr>
                <w:rFonts w:hint="default"/>
                <w:color w:val="auto"/>
                <w:highlight w:val="none"/>
                <w:lang w:val="en-US" w:eastAsia="zh-CN"/>
              </w:rPr>
            </w:pPr>
          </w:p>
        </w:tc>
        <w:tc>
          <w:tcPr>
            <w:tcW w:w="618" w:type="pct"/>
            <w:tcBorders>
              <w:tl2br w:val="nil"/>
              <w:tr2bl w:val="nil"/>
            </w:tcBorders>
            <w:noWrap w:val="0"/>
            <w:vAlign w:val="center"/>
          </w:tcPr>
          <w:p w14:paraId="41097B9F">
            <w:pPr>
              <w:pStyle w:val="1405"/>
              <w:bidi w:val="0"/>
              <w:rPr>
                <w:rFonts w:hint="default"/>
                <w:color w:val="auto"/>
                <w:highlight w:val="none"/>
                <w:lang w:val="en-US" w:eastAsia="zh-CN"/>
              </w:rPr>
            </w:pPr>
            <w:r>
              <w:rPr>
                <w:rFonts w:hint="default"/>
                <w:color w:val="auto"/>
                <w:highlight w:val="none"/>
                <w:lang w:val="en-US" w:eastAsia="zh-CN"/>
              </w:rPr>
              <w:t>颗粒物</w:t>
            </w:r>
          </w:p>
        </w:tc>
        <w:tc>
          <w:tcPr>
            <w:tcW w:w="1106" w:type="pct"/>
            <w:tcBorders>
              <w:tl2br w:val="nil"/>
              <w:tr2bl w:val="nil"/>
            </w:tcBorders>
            <w:noWrap w:val="0"/>
            <w:vAlign w:val="center"/>
          </w:tcPr>
          <w:p w14:paraId="333D89A3">
            <w:pPr>
              <w:pStyle w:val="1405"/>
              <w:bidi w:val="0"/>
              <w:rPr>
                <w:rFonts w:hint="default"/>
                <w:color w:val="auto"/>
                <w:highlight w:val="none"/>
                <w:lang w:val="en-US" w:eastAsia="zh-CN"/>
              </w:rPr>
            </w:pPr>
            <w:r>
              <w:rPr>
                <w:rFonts w:hint="default"/>
                <w:color w:val="auto"/>
                <w:highlight w:val="none"/>
                <w:lang w:val="en-US" w:eastAsia="zh-CN"/>
              </w:rPr>
              <w:t>千克/万立方米-燃料</w:t>
            </w:r>
          </w:p>
        </w:tc>
        <w:tc>
          <w:tcPr>
            <w:tcW w:w="667" w:type="pct"/>
            <w:tcBorders>
              <w:tl2br w:val="nil"/>
              <w:tr2bl w:val="nil"/>
            </w:tcBorders>
            <w:noWrap w:val="0"/>
            <w:vAlign w:val="center"/>
          </w:tcPr>
          <w:p w14:paraId="6D589F97">
            <w:pPr>
              <w:pStyle w:val="1405"/>
              <w:bidi w:val="0"/>
              <w:rPr>
                <w:rFonts w:hint="default"/>
                <w:color w:val="auto"/>
                <w:highlight w:val="none"/>
                <w:lang w:val="en-US" w:eastAsia="zh-CN"/>
              </w:rPr>
            </w:pPr>
            <w:r>
              <w:rPr>
                <w:rFonts w:hint="default"/>
                <w:color w:val="auto"/>
                <w:highlight w:val="none"/>
                <w:lang w:val="en-US" w:eastAsia="zh-CN"/>
              </w:rPr>
              <w:t>2.86</w:t>
            </w:r>
          </w:p>
        </w:tc>
        <w:tc>
          <w:tcPr>
            <w:tcW w:w="610" w:type="pct"/>
            <w:tcBorders>
              <w:tl2br w:val="nil"/>
              <w:tr2bl w:val="nil"/>
            </w:tcBorders>
            <w:noWrap w:val="0"/>
            <w:vAlign w:val="center"/>
          </w:tcPr>
          <w:p w14:paraId="2057DF15">
            <w:pPr>
              <w:pStyle w:val="1405"/>
              <w:bidi w:val="0"/>
              <w:rPr>
                <w:rFonts w:hint="default"/>
                <w:color w:val="auto"/>
                <w:highlight w:val="none"/>
                <w:lang w:val="en-US" w:eastAsia="zh-CN"/>
              </w:rPr>
            </w:pPr>
            <w:r>
              <w:rPr>
                <w:rFonts w:hint="default"/>
                <w:color w:val="auto"/>
                <w:highlight w:val="none"/>
                <w:lang w:val="en-US" w:eastAsia="zh-CN"/>
              </w:rPr>
              <w:t>直排</w:t>
            </w:r>
          </w:p>
        </w:tc>
        <w:tc>
          <w:tcPr>
            <w:tcW w:w="1117" w:type="dxa"/>
            <w:tcBorders>
              <w:tl2br w:val="nil"/>
              <w:tr2bl w:val="nil"/>
            </w:tcBorders>
            <w:noWrap w:val="0"/>
            <w:vAlign w:val="top"/>
          </w:tcPr>
          <w:p w14:paraId="6919C89C">
            <w:pPr>
              <w:pStyle w:val="1405"/>
              <w:bidi w:val="0"/>
              <w:ind w:firstLine="0" w:firstLineChars="0"/>
              <w:jc w:val="center"/>
              <w:rPr>
                <w:rFonts w:hint="default"/>
                <w:color w:val="auto"/>
                <w:highlight w:val="none"/>
                <w:lang w:val="en-US" w:eastAsia="zh-CN"/>
              </w:rPr>
            </w:pPr>
            <w:r>
              <w:rPr>
                <w:rFonts w:hint="default"/>
                <w:color w:val="auto"/>
                <w:highlight w:val="none"/>
                <w:lang w:val="en-US" w:eastAsia="zh-CN"/>
              </w:rPr>
              <w:t>0.001</w:t>
            </w:r>
            <w:r>
              <w:rPr>
                <w:rFonts w:hint="eastAsia"/>
                <w:color w:val="auto"/>
                <w:highlight w:val="none"/>
                <w:lang w:val="en-US" w:eastAsia="zh-CN"/>
              </w:rPr>
              <w:t>1</w:t>
            </w:r>
          </w:p>
        </w:tc>
        <w:tc>
          <w:tcPr>
            <w:tcW w:w="443" w:type="pct"/>
            <w:tcBorders>
              <w:tl2br w:val="nil"/>
              <w:tr2bl w:val="nil"/>
            </w:tcBorders>
            <w:noWrap w:val="0"/>
            <w:vAlign w:val="center"/>
          </w:tcPr>
          <w:p w14:paraId="4AC18DE1">
            <w:pPr>
              <w:pStyle w:val="1405"/>
              <w:bidi w:val="0"/>
              <w:rPr>
                <w:rFonts w:hint="default"/>
                <w:color w:val="auto"/>
                <w:highlight w:val="none"/>
                <w:lang w:val="en-US" w:eastAsia="zh-CN"/>
              </w:rPr>
            </w:pPr>
            <w:r>
              <w:rPr>
                <w:rFonts w:hint="default"/>
                <w:color w:val="auto"/>
                <w:highlight w:val="none"/>
                <w:lang w:val="en-US" w:eastAsia="zh-CN"/>
              </w:rPr>
              <w:t>t</w:t>
            </w:r>
          </w:p>
        </w:tc>
      </w:tr>
      <w:tr w14:paraId="766A37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61" w:type="pct"/>
            <w:vMerge w:val="continue"/>
            <w:tcBorders>
              <w:tl2br w:val="nil"/>
              <w:tr2bl w:val="nil"/>
            </w:tcBorders>
            <w:noWrap w:val="0"/>
            <w:vAlign w:val="center"/>
          </w:tcPr>
          <w:p w14:paraId="46A1AFB0">
            <w:pPr>
              <w:pStyle w:val="1405"/>
              <w:bidi w:val="0"/>
              <w:rPr>
                <w:rFonts w:hint="default"/>
                <w:color w:val="auto"/>
                <w:highlight w:val="none"/>
                <w:lang w:val="en-US" w:eastAsia="zh-CN"/>
              </w:rPr>
            </w:pPr>
          </w:p>
        </w:tc>
        <w:tc>
          <w:tcPr>
            <w:tcW w:w="358" w:type="pct"/>
            <w:vMerge w:val="continue"/>
            <w:tcBorders>
              <w:tl2br w:val="nil"/>
              <w:tr2bl w:val="nil"/>
            </w:tcBorders>
            <w:noWrap w:val="0"/>
            <w:vAlign w:val="center"/>
          </w:tcPr>
          <w:p w14:paraId="1B2E00D3">
            <w:pPr>
              <w:pStyle w:val="1405"/>
              <w:bidi w:val="0"/>
              <w:rPr>
                <w:rFonts w:hint="default"/>
                <w:color w:val="auto"/>
                <w:highlight w:val="none"/>
                <w:lang w:val="en-US" w:eastAsia="zh-CN"/>
              </w:rPr>
            </w:pPr>
          </w:p>
        </w:tc>
        <w:tc>
          <w:tcPr>
            <w:tcW w:w="227" w:type="pct"/>
            <w:vMerge w:val="continue"/>
            <w:tcBorders>
              <w:tl2br w:val="nil"/>
              <w:tr2bl w:val="nil"/>
            </w:tcBorders>
            <w:noWrap w:val="0"/>
            <w:vAlign w:val="center"/>
          </w:tcPr>
          <w:p w14:paraId="261A0A87">
            <w:pPr>
              <w:pStyle w:val="1405"/>
              <w:bidi w:val="0"/>
              <w:rPr>
                <w:rFonts w:hint="default"/>
                <w:color w:val="auto"/>
                <w:highlight w:val="none"/>
                <w:lang w:val="en-US" w:eastAsia="zh-CN"/>
              </w:rPr>
            </w:pPr>
          </w:p>
        </w:tc>
        <w:tc>
          <w:tcPr>
            <w:tcW w:w="618" w:type="pct"/>
            <w:tcBorders>
              <w:tl2br w:val="nil"/>
              <w:tr2bl w:val="nil"/>
            </w:tcBorders>
            <w:noWrap w:val="0"/>
            <w:vAlign w:val="center"/>
          </w:tcPr>
          <w:p w14:paraId="71FDC8D0">
            <w:pPr>
              <w:pStyle w:val="1405"/>
              <w:bidi w:val="0"/>
              <w:rPr>
                <w:rFonts w:hint="default"/>
                <w:color w:val="auto"/>
                <w:highlight w:val="none"/>
                <w:lang w:val="en-US" w:eastAsia="zh-CN"/>
              </w:rPr>
            </w:pPr>
            <w:r>
              <w:rPr>
                <w:rFonts w:hint="default"/>
                <w:color w:val="auto"/>
                <w:highlight w:val="none"/>
                <w:lang w:val="en-US" w:eastAsia="zh-CN"/>
              </w:rPr>
              <w:t>氮氧化物</w:t>
            </w:r>
          </w:p>
        </w:tc>
        <w:tc>
          <w:tcPr>
            <w:tcW w:w="1106" w:type="pct"/>
            <w:tcBorders>
              <w:tl2br w:val="nil"/>
              <w:tr2bl w:val="nil"/>
            </w:tcBorders>
            <w:noWrap w:val="0"/>
            <w:vAlign w:val="center"/>
          </w:tcPr>
          <w:p w14:paraId="12FCA495">
            <w:pPr>
              <w:pStyle w:val="1405"/>
              <w:bidi w:val="0"/>
              <w:rPr>
                <w:rFonts w:hint="default"/>
                <w:color w:val="auto"/>
                <w:highlight w:val="none"/>
                <w:lang w:val="en-US" w:eastAsia="zh-CN"/>
              </w:rPr>
            </w:pPr>
            <w:r>
              <w:rPr>
                <w:rFonts w:hint="default"/>
                <w:color w:val="auto"/>
                <w:highlight w:val="none"/>
                <w:lang w:val="en-US" w:eastAsia="zh-CN"/>
              </w:rPr>
              <w:t>千克/万立方米-燃料</w:t>
            </w:r>
          </w:p>
        </w:tc>
        <w:tc>
          <w:tcPr>
            <w:tcW w:w="667" w:type="pct"/>
            <w:tcBorders>
              <w:tl2br w:val="nil"/>
              <w:tr2bl w:val="nil"/>
            </w:tcBorders>
            <w:shd w:val="clear" w:color="auto" w:fill="auto"/>
            <w:noWrap w:val="0"/>
            <w:vAlign w:val="center"/>
          </w:tcPr>
          <w:p w14:paraId="594417E1">
            <w:pPr>
              <w:pStyle w:val="1405"/>
              <w:bidi w:val="0"/>
              <w:rPr>
                <w:rFonts w:hint="default"/>
                <w:color w:val="auto"/>
                <w:highlight w:val="none"/>
                <w:lang w:val="en-US" w:eastAsia="zh-CN"/>
              </w:rPr>
            </w:pPr>
            <w:r>
              <w:rPr>
                <w:rFonts w:hint="eastAsia"/>
                <w:color w:val="auto"/>
                <w:highlight w:val="none"/>
                <w:lang w:val="en-US" w:eastAsia="zh-CN"/>
              </w:rPr>
              <w:t>6.97</w:t>
            </w:r>
            <w:r>
              <w:rPr>
                <w:rFonts w:hint="default"/>
                <w:color w:val="auto"/>
                <w:highlight w:val="none"/>
                <w:lang w:val="en-US" w:eastAsia="zh-CN"/>
              </w:rPr>
              <w:br w:type="textWrapping"/>
            </w:r>
            <w:r>
              <w:rPr>
                <w:rFonts w:hint="eastAsia"/>
                <w:color w:val="auto"/>
                <w:highlight w:val="none"/>
                <w:lang w:val="en-US" w:eastAsia="zh-CN"/>
              </w:rPr>
              <w:t>（</w:t>
            </w:r>
            <w:r>
              <w:rPr>
                <w:rFonts w:hint="default"/>
                <w:color w:val="auto"/>
                <w:highlight w:val="none"/>
                <w:lang w:val="en-US" w:eastAsia="zh-CN"/>
              </w:rPr>
              <w:t>低氮燃烧</w:t>
            </w:r>
            <w:r>
              <w:rPr>
                <w:rFonts w:hint="eastAsia"/>
                <w:color w:val="auto"/>
                <w:highlight w:val="none"/>
                <w:lang w:val="en-US" w:eastAsia="zh-CN"/>
              </w:rPr>
              <w:t>）</w:t>
            </w:r>
          </w:p>
        </w:tc>
        <w:tc>
          <w:tcPr>
            <w:tcW w:w="610" w:type="pct"/>
            <w:tcBorders>
              <w:tl2br w:val="nil"/>
              <w:tr2bl w:val="nil"/>
            </w:tcBorders>
            <w:shd w:val="clear" w:color="auto" w:fill="auto"/>
            <w:noWrap w:val="0"/>
            <w:vAlign w:val="center"/>
          </w:tcPr>
          <w:p w14:paraId="0681D322">
            <w:pPr>
              <w:pStyle w:val="1405"/>
              <w:bidi w:val="0"/>
              <w:rPr>
                <w:rFonts w:hint="default"/>
                <w:color w:val="auto"/>
                <w:highlight w:val="none"/>
                <w:lang w:val="en-US" w:eastAsia="zh-CN"/>
              </w:rPr>
            </w:pPr>
            <w:r>
              <w:rPr>
                <w:rFonts w:hint="default"/>
                <w:color w:val="auto"/>
                <w:highlight w:val="none"/>
                <w:lang w:val="en-US" w:eastAsia="zh-CN"/>
              </w:rPr>
              <w:t>直排</w:t>
            </w:r>
          </w:p>
        </w:tc>
        <w:tc>
          <w:tcPr>
            <w:tcW w:w="1117" w:type="dxa"/>
            <w:tcBorders>
              <w:tl2br w:val="nil"/>
              <w:tr2bl w:val="nil"/>
            </w:tcBorders>
            <w:shd w:val="clear" w:color="auto" w:fill="auto"/>
            <w:noWrap w:val="0"/>
            <w:vAlign w:val="center"/>
          </w:tcPr>
          <w:p w14:paraId="1DDEEC39">
            <w:pPr>
              <w:pStyle w:val="1405"/>
              <w:bidi w:val="0"/>
              <w:ind w:firstLine="0" w:firstLineChars="0"/>
              <w:jc w:val="center"/>
              <w:rPr>
                <w:rFonts w:hint="default"/>
                <w:color w:val="auto"/>
                <w:highlight w:val="none"/>
                <w:lang w:val="en-US" w:eastAsia="zh-CN"/>
              </w:rPr>
            </w:pPr>
            <w:r>
              <w:rPr>
                <w:rFonts w:hint="default"/>
                <w:color w:val="auto"/>
                <w:highlight w:val="none"/>
                <w:lang w:val="en-US" w:eastAsia="zh-CN"/>
              </w:rPr>
              <w:t>0.025</w:t>
            </w:r>
            <w:r>
              <w:rPr>
                <w:rFonts w:hint="eastAsia"/>
                <w:color w:val="auto"/>
                <w:highlight w:val="none"/>
                <w:lang w:val="en-US" w:eastAsia="zh-CN"/>
              </w:rPr>
              <w:t>1</w:t>
            </w:r>
          </w:p>
        </w:tc>
        <w:tc>
          <w:tcPr>
            <w:tcW w:w="443" w:type="pct"/>
            <w:tcBorders>
              <w:tl2br w:val="nil"/>
              <w:tr2bl w:val="nil"/>
            </w:tcBorders>
            <w:shd w:val="clear" w:color="auto" w:fill="auto"/>
            <w:noWrap w:val="0"/>
            <w:vAlign w:val="center"/>
          </w:tcPr>
          <w:p w14:paraId="28E471E4">
            <w:pPr>
              <w:pStyle w:val="1405"/>
              <w:bidi w:val="0"/>
              <w:rPr>
                <w:rFonts w:hint="default"/>
                <w:color w:val="auto"/>
                <w:highlight w:val="none"/>
                <w:lang w:val="en-US" w:eastAsia="zh-CN"/>
              </w:rPr>
            </w:pPr>
            <w:r>
              <w:rPr>
                <w:rFonts w:hint="default"/>
                <w:color w:val="auto"/>
                <w:highlight w:val="none"/>
                <w:lang w:val="en-US" w:eastAsia="zh-CN"/>
              </w:rPr>
              <w:t>t</w:t>
            </w:r>
          </w:p>
        </w:tc>
      </w:tr>
    </w:tbl>
    <w:p w14:paraId="5CA2E5B6">
      <w:pPr>
        <w:keepNext w:val="0"/>
        <w:keepLines w:val="0"/>
        <w:widowControl/>
        <w:suppressLineNumbers w:val="0"/>
        <w:jc w:val="both"/>
        <w:textAlignment w:val="top"/>
        <w:rPr>
          <w:rStyle w:val="1431"/>
          <w:rFonts w:hint="default" w:ascii="Times New Roman" w:hAnsi="Times New Roman" w:eastAsia="宋体" w:cs="Times New Roman"/>
          <w:b w:val="0"/>
          <w:bCs w:val="0"/>
          <w:i w:val="0"/>
          <w:iCs w:val="0"/>
          <w:color w:val="auto"/>
          <w:sz w:val="21"/>
          <w:szCs w:val="21"/>
          <w:highlight w:val="none"/>
          <w:lang w:val="en-US" w:eastAsia="zh-CN" w:bidi="ar"/>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注：产排污系数表中二氧化硫的产排污系数是以含硫量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的形式表示的，其中含硫量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是指燃气硫分含量，单位为毫克/立方米。例如燃料中含硫量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为200毫克/立方米，则S=200。</w:t>
      </w:r>
    </w:p>
    <w:p w14:paraId="10250156">
      <w:pPr>
        <w:pStyle w:val="1336"/>
        <w:numPr>
          <w:ilvl w:val="0"/>
          <w:numId w:val="0"/>
        </w:numPr>
        <w:ind w:leftChars="200"/>
        <w:rPr>
          <w:rFonts w:hint="eastAsia"/>
          <w:color w:val="auto"/>
          <w:highlight w:val="none"/>
          <w:lang w:val="en-US" w:eastAsia="zh-CN"/>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本项目天然气为2类天然气，根据《天然气》</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GB17820-2018</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可知2类天然气硫分为100。</w:t>
      </w:r>
    </w:p>
    <w:p w14:paraId="73449346">
      <w:pPr>
        <w:pStyle w:val="1336"/>
        <w:numPr>
          <w:ilvl w:val="0"/>
          <w:numId w:val="0"/>
        </w:numPr>
        <w:ind w:leftChars="200"/>
        <w:rPr>
          <w:rFonts w:hint="eastAsia"/>
          <w:color w:val="auto"/>
          <w:highlight w:val="none"/>
          <w:lang w:val="en-US" w:eastAsia="zh-CN"/>
        </w:rPr>
      </w:pPr>
      <w:r>
        <w:rPr>
          <w:rFonts w:hint="eastAsia"/>
          <w:color w:val="auto"/>
          <w:highlight w:val="none"/>
          <w:lang w:val="en-US" w:eastAsia="zh-CN"/>
        </w:rPr>
        <w:t>②固化炉燃烧废气</w:t>
      </w:r>
    </w:p>
    <w:p w14:paraId="3D9B4B0B">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color w:val="auto"/>
          <w:highlight w:val="none"/>
          <w:lang w:val="en-US" w:eastAsia="zh-CN"/>
        </w:rPr>
        <w:t>本项目</w:t>
      </w:r>
      <w:r>
        <w:rPr>
          <w:rFonts w:hint="eastAsia" w:ascii="宋体" w:hAnsi="宋体" w:eastAsia="宋体" w:cs="宋体"/>
          <w:color w:val="auto"/>
          <w:kern w:val="0"/>
          <w:sz w:val="24"/>
          <w:szCs w:val="24"/>
          <w:highlight w:val="none"/>
          <w:lang w:val="en-US" w:eastAsia="zh-CN" w:bidi="ar"/>
        </w:rPr>
        <w:t>油漆烘干室拟设置</w:t>
      </w:r>
      <w:r>
        <w:rPr>
          <w:rFonts w:hint="default" w:ascii="Times New Roman" w:hAnsi="Times New Roman" w:eastAsia="宋体" w:cs="Times New Roman"/>
          <w:color w:val="auto"/>
          <w:kern w:val="0"/>
          <w:sz w:val="24"/>
          <w:szCs w:val="24"/>
          <w:highlight w:val="none"/>
          <w:lang w:val="en-US" w:eastAsia="zh-CN" w:bidi="ar"/>
        </w:rPr>
        <w:t>1台</w:t>
      </w:r>
      <w:r>
        <w:rPr>
          <w:rFonts w:hint="eastAsia" w:ascii="宋体" w:hAnsi="宋体" w:eastAsia="宋体" w:cs="宋体"/>
          <w:color w:val="auto"/>
          <w:kern w:val="0"/>
          <w:sz w:val="24"/>
          <w:szCs w:val="24"/>
          <w:highlight w:val="none"/>
          <w:lang w:val="en-US" w:eastAsia="zh-CN" w:bidi="ar"/>
        </w:rPr>
        <w:t>固化炉进行加热</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固化炉</w:t>
      </w:r>
      <w:r>
        <w:rPr>
          <w:rFonts w:hint="eastAsia" w:ascii="Times New Roman" w:hAnsi="Times New Roman" w:eastAsia="宋体" w:cs="Times New Roman"/>
          <w:color w:val="auto"/>
          <w:highlight w:val="none"/>
          <w:lang w:val="en-US" w:eastAsia="zh-CN"/>
        </w:rPr>
        <w:t>运行时间为</w:t>
      </w:r>
      <w:r>
        <w:rPr>
          <w:rFonts w:hint="eastAsia" w:cs="Times New Roman"/>
          <w:color w:val="auto"/>
          <w:highlight w:val="none"/>
          <w:lang w:val="en-US" w:eastAsia="zh-CN"/>
        </w:rPr>
        <w:t>66</w:t>
      </w:r>
      <w:r>
        <w:rPr>
          <w:rFonts w:hint="eastAsia" w:ascii="Times New Roman" w:hAnsi="Times New Roman" w:eastAsia="宋体" w:cs="Times New Roman"/>
          <w:color w:val="auto"/>
          <w:highlight w:val="none"/>
          <w:lang w:val="en-US" w:eastAsia="zh-CN"/>
        </w:rPr>
        <w:t>00h/a，</w:t>
      </w:r>
      <w:r>
        <w:rPr>
          <w:rFonts w:hint="eastAsia" w:ascii="宋体" w:hAnsi="宋体" w:eastAsia="宋体" w:cs="宋体"/>
          <w:color w:val="auto"/>
          <w:kern w:val="0"/>
          <w:sz w:val="24"/>
          <w:szCs w:val="24"/>
          <w:highlight w:val="none"/>
          <w:lang w:val="en-US" w:eastAsia="zh-CN" w:bidi="ar"/>
        </w:rPr>
        <w:t>采用低氮燃烧，油漆烘</w:t>
      </w:r>
      <w:r>
        <w:rPr>
          <w:rFonts w:hint="default" w:ascii="Times New Roman" w:hAnsi="Times New Roman" w:eastAsia="宋体" w:cs="Times New Roman"/>
          <w:color w:val="auto"/>
          <w:kern w:val="0"/>
          <w:sz w:val="24"/>
          <w:szCs w:val="24"/>
          <w:highlight w:val="none"/>
          <w:lang w:val="en-US" w:eastAsia="zh-CN" w:bidi="ar"/>
        </w:rPr>
        <w:t>干室需要</w:t>
      </w:r>
      <w:r>
        <w:rPr>
          <w:rFonts w:hint="eastAsia" w:cs="Times New Roman"/>
          <w:color w:val="auto"/>
          <w:kern w:val="0"/>
          <w:sz w:val="24"/>
          <w:szCs w:val="24"/>
          <w:highlight w:val="none"/>
          <w:lang w:val="en-US" w:eastAsia="zh-CN" w:bidi="ar"/>
        </w:rPr>
        <w:t>16.5</w:t>
      </w:r>
      <w:r>
        <w:rPr>
          <w:rFonts w:hint="default" w:ascii="Times New Roman" w:hAnsi="Times New Roman" w:eastAsia="宋体" w:cs="Times New Roman"/>
          <w:color w:val="auto"/>
          <w:kern w:val="0"/>
          <w:sz w:val="24"/>
          <w:szCs w:val="24"/>
          <w:highlight w:val="none"/>
          <w:lang w:val="en-US" w:eastAsia="zh-CN" w:bidi="ar"/>
        </w:rPr>
        <w:t>万m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/a天然</w:t>
      </w:r>
      <w:r>
        <w:rPr>
          <w:rFonts w:hint="eastAsia" w:ascii="宋体" w:hAnsi="宋体" w:eastAsia="宋体" w:cs="宋体"/>
          <w:color w:val="auto"/>
          <w:kern w:val="0"/>
          <w:sz w:val="24"/>
          <w:szCs w:val="24"/>
          <w:highlight w:val="none"/>
          <w:lang w:val="en-US" w:eastAsia="zh-CN" w:bidi="ar"/>
        </w:rPr>
        <w:t>气。</w:t>
      </w:r>
      <w:r>
        <w:rPr>
          <w:rFonts w:hint="eastAsia" w:ascii="Times New Roman" w:hAnsi="Times New Roman" w:eastAsia="宋体" w:cs="Times New Roman"/>
          <w:color w:val="auto"/>
          <w:highlight w:val="none"/>
          <w:lang w:val="en-US" w:eastAsia="zh-CN"/>
        </w:rPr>
        <w:t>经参考</w:t>
      </w:r>
      <w:r>
        <w:rPr>
          <w:rFonts w:hint="eastAsia" w:cs="Times New Roman"/>
          <w:color w:val="auto"/>
          <w:highlight w:val="none"/>
          <w:lang w:val="en-US" w:eastAsia="zh-CN"/>
        </w:rPr>
        <w:t>《排污许可证申请与核发技术规范 汽车制造业》（HJ 971-2026，自2027年1月1日起实施）</w:t>
      </w:r>
      <w:r>
        <w:rPr>
          <w:rFonts w:hint="eastAsia" w:ascii="Times New Roman" w:hAnsi="Times New Roman" w:eastAsia="宋体" w:cs="Times New Roman"/>
          <w:color w:val="auto"/>
          <w:highlight w:val="none"/>
          <w:lang w:val="en-US" w:eastAsia="zh-CN"/>
        </w:rPr>
        <w:t>中，SO</w:t>
      </w:r>
      <w:r>
        <w:rPr>
          <w:rFonts w:hint="eastAsia" w:ascii="Times New Roman" w:hAnsi="Times New Roman" w:eastAsia="宋体" w:cs="Times New Roman"/>
          <w:color w:val="auto"/>
          <w:highlight w:val="none"/>
          <w:vertAlign w:val="subscript"/>
          <w:lang w:val="en-US" w:eastAsia="zh-CN"/>
        </w:rPr>
        <w:t>2</w:t>
      </w:r>
      <w:r>
        <w:rPr>
          <w:rFonts w:hint="eastAsia" w:ascii="Times New Roman" w:hAnsi="Times New Roman" w:eastAsia="宋体" w:cs="Times New Roman"/>
          <w:color w:val="auto"/>
          <w:highlight w:val="none"/>
          <w:lang w:val="en-US" w:eastAsia="zh-CN"/>
        </w:rPr>
        <w:t>、NOx、颗粒物中</w:t>
      </w:r>
      <w:r>
        <w:rPr>
          <w:rFonts w:hint="default" w:ascii="Times New Roman" w:hAnsi="Times New Roman" w:eastAsia="宋体" w:cs="Times New Roman"/>
          <w:color w:val="auto"/>
          <w:highlight w:val="none"/>
          <w:lang w:val="en-US" w:eastAsia="zh-CN"/>
        </w:rPr>
        <w:t>进行计算</w:t>
      </w:r>
      <w:r>
        <w:rPr>
          <w:rFonts w:hint="eastAsia" w:ascii="Times New Roman" w:hAnsi="Times New Roman" w:eastAsia="宋体" w:cs="Times New Roman"/>
          <w:color w:val="auto"/>
          <w:highlight w:val="none"/>
          <w:lang w:val="en-US" w:eastAsia="zh-CN"/>
        </w:rPr>
        <w:t>，项目热洁炉燃烧废气产污见下表。</w:t>
      </w:r>
    </w:p>
    <w:p w14:paraId="675775F5">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 xml:space="preserve">  本项目固化炉燃烧废气污染源源强计算结果</w:t>
      </w:r>
    </w:p>
    <w:tbl>
      <w:tblPr>
        <w:tblStyle w:val="80"/>
        <w:tblW w:w="4941"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670"/>
        <w:gridCol w:w="1386"/>
        <w:gridCol w:w="2202"/>
        <w:gridCol w:w="1163"/>
        <w:gridCol w:w="1163"/>
        <w:gridCol w:w="1085"/>
        <w:gridCol w:w="811"/>
      </w:tblGrid>
      <w:tr w14:paraId="317AD0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70C459D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工艺名称</w:t>
            </w:r>
          </w:p>
        </w:tc>
        <w:tc>
          <w:tcPr>
            <w:tcW w:w="365" w:type="pct"/>
            <w:vMerge w:val="restart"/>
            <w:tcBorders>
              <w:tl2br w:val="nil"/>
              <w:tr2bl w:val="nil"/>
            </w:tcBorders>
            <w:noWrap w:val="0"/>
            <w:vAlign w:val="center"/>
          </w:tcPr>
          <w:p w14:paraId="174BCA27">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规模等级</w:t>
            </w:r>
          </w:p>
        </w:tc>
        <w:tc>
          <w:tcPr>
            <w:tcW w:w="755" w:type="pct"/>
            <w:vMerge w:val="restart"/>
            <w:tcBorders>
              <w:tl2br w:val="nil"/>
              <w:tr2bl w:val="nil"/>
            </w:tcBorders>
            <w:noWrap w:val="0"/>
            <w:vAlign w:val="center"/>
          </w:tcPr>
          <w:p w14:paraId="012C378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污染物指标</w:t>
            </w:r>
          </w:p>
        </w:tc>
        <w:tc>
          <w:tcPr>
            <w:tcW w:w="1199" w:type="pct"/>
            <w:vMerge w:val="restart"/>
            <w:tcBorders>
              <w:tl2br w:val="nil"/>
              <w:tr2bl w:val="nil"/>
            </w:tcBorders>
            <w:noWrap w:val="0"/>
            <w:vAlign w:val="center"/>
          </w:tcPr>
          <w:p w14:paraId="06B8CCE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c>
          <w:tcPr>
            <w:tcW w:w="633" w:type="pct"/>
            <w:vMerge w:val="restart"/>
            <w:tcBorders>
              <w:tl2br w:val="nil"/>
              <w:tr2bl w:val="nil"/>
            </w:tcBorders>
            <w:noWrap w:val="0"/>
            <w:vAlign w:val="center"/>
          </w:tcPr>
          <w:p w14:paraId="48ED493F">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产污/排污系数</w:t>
            </w:r>
          </w:p>
        </w:tc>
        <w:tc>
          <w:tcPr>
            <w:tcW w:w="633" w:type="pct"/>
            <w:vMerge w:val="restart"/>
            <w:tcBorders>
              <w:tl2br w:val="nil"/>
              <w:tr2bl w:val="nil"/>
            </w:tcBorders>
            <w:noWrap w:val="0"/>
            <w:vAlign w:val="center"/>
          </w:tcPr>
          <w:p w14:paraId="25BF656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末端治理技术名称</w:t>
            </w:r>
          </w:p>
        </w:tc>
        <w:tc>
          <w:tcPr>
            <w:tcW w:w="1033" w:type="pct"/>
            <w:gridSpan w:val="2"/>
            <w:tcBorders>
              <w:tl2br w:val="nil"/>
              <w:tr2bl w:val="nil"/>
            </w:tcBorders>
            <w:noWrap w:val="0"/>
            <w:vAlign w:val="center"/>
          </w:tcPr>
          <w:p w14:paraId="6DDF490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产污情况</w:t>
            </w:r>
          </w:p>
        </w:tc>
      </w:tr>
      <w:tr w14:paraId="004169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1B1A7E5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4AF87898">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vMerge w:val="continue"/>
            <w:tcBorders>
              <w:tl2br w:val="nil"/>
              <w:tr2bl w:val="nil"/>
            </w:tcBorders>
            <w:noWrap w:val="0"/>
            <w:vAlign w:val="center"/>
          </w:tcPr>
          <w:p w14:paraId="0774EDD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1199" w:type="pct"/>
            <w:vMerge w:val="continue"/>
            <w:tcBorders>
              <w:tl2br w:val="nil"/>
              <w:tr2bl w:val="nil"/>
            </w:tcBorders>
            <w:noWrap w:val="0"/>
            <w:vAlign w:val="center"/>
          </w:tcPr>
          <w:p w14:paraId="071FD1C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5D7C28A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2FF4CF5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591" w:type="pct"/>
            <w:tcBorders>
              <w:tl2br w:val="nil"/>
              <w:tr2bl w:val="nil"/>
            </w:tcBorders>
            <w:noWrap w:val="0"/>
            <w:vAlign w:val="center"/>
          </w:tcPr>
          <w:p w14:paraId="33E3409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产生量</w:t>
            </w:r>
          </w:p>
        </w:tc>
        <w:tc>
          <w:tcPr>
            <w:tcW w:w="441" w:type="pct"/>
            <w:tcBorders>
              <w:tl2br w:val="nil"/>
              <w:tr2bl w:val="nil"/>
            </w:tcBorders>
            <w:noWrap w:val="0"/>
            <w:vAlign w:val="center"/>
          </w:tcPr>
          <w:p w14:paraId="49E8B6C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r>
      <w:tr w14:paraId="09FAE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3D2406D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天然气工业炉窑</w:t>
            </w:r>
          </w:p>
        </w:tc>
        <w:tc>
          <w:tcPr>
            <w:tcW w:w="365" w:type="pct"/>
            <w:vMerge w:val="restart"/>
            <w:tcBorders>
              <w:tl2br w:val="nil"/>
              <w:tr2bl w:val="nil"/>
            </w:tcBorders>
            <w:noWrap w:val="0"/>
            <w:vAlign w:val="center"/>
          </w:tcPr>
          <w:p w14:paraId="4198A96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所有规模</w:t>
            </w:r>
          </w:p>
        </w:tc>
        <w:tc>
          <w:tcPr>
            <w:tcW w:w="755" w:type="pct"/>
            <w:tcBorders>
              <w:tl2br w:val="nil"/>
              <w:tr2bl w:val="nil"/>
            </w:tcBorders>
            <w:noWrap w:val="0"/>
            <w:vAlign w:val="center"/>
          </w:tcPr>
          <w:p w14:paraId="2C744C8F">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工业废气量</w:t>
            </w:r>
          </w:p>
        </w:tc>
        <w:tc>
          <w:tcPr>
            <w:tcW w:w="1199" w:type="pct"/>
            <w:tcBorders>
              <w:tl2br w:val="nil"/>
              <w:tr2bl w:val="nil"/>
            </w:tcBorders>
            <w:noWrap w:val="0"/>
            <w:vAlign w:val="center"/>
          </w:tcPr>
          <w:p w14:paraId="0E85221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65BAEEA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13.6</w:t>
            </w:r>
          </w:p>
        </w:tc>
        <w:tc>
          <w:tcPr>
            <w:tcW w:w="633" w:type="pct"/>
            <w:tcBorders>
              <w:tl2br w:val="nil"/>
              <w:tr2bl w:val="nil"/>
            </w:tcBorders>
            <w:noWrap w:val="0"/>
            <w:vAlign w:val="center"/>
          </w:tcPr>
          <w:p w14:paraId="130F4AC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085" w:type="dxa"/>
            <w:tcBorders>
              <w:tl2br w:val="nil"/>
              <w:tr2bl w:val="nil"/>
            </w:tcBorders>
            <w:noWrap w:val="0"/>
            <w:vAlign w:val="center"/>
          </w:tcPr>
          <w:p w14:paraId="44AC9328">
            <w:pPr>
              <w:pStyle w:val="1405"/>
              <w:bidi w:val="0"/>
              <w:rPr>
                <w:rFonts w:hint="default"/>
                <w:color w:val="auto"/>
                <w:highlight w:val="none"/>
                <w:lang w:val="en-US" w:eastAsia="zh-CN"/>
              </w:rPr>
            </w:pPr>
            <w:r>
              <w:rPr>
                <w:rFonts w:hint="default"/>
                <w:color w:val="auto"/>
                <w:highlight w:val="none"/>
                <w:lang w:val="en-US" w:eastAsia="zh-CN"/>
              </w:rPr>
              <w:t>224.4</w:t>
            </w:r>
          </w:p>
        </w:tc>
        <w:tc>
          <w:tcPr>
            <w:tcW w:w="441" w:type="pct"/>
            <w:tcBorders>
              <w:tl2br w:val="nil"/>
              <w:tr2bl w:val="nil"/>
            </w:tcBorders>
            <w:noWrap w:val="0"/>
            <w:vAlign w:val="center"/>
          </w:tcPr>
          <w:p w14:paraId="5BFE63B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万</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m</w:t>
            </w:r>
            <w:r>
              <w:rPr>
                <w:rFonts w:hint="default" w:ascii="Times New Roman Regular" w:hAnsi="Times New Roman Regular" w:eastAsia="宋体" w:cs="Times New Roman Regular"/>
                <w:color w:val="auto"/>
                <w:kern w:val="2"/>
                <w:sz w:val="21"/>
                <w:szCs w:val="21"/>
                <w:highlight w:val="none"/>
                <w:shd w:val="clear" w:color="auto" w:fill="auto"/>
                <w:vertAlign w:val="superscript"/>
                <w:lang w:val="en-US" w:eastAsia="zh-CN" w:bidi="ar-SA"/>
              </w:rPr>
              <w:t>3</w:t>
            </w:r>
          </w:p>
        </w:tc>
      </w:tr>
      <w:tr w14:paraId="6431F3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56DF200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7E85E6DF">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781252D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二氧化硫</w:t>
            </w:r>
          </w:p>
        </w:tc>
        <w:tc>
          <w:tcPr>
            <w:tcW w:w="1199" w:type="pct"/>
            <w:tcBorders>
              <w:tl2br w:val="nil"/>
              <w:tr2bl w:val="nil"/>
            </w:tcBorders>
            <w:noWrap w:val="0"/>
            <w:vAlign w:val="center"/>
          </w:tcPr>
          <w:p w14:paraId="2A01D37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71CADFE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0.000002S</w:t>
            </w:r>
          </w:p>
        </w:tc>
        <w:tc>
          <w:tcPr>
            <w:tcW w:w="633" w:type="pct"/>
            <w:tcBorders>
              <w:tl2br w:val="nil"/>
              <w:tr2bl w:val="nil"/>
            </w:tcBorders>
            <w:noWrap w:val="0"/>
            <w:vAlign w:val="center"/>
          </w:tcPr>
          <w:p w14:paraId="52A5F18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085" w:type="dxa"/>
            <w:tcBorders>
              <w:tl2br w:val="nil"/>
              <w:tr2bl w:val="nil"/>
            </w:tcBorders>
            <w:noWrap w:val="0"/>
            <w:vAlign w:val="top"/>
          </w:tcPr>
          <w:p w14:paraId="5898A158">
            <w:pPr>
              <w:pStyle w:val="1405"/>
              <w:bidi w:val="0"/>
              <w:rPr>
                <w:rFonts w:hint="default"/>
                <w:color w:val="auto"/>
                <w:highlight w:val="none"/>
                <w:lang w:val="en-US" w:eastAsia="zh-CN"/>
              </w:rPr>
            </w:pPr>
            <w:r>
              <w:rPr>
                <w:rFonts w:hint="default"/>
                <w:color w:val="auto"/>
                <w:highlight w:val="none"/>
                <w:lang w:val="en-US" w:eastAsia="zh-CN"/>
              </w:rPr>
              <w:t>0.033</w:t>
            </w:r>
          </w:p>
        </w:tc>
        <w:tc>
          <w:tcPr>
            <w:tcW w:w="441" w:type="pct"/>
            <w:tcBorders>
              <w:tl2br w:val="nil"/>
              <w:tr2bl w:val="nil"/>
            </w:tcBorders>
            <w:noWrap w:val="0"/>
            <w:vAlign w:val="center"/>
          </w:tcPr>
          <w:p w14:paraId="7B9E06D7">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4346E4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7A782DC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636137A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1BB66A4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颗粒物</w:t>
            </w:r>
          </w:p>
        </w:tc>
        <w:tc>
          <w:tcPr>
            <w:tcW w:w="1199" w:type="pct"/>
            <w:tcBorders>
              <w:tl2br w:val="nil"/>
              <w:tr2bl w:val="nil"/>
            </w:tcBorders>
            <w:noWrap w:val="0"/>
            <w:vAlign w:val="center"/>
          </w:tcPr>
          <w:p w14:paraId="6065972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3AAF920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0.000286</w:t>
            </w:r>
          </w:p>
        </w:tc>
        <w:tc>
          <w:tcPr>
            <w:tcW w:w="633" w:type="pct"/>
            <w:tcBorders>
              <w:tl2br w:val="nil"/>
              <w:tr2bl w:val="nil"/>
            </w:tcBorders>
            <w:noWrap w:val="0"/>
            <w:vAlign w:val="center"/>
          </w:tcPr>
          <w:p w14:paraId="5906191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085" w:type="dxa"/>
            <w:tcBorders>
              <w:tl2br w:val="nil"/>
              <w:tr2bl w:val="nil"/>
            </w:tcBorders>
            <w:noWrap w:val="0"/>
            <w:vAlign w:val="top"/>
          </w:tcPr>
          <w:p w14:paraId="47FEF58B">
            <w:pPr>
              <w:pStyle w:val="1405"/>
              <w:bidi w:val="0"/>
              <w:rPr>
                <w:rFonts w:hint="default"/>
                <w:color w:val="auto"/>
                <w:highlight w:val="none"/>
                <w:lang w:val="en-US" w:eastAsia="zh-CN"/>
              </w:rPr>
            </w:pPr>
            <w:r>
              <w:rPr>
                <w:rFonts w:hint="default"/>
                <w:color w:val="auto"/>
                <w:highlight w:val="none"/>
                <w:lang w:val="en-US" w:eastAsia="zh-CN"/>
              </w:rPr>
              <w:t>0.04719</w:t>
            </w:r>
          </w:p>
        </w:tc>
        <w:tc>
          <w:tcPr>
            <w:tcW w:w="441" w:type="pct"/>
            <w:tcBorders>
              <w:tl2br w:val="nil"/>
              <w:tr2bl w:val="nil"/>
            </w:tcBorders>
            <w:noWrap w:val="0"/>
            <w:vAlign w:val="center"/>
          </w:tcPr>
          <w:p w14:paraId="3F8FA5E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415B49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7EB326B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3A9EF71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6531F158">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氮氧化物</w:t>
            </w:r>
          </w:p>
        </w:tc>
        <w:tc>
          <w:tcPr>
            <w:tcW w:w="1199" w:type="pct"/>
            <w:tcBorders>
              <w:tl2br w:val="nil"/>
              <w:tr2bl w:val="nil"/>
            </w:tcBorders>
            <w:noWrap w:val="0"/>
            <w:vAlign w:val="center"/>
          </w:tcPr>
          <w:p w14:paraId="39A44C8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shd w:val="clear" w:color="auto" w:fill="auto"/>
            <w:noWrap w:val="0"/>
            <w:vAlign w:val="center"/>
          </w:tcPr>
          <w:p w14:paraId="0FF96F0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0.00187</w:t>
            </w:r>
          </w:p>
        </w:tc>
        <w:tc>
          <w:tcPr>
            <w:tcW w:w="633" w:type="pct"/>
            <w:tcBorders>
              <w:tl2br w:val="nil"/>
              <w:tr2bl w:val="nil"/>
            </w:tcBorders>
            <w:shd w:val="clear" w:color="auto" w:fill="auto"/>
            <w:noWrap w:val="0"/>
            <w:vAlign w:val="center"/>
          </w:tcPr>
          <w:p w14:paraId="1948B3E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085" w:type="dxa"/>
            <w:tcBorders>
              <w:tl2br w:val="nil"/>
              <w:tr2bl w:val="nil"/>
            </w:tcBorders>
            <w:shd w:val="clear" w:color="auto" w:fill="auto"/>
            <w:noWrap w:val="0"/>
            <w:vAlign w:val="center"/>
          </w:tcPr>
          <w:p w14:paraId="6018A769">
            <w:pPr>
              <w:pStyle w:val="1405"/>
              <w:bidi w:val="0"/>
              <w:rPr>
                <w:rFonts w:hint="default"/>
                <w:color w:val="auto"/>
                <w:highlight w:val="none"/>
                <w:lang w:val="en-US" w:eastAsia="zh-CN"/>
              </w:rPr>
            </w:pPr>
            <w:r>
              <w:rPr>
                <w:rFonts w:hint="default"/>
                <w:color w:val="auto"/>
                <w:highlight w:val="none"/>
                <w:lang w:val="en-US" w:eastAsia="zh-CN"/>
              </w:rPr>
              <w:t>0.30855</w:t>
            </w:r>
          </w:p>
        </w:tc>
        <w:tc>
          <w:tcPr>
            <w:tcW w:w="441" w:type="pct"/>
            <w:tcBorders>
              <w:tl2br w:val="nil"/>
              <w:tr2bl w:val="nil"/>
            </w:tcBorders>
            <w:shd w:val="clear" w:color="auto" w:fill="auto"/>
            <w:noWrap w:val="0"/>
            <w:vAlign w:val="center"/>
          </w:tcPr>
          <w:p w14:paraId="1E152858">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bl>
    <w:p w14:paraId="5336641A">
      <w:pPr>
        <w:keepNext w:val="0"/>
        <w:keepLines w:val="0"/>
        <w:widowControl/>
        <w:suppressLineNumbers w:val="0"/>
        <w:jc w:val="left"/>
        <w:textAlignment w:val="top"/>
        <w:rPr>
          <w:rStyle w:val="1431"/>
          <w:rFonts w:hint="default" w:ascii="Times New Roman" w:hAnsi="Times New Roman" w:eastAsia="宋体" w:cs="Times New Roman"/>
          <w:b w:val="0"/>
          <w:bCs w:val="0"/>
          <w:i w:val="0"/>
          <w:iCs w:val="0"/>
          <w:color w:val="auto"/>
          <w:sz w:val="21"/>
          <w:szCs w:val="21"/>
          <w:highlight w:val="none"/>
          <w:lang w:val="en-US" w:eastAsia="zh-CN" w:bidi="ar"/>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注：产排污系数表中二氧化硫的产排污系数是以含硫量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的形式表示的，其中含硫量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是指燃气硫分含量，单位为毫克/立方米。例如燃料中含硫量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为200毫克/立方米，则S=200。</w:t>
      </w:r>
    </w:p>
    <w:p w14:paraId="6ADD15C6">
      <w:pPr>
        <w:pStyle w:val="1336"/>
        <w:numPr>
          <w:ilvl w:val="0"/>
          <w:numId w:val="0"/>
        </w:numPr>
        <w:ind w:leftChars="200"/>
        <w:rPr>
          <w:rStyle w:val="1431"/>
          <w:rFonts w:hint="default" w:ascii="Times New Roman" w:hAnsi="Times New Roman" w:eastAsia="宋体" w:cs="Times New Roman"/>
          <w:b w:val="0"/>
          <w:bCs w:val="0"/>
          <w:i w:val="0"/>
          <w:iCs w:val="0"/>
          <w:color w:val="auto"/>
          <w:sz w:val="21"/>
          <w:szCs w:val="21"/>
          <w:highlight w:val="none"/>
          <w:lang w:val="en-US" w:eastAsia="zh-CN" w:bidi="ar"/>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本项目天然气为2类天然气，根据《天然气》</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GB17820-2018</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可知2类天然气硫分为100。</w:t>
      </w:r>
    </w:p>
    <w:p w14:paraId="4B6AC2A4">
      <w:pPr>
        <w:pStyle w:val="1336"/>
        <w:numPr>
          <w:ilvl w:val="0"/>
          <w:numId w:val="0"/>
        </w:numPr>
        <w:ind w:leftChars="200"/>
        <w:rPr>
          <w:rFonts w:hint="eastAsia"/>
          <w:color w:val="auto"/>
          <w:highlight w:val="none"/>
          <w:lang w:val="en-US" w:eastAsia="zh-CN"/>
        </w:rPr>
      </w:pPr>
      <w:r>
        <w:rPr>
          <w:rFonts w:hint="eastAsia"/>
          <w:color w:val="auto"/>
          <w:highlight w:val="none"/>
          <w:lang w:val="en-US" w:eastAsia="zh-CN"/>
        </w:rPr>
        <w:t>③热洁炉燃烧废气</w:t>
      </w:r>
    </w:p>
    <w:p w14:paraId="699F2DCF">
      <w:pPr>
        <w:pStyle w:val="1336"/>
        <w:ind w:firstLine="480"/>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本项目采用热洁炉焚烧处置</w:t>
      </w:r>
      <w:r>
        <w:rPr>
          <w:rFonts w:hint="eastAsia" w:cs="Times New Roman"/>
          <w:color w:val="auto"/>
          <w:highlight w:val="none"/>
          <w:lang w:val="en-US" w:eastAsia="zh-CN"/>
        </w:rPr>
        <w:t>挂具</w:t>
      </w:r>
      <w:r>
        <w:rPr>
          <w:rFonts w:hint="default" w:ascii="Times New Roman" w:hAnsi="Times New Roman" w:eastAsia="宋体" w:cs="Times New Roman"/>
          <w:color w:val="auto"/>
          <w:highlight w:val="none"/>
          <w:lang w:val="en-US" w:eastAsia="zh-CN"/>
        </w:rPr>
        <w:t>沾染的漆料</w:t>
      </w:r>
      <w:r>
        <w:rPr>
          <w:rFonts w:hint="eastAsia" w:ascii="Times New Roman" w:hAnsi="Times New Roman" w:eastAsia="宋体" w:cs="Times New Roman"/>
          <w:color w:val="auto"/>
          <w:highlight w:val="none"/>
          <w:lang w:val="en-US" w:eastAsia="zh-CN"/>
        </w:rPr>
        <w:t>，采用低氮燃烧，需要1080m</w:t>
      </w:r>
      <w:r>
        <w:rPr>
          <w:rFonts w:hint="eastAsia"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/a天然气。每月使用3次，每次2小时，则运行时间为</w:t>
      </w:r>
      <w:r>
        <w:rPr>
          <w:rFonts w:hint="eastAsia" w:cs="Times New Roman"/>
          <w:color w:val="auto"/>
          <w:highlight w:val="none"/>
          <w:lang w:val="en-US" w:eastAsia="zh-CN"/>
        </w:rPr>
        <w:t>72</w:t>
      </w:r>
      <w:r>
        <w:rPr>
          <w:rFonts w:hint="eastAsia" w:ascii="Times New Roman" w:hAnsi="Times New Roman" w:eastAsia="宋体" w:cs="Times New Roman"/>
          <w:color w:val="auto"/>
          <w:highlight w:val="none"/>
          <w:lang w:val="en-US" w:eastAsia="zh-CN"/>
        </w:rPr>
        <w:t>h/a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经参考</w:t>
      </w:r>
      <w:r>
        <w:rPr>
          <w:rFonts w:hint="eastAsia" w:cs="Times New Roman"/>
          <w:color w:val="auto"/>
          <w:highlight w:val="none"/>
          <w:lang w:val="en-US" w:eastAsia="zh-CN"/>
        </w:rPr>
        <w:t>《排污许可证申请与核发技术规范 汽车制造业》（HJ 971-2026，自2027年1月1日起实施）</w:t>
      </w:r>
      <w:r>
        <w:rPr>
          <w:rFonts w:hint="eastAsia" w:ascii="Times New Roman" w:hAnsi="Times New Roman" w:eastAsia="宋体" w:cs="Times New Roman"/>
          <w:color w:val="auto"/>
          <w:highlight w:val="none"/>
          <w:lang w:val="en-US" w:eastAsia="zh-CN"/>
        </w:rPr>
        <w:t>中，SO</w:t>
      </w:r>
      <w:r>
        <w:rPr>
          <w:rFonts w:hint="eastAsia" w:ascii="Times New Roman" w:hAnsi="Times New Roman" w:eastAsia="宋体" w:cs="Times New Roman"/>
          <w:color w:val="auto"/>
          <w:highlight w:val="none"/>
          <w:vertAlign w:val="subscript"/>
          <w:lang w:val="en-US" w:eastAsia="zh-CN"/>
        </w:rPr>
        <w:t>2</w:t>
      </w:r>
      <w:r>
        <w:rPr>
          <w:rFonts w:hint="eastAsia" w:ascii="Times New Roman" w:hAnsi="Times New Roman" w:eastAsia="宋体" w:cs="Times New Roman"/>
          <w:color w:val="auto"/>
          <w:highlight w:val="none"/>
          <w:lang w:val="en-US" w:eastAsia="zh-CN"/>
        </w:rPr>
        <w:t>、NOx、颗粒物中</w:t>
      </w:r>
      <w:r>
        <w:rPr>
          <w:rFonts w:hint="default" w:ascii="Times New Roman" w:hAnsi="Times New Roman" w:eastAsia="宋体" w:cs="Times New Roman"/>
          <w:color w:val="auto"/>
          <w:highlight w:val="none"/>
          <w:lang w:val="en-US" w:eastAsia="zh-CN"/>
        </w:rPr>
        <w:t>进行计算</w:t>
      </w:r>
      <w:r>
        <w:rPr>
          <w:rFonts w:hint="eastAsia" w:ascii="Times New Roman" w:hAnsi="Times New Roman" w:eastAsia="宋体" w:cs="Times New Roman"/>
          <w:color w:val="auto"/>
          <w:highlight w:val="none"/>
          <w:lang w:val="en-US" w:eastAsia="zh-CN"/>
        </w:rPr>
        <w:t>，项目热洁炉燃烧废气产污见下表。</w:t>
      </w:r>
    </w:p>
    <w:p w14:paraId="57325396">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 xml:space="preserve">  本项目热洁炉燃烧废气污染源源强计算结果</w:t>
      </w:r>
    </w:p>
    <w:tbl>
      <w:tblPr>
        <w:tblStyle w:val="80"/>
        <w:tblW w:w="4941"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670"/>
        <w:gridCol w:w="1386"/>
        <w:gridCol w:w="2202"/>
        <w:gridCol w:w="1163"/>
        <w:gridCol w:w="1163"/>
        <w:gridCol w:w="1111"/>
        <w:gridCol w:w="785"/>
      </w:tblGrid>
      <w:tr w14:paraId="4F5B7A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24A43BA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工艺名称</w:t>
            </w:r>
          </w:p>
        </w:tc>
        <w:tc>
          <w:tcPr>
            <w:tcW w:w="365" w:type="pct"/>
            <w:vMerge w:val="restart"/>
            <w:tcBorders>
              <w:tl2br w:val="nil"/>
              <w:tr2bl w:val="nil"/>
            </w:tcBorders>
            <w:noWrap w:val="0"/>
            <w:vAlign w:val="center"/>
          </w:tcPr>
          <w:p w14:paraId="1E67B57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规模等级</w:t>
            </w:r>
          </w:p>
        </w:tc>
        <w:tc>
          <w:tcPr>
            <w:tcW w:w="755" w:type="pct"/>
            <w:vMerge w:val="restart"/>
            <w:tcBorders>
              <w:tl2br w:val="nil"/>
              <w:tr2bl w:val="nil"/>
            </w:tcBorders>
            <w:noWrap w:val="0"/>
            <w:vAlign w:val="center"/>
          </w:tcPr>
          <w:p w14:paraId="290050E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污染物指标</w:t>
            </w:r>
          </w:p>
        </w:tc>
        <w:tc>
          <w:tcPr>
            <w:tcW w:w="1199" w:type="pct"/>
            <w:vMerge w:val="restart"/>
            <w:tcBorders>
              <w:tl2br w:val="nil"/>
              <w:tr2bl w:val="nil"/>
            </w:tcBorders>
            <w:noWrap w:val="0"/>
            <w:vAlign w:val="center"/>
          </w:tcPr>
          <w:p w14:paraId="28E4F76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c>
          <w:tcPr>
            <w:tcW w:w="633" w:type="pct"/>
            <w:vMerge w:val="restart"/>
            <w:tcBorders>
              <w:tl2br w:val="nil"/>
              <w:tr2bl w:val="nil"/>
            </w:tcBorders>
            <w:noWrap w:val="0"/>
            <w:vAlign w:val="center"/>
          </w:tcPr>
          <w:p w14:paraId="620650A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产污/排污系数</w:t>
            </w:r>
          </w:p>
        </w:tc>
        <w:tc>
          <w:tcPr>
            <w:tcW w:w="633" w:type="pct"/>
            <w:vMerge w:val="restart"/>
            <w:tcBorders>
              <w:tl2br w:val="nil"/>
              <w:tr2bl w:val="nil"/>
            </w:tcBorders>
            <w:noWrap w:val="0"/>
            <w:vAlign w:val="center"/>
          </w:tcPr>
          <w:p w14:paraId="404416F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末端治理技术名称</w:t>
            </w:r>
          </w:p>
        </w:tc>
        <w:tc>
          <w:tcPr>
            <w:tcW w:w="1033" w:type="pct"/>
            <w:gridSpan w:val="2"/>
            <w:tcBorders>
              <w:tl2br w:val="nil"/>
              <w:tr2bl w:val="nil"/>
            </w:tcBorders>
            <w:noWrap w:val="0"/>
            <w:vAlign w:val="center"/>
          </w:tcPr>
          <w:p w14:paraId="749DC2F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产污情况</w:t>
            </w:r>
          </w:p>
        </w:tc>
      </w:tr>
      <w:tr w14:paraId="3016E3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212B8E4F">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568DA4D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vMerge w:val="continue"/>
            <w:tcBorders>
              <w:tl2br w:val="nil"/>
              <w:tr2bl w:val="nil"/>
            </w:tcBorders>
            <w:noWrap w:val="0"/>
            <w:vAlign w:val="center"/>
          </w:tcPr>
          <w:p w14:paraId="3DE202E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1199" w:type="pct"/>
            <w:vMerge w:val="continue"/>
            <w:tcBorders>
              <w:tl2br w:val="nil"/>
              <w:tr2bl w:val="nil"/>
            </w:tcBorders>
            <w:noWrap w:val="0"/>
            <w:vAlign w:val="center"/>
          </w:tcPr>
          <w:p w14:paraId="0C74202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0159D31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63BBB0B8">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05" w:type="pct"/>
            <w:tcBorders>
              <w:tl2br w:val="nil"/>
              <w:tr2bl w:val="nil"/>
            </w:tcBorders>
            <w:noWrap w:val="0"/>
            <w:vAlign w:val="center"/>
          </w:tcPr>
          <w:p w14:paraId="7D74B6C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产生量</w:t>
            </w:r>
          </w:p>
        </w:tc>
        <w:tc>
          <w:tcPr>
            <w:tcW w:w="427" w:type="pct"/>
            <w:tcBorders>
              <w:tl2br w:val="nil"/>
              <w:tr2bl w:val="nil"/>
            </w:tcBorders>
            <w:noWrap w:val="0"/>
            <w:vAlign w:val="center"/>
          </w:tcPr>
          <w:p w14:paraId="2B5D5BC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r>
      <w:tr w14:paraId="16AEEE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6DA526A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天然气工业炉窑</w:t>
            </w:r>
          </w:p>
        </w:tc>
        <w:tc>
          <w:tcPr>
            <w:tcW w:w="365" w:type="pct"/>
            <w:vMerge w:val="restart"/>
            <w:tcBorders>
              <w:tl2br w:val="nil"/>
              <w:tr2bl w:val="nil"/>
            </w:tcBorders>
            <w:noWrap w:val="0"/>
            <w:vAlign w:val="center"/>
          </w:tcPr>
          <w:p w14:paraId="220C93F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所有规模</w:t>
            </w:r>
          </w:p>
        </w:tc>
        <w:tc>
          <w:tcPr>
            <w:tcW w:w="755" w:type="pct"/>
            <w:tcBorders>
              <w:tl2br w:val="nil"/>
              <w:tr2bl w:val="nil"/>
            </w:tcBorders>
            <w:noWrap w:val="0"/>
            <w:vAlign w:val="center"/>
          </w:tcPr>
          <w:p w14:paraId="2D33785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工业废气量</w:t>
            </w:r>
          </w:p>
        </w:tc>
        <w:tc>
          <w:tcPr>
            <w:tcW w:w="1199" w:type="pct"/>
            <w:tcBorders>
              <w:tl2br w:val="nil"/>
              <w:tr2bl w:val="nil"/>
            </w:tcBorders>
            <w:noWrap w:val="0"/>
            <w:vAlign w:val="center"/>
          </w:tcPr>
          <w:p w14:paraId="2B5803A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014E205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13.6</w:t>
            </w:r>
          </w:p>
        </w:tc>
        <w:tc>
          <w:tcPr>
            <w:tcW w:w="633" w:type="pct"/>
            <w:tcBorders>
              <w:tl2br w:val="nil"/>
              <w:tr2bl w:val="nil"/>
            </w:tcBorders>
            <w:noWrap w:val="0"/>
            <w:vAlign w:val="center"/>
          </w:tcPr>
          <w:p w14:paraId="24C74DF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605" w:type="pct"/>
            <w:tcBorders>
              <w:tl2br w:val="nil"/>
              <w:tr2bl w:val="nil"/>
            </w:tcBorders>
            <w:noWrap w:val="0"/>
            <w:vAlign w:val="center"/>
          </w:tcPr>
          <w:p w14:paraId="28A204F7">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1.4688</w:t>
            </w:r>
          </w:p>
        </w:tc>
        <w:tc>
          <w:tcPr>
            <w:tcW w:w="427" w:type="pct"/>
            <w:tcBorders>
              <w:tl2br w:val="nil"/>
              <w:tr2bl w:val="nil"/>
            </w:tcBorders>
            <w:noWrap w:val="0"/>
            <w:vAlign w:val="center"/>
          </w:tcPr>
          <w:p w14:paraId="66A717B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万</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m</w:t>
            </w:r>
            <w:r>
              <w:rPr>
                <w:rFonts w:hint="default" w:ascii="Times New Roman Regular" w:hAnsi="Times New Roman Regular" w:eastAsia="宋体" w:cs="Times New Roman Regular"/>
                <w:color w:val="auto"/>
                <w:kern w:val="2"/>
                <w:sz w:val="21"/>
                <w:szCs w:val="21"/>
                <w:highlight w:val="none"/>
                <w:shd w:val="clear" w:color="auto" w:fill="auto"/>
                <w:vertAlign w:val="superscript"/>
                <w:lang w:val="en-US" w:eastAsia="zh-CN" w:bidi="ar-SA"/>
              </w:rPr>
              <w:t>3</w:t>
            </w:r>
          </w:p>
        </w:tc>
      </w:tr>
      <w:tr w14:paraId="760168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049C8AB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170C5B8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1384F53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二氧化硫</w:t>
            </w:r>
          </w:p>
        </w:tc>
        <w:tc>
          <w:tcPr>
            <w:tcW w:w="1199" w:type="pct"/>
            <w:tcBorders>
              <w:tl2br w:val="nil"/>
              <w:tr2bl w:val="nil"/>
            </w:tcBorders>
            <w:noWrap w:val="0"/>
            <w:vAlign w:val="center"/>
          </w:tcPr>
          <w:p w14:paraId="662A6F6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316B7057">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0.000002S</w:t>
            </w:r>
          </w:p>
        </w:tc>
        <w:tc>
          <w:tcPr>
            <w:tcW w:w="633" w:type="pct"/>
            <w:tcBorders>
              <w:tl2br w:val="nil"/>
              <w:tr2bl w:val="nil"/>
            </w:tcBorders>
            <w:noWrap w:val="0"/>
            <w:vAlign w:val="center"/>
          </w:tcPr>
          <w:p w14:paraId="19BC193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noWrap w:val="0"/>
            <w:vAlign w:val="top"/>
          </w:tcPr>
          <w:p w14:paraId="00B9148B">
            <w:pPr>
              <w:pStyle w:val="1405"/>
              <w:bidi w:val="0"/>
              <w:ind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color w:val="auto"/>
                <w:highlight w:val="none"/>
                <w:lang w:val="en-US" w:eastAsia="zh-CN"/>
              </w:rPr>
              <w:t>0.0002</w:t>
            </w:r>
          </w:p>
        </w:tc>
        <w:tc>
          <w:tcPr>
            <w:tcW w:w="427" w:type="pct"/>
            <w:tcBorders>
              <w:tl2br w:val="nil"/>
              <w:tr2bl w:val="nil"/>
            </w:tcBorders>
            <w:noWrap w:val="0"/>
            <w:vAlign w:val="center"/>
          </w:tcPr>
          <w:p w14:paraId="47355AF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186754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6FB5B15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6E03B7C7">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643334E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颗粒物</w:t>
            </w:r>
          </w:p>
        </w:tc>
        <w:tc>
          <w:tcPr>
            <w:tcW w:w="1199" w:type="pct"/>
            <w:tcBorders>
              <w:tl2br w:val="nil"/>
              <w:tr2bl w:val="nil"/>
            </w:tcBorders>
            <w:noWrap w:val="0"/>
            <w:vAlign w:val="center"/>
          </w:tcPr>
          <w:p w14:paraId="042D18B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54170C4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0.000286</w:t>
            </w:r>
          </w:p>
        </w:tc>
        <w:tc>
          <w:tcPr>
            <w:tcW w:w="633" w:type="pct"/>
            <w:tcBorders>
              <w:tl2br w:val="nil"/>
              <w:tr2bl w:val="nil"/>
            </w:tcBorders>
            <w:noWrap w:val="0"/>
            <w:vAlign w:val="center"/>
          </w:tcPr>
          <w:p w14:paraId="5AA108F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noWrap w:val="0"/>
            <w:vAlign w:val="top"/>
          </w:tcPr>
          <w:p w14:paraId="25DEA22E">
            <w:pPr>
              <w:pStyle w:val="1405"/>
              <w:bidi w:val="0"/>
              <w:ind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color w:val="auto"/>
                <w:highlight w:val="none"/>
                <w:lang w:val="en-US" w:eastAsia="zh-CN"/>
              </w:rPr>
              <w:t>0.0003</w:t>
            </w:r>
          </w:p>
        </w:tc>
        <w:tc>
          <w:tcPr>
            <w:tcW w:w="427" w:type="pct"/>
            <w:tcBorders>
              <w:tl2br w:val="nil"/>
              <w:tr2bl w:val="nil"/>
            </w:tcBorders>
            <w:noWrap w:val="0"/>
            <w:vAlign w:val="center"/>
          </w:tcPr>
          <w:p w14:paraId="299B3E2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60D4CF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06FBC66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4840C28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35B74C4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氮氧化物</w:t>
            </w:r>
          </w:p>
        </w:tc>
        <w:tc>
          <w:tcPr>
            <w:tcW w:w="1199" w:type="pct"/>
            <w:tcBorders>
              <w:tl2br w:val="nil"/>
              <w:tr2bl w:val="nil"/>
            </w:tcBorders>
            <w:noWrap w:val="0"/>
            <w:vAlign w:val="center"/>
          </w:tcPr>
          <w:p w14:paraId="0AA6335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shd w:val="clear" w:color="auto" w:fill="auto"/>
            <w:noWrap w:val="0"/>
            <w:vAlign w:val="center"/>
          </w:tcPr>
          <w:p w14:paraId="29EEEAE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0.00187</w:t>
            </w:r>
          </w:p>
        </w:tc>
        <w:tc>
          <w:tcPr>
            <w:tcW w:w="633" w:type="pct"/>
            <w:tcBorders>
              <w:tl2br w:val="nil"/>
              <w:tr2bl w:val="nil"/>
            </w:tcBorders>
            <w:shd w:val="clear" w:color="auto" w:fill="auto"/>
            <w:noWrap w:val="0"/>
            <w:vAlign w:val="center"/>
          </w:tcPr>
          <w:p w14:paraId="071974D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shd w:val="clear" w:color="auto" w:fill="auto"/>
            <w:noWrap w:val="0"/>
            <w:vAlign w:val="center"/>
          </w:tcPr>
          <w:p w14:paraId="57BD53B4">
            <w:pPr>
              <w:pStyle w:val="1405"/>
              <w:bidi w:val="0"/>
              <w:ind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color w:val="auto"/>
                <w:highlight w:val="none"/>
                <w:lang w:val="en-US" w:eastAsia="zh-CN"/>
              </w:rPr>
              <w:t>0.0020</w:t>
            </w:r>
          </w:p>
        </w:tc>
        <w:tc>
          <w:tcPr>
            <w:tcW w:w="427" w:type="pct"/>
            <w:tcBorders>
              <w:tl2br w:val="nil"/>
              <w:tr2bl w:val="nil"/>
            </w:tcBorders>
            <w:shd w:val="clear" w:color="auto" w:fill="auto"/>
            <w:noWrap w:val="0"/>
            <w:vAlign w:val="center"/>
          </w:tcPr>
          <w:p w14:paraId="528F36D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bl>
    <w:p w14:paraId="03B83E7C">
      <w:pPr>
        <w:keepNext w:val="0"/>
        <w:keepLines w:val="0"/>
        <w:widowControl/>
        <w:suppressLineNumbers w:val="0"/>
        <w:jc w:val="left"/>
        <w:textAlignment w:val="top"/>
        <w:rPr>
          <w:rStyle w:val="1431"/>
          <w:rFonts w:hint="default" w:ascii="Times New Roman" w:hAnsi="Times New Roman" w:eastAsia="宋体" w:cs="Times New Roman"/>
          <w:b w:val="0"/>
          <w:bCs w:val="0"/>
          <w:i w:val="0"/>
          <w:iCs w:val="0"/>
          <w:color w:val="auto"/>
          <w:sz w:val="21"/>
          <w:szCs w:val="21"/>
          <w:highlight w:val="none"/>
          <w:lang w:val="en-US" w:eastAsia="zh-CN" w:bidi="ar"/>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注：产排污系数表中二氧化硫的产排污系数是以含硫量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的形式表示的，其中含硫量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是指燃气硫分含量，单位为毫克/立方米。例如燃料中含硫量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为200毫克/立方米，则S=200。</w:t>
      </w:r>
    </w:p>
    <w:p w14:paraId="445C3685">
      <w:pPr>
        <w:pStyle w:val="1336"/>
        <w:numPr>
          <w:ilvl w:val="0"/>
          <w:numId w:val="0"/>
        </w:numPr>
        <w:ind w:leftChars="200"/>
        <w:rPr>
          <w:rFonts w:hint="eastAsia"/>
          <w:color w:val="auto"/>
          <w:highlight w:val="none"/>
          <w:lang w:val="en-US" w:eastAsia="zh-CN"/>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本项目天然气为2类天然气，根据《天然气》</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GB17820-2018</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可知2类天然气硫分为100。</w:t>
      </w:r>
    </w:p>
    <w:p w14:paraId="3C732BA4">
      <w:pPr>
        <w:pStyle w:val="1336"/>
        <w:numPr>
          <w:ilvl w:val="0"/>
          <w:numId w:val="0"/>
        </w:numPr>
        <w:ind w:leftChars="200"/>
        <w:rPr>
          <w:rFonts w:hint="default"/>
          <w:color w:val="auto"/>
          <w:highlight w:val="none"/>
          <w:lang w:val="en-US" w:eastAsia="zh-CN"/>
        </w:rPr>
      </w:pPr>
      <w:r>
        <w:rPr>
          <w:rFonts w:hint="eastAsia"/>
          <w:color w:val="auto"/>
          <w:highlight w:val="none"/>
          <w:lang w:val="en-US" w:eastAsia="zh-CN"/>
        </w:rPr>
        <w:t>④RTO燃烧废气</w:t>
      </w:r>
    </w:p>
    <w:p w14:paraId="440226FB">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NO生成途径主要有三种：快速型NO、热力型NO和燃料型NO</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快速型NO是火焰边缘形成的NO</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快速型由于生成量很少，一般不考虑；热力型NO生成跟温度有密切关系，当燃烧温度低于1000℃时，几乎没有NOx生成，当温度高于1600</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后，NOx生成量按指数规律迅速增加，本项目RTO蓄热式焚烧炉工作温度约为</w:t>
      </w:r>
      <w:r>
        <w:rPr>
          <w:rFonts w:hint="default" w:ascii="Times New Roman" w:hAnsi="Times New Roman" w:eastAsia="宋体" w:cs="Times New Roman"/>
          <w:color w:val="auto"/>
          <w:highlight w:val="none"/>
          <w:lang w:val="en-US" w:eastAsia="zh-CN"/>
        </w:rPr>
        <w:t>800℃~850℃</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在此温度条件下，热力型NO生成少；燃料型NO、是燃料中含氮化合物在燃烧过程中氧化而生成的NOx</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本项目进入RTO蓄热式焚烧炉的废气主要为非甲烷总烃、</w:t>
      </w:r>
      <w:r>
        <w:rPr>
          <w:rFonts w:hint="eastAsia" w:cs="Times New Roman"/>
          <w:color w:val="auto"/>
          <w:highlight w:val="none"/>
          <w:lang w:val="en-US" w:eastAsia="zh-CN"/>
        </w:rPr>
        <w:t>乙酸丁酯</w:t>
      </w:r>
      <w:r>
        <w:rPr>
          <w:rFonts w:hint="eastAsia" w:ascii="Times New Roman" w:hAnsi="Times New Roman" w:eastAsia="宋体" w:cs="Times New Roman"/>
          <w:color w:val="auto"/>
          <w:highlight w:val="none"/>
          <w:lang w:val="en-US" w:eastAsia="zh-CN"/>
        </w:rPr>
        <w:t>、二甲苯等物质，不含氮元素，则燃料型NOx主要考虑助燃天然气燃烧生成的NO。</w:t>
      </w:r>
    </w:p>
    <w:p w14:paraId="78971476">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本项目RTO蓄热式焚烧炉助燃天然气用量为</w:t>
      </w:r>
      <w:r>
        <w:rPr>
          <w:rFonts w:hint="eastAsia" w:cs="Times New Roman"/>
          <w:color w:val="auto"/>
          <w:highlight w:val="none"/>
          <w:lang w:val="en-US" w:eastAsia="zh-CN"/>
        </w:rPr>
        <w:t>13.2</w:t>
      </w:r>
      <w:r>
        <w:rPr>
          <w:rFonts w:hint="eastAsia" w:ascii="Times New Roman" w:hAnsi="Times New Roman" w:eastAsia="宋体" w:cs="Times New Roman"/>
          <w:color w:val="auto"/>
          <w:highlight w:val="none"/>
          <w:lang w:val="en-US" w:eastAsia="zh-CN"/>
        </w:rPr>
        <w:t>万m</w:t>
      </w:r>
      <w:r>
        <w:rPr>
          <w:rFonts w:hint="eastAsia"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运行时间为</w:t>
      </w:r>
      <w:r>
        <w:rPr>
          <w:rFonts w:hint="eastAsia" w:cs="Times New Roman"/>
          <w:color w:val="auto"/>
          <w:highlight w:val="none"/>
          <w:lang w:val="en-US" w:eastAsia="zh-CN"/>
        </w:rPr>
        <w:t>66</w:t>
      </w:r>
      <w:r>
        <w:rPr>
          <w:rFonts w:hint="eastAsia" w:ascii="Times New Roman" w:hAnsi="Times New Roman" w:eastAsia="宋体" w:cs="Times New Roman"/>
          <w:color w:val="auto"/>
          <w:highlight w:val="none"/>
          <w:lang w:val="en-US" w:eastAsia="zh-CN"/>
        </w:rPr>
        <w:t>00h/a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经参考</w:t>
      </w:r>
      <w:r>
        <w:rPr>
          <w:rFonts w:hint="eastAsia" w:cs="Times New Roman"/>
          <w:color w:val="auto"/>
          <w:highlight w:val="none"/>
          <w:lang w:val="en-US" w:eastAsia="zh-CN"/>
        </w:rPr>
        <w:t>《排污许可证申请与核发技术规范 汽车制造业》（HJ 971-2026，自2027年1月1日起实施）中</w:t>
      </w:r>
      <w:r>
        <w:rPr>
          <w:rFonts w:hint="eastAsia" w:ascii="Times New Roman" w:hAnsi="Times New Roman" w:eastAsia="宋体" w:cs="Times New Roman"/>
          <w:color w:val="auto"/>
          <w:highlight w:val="none"/>
          <w:lang w:val="en-US" w:eastAsia="zh-CN"/>
        </w:rPr>
        <w:t>，SO</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NOx</w:t>
      </w:r>
      <w:r>
        <w:rPr>
          <w:rFonts w:hint="eastAsia" w:ascii="宋体" w:hAnsi="宋体" w:eastAsia="宋体" w:cs="宋体"/>
          <w:color w:val="auto"/>
          <w:kern w:val="0"/>
          <w:sz w:val="24"/>
          <w:szCs w:val="24"/>
          <w:highlight w:val="none"/>
          <w:lang w:val="en-US" w:eastAsia="zh-CN" w:bidi="ar"/>
        </w:rPr>
        <w:t>、</w:t>
      </w:r>
      <w:r>
        <w:rPr>
          <w:rFonts w:hint="eastAsia" w:ascii="Times New Roman" w:hAnsi="Times New Roman" w:eastAsia="宋体" w:cs="Times New Roman"/>
          <w:color w:val="auto"/>
          <w:highlight w:val="none"/>
          <w:lang w:val="en-US" w:eastAsia="zh-CN"/>
        </w:rPr>
        <w:t>颗粒物</w:t>
      </w:r>
      <w:r>
        <w:rPr>
          <w:rFonts w:hint="eastAsia" w:cs="Times New Roman"/>
          <w:color w:val="auto"/>
          <w:highlight w:val="none"/>
          <w:lang w:val="en-US" w:eastAsia="zh-CN"/>
        </w:rPr>
        <w:t>中</w:t>
      </w:r>
      <w:r>
        <w:rPr>
          <w:rFonts w:hint="default" w:ascii="Times New Roman" w:hAnsi="Times New Roman" w:eastAsia="宋体" w:cs="Times New Roman"/>
          <w:color w:val="auto"/>
          <w:highlight w:val="none"/>
          <w:lang w:val="en-US" w:eastAsia="zh-CN"/>
        </w:rPr>
        <w:t>进行计算</w:t>
      </w:r>
      <w:r>
        <w:rPr>
          <w:rFonts w:hint="eastAsia" w:cs="Times New Roman"/>
          <w:color w:val="auto"/>
          <w:highlight w:val="none"/>
          <w:lang w:val="en-US" w:eastAsia="zh-CN"/>
        </w:rPr>
        <w:t>，项目RTO</w:t>
      </w:r>
      <w:r>
        <w:rPr>
          <w:rFonts w:hint="eastAsia"/>
          <w:color w:val="auto"/>
          <w:highlight w:val="none"/>
          <w:lang w:val="en-US" w:eastAsia="zh-CN"/>
        </w:rPr>
        <w:t>燃烧废气</w:t>
      </w:r>
      <w:r>
        <w:rPr>
          <w:rFonts w:hint="eastAsia" w:ascii="Times New Roman" w:hAnsi="Times New Roman" w:eastAsia="宋体" w:cs="Times New Roman"/>
          <w:color w:val="auto"/>
          <w:highlight w:val="none"/>
          <w:lang w:val="en-US" w:eastAsia="zh-CN"/>
        </w:rPr>
        <w:t>产污见下表。</w:t>
      </w:r>
    </w:p>
    <w:p w14:paraId="4351D630">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 xml:space="preserve">  本项目RTO燃烧废气污染源源强计算结果</w:t>
      </w:r>
    </w:p>
    <w:tbl>
      <w:tblPr>
        <w:tblStyle w:val="80"/>
        <w:tblW w:w="4941"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670"/>
        <w:gridCol w:w="1386"/>
        <w:gridCol w:w="2202"/>
        <w:gridCol w:w="1163"/>
        <w:gridCol w:w="1163"/>
        <w:gridCol w:w="1111"/>
        <w:gridCol w:w="785"/>
      </w:tblGrid>
      <w:tr w14:paraId="1D4599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78B0DDC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工艺名称</w:t>
            </w:r>
          </w:p>
        </w:tc>
        <w:tc>
          <w:tcPr>
            <w:tcW w:w="365" w:type="pct"/>
            <w:vMerge w:val="restart"/>
            <w:tcBorders>
              <w:tl2br w:val="nil"/>
              <w:tr2bl w:val="nil"/>
            </w:tcBorders>
            <w:noWrap w:val="0"/>
            <w:vAlign w:val="center"/>
          </w:tcPr>
          <w:p w14:paraId="227840E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规模等级</w:t>
            </w:r>
          </w:p>
        </w:tc>
        <w:tc>
          <w:tcPr>
            <w:tcW w:w="755" w:type="pct"/>
            <w:vMerge w:val="restart"/>
            <w:tcBorders>
              <w:tl2br w:val="nil"/>
              <w:tr2bl w:val="nil"/>
            </w:tcBorders>
            <w:noWrap w:val="0"/>
            <w:vAlign w:val="center"/>
          </w:tcPr>
          <w:p w14:paraId="3E8967B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污染物指标</w:t>
            </w:r>
          </w:p>
        </w:tc>
        <w:tc>
          <w:tcPr>
            <w:tcW w:w="1199" w:type="pct"/>
            <w:vMerge w:val="restart"/>
            <w:tcBorders>
              <w:tl2br w:val="nil"/>
              <w:tr2bl w:val="nil"/>
            </w:tcBorders>
            <w:noWrap w:val="0"/>
            <w:vAlign w:val="center"/>
          </w:tcPr>
          <w:p w14:paraId="295CE9F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c>
          <w:tcPr>
            <w:tcW w:w="633" w:type="pct"/>
            <w:vMerge w:val="restart"/>
            <w:tcBorders>
              <w:tl2br w:val="nil"/>
              <w:tr2bl w:val="nil"/>
            </w:tcBorders>
            <w:noWrap w:val="0"/>
            <w:vAlign w:val="center"/>
          </w:tcPr>
          <w:p w14:paraId="269E464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产污/排污系数</w:t>
            </w:r>
          </w:p>
        </w:tc>
        <w:tc>
          <w:tcPr>
            <w:tcW w:w="633" w:type="pct"/>
            <w:vMerge w:val="restart"/>
            <w:tcBorders>
              <w:tl2br w:val="nil"/>
              <w:tr2bl w:val="nil"/>
            </w:tcBorders>
            <w:noWrap w:val="0"/>
            <w:vAlign w:val="center"/>
          </w:tcPr>
          <w:p w14:paraId="5A6D61A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末端治理技术名称</w:t>
            </w:r>
          </w:p>
        </w:tc>
        <w:tc>
          <w:tcPr>
            <w:tcW w:w="1033" w:type="pct"/>
            <w:gridSpan w:val="2"/>
            <w:tcBorders>
              <w:tl2br w:val="nil"/>
              <w:tr2bl w:val="nil"/>
            </w:tcBorders>
            <w:noWrap w:val="0"/>
            <w:vAlign w:val="center"/>
          </w:tcPr>
          <w:p w14:paraId="695A859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产污情况</w:t>
            </w:r>
          </w:p>
        </w:tc>
      </w:tr>
      <w:tr w14:paraId="70B151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0C16C24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003998B8">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vMerge w:val="continue"/>
            <w:tcBorders>
              <w:tl2br w:val="nil"/>
              <w:tr2bl w:val="nil"/>
            </w:tcBorders>
            <w:noWrap w:val="0"/>
            <w:vAlign w:val="center"/>
          </w:tcPr>
          <w:p w14:paraId="7B7CAB65">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1199" w:type="pct"/>
            <w:vMerge w:val="continue"/>
            <w:tcBorders>
              <w:tl2br w:val="nil"/>
              <w:tr2bl w:val="nil"/>
            </w:tcBorders>
            <w:noWrap w:val="0"/>
            <w:vAlign w:val="center"/>
          </w:tcPr>
          <w:p w14:paraId="5303482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2B3552D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33" w:type="pct"/>
            <w:vMerge w:val="continue"/>
            <w:tcBorders>
              <w:tl2br w:val="nil"/>
              <w:tr2bl w:val="nil"/>
            </w:tcBorders>
            <w:noWrap w:val="0"/>
            <w:vAlign w:val="center"/>
          </w:tcPr>
          <w:p w14:paraId="434F54D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605" w:type="pct"/>
            <w:tcBorders>
              <w:tl2br w:val="nil"/>
              <w:tr2bl w:val="nil"/>
            </w:tcBorders>
            <w:noWrap w:val="0"/>
            <w:vAlign w:val="center"/>
          </w:tcPr>
          <w:p w14:paraId="3CCE708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产生量</w:t>
            </w:r>
          </w:p>
        </w:tc>
        <w:tc>
          <w:tcPr>
            <w:tcW w:w="427" w:type="pct"/>
            <w:tcBorders>
              <w:tl2br w:val="nil"/>
              <w:tr2bl w:val="nil"/>
            </w:tcBorders>
            <w:noWrap w:val="0"/>
            <w:vAlign w:val="center"/>
          </w:tcPr>
          <w:p w14:paraId="4C61730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单位</w:t>
            </w:r>
          </w:p>
        </w:tc>
      </w:tr>
      <w:tr w14:paraId="440630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restart"/>
            <w:tcBorders>
              <w:tl2br w:val="nil"/>
              <w:tr2bl w:val="nil"/>
            </w:tcBorders>
            <w:noWrap w:val="0"/>
            <w:vAlign w:val="center"/>
          </w:tcPr>
          <w:p w14:paraId="0776E38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天然气工业炉窑</w:t>
            </w:r>
          </w:p>
        </w:tc>
        <w:tc>
          <w:tcPr>
            <w:tcW w:w="365" w:type="pct"/>
            <w:vMerge w:val="restart"/>
            <w:tcBorders>
              <w:tl2br w:val="nil"/>
              <w:tr2bl w:val="nil"/>
            </w:tcBorders>
            <w:noWrap w:val="0"/>
            <w:vAlign w:val="center"/>
          </w:tcPr>
          <w:p w14:paraId="5B34DE9A">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所有规模</w:t>
            </w:r>
          </w:p>
        </w:tc>
        <w:tc>
          <w:tcPr>
            <w:tcW w:w="755" w:type="pct"/>
            <w:tcBorders>
              <w:tl2br w:val="nil"/>
              <w:tr2bl w:val="nil"/>
            </w:tcBorders>
            <w:noWrap w:val="0"/>
            <w:vAlign w:val="center"/>
          </w:tcPr>
          <w:p w14:paraId="42C15FF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工业废气量</w:t>
            </w:r>
          </w:p>
        </w:tc>
        <w:tc>
          <w:tcPr>
            <w:tcW w:w="1199" w:type="pct"/>
            <w:tcBorders>
              <w:tl2br w:val="nil"/>
              <w:tr2bl w:val="nil"/>
            </w:tcBorders>
            <w:noWrap w:val="0"/>
            <w:vAlign w:val="center"/>
          </w:tcPr>
          <w:p w14:paraId="017EAA0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495356A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13.6</w:t>
            </w:r>
          </w:p>
        </w:tc>
        <w:tc>
          <w:tcPr>
            <w:tcW w:w="633" w:type="pct"/>
            <w:tcBorders>
              <w:tl2br w:val="nil"/>
              <w:tr2bl w:val="nil"/>
            </w:tcBorders>
            <w:noWrap w:val="0"/>
            <w:vAlign w:val="center"/>
          </w:tcPr>
          <w:p w14:paraId="7FB4B8E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noWrap w:val="0"/>
            <w:vAlign w:val="center"/>
          </w:tcPr>
          <w:p w14:paraId="083C2C10">
            <w:pPr>
              <w:pStyle w:val="1405"/>
              <w:bidi w:val="0"/>
              <w:jc w:val="center"/>
              <w:rPr>
                <w:rFonts w:hint="default"/>
                <w:color w:val="auto"/>
                <w:highlight w:val="none"/>
                <w:lang w:val="en-US" w:eastAsia="zh-CN"/>
              </w:rPr>
            </w:pPr>
            <w:r>
              <w:rPr>
                <w:rFonts w:hint="default"/>
                <w:color w:val="auto"/>
                <w:highlight w:val="none"/>
                <w:lang w:val="en-US" w:eastAsia="zh-CN"/>
              </w:rPr>
              <w:t>179.52</w:t>
            </w:r>
          </w:p>
        </w:tc>
        <w:tc>
          <w:tcPr>
            <w:tcW w:w="427" w:type="pct"/>
            <w:tcBorders>
              <w:tl2br w:val="nil"/>
              <w:tr2bl w:val="nil"/>
            </w:tcBorders>
            <w:noWrap w:val="0"/>
            <w:vAlign w:val="center"/>
          </w:tcPr>
          <w:p w14:paraId="2D9D991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万</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m</w:t>
            </w:r>
            <w:r>
              <w:rPr>
                <w:rFonts w:hint="default" w:ascii="Times New Roman Regular" w:hAnsi="Times New Roman Regular" w:eastAsia="宋体" w:cs="Times New Roman Regular"/>
                <w:color w:val="auto"/>
                <w:kern w:val="2"/>
                <w:sz w:val="21"/>
                <w:szCs w:val="21"/>
                <w:highlight w:val="none"/>
                <w:shd w:val="clear" w:color="auto" w:fill="auto"/>
                <w:vertAlign w:val="superscript"/>
                <w:lang w:val="en-US" w:eastAsia="zh-CN" w:bidi="ar-SA"/>
              </w:rPr>
              <w:t>3</w:t>
            </w:r>
          </w:p>
        </w:tc>
      </w:tr>
      <w:tr w14:paraId="639F96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3818B60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3060C60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57BE4F7D">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二氧化硫</w:t>
            </w:r>
          </w:p>
        </w:tc>
        <w:tc>
          <w:tcPr>
            <w:tcW w:w="1199" w:type="pct"/>
            <w:tcBorders>
              <w:tl2br w:val="nil"/>
              <w:tr2bl w:val="nil"/>
            </w:tcBorders>
            <w:noWrap w:val="0"/>
            <w:vAlign w:val="center"/>
          </w:tcPr>
          <w:p w14:paraId="411E1963">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52A49F8B">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0.000002S</w:t>
            </w:r>
          </w:p>
        </w:tc>
        <w:tc>
          <w:tcPr>
            <w:tcW w:w="633" w:type="pct"/>
            <w:tcBorders>
              <w:tl2br w:val="nil"/>
              <w:tr2bl w:val="nil"/>
            </w:tcBorders>
            <w:noWrap w:val="0"/>
            <w:vAlign w:val="center"/>
          </w:tcPr>
          <w:p w14:paraId="1E05910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noWrap w:val="0"/>
            <w:vAlign w:val="top"/>
          </w:tcPr>
          <w:p w14:paraId="74D2547E">
            <w:pPr>
              <w:pStyle w:val="1405"/>
              <w:bidi w:val="0"/>
              <w:jc w:val="center"/>
              <w:rPr>
                <w:rFonts w:hint="default"/>
                <w:color w:val="auto"/>
                <w:highlight w:val="none"/>
                <w:lang w:val="en-US" w:eastAsia="zh-CN"/>
              </w:rPr>
            </w:pPr>
            <w:r>
              <w:rPr>
                <w:rFonts w:hint="default"/>
                <w:color w:val="auto"/>
                <w:highlight w:val="none"/>
                <w:lang w:val="en-US" w:eastAsia="zh-CN"/>
              </w:rPr>
              <w:t>0.0264</w:t>
            </w:r>
          </w:p>
        </w:tc>
        <w:tc>
          <w:tcPr>
            <w:tcW w:w="427" w:type="pct"/>
            <w:tcBorders>
              <w:tl2br w:val="nil"/>
              <w:tr2bl w:val="nil"/>
            </w:tcBorders>
            <w:noWrap w:val="0"/>
            <w:vAlign w:val="center"/>
          </w:tcPr>
          <w:p w14:paraId="536B977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5296BC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0713E4F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04066F5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7DD9162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颗粒物</w:t>
            </w:r>
          </w:p>
        </w:tc>
        <w:tc>
          <w:tcPr>
            <w:tcW w:w="1199" w:type="pct"/>
            <w:tcBorders>
              <w:tl2br w:val="nil"/>
              <w:tr2bl w:val="nil"/>
            </w:tcBorders>
            <w:noWrap w:val="0"/>
            <w:vAlign w:val="center"/>
          </w:tcPr>
          <w:p w14:paraId="7451E0C6">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noWrap w:val="0"/>
            <w:vAlign w:val="center"/>
          </w:tcPr>
          <w:p w14:paraId="5B77B4B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0.000286</w:t>
            </w:r>
          </w:p>
        </w:tc>
        <w:tc>
          <w:tcPr>
            <w:tcW w:w="633" w:type="pct"/>
            <w:tcBorders>
              <w:tl2br w:val="nil"/>
              <w:tr2bl w:val="nil"/>
            </w:tcBorders>
            <w:noWrap w:val="0"/>
            <w:vAlign w:val="center"/>
          </w:tcPr>
          <w:p w14:paraId="7F794302">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noWrap w:val="0"/>
            <w:vAlign w:val="top"/>
          </w:tcPr>
          <w:p w14:paraId="6556D913">
            <w:pPr>
              <w:pStyle w:val="1405"/>
              <w:bidi w:val="0"/>
              <w:jc w:val="center"/>
              <w:rPr>
                <w:rFonts w:hint="default"/>
                <w:color w:val="auto"/>
                <w:highlight w:val="none"/>
                <w:lang w:val="en-US" w:eastAsia="zh-CN"/>
              </w:rPr>
            </w:pPr>
            <w:r>
              <w:rPr>
                <w:rFonts w:hint="default"/>
                <w:color w:val="auto"/>
                <w:highlight w:val="none"/>
                <w:lang w:val="en-US" w:eastAsia="zh-CN"/>
              </w:rPr>
              <w:t>0.0378</w:t>
            </w:r>
          </w:p>
        </w:tc>
        <w:tc>
          <w:tcPr>
            <w:tcW w:w="427" w:type="pct"/>
            <w:tcBorders>
              <w:tl2br w:val="nil"/>
              <w:tr2bl w:val="nil"/>
            </w:tcBorders>
            <w:noWrap w:val="0"/>
            <w:vAlign w:val="center"/>
          </w:tcPr>
          <w:p w14:paraId="7E50A2B1">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r w14:paraId="0DD3E6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79" w:type="pct"/>
            <w:vMerge w:val="continue"/>
            <w:tcBorders>
              <w:tl2br w:val="nil"/>
              <w:tr2bl w:val="nil"/>
            </w:tcBorders>
            <w:noWrap w:val="0"/>
            <w:vAlign w:val="center"/>
          </w:tcPr>
          <w:p w14:paraId="115CAEFF">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365" w:type="pct"/>
            <w:vMerge w:val="continue"/>
            <w:tcBorders>
              <w:tl2br w:val="nil"/>
              <w:tr2bl w:val="nil"/>
            </w:tcBorders>
            <w:noWrap w:val="0"/>
            <w:vAlign w:val="center"/>
          </w:tcPr>
          <w:p w14:paraId="551AED20">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p>
        </w:tc>
        <w:tc>
          <w:tcPr>
            <w:tcW w:w="755" w:type="pct"/>
            <w:tcBorders>
              <w:tl2br w:val="nil"/>
              <w:tr2bl w:val="nil"/>
            </w:tcBorders>
            <w:noWrap w:val="0"/>
            <w:vAlign w:val="center"/>
          </w:tcPr>
          <w:p w14:paraId="27ECA77C">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氮氧化物</w:t>
            </w:r>
          </w:p>
        </w:tc>
        <w:tc>
          <w:tcPr>
            <w:tcW w:w="1199" w:type="pct"/>
            <w:tcBorders>
              <w:tl2br w:val="nil"/>
              <w:tr2bl w:val="nil"/>
            </w:tcBorders>
            <w:noWrap w:val="0"/>
            <w:vAlign w:val="center"/>
          </w:tcPr>
          <w:p w14:paraId="71EA6214">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千克</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立方米</w:t>
            </w: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w:t>
            </w: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原料</w:t>
            </w:r>
          </w:p>
        </w:tc>
        <w:tc>
          <w:tcPr>
            <w:tcW w:w="633" w:type="pct"/>
            <w:tcBorders>
              <w:tl2br w:val="nil"/>
              <w:tr2bl w:val="nil"/>
            </w:tcBorders>
            <w:shd w:val="clear" w:color="auto" w:fill="auto"/>
            <w:noWrap w:val="0"/>
            <w:vAlign w:val="center"/>
          </w:tcPr>
          <w:p w14:paraId="58F8A48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0.00187</w:t>
            </w:r>
          </w:p>
        </w:tc>
        <w:tc>
          <w:tcPr>
            <w:tcW w:w="633" w:type="pct"/>
            <w:tcBorders>
              <w:tl2br w:val="nil"/>
              <w:tr2bl w:val="nil"/>
            </w:tcBorders>
            <w:shd w:val="clear" w:color="auto" w:fill="auto"/>
            <w:noWrap w:val="0"/>
            <w:vAlign w:val="center"/>
          </w:tcPr>
          <w:p w14:paraId="06DB707E">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eastAsia" w:ascii="Times New Roman Regular" w:hAnsi="Times New Roman Regular" w:eastAsia="宋体" w:cs="Times New Roman Regular"/>
                <w:color w:val="auto"/>
                <w:kern w:val="2"/>
                <w:sz w:val="21"/>
                <w:szCs w:val="21"/>
                <w:highlight w:val="none"/>
                <w:shd w:val="clear" w:color="auto" w:fill="auto"/>
                <w:lang w:val="en-US" w:eastAsia="zh-CN" w:bidi="ar-SA"/>
              </w:rPr>
              <w:t>直排</w:t>
            </w:r>
          </w:p>
        </w:tc>
        <w:tc>
          <w:tcPr>
            <w:tcW w:w="1111" w:type="dxa"/>
            <w:tcBorders>
              <w:tl2br w:val="nil"/>
              <w:tr2bl w:val="nil"/>
            </w:tcBorders>
            <w:shd w:val="clear" w:color="auto" w:fill="auto"/>
            <w:noWrap w:val="0"/>
            <w:vAlign w:val="center"/>
          </w:tcPr>
          <w:p w14:paraId="5EC535D1">
            <w:pPr>
              <w:pStyle w:val="1405"/>
              <w:bidi w:val="0"/>
              <w:jc w:val="center"/>
              <w:rPr>
                <w:rFonts w:hint="default"/>
                <w:color w:val="auto"/>
                <w:highlight w:val="none"/>
                <w:lang w:val="en-US" w:eastAsia="zh-CN"/>
              </w:rPr>
            </w:pPr>
            <w:r>
              <w:rPr>
                <w:rFonts w:hint="default"/>
                <w:color w:val="auto"/>
                <w:highlight w:val="none"/>
                <w:lang w:val="en-US" w:eastAsia="zh-CN"/>
              </w:rPr>
              <w:t>0.2468</w:t>
            </w:r>
          </w:p>
        </w:tc>
        <w:tc>
          <w:tcPr>
            <w:tcW w:w="427" w:type="pct"/>
            <w:tcBorders>
              <w:tl2br w:val="nil"/>
              <w:tr2bl w:val="nil"/>
            </w:tcBorders>
            <w:shd w:val="clear" w:color="auto" w:fill="auto"/>
            <w:noWrap w:val="0"/>
            <w:vAlign w:val="center"/>
          </w:tcPr>
          <w:p w14:paraId="079A5DC9">
            <w:pPr>
              <w:pStyle w:val="214"/>
              <w:adjustRightInd w:val="0"/>
              <w:snapToGrid w:val="0"/>
              <w:spacing w:after="0" w:line="340" w:lineRule="exact"/>
              <w:ind w:left="0" w:leftChars="0" w:firstLine="0" w:firstLineChars="0"/>
              <w:jc w:val="cente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pPr>
            <w:r>
              <w:rPr>
                <w:rFonts w:hint="default" w:ascii="Times New Roman Regular" w:hAnsi="Times New Roman Regular" w:eastAsia="宋体" w:cs="Times New Roman Regular"/>
                <w:color w:val="auto"/>
                <w:kern w:val="2"/>
                <w:sz w:val="21"/>
                <w:szCs w:val="21"/>
                <w:highlight w:val="none"/>
                <w:shd w:val="clear" w:color="auto" w:fill="auto"/>
                <w:lang w:val="en-US" w:eastAsia="zh-CN" w:bidi="ar-SA"/>
              </w:rPr>
              <w:t>t</w:t>
            </w:r>
          </w:p>
        </w:tc>
      </w:tr>
    </w:tbl>
    <w:p w14:paraId="58DF05E8">
      <w:pPr>
        <w:keepNext w:val="0"/>
        <w:keepLines w:val="0"/>
        <w:widowControl/>
        <w:suppressLineNumbers w:val="0"/>
        <w:jc w:val="left"/>
        <w:textAlignment w:val="top"/>
        <w:rPr>
          <w:rStyle w:val="1431"/>
          <w:rFonts w:hint="default" w:ascii="Times New Roman" w:hAnsi="Times New Roman" w:eastAsia="宋体" w:cs="Times New Roman"/>
          <w:b w:val="0"/>
          <w:bCs w:val="0"/>
          <w:i w:val="0"/>
          <w:iCs w:val="0"/>
          <w:color w:val="auto"/>
          <w:sz w:val="21"/>
          <w:szCs w:val="21"/>
          <w:highlight w:val="none"/>
          <w:lang w:val="en-US" w:eastAsia="zh-CN" w:bidi="ar"/>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注：产排污系数表中二氧化硫的产排污系数是以含硫量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的形式表示的，其中含硫量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是指燃气硫分含量，单位为毫克/立方米。例如燃料中含硫量</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S</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为200毫克/立方米，则S=200。</w:t>
      </w:r>
    </w:p>
    <w:p w14:paraId="0302CF47">
      <w:pPr>
        <w:pStyle w:val="1336"/>
        <w:numPr>
          <w:ilvl w:val="0"/>
          <w:numId w:val="0"/>
        </w:numPr>
        <w:ind w:leftChars="200"/>
        <w:rPr>
          <w:rFonts w:hint="eastAsia"/>
          <w:color w:val="auto"/>
          <w:highlight w:val="none"/>
          <w:lang w:val="en-US" w:eastAsia="zh-CN"/>
        </w:rPr>
      </w:pPr>
      <w:r>
        <w:rPr>
          <w:rStyle w:val="1431"/>
          <w:rFonts w:hint="default" w:ascii="Times New Roman" w:hAnsi="Times New Roman" w:eastAsia="宋体" w:cs="Times New Roman"/>
          <w:b w:val="0"/>
          <w:bCs w:val="0"/>
          <w:i w:val="0"/>
          <w:iCs w:val="0"/>
          <w:color w:val="auto"/>
          <w:sz w:val="21"/>
          <w:szCs w:val="21"/>
          <w:highlight w:val="none"/>
          <w:lang w:val="en-US" w:eastAsia="zh-CN" w:bidi="ar"/>
        </w:rPr>
        <w:t>本项目天然气为2类天然气，根据《天然气》</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GB17820-2018</w:t>
      </w:r>
      <w:r>
        <w:rPr>
          <w:rStyle w:val="1431"/>
          <w:rFonts w:hint="eastAsia" w:cs="Times New Roman"/>
          <w:b w:val="0"/>
          <w:bCs w:val="0"/>
          <w:i w:val="0"/>
          <w:iCs w:val="0"/>
          <w:color w:val="auto"/>
          <w:sz w:val="21"/>
          <w:szCs w:val="21"/>
          <w:highlight w:val="none"/>
          <w:lang w:val="en-US" w:eastAsia="zh-CN" w:bidi="ar"/>
        </w:rPr>
        <w:t>）</w:t>
      </w:r>
      <w:r>
        <w:rPr>
          <w:rStyle w:val="1431"/>
          <w:rFonts w:hint="default" w:ascii="Times New Roman" w:hAnsi="Times New Roman" w:eastAsia="宋体" w:cs="Times New Roman"/>
          <w:b w:val="0"/>
          <w:bCs w:val="0"/>
          <w:i w:val="0"/>
          <w:iCs w:val="0"/>
          <w:color w:val="auto"/>
          <w:sz w:val="21"/>
          <w:szCs w:val="21"/>
          <w:highlight w:val="none"/>
          <w:lang w:val="en-US" w:eastAsia="zh-CN" w:bidi="ar"/>
        </w:rPr>
        <w:t>可知2类天然气硫分为100。</w:t>
      </w:r>
    </w:p>
    <w:p w14:paraId="00EAF994">
      <w:pPr>
        <w:pStyle w:val="1336"/>
        <w:numPr>
          <w:ilvl w:val="0"/>
          <w:numId w:val="0"/>
        </w:numPr>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sz w:val="24"/>
          <w:szCs w:val="22"/>
          <w:highlight w:val="none"/>
          <w:lang w:val="en-US" w:eastAsia="zh-CN" w:bidi="ar-SA"/>
        </w:rPr>
        <w:t>（5）</w:t>
      </w:r>
      <w:r>
        <w:rPr>
          <w:rFonts w:hint="eastAsia" w:cs="Times New Roman"/>
          <w:color w:val="auto"/>
          <w:sz w:val="24"/>
          <w:szCs w:val="22"/>
          <w:highlight w:val="none"/>
          <w:lang w:val="en-US" w:eastAsia="zh-CN" w:bidi="ar-SA"/>
        </w:rPr>
        <w:t>挂</w:t>
      </w:r>
      <w:r>
        <w:rPr>
          <w:rFonts w:hint="eastAsia"/>
          <w:color w:val="auto"/>
          <w:highlight w:val="none"/>
          <w:lang w:val="en-US" w:eastAsia="zh-CN"/>
        </w:rPr>
        <w:t>具去除废气</w:t>
      </w:r>
    </w:p>
    <w:p w14:paraId="0F48CBBA">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本项目采用热洁炉焚烧处置</w:t>
      </w:r>
      <w:r>
        <w:rPr>
          <w:rFonts w:hint="eastAsia" w:cs="Times New Roman"/>
          <w:color w:val="auto"/>
          <w:highlight w:val="none"/>
          <w:lang w:val="en-US" w:eastAsia="zh-CN"/>
        </w:rPr>
        <w:t>挂具</w:t>
      </w:r>
      <w:r>
        <w:rPr>
          <w:rFonts w:hint="default" w:ascii="Times New Roman" w:hAnsi="Times New Roman" w:eastAsia="宋体" w:cs="Times New Roman"/>
          <w:color w:val="auto"/>
          <w:highlight w:val="none"/>
          <w:lang w:val="en-US" w:eastAsia="zh-CN"/>
        </w:rPr>
        <w:t>沾染的漆料，重点对焚烧烟气中可能产生的二噁英类污染物进行溯源识别。依据建设单位提供的涂料产品技术资料及化学品安全说明书（MSDS），项目涉及的漆料及漆渣主要组分如下：</w:t>
      </w:r>
    </w:p>
    <w:p w14:paraId="30055B5D">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 xml:space="preserve">  漆料</w:t>
      </w:r>
      <w:r>
        <w:rPr>
          <w:rFonts w:hint="eastAsia" w:cs="Times New Roman"/>
          <w:color w:val="auto"/>
          <w:highlight w:val="none"/>
          <w:lang w:val="en-US" w:eastAsia="zh-CN"/>
        </w:rPr>
        <w:t>组分及</w:t>
      </w:r>
      <w:r>
        <w:rPr>
          <w:rFonts w:hint="default" w:ascii="Times New Roman" w:hAnsi="Times New Roman" w:cs="Times New Roman"/>
          <w:color w:val="auto"/>
          <w:highlight w:val="none"/>
          <w:lang w:val="en-US" w:eastAsia="zh-CN"/>
        </w:rPr>
        <w:t>分子式特征一览表</w:t>
      </w:r>
    </w:p>
    <w:tbl>
      <w:tblPr>
        <w:tblStyle w:val="81"/>
        <w:tblW w:w="933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6492"/>
        <w:gridCol w:w="1712"/>
      </w:tblGrid>
      <w:tr w14:paraId="0C997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5" w:type="dxa"/>
            <w:tcBorders>
              <w:tl2br w:val="nil"/>
              <w:tr2bl w:val="nil"/>
            </w:tcBorders>
            <w:vAlign w:val="center"/>
          </w:tcPr>
          <w:p w14:paraId="572B6A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产品名称</w:t>
            </w:r>
          </w:p>
        </w:tc>
        <w:tc>
          <w:tcPr>
            <w:tcW w:w="6492" w:type="dxa"/>
            <w:tcBorders>
              <w:tl2br w:val="nil"/>
              <w:tr2bl w:val="nil"/>
            </w:tcBorders>
            <w:vAlign w:val="center"/>
          </w:tcPr>
          <w:p w14:paraId="5527F6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关键组分</w:t>
            </w:r>
          </w:p>
        </w:tc>
        <w:tc>
          <w:tcPr>
            <w:tcW w:w="1712" w:type="dxa"/>
            <w:tcBorders>
              <w:tl2br w:val="nil"/>
              <w:tr2bl w:val="nil"/>
            </w:tcBorders>
            <w:vAlign w:val="center"/>
          </w:tcPr>
          <w:p w14:paraId="2EDDE2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分子式/特征</w:t>
            </w:r>
          </w:p>
        </w:tc>
      </w:tr>
      <w:tr w14:paraId="228A4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5" w:type="dxa"/>
            <w:tcBorders>
              <w:tl2br w:val="nil"/>
              <w:tr2bl w:val="nil"/>
            </w:tcBorders>
            <w:vAlign w:val="center"/>
          </w:tcPr>
          <w:p w14:paraId="5E87DB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底漆</w:t>
            </w:r>
          </w:p>
        </w:tc>
        <w:tc>
          <w:tcPr>
            <w:tcW w:w="6492" w:type="dxa"/>
            <w:tcBorders>
              <w:tl2br w:val="nil"/>
              <w:tr2bl w:val="nil"/>
            </w:tcBorders>
            <w:vAlign w:val="center"/>
          </w:tcPr>
          <w:p w14:paraId="05A214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改性丙烯酸树脂、改性聚酯树脂、颜填料、分散剂、醋酸正丁酯、</w:t>
            </w:r>
            <w:r>
              <w:rPr>
                <w:rFonts w:hint="default" w:ascii="Times New Roman" w:hAnsi="Times New Roman" w:eastAsia="宋体" w:cs="Times New Roman"/>
                <w:color w:val="auto"/>
                <w:kern w:val="0"/>
                <w:sz w:val="21"/>
                <w:szCs w:val="21"/>
                <w:highlight w:val="none"/>
                <w:lang w:val="en-US" w:eastAsia="zh-CN"/>
              </w:rPr>
              <w:t>PMA</w:t>
            </w:r>
            <w:r>
              <w:rPr>
                <w:rFonts w:hint="eastAsia" w:ascii="Times New Roman" w:hAnsi="Times New Roman" w:eastAsia="宋体" w:cs="Times New Roman"/>
                <w:color w:val="auto"/>
                <w:kern w:val="0"/>
                <w:sz w:val="21"/>
                <w:szCs w:val="21"/>
                <w:highlight w:val="none"/>
                <w:lang w:val="en-US" w:eastAsia="zh-CN"/>
              </w:rPr>
              <w:t>（丙二醇甲醚醋酸酯）、二甲苯</w:t>
            </w:r>
          </w:p>
        </w:tc>
        <w:tc>
          <w:tcPr>
            <w:tcW w:w="1712" w:type="dxa"/>
            <w:vMerge w:val="restart"/>
            <w:tcBorders>
              <w:tl2br w:val="nil"/>
              <w:tr2bl w:val="nil"/>
            </w:tcBorders>
            <w:vAlign w:val="center"/>
          </w:tcPr>
          <w:p w14:paraId="68FFA7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H</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O</w:t>
            </w:r>
            <w:r>
              <w:rPr>
                <w:rFonts w:hint="eastAsia" w:ascii="Times New Roman" w:hAnsi="Times New Roman" w:eastAsia="宋体" w:cs="Times New Roman"/>
                <w:color w:val="auto"/>
                <w:kern w:val="0"/>
                <w:sz w:val="21"/>
                <w:szCs w:val="21"/>
                <w:highlight w:val="none"/>
                <w:lang w:val="en-US" w:eastAsia="zh-CN"/>
              </w:rPr>
              <w:t>、N</w:t>
            </w:r>
          </w:p>
        </w:tc>
      </w:tr>
      <w:tr w14:paraId="3A05B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5" w:type="dxa"/>
            <w:tcBorders>
              <w:tl2br w:val="nil"/>
              <w:tr2bl w:val="nil"/>
            </w:tcBorders>
            <w:vAlign w:val="center"/>
          </w:tcPr>
          <w:p w14:paraId="27E82A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色漆</w:t>
            </w:r>
          </w:p>
        </w:tc>
        <w:tc>
          <w:tcPr>
            <w:tcW w:w="6492" w:type="dxa"/>
            <w:tcBorders>
              <w:tl2br w:val="nil"/>
              <w:tr2bl w:val="nil"/>
            </w:tcBorders>
            <w:vAlign w:val="center"/>
          </w:tcPr>
          <w:p w14:paraId="20107C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改性丙烯酸树脂、</w:t>
            </w:r>
            <w:r>
              <w:rPr>
                <w:rFonts w:hint="default" w:ascii="Times New Roman" w:hAnsi="Times New Roman" w:eastAsia="宋体" w:cs="Times New Roman"/>
                <w:color w:val="auto"/>
                <w:kern w:val="0"/>
                <w:sz w:val="21"/>
                <w:szCs w:val="21"/>
                <w:highlight w:val="none"/>
                <w:lang w:val="en-US" w:eastAsia="zh-CN"/>
              </w:rPr>
              <w:t>CAB</w:t>
            </w:r>
            <w:r>
              <w:rPr>
                <w:rFonts w:hint="eastAsia" w:ascii="Times New Roman" w:hAnsi="Times New Roman" w:eastAsia="宋体" w:cs="Times New Roman"/>
                <w:color w:val="auto"/>
                <w:kern w:val="0"/>
                <w:sz w:val="21"/>
                <w:szCs w:val="21"/>
                <w:highlight w:val="none"/>
                <w:lang w:val="en-US" w:eastAsia="zh-CN"/>
              </w:rPr>
              <w:t>（醋酸丁酸纤维素）、铝粉、颜料、流平剂、分散剂、醋酸正丁酯、</w:t>
            </w:r>
            <w:r>
              <w:rPr>
                <w:rFonts w:hint="default" w:ascii="Times New Roman" w:hAnsi="Times New Roman" w:eastAsia="宋体" w:cs="Times New Roman"/>
                <w:color w:val="auto"/>
                <w:kern w:val="0"/>
                <w:sz w:val="21"/>
                <w:szCs w:val="21"/>
                <w:highlight w:val="none"/>
                <w:lang w:val="en-US" w:eastAsia="zh-CN"/>
              </w:rPr>
              <w:t>PMA</w:t>
            </w:r>
            <w:r>
              <w:rPr>
                <w:rFonts w:hint="eastAsia" w:ascii="Times New Roman" w:hAnsi="Times New Roman" w:eastAsia="宋体" w:cs="Times New Roman"/>
                <w:color w:val="auto"/>
                <w:kern w:val="0"/>
                <w:sz w:val="21"/>
                <w:szCs w:val="21"/>
                <w:highlight w:val="none"/>
                <w:lang w:val="en-US" w:eastAsia="zh-CN"/>
              </w:rPr>
              <w:t>（丙二醇甲醚醋酸酯）、二甲苯</w:t>
            </w:r>
          </w:p>
        </w:tc>
        <w:tc>
          <w:tcPr>
            <w:tcW w:w="1712" w:type="dxa"/>
            <w:vMerge w:val="continue"/>
            <w:tcBorders>
              <w:tl2br w:val="nil"/>
              <w:tr2bl w:val="nil"/>
            </w:tcBorders>
            <w:vAlign w:val="center"/>
          </w:tcPr>
          <w:p w14:paraId="4BF27D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r>
      <w:tr w14:paraId="17F16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5" w:type="dxa"/>
            <w:tcBorders>
              <w:tl2br w:val="nil"/>
              <w:tr2bl w:val="nil"/>
            </w:tcBorders>
            <w:vAlign w:val="center"/>
          </w:tcPr>
          <w:p w14:paraId="1702A9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清漆</w:t>
            </w:r>
          </w:p>
        </w:tc>
        <w:tc>
          <w:tcPr>
            <w:tcW w:w="6492" w:type="dxa"/>
            <w:tcBorders>
              <w:tl2br w:val="nil"/>
              <w:tr2bl w:val="nil"/>
            </w:tcBorders>
            <w:vAlign w:val="center"/>
          </w:tcPr>
          <w:p w14:paraId="62FD9F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丙烯酸树脂、聚酯改性丙烯酸树脂、紫外光老化剂、流平剂、醋酸正丁酯、助剂</w:t>
            </w:r>
            <w:r>
              <w:rPr>
                <w:rFonts w:hint="default" w:ascii="Times New Roman" w:hAnsi="Times New Roman" w:eastAsia="宋体" w:cs="Times New Roman"/>
                <w:color w:val="auto"/>
                <w:kern w:val="0"/>
                <w:sz w:val="21"/>
                <w:szCs w:val="21"/>
                <w:highlight w:val="none"/>
                <w:lang w:val="en-US" w:eastAsia="zh-CN"/>
              </w:rPr>
              <w:t>PMA</w:t>
            </w:r>
            <w:r>
              <w:rPr>
                <w:rFonts w:hint="eastAsia" w:ascii="Times New Roman" w:hAnsi="Times New Roman" w:eastAsia="宋体" w:cs="Times New Roman"/>
                <w:color w:val="auto"/>
                <w:kern w:val="0"/>
                <w:sz w:val="21"/>
                <w:szCs w:val="21"/>
                <w:highlight w:val="none"/>
                <w:lang w:val="en-US" w:eastAsia="zh-CN"/>
              </w:rPr>
              <w:t>（丙二醇甲醚醋酸酯）、二甲苯</w:t>
            </w:r>
          </w:p>
        </w:tc>
        <w:tc>
          <w:tcPr>
            <w:tcW w:w="1712" w:type="dxa"/>
            <w:vMerge w:val="continue"/>
            <w:tcBorders>
              <w:tl2br w:val="nil"/>
              <w:tr2bl w:val="nil"/>
            </w:tcBorders>
            <w:vAlign w:val="center"/>
          </w:tcPr>
          <w:p w14:paraId="5695AD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r>
      <w:tr w14:paraId="71716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5" w:type="dxa"/>
            <w:tcBorders>
              <w:tl2br w:val="nil"/>
              <w:tr2bl w:val="nil"/>
            </w:tcBorders>
            <w:vAlign w:val="center"/>
          </w:tcPr>
          <w:p w14:paraId="61074C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固化剂</w:t>
            </w:r>
          </w:p>
        </w:tc>
        <w:tc>
          <w:tcPr>
            <w:tcW w:w="6492" w:type="dxa"/>
            <w:tcBorders>
              <w:tl2br w:val="nil"/>
              <w:tr2bl w:val="nil"/>
            </w:tcBorders>
            <w:shd w:val="clear" w:color="auto" w:fill="auto"/>
            <w:vAlign w:val="center"/>
          </w:tcPr>
          <w:p w14:paraId="173ACE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HDI</w:t>
            </w:r>
            <w:r>
              <w:rPr>
                <w:rFonts w:hint="eastAsia" w:ascii="Times New Roman" w:hAnsi="Times New Roman" w:eastAsia="宋体" w:cs="Times New Roman"/>
                <w:color w:val="auto"/>
                <w:kern w:val="0"/>
                <w:sz w:val="21"/>
                <w:szCs w:val="21"/>
                <w:highlight w:val="none"/>
                <w:lang w:val="en-US" w:eastAsia="zh-CN"/>
              </w:rPr>
              <w:t>（六亚甲基二异氰酸酯）三聚体、醋酸正丁酯、二甲苯</w:t>
            </w:r>
          </w:p>
        </w:tc>
        <w:tc>
          <w:tcPr>
            <w:tcW w:w="1712" w:type="dxa"/>
            <w:vMerge w:val="continue"/>
            <w:tcBorders>
              <w:tl2br w:val="nil"/>
              <w:tr2bl w:val="nil"/>
            </w:tcBorders>
            <w:vAlign w:val="center"/>
          </w:tcPr>
          <w:p w14:paraId="576445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r>
    </w:tbl>
    <w:p w14:paraId="57398AE8">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重点排查结论：经对上述全部</w:t>
      </w:r>
      <w:r>
        <w:rPr>
          <w:rFonts w:hint="eastAsia" w:cs="Times New Roman"/>
          <w:color w:val="auto"/>
          <w:highlight w:val="none"/>
          <w:lang w:val="en-US" w:eastAsia="zh-CN"/>
        </w:rPr>
        <w:t>组分的</w:t>
      </w:r>
      <w:r>
        <w:rPr>
          <w:rFonts w:hint="default" w:ascii="Times New Roman" w:hAnsi="Times New Roman" w:eastAsia="宋体" w:cs="Times New Roman"/>
          <w:color w:val="auto"/>
          <w:highlight w:val="none"/>
          <w:lang w:val="en-US" w:eastAsia="zh-CN"/>
        </w:rPr>
        <w:t>化学结构式及元素组成进行核查，所有</w:t>
      </w:r>
      <w:r>
        <w:rPr>
          <w:rFonts w:hint="eastAsia" w:cs="Times New Roman"/>
          <w:color w:val="auto"/>
          <w:highlight w:val="none"/>
          <w:lang w:val="en-US" w:eastAsia="zh-CN"/>
        </w:rPr>
        <w:t>组分的</w:t>
      </w:r>
      <w:r>
        <w:rPr>
          <w:rFonts w:hint="default" w:ascii="Times New Roman" w:hAnsi="Times New Roman" w:eastAsia="宋体" w:cs="Times New Roman"/>
          <w:color w:val="auto"/>
          <w:highlight w:val="none"/>
          <w:lang w:val="en-US" w:eastAsia="zh-CN"/>
        </w:rPr>
        <w:t>组成元素均限于碳</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C</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、氢</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H</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、氧</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O</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、氮</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N</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不涉及含氯</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Cl</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元素的化合物。</w:t>
      </w:r>
    </w:p>
    <w:p w14:paraId="542752F2">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二噁英的生成需同时满足以下三个必要条件：</w:t>
      </w:r>
    </w:p>
    <w:p w14:paraId="5D5B8513">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a.前驱体或氯源：存在含氯有机化合物或无机组分提供氯元素；</w:t>
      </w:r>
    </w:p>
    <w:p w14:paraId="4A255108">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b.有机物：存在碳氢化合物作为反应基质；</w:t>
      </w:r>
    </w:p>
    <w:p w14:paraId="6F4D475A">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c.温度窗口：燃烧过程处于250℃~650℃的不完全燃烧温度区间，或烟气在后处理过程中经历该温度区间。</w:t>
      </w:r>
    </w:p>
    <w:p w14:paraId="6844A199">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鉴于本项目焚烧的漆渣中不含任何氯元素来源，不具备二噁英生成的物质基础。即使焚烧过程中存在有机物和不完全燃烧条件，因缺乏氯原子参与反应，亦无法合成二噁英类物质。因此，判定本项目焚烧漆渣环节无二噁英产生，不将其列为特征污染源。</w:t>
      </w:r>
    </w:p>
    <w:p w14:paraId="3D5BD09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单位提供的热洁炉运行参数，热洁炉主体设有挂具处理室和二燃室。挂具处理室温度由0℃升温至480℃，其中0℃~250℃升温时间约0.5h，250℃~480℃升温时间约2h，随后冷却0.5h；二燃室运行温度维持在700℃~900℃。</w:t>
      </w:r>
    </w:p>
    <w:p w14:paraId="0E1B6105">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金属挂具表面涂层在挂具处理室内受热后，有机物逐步裂解为小分子有机气体并进入</w:t>
      </w:r>
      <w:r>
        <w:rPr>
          <w:rFonts w:hint="eastAsia" w:cs="Times New Roman"/>
          <w:color w:val="auto"/>
          <w:highlight w:val="none"/>
          <w:lang w:val="en-US" w:eastAsia="zh-CN"/>
        </w:rPr>
        <w:t>二燃室</w:t>
      </w:r>
      <w:r>
        <w:rPr>
          <w:rFonts w:hint="eastAsia" w:ascii="Times New Roman" w:hAnsi="Times New Roman" w:eastAsia="宋体" w:cs="Times New Roman"/>
          <w:color w:val="auto"/>
          <w:highlight w:val="none"/>
          <w:lang w:val="en-US" w:eastAsia="zh-CN"/>
        </w:rPr>
        <w:t>，无机物在高温下粉化脱落。按有机物全部裂解计，本项目年处理挂具2000挂，单个挂具表面平均涂层质量约1kg，年处理涂层总量为2t/a。根据涂料MSDS，漆膜中有机物含量约为55.9%，则进入</w:t>
      </w:r>
      <w:r>
        <w:rPr>
          <w:rFonts w:hint="eastAsia" w:cs="Times New Roman"/>
          <w:color w:val="auto"/>
          <w:highlight w:val="none"/>
          <w:lang w:val="en-US" w:eastAsia="zh-CN"/>
        </w:rPr>
        <w:t>二燃室</w:t>
      </w:r>
      <w:r>
        <w:rPr>
          <w:rFonts w:hint="eastAsia" w:ascii="Times New Roman" w:hAnsi="Times New Roman" w:eastAsia="宋体" w:cs="Times New Roman"/>
          <w:color w:val="auto"/>
          <w:highlight w:val="none"/>
          <w:lang w:val="en-US" w:eastAsia="zh-CN"/>
        </w:rPr>
        <w:t>的VOCs产生量为1.1180t/a。</w:t>
      </w:r>
    </w:p>
    <w:p w14:paraId="02249530">
      <w:pPr>
        <w:pStyle w:val="1336"/>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二燃室</w:t>
      </w:r>
      <w:r>
        <w:rPr>
          <w:rFonts w:hint="eastAsia" w:ascii="Times New Roman" w:hAnsi="Times New Roman" w:eastAsia="宋体" w:cs="Times New Roman"/>
          <w:color w:val="auto"/>
          <w:highlight w:val="none"/>
          <w:lang w:val="en-US" w:eastAsia="zh-CN"/>
        </w:rPr>
        <w:t>作为废气燃烧室，采用</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直接燃烧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法对裂解产生的有机废气进行高温焚烧处理。经与设备厂家确认，</w:t>
      </w:r>
      <w:r>
        <w:rPr>
          <w:rFonts w:hint="eastAsia" w:cs="Times New Roman"/>
          <w:color w:val="auto"/>
          <w:highlight w:val="none"/>
          <w:lang w:val="en-US" w:eastAsia="zh-CN"/>
        </w:rPr>
        <w:t>二燃室</w:t>
      </w:r>
      <w:r>
        <w:rPr>
          <w:rFonts w:hint="eastAsia" w:ascii="Times New Roman" w:hAnsi="Times New Roman" w:eastAsia="宋体" w:cs="Times New Roman"/>
          <w:color w:val="auto"/>
          <w:highlight w:val="none"/>
          <w:lang w:val="en-US" w:eastAsia="zh-CN"/>
        </w:rPr>
        <w:t>VOCs去除率在97%以上。按去除率97%计，热洁炉燃烧尾气中VOCs排放量为0.0335t/a，通过</w:t>
      </w:r>
      <w:r>
        <w:rPr>
          <w:rFonts w:hint="eastAsia" w:cs="Times New Roman"/>
          <w:color w:val="auto"/>
          <w:highlight w:val="none"/>
          <w:lang w:val="en-US" w:eastAsia="zh-CN"/>
        </w:rPr>
        <w:t>20</w:t>
      </w:r>
      <w:r>
        <w:rPr>
          <w:rFonts w:hint="eastAsia" w:ascii="Times New Roman" w:hAnsi="Times New Roman" w:eastAsia="宋体" w:cs="Times New Roman"/>
          <w:color w:val="auto"/>
          <w:highlight w:val="none"/>
          <w:lang w:val="en-US" w:eastAsia="zh-CN"/>
        </w:rPr>
        <w:t>m高排气筒DA006有组织排放，配套风机风量15000m</w:t>
      </w:r>
      <w:r>
        <w:rPr>
          <w:rFonts w:hint="eastAsia"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p>
    <w:p w14:paraId="19268573">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热洁炉运行中伴有少量异味，以臭气浓度表征。本项目涂层不含卤素，其热裂解及二燃室高温氧化过程中产生的臭气浓度水平较低，且大部分致臭有机物经高温焚烧后被破坏。热洁炉废气经收集系统统一收集，经二燃室高温氧化及换热器降温后由排气筒有组织排放。本项目所用漆料组分限于C、H、O、N，不含卤素，生产异味小，臭气浓度难以定量分析，对外环境影响不大。</w:t>
      </w:r>
    </w:p>
    <w:p w14:paraId="79A54138">
      <w:pPr>
        <w:pStyle w:val="1336"/>
        <w:ind w:firstLine="480"/>
        <w:rPr>
          <w:rFonts w:hint="eastAsia" w:ascii="Times New Roman" w:hAnsi="Times New Roman" w:eastAsia="宋体" w:cs="Times New Roman"/>
          <w:color w:val="auto"/>
          <w:highlight w:val="none"/>
          <w:lang w:val="en-US" w:eastAsia="zh-CN"/>
        </w:rPr>
      </w:pPr>
    </w:p>
    <w:p w14:paraId="520CC776">
      <w:pPr>
        <w:pStyle w:val="1336"/>
        <w:ind w:firstLine="480"/>
        <w:rPr>
          <w:rFonts w:hint="default"/>
          <w:color w:val="auto"/>
          <w:highlight w:val="none"/>
          <w:lang w:val="en-US" w:eastAsia="zh-CN"/>
        </w:rPr>
      </w:pPr>
    </w:p>
    <w:p w14:paraId="191E36EB">
      <w:pPr>
        <w:pStyle w:val="1336"/>
        <w:widowControl w:val="0"/>
        <w:numPr>
          <w:ilvl w:val="0"/>
          <w:numId w:val="0"/>
        </w:numPr>
        <w:adjustRightInd w:val="0"/>
        <w:snapToGrid w:val="0"/>
        <w:spacing w:line="360" w:lineRule="auto"/>
        <w:jc w:val="both"/>
        <w:rPr>
          <w:rFonts w:hint="default"/>
          <w:color w:val="auto"/>
          <w:highlight w:val="none"/>
          <w:lang w:val="en-US" w:eastAsia="zh-CN"/>
        </w:rPr>
      </w:pPr>
    </w:p>
    <w:p w14:paraId="66B9CE95">
      <w:pPr>
        <w:pStyle w:val="1336"/>
        <w:widowControl w:val="0"/>
        <w:numPr>
          <w:ilvl w:val="0"/>
          <w:numId w:val="0"/>
        </w:numPr>
        <w:adjustRightInd w:val="0"/>
        <w:snapToGrid w:val="0"/>
        <w:spacing w:line="360" w:lineRule="auto"/>
        <w:jc w:val="both"/>
        <w:rPr>
          <w:rFonts w:hint="default"/>
          <w:color w:val="auto"/>
          <w:highlight w:val="none"/>
          <w:lang w:val="en-US" w:eastAsia="zh-CN"/>
        </w:rPr>
        <w:sectPr>
          <w:pgSz w:w="11906" w:h="16838"/>
          <w:pgMar w:top="1440" w:right="1418" w:bottom="1440" w:left="1418"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67FBDD9E">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w:t>
      </w:r>
      <w:r>
        <w:rPr>
          <w:rFonts w:hint="eastAsia" w:cs="Times New Roman"/>
          <w:color w:val="auto"/>
          <w:highlight w:val="none"/>
          <w:lang w:val="en-US" w:eastAsia="zh-CN"/>
        </w:rPr>
        <w:t>11</w:t>
      </w:r>
      <w:r>
        <w:rPr>
          <w:rFonts w:hint="default" w:ascii="Times New Roman" w:hAnsi="Times New Roman" w:cs="Times New Roman"/>
          <w:color w:val="auto"/>
          <w:highlight w:val="none"/>
          <w:lang w:val="en-US" w:eastAsia="zh-CN"/>
        </w:rPr>
        <w:t xml:space="preserve">  项目主要废气污染物产排情况汇总表</w:t>
      </w:r>
    </w:p>
    <w:tbl>
      <w:tblPr>
        <w:tblStyle w:val="80"/>
        <w:tblW w:w="21054" w:type="dxa"/>
        <w:tblInd w:w="9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85"/>
        <w:gridCol w:w="2392"/>
        <w:gridCol w:w="982"/>
        <w:gridCol w:w="1036"/>
        <w:gridCol w:w="1214"/>
        <w:gridCol w:w="1215"/>
        <w:gridCol w:w="1290"/>
        <w:gridCol w:w="2955"/>
        <w:gridCol w:w="1230"/>
        <w:gridCol w:w="1275"/>
        <w:gridCol w:w="1110"/>
        <w:gridCol w:w="1255"/>
        <w:gridCol w:w="1307"/>
        <w:gridCol w:w="1204"/>
        <w:gridCol w:w="1204"/>
      </w:tblGrid>
      <w:tr w14:paraId="1C966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noWrap/>
            <w:vAlign w:val="center"/>
          </w:tcPr>
          <w:p w14:paraId="23EE0F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工序</w:t>
            </w:r>
          </w:p>
        </w:tc>
        <w:tc>
          <w:tcPr>
            <w:tcW w:w="2392" w:type="dxa"/>
            <w:vMerge w:val="restart"/>
            <w:tcBorders>
              <w:tl2br w:val="nil"/>
              <w:tr2bl w:val="nil"/>
            </w:tcBorders>
            <w:shd w:val="clear" w:color="auto" w:fill="auto"/>
            <w:noWrap/>
            <w:vAlign w:val="center"/>
          </w:tcPr>
          <w:p w14:paraId="0D7824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污染因子</w:t>
            </w:r>
          </w:p>
        </w:tc>
        <w:tc>
          <w:tcPr>
            <w:tcW w:w="982" w:type="dxa"/>
            <w:vMerge w:val="restart"/>
            <w:tcBorders>
              <w:tl2br w:val="nil"/>
              <w:tr2bl w:val="nil"/>
            </w:tcBorders>
            <w:shd w:val="clear" w:color="auto" w:fill="auto"/>
            <w:noWrap/>
            <w:vAlign w:val="center"/>
          </w:tcPr>
          <w:p w14:paraId="1BFBBC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排放方式</w:t>
            </w:r>
          </w:p>
        </w:tc>
        <w:tc>
          <w:tcPr>
            <w:tcW w:w="1036" w:type="dxa"/>
            <w:vMerge w:val="restart"/>
            <w:tcBorders>
              <w:tl2br w:val="nil"/>
              <w:tr2bl w:val="nil"/>
            </w:tcBorders>
            <w:shd w:val="clear" w:color="auto" w:fill="auto"/>
            <w:noWrap/>
            <w:vAlign w:val="center"/>
          </w:tcPr>
          <w:p w14:paraId="704C77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产生量</w:t>
            </w:r>
          </w:p>
          <w:p w14:paraId="7E697A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t/a</w:t>
            </w:r>
          </w:p>
        </w:tc>
        <w:tc>
          <w:tcPr>
            <w:tcW w:w="1214" w:type="dxa"/>
            <w:vMerge w:val="restart"/>
            <w:tcBorders>
              <w:tl2br w:val="nil"/>
              <w:tr2bl w:val="nil"/>
            </w:tcBorders>
            <w:shd w:val="clear" w:color="auto" w:fill="auto"/>
            <w:noWrap/>
            <w:vAlign w:val="center"/>
          </w:tcPr>
          <w:p w14:paraId="1D9904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产生浓度</w:t>
            </w:r>
          </w:p>
          <w:p w14:paraId="04BCC0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mg/m</w:t>
            </w:r>
            <w:r>
              <w:rPr>
                <w:rFonts w:hint="eastAsia" w:cs="Times New Roman"/>
                <w:color w:val="auto"/>
                <w:kern w:val="0"/>
                <w:sz w:val="21"/>
                <w:szCs w:val="21"/>
                <w:highlight w:val="none"/>
                <w:vertAlign w:val="superscript"/>
                <w:lang w:val="en-US" w:eastAsia="zh-CN"/>
              </w:rPr>
              <w:t>3</w:t>
            </w:r>
          </w:p>
        </w:tc>
        <w:tc>
          <w:tcPr>
            <w:tcW w:w="1215" w:type="dxa"/>
            <w:vMerge w:val="restart"/>
            <w:tcBorders>
              <w:tl2br w:val="nil"/>
              <w:tr2bl w:val="nil"/>
            </w:tcBorders>
            <w:shd w:val="clear" w:color="auto" w:fill="auto"/>
            <w:noWrap/>
            <w:vAlign w:val="center"/>
          </w:tcPr>
          <w:p w14:paraId="45D608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产生速率</w:t>
            </w:r>
          </w:p>
          <w:p w14:paraId="7D9E8D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kg/h</w:t>
            </w:r>
          </w:p>
        </w:tc>
        <w:tc>
          <w:tcPr>
            <w:tcW w:w="1290" w:type="dxa"/>
            <w:vMerge w:val="restart"/>
            <w:tcBorders>
              <w:tl2br w:val="nil"/>
              <w:tr2bl w:val="nil"/>
            </w:tcBorders>
            <w:shd w:val="clear" w:color="auto" w:fill="auto"/>
            <w:noWrap/>
            <w:vAlign w:val="center"/>
          </w:tcPr>
          <w:p w14:paraId="095E51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废气量</w:t>
            </w:r>
          </w:p>
          <w:p w14:paraId="4B3DB8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val="en-US" w:eastAsia="zh-CN"/>
              </w:rPr>
              <w:t>/h</w:t>
            </w:r>
          </w:p>
        </w:tc>
        <w:tc>
          <w:tcPr>
            <w:tcW w:w="2955" w:type="dxa"/>
            <w:vMerge w:val="restart"/>
            <w:tcBorders>
              <w:tl2br w:val="nil"/>
              <w:tr2bl w:val="nil"/>
            </w:tcBorders>
            <w:shd w:val="clear" w:color="auto" w:fill="auto"/>
            <w:noWrap/>
            <w:vAlign w:val="center"/>
          </w:tcPr>
          <w:p w14:paraId="7BA590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治理设施</w:t>
            </w:r>
          </w:p>
        </w:tc>
        <w:tc>
          <w:tcPr>
            <w:tcW w:w="1230" w:type="dxa"/>
            <w:vMerge w:val="restart"/>
            <w:tcBorders>
              <w:tl2br w:val="nil"/>
              <w:tr2bl w:val="nil"/>
            </w:tcBorders>
            <w:shd w:val="clear" w:color="auto" w:fill="auto"/>
            <w:noWrap/>
            <w:vAlign w:val="center"/>
          </w:tcPr>
          <w:p w14:paraId="546B2E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处理效率</w:t>
            </w:r>
          </w:p>
        </w:tc>
        <w:tc>
          <w:tcPr>
            <w:tcW w:w="1275" w:type="dxa"/>
            <w:vMerge w:val="restart"/>
            <w:tcBorders>
              <w:tl2br w:val="nil"/>
              <w:tr2bl w:val="nil"/>
            </w:tcBorders>
            <w:shd w:val="clear" w:color="auto" w:fill="auto"/>
            <w:noWrap/>
            <w:vAlign w:val="center"/>
          </w:tcPr>
          <w:p w14:paraId="0EA6BE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排放量</w:t>
            </w:r>
            <w:r>
              <w:rPr>
                <w:rFonts w:hint="eastAsia" w:cs="Times New Roman"/>
                <w:color w:val="auto"/>
                <w:kern w:val="0"/>
                <w:sz w:val="21"/>
                <w:szCs w:val="21"/>
                <w:highlight w:val="none"/>
                <w:lang w:val="en-US" w:eastAsia="zh-CN"/>
              </w:rPr>
              <w:t>t/a</w:t>
            </w:r>
          </w:p>
        </w:tc>
        <w:tc>
          <w:tcPr>
            <w:tcW w:w="1110" w:type="dxa"/>
            <w:vMerge w:val="restart"/>
            <w:tcBorders>
              <w:tl2br w:val="nil"/>
              <w:tr2bl w:val="nil"/>
            </w:tcBorders>
            <w:shd w:val="clear" w:color="auto" w:fill="auto"/>
            <w:noWrap/>
            <w:vAlign w:val="center"/>
          </w:tcPr>
          <w:p w14:paraId="421C2D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排放浓度</w:t>
            </w:r>
            <w:r>
              <w:rPr>
                <w:rFonts w:hint="eastAsia" w:cs="Times New Roman"/>
                <w:color w:val="auto"/>
                <w:kern w:val="0"/>
                <w:sz w:val="21"/>
                <w:szCs w:val="21"/>
                <w:highlight w:val="none"/>
                <w:lang w:val="en-US" w:eastAsia="zh-CN"/>
              </w:rPr>
              <w:t>mg/m</w:t>
            </w:r>
            <w:r>
              <w:rPr>
                <w:rFonts w:hint="eastAsia" w:cs="Times New Roman"/>
                <w:color w:val="auto"/>
                <w:kern w:val="0"/>
                <w:sz w:val="21"/>
                <w:szCs w:val="21"/>
                <w:highlight w:val="none"/>
                <w:vertAlign w:val="superscript"/>
                <w:lang w:val="en-US" w:eastAsia="zh-CN"/>
              </w:rPr>
              <w:t>3</w:t>
            </w:r>
          </w:p>
        </w:tc>
        <w:tc>
          <w:tcPr>
            <w:tcW w:w="1255" w:type="dxa"/>
            <w:vMerge w:val="restart"/>
            <w:tcBorders>
              <w:tl2br w:val="nil"/>
              <w:tr2bl w:val="nil"/>
            </w:tcBorders>
            <w:shd w:val="clear" w:color="auto" w:fill="auto"/>
            <w:noWrap/>
            <w:vAlign w:val="center"/>
          </w:tcPr>
          <w:p w14:paraId="1E1CC6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排放速率</w:t>
            </w:r>
            <w:r>
              <w:rPr>
                <w:rFonts w:hint="eastAsia" w:cs="Times New Roman"/>
                <w:color w:val="auto"/>
                <w:kern w:val="0"/>
                <w:sz w:val="21"/>
                <w:szCs w:val="21"/>
                <w:highlight w:val="none"/>
                <w:lang w:val="en-US" w:eastAsia="zh-CN"/>
              </w:rPr>
              <w:t>kg/h</w:t>
            </w:r>
          </w:p>
        </w:tc>
        <w:tc>
          <w:tcPr>
            <w:tcW w:w="1307" w:type="dxa"/>
            <w:vMerge w:val="restart"/>
            <w:tcBorders>
              <w:tl2br w:val="nil"/>
              <w:tr2bl w:val="nil"/>
            </w:tcBorders>
            <w:shd w:val="clear" w:color="auto" w:fill="auto"/>
            <w:noWrap/>
            <w:vAlign w:val="center"/>
          </w:tcPr>
          <w:p w14:paraId="39EF32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年排放时间</w:t>
            </w:r>
          </w:p>
          <w:p w14:paraId="0498AD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h</w:t>
            </w:r>
          </w:p>
        </w:tc>
        <w:tc>
          <w:tcPr>
            <w:tcW w:w="2408" w:type="dxa"/>
            <w:gridSpan w:val="2"/>
            <w:tcBorders>
              <w:tl2br w:val="nil"/>
              <w:tr2bl w:val="nil"/>
            </w:tcBorders>
            <w:shd w:val="clear" w:color="auto" w:fill="auto"/>
            <w:vAlign w:val="center"/>
          </w:tcPr>
          <w:p w14:paraId="56F376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排放口</w:t>
            </w:r>
          </w:p>
        </w:tc>
      </w:tr>
      <w:tr w14:paraId="74EC1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0FAE0F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2392" w:type="dxa"/>
            <w:vMerge w:val="continue"/>
            <w:tcBorders>
              <w:tl2br w:val="nil"/>
              <w:tr2bl w:val="nil"/>
            </w:tcBorders>
            <w:shd w:val="clear" w:color="auto" w:fill="auto"/>
            <w:noWrap/>
            <w:vAlign w:val="center"/>
          </w:tcPr>
          <w:p w14:paraId="0082EE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982" w:type="dxa"/>
            <w:vMerge w:val="continue"/>
            <w:tcBorders>
              <w:tl2br w:val="nil"/>
              <w:tr2bl w:val="nil"/>
            </w:tcBorders>
            <w:shd w:val="clear" w:color="auto" w:fill="auto"/>
            <w:noWrap/>
            <w:vAlign w:val="center"/>
          </w:tcPr>
          <w:p w14:paraId="10C81F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036" w:type="dxa"/>
            <w:vMerge w:val="continue"/>
            <w:tcBorders>
              <w:tl2br w:val="nil"/>
              <w:tr2bl w:val="nil"/>
            </w:tcBorders>
            <w:shd w:val="clear" w:color="auto" w:fill="auto"/>
            <w:noWrap/>
            <w:vAlign w:val="center"/>
          </w:tcPr>
          <w:p w14:paraId="7D4947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14" w:type="dxa"/>
            <w:vMerge w:val="continue"/>
            <w:tcBorders>
              <w:tl2br w:val="nil"/>
              <w:tr2bl w:val="nil"/>
            </w:tcBorders>
            <w:shd w:val="clear" w:color="auto" w:fill="auto"/>
            <w:noWrap/>
            <w:vAlign w:val="center"/>
          </w:tcPr>
          <w:p w14:paraId="1CF645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15" w:type="dxa"/>
            <w:vMerge w:val="continue"/>
            <w:tcBorders>
              <w:tl2br w:val="nil"/>
              <w:tr2bl w:val="nil"/>
            </w:tcBorders>
            <w:shd w:val="clear" w:color="auto" w:fill="auto"/>
            <w:noWrap/>
            <w:vAlign w:val="center"/>
          </w:tcPr>
          <w:p w14:paraId="43D3A7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90" w:type="dxa"/>
            <w:vMerge w:val="continue"/>
            <w:tcBorders>
              <w:tl2br w:val="nil"/>
              <w:tr2bl w:val="nil"/>
            </w:tcBorders>
            <w:shd w:val="clear" w:color="auto" w:fill="auto"/>
            <w:noWrap/>
            <w:vAlign w:val="center"/>
          </w:tcPr>
          <w:p w14:paraId="5286F1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2955" w:type="dxa"/>
            <w:vMerge w:val="continue"/>
            <w:tcBorders>
              <w:tl2br w:val="nil"/>
              <w:tr2bl w:val="nil"/>
            </w:tcBorders>
            <w:shd w:val="clear" w:color="auto" w:fill="auto"/>
            <w:noWrap/>
            <w:vAlign w:val="center"/>
          </w:tcPr>
          <w:p w14:paraId="43D843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30" w:type="dxa"/>
            <w:vMerge w:val="continue"/>
            <w:tcBorders>
              <w:tl2br w:val="nil"/>
              <w:tr2bl w:val="nil"/>
            </w:tcBorders>
            <w:shd w:val="clear" w:color="auto" w:fill="auto"/>
            <w:noWrap/>
            <w:vAlign w:val="center"/>
          </w:tcPr>
          <w:p w14:paraId="1E82DD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75" w:type="dxa"/>
            <w:vMerge w:val="continue"/>
            <w:tcBorders>
              <w:tl2br w:val="nil"/>
              <w:tr2bl w:val="nil"/>
            </w:tcBorders>
            <w:shd w:val="clear" w:color="auto" w:fill="auto"/>
            <w:noWrap/>
            <w:vAlign w:val="center"/>
          </w:tcPr>
          <w:p w14:paraId="56F1AB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110" w:type="dxa"/>
            <w:vMerge w:val="continue"/>
            <w:tcBorders>
              <w:tl2br w:val="nil"/>
              <w:tr2bl w:val="nil"/>
            </w:tcBorders>
            <w:shd w:val="clear" w:color="auto" w:fill="auto"/>
            <w:noWrap/>
            <w:vAlign w:val="center"/>
          </w:tcPr>
          <w:p w14:paraId="35E51E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55" w:type="dxa"/>
            <w:vMerge w:val="continue"/>
            <w:tcBorders>
              <w:tl2br w:val="nil"/>
              <w:tr2bl w:val="nil"/>
            </w:tcBorders>
            <w:shd w:val="clear" w:color="auto" w:fill="auto"/>
            <w:noWrap/>
            <w:vAlign w:val="center"/>
          </w:tcPr>
          <w:p w14:paraId="200F31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307" w:type="dxa"/>
            <w:vMerge w:val="continue"/>
            <w:tcBorders>
              <w:tl2br w:val="nil"/>
              <w:tr2bl w:val="nil"/>
            </w:tcBorders>
            <w:shd w:val="clear" w:color="auto" w:fill="auto"/>
            <w:noWrap/>
            <w:vAlign w:val="center"/>
          </w:tcPr>
          <w:p w14:paraId="710F55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1204" w:type="dxa"/>
            <w:tcBorders>
              <w:tl2br w:val="nil"/>
              <w:tr2bl w:val="nil"/>
            </w:tcBorders>
            <w:shd w:val="clear" w:color="auto" w:fill="auto"/>
            <w:vAlign w:val="center"/>
          </w:tcPr>
          <w:p w14:paraId="4E88ED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编号</w:t>
            </w:r>
          </w:p>
        </w:tc>
        <w:tc>
          <w:tcPr>
            <w:tcW w:w="1204" w:type="dxa"/>
            <w:tcBorders>
              <w:tl2br w:val="nil"/>
              <w:tr2bl w:val="nil"/>
            </w:tcBorders>
            <w:shd w:val="clear" w:color="auto" w:fill="auto"/>
            <w:vAlign w:val="center"/>
          </w:tcPr>
          <w:p w14:paraId="2DBE69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高度</w:t>
            </w:r>
            <w:r>
              <w:rPr>
                <w:rFonts w:hint="eastAsia" w:cs="Times New Roman"/>
                <w:color w:val="auto"/>
                <w:kern w:val="0"/>
                <w:sz w:val="21"/>
                <w:szCs w:val="21"/>
                <w:highlight w:val="none"/>
                <w:lang w:val="en-US" w:eastAsia="zh-CN"/>
              </w:rPr>
              <w:t>m</w:t>
            </w:r>
          </w:p>
        </w:tc>
      </w:tr>
      <w:tr w14:paraId="06F839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5EA38B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喷漆、流平、烘干</w:t>
            </w:r>
          </w:p>
        </w:tc>
        <w:tc>
          <w:tcPr>
            <w:tcW w:w="2392" w:type="dxa"/>
            <w:tcBorders>
              <w:tl2br w:val="nil"/>
              <w:tr2bl w:val="nil"/>
            </w:tcBorders>
            <w:shd w:val="clear" w:color="auto" w:fill="auto"/>
            <w:noWrap/>
            <w:vAlign w:val="center"/>
          </w:tcPr>
          <w:p w14:paraId="712012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982" w:type="dxa"/>
            <w:vMerge w:val="restart"/>
            <w:tcBorders>
              <w:tl2br w:val="nil"/>
              <w:tr2bl w:val="nil"/>
            </w:tcBorders>
            <w:shd w:val="clear" w:color="auto" w:fill="auto"/>
            <w:noWrap/>
            <w:vAlign w:val="center"/>
          </w:tcPr>
          <w:p w14:paraId="4E361D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07D000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16.2150</w:t>
            </w:r>
          </w:p>
        </w:tc>
        <w:tc>
          <w:tcPr>
            <w:tcW w:w="1214" w:type="dxa"/>
            <w:tcBorders>
              <w:tl2br w:val="nil"/>
              <w:tr2bl w:val="nil"/>
            </w:tcBorders>
            <w:shd w:val="clear" w:color="auto" w:fill="auto"/>
            <w:noWrap/>
            <w:vAlign w:val="center"/>
          </w:tcPr>
          <w:p w14:paraId="1410BD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98.2727</w:t>
            </w:r>
          </w:p>
        </w:tc>
        <w:tc>
          <w:tcPr>
            <w:tcW w:w="1215" w:type="dxa"/>
            <w:tcBorders>
              <w:tl2br w:val="nil"/>
              <w:tr2bl w:val="nil"/>
            </w:tcBorders>
            <w:shd w:val="clear" w:color="auto" w:fill="auto"/>
            <w:noWrap/>
            <w:vAlign w:val="center"/>
          </w:tcPr>
          <w:p w14:paraId="5E7B6F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2.4568</w:t>
            </w:r>
          </w:p>
        </w:tc>
        <w:tc>
          <w:tcPr>
            <w:tcW w:w="1290" w:type="dxa"/>
            <w:vMerge w:val="restart"/>
            <w:tcBorders>
              <w:tl2br w:val="nil"/>
              <w:tr2bl w:val="nil"/>
            </w:tcBorders>
            <w:shd w:val="clear" w:color="auto" w:fill="auto"/>
            <w:noWrap/>
            <w:vAlign w:val="center"/>
          </w:tcPr>
          <w:p w14:paraId="1F4EFC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25000</w:t>
            </w:r>
          </w:p>
        </w:tc>
        <w:tc>
          <w:tcPr>
            <w:tcW w:w="2955" w:type="dxa"/>
            <w:vMerge w:val="restart"/>
            <w:tcBorders>
              <w:tl2br w:val="nil"/>
              <w:tr2bl w:val="nil"/>
            </w:tcBorders>
            <w:shd w:val="clear" w:color="auto" w:fill="auto"/>
            <w:vAlign w:val="center"/>
          </w:tcPr>
          <w:p w14:paraId="301837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干式纸盒+过滤棉过滤+RTO蓄热式焚烧炉</w:t>
            </w:r>
          </w:p>
        </w:tc>
        <w:tc>
          <w:tcPr>
            <w:tcW w:w="1230" w:type="dxa"/>
            <w:tcBorders>
              <w:tl2br w:val="nil"/>
              <w:tr2bl w:val="nil"/>
            </w:tcBorders>
            <w:shd w:val="clear" w:color="auto" w:fill="auto"/>
            <w:noWrap/>
            <w:vAlign w:val="center"/>
          </w:tcPr>
          <w:p w14:paraId="59DA9C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99%</w:t>
            </w:r>
          </w:p>
        </w:tc>
        <w:tc>
          <w:tcPr>
            <w:tcW w:w="1275" w:type="dxa"/>
            <w:tcBorders>
              <w:tl2br w:val="nil"/>
              <w:tr2bl w:val="nil"/>
            </w:tcBorders>
            <w:shd w:val="clear" w:color="auto" w:fill="auto"/>
            <w:noWrap/>
            <w:vAlign w:val="center"/>
          </w:tcPr>
          <w:p w14:paraId="4068AB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0.1622 </w:t>
            </w:r>
          </w:p>
        </w:tc>
        <w:tc>
          <w:tcPr>
            <w:tcW w:w="1110" w:type="dxa"/>
            <w:tcBorders>
              <w:tl2br w:val="nil"/>
              <w:tr2bl w:val="nil"/>
            </w:tcBorders>
            <w:shd w:val="clear" w:color="auto" w:fill="auto"/>
            <w:noWrap/>
            <w:vAlign w:val="center"/>
          </w:tcPr>
          <w:p w14:paraId="20FA12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0.9827 </w:t>
            </w:r>
          </w:p>
        </w:tc>
        <w:tc>
          <w:tcPr>
            <w:tcW w:w="1255" w:type="dxa"/>
            <w:tcBorders>
              <w:tl2br w:val="nil"/>
              <w:tr2bl w:val="nil"/>
            </w:tcBorders>
            <w:shd w:val="clear" w:color="auto" w:fill="auto"/>
            <w:noWrap/>
            <w:vAlign w:val="center"/>
          </w:tcPr>
          <w:p w14:paraId="416821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0.0246 </w:t>
            </w:r>
          </w:p>
        </w:tc>
        <w:tc>
          <w:tcPr>
            <w:tcW w:w="1307" w:type="dxa"/>
            <w:vMerge w:val="restart"/>
            <w:tcBorders>
              <w:tl2br w:val="nil"/>
              <w:tr2bl w:val="nil"/>
            </w:tcBorders>
            <w:shd w:val="clear" w:color="auto" w:fill="auto"/>
            <w:noWrap/>
            <w:vAlign w:val="center"/>
          </w:tcPr>
          <w:p w14:paraId="53AD84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6600</w:t>
            </w:r>
          </w:p>
        </w:tc>
        <w:tc>
          <w:tcPr>
            <w:tcW w:w="1204" w:type="dxa"/>
            <w:vMerge w:val="restart"/>
            <w:tcBorders>
              <w:tl2br w:val="nil"/>
              <w:tr2bl w:val="nil"/>
            </w:tcBorders>
            <w:shd w:val="clear" w:color="auto" w:fill="auto"/>
            <w:noWrap/>
            <w:vAlign w:val="center"/>
          </w:tcPr>
          <w:p w14:paraId="6BF26E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DA001</w:t>
            </w:r>
          </w:p>
        </w:tc>
        <w:tc>
          <w:tcPr>
            <w:tcW w:w="1204" w:type="dxa"/>
            <w:vMerge w:val="restart"/>
            <w:tcBorders>
              <w:tl2br w:val="nil"/>
              <w:tr2bl w:val="nil"/>
            </w:tcBorders>
            <w:shd w:val="clear" w:color="auto" w:fill="auto"/>
            <w:noWrap/>
            <w:vAlign w:val="center"/>
          </w:tcPr>
          <w:p w14:paraId="019DC3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20236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6A456E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516DD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continue"/>
            <w:tcBorders>
              <w:tl2br w:val="nil"/>
              <w:tr2bl w:val="nil"/>
            </w:tcBorders>
            <w:shd w:val="clear" w:color="auto" w:fill="auto"/>
            <w:noWrap/>
            <w:vAlign w:val="center"/>
          </w:tcPr>
          <w:p w14:paraId="58C941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33094B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11.9413</w:t>
            </w:r>
          </w:p>
        </w:tc>
        <w:tc>
          <w:tcPr>
            <w:tcW w:w="1214" w:type="dxa"/>
            <w:tcBorders>
              <w:tl2br w:val="nil"/>
              <w:tr2bl w:val="nil"/>
            </w:tcBorders>
            <w:shd w:val="clear" w:color="auto" w:fill="auto"/>
            <w:noWrap/>
            <w:vAlign w:val="center"/>
          </w:tcPr>
          <w:p w14:paraId="6BEDA7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72.3715</w:t>
            </w:r>
          </w:p>
        </w:tc>
        <w:tc>
          <w:tcPr>
            <w:tcW w:w="1215" w:type="dxa"/>
            <w:tcBorders>
              <w:tl2br w:val="nil"/>
              <w:tr2bl w:val="nil"/>
            </w:tcBorders>
            <w:shd w:val="clear" w:color="auto" w:fill="auto"/>
            <w:noWrap/>
            <w:vAlign w:val="center"/>
          </w:tcPr>
          <w:p w14:paraId="2CBD05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1.8093</w:t>
            </w:r>
          </w:p>
        </w:tc>
        <w:tc>
          <w:tcPr>
            <w:tcW w:w="1290" w:type="dxa"/>
            <w:vMerge w:val="continue"/>
            <w:tcBorders>
              <w:tl2br w:val="nil"/>
              <w:tr2bl w:val="nil"/>
            </w:tcBorders>
            <w:shd w:val="clear" w:color="auto" w:fill="auto"/>
            <w:noWrap/>
            <w:vAlign w:val="center"/>
          </w:tcPr>
          <w:p w14:paraId="31F477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189813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restart"/>
            <w:tcBorders>
              <w:tl2br w:val="nil"/>
              <w:tr2bl w:val="nil"/>
            </w:tcBorders>
            <w:shd w:val="clear" w:color="auto" w:fill="auto"/>
            <w:noWrap/>
            <w:vAlign w:val="center"/>
          </w:tcPr>
          <w:p w14:paraId="1A7321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98%</w:t>
            </w:r>
          </w:p>
        </w:tc>
        <w:tc>
          <w:tcPr>
            <w:tcW w:w="1275" w:type="dxa"/>
            <w:tcBorders>
              <w:tl2br w:val="nil"/>
              <w:tr2bl w:val="nil"/>
            </w:tcBorders>
            <w:shd w:val="clear" w:color="auto" w:fill="auto"/>
            <w:noWrap/>
            <w:vAlign w:val="center"/>
          </w:tcPr>
          <w:p w14:paraId="7A68DE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0.2388 </w:t>
            </w:r>
          </w:p>
        </w:tc>
        <w:tc>
          <w:tcPr>
            <w:tcW w:w="1110" w:type="dxa"/>
            <w:tcBorders>
              <w:tl2br w:val="nil"/>
              <w:tr2bl w:val="nil"/>
            </w:tcBorders>
            <w:shd w:val="clear" w:color="auto" w:fill="auto"/>
            <w:noWrap/>
            <w:vAlign w:val="center"/>
          </w:tcPr>
          <w:p w14:paraId="379995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1.4474 </w:t>
            </w:r>
          </w:p>
        </w:tc>
        <w:tc>
          <w:tcPr>
            <w:tcW w:w="1255" w:type="dxa"/>
            <w:tcBorders>
              <w:tl2br w:val="nil"/>
              <w:tr2bl w:val="nil"/>
            </w:tcBorders>
            <w:shd w:val="clear" w:color="auto" w:fill="auto"/>
            <w:noWrap/>
            <w:vAlign w:val="center"/>
          </w:tcPr>
          <w:p w14:paraId="711A5F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0.0362 </w:t>
            </w:r>
          </w:p>
        </w:tc>
        <w:tc>
          <w:tcPr>
            <w:tcW w:w="1307" w:type="dxa"/>
            <w:vMerge w:val="continue"/>
            <w:tcBorders>
              <w:tl2br w:val="nil"/>
              <w:tr2bl w:val="nil"/>
            </w:tcBorders>
            <w:shd w:val="clear" w:color="auto" w:fill="auto"/>
            <w:noWrap/>
            <w:vAlign w:val="center"/>
          </w:tcPr>
          <w:p w14:paraId="5E3F36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203BC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65307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9F48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3DC0FC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4CC332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3408D9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2D68AD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16.7604</w:t>
            </w:r>
          </w:p>
        </w:tc>
        <w:tc>
          <w:tcPr>
            <w:tcW w:w="1214" w:type="dxa"/>
            <w:tcBorders>
              <w:tl2br w:val="nil"/>
              <w:tr2bl w:val="nil"/>
            </w:tcBorders>
            <w:shd w:val="clear" w:color="auto" w:fill="auto"/>
            <w:noWrap/>
            <w:vAlign w:val="center"/>
          </w:tcPr>
          <w:p w14:paraId="00B787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101.5782</w:t>
            </w:r>
          </w:p>
        </w:tc>
        <w:tc>
          <w:tcPr>
            <w:tcW w:w="1215" w:type="dxa"/>
            <w:tcBorders>
              <w:tl2br w:val="nil"/>
              <w:tr2bl w:val="nil"/>
            </w:tcBorders>
            <w:shd w:val="clear" w:color="auto" w:fill="auto"/>
            <w:noWrap/>
            <w:vAlign w:val="center"/>
          </w:tcPr>
          <w:p w14:paraId="066B53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2.5395</w:t>
            </w:r>
          </w:p>
        </w:tc>
        <w:tc>
          <w:tcPr>
            <w:tcW w:w="1290" w:type="dxa"/>
            <w:vMerge w:val="continue"/>
            <w:tcBorders>
              <w:tl2br w:val="nil"/>
              <w:tr2bl w:val="nil"/>
            </w:tcBorders>
            <w:shd w:val="clear" w:color="auto" w:fill="auto"/>
            <w:noWrap/>
            <w:vAlign w:val="center"/>
          </w:tcPr>
          <w:p w14:paraId="567AA7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64A563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6B09B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59DBE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0.3352 </w:t>
            </w:r>
          </w:p>
        </w:tc>
        <w:tc>
          <w:tcPr>
            <w:tcW w:w="1110" w:type="dxa"/>
            <w:tcBorders>
              <w:tl2br w:val="nil"/>
              <w:tr2bl w:val="nil"/>
            </w:tcBorders>
            <w:shd w:val="clear" w:color="auto" w:fill="auto"/>
            <w:noWrap/>
            <w:vAlign w:val="center"/>
          </w:tcPr>
          <w:p w14:paraId="2BF19A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2.0316 </w:t>
            </w:r>
          </w:p>
        </w:tc>
        <w:tc>
          <w:tcPr>
            <w:tcW w:w="1255" w:type="dxa"/>
            <w:tcBorders>
              <w:tl2br w:val="nil"/>
              <w:tr2bl w:val="nil"/>
            </w:tcBorders>
            <w:shd w:val="clear" w:color="auto" w:fill="auto"/>
            <w:noWrap/>
            <w:vAlign w:val="center"/>
          </w:tcPr>
          <w:p w14:paraId="3EAC90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0.0508 </w:t>
            </w:r>
          </w:p>
        </w:tc>
        <w:tc>
          <w:tcPr>
            <w:tcW w:w="1307" w:type="dxa"/>
            <w:vMerge w:val="continue"/>
            <w:tcBorders>
              <w:tl2br w:val="nil"/>
              <w:tr2bl w:val="nil"/>
            </w:tcBorders>
            <w:shd w:val="clear" w:color="auto" w:fill="auto"/>
            <w:noWrap/>
            <w:vAlign w:val="center"/>
          </w:tcPr>
          <w:p w14:paraId="001EA8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7B5410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1EA7E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3A88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58A3E7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5714EB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60199E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10FAE0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23.2402</w:t>
            </w:r>
          </w:p>
        </w:tc>
        <w:tc>
          <w:tcPr>
            <w:tcW w:w="1214" w:type="dxa"/>
            <w:tcBorders>
              <w:tl2br w:val="nil"/>
              <w:tr2bl w:val="nil"/>
            </w:tcBorders>
            <w:shd w:val="clear" w:color="auto" w:fill="auto"/>
            <w:noWrap/>
            <w:vAlign w:val="center"/>
          </w:tcPr>
          <w:p w14:paraId="188873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140.8496</w:t>
            </w:r>
          </w:p>
        </w:tc>
        <w:tc>
          <w:tcPr>
            <w:tcW w:w="1215" w:type="dxa"/>
            <w:tcBorders>
              <w:tl2br w:val="nil"/>
              <w:tr2bl w:val="nil"/>
            </w:tcBorders>
            <w:shd w:val="clear" w:color="auto" w:fill="auto"/>
            <w:noWrap/>
            <w:vAlign w:val="center"/>
          </w:tcPr>
          <w:p w14:paraId="3DE603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3.5212</w:t>
            </w:r>
          </w:p>
        </w:tc>
        <w:tc>
          <w:tcPr>
            <w:tcW w:w="1290" w:type="dxa"/>
            <w:vMerge w:val="continue"/>
            <w:tcBorders>
              <w:tl2br w:val="nil"/>
              <w:tr2bl w:val="nil"/>
            </w:tcBorders>
            <w:shd w:val="clear" w:color="auto" w:fill="auto"/>
            <w:noWrap/>
            <w:vAlign w:val="center"/>
          </w:tcPr>
          <w:p w14:paraId="46BFA4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3A66C7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2A7E89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475F6F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0.4648 </w:t>
            </w:r>
          </w:p>
        </w:tc>
        <w:tc>
          <w:tcPr>
            <w:tcW w:w="1110" w:type="dxa"/>
            <w:tcBorders>
              <w:tl2br w:val="nil"/>
              <w:tr2bl w:val="nil"/>
            </w:tcBorders>
            <w:shd w:val="clear" w:color="auto" w:fill="auto"/>
            <w:noWrap/>
            <w:vAlign w:val="center"/>
          </w:tcPr>
          <w:p w14:paraId="56A68D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2.8170 </w:t>
            </w:r>
          </w:p>
        </w:tc>
        <w:tc>
          <w:tcPr>
            <w:tcW w:w="1255" w:type="dxa"/>
            <w:tcBorders>
              <w:tl2br w:val="nil"/>
              <w:tr2bl w:val="nil"/>
            </w:tcBorders>
            <w:shd w:val="clear" w:color="auto" w:fill="auto"/>
            <w:noWrap/>
            <w:vAlign w:val="center"/>
          </w:tcPr>
          <w:p w14:paraId="06A095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0.0704 </w:t>
            </w:r>
          </w:p>
        </w:tc>
        <w:tc>
          <w:tcPr>
            <w:tcW w:w="1307" w:type="dxa"/>
            <w:vMerge w:val="continue"/>
            <w:tcBorders>
              <w:tl2br w:val="nil"/>
              <w:tr2bl w:val="nil"/>
            </w:tcBorders>
            <w:shd w:val="clear" w:color="auto" w:fill="auto"/>
            <w:noWrap/>
            <w:vAlign w:val="center"/>
          </w:tcPr>
          <w:p w14:paraId="5D51CB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4E3A6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0FC8E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75C5E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15BB9A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0E2ED4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982" w:type="dxa"/>
            <w:vMerge w:val="restart"/>
            <w:tcBorders>
              <w:tl2br w:val="nil"/>
              <w:tr2bl w:val="nil"/>
            </w:tcBorders>
            <w:shd w:val="clear" w:color="auto" w:fill="auto"/>
            <w:noWrap/>
            <w:vAlign w:val="center"/>
          </w:tcPr>
          <w:p w14:paraId="5DA519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5DEB8F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1.8017</w:t>
            </w:r>
          </w:p>
        </w:tc>
        <w:tc>
          <w:tcPr>
            <w:tcW w:w="1214" w:type="dxa"/>
            <w:tcBorders>
              <w:tl2br w:val="nil"/>
              <w:tr2bl w:val="nil"/>
            </w:tcBorders>
            <w:shd w:val="clear" w:color="auto" w:fill="auto"/>
            <w:noWrap/>
            <w:vAlign w:val="center"/>
          </w:tcPr>
          <w:p w14:paraId="639A63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5EECBC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0.2730</w:t>
            </w:r>
          </w:p>
        </w:tc>
        <w:tc>
          <w:tcPr>
            <w:tcW w:w="1290" w:type="dxa"/>
            <w:vMerge w:val="restart"/>
            <w:tcBorders>
              <w:tl2br w:val="nil"/>
              <w:tr2bl w:val="nil"/>
            </w:tcBorders>
            <w:shd w:val="clear" w:color="auto" w:fill="auto"/>
            <w:noWrap/>
            <w:vAlign w:val="center"/>
          </w:tcPr>
          <w:p w14:paraId="523A20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vMerge w:val="restart"/>
            <w:tcBorders>
              <w:tl2br w:val="nil"/>
              <w:tr2bl w:val="nil"/>
            </w:tcBorders>
            <w:shd w:val="clear" w:color="auto" w:fill="auto"/>
            <w:noWrap/>
            <w:vAlign w:val="center"/>
          </w:tcPr>
          <w:p w14:paraId="27B473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vMerge w:val="restart"/>
            <w:tcBorders>
              <w:tl2br w:val="nil"/>
              <w:tr2bl w:val="nil"/>
            </w:tcBorders>
            <w:shd w:val="clear" w:color="auto" w:fill="auto"/>
            <w:noWrap/>
            <w:vAlign w:val="center"/>
          </w:tcPr>
          <w:p w14:paraId="6A9F06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1F96C2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1.8017 </w:t>
            </w:r>
          </w:p>
        </w:tc>
        <w:tc>
          <w:tcPr>
            <w:tcW w:w="1110" w:type="dxa"/>
            <w:tcBorders>
              <w:tl2br w:val="nil"/>
              <w:tr2bl w:val="nil"/>
            </w:tcBorders>
            <w:shd w:val="clear" w:color="auto" w:fill="auto"/>
            <w:noWrap/>
            <w:vAlign w:val="center"/>
          </w:tcPr>
          <w:p w14:paraId="4CA57E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138E59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0.2730 </w:t>
            </w:r>
          </w:p>
        </w:tc>
        <w:tc>
          <w:tcPr>
            <w:tcW w:w="1307" w:type="dxa"/>
            <w:vMerge w:val="continue"/>
            <w:tcBorders>
              <w:tl2br w:val="nil"/>
              <w:tr2bl w:val="nil"/>
            </w:tcBorders>
            <w:shd w:val="clear" w:color="auto" w:fill="auto"/>
            <w:noWrap/>
            <w:vAlign w:val="center"/>
          </w:tcPr>
          <w:p w14:paraId="604E2B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restart"/>
            <w:tcBorders>
              <w:tl2br w:val="nil"/>
              <w:tr2bl w:val="nil"/>
            </w:tcBorders>
            <w:shd w:val="clear" w:color="auto" w:fill="auto"/>
            <w:noWrap/>
            <w:vAlign w:val="center"/>
          </w:tcPr>
          <w:p w14:paraId="1F58E1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vMerge w:val="restart"/>
            <w:tcBorders>
              <w:tl2br w:val="nil"/>
              <w:tr2bl w:val="nil"/>
            </w:tcBorders>
            <w:shd w:val="clear" w:color="auto" w:fill="auto"/>
            <w:noWrap/>
            <w:vAlign w:val="center"/>
          </w:tcPr>
          <w:p w14:paraId="4233F4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1690A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6A2254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6678F6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continue"/>
            <w:tcBorders>
              <w:tl2br w:val="nil"/>
              <w:tr2bl w:val="nil"/>
            </w:tcBorders>
            <w:shd w:val="clear" w:color="auto" w:fill="auto"/>
            <w:noWrap/>
            <w:vAlign w:val="center"/>
          </w:tcPr>
          <w:p w14:paraId="2AAE33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240D18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1.3268</w:t>
            </w:r>
          </w:p>
        </w:tc>
        <w:tc>
          <w:tcPr>
            <w:tcW w:w="1214" w:type="dxa"/>
            <w:tcBorders>
              <w:tl2br w:val="nil"/>
              <w:tr2bl w:val="nil"/>
            </w:tcBorders>
            <w:shd w:val="clear" w:color="auto" w:fill="auto"/>
            <w:noWrap/>
            <w:vAlign w:val="center"/>
          </w:tcPr>
          <w:p w14:paraId="799A25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3955DF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0.2010</w:t>
            </w:r>
          </w:p>
        </w:tc>
        <w:tc>
          <w:tcPr>
            <w:tcW w:w="1290" w:type="dxa"/>
            <w:vMerge w:val="continue"/>
            <w:tcBorders>
              <w:tl2br w:val="nil"/>
              <w:tr2bl w:val="nil"/>
            </w:tcBorders>
            <w:shd w:val="clear" w:color="auto" w:fill="auto"/>
            <w:noWrap/>
            <w:vAlign w:val="center"/>
          </w:tcPr>
          <w:p w14:paraId="7AC009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143D3E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2DD53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5C4A0F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1.3268 </w:t>
            </w:r>
          </w:p>
        </w:tc>
        <w:tc>
          <w:tcPr>
            <w:tcW w:w="1110" w:type="dxa"/>
            <w:tcBorders>
              <w:tl2br w:val="nil"/>
              <w:tr2bl w:val="nil"/>
            </w:tcBorders>
            <w:shd w:val="clear" w:color="auto" w:fill="auto"/>
            <w:noWrap/>
            <w:vAlign w:val="center"/>
          </w:tcPr>
          <w:p w14:paraId="17CDEB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011D1E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0.2010 </w:t>
            </w:r>
          </w:p>
        </w:tc>
        <w:tc>
          <w:tcPr>
            <w:tcW w:w="1307" w:type="dxa"/>
            <w:vMerge w:val="continue"/>
            <w:tcBorders>
              <w:tl2br w:val="nil"/>
              <w:tr2bl w:val="nil"/>
            </w:tcBorders>
            <w:shd w:val="clear" w:color="auto" w:fill="auto"/>
            <w:noWrap/>
            <w:vAlign w:val="center"/>
          </w:tcPr>
          <w:p w14:paraId="222F6E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4BD31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8B202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6B0A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E992B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8496C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266CA4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03B43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1.8623</w:t>
            </w:r>
          </w:p>
        </w:tc>
        <w:tc>
          <w:tcPr>
            <w:tcW w:w="1214" w:type="dxa"/>
            <w:tcBorders>
              <w:tl2br w:val="nil"/>
              <w:tr2bl w:val="nil"/>
            </w:tcBorders>
            <w:shd w:val="clear" w:color="auto" w:fill="auto"/>
            <w:noWrap/>
            <w:vAlign w:val="center"/>
          </w:tcPr>
          <w:p w14:paraId="2BCC79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781B78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0.2822</w:t>
            </w:r>
          </w:p>
        </w:tc>
        <w:tc>
          <w:tcPr>
            <w:tcW w:w="1290" w:type="dxa"/>
            <w:vMerge w:val="continue"/>
            <w:tcBorders>
              <w:tl2br w:val="nil"/>
              <w:tr2bl w:val="nil"/>
            </w:tcBorders>
            <w:shd w:val="clear" w:color="auto" w:fill="auto"/>
            <w:noWrap/>
            <w:vAlign w:val="center"/>
          </w:tcPr>
          <w:p w14:paraId="31B467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11F6CF5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49A200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B133E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1.8623 </w:t>
            </w:r>
          </w:p>
        </w:tc>
        <w:tc>
          <w:tcPr>
            <w:tcW w:w="1110" w:type="dxa"/>
            <w:tcBorders>
              <w:tl2br w:val="nil"/>
              <w:tr2bl w:val="nil"/>
            </w:tcBorders>
            <w:shd w:val="clear" w:color="auto" w:fill="auto"/>
            <w:noWrap/>
            <w:vAlign w:val="center"/>
          </w:tcPr>
          <w:p w14:paraId="15DA0A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54F972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0.2822 </w:t>
            </w:r>
          </w:p>
        </w:tc>
        <w:tc>
          <w:tcPr>
            <w:tcW w:w="1307" w:type="dxa"/>
            <w:vMerge w:val="continue"/>
            <w:tcBorders>
              <w:tl2br w:val="nil"/>
              <w:tr2bl w:val="nil"/>
            </w:tcBorders>
            <w:shd w:val="clear" w:color="auto" w:fill="auto"/>
            <w:noWrap/>
            <w:vAlign w:val="center"/>
          </w:tcPr>
          <w:p w14:paraId="431993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C172E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55DE9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370C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89248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3D9BF7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46774A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3C4224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2.5822</w:t>
            </w:r>
          </w:p>
        </w:tc>
        <w:tc>
          <w:tcPr>
            <w:tcW w:w="1214" w:type="dxa"/>
            <w:tcBorders>
              <w:tl2br w:val="nil"/>
              <w:tr2bl w:val="nil"/>
            </w:tcBorders>
            <w:shd w:val="clear" w:color="auto" w:fill="auto"/>
            <w:noWrap/>
            <w:vAlign w:val="center"/>
          </w:tcPr>
          <w:p w14:paraId="25ABAB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75F2CB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0.3912</w:t>
            </w:r>
          </w:p>
        </w:tc>
        <w:tc>
          <w:tcPr>
            <w:tcW w:w="1290" w:type="dxa"/>
            <w:vMerge w:val="continue"/>
            <w:tcBorders>
              <w:tl2br w:val="nil"/>
              <w:tr2bl w:val="nil"/>
            </w:tcBorders>
            <w:shd w:val="clear" w:color="auto" w:fill="auto"/>
            <w:noWrap/>
            <w:vAlign w:val="center"/>
          </w:tcPr>
          <w:p w14:paraId="1C9933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1C93C8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45F683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1305F2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2.5822 </w:t>
            </w:r>
          </w:p>
        </w:tc>
        <w:tc>
          <w:tcPr>
            <w:tcW w:w="1110" w:type="dxa"/>
            <w:tcBorders>
              <w:tl2br w:val="nil"/>
              <w:tr2bl w:val="nil"/>
            </w:tcBorders>
            <w:shd w:val="clear" w:color="auto" w:fill="auto"/>
            <w:noWrap/>
            <w:vAlign w:val="center"/>
          </w:tcPr>
          <w:p w14:paraId="1AE038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4CF61B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0.3912 </w:t>
            </w:r>
          </w:p>
        </w:tc>
        <w:tc>
          <w:tcPr>
            <w:tcW w:w="1307" w:type="dxa"/>
            <w:vMerge w:val="continue"/>
            <w:tcBorders>
              <w:tl2br w:val="nil"/>
              <w:tr2bl w:val="nil"/>
            </w:tcBorders>
            <w:shd w:val="clear" w:color="auto" w:fill="auto"/>
            <w:noWrap/>
            <w:vAlign w:val="center"/>
          </w:tcPr>
          <w:p w14:paraId="32F0BA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41684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2B92B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7C82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3757EDB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清洗</w:t>
            </w:r>
          </w:p>
        </w:tc>
        <w:tc>
          <w:tcPr>
            <w:tcW w:w="2392" w:type="dxa"/>
            <w:vMerge w:val="restart"/>
            <w:tcBorders>
              <w:tl2br w:val="nil"/>
              <w:tr2bl w:val="nil"/>
            </w:tcBorders>
            <w:shd w:val="clear" w:color="auto" w:fill="auto"/>
            <w:noWrap/>
            <w:vAlign w:val="center"/>
          </w:tcPr>
          <w:p w14:paraId="38C8D0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tcBorders>
              <w:tl2br w:val="nil"/>
              <w:tr2bl w:val="nil"/>
            </w:tcBorders>
            <w:shd w:val="clear" w:color="auto" w:fill="auto"/>
            <w:noWrap/>
            <w:vAlign w:val="center"/>
          </w:tcPr>
          <w:p w14:paraId="351B790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400F81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0.7533</w:t>
            </w:r>
          </w:p>
        </w:tc>
        <w:tc>
          <w:tcPr>
            <w:tcW w:w="1214" w:type="dxa"/>
            <w:tcBorders>
              <w:tl2br w:val="nil"/>
              <w:tr2bl w:val="nil"/>
            </w:tcBorders>
            <w:shd w:val="clear" w:color="auto" w:fill="auto"/>
            <w:noWrap/>
            <w:vAlign w:val="center"/>
          </w:tcPr>
          <w:p w14:paraId="2C92C23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4.5655</w:t>
            </w:r>
          </w:p>
        </w:tc>
        <w:tc>
          <w:tcPr>
            <w:tcW w:w="1215" w:type="dxa"/>
            <w:tcBorders>
              <w:tl2br w:val="nil"/>
              <w:tr2bl w:val="nil"/>
            </w:tcBorders>
            <w:shd w:val="clear" w:color="auto" w:fill="auto"/>
            <w:noWrap/>
            <w:vAlign w:val="center"/>
          </w:tcPr>
          <w:p w14:paraId="2D99E0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0.1141</w:t>
            </w:r>
          </w:p>
        </w:tc>
        <w:tc>
          <w:tcPr>
            <w:tcW w:w="1290" w:type="dxa"/>
            <w:tcBorders>
              <w:tl2br w:val="nil"/>
              <w:tr2bl w:val="nil"/>
            </w:tcBorders>
            <w:shd w:val="clear" w:color="auto" w:fill="auto"/>
            <w:noWrap/>
            <w:vAlign w:val="center"/>
          </w:tcPr>
          <w:p w14:paraId="0DDAF2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25000</w:t>
            </w:r>
          </w:p>
        </w:tc>
        <w:tc>
          <w:tcPr>
            <w:tcW w:w="2955" w:type="dxa"/>
            <w:tcBorders>
              <w:tl2br w:val="nil"/>
              <w:tr2bl w:val="nil"/>
            </w:tcBorders>
            <w:shd w:val="clear" w:color="auto" w:fill="auto"/>
            <w:noWrap/>
            <w:vAlign w:val="center"/>
          </w:tcPr>
          <w:p w14:paraId="2B6EBF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干式纸盒+过滤棉过滤+RTO蓄热式焚烧炉</w:t>
            </w:r>
          </w:p>
        </w:tc>
        <w:tc>
          <w:tcPr>
            <w:tcW w:w="1230" w:type="dxa"/>
            <w:tcBorders>
              <w:tl2br w:val="nil"/>
              <w:tr2bl w:val="nil"/>
            </w:tcBorders>
            <w:shd w:val="clear" w:color="auto" w:fill="auto"/>
            <w:noWrap/>
            <w:vAlign w:val="center"/>
          </w:tcPr>
          <w:p w14:paraId="4DFCE0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98%</w:t>
            </w:r>
          </w:p>
        </w:tc>
        <w:tc>
          <w:tcPr>
            <w:tcW w:w="1275" w:type="dxa"/>
            <w:tcBorders>
              <w:tl2br w:val="nil"/>
              <w:tr2bl w:val="nil"/>
            </w:tcBorders>
            <w:shd w:val="clear" w:color="auto" w:fill="auto"/>
            <w:noWrap/>
            <w:vAlign w:val="center"/>
          </w:tcPr>
          <w:p w14:paraId="1E1455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0.0151 </w:t>
            </w:r>
          </w:p>
        </w:tc>
        <w:tc>
          <w:tcPr>
            <w:tcW w:w="1110" w:type="dxa"/>
            <w:tcBorders>
              <w:tl2br w:val="nil"/>
              <w:tr2bl w:val="nil"/>
            </w:tcBorders>
            <w:shd w:val="clear" w:color="auto" w:fill="auto"/>
            <w:noWrap/>
            <w:vAlign w:val="center"/>
          </w:tcPr>
          <w:p w14:paraId="790E60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0.0913 </w:t>
            </w:r>
          </w:p>
        </w:tc>
        <w:tc>
          <w:tcPr>
            <w:tcW w:w="1255" w:type="dxa"/>
            <w:tcBorders>
              <w:tl2br w:val="nil"/>
              <w:tr2bl w:val="nil"/>
            </w:tcBorders>
            <w:shd w:val="clear" w:color="auto" w:fill="auto"/>
            <w:noWrap/>
            <w:vAlign w:val="center"/>
          </w:tcPr>
          <w:p w14:paraId="0A51F5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0.0023 </w:t>
            </w:r>
          </w:p>
        </w:tc>
        <w:tc>
          <w:tcPr>
            <w:tcW w:w="1307" w:type="dxa"/>
            <w:vMerge w:val="restart"/>
            <w:tcBorders>
              <w:tl2br w:val="nil"/>
              <w:tr2bl w:val="nil"/>
            </w:tcBorders>
            <w:shd w:val="clear" w:color="auto" w:fill="auto"/>
            <w:noWrap/>
            <w:vAlign w:val="center"/>
          </w:tcPr>
          <w:p w14:paraId="0B74C3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6600</w:t>
            </w:r>
          </w:p>
        </w:tc>
        <w:tc>
          <w:tcPr>
            <w:tcW w:w="1204" w:type="dxa"/>
            <w:tcBorders>
              <w:tl2br w:val="nil"/>
              <w:tr2bl w:val="nil"/>
            </w:tcBorders>
            <w:shd w:val="clear" w:color="auto" w:fill="auto"/>
            <w:noWrap/>
            <w:vAlign w:val="center"/>
          </w:tcPr>
          <w:p w14:paraId="5EB08F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DA001</w:t>
            </w:r>
          </w:p>
        </w:tc>
        <w:tc>
          <w:tcPr>
            <w:tcW w:w="1204" w:type="dxa"/>
            <w:tcBorders>
              <w:tl2br w:val="nil"/>
              <w:tr2bl w:val="nil"/>
            </w:tcBorders>
            <w:shd w:val="clear" w:color="auto" w:fill="auto"/>
            <w:noWrap/>
            <w:vAlign w:val="center"/>
          </w:tcPr>
          <w:p w14:paraId="4853E1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620341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37C3E7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vMerge w:val="continue"/>
            <w:tcBorders>
              <w:tl2br w:val="nil"/>
              <w:tr2bl w:val="nil"/>
            </w:tcBorders>
            <w:shd w:val="clear" w:color="auto" w:fill="auto"/>
            <w:noWrap/>
            <w:vAlign w:val="center"/>
          </w:tcPr>
          <w:p w14:paraId="227596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82" w:type="dxa"/>
            <w:tcBorders>
              <w:tl2br w:val="nil"/>
              <w:tr2bl w:val="nil"/>
            </w:tcBorders>
            <w:shd w:val="clear" w:color="auto" w:fill="auto"/>
            <w:noWrap/>
            <w:vAlign w:val="center"/>
          </w:tcPr>
          <w:p w14:paraId="33A4F9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4F686E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0.0837</w:t>
            </w:r>
          </w:p>
        </w:tc>
        <w:tc>
          <w:tcPr>
            <w:tcW w:w="1214" w:type="dxa"/>
            <w:tcBorders>
              <w:tl2br w:val="nil"/>
              <w:tr2bl w:val="nil"/>
            </w:tcBorders>
            <w:shd w:val="clear" w:color="auto" w:fill="auto"/>
            <w:noWrap/>
            <w:vAlign w:val="center"/>
          </w:tcPr>
          <w:p w14:paraId="30A701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6CF6F8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0.0127</w:t>
            </w:r>
          </w:p>
        </w:tc>
        <w:tc>
          <w:tcPr>
            <w:tcW w:w="1290" w:type="dxa"/>
            <w:tcBorders>
              <w:tl2br w:val="nil"/>
              <w:tr2bl w:val="nil"/>
            </w:tcBorders>
            <w:shd w:val="clear" w:color="auto" w:fill="auto"/>
            <w:noWrap/>
            <w:vAlign w:val="center"/>
          </w:tcPr>
          <w:p w14:paraId="29AA88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tcBorders>
              <w:tl2br w:val="nil"/>
              <w:tr2bl w:val="nil"/>
            </w:tcBorders>
            <w:shd w:val="clear" w:color="auto" w:fill="auto"/>
            <w:noWrap/>
            <w:vAlign w:val="center"/>
          </w:tcPr>
          <w:p w14:paraId="504787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tcBorders>
              <w:tl2br w:val="nil"/>
              <w:tr2bl w:val="nil"/>
            </w:tcBorders>
            <w:shd w:val="clear" w:color="auto" w:fill="auto"/>
            <w:noWrap/>
            <w:vAlign w:val="center"/>
          </w:tcPr>
          <w:p w14:paraId="354BA9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2C6719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0.0837 </w:t>
            </w:r>
          </w:p>
        </w:tc>
        <w:tc>
          <w:tcPr>
            <w:tcW w:w="1110" w:type="dxa"/>
            <w:tcBorders>
              <w:tl2br w:val="nil"/>
              <w:tr2bl w:val="nil"/>
            </w:tcBorders>
            <w:shd w:val="clear" w:color="auto" w:fill="auto"/>
            <w:noWrap/>
            <w:vAlign w:val="center"/>
          </w:tcPr>
          <w:p w14:paraId="4B13F0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671926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0.0127 </w:t>
            </w:r>
          </w:p>
        </w:tc>
        <w:tc>
          <w:tcPr>
            <w:tcW w:w="1307" w:type="dxa"/>
            <w:vMerge w:val="continue"/>
            <w:tcBorders>
              <w:tl2br w:val="nil"/>
              <w:tr2bl w:val="nil"/>
            </w:tcBorders>
            <w:shd w:val="clear" w:color="auto" w:fill="auto"/>
            <w:noWrap/>
            <w:vAlign w:val="center"/>
          </w:tcPr>
          <w:p w14:paraId="05AC67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tcBorders>
              <w:tl2br w:val="nil"/>
              <w:tr2bl w:val="nil"/>
            </w:tcBorders>
            <w:shd w:val="clear" w:color="auto" w:fill="auto"/>
            <w:noWrap/>
            <w:vAlign w:val="center"/>
          </w:tcPr>
          <w:p w14:paraId="053CCB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tcBorders>
              <w:tl2br w:val="nil"/>
              <w:tr2bl w:val="nil"/>
            </w:tcBorders>
            <w:shd w:val="clear" w:color="auto" w:fill="auto"/>
            <w:noWrap/>
            <w:vAlign w:val="center"/>
          </w:tcPr>
          <w:p w14:paraId="31D1F6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586B9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2263C9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固化炉燃烧</w:t>
            </w:r>
          </w:p>
        </w:tc>
        <w:tc>
          <w:tcPr>
            <w:tcW w:w="2392" w:type="dxa"/>
            <w:tcBorders>
              <w:tl2br w:val="nil"/>
              <w:tr2bl w:val="nil"/>
            </w:tcBorders>
            <w:shd w:val="clear" w:color="auto" w:fill="auto"/>
            <w:noWrap/>
            <w:vAlign w:val="center"/>
          </w:tcPr>
          <w:p w14:paraId="35E237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二氧化硫</w:t>
            </w:r>
          </w:p>
        </w:tc>
        <w:tc>
          <w:tcPr>
            <w:tcW w:w="982" w:type="dxa"/>
            <w:vMerge w:val="restart"/>
            <w:tcBorders>
              <w:tl2br w:val="nil"/>
              <w:tr2bl w:val="nil"/>
            </w:tcBorders>
            <w:shd w:val="clear" w:color="auto" w:fill="auto"/>
            <w:noWrap/>
            <w:vAlign w:val="center"/>
          </w:tcPr>
          <w:p w14:paraId="705C4F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39774D61">
            <w:pPr>
              <w:pStyle w:val="1405"/>
              <w:bidi w:val="0"/>
              <w:jc w:val="center"/>
              <w:rPr>
                <w:rFonts w:hint="eastAsia"/>
                <w:color w:val="auto"/>
                <w:highlight w:val="none"/>
                <w:lang w:val="en-US" w:eastAsia="zh-CN"/>
              </w:rPr>
            </w:pPr>
            <w:r>
              <w:rPr>
                <w:rFonts w:hint="eastAsia"/>
                <w:color w:val="auto"/>
                <w:highlight w:val="none"/>
                <w:lang w:val="en-US" w:eastAsia="zh-CN"/>
              </w:rPr>
              <w:t>0.0330</w:t>
            </w:r>
          </w:p>
        </w:tc>
        <w:tc>
          <w:tcPr>
            <w:tcW w:w="1214" w:type="dxa"/>
            <w:tcBorders>
              <w:tl2br w:val="nil"/>
              <w:tr2bl w:val="nil"/>
            </w:tcBorders>
            <w:shd w:val="clear" w:color="auto" w:fill="auto"/>
            <w:noWrap/>
            <w:vAlign w:val="center"/>
          </w:tcPr>
          <w:p w14:paraId="76AAB3E0">
            <w:pPr>
              <w:pStyle w:val="1405"/>
              <w:bidi w:val="0"/>
              <w:jc w:val="center"/>
              <w:rPr>
                <w:rFonts w:hint="eastAsia"/>
                <w:color w:val="auto"/>
                <w:highlight w:val="none"/>
                <w:lang w:val="en-US" w:eastAsia="zh-CN"/>
              </w:rPr>
            </w:pPr>
            <w:r>
              <w:rPr>
                <w:rFonts w:hint="eastAsia"/>
                <w:color w:val="auto"/>
                <w:highlight w:val="none"/>
                <w:lang w:val="en-US" w:eastAsia="zh-CN"/>
              </w:rPr>
              <w:t>0.2000</w:t>
            </w:r>
          </w:p>
        </w:tc>
        <w:tc>
          <w:tcPr>
            <w:tcW w:w="1215" w:type="dxa"/>
            <w:tcBorders>
              <w:tl2br w:val="nil"/>
              <w:tr2bl w:val="nil"/>
            </w:tcBorders>
            <w:shd w:val="clear" w:color="auto" w:fill="auto"/>
            <w:noWrap/>
            <w:vAlign w:val="center"/>
          </w:tcPr>
          <w:p w14:paraId="61018A0E">
            <w:pPr>
              <w:pStyle w:val="1405"/>
              <w:bidi w:val="0"/>
              <w:jc w:val="center"/>
              <w:rPr>
                <w:rFonts w:hint="eastAsia"/>
                <w:color w:val="auto"/>
                <w:highlight w:val="none"/>
                <w:lang w:val="en-US" w:eastAsia="zh-CN"/>
              </w:rPr>
            </w:pPr>
            <w:r>
              <w:rPr>
                <w:rFonts w:hint="eastAsia"/>
                <w:color w:val="auto"/>
                <w:highlight w:val="none"/>
                <w:lang w:val="en-US" w:eastAsia="zh-CN"/>
              </w:rPr>
              <w:t>0.0050</w:t>
            </w:r>
          </w:p>
        </w:tc>
        <w:tc>
          <w:tcPr>
            <w:tcW w:w="1290" w:type="dxa"/>
            <w:vMerge w:val="restart"/>
            <w:tcBorders>
              <w:tl2br w:val="nil"/>
              <w:tr2bl w:val="nil"/>
            </w:tcBorders>
            <w:shd w:val="clear" w:color="auto" w:fill="auto"/>
            <w:noWrap/>
            <w:vAlign w:val="center"/>
          </w:tcPr>
          <w:p w14:paraId="18711E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25000</w:t>
            </w:r>
          </w:p>
        </w:tc>
        <w:tc>
          <w:tcPr>
            <w:tcW w:w="2955" w:type="dxa"/>
            <w:vMerge w:val="restart"/>
            <w:tcBorders>
              <w:tl2br w:val="nil"/>
              <w:tr2bl w:val="nil"/>
            </w:tcBorders>
            <w:shd w:val="clear" w:color="auto" w:fill="auto"/>
            <w:noWrap/>
            <w:vAlign w:val="center"/>
          </w:tcPr>
          <w:p w14:paraId="359C8B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低氮燃烧器</w:t>
            </w:r>
          </w:p>
        </w:tc>
        <w:tc>
          <w:tcPr>
            <w:tcW w:w="1230" w:type="dxa"/>
            <w:vMerge w:val="restart"/>
            <w:tcBorders>
              <w:tl2br w:val="nil"/>
              <w:tr2bl w:val="nil"/>
            </w:tcBorders>
            <w:shd w:val="clear" w:color="auto" w:fill="auto"/>
            <w:noWrap/>
            <w:vAlign w:val="center"/>
          </w:tcPr>
          <w:p w14:paraId="3924B9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67317826">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0.0330</w:t>
            </w:r>
          </w:p>
        </w:tc>
        <w:tc>
          <w:tcPr>
            <w:tcW w:w="1110" w:type="dxa"/>
            <w:tcBorders>
              <w:tl2br w:val="nil"/>
              <w:tr2bl w:val="nil"/>
            </w:tcBorders>
            <w:shd w:val="clear" w:color="auto" w:fill="auto"/>
            <w:noWrap/>
            <w:vAlign w:val="center"/>
          </w:tcPr>
          <w:p w14:paraId="24A1FC44">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0.2000</w:t>
            </w:r>
          </w:p>
        </w:tc>
        <w:tc>
          <w:tcPr>
            <w:tcW w:w="1255" w:type="dxa"/>
            <w:tcBorders>
              <w:tl2br w:val="nil"/>
              <w:tr2bl w:val="nil"/>
            </w:tcBorders>
            <w:shd w:val="clear" w:color="auto" w:fill="auto"/>
            <w:noWrap/>
            <w:vAlign w:val="center"/>
          </w:tcPr>
          <w:p w14:paraId="22F2E435">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0.0050</w:t>
            </w:r>
          </w:p>
        </w:tc>
        <w:tc>
          <w:tcPr>
            <w:tcW w:w="1307" w:type="dxa"/>
            <w:vMerge w:val="continue"/>
            <w:tcBorders>
              <w:tl2br w:val="nil"/>
              <w:tr2bl w:val="nil"/>
            </w:tcBorders>
            <w:shd w:val="clear" w:color="auto" w:fill="auto"/>
            <w:noWrap/>
            <w:vAlign w:val="center"/>
          </w:tcPr>
          <w:p w14:paraId="164D89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restart"/>
            <w:tcBorders>
              <w:tl2br w:val="nil"/>
              <w:tr2bl w:val="nil"/>
            </w:tcBorders>
            <w:shd w:val="clear" w:color="auto" w:fill="auto"/>
            <w:noWrap/>
            <w:vAlign w:val="center"/>
          </w:tcPr>
          <w:p w14:paraId="3DE72D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DA001</w:t>
            </w:r>
          </w:p>
        </w:tc>
        <w:tc>
          <w:tcPr>
            <w:tcW w:w="1204" w:type="dxa"/>
            <w:vMerge w:val="restart"/>
            <w:tcBorders>
              <w:tl2br w:val="nil"/>
              <w:tr2bl w:val="nil"/>
            </w:tcBorders>
            <w:shd w:val="clear" w:color="auto" w:fill="auto"/>
            <w:noWrap/>
            <w:vAlign w:val="center"/>
          </w:tcPr>
          <w:p w14:paraId="6551BA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2F9DD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5AD1D4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6C668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continue"/>
            <w:tcBorders>
              <w:tl2br w:val="nil"/>
              <w:tr2bl w:val="nil"/>
            </w:tcBorders>
            <w:shd w:val="clear" w:color="auto" w:fill="auto"/>
            <w:noWrap/>
            <w:vAlign w:val="center"/>
          </w:tcPr>
          <w:p w14:paraId="4592BD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B7A770C">
            <w:pPr>
              <w:pStyle w:val="1405"/>
              <w:bidi w:val="0"/>
              <w:jc w:val="center"/>
              <w:rPr>
                <w:rFonts w:hint="eastAsia"/>
                <w:color w:val="auto"/>
                <w:highlight w:val="none"/>
                <w:lang w:val="en-US" w:eastAsia="zh-CN"/>
              </w:rPr>
            </w:pPr>
            <w:r>
              <w:rPr>
                <w:rFonts w:hint="eastAsia"/>
                <w:color w:val="auto"/>
                <w:highlight w:val="none"/>
                <w:lang w:val="en-US" w:eastAsia="zh-CN"/>
              </w:rPr>
              <w:t>0.0472</w:t>
            </w:r>
          </w:p>
        </w:tc>
        <w:tc>
          <w:tcPr>
            <w:tcW w:w="1214" w:type="dxa"/>
            <w:tcBorders>
              <w:tl2br w:val="nil"/>
              <w:tr2bl w:val="nil"/>
            </w:tcBorders>
            <w:shd w:val="clear" w:color="auto" w:fill="auto"/>
            <w:noWrap/>
            <w:vAlign w:val="center"/>
          </w:tcPr>
          <w:p w14:paraId="3E76001E">
            <w:pPr>
              <w:pStyle w:val="1405"/>
              <w:bidi w:val="0"/>
              <w:jc w:val="center"/>
              <w:rPr>
                <w:rFonts w:hint="eastAsia"/>
                <w:color w:val="auto"/>
                <w:highlight w:val="none"/>
                <w:lang w:val="en-US" w:eastAsia="zh-CN"/>
              </w:rPr>
            </w:pPr>
            <w:r>
              <w:rPr>
                <w:rFonts w:hint="eastAsia"/>
                <w:color w:val="auto"/>
                <w:highlight w:val="none"/>
                <w:lang w:val="en-US" w:eastAsia="zh-CN"/>
              </w:rPr>
              <w:t>0.2860</w:t>
            </w:r>
          </w:p>
        </w:tc>
        <w:tc>
          <w:tcPr>
            <w:tcW w:w="1215" w:type="dxa"/>
            <w:tcBorders>
              <w:tl2br w:val="nil"/>
              <w:tr2bl w:val="nil"/>
            </w:tcBorders>
            <w:shd w:val="clear" w:color="auto" w:fill="auto"/>
            <w:noWrap/>
            <w:vAlign w:val="center"/>
          </w:tcPr>
          <w:p w14:paraId="7C0C2BCE">
            <w:pPr>
              <w:pStyle w:val="1405"/>
              <w:bidi w:val="0"/>
              <w:jc w:val="center"/>
              <w:rPr>
                <w:rFonts w:hint="eastAsia"/>
                <w:color w:val="auto"/>
                <w:highlight w:val="none"/>
                <w:lang w:val="en-US" w:eastAsia="zh-CN"/>
              </w:rPr>
            </w:pPr>
            <w:r>
              <w:rPr>
                <w:rFonts w:hint="eastAsia"/>
                <w:color w:val="auto"/>
                <w:highlight w:val="none"/>
                <w:lang w:val="en-US" w:eastAsia="zh-CN"/>
              </w:rPr>
              <w:t>0.0072</w:t>
            </w:r>
          </w:p>
        </w:tc>
        <w:tc>
          <w:tcPr>
            <w:tcW w:w="1290" w:type="dxa"/>
            <w:vMerge w:val="continue"/>
            <w:tcBorders>
              <w:tl2br w:val="nil"/>
              <w:tr2bl w:val="nil"/>
            </w:tcBorders>
            <w:shd w:val="clear" w:color="auto" w:fill="auto"/>
            <w:noWrap/>
            <w:vAlign w:val="center"/>
          </w:tcPr>
          <w:p w14:paraId="354A61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09B807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0EF8CD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0E7EAE61">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0.0472</w:t>
            </w:r>
          </w:p>
        </w:tc>
        <w:tc>
          <w:tcPr>
            <w:tcW w:w="1110" w:type="dxa"/>
            <w:tcBorders>
              <w:tl2br w:val="nil"/>
              <w:tr2bl w:val="nil"/>
            </w:tcBorders>
            <w:shd w:val="clear" w:color="auto" w:fill="auto"/>
            <w:noWrap/>
            <w:vAlign w:val="center"/>
          </w:tcPr>
          <w:p w14:paraId="15F66FE1">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0.2860</w:t>
            </w:r>
          </w:p>
        </w:tc>
        <w:tc>
          <w:tcPr>
            <w:tcW w:w="1255" w:type="dxa"/>
            <w:tcBorders>
              <w:tl2br w:val="nil"/>
              <w:tr2bl w:val="nil"/>
            </w:tcBorders>
            <w:shd w:val="clear" w:color="auto" w:fill="auto"/>
            <w:noWrap/>
            <w:vAlign w:val="center"/>
          </w:tcPr>
          <w:p w14:paraId="34145291">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0.0072</w:t>
            </w:r>
          </w:p>
        </w:tc>
        <w:tc>
          <w:tcPr>
            <w:tcW w:w="1307" w:type="dxa"/>
            <w:vMerge w:val="continue"/>
            <w:tcBorders>
              <w:tl2br w:val="nil"/>
              <w:tr2bl w:val="nil"/>
            </w:tcBorders>
            <w:shd w:val="clear" w:color="auto" w:fill="auto"/>
            <w:noWrap/>
            <w:vAlign w:val="center"/>
          </w:tcPr>
          <w:p w14:paraId="2DE88F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458BF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731420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52D7D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4CBB8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48A04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氮氧化物</w:t>
            </w:r>
          </w:p>
        </w:tc>
        <w:tc>
          <w:tcPr>
            <w:tcW w:w="982" w:type="dxa"/>
            <w:vMerge w:val="continue"/>
            <w:tcBorders>
              <w:tl2br w:val="nil"/>
              <w:tr2bl w:val="nil"/>
            </w:tcBorders>
            <w:shd w:val="clear" w:color="auto" w:fill="auto"/>
            <w:noWrap/>
            <w:vAlign w:val="center"/>
          </w:tcPr>
          <w:p w14:paraId="0F1453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6CF7119E">
            <w:pPr>
              <w:pStyle w:val="1405"/>
              <w:bidi w:val="0"/>
              <w:jc w:val="center"/>
              <w:rPr>
                <w:rFonts w:hint="eastAsia"/>
                <w:color w:val="auto"/>
                <w:highlight w:val="none"/>
                <w:lang w:val="en-US" w:eastAsia="zh-CN"/>
              </w:rPr>
            </w:pPr>
            <w:r>
              <w:rPr>
                <w:rFonts w:hint="eastAsia"/>
                <w:color w:val="auto"/>
                <w:highlight w:val="none"/>
                <w:lang w:val="en-US" w:eastAsia="zh-CN"/>
              </w:rPr>
              <w:t>0.3086</w:t>
            </w:r>
          </w:p>
        </w:tc>
        <w:tc>
          <w:tcPr>
            <w:tcW w:w="1214" w:type="dxa"/>
            <w:tcBorders>
              <w:tl2br w:val="nil"/>
              <w:tr2bl w:val="nil"/>
            </w:tcBorders>
            <w:shd w:val="clear" w:color="auto" w:fill="auto"/>
            <w:noWrap/>
            <w:vAlign w:val="center"/>
          </w:tcPr>
          <w:p w14:paraId="0584DA26">
            <w:pPr>
              <w:pStyle w:val="1405"/>
              <w:bidi w:val="0"/>
              <w:jc w:val="center"/>
              <w:rPr>
                <w:rFonts w:hint="eastAsia"/>
                <w:color w:val="auto"/>
                <w:highlight w:val="none"/>
                <w:lang w:val="en-US" w:eastAsia="zh-CN"/>
              </w:rPr>
            </w:pPr>
            <w:r>
              <w:rPr>
                <w:rFonts w:hint="eastAsia"/>
                <w:color w:val="auto"/>
                <w:highlight w:val="none"/>
                <w:lang w:val="en-US" w:eastAsia="zh-CN"/>
              </w:rPr>
              <w:t>1.8700</w:t>
            </w:r>
          </w:p>
        </w:tc>
        <w:tc>
          <w:tcPr>
            <w:tcW w:w="1215" w:type="dxa"/>
            <w:tcBorders>
              <w:tl2br w:val="nil"/>
              <w:tr2bl w:val="nil"/>
            </w:tcBorders>
            <w:shd w:val="clear" w:color="auto" w:fill="auto"/>
            <w:noWrap/>
            <w:vAlign w:val="center"/>
          </w:tcPr>
          <w:p w14:paraId="4C8D4B11">
            <w:pPr>
              <w:pStyle w:val="1405"/>
              <w:bidi w:val="0"/>
              <w:jc w:val="center"/>
              <w:rPr>
                <w:rFonts w:hint="eastAsia"/>
                <w:color w:val="auto"/>
                <w:highlight w:val="none"/>
                <w:lang w:val="en-US" w:eastAsia="zh-CN"/>
              </w:rPr>
            </w:pPr>
            <w:r>
              <w:rPr>
                <w:rFonts w:hint="eastAsia"/>
                <w:color w:val="auto"/>
                <w:highlight w:val="none"/>
                <w:lang w:val="en-US" w:eastAsia="zh-CN"/>
              </w:rPr>
              <w:t>0.0468</w:t>
            </w:r>
          </w:p>
        </w:tc>
        <w:tc>
          <w:tcPr>
            <w:tcW w:w="1290" w:type="dxa"/>
            <w:vMerge w:val="continue"/>
            <w:tcBorders>
              <w:tl2br w:val="nil"/>
              <w:tr2bl w:val="nil"/>
            </w:tcBorders>
            <w:shd w:val="clear" w:color="auto" w:fill="auto"/>
            <w:noWrap/>
            <w:vAlign w:val="center"/>
          </w:tcPr>
          <w:p w14:paraId="10B9DA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0164D1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50D4E9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0A6EA788">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0.3086</w:t>
            </w:r>
          </w:p>
        </w:tc>
        <w:tc>
          <w:tcPr>
            <w:tcW w:w="1110" w:type="dxa"/>
            <w:tcBorders>
              <w:tl2br w:val="nil"/>
              <w:tr2bl w:val="nil"/>
            </w:tcBorders>
            <w:shd w:val="clear" w:color="auto" w:fill="auto"/>
            <w:noWrap/>
            <w:vAlign w:val="center"/>
          </w:tcPr>
          <w:p w14:paraId="3336B36E">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1.8700</w:t>
            </w:r>
          </w:p>
        </w:tc>
        <w:tc>
          <w:tcPr>
            <w:tcW w:w="1255" w:type="dxa"/>
            <w:tcBorders>
              <w:tl2br w:val="nil"/>
              <w:tr2bl w:val="nil"/>
            </w:tcBorders>
            <w:shd w:val="clear" w:color="auto" w:fill="auto"/>
            <w:noWrap/>
            <w:vAlign w:val="center"/>
          </w:tcPr>
          <w:p w14:paraId="3BADA927">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0.0468</w:t>
            </w:r>
          </w:p>
        </w:tc>
        <w:tc>
          <w:tcPr>
            <w:tcW w:w="1307" w:type="dxa"/>
            <w:vMerge w:val="continue"/>
            <w:tcBorders>
              <w:tl2br w:val="nil"/>
              <w:tr2bl w:val="nil"/>
            </w:tcBorders>
            <w:shd w:val="clear" w:color="auto" w:fill="auto"/>
            <w:noWrap/>
            <w:vAlign w:val="center"/>
          </w:tcPr>
          <w:p w14:paraId="351B26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2F1C7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10D4B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3DCA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7A267E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RTO燃烧</w:t>
            </w:r>
          </w:p>
        </w:tc>
        <w:tc>
          <w:tcPr>
            <w:tcW w:w="2392" w:type="dxa"/>
            <w:tcBorders>
              <w:tl2br w:val="nil"/>
              <w:tr2bl w:val="nil"/>
            </w:tcBorders>
            <w:shd w:val="clear" w:color="auto" w:fill="auto"/>
            <w:noWrap/>
            <w:vAlign w:val="center"/>
          </w:tcPr>
          <w:p w14:paraId="696712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二氧化硫</w:t>
            </w:r>
          </w:p>
        </w:tc>
        <w:tc>
          <w:tcPr>
            <w:tcW w:w="982" w:type="dxa"/>
            <w:vMerge w:val="restart"/>
            <w:tcBorders>
              <w:tl2br w:val="nil"/>
              <w:tr2bl w:val="nil"/>
            </w:tcBorders>
            <w:shd w:val="clear" w:color="auto" w:fill="auto"/>
            <w:noWrap/>
            <w:vAlign w:val="center"/>
          </w:tcPr>
          <w:p w14:paraId="009783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66458C11">
            <w:pPr>
              <w:pStyle w:val="1405"/>
              <w:bidi w:val="0"/>
              <w:jc w:val="center"/>
              <w:rPr>
                <w:rFonts w:hint="eastAsia"/>
                <w:color w:val="auto"/>
                <w:highlight w:val="none"/>
                <w:lang w:val="en-US" w:eastAsia="zh-CN"/>
              </w:rPr>
            </w:pPr>
            <w:r>
              <w:rPr>
                <w:rFonts w:hint="eastAsia"/>
                <w:color w:val="auto"/>
                <w:highlight w:val="none"/>
                <w:lang w:val="en-US" w:eastAsia="zh-CN"/>
              </w:rPr>
              <w:t>0.0264</w:t>
            </w:r>
          </w:p>
        </w:tc>
        <w:tc>
          <w:tcPr>
            <w:tcW w:w="1214" w:type="dxa"/>
            <w:tcBorders>
              <w:tl2br w:val="nil"/>
              <w:tr2bl w:val="nil"/>
            </w:tcBorders>
            <w:shd w:val="clear" w:color="auto" w:fill="auto"/>
            <w:noWrap/>
            <w:vAlign w:val="center"/>
          </w:tcPr>
          <w:p w14:paraId="0683F284">
            <w:pPr>
              <w:pStyle w:val="1405"/>
              <w:bidi w:val="0"/>
              <w:jc w:val="center"/>
              <w:rPr>
                <w:rFonts w:hint="eastAsia"/>
                <w:color w:val="auto"/>
                <w:highlight w:val="none"/>
                <w:lang w:val="en-US" w:eastAsia="zh-CN"/>
              </w:rPr>
            </w:pPr>
            <w:r>
              <w:rPr>
                <w:rFonts w:hint="eastAsia"/>
                <w:color w:val="auto"/>
                <w:highlight w:val="none"/>
                <w:lang w:val="en-US" w:eastAsia="zh-CN"/>
              </w:rPr>
              <w:t>0.1600</w:t>
            </w:r>
          </w:p>
        </w:tc>
        <w:tc>
          <w:tcPr>
            <w:tcW w:w="1215" w:type="dxa"/>
            <w:tcBorders>
              <w:tl2br w:val="nil"/>
              <w:tr2bl w:val="nil"/>
            </w:tcBorders>
            <w:shd w:val="clear" w:color="auto" w:fill="auto"/>
            <w:noWrap/>
            <w:vAlign w:val="center"/>
          </w:tcPr>
          <w:p w14:paraId="4BC83315">
            <w:pPr>
              <w:pStyle w:val="1405"/>
              <w:bidi w:val="0"/>
              <w:jc w:val="center"/>
              <w:rPr>
                <w:rFonts w:hint="eastAsia"/>
                <w:color w:val="auto"/>
                <w:highlight w:val="none"/>
                <w:lang w:val="en-US" w:eastAsia="zh-CN"/>
              </w:rPr>
            </w:pPr>
            <w:r>
              <w:rPr>
                <w:rFonts w:hint="eastAsia"/>
                <w:color w:val="auto"/>
                <w:highlight w:val="none"/>
                <w:lang w:val="en-US" w:eastAsia="zh-CN"/>
              </w:rPr>
              <w:t>0.0040</w:t>
            </w:r>
          </w:p>
        </w:tc>
        <w:tc>
          <w:tcPr>
            <w:tcW w:w="1290" w:type="dxa"/>
            <w:vMerge w:val="restart"/>
            <w:tcBorders>
              <w:tl2br w:val="nil"/>
              <w:tr2bl w:val="nil"/>
            </w:tcBorders>
            <w:shd w:val="clear" w:color="auto" w:fill="auto"/>
            <w:noWrap/>
            <w:vAlign w:val="center"/>
          </w:tcPr>
          <w:p w14:paraId="6FF0F5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25000</w:t>
            </w:r>
          </w:p>
        </w:tc>
        <w:tc>
          <w:tcPr>
            <w:tcW w:w="2955" w:type="dxa"/>
            <w:vMerge w:val="restart"/>
            <w:tcBorders>
              <w:tl2br w:val="nil"/>
              <w:tr2bl w:val="nil"/>
            </w:tcBorders>
            <w:shd w:val="clear" w:color="auto" w:fill="auto"/>
            <w:noWrap/>
            <w:vAlign w:val="center"/>
          </w:tcPr>
          <w:p w14:paraId="3F80EB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低氮燃烧器</w:t>
            </w:r>
          </w:p>
        </w:tc>
        <w:tc>
          <w:tcPr>
            <w:tcW w:w="1230" w:type="dxa"/>
            <w:vMerge w:val="restart"/>
            <w:tcBorders>
              <w:tl2br w:val="nil"/>
              <w:tr2bl w:val="nil"/>
            </w:tcBorders>
            <w:shd w:val="clear" w:color="auto" w:fill="auto"/>
            <w:noWrap/>
            <w:vAlign w:val="center"/>
          </w:tcPr>
          <w:p w14:paraId="36B1A2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5C469AAC">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0.0264</w:t>
            </w:r>
          </w:p>
        </w:tc>
        <w:tc>
          <w:tcPr>
            <w:tcW w:w="1110" w:type="dxa"/>
            <w:tcBorders>
              <w:tl2br w:val="nil"/>
              <w:tr2bl w:val="nil"/>
            </w:tcBorders>
            <w:shd w:val="clear" w:color="auto" w:fill="auto"/>
            <w:noWrap/>
            <w:vAlign w:val="center"/>
          </w:tcPr>
          <w:p w14:paraId="3B248401">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0.1600</w:t>
            </w:r>
          </w:p>
        </w:tc>
        <w:tc>
          <w:tcPr>
            <w:tcW w:w="1255" w:type="dxa"/>
            <w:tcBorders>
              <w:tl2br w:val="nil"/>
              <w:tr2bl w:val="nil"/>
            </w:tcBorders>
            <w:shd w:val="clear" w:color="auto" w:fill="auto"/>
            <w:noWrap/>
            <w:vAlign w:val="center"/>
          </w:tcPr>
          <w:p w14:paraId="5F88E1DD">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0.0040</w:t>
            </w:r>
          </w:p>
        </w:tc>
        <w:tc>
          <w:tcPr>
            <w:tcW w:w="1307" w:type="dxa"/>
            <w:vMerge w:val="continue"/>
            <w:tcBorders>
              <w:tl2br w:val="nil"/>
              <w:tr2bl w:val="nil"/>
            </w:tcBorders>
            <w:shd w:val="clear" w:color="auto" w:fill="auto"/>
            <w:noWrap/>
            <w:vAlign w:val="center"/>
          </w:tcPr>
          <w:p w14:paraId="44EAC3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DE0F5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2B3DF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9B50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6D43BE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0305E4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continue"/>
            <w:tcBorders>
              <w:tl2br w:val="nil"/>
              <w:tr2bl w:val="nil"/>
            </w:tcBorders>
            <w:shd w:val="clear" w:color="auto" w:fill="auto"/>
            <w:noWrap/>
            <w:vAlign w:val="center"/>
          </w:tcPr>
          <w:p w14:paraId="06A7C9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6D009ABB">
            <w:pPr>
              <w:pStyle w:val="1405"/>
              <w:bidi w:val="0"/>
              <w:jc w:val="center"/>
              <w:rPr>
                <w:rFonts w:hint="eastAsia"/>
                <w:color w:val="auto"/>
                <w:highlight w:val="none"/>
                <w:lang w:val="en-US" w:eastAsia="zh-CN"/>
              </w:rPr>
            </w:pPr>
            <w:r>
              <w:rPr>
                <w:rFonts w:hint="eastAsia"/>
                <w:color w:val="auto"/>
                <w:highlight w:val="none"/>
                <w:lang w:val="en-US" w:eastAsia="zh-CN"/>
              </w:rPr>
              <w:t>0.0378</w:t>
            </w:r>
          </w:p>
        </w:tc>
        <w:tc>
          <w:tcPr>
            <w:tcW w:w="1214" w:type="dxa"/>
            <w:tcBorders>
              <w:tl2br w:val="nil"/>
              <w:tr2bl w:val="nil"/>
            </w:tcBorders>
            <w:shd w:val="clear" w:color="auto" w:fill="auto"/>
            <w:noWrap/>
            <w:vAlign w:val="center"/>
          </w:tcPr>
          <w:p w14:paraId="562279D2">
            <w:pPr>
              <w:pStyle w:val="1405"/>
              <w:bidi w:val="0"/>
              <w:jc w:val="center"/>
              <w:rPr>
                <w:rFonts w:hint="eastAsia"/>
                <w:color w:val="auto"/>
                <w:highlight w:val="none"/>
                <w:lang w:val="en-US" w:eastAsia="zh-CN"/>
              </w:rPr>
            </w:pPr>
            <w:r>
              <w:rPr>
                <w:rFonts w:hint="eastAsia"/>
                <w:color w:val="auto"/>
                <w:highlight w:val="none"/>
                <w:lang w:val="en-US" w:eastAsia="zh-CN"/>
              </w:rPr>
              <w:t>0.2288</w:t>
            </w:r>
          </w:p>
        </w:tc>
        <w:tc>
          <w:tcPr>
            <w:tcW w:w="1215" w:type="dxa"/>
            <w:tcBorders>
              <w:tl2br w:val="nil"/>
              <w:tr2bl w:val="nil"/>
            </w:tcBorders>
            <w:shd w:val="clear" w:color="auto" w:fill="auto"/>
            <w:noWrap/>
            <w:vAlign w:val="center"/>
          </w:tcPr>
          <w:p w14:paraId="573CE741">
            <w:pPr>
              <w:pStyle w:val="1405"/>
              <w:bidi w:val="0"/>
              <w:jc w:val="center"/>
              <w:rPr>
                <w:rFonts w:hint="eastAsia"/>
                <w:color w:val="auto"/>
                <w:highlight w:val="none"/>
                <w:lang w:val="en-US" w:eastAsia="zh-CN"/>
              </w:rPr>
            </w:pPr>
            <w:r>
              <w:rPr>
                <w:rFonts w:hint="eastAsia"/>
                <w:color w:val="auto"/>
                <w:highlight w:val="none"/>
                <w:lang w:val="en-US" w:eastAsia="zh-CN"/>
              </w:rPr>
              <w:t>0.0057</w:t>
            </w:r>
          </w:p>
        </w:tc>
        <w:tc>
          <w:tcPr>
            <w:tcW w:w="1290" w:type="dxa"/>
            <w:vMerge w:val="continue"/>
            <w:tcBorders>
              <w:tl2br w:val="nil"/>
              <w:tr2bl w:val="nil"/>
            </w:tcBorders>
            <w:shd w:val="clear" w:color="auto" w:fill="auto"/>
            <w:noWrap/>
            <w:vAlign w:val="center"/>
          </w:tcPr>
          <w:p w14:paraId="42DA7E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4EFFF29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5C6A0C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1421A2A9">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0.0378</w:t>
            </w:r>
          </w:p>
        </w:tc>
        <w:tc>
          <w:tcPr>
            <w:tcW w:w="1110" w:type="dxa"/>
            <w:tcBorders>
              <w:tl2br w:val="nil"/>
              <w:tr2bl w:val="nil"/>
            </w:tcBorders>
            <w:shd w:val="clear" w:color="auto" w:fill="auto"/>
            <w:noWrap/>
            <w:vAlign w:val="center"/>
          </w:tcPr>
          <w:p w14:paraId="61F6EF9E">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0.2288</w:t>
            </w:r>
          </w:p>
        </w:tc>
        <w:tc>
          <w:tcPr>
            <w:tcW w:w="1255" w:type="dxa"/>
            <w:tcBorders>
              <w:tl2br w:val="nil"/>
              <w:tr2bl w:val="nil"/>
            </w:tcBorders>
            <w:shd w:val="clear" w:color="auto" w:fill="auto"/>
            <w:noWrap/>
            <w:vAlign w:val="center"/>
          </w:tcPr>
          <w:p w14:paraId="334C2D6D">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0.0057</w:t>
            </w:r>
          </w:p>
        </w:tc>
        <w:tc>
          <w:tcPr>
            <w:tcW w:w="1307" w:type="dxa"/>
            <w:vMerge w:val="continue"/>
            <w:tcBorders>
              <w:tl2br w:val="nil"/>
              <w:tr2bl w:val="nil"/>
            </w:tcBorders>
            <w:shd w:val="clear" w:color="auto" w:fill="auto"/>
            <w:noWrap/>
            <w:vAlign w:val="center"/>
          </w:tcPr>
          <w:p w14:paraId="026476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9CE25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F3D98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3696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3570F4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612E83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氮氧化物</w:t>
            </w:r>
          </w:p>
        </w:tc>
        <w:tc>
          <w:tcPr>
            <w:tcW w:w="982" w:type="dxa"/>
            <w:vMerge w:val="continue"/>
            <w:tcBorders>
              <w:tl2br w:val="nil"/>
              <w:tr2bl w:val="nil"/>
            </w:tcBorders>
            <w:shd w:val="clear" w:color="auto" w:fill="auto"/>
            <w:noWrap/>
            <w:vAlign w:val="center"/>
          </w:tcPr>
          <w:p w14:paraId="10C19D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C19D103">
            <w:pPr>
              <w:pStyle w:val="1405"/>
              <w:bidi w:val="0"/>
              <w:jc w:val="center"/>
              <w:rPr>
                <w:rFonts w:hint="eastAsia"/>
                <w:color w:val="auto"/>
                <w:highlight w:val="none"/>
                <w:lang w:val="en-US" w:eastAsia="zh-CN"/>
              </w:rPr>
            </w:pPr>
            <w:r>
              <w:rPr>
                <w:rFonts w:hint="eastAsia"/>
                <w:color w:val="auto"/>
                <w:highlight w:val="none"/>
                <w:lang w:val="en-US" w:eastAsia="zh-CN"/>
              </w:rPr>
              <w:t>0.2468</w:t>
            </w:r>
          </w:p>
        </w:tc>
        <w:tc>
          <w:tcPr>
            <w:tcW w:w="1214" w:type="dxa"/>
            <w:tcBorders>
              <w:tl2br w:val="nil"/>
              <w:tr2bl w:val="nil"/>
            </w:tcBorders>
            <w:shd w:val="clear" w:color="auto" w:fill="auto"/>
            <w:noWrap/>
            <w:vAlign w:val="center"/>
          </w:tcPr>
          <w:p w14:paraId="587FF3DF">
            <w:pPr>
              <w:pStyle w:val="1405"/>
              <w:bidi w:val="0"/>
              <w:jc w:val="center"/>
              <w:rPr>
                <w:rFonts w:hint="eastAsia"/>
                <w:color w:val="auto"/>
                <w:highlight w:val="none"/>
                <w:lang w:val="en-US" w:eastAsia="zh-CN"/>
              </w:rPr>
            </w:pPr>
            <w:r>
              <w:rPr>
                <w:rFonts w:hint="eastAsia"/>
                <w:color w:val="auto"/>
                <w:highlight w:val="none"/>
                <w:lang w:val="en-US" w:eastAsia="zh-CN"/>
              </w:rPr>
              <w:t>1.4960</w:t>
            </w:r>
          </w:p>
        </w:tc>
        <w:tc>
          <w:tcPr>
            <w:tcW w:w="1215" w:type="dxa"/>
            <w:tcBorders>
              <w:tl2br w:val="nil"/>
              <w:tr2bl w:val="nil"/>
            </w:tcBorders>
            <w:shd w:val="clear" w:color="auto" w:fill="auto"/>
            <w:noWrap/>
            <w:vAlign w:val="center"/>
          </w:tcPr>
          <w:p w14:paraId="14E70DC6">
            <w:pPr>
              <w:pStyle w:val="1405"/>
              <w:bidi w:val="0"/>
              <w:jc w:val="center"/>
              <w:rPr>
                <w:rFonts w:hint="eastAsia"/>
                <w:color w:val="auto"/>
                <w:highlight w:val="none"/>
                <w:lang w:val="en-US" w:eastAsia="zh-CN"/>
              </w:rPr>
            </w:pPr>
            <w:r>
              <w:rPr>
                <w:rFonts w:hint="eastAsia"/>
                <w:color w:val="auto"/>
                <w:highlight w:val="none"/>
                <w:lang w:val="en-US" w:eastAsia="zh-CN"/>
              </w:rPr>
              <w:t>0.0374</w:t>
            </w:r>
          </w:p>
        </w:tc>
        <w:tc>
          <w:tcPr>
            <w:tcW w:w="1290" w:type="dxa"/>
            <w:vMerge w:val="continue"/>
            <w:tcBorders>
              <w:tl2br w:val="nil"/>
              <w:tr2bl w:val="nil"/>
            </w:tcBorders>
            <w:shd w:val="clear" w:color="auto" w:fill="auto"/>
            <w:noWrap/>
            <w:vAlign w:val="center"/>
          </w:tcPr>
          <w:p w14:paraId="4CF52D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708A08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863EF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2AC348CA">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0.2468</w:t>
            </w:r>
          </w:p>
        </w:tc>
        <w:tc>
          <w:tcPr>
            <w:tcW w:w="1110" w:type="dxa"/>
            <w:tcBorders>
              <w:tl2br w:val="nil"/>
              <w:tr2bl w:val="nil"/>
            </w:tcBorders>
            <w:shd w:val="clear" w:color="auto" w:fill="auto"/>
            <w:noWrap/>
            <w:vAlign w:val="center"/>
          </w:tcPr>
          <w:p w14:paraId="7AB5D41C">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1.4960</w:t>
            </w:r>
          </w:p>
        </w:tc>
        <w:tc>
          <w:tcPr>
            <w:tcW w:w="1255" w:type="dxa"/>
            <w:tcBorders>
              <w:tl2br w:val="nil"/>
              <w:tr2bl w:val="nil"/>
            </w:tcBorders>
            <w:shd w:val="clear" w:color="auto" w:fill="auto"/>
            <w:noWrap/>
            <w:vAlign w:val="center"/>
          </w:tcPr>
          <w:p w14:paraId="1DCAFD2F">
            <w:pPr>
              <w:pStyle w:val="1405"/>
              <w:bidi w:val="0"/>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olor w:val="auto"/>
                <w:highlight w:val="none"/>
                <w:lang w:val="en-US" w:eastAsia="zh-CN"/>
              </w:rPr>
              <w:t>0.0374</w:t>
            </w:r>
          </w:p>
        </w:tc>
        <w:tc>
          <w:tcPr>
            <w:tcW w:w="1307" w:type="dxa"/>
            <w:vMerge w:val="continue"/>
            <w:tcBorders>
              <w:tl2br w:val="nil"/>
              <w:tr2bl w:val="nil"/>
            </w:tcBorders>
            <w:shd w:val="clear" w:color="auto" w:fill="auto"/>
            <w:noWrap/>
            <w:vAlign w:val="center"/>
          </w:tcPr>
          <w:p w14:paraId="1A62AF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2897C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2913E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EB148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5A9647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喷漆、流平、烘干、清洗、固化炉燃烧、RTO燃烧合计</w:t>
            </w:r>
          </w:p>
        </w:tc>
        <w:tc>
          <w:tcPr>
            <w:tcW w:w="2392" w:type="dxa"/>
            <w:tcBorders>
              <w:tl2br w:val="nil"/>
              <w:tr2bl w:val="nil"/>
            </w:tcBorders>
            <w:shd w:val="clear" w:color="auto" w:fill="auto"/>
            <w:noWrap/>
            <w:vAlign w:val="center"/>
          </w:tcPr>
          <w:p w14:paraId="1E7DF7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restart"/>
            <w:tcBorders>
              <w:tl2br w:val="nil"/>
              <w:tr2bl w:val="nil"/>
            </w:tcBorders>
            <w:shd w:val="clear" w:color="auto" w:fill="auto"/>
            <w:noWrap/>
            <w:vAlign w:val="center"/>
          </w:tcPr>
          <w:p w14:paraId="615DB2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2A73109C">
            <w:pPr>
              <w:pStyle w:val="1405"/>
              <w:bidi w:val="0"/>
              <w:jc w:val="center"/>
              <w:rPr>
                <w:rFonts w:hint="eastAsia"/>
                <w:color w:val="auto"/>
                <w:highlight w:val="none"/>
                <w:lang w:val="en-US" w:eastAsia="zh-CN"/>
              </w:rPr>
            </w:pPr>
            <w:r>
              <w:rPr>
                <w:rFonts w:hint="eastAsia"/>
                <w:color w:val="auto"/>
                <w:highlight w:val="none"/>
                <w:lang w:val="en-US" w:eastAsia="zh-CN"/>
              </w:rPr>
              <w:t>11.9413</w:t>
            </w:r>
          </w:p>
        </w:tc>
        <w:tc>
          <w:tcPr>
            <w:tcW w:w="1214" w:type="dxa"/>
            <w:tcBorders>
              <w:tl2br w:val="nil"/>
              <w:tr2bl w:val="nil"/>
            </w:tcBorders>
            <w:shd w:val="clear" w:color="auto" w:fill="auto"/>
            <w:noWrap/>
            <w:vAlign w:val="center"/>
          </w:tcPr>
          <w:p w14:paraId="384A7F2E">
            <w:pPr>
              <w:pStyle w:val="1405"/>
              <w:bidi w:val="0"/>
              <w:jc w:val="center"/>
              <w:rPr>
                <w:rFonts w:hint="eastAsia"/>
                <w:color w:val="auto"/>
                <w:highlight w:val="none"/>
                <w:lang w:val="en-US" w:eastAsia="zh-CN"/>
              </w:rPr>
            </w:pPr>
            <w:r>
              <w:rPr>
                <w:rFonts w:hint="eastAsia"/>
                <w:color w:val="auto"/>
                <w:highlight w:val="none"/>
                <w:lang w:val="en-US" w:eastAsia="zh-CN"/>
              </w:rPr>
              <w:t>72.3715</w:t>
            </w:r>
          </w:p>
        </w:tc>
        <w:tc>
          <w:tcPr>
            <w:tcW w:w="1215" w:type="dxa"/>
            <w:tcBorders>
              <w:tl2br w:val="nil"/>
              <w:tr2bl w:val="nil"/>
            </w:tcBorders>
            <w:shd w:val="clear" w:color="auto" w:fill="auto"/>
            <w:noWrap/>
            <w:vAlign w:val="center"/>
          </w:tcPr>
          <w:p w14:paraId="5A6244BA">
            <w:pPr>
              <w:pStyle w:val="1405"/>
              <w:bidi w:val="0"/>
              <w:jc w:val="center"/>
              <w:rPr>
                <w:rFonts w:hint="eastAsia"/>
                <w:color w:val="auto"/>
                <w:highlight w:val="none"/>
                <w:lang w:val="en-US" w:eastAsia="zh-CN"/>
              </w:rPr>
            </w:pPr>
            <w:r>
              <w:rPr>
                <w:rFonts w:hint="eastAsia"/>
                <w:color w:val="auto"/>
                <w:highlight w:val="none"/>
                <w:lang w:val="en-US" w:eastAsia="zh-CN"/>
              </w:rPr>
              <w:t>1.8093</w:t>
            </w:r>
          </w:p>
        </w:tc>
        <w:tc>
          <w:tcPr>
            <w:tcW w:w="1290" w:type="dxa"/>
            <w:vMerge w:val="restart"/>
            <w:tcBorders>
              <w:tl2br w:val="nil"/>
              <w:tr2bl w:val="nil"/>
            </w:tcBorders>
            <w:shd w:val="clear" w:color="auto" w:fill="auto"/>
            <w:noWrap/>
            <w:vAlign w:val="center"/>
          </w:tcPr>
          <w:p w14:paraId="3DF903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25000</w:t>
            </w:r>
          </w:p>
        </w:tc>
        <w:tc>
          <w:tcPr>
            <w:tcW w:w="2955" w:type="dxa"/>
            <w:vMerge w:val="restart"/>
            <w:tcBorders>
              <w:tl2br w:val="nil"/>
              <w:tr2bl w:val="nil"/>
            </w:tcBorders>
            <w:shd w:val="clear" w:color="auto" w:fill="auto"/>
            <w:vAlign w:val="center"/>
          </w:tcPr>
          <w:p w14:paraId="78AEA6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干式纸盒+过滤棉过滤+RTO蓄热式焚烧炉</w:t>
            </w:r>
          </w:p>
        </w:tc>
        <w:tc>
          <w:tcPr>
            <w:tcW w:w="1230" w:type="dxa"/>
            <w:vMerge w:val="restart"/>
            <w:tcBorders>
              <w:tl2br w:val="nil"/>
              <w:tr2bl w:val="nil"/>
            </w:tcBorders>
            <w:shd w:val="clear" w:color="auto" w:fill="auto"/>
            <w:noWrap/>
            <w:vAlign w:val="center"/>
          </w:tcPr>
          <w:p w14:paraId="4EB971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98%</w:t>
            </w:r>
          </w:p>
        </w:tc>
        <w:tc>
          <w:tcPr>
            <w:tcW w:w="1275" w:type="dxa"/>
            <w:tcBorders>
              <w:tl2br w:val="nil"/>
              <w:tr2bl w:val="nil"/>
            </w:tcBorders>
            <w:shd w:val="clear" w:color="auto" w:fill="auto"/>
            <w:noWrap/>
            <w:vAlign w:val="center"/>
          </w:tcPr>
          <w:p w14:paraId="6DF72554">
            <w:pPr>
              <w:pStyle w:val="1405"/>
              <w:bidi w:val="0"/>
              <w:jc w:val="center"/>
              <w:rPr>
                <w:rFonts w:hint="eastAsia"/>
                <w:color w:val="auto"/>
                <w:highlight w:val="none"/>
                <w:lang w:val="en-US" w:eastAsia="zh-CN"/>
              </w:rPr>
            </w:pPr>
            <w:r>
              <w:rPr>
                <w:rFonts w:hint="eastAsia"/>
                <w:color w:val="auto"/>
                <w:highlight w:val="none"/>
                <w:lang w:val="en-US" w:eastAsia="zh-CN"/>
              </w:rPr>
              <w:t>0.2388</w:t>
            </w:r>
          </w:p>
        </w:tc>
        <w:tc>
          <w:tcPr>
            <w:tcW w:w="1110" w:type="dxa"/>
            <w:tcBorders>
              <w:tl2br w:val="nil"/>
              <w:tr2bl w:val="nil"/>
            </w:tcBorders>
            <w:shd w:val="clear" w:color="auto" w:fill="auto"/>
            <w:noWrap/>
            <w:vAlign w:val="center"/>
          </w:tcPr>
          <w:p w14:paraId="0C7875DE">
            <w:pPr>
              <w:pStyle w:val="1405"/>
              <w:bidi w:val="0"/>
              <w:jc w:val="center"/>
              <w:rPr>
                <w:rFonts w:hint="eastAsia"/>
                <w:color w:val="auto"/>
                <w:highlight w:val="none"/>
                <w:lang w:val="en-US" w:eastAsia="zh-CN"/>
              </w:rPr>
            </w:pPr>
            <w:r>
              <w:rPr>
                <w:rFonts w:hint="eastAsia"/>
                <w:color w:val="auto"/>
                <w:highlight w:val="none"/>
                <w:lang w:val="en-US" w:eastAsia="zh-CN"/>
              </w:rPr>
              <w:t>1.4474</w:t>
            </w:r>
          </w:p>
        </w:tc>
        <w:tc>
          <w:tcPr>
            <w:tcW w:w="1255" w:type="dxa"/>
            <w:tcBorders>
              <w:tl2br w:val="nil"/>
              <w:tr2bl w:val="nil"/>
            </w:tcBorders>
            <w:shd w:val="clear" w:color="auto" w:fill="auto"/>
            <w:noWrap/>
            <w:vAlign w:val="center"/>
          </w:tcPr>
          <w:p w14:paraId="19583614">
            <w:pPr>
              <w:pStyle w:val="1405"/>
              <w:bidi w:val="0"/>
              <w:jc w:val="center"/>
              <w:rPr>
                <w:rFonts w:hint="eastAsia"/>
                <w:color w:val="auto"/>
                <w:highlight w:val="none"/>
                <w:lang w:val="en-US" w:eastAsia="zh-CN"/>
              </w:rPr>
            </w:pPr>
            <w:r>
              <w:rPr>
                <w:rFonts w:hint="eastAsia"/>
                <w:color w:val="auto"/>
                <w:highlight w:val="none"/>
                <w:lang w:val="en-US" w:eastAsia="zh-CN"/>
              </w:rPr>
              <w:t>0.0362</w:t>
            </w:r>
          </w:p>
        </w:tc>
        <w:tc>
          <w:tcPr>
            <w:tcW w:w="1307" w:type="dxa"/>
            <w:vMerge w:val="restart"/>
            <w:tcBorders>
              <w:tl2br w:val="nil"/>
              <w:tr2bl w:val="nil"/>
            </w:tcBorders>
            <w:shd w:val="clear" w:color="auto" w:fill="auto"/>
            <w:noWrap/>
            <w:vAlign w:val="center"/>
          </w:tcPr>
          <w:p w14:paraId="6A55F9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6600</w:t>
            </w:r>
          </w:p>
        </w:tc>
        <w:tc>
          <w:tcPr>
            <w:tcW w:w="1204" w:type="dxa"/>
            <w:vMerge w:val="restart"/>
            <w:tcBorders>
              <w:tl2br w:val="nil"/>
              <w:tr2bl w:val="nil"/>
            </w:tcBorders>
            <w:shd w:val="clear" w:color="auto" w:fill="auto"/>
            <w:noWrap/>
            <w:vAlign w:val="center"/>
          </w:tcPr>
          <w:p w14:paraId="5083A0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DA001</w:t>
            </w:r>
          </w:p>
        </w:tc>
        <w:tc>
          <w:tcPr>
            <w:tcW w:w="1204" w:type="dxa"/>
            <w:vMerge w:val="restart"/>
            <w:tcBorders>
              <w:tl2br w:val="nil"/>
              <w:tr2bl w:val="nil"/>
            </w:tcBorders>
            <w:shd w:val="clear" w:color="auto" w:fill="auto"/>
            <w:noWrap/>
            <w:vAlign w:val="center"/>
          </w:tcPr>
          <w:p w14:paraId="346DB0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6D3CBC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48D153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6DC56A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1B4B2BE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1EEAF8F">
            <w:pPr>
              <w:pStyle w:val="1405"/>
              <w:bidi w:val="0"/>
              <w:jc w:val="center"/>
              <w:rPr>
                <w:rFonts w:hint="eastAsia"/>
                <w:color w:val="auto"/>
                <w:highlight w:val="none"/>
                <w:lang w:val="en-US" w:eastAsia="zh-CN"/>
              </w:rPr>
            </w:pPr>
            <w:r>
              <w:rPr>
                <w:rFonts w:hint="eastAsia"/>
                <w:color w:val="auto"/>
                <w:highlight w:val="none"/>
                <w:lang w:val="en-US" w:eastAsia="zh-CN"/>
              </w:rPr>
              <w:t>17.5137</w:t>
            </w:r>
          </w:p>
        </w:tc>
        <w:tc>
          <w:tcPr>
            <w:tcW w:w="1214" w:type="dxa"/>
            <w:tcBorders>
              <w:tl2br w:val="nil"/>
              <w:tr2bl w:val="nil"/>
            </w:tcBorders>
            <w:shd w:val="clear" w:color="auto" w:fill="auto"/>
            <w:noWrap/>
            <w:vAlign w:val="center"/>
          </w:tcPr>
          <w:p w14:paraId="36BBE4A5">
            <w:pPr>
              <w:pStyle w:val="1405"/>
              <w:bidi w:val="0"/>
              <w:jc w:val="center"/>
              <w:rPr>
                <w:rFonts w:hint="eastAsia"/>
                <w:color w:val="auto"/>
                <w:highlight w:val="none"/>
                <w:lang w:val="en-US" w:eastAsia="zh-CN"/>
              </w:rPr>
            </w:pPr>
            <w:r>
              <w:rPr>
                <w:rFonts w:hint="eastAsia"/>
                <w:color w:val="auto"/>
                <w:highlight w:val="none"/>
                <w:lang w:val="en-US" w:eastAsia="zh-CN"/>
              </w:rPr>
              <w:t>106.1437</w:t>
            </w:r>
          </w:p>
        </w:tc>
        <w:tc>
          <w:tcPr>
            <w:tcW w:w="1215" w:type="dxa"/>
            <w:tcBorders>
              <w:tl2br w:val="nil"/>
              <w:tr2bl w:val="nil"/>
            </w:tcBorders>
            <w:shd w:val="clear" w:color="auto" w:fill="auto"/>
            <w:noWrap/>
            <w:vAlign w:val="center"/>
          </w:tcPr>
          <w:p w14:paraId="141002B4">
            <w:pPr>
              <w:pStyle w:val="1405"/>
              <w:bidi w:val="0"/>
              <w:jc w:val="center"/>
              <w:rPr>
                <w:rFonts w:hint="eastAsia"/>
                <w:color w:val="auto"/>
                <w:highlight w:val="none"/>
                <w:lang w:val="en-US" w:eastAsia="zh-CN"/>
              </w:rPr>
            </w:pPr>
            <w:r>
              <w:rPr>
                <w:rFonts w:hint="eastAsia"/>
                <w:color w:val="auto"/>
                <w:highlight w:val="none"/>
                <w:lang w:val="en-US" w:eastAsia="zh-CN"/>
              </w:rPr>
              <w:t>2.6536</w:t>
            </w:r>
          </w:p>
        </w:tc>
        <w:tc>
          <w:tcPr>
            <w:tcW w:w="1290" w:type="dxa"/>
            <w:vMerge w:val="continue"/>
            <w:tcBorders>
              <w:tl2br w:val="nil"/>
              <w:tr2bl w:val="nil"/>
            </w:tcBorders>
            <w:shd w:val="clear" w:color="auto" w:fill="auto"/>
            <w:noWrap/>
            <w:vAlign w:val="center"/>
          </w:tcPr>
          <w:p w14:paraId="09D916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7789DD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3E7A1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BB2A2EE">
            <w:pPr>
              <w:pStyle w:val="1405"/>
              <w:bidi w:val="0"/>
              <w:jc w:val="center"/>
              <w:rPr>
                <w:rFonts w:hint="eastAsia"/>
                <w:color w:val="auto"/>
                <w:highlight w:val="none"/>
                <w:lang w:val="en-US" w:eastAsia="zh-CN"/>
              </w:rPr>
            </w:pPr>
            <w:r>
              <w:rPr>
                <w:rFonts w:hint="eastAsia"/>
                <w:color w:val="auto"/>
                <w:highlight w:val="none"/>
                <w:lang w:val="en-US" w:eastAsia="zh-CN"/>
              </w:rPr>
              <w:t>0.3503</w:t>
            </w:r>
          </w:p>
        </w:tc>
        <w:tc>
          <w:tcPr>
            <w:tcW w:w="1110" w:type="dxa"/>
            <w:tcBorders>
              <w:tl2br w:val="nil"/>
              <w:tr2bl w:val="nil"/>
            </w:tcBorders>
            <w:shd w:val="clear" w:color="auto" w:fill="auto"/>
            <w:noWrap/>
            <w:vAlign w:val="center"/>
          </w:tcPr>
          <w:p w14:paraId="2E8DB21C">
            <w:pPr>
              <w:pStyle w:val="1405"/>
              <w:bidi w:val="0"/>
              <w:jc w:val="center"/>
              <w:rPr>
                <w:rFonts w:hint="eastAsia"/>
                <w:color w:val="auto"/>
                <w:highlight w:val="none"/>
                <w:lang w:val="en-US" w:eastAsia="zh-CN"/>
              </w:rPr>
            </w:pPr>
            <w:r>
              <w:rPr>
                <w:rFonts w:hint="eastAsia"/>
                <w:color w:val="auto"/>
                <w:highlight w:val="none"/>
                <w:lang w:val="en-US" w:eastAsia="zh-CN"/>
              </w:rPr>
              <w:t>2.1229</w:t>
            </w:r>
          </w:p>
        </w:tc>
        <w:tc>
          <w:tcPr>
            <w:tcW w:w="1255" w:type="dxa"/>
            <w:tcBorders>
              <w:tl2br w:val="nil"/>
              <w:tr2bl w:val="nil"/>
            </w:tcBorders>
            <w:shd w:val="clear" w:color="auto" w:fill="auto"/>
            <w:noWrap/>
            <w:vAlign w:val="center"/>
          </w:tcPr>
          <w:p w14:paraId="594C24C8">
            <w:pPr>
              <w:pStyle w:val="1405"/>
              <w:bidi w:val="0"/>
              <w:jc w:val="center"/>
              <w:rPr>
                <w:rFonts w:hint="eastAsia"/>
                <w:color w:val="auto"/>
                <w:highlight w:val="none"/>
                <w:lang w:val="en-US" w:eastAsia="zh-CN"/>
              </w:rPr>
            </w:pPr>
            <w:r>
              <w:rPr>
                <w:rFonts w:hint="eastAsia"/>
                <w:color w:val="auto"/>
                <w:highlight w:val="none"/>
                <w:lang w:val="en-US" w:eastAsia="zh-CN"/>
              </w:rPr>
              <w:t>0.0531</w:t>
            </w:r>
          </w:p>
        </w:tc>
        <w:tc>
          <w:tcPr>
            <w:tcW w:w="1307" w:type="dxa"/>
            <w:vMerge w:val="continue"/>
            <w:tcBorders>
              <w:tl2br w:val="nil"/>
              <w:tr2bl w:val="nil"/>
            </w:tcBorders>
            <w:shd w:val="clear" w:color="auto" w:fill="auto"/>
            <w:noWrap/>
            <w:vAlign w:val="center"/>
          </w:tcPr>
          <w:p w14:paraId="0C0B99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FCF06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5BD47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40D8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54DD5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4E4E80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239753E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60992855">
            <w:pPr>
              <w:pStyle w:val="1405"/>
              <w:bidi w:val="0"/>
              <w:jc w:val="center"/>
              <w:rPr>
                <w:rFonts w:hint="eastAsia"/>
                <w:color w:val="auto"/>
                <w:highlight w:val="none"/>
                <w:lang w:val="en-US" w:eastAsia="zh-CN"/>
              </w:rPr>
            </w:pPr>
            <w:r>
              <w:rPr>
                <w:rFonts w:hint="eastAsia"/>
                <w:color w:val="auto"/>
                <w:highlight w:val="none"/>
                <w:lang w:val="en-US" w:eastAsia="zh-CN"/>
              </w:rPr>
              <w:t>23.9935</w:t>
            </w:r>
          </w:p>
        </w:tc>
        <w:tc>
          <w:tcPr>
            <w:tcW w:w="1214" w:type="dxa"/>
            <w:tcBorders>
              <w:tl2br w:val="nil"/>
              <w:tr2bl w:val="nil"/>
            </w:tcBorders>
            <w:shd w:val="clear" w:color="auto" w:fill="auto"/>
            <w:noWrap/>
            <w:vAlign w:val="center"/>
          </w:tcPr>
          <w:p w14:paraId="400AB419">
            <w:pPr>
              <w:pStyle w:val="1405"/>
              <w:bidi w:val="0"/>
              <w:jc w:val="center"/>
              <w:rPr>
                <w:rFonts w:hint="eastAsia"/>
                <w:color w:val="auto"/>
                <w:highlight w:val="none"/>
                <w:lang w:val="en-US" w:eastAsia="zh-CN"/>
              </w:rPr>
            </w:pPr>
            <w:r>
              <w:rPr>
                <w:rFonts w:hint="eastAsia"/>
                <w:color w:val="auto"/>
                <w:highlight w:val="none"/>
                <w:lang w:val="en-US" w:eastAsia="zh-CN"/>
              </w:rPr>
              <w:t>145.4150</w:t>
            </w:r>
          </w:p>
        </w:tc>
        <w:tc>
          <w:tcPr>
            <w:tcW w:w="1215" w:type="dxa"/>
            <w:tcBorders>
              <w:tl2br w:val="nil"/>
              <w:tr2bl w:val="nil"/>
            </w:tcBorders>
            <w:shd w:val="clear" w:color="auto" w:fill="auto"/>
            <w:noWrap/>
            <w:vAlign w:val="center"/>
          </w:tcPr>
          <w:p w14:paraId="1A1A9654">
            <w:pPr>
              <w:pStyle w:val="1405"/>
              <w:bidi w:val="0"/>
              <w:jc w:val="center"/>
              <w:rPr>
                <w:rFonts w:hint="eastAsia"/>
                <w:color w:val="auto"/>
                <w:highlight w:val="none"/>
                <w:lang w:val="en-US" w:eastAsia="zh-CN"/>
              </w:rPr>
            </w:pPr>
            <w:r>
              <w:rPr>
                <w:rFonts w:hint="eastAsia"/>
                <w:color w:val="auto"/>
                <w:highlight w:val="none"/>
                <w:lang w:val="en-US" w:eastAsia="zh-CN"/>
              </w:rPr>
              <w:t>3.6354</w:t>
            </w:r>
          </w:p>
        </w:tc>
        <w:tc>
          <w:tcPr>
            <w:tcW w:w="1290" w:type="dxa"/>
            <w:vMerge w:val="continue"/>
            <w:tcBorders>
              <w:tl2br w:val="nil"/>
              <w:tr2bl w:val="nil"/>
            </w:tcBorders>
            <w:shd w:val="clear" w:color="auto" w:fill="auto"/>
            <w:noWrap/>
            <w:vAlign w:val="center"/>
          </w:tcPr>
          <w:p w14:paraId="0A0D26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1AEFBE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2E2A9D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0FCD29E7">
            <w:pPr>
              <w:pStyle w:val="1405"/>
              <w:bidi w:val="0"/>
              <w:jc w:val="center"/>
              <w:rPr>
                <w:rFonts w:hint="eastAsia"/>
                <w:color w:val="auto"/>
                <w:highlight w:val="none"/>
                <w:lang w:val="en-US" w:eastAsia="zh-CN"/>
              </w:rPr>
            </w:pPr>
            <w:r>
              <w:rPr>
                <w:rFonts w:hint="eastAsia"/>
                <w:color w:val="auto"/>
                <w:highlight w:val="none"/>
                <w:lang w:val="en-US" w:eastAsia="zh-CN"/>
              </w:rPr>
              <w:t>0.4799</w:t>
            </w:r>
          </w:p>
        </w:tc>
        <w:tc>
          <w:tcPr>
            <w:tcW w:w="1110" w:type="dxa"/>
            <w:tcBorders>
              <w:tl2br w:val="nil"/>
              <w:tr2bl w:val="nil"/>
            </w:tcBorders>
            <w:shd w:val="clear" w:color="auto" w:fill="auto"/>
            <w:noWrap/>
            <w:vAlign w:val="center"/>
          </w:tcPr>
          <w:p w14:paraId="095C0004">
            <w:pPr>
              <w:pStyle w:val="1405"/>
              <w:bidi w:val="0"/>
              <w:jc w:val="center"/>
              <w:rPr>
                <w:rFonts w:hint="eastAsia"/>
                <w:color w:val="auto"/>
                <w:highlight w:val="none"/>
                <w:lang w:val="en-US" w:eastAsia="zh-CN"/>
              </w:rPr>
            </w:pPr>
            <w:r>
              <w:rPr>
                <w:rFonts w:hint="eastAsia"/>
                <w:color w:val="auto"/>
                <w:highlight w:val="none"/>
                <w:lang w:val="en-US" w:eastAsia="zh-CN"/>
              </w:rPr>
              <w:t>2.9083</w:t>
            </w:r>
          </w:p>
        </w:tc>
        <w:tc>
          <w:tcPr>
            <w:tcW w:w="1255" w:type="dxa"/>
            <w:tcBorders>
              <w:tl2br w:val="nil"/>
              <w:tr2bl w:val="nil"/>
            </w:tcBorders>
            <w:shd w:val="clear" w:color="auto" w:fill="auto"/>
            <w:noWrap/>
            <w:vAlign w:val="center"/>
          </w:tcPr>
          <w:p w14:paraId="1FB43516">
            <w:pPr>
              <w:pStyle w:val="1405"/>
              <w:bidi w:val="0"/>
              <w:jc w:val="center"/>
              <w:rPr>
                <w:rFonts w:hint="eastAsia"/>
                <w:color w:val="auto"/>
                <w:highlight w:val="none"/>
                <w:lang w:val="en-US" w:eastAsia="zh-CN"/>
              </w:rPr>
            </w:pPr>
            <w:r>
              <w:rPr>
                <w:rFonts w:hint="eastAsia"/>
                <w:color w:val="auto"/>
                <w:highlight w:val="none"/>
                <w:lang w:val="en-US" w:eastAsia="zh-CN"/>
              </w:rPr>
              <w:t>0.0727</w:t>
            </w:r>
          </w:p>
        </w:tc>
        <w:tc>
          <w:tcPr>
            <w:tcW w:w="1307" w:type="dxa"/>
            <w:vMerge w:val="continue"/>
            <w:tcBorders>
              <w:tl2br w:val="nil"/>
              <w:tr2bl w:val="nil"/>
            </w:tcBorders>
            <w:shd w:val="clear" w:color="auto" w:fill="auto"/>
            <w:noWrap/>
            <w:vAlign w:val="center"/>
          </w:tcPr>
          <w:p w14:paraId="18AE10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6CD75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57A87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BC66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7F7351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5720F8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二氧化硫</w:t>
            </w:r>
          </w:p>
        </w:tc>
        <w:tc>
          <w:tcPr>
            <w:tcW w:w="982" w:type="dxa"/>
            <w:vMerge w:val="continue"/>
            <w:tcBorders>
              <w:tl2br w:val="nil"/>
              <w:tr2bl w:val="nil"/>
            </w:tcBorders>
            <w:shd w:val="clear" w:color="auto" w:fill="auto"/>
            <w:noWrap/>
            <w:vAlign w:val="center"/>
          </w:tcPr>
          <w:p w14:paraId="5FA297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585C6EE7">
            <w:pPr>
              <w:pStyle w:val="1405"/>
              <w:bidi w:val="0"/>
              <w:jc w:val="center"/>
              <w:rPr>
                <w:rFonts w:hint="default"/>
                <w:color w:val="auto"/>
                <w:highlight w:val="none"/>
                <w:lang w:val="en-US" w:eastAsia="zh-CN"/>
              </w:rPr>
            </w:pPr>
            <w:r>
              <w:rPr>
                <w:rFonts w:hint="eastAsia"/>
                <w:color w:val="auto"/>
                <w:highlight w:val="none"/>
                <w:lang w:val="en-US" w:eastAsia="zh-CN"/>
              </w:rPr>
              <w:t>0.0594</w:t>
            </w:r>
          </w:p>
        </w:tc>
        <w:tc>
          <w:tcPr>
            <w:tcW w:w="1214" w:type="dxa"/>
            <w:tcBorders>
              <w:tl2br w:val="nil"/>
              <w:tr2bl w:val="nil"/>
            </w:tcBorders>
            <w:shd w:val="clear" w:color="auto" w:fill="auto"/>
            <w:noWrap/>
            <w:vAlign w:val="center"/>
          </w:tcPr>
          <w:p w14:paraId="4A1B6ABA">
            <w:pPr>
              <w:pStyle w:val="1405"/>
              <w:bidi w:val="0"/>
              <w:jc w:val="center"/>
              <w:rPr>
                <w:rFonts w:hint="default"/>
                <w:color w:val="auto"/>
                <w:highlight w:val="none"/>
                <w:lang w:val="en-US" w:eastAsia="zh-CN"/>
              </w:rPr>
            </w:pPr>
            <w:r>
              <w:rPr>
                <w:rFonts w:hint="eastAsia"/>
                <w:color w:val="auto"/>
                <w:highlight w:val="none"/>
                <w:lang w:val="en-US" w:eastAsia="zh-CN"/>
              </w:rPr>
              <w:t>0.3600</w:t>
            </w:r>
          </w:p>
        </w:tc>
        <w:tc>
          <w:tcPr>
            <w:tcW w:w="1215" w:type="dxa"/>
            <w:tcBorders>
              <w:tl2br w:val="nil"/>
              <w:tr2bl w:val="nil"/>
            </w:tcBorders>
            <w:shd w:val="clear" w:color="auto" w:fill="auto"/>
            <w:noWrap/>
            <w:vAlign w:val="center"/>
          </w:tcPr>
          <w:p w14:paraId="006EDEC3">
            <w:pPr>
              <w:pStyle w:val="1405"/>
              <w:bidi w:val="0"/>
              <w:jc w:val="center"/>
              <w:rPr>
                <w:rFonts w:hint="default"/>
                <w:color w:val="auto"/>
                <w:highlight w:val="none"/>
                <w:lang w:val="en-US" w:eastAsia="zh-CN"/>
              </w:rPr>
            </w:pPr>
            <w:r>
              <w:rPr>
                <w:rFonts w:hint="eastAsia"/>
                <w:color w:val="auto"/>
                <w:highlight w:val="none"/>
                <w:lang w:val="en-US" w:eastAsia="zh-CN"/>
              </w:rPr>
              <w:t>0.0090</w:t>
            </w:r>
          </w:p>
        </w:tc>
        <w:tc>
          <w:tcPr>
            <w:tcW w:w="1290" w:type="dxa"/>
            <w:vMerge w:val="continue"/>
            <w:tcBorders>
              <w:tl2br w:val="nil"/>
              <w:tr2bl w:val="nil"/>
            </w:tcBorders>
            <w:shd w:val="clear" w:color="auto" w:fill="auto"/>
            <w:noWrap/>
            <w:vAlign w:val="center"/>
          </w:tcPr>
          <w:p w14:paraId="5B3832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71C2D9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restart"/>
            <w:tcBorders>
              <w:tl2br w:val="nil"/>
              <w:tr2bl w:val="nil"/>
            </w:tcBorders>
            <w:shd w:val="clear" w:color="auto" w:fill="auto"/>
            <w:noWrap/>
            <w:vAlign w:val="center"/>
          </w:tcPr>
          <w:p w14:paraId="31C91F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6122FC2D">
            <w:pPr>
              <w:pStyle w:val="1405"/>
              <w:bidi w:val="0"/>
              <w:jc w:val="center"/>
              <w:rPr>
                <w:rFonts w:hint="eastAsia"/>
                <w:color w:val="auto"/>
                <w:highlight w:val="none"/>
                <w:lang w:val="en-US" w:eastAsia="zh-CN"/>
              </w:rPr>
            </w:pPr>
            <w:r>
              <w:rPr>
                <w:rFonts w:hint="eastAsia"/>
                <w:color w:val="auto"/>
                <w:highlight w:val="none"/>
                <w:lang w:val="en-US" w:eastAsia="zh-CN"/>
              </w:rPr>
              <w:t>0.0594</w:t>
            </w:r>
          </w:p>
        </w:tc>
        <w:tc>
          <w:tcPr>
            <w:tcW w:w="1110" w:type="dxa"/>
            <w:tcBorders>
              <w:tl2br w:val="nil"/>
              <w:tr2bl w:val="nil"/>
            </w:tcBorders>
            <w:shd w:val="clear" w:color="auto" w:fill="auto"/>
            <w:noWrap/>
            <w:vAlign w:val="center"/>
          </w:tcPr>
          <w:p w14:paraId="09213EF4">
            <w:pPr>
              <w:pStyle w:val="1405"/>
              <w:bidi w:val="0"/>
              <w:jc w:val="center"/>
              <w:rPr>
                <w:rFonts w:hint="eastAsia"/>
                <w:color w:val="auto"/>
                <w:highlight w:val="none"/>
                <w:lang w:val="en-US" w:eastAsia="zh-CN"/>
              </w:rPr>
            </w:pPr>
            <w:r>
              <w:rPr>
                <w:rFonts w:hint="eastAsia"/>
                <w:color w:val="auto"/>
                <w:highlight w:val="none"/>
                <w:lang w:val="en-US" w:eastAsia="zh-CN"/>
              </w:rPr>
              <w:t>0.3600</w:t>
            </w:r>
          </w:p>
        </w:tc>
        <w:tc>
          <w:tcPr>
            <w:tcW w:w="1255" w:type="dxa"/>
            <w:tcBorders>
              <w:tl2br w:val="nil"/>
              <w:tr2bl w:val="nil"/>
            </w:tcBorders>
            <w:shd w:val="clear" w:color="auto" w:fill="auto"/>
            <w:noWrap/>
            <w:vAlign w:val="center"/>
          </w:tcPr>
          <w:p w14:paraId="56AA89D8">
            <w:pPr>
              <w:pStyle w:val="1405"/>
              <w:bidi w:val="0"/>
              <w:jc w:val="center"/>
              <w:rPr>
                <w:rFonts w:hint="eastAsia"/>
                <w:color w:val="auto"/>
                <w:highlight w:val="none"/>
                <w:lang w:val="en-US" w:eastAsia="zh-CN"/>
              </w:rPr>
            </w:pPr>
            <w:r>
              <w:rPr>
                <w:rFonts w:hint="eastAsia"/>
                <w:color w:val="auto"/>
                <w:highlight w:val="none"/>
                <w:lang w:val="en-US" w:eastAsia="zh-CN"/>
              </w:rPr>
              <w:t>0.0090</w:t>
            </w:r>
          </w:p>
        </w:tc>
        <w:tc>
          <w:tcPr>
            <w:tcW w:w="1307" w:type="dxa"/>
            <w:vMerge w:val="continue"/>
            <w:tcBorders>
              <w:tl2br w:val="nil"/>
              <w:tr2bl w:val="nil"/>
            </w:tcBorders>
            <w:shd w:val="clear" w:color="auto" w:fill="auto"/>
            <w:noWrap/>
            <w:vAlign w:val="center"/>
          </w:tcPr>
          <w:p w14:paraId="53F7F0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2299E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CEFF1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AD0A6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E192C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92E4A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continue"/>
            <w:tcBorders>
              <w:tl2br w:val="nil"/>
              <w:tr2bl w:val="nil"/>
            </w:tcBorders>
            <w:shd w:val="clear" w:color="auto" w:fill="auto"/>
            <w:noWrap/>
            <w:vAlign w:val="center"/>
          </w:tcPr>
          <w:p w14:paraId="07A66B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A4641C5">
            <w:pPr>
              <w:pStyle w:val="1405"/>
              <w:bidi w:val="0"/>
              <w:jc w:val="center"/>
              <w:rPr>
                <w:rFonts w:hint="eastAsia"/>
                <w:color w:val="auto"/>
                <w:highlight w:val="none"/>
                <w:lang w:val="en-US" w:eastAsia="zh-CN"/>
              </w:rPr>
            </w:pPr>
            <w:r>
              <w:rPr>
                <w:rFonts w:hint="eastAsia"/>
                <w:color w:val="auto"/>
                <w:highlight w:val="none"/>
                <w:lang w:val="en-US" w:eastAsia="zh-CN"/>
              </w:rPr>
              <w:t>16.2999</w:t>
            </w:r>
          </w:p>
        </w:tc>
        <w:tc>
          <w:tcPr>
            <w:tcW w:w="1214" w:type="dxa"/>
            <w:tcBorders>
              <w:tl2br w:val="nil"/>
              <w:tr2bl w:val="nil"/>
            </w:tcBorders>
            <w:shd w:val="clear" w:color="auto" w:fill="auto"/>
            <w:noWrap/>
            <w:vAlign w:val="center"/>
          </w:tcPr>
          <w:p w14:paraId="3AE69CE0">
            <w:pPr>
              <w:pStyle w:val="1405"/>
              <w:bidi w:val="0"/>
              <w:jc w:val="center"/>
              <w:rPr>
                <w:rFonts w:hint="eastAsia"/>
                <w:color w:val="auto"/>
                <w:highlight w:val="none"/>
                <w:lang w:val="en-US" w:eastAsia="zh-CN"/>
              </w:rPr>
            </w:pPr>
            <w:r>
              <w:rPr>
                <w:rFonts w:hint="eastAsia"/>
                <w:color w:val="auto"/>
                <w:highlight w:val="none"/>
                <w:lang w:val="en-US" w:eastAsia="zh-CN"/>
              </w:rPr>
              <w:t>98.7875</w:t>
            </w:r>
          </w:p>
        </w:tc>
        <w:tc>
          <w:tcPr>
            <w:tcW w:w="1215" w:type="dxa"/>
            <w:tcBorders>
              <w:tl2br w:val="nil"/>
              <w:tr2bl w:val="nil"/>
            </w:tcBorders>
            <w:shd w:val="clear" w:color="auto" w:fill="auto"/>
            <w:noWrap/>
            <w:vAlign w:val="center"/>
          </w:tcPr>
          <w:p w14:paraId="0C9023D0">
            <w:pPr>
              <w:pStyle w:val="1405"/>
              <w:bidi w:val="0"/>
              <w:jc w:val="center"/>
              <w:rPr>
                <w:rFonts w:hint="eastAsia"/>
                <w:color w:val="auto"/>
                <w:highlight w:val="none"/>
                <w:lang w:val="en-US" w:eastAsia="zh-CN"/>
              </w:rPr>
            </w:pPr>
            <w:r>
              <w:rPr>
                <w:rFonts w:hint="eastAsia"/>
                <w:color w:val="auto"/>
                <w:highlight w:val="none"/>
                <w:lang w:val="en-US" w:eastAsia="zh-CN"/>
              </w:rPr>
              <w:t>2.4697</w:t>
            </w:r>
          </w:p>
        </w:tc>
        <w:tc>
          <w:tcPr>
            <w:tcW w:w="1290" w:type="dxa"/>
            <w:vMerge w:val="continue"/>
            <w:tcBorders>
              <w:tl2br w:val="nil"/>
              <w:tr2bl w:val="nil"/>
            </w:tcBorders>
            <w:shd w:val="clear" w:color="auto" w:fill="auto"/>
            <w:noWrap/>
            <w:vAlign w:val="center"/>
          </w:tcPr>
          <w:p w14:paraId="3E6D52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457A74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CD7E8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51EF6A6A">
            <w:pPr>
              <w:pStyle w:val="1405"/>
              <w:bidi w:val="0"/>
              <w:jc w:val="center"/>
              <w:rPr>
                <w:rFonts w:hint="eastAsia"/>
                <w:color w:val="auto"/>
                <w:highlight w:val="none"/>
                <w:lang w:val="en-US" w:eastAsia="zh-CN"/>
              </w:rPr>
            </w:pPr>
            <w:r>
              <w:rPr>
                <w:rFonts w:hint="eastAsia"/>
                <w:color w:val="auto"/>
                <w:highlight w:val="none"/>
                <w:lang w:val="en-US" w:eastAsia="zh-CN"/>
              </w:rPr>
              <w:t>0.2471</w:t>
            </w:r>
          </w:p>
        </w:tc>
        <w:tc>
          <w:tcPr>
            <w:tcW w:w="1110" w:type="dxa"/>
            <w:tcBorders>
              <w:tl2br w:val="nil"/>
              <w:tr2bl w:val="nil"/>
            </w:tcBorders>
            <w:shd w:val="clear" w:color="auto" w:fill="auto"/>
            <w:noWrap/>
            <w:vAlign w:val="center"/>
          </w:tcPr>
          <w:p w14:paraId="5C43DF03">
            <w:pPr>
              <w:pStyle w:val="1405"/>
              <w:bidi w:val="0"/>
              <w:jc w:val="center"/>
              <w:rPr>
                <w:rFonts w:hint="eastAsia"/>
                <w:color w:val="auto"/>
                <w:highlight w:val="none"/>
                <w:lang w:val="en-US" w:eastAsia="zh-CN"/>
              </w:rPr>
            </w:pPr>
            <w:r>
              <w:rPr>
                <w:rFonts w:hint="eastAsia"/>
                <w:color w:val="auto"/>
                <w:highlight w:val="none"/>
                <w:lang w:val="en-US" w:eastAsia="zh-CN"/>
              </w:rPr>
              <w:t>1.4975</w:t>
            </w:r>
          </w:p>
        </w:tc>
        <w:tc>
          <w:tcPr>
            <w:tcW w:w="1255" w:type="dxa"/>
            <w:tcBorders>
              <w:tl2br w:val="nil"/>
              <w:tr2bl w:val="nil"/>
            </w:tcBorders>
            <w:shd w:val="clear" w:color="auto" w:fill="auto"/>
            <w:noWrap/>
            <w:vAlign w:val="center"/>
          </w:tcPr>
          <w:p w14:paraId="45C22E51">
            <w:pPr>
              <w:pStyle w:val="1405"/>
              <w:bidi w:val="0"/>
              <w:jc w:val="center"/>
              <w:rPr>
                <w:rFonts w:hint="eastAsia"/>
                <w:color w:val="auto"/>
                <w:highlight w:val="none"/>
                <w:lang w:val="en-US" w:eastAsia="zh-CN"/>
              </w:rPr>
            </w:pPr>
            <w:r>
              <w:rPr>
                <w:rFonts w:hint="eastAsia"/>
                <w:color w:val="auto"/>
                <w:highlight w:val="none"/>
                <w:lang w:val="en-US" w:eastAsia="zh-CN"/>
              </w:rPr>
              <w:t>0.0374</w:t>
            </w:r>
          </w:p>
        </w:tc>
        <w:tc>
          <w:tcPr>
            <w:tcW w:w="1307" w:type="dxa"/>
            <w:vMerge w:val="continue"/>
            <w:tcBorders>
              <w:tl2br w:val="nil"/>
              <w:tr2bl w:val="nil"/>
            </w:tcBorders>
            <w:shd w:val="clear" w:color="auto" w:fill="auto"/>
            <w:noWrap/>
            <w:vAlign w:val="center"/>
          </w:tcPr>
          <w:p w14:paraId="6F9A52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02DF2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E3A2C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5AAD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7F76DA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6BF84E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氮氧化物</w:t>
            </w:r>
          </w:p>
        </w:tc>
        <w:tc>
          <w:tcPr>
            <w:tcW w:w="982" w:type="dxa"/>
            <w:vMerge w:val="continue"/>
            <w:tcBorders>
              <w:tl2br w:val="nil"/>
              <w:tr2bl w:val="nil"/>
            </w:tcBorders>
            <w:shd w:val="clear" w:color="auto" w:fill="auto"/>
            <w:noWrap/>
            <w:vAlign w:val="center"/>
          </w:tcPr>
          <w:p w14:paraId="788080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15F20AF8">
            <w:pPr>
              <w:pStyle w:val="1405"/>
              <w:bidi w:val="0"/>
              <w:jc w:val="center"/>
              <w:rPr>
                <w:rFonts w:hint="default"/>
                <w:color w:val="auto"/>
                <w:highlight w:val="none"/>
                <w:lang w:val="en-US" w:eastAsia="zh-CN"/>
              </w:rPr>
            </w:pPr>
            <w:r>
              <w:rPr>
                <w:rFonts w:hint="eastAsia"/>
                <w:color w:val="auto"/>
                <w:highlight w:val="none"/>
                <w:lang w:val="en-US" w:eastAsia="zh-CN"/>
              </w:rPr>
              <w:t>0.5554</w:t>
            </w:r>
          </w:p>
        </w:tc>
        <w:tc>
          <w:tcPr>
            <w:tcW w:w="1214" w:type="dxa"/>
            <w:tcBorders>
              <w:tl2br w:val="nil"/>
              <w:tr2bl w:val="nil"/>
            </w:tcBorders>
            <w:shd w:val="clear" w:color="auto" w:fill="auto"/>
            <w:noWrap/>
            <w:vAlign w:val="center"/>
          </w:tcPr>
          <w:p w14:paraId="4235AE39">
            <w:pPr>
              <w:pStyle w:val="1405"/>
              <w:bidi w:val="0"/>
              <w:jc w:val="center"/>
              <w:rPr>
                <w:rFonts w:hint="default"/>
                <w:color w:val="auto"/>
                <w:highlight w:val="none"/>
                <w:lang w:val="en-US" w:eastAsia="zh-CN"/>
              </w:rPr>
            </w:pPr>
            <w:r>
              <w:rPr>
                <w:rFonts w:hint="eastAsia"/>
                <w:color w:val="auto"/>
                <w:highlight w:val="none"/>
                <w:lang w:val="en-US" w:eastAsia="zh-CN"/>
              </w:rPr>
              <w:t>3.3660</w:t>
            </w:r>
          </w:p>
        </w:tc>
        <w:tc>
          <w:tcPr>
            <w:tcW w:w="1215" w:type="dxa"/>
            <w:tcBorders>
              <w:tl2br w:val="nil"/>
              <w:tr2bl w:val="nil"/>
            </w:tcBorders>
            <w:shd w:val="clear" w:color="auto" w:fill="auto"/>
            <w:noWrap/>
            <w:vAlign w:val="center"/>
          </w:tcPr>
          <w:p w14:paraId="2F38EF58">
            <w:pPr>
              <w:pStyle w:val="1405"/>
              <w:bidi w:val="0"/>
              <w:jc w:val="center"/>
              <w:rPr>
                <w:rFonts w:hint="default"/>
                <w:color w:val="auto"/>
                <w:highlight w:val="none"/>
                <w:lang w:val="en-US" w:eastAsia="zh-CN"/>
              </w:rPr>
            </w:pPr>
            <w:r>
              <w:rPr>
                <w:rFonts w:hint="eastAsia"/>
                <w:color w:val="auto"/>
                <w:highlight w:val="none"/>
                <w:lang w:val="en-US" w:eastAsia="zh-CN"/>
              </w:rPr>
              <w:t>0.0842</w:t>
            </w:r>
          </w:p>
        </w:tc>
        <w:tc>
          <w:tcPr>
            <w:tcW w:w="1290" w:type="dxa"/>
            <w:vMerge w:val="continue"/>
            <w:tcBorders>
              <w:tl2br w:val="nil"/>
              <w:tr2bl w:val="nil"/>
            </w:tcBorders>
            <w:shd w:val="clear" w:color="auto" w:fill="auto"/>
            <w:noWrap/>
            <w:vAlign w:val="center"/>
          </w:tcPr>
          <w:p w14:paraId="6BE41F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45AB2D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7390BA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1936FD55">
            <w:pPr>
              <w:pStyle w:val="1405"/>
              <w:bidi w:val="0"/>
              <w:jc w:val="center"/>
              <w:rPr>
                <w:rFonts w:hint="eastAsia"/>
                <w:color w:val="auto"/>
                <w:highlight w:val="none"/>
                <w:lang w:val="en-US" w:eastAsia="zh-CN"/>
              </w:rPr>
            </w:pPr>
            <w:r>
              <w:rPr>
                <w:rFonts w:hint="eastAsia"/>
                <w:color w:val="auto"/>
                <w:highlight w:val="none"/>
                <w:lang w:val="en-US" w:eastAsia="zh-CN"/>
              </w:rPr>
              <w:t>0.5554</w:t>
            </w:r>
          </w:p>
        </w:tc>
        <w:tc>
          <w:tcPr>
            <w:tcW w:w="1110" w:type="dxa"/>
            <w:tcBorders>
              <w:tl2br w:val="nil"/>
              <w:tr2bl w:val="nil"/>
            </w:tcBorders>
            <w:shd w:val="clear" w:color="auto" w:fill="auto"/>
            <w:noWrap/>
            <w:vAlign w:val="center"/>
          </w:tcPr>
          <w:p w14:paraId="4E956888">
            <w:pPr>
              <w:pStyle w:val="1405"/>
              <w:bidi w:val="0"/>
              <w:jc w:val="center"/>
              <w:rPr>
                <w:rFonts w:hint="eastAsia"/>
                <w:color w:val="auto"/>
                <w:highlight w:val="none"/>
                <w:lang w:val="en-US" w:eastAsia="zh-CN"/>
              </w:rPr>
            </w:pPr>
            <w:r>
              <w:rPr>
                <w:rFonts w:hint="eastAsia"/>
                <w:color w:val="auto"/>
                <w:highlight w:val="none"/>
                <w:lang w:val="en-US" w:eastAsia="zh-CN"/>
              </w:rPr>
              <w:t>3.3660</w:t>
            </w:r>
          </w:p>
        </w:tc>
        <w:tc>
          <w:tcPr>
            <w:tcW w:w="1255" w:type="dxa"/>
            <w:tcBorders>
              <w:tl2br w:val="nil"/>
              <w:tr2bl w:val="nil"/>
            </w:tcBorders>
            <w:shd w:val="clear" w:color="auto" w:fill="auto"/>
            <w:noWrap/>
            <w:vAlign w:val="center"/>
          </w:tcPr>
          <w:p w14:paraId="69902576">
            <w:pPr>
              <w:pStyle w:val="1405"/>
              <w:bidi w:val="0"/>
              <w:jc w:val="center"/>
              <w:rPr>
                <w:rFonts w:hint="eastAsia"/>
                <w:color w:val="auto"/>
                <w:highlight w:val="none"/>
                <w:lang w:val="en-US" w:eastAsia="zh-CN"/>
              </w:rPr>
            </w:pPr>
            <w:r>
              <w:rPr>
                <w:rFonts w:hint="eastAsia"/>
                <w:color w:val="auto"/>
                <w:highlight w:val="none"/>
                <w:lang w:val="en-US" w:eastAsia="zh-CN"/>
              </w:rPr>
              <w:t>0.0842</w:t>
            </w:r>
          </w:p>
        </w:tc>
        <w:tc>
          <w:tcPr>
            <w:tcW w:w="1307" w:type="dxa"/>
            <w:vMerge w:val="continue"/>
            <w:tcBorders>
              <w:tl2br w:val="nil"/>
              <w:tr2bl w:val="nil"/>
            </w:tcBorders>
            <w:shd w:val="clear" w:color="auto" w:fill="auto"/>
            <w:noWrap/>
            <w:vAlign w:val="center"/>
          </w:tcPr>
          <w:p w14:paraId="61C6C4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1BE86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137E2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9595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4B2E9D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9E64D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restart"/>
            <w:tcBorders>
              <w:tl2br w:val="nil"/>
              <w:tr2bl w:val="nil"/>
            </w:tcBorders>
            <w:shd w:val="clear" w:color="auto" w:fill="auto"/>
            <w:noWrap/>
            <w:vAlign w:val="center"/>
          </w:tcPr>
          <w:p w14:paraId="3DE3EE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2962F2A6">
            <w:pPr>
              <w:pStyle w:val="1405"/>
              <w:bidi w:val="0"/>
              <w:jc w:val="center"/>
              <w:rPr>
                <w:rFonts w:hint="eastAsia"/>
                <w:color w:val="auto"/>
                <w:highlight w:val="none"/>
                <w:lang w:val="en-US" w:eastAsia="zh-CN"/>
              </w:rPr>
            </w:pPr>
            <w:r>
              <w:rPr>
                <w:rFonts w:hint="eastAsia"/>
                <w:color w:val="auto"/>
                <w:highlight w:val="none"/>
                <w:lang w:val="en-US" w:eastAsia="zh-CN"/>
              </w:rPr>
              <w:t>1.8017</w:t>
            </w:r>
          </w:p>
        </w:tc>
        <w:tc>
          <w:tcPr>
            <w:tcW w:w="1214" w:type="dxa"/>
            <w:tcBorders>
              <w:tl2br w:val="nil"/>
              <w:tr2bl w:val="nil"/>
            </w:tcBorders>
            <w:shd w:val="clear" w:color="auto" w:fill="auto"/>
            <w:noWrap/>
            <w:vAlign w:val="center"/>
          </w:tcPr>
          <w:p w14:paraId="1C0B2B9F">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15" w:type="dxa"/>
            <w:tcBorders>
              <w:tl2br w:val="nil"/>
              <w:tr2bl w:val="nil"/>
            </w:tcBorders>
            <w:shd w:val="clear" w:color="auto" w:fill="auto"/>
            <w:noWrap/>
            <w:vAlign w:val="center"/>
          </w:tcPr>
          <w:p w14:paraId="630251A4">
            <w:pPr>
              <w:pStyle w:val="1405"/>
              <w:bidi w:val="0"/>
              <w:jc w:val="center"/>
              <w:rPr>
                <w:rFonts w:hint="eastAsia"/>
                <w:color w:val="auto"/>
                <w:highlight w:val="none"/>
                <w:lang w:val="en-US" w:eastAsia="zh-CN"/>
              </w:rPr>
            </w:pPr>
            <w:r>
              <w:rPr>
                <w:rFonts w:hint="eastAsia"/>
                <w:color w:val="auto"/>
                <w:highlight w:val="none"/>
                <w:lang w:val="en-US" w:eastAsia="zh-CN"/>
              </w:rPr>
              <w:t>0.2730</w:t>
            </w:r>
          </w:p>
        </w:tc>
        <w:tc>
          <w:tcPr>
            <w:tcW w:w="1290" w:type="dxa"/>
            <w:vMerge w:val="restart"/>
            <w:tcBorders>
              <w:tl2br w:val="nil"/>
              <w:tr2bl w:val="nil"/>
            </w:tcBorders>
            <w:shd w:val="clear" w:color="auto" w:fill="auto"/>
            <w:noWrap/>
            <w:vAlign w:val="center"/>
          </w:tcPr>
          <w:p w14:paraId="69EC89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vMerge w:val="restart"/>
            <w:tcBorders>
              <w:tl2br w:val="nil"/>
              <w:tr2bl w:val="nil"/>
            </w:tcBorders>
            <w:shd w:val="clear" w:color="auto" w:fill="auto"/>
            <w:noWrap/>
            <w:vAlign w:val="center"/>
          </w:tcPr>
          <w:p w14:paraId="69DCDC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vMerge w:val="restart"/>
            <w:tcBorders>
              <w:tl2br w:val="nil"/>
              <w:tr2bl w:val="nil"/>
            </w:tcBorders>
            <w:shd w:val="clear" w:color="auto" w:fill="auto"/>
            <w:noWrap/>
            <w:vAlign w:val="center"/>
          </w:tcPr>
          <w:p w14:paraId="18FC5D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6C9A0BAD">
            <w:pPr>
              <w:pStyle w:val="1405"/>
              <w:bidi w:val="0"/>
              <w:jc w:val="center"/>
              <w:rPr>
                <w:rFonts w:hint="eastAsia"/>
                <w:color w:val="auto"/>
                <w:highlight w:val="none"/>
                <w:lang w:val="en-US" w:eastAsia="zh-CN"/>
              </w:rPr>
            </w:pPr>
            <w:r>
              <w:rPr>
                <w:rFonts w:hint="eastAsia"/>
                <w:color w:val="auto"/>
                <w:highlight w:val="none"/>
                <w:lang w:val="en-US" w:eastAsia="zh-CN"/>
              </w:rPr>
              <w:t>1.8017</w:t>
            </w:r>
          </w:p>
        </w:tc>
        <w:tc>
          <w:tcPr>
            <w:tcW w:w="1110" w:type="dxa"/>
            <w:tcBorders>
              <w:tl2br w:val="nil"/>
              <w:tr2bl w:val="nil"/>
            </w:tcBorders>
            <w:shd w:val="clear" w:color="auto" w:fill="auto"/>
            <w:noWrap/>
            <w:vAlign w:val="center"/>
          </w:tcPr>
          <w:p w14:paraId="7A2D944A">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55" w:type="dxa"/>
            <w:tcBorders>
              <w:tl2br w:val="nil"/>
              <w:tr2bl w:val="nil"/>
            </w:tcBorders>
            <w:shd w:val="clear" w:color="auto" w:fill="auto"/>
            <w:noWrap/>
            <w:vAlign w:val="center"/>
          </w:tcPr>
          <w:p w14:paraId="132BC926">
            <w:pPr>
              <w:pStyle w:val="1405"/>
              <w:bidi w:val="0"/>
              <w:jc w:val="center"/>
              <w:rPr>
                <w:rFonts w:hint="eastAsia"/>
                <w:color w:val="auto"/>
                <w:highlight w:val="none"/>
                <w:lang w:val="en-US" w:eastAsia="zh-CN"/>
              </w:rPr>
            </w:pPr>
            <w:r>
              <w:rPr>
                <w:rFonts w:hint="eastAsia"/>
                <w:color w:val="auto"/>
                <w:highlight w:val="none"/>
                <w:lang w:val="en-US" w:eastAsia="zh-CN"/>
              </w:rPr>
              <w:t>0.2730</w:t>
            </w:r>
          </w:p>
        </w:tc>
        <w:tc>
          <w:tcPr>
            <w:tcW w:w="1307" w:type="dxa"/>
            <w:vMerge w:val="continue"/>
            <w:tcBorders>
              <w:tl2br w:val="nil"/>
              <w:tr2bl w:val="nil"/>
            </w:tcBorders>
            <w:shd w:val="clear" w:color="auto" w:fill="auto"/>
            <w:noWrap/>
            <w:vAlign w:val="center"/>
          </w:tcPr>
          <w:p w14:paraId="7EBBB8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restart"/>
            <w:tcBorders>
              <w:tl2br w:val="nil"/>
              <w:tr2bl w:val="nil"/>
            </w:tcBorders>
            <w:shd w:val="clear" w:color="auto" w:fill="auto"/>
            <w:noWrap/>
            <w:vAlign w:val="center"/>
          </w:tcPr>
          <w:p w14:paraId="00AC08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vMerge w:val="restart"/>
            <w:tcBorders>
              <w:tl2br w:val="nil"/>
              <w:tr2bl w:val="nil"/>
            </w:tcBorders>
            <w:shd w:val="clear" w:color="auto" w:fill="auto"/>
            <w:noWrap/>
            <w:vAlign w:val="center"/>
          </w:tcPr>
          <w:p w14:paraId="1A421C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25C84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330282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7D3758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continue"/>
            <w:tcBorders>
              <w:tl2br w:val="nil"/>
              <w:tr2bl w:val="nil"/>
            </w:tcBorders>
            <w:shd w:val="clear" w:color="auto" w:fill="auto"/>
            <w:noWrap/>
            <w:vAlign w:val="center"/>
          </w:tcPr>
          <w:p w14:paraId="1D3C92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654313C0">
            <w:pPr>
              <w:pStyle w:val="1405"/>
              <w:bidi w:val="0"/>
              <w:jc w:val="center"/>
              <w:rPr>
                <w:rFonts w:hint="eastAsia"/>
                <w:color w:val="auto"/>
                <w:highlight w:val="none"/>
                <w:lang w:val="en-US" w:eastAsia="zh-CN"/>
              </w:rPr>
            </w:pPr>
            <w:r>
              <w:rPr>
                <w:rFonts w:hint="eastAsia"/>
                <w:color w:val="auto"/>
                <w:highlight w:val="none"/>
                <w:lang w:val="en-US" w:eastAsia="zh-CN"/>
              </w:rPr>
              <w:t>1.3268</w:t>
            </w:r>
          </w:p>
        </w:tc>
        <w:tc>
          <w:tcPr>
            <w:tcW w:w="1214" w:type="dxa"/>
            <w:tcBorders>
              <w:tl2br w:val="nil"/>
              <w:tr2bl w:val="nil"/>
            </w:tcBorders>
            <w:shd w:val="clear" w:color="auto" w:fill="auto"/>
            <w:noWrap/>
            <w:vAlign w:val="center"/>
          </w:tcPr>
          <w:p w14:paraId="18B6792D">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15" w:type="dxa"/>
            <w:tcBorders>
              <w:tl2br w:val="nil"/>
              <w:tr2bl w:val="nil"/>
            </w:tcBorders>
            <w:shd w:val="clear" w:color="auto" w:fill="auto"/>
            <w:noWrap/>
            <w:vAlign w:val="center"/>
          </w:tcPr>
          <w:p w14:paraId="22330643">
            <w:pPr>
              <w:pStyle w:val="1405"/>
              <w:bidi w:val="0"/>
              <w:jc w:val="center"/>
              <w:rPr>
                <w:rFonts w:hint="eastAsia"/>
                <w:color w:val="auto"/>
                <w:highlight w:val="none"/>
                <w:lang w:val="en-US" w:eastAsia="zh-CN"/>
              </w:rPr>
            </w:pPr>
            <w:r>
              <w:rPr>
                <w:rFonts w:hint="eastAsia"/>
                <w:color w:val="auto"/>
                <w:highlight w:val="none"/>
                <w:lang w:val="en-US" w:eastAsia="zh-CN"/>
              </w:rPr>
              <w:t>0.2010</w:t>
            </w:r>
          </w:p>
        </w:tc>
        <w:tc>
          <w:tcPr>
            <w:tcW w:w="1290" w:type="dxa"/>
            <w:vMerge w:val="continue"/>
            <w:tcBorders>
              <w:tl2br w:val="nil"/>
              <w:tr2bl w:val="nil"/>
            </w:tcBorders>
            <w:shd w:val="clear" w:color="auto" w:fill="auto"/>
            <w:noWrap/>
            <w:vAlign w:val="center"/>
          </w:tcPr>
          <w:p w14:paraId="25586A5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503D4D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4F599F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2E86AA78">
            <w:pPr>
              <w:pStyle w:val="1405"/>
              <w:bidi w:val="0"/>
              <w:jc w:val="center"/>
              <w:rPr>
                <w:rFonts w:hint="eastAsia"/>
                <w:color w:val="auto"/>
                <w:highlight w:val="none"/>
                <w:lang w:val="en-US" w:eastAsia="zh-CN"/>
              </w:rPr>
            </w:pPr>
            <w:r>
              <w:rPr>
                <w:rFonts w:hint="eastAsia"/>
                <w:color w:val="auto"/>
                <w:highlight w:val="none"/>
                <w:lang w:val="en-US" w:eastAsia="zh-CN"/>
              </w:rPr>
              <w:t>1.3268</w:t>
            </w:r>
          </w:p>
        </w:tc>
        <w:tc>
          <w:tcPr>
            <w:tcW w:w="1110" w:type="dxa"/>
            <w:tcBorders>
              <w:tl2br w:val="nil"/>
              <w:tr2bl w:val="nil"/>
            </w:tcBorders>
            <w:shd w:val="clear" w:color="auto" w:fill="auto"/>
            <w:noWrap/>
            <w:vAlign w:val="center"/>
          </w:tcPr>
          <w:p w14:paraId="30321A21">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55" w:type="dxa"/>
            <w:tcBorders>
              <w:tl2br w:val="nil"/>
              <w:tr2bl w:val="nil"/>
            </w:tcBorders>
            <w:shd w:val="clear" w:color="auto" w:fill="auto"/>
            <w:noWrap/>
            <w:vAlign w:val="center"/>
          </w:tcPr>
          <w:p w14:paraId="11B3AC1B">
            <w:pPr>
              <w:pStyle w:val="1405"/>
              <w:bidi w:val="0"/>
              <w:jc w:val="center"/>
              <w:rPr>
                <w:rFonts w:hint="eastAsia"/>
                <w:color w:val="auto"/>
                <w:highlight w:val="none"/>
                <w:lang w:val="en-US" w:eastAsia="zh-CN"/>
              </w:rPr>
            </w:pPr>
            <w:r>
              <w:rPr>
                <w:rFonts w:hint="eastAsia"/>
                <w:color w:val="auto"/>
                <w:highlight w:val="none"/>
                <w:lang w:val="en-US" w:eastAsia="zh-CN"/>
              </w:rPr>
              <w:t>0.2010</w:t>
            </w:r>
          </w:p>
        </w:tc>
        <w:tc>
          <w:tcPr>
            <w:tcW w:w="1307" w:type="dxa"/>
            <w:vMerge w:val="continue"/>
            <w:tcBorders>
              <w:tl2br w:val="nil"/>
              <w:tr2bl w:val="nil"/>
            </w:tcBorders>
            <w:shd w:val="clear" w:color="auto" w:fill="auto"/>
            <w:noWrap/>
            <w:vAlign w:val="center"/>
          </w:tcPr>
          <w:p w14:paraId="2537C0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EE1BE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7854D9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58A1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8412E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64A090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5BD7D6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12CB14B">
            <w:pPr>
              <w:pStyle w:val="1405"/>
              <w:bidi w:val="0"/>
              <w:jc w:val="center"/>
              <w:rPr>
                <w:rFonts w:hint="eastAsia"/>
                <w:color w:val="auto"/>
                <w:highlight w:val="none"/>
                <w:lang w:val="en-US" w:eastAsia="zh-CN"/>
              </w:rPr>
            </w:pPr>
            <w:r>
              <w:rPr>
                <w:rFonts w:hint="eastAsia"/>
                <w:color w:val="auto"/>
                <w:highlight w:val="none"/>
                <w:lang w:val="en-US" w:eastAsia="zh-CN"/>
              </w:rPr>
              <w:t>1.9460</w:t>
            </w:r>
          </w:p>
        </w:tc>
        <w:tc>
          <w:tcPr>
            <w:tcW w:w="1214" w:type="dxa"/>
            <w:tcBorders>
              <w:tl2br w:val="nil"/>
              <w:tr2bl w:val="nil"/>
            </w:tcBorders>
            <w:shd w:val="clear" w:color="auto" w:fill="auto"/>
            <w:noWrap/>
            <w:vAlign w:val="center"/>
          </w:tcPr>
          <w:p w14:paraId="255F42BA">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15" w:type="dxa"/>
            <w:tcBorders>
              <w:tl2br w:val="nil"/>
              <w:tr2bl w:val="nil"/>
            </w:tcBorders>
            <w:shd w:val="clear" w:color="auto" w:fill="auto"/>
            <w:noWrap/>
            <w:vAlign w:val="center"/>
          </w:tcPr>
          <w:p w14:paraId="3032B5DB">
            <w:pPr>
              <w:pStyle w:val="1405"/>
              <w:bidi w:val="0"/>
              <w:jc w:val="center"/>
              <w:rPr>
                <w:rFonts w:hint="eastAsia"/>
                <w:color w:val="auto"/>
                <w:highlight w:val="none"/>
                <w:lang w:val="en-US" w:eastAsia="zh-CN"/>
              </w:rPr>
            </w:pPr>
            <w:r>
              <w:rPr>
                <w:rFonts w:hint="eastAsia"/>
                <w:color w:val="auto"/>
                <w:highlight w:val="none"/>
                <w:lang w:val="en-US" w:eastAsia="zh-CN"/>
              </w:rPr>
              <w:t>0.2948</w:t>
            </w:r>
          </w:p>
        </w:tc>
        <w:tc>
          <w:tcPr>
            <w:tcW w:w="1290" w:type="dxa"/>
            <w:vMerge w:val="continue"/>
            <w:tcBorders>
              <w:tl2br w:val="nil"/>
              <w:tr2bl w:val="nil"/>
            </w:tcBorders>
            <w:shd w:val="clear" w:color="auto" w:fill="auto"/>
            <w:noWrap/>
            <w:vAlign w:val="center"/>
          </w:tcPr>
          <w:p w14:paraId="00A66C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462CCB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277EEF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A592E25">
            <w:pPr>
              <w:pStyle w:val="1405"/>
              <w:bidi w:val="0"/>
              <w:jc w:val="center"/>
              <w:rPr>
                <w:rFonts w:hint="eastAsia"/>
                <w:color w:val="auto"/>
                <w:highlight w:val="none"/>
                <w:lang w:val="en-US" w:eastAsia="zh-CN"/>
              </w:rPr>
            </w:pPr>
            <w:r>
              <w:rPr>
                <w:rFonts w:hint="eastAsia"/>
                <w:color w:val="auto"/>
                <w:highlight w:val="none"/>
                <w:lang w:val="en-US" w:eastAsia="zh-CN"/>
              </w:rPr>
              <w:t>1.9460</w:t>
            </w:r>
          </w:p>
        </w:tc>
        <w:tc>
          <w:tcPr>
            <w:tcW w:w="1110" w:type="dxa"/>
            <w:tcBorders>
              <w:tl2br w:val="nil"/>
              <w:tr2bl w:val="nil"/>
            </w:tcBorders>
            <w:shd w:val="clear" w:color="auto" w:fill="auto"/>
            <w:noWrap/>
            <w:vAlign w:val="center"/>
          </w:tcPr>
          <w:p w14:paraId="4B745912">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55" w:type="dxa"/>
            <w:tcBorders>
              <w:tl2br w:val="nil"/>
              <w:tr2bl w:val="nil"/>
            </w:tcBorders>
            <w:shd w:val="clear" w:color="auto" w:fill="auto"/>
            <w:noWrap/>
            <w:vAlign w:val="center"/>
          </w:tcPr>
          <w:p w14:paraId="5874B380">
            <w:pPr>
              <w:pStyle w:val="1405"/>
              <w:bidi w:val="0"/>
              <w:jc w:val="center"/>
              <w:rPr>
                <w:rFonts w:hint="eastAsia"/>
                <w:color w:val="auto"/>
                <w:highlight w:val="none"/>
                <w:lang w:val="en-US" w:eastAsia="zh-CN"/>
              </w:rPr>
            </w:pPr>
            <w:r>
              <w:rPr>
                <w:rFonts w:hint="eastAsia"/>
                <w:color w:val="auto"/>
                <w:highlight w:val="none"/>
                <w:lang w:val="en-US" w:eastAsia="zh-CN"/>
              </w:rPr>
              <w:t>0.2948</w:t>
            </w:r>
          </w:p>
        </w:tc>
        <w:tc>
          <w:tcPr>
            <w:tcW w:w="1307" w:type="dxa"/>
            <w:vMerge w:val="continue"/>
            <w:tcBorders>
              <w:tl2br w:val="nil"/>
              <w:tr2bl w:val="nil"/>
            </w:tcBorders>
            <w:shd w:val="clear" w:color="auto" w:fill="auto"/>
            <w:noWrap/>
            <w:vAlign w:val="center"/>
          </w:tcPr>
          <w:p w14:paraId="2AE159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B2446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25AC5F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B5CB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622E8D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499B7C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7E8ECC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2AFA92B3">
            <w:pPr>
              <w:pStyle w:val="1405"/>
              <w:bidi w:val="0"/>
              <w:jc w:val="center"/>
              <w:rPr>
                <w:rFonts w:hint="eastAsia"/>
                <w:color w:val="auto"/>
                <w:highlight w:val="none"/>
                <w:lang w:val="en-US" w:eastAsia="zh-CN"/>
              </w:rPr>
            </w:pPr>
            <w:r>
              <w:rPr>
                <w:rFonts w:hint="eastAsia"/>
                <w:color w:val="auto"/>
                <w:highlight w:val="none"/>
                <w:lang w:val="en-US" w:eastAsia="zh-CN"/>
              </w:rPr>
              <w:t>2.6659</w:t>
            </w:r>
          </w:p>
        </w:tc>
        <w:tc>
          <w:tcPr>
            <w:tcW w:w="1214" w:type="dxa"/>
            <w:tcBorders>
              <w:tl2br w:val="nil"/>
              <w:tr2bl w:val="nil"/>
            </w:tcBorders>
            <w:shd w:val="clear" w:color="auto" w:fill="auto"/>
            <w:noWrap/>
            <w:vAlign w:val="center"/>
          </w:tcPr>
          <w:p w14:paraId="51DB9287">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15" w:type="dxa"/>
            <w:tcBorders>
              <w:tl2br w:val="nil"/>
              <w:tr2bl w:val="nil"/>
            </w:tcBorders>
            <w:shd w:val="clear" w:color="auto" w:fill="auto"/>
            <w:noWrap/>
            <w:vAlign w:val="center"/>
          </w:tcPr>
          <w:p w14:paraId="0555F793">
            <w:pPr>
              <w:pStyle w:val="1405"/>
              <w:bidi w:val="0"/>
              <w:jc w:val="center"/>
              <w:rPr>
                <w:rFonts w:hint="eastAsia"/>
                <w:color w:val="auto"/>
                <w:highlight w:val="none"/>
                <w:lang w:val="en-US" w:eastAsia="zh-CN"/>
              </w:rPr>
            </w:pPr>
            <w:r>
              <w:rPr>
                <w:rFonts w:hint="eastAsia"/>
                <w:color w:val="auto"/>
                <w:highlight w:val="none"/>
                <w:lang w:val="en-US" w:eastAsia="zh-CN"/>
              </w:rPr>
              <w:t>0.4039</w:t>
            </w:r>
          </w:p>
        </w:tc>
        <w:tc>
          <w:tcPr>
            <w:tcW w:w="1290" w:type="dxa"/>
            <w:vMerge w:val="continue"/>
            <w:tcBorders>
              <w:tl2br w:val="nil"/>
              <w:tr2bl w:val="nil"/>
            </w:tcBorders>
            <w:shd w:val="clear" w:color="auto" w:fill="auto"/>
            <w:noWrap/>
            <w:vAlign w:val="center"/>
          </w:tcPr>
          <w:p w14:paraId="705F53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4646D9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45A5E2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F72A04F">
            <w:pPr>
              <w:pStyle w:val="1405"/>
              <w:bidi w:val="0"/>
              <w:jc w:val="center"/>
              <w:rPr>
                <w:rFonts w:hint="eastAsia"/>
                <w:color w:val="auto"/>
                <w:highlight w:val="none"/>
                <w:lang w:val="en-US" w:eastAsia="zh-CN"/>
              </w:rPr>
            </w:pPr>
            <w:r>
              <w:rPr>
                <w:rFonts w:hint="eastAsia"/>
                <w:color w:val="auto"/>
                <w:highlight w:val="none"/>
                <w:lang w:val="en-US" w:eastAsia="zh-CN"/>
              </w:rPr>
              <w:t>2.6659</w:t>
            </w:r>
          </w:p>
        </w:tc>
        <w:tc>
          <w:tcPr>
            <w:tcW w:w="1110" w:type="dxa"/>
            <w:tcBorders>
              <w:tl2br w:val="nil"/>
              <w:tr2bl w:val="nil"/>
            </w:tcBorders>
            <w:shd w:val="clear" w:color="auto" w:fill="auto"/>
            <w:noWrap/>
            <w:vAlign w:val="center"/>
          </w:tcPr>
          <w:p w14:paraId="7FCDD7C5">
            <w:pPr>
              <w:pStyle w:val="1405"/>
              <w:bidi w:val="0"/>
              <w:jc w:val="center"/>
              <w:rPr>
                <w:rFonts w:hint="eastAsia"/>
                <w:color w:val="auto"/>
                <w:highlight w:val="none"/>
                <w:lang w:val="en-US" w:eastAsia="zh-CN"/>
              </w:rPr>
            </w:pPr>
            <w:r>
              <w:rPr>
                <w:rFonts w:hint="eastAsia"/>
                <w:color w:val="auto"/>
                <w:highlight w:val="none"/>
                <w:lang w:val="en-US" w:eastAsia="zh-CN"/>
              </w:rPr>
              <w:t>/</w:t>
            </w:r>
          </w:p>
        </w:tc>
        <w:tc>
          <w:tcPr>
            <w:tcW w:w="1255" w:type="dxa"/>
            <w:tcBorders>
              <w:tl2br w:val="nil"/>
              <w:tr2bl w:val="nil"/>
            </w:tcBorders>
            <w:shd w:val="clear" w:color="auto" w:fill="auto"/>
            <w:noWrap/>
            <w:vAlign w:val="center"/>
          </w:tcPr>
          <w:p w14:paraId="1ED3F015">
            <w:pPr>
              <w:pStyle w:val="1405"/>
              <w:bidi w:val="0"/>
              <w:jc w:val="center"/>
              <w:rPr>
                <w:rFonts w:hint="eastAsia"/>
                <w:color w:val="auto"/>
                <w:highlight w:val="none"/>
                <w:lang w:val="en-US" w:eastAsia="zh-CN"/>
              </w:rPr>
            </w:pPr>
            <w:r>
              <w:rPr>
                <w:rFonts w:hint="eastAsia"/>
                <w:color w:val="auto"/>
                <w:highlight w:val="none"/>
                <w:lang w:val="en-US" w:eastAsia="zh-CN"/>
              </w:rPr>
              <w:t>0.4039</w:t>
            </w:r>
          </w:p>
        </w:tc>
        <w:tc>
          <w:tcPr>
            <w:tcW w:w="1307" w:type="dxa"/>
            <w:vMerge w:val="continue"/>
            <w:tcBorders>
              <w:tl2br w:val="nil"/>
              <w:tr2bl w:val="nil"/>
            </w:tcBorders>
            <w:shd w:val="clear" w:color="auto" w:fill="auto"/>
            <w:noWrap/>
            <w:vAlign w:val="center"/>
          </w:tcPr>
          <w:p w14:paraId="548F69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59060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9A0D8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70FA0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4CD46D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调漆</w:t>
            </w:r>
          </w:p>
        </w:tc>
        <w:tc>
          <w:tcPr>
            <w:tcW w:w="2392" w:type="dxa"/>
            <w:tcBorders>
              <w:tl2br w:val="nil"/>
              <w:tr2bl w:val="nil"/>
            </w:tcBorders>
            <w:shd w:val="clear" w:color="auto" w:fill="auto"/>
            <w:noWrap/>
            <w:vAlign w:val="center"/>
          </w:tcPr>
          <w:p w14:paraId="4CA7287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restart"/>
            <w:tcBorders>
              <w:tl2br w:val="nil"/>
              <w:tr2bl w:val="nil"/>
            </w:tcBorders>
            <w:shd w:val="clear" w:color="auto" w:fill="auto"/>
            <w:noWrap/>
            <w:vAlign w:val="center"/>
          </w:tcPr>
          <w:p w14:paraId="5995F3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68A88E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0.5085</w:t>
            </w:r>
          </w:p>
        </w:tc>
        <w:tc>
          <w:tcPr>
            <w:tcW w:w="1214" w:type="dxa"/>
            <w:tcBorders>
              <w:tl2br w:val="nil"/>
              <w:tr2bl w:val="nil"/>
            </w:tcBorders>
            <w:shd w:val="clear" w:color="auto" w:fill="auto"/>
            <w:noWrap/>
            <w:vAlign w:val="center"/>
          </w:tcPr>
          <w:p w14:paraId="039332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11.7705</w:t>
            </w:r>
          </w:p>
        </w:tc>
        <w:tc>
          <w:tcPr>
            <w:tcW w:w="1215" w:type="dxa"/>
            <w:tcBorders>
              <w:tl2br w:val="nil"/>
              <w:tr2bl w:val="nil"/>
            </w:tcBorders>
            <w:shd w:val="clear" w:color="auto" w:fill="auto"/>
            <w:noWrap/>
            <w:vAlign w:val="center"/>
          </w:tcPr>
          <w:p w14:paraId="5DDA37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0.0706</w:t>
            </w:r>
          </w:p>
        </w:tc>
        <w:tc>
          <w:tcPr>
            <w:tcW w:w="1290" w:type="dxa"/>
            <w:vMerge w:val="restart"/>
            <w:tcBorders>
              <w:tl2br w:val="nil"/>
              <w:tr2bl w:val="nil"/>
            </w:tcBorders>
            <w:shd w:val="clear" w:color="auto" w:fill="auto"/>
            <w:noWrap/>
            <w:vAlign w:val="center"/>
          </w:tcPr>
          <w:p w14:paraId="2E6EAE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6000</w:t>
            </w:r>
          </w:p>
        </w:tc>
        <w:tc>
          <w:tcPr>
            <w:tcW w:w="2955" w:type="dxa"/>
            <w:vMerge w:val="restart"/>
            <w:tcBorders>
              <w:tl2br w:val="nil"/>
              <w:tr2bl w:val="nil"/>
            </w:tcBorders>
            <w:shd w:val="clear" w:color="auto" w:fill="auto"/>
            <w:vAlign w:val="center"/>
          </w:tcPr>
          <w:p w14:paraId="4BABC7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二级活性炭吸附</w:t>
            </w:r>
          </w:p>
        </w:tc>
        <w:tc>
          <w:tcPr>
            <w:tcW w:w="1230" w:type="dxa"/>
            <w:vMerge w:val="restart"/>
            <w:tcBorders>
              <w:tl2br w:val="nil"/>
              <w:tr2bl w:val="nil"/>
            </w:tcBorders>
            <w:shd w:val="clear" w:color="auto" w:fill="auto"/>
            <w:noWrap/>
            <w:vAlign w:val="center"/>
          </w:tcPr>
          <w:p w14:paraId="06E19F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1275" w:type="dxa"/>
            <w:tcBorders>
              <w:tl2br w:val="nil"/>
              <w:tr2bl w:val="nil"/>
            </w:tcBorders>
            <w:shd w:val="clear" w:color="auto" w:fill="auto"/>
            <w:noWrap/>
            <w:vAlign w:val="center"/>
          </w:tcPr>
          <w:p w14:paraId="32C2A3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0.1271 </w:t>
            </w:r>
          </w:p>
        </w:tc>
        <w:tc>
          <w:tcPr>
            <w:tcW w:w="1110" w:type="dxa"/>
            <w:tcBorders>
              <w:tl2br w:val="nil"/>
              <w:tr2bl w:val="nil"/>
            </w:tcBorders>
            <w:shd w:val="clear" w:color="auto" w:fill="auto"/>
            <w:noWrap/>
            <w:vAlign w:val="center"/>
          </w:tcPr>
          <w:p w14:paraId="1DD4E3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2.9426 </w:t>
            </w:r>
          </w:p>
        </w:tc>
        <w:tc>
          <w:tcPr>
            <w:tcW w:w="1255" w:type="dxa"/>
            <w:tcBorders>
              <w:tl2br w:val="nil"/>
              <w:tr2bl w:val="nil"/>
            </w:tcBorders>
            <w:shd w:val="clear" w:color="auto" w:fill="auto"/>
            <w:noWrap/>
            <w:vAlign w:val="center"/>
          </w:tcPr>
          <w:p w14:paraId="75DD15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0.0177 </w:t>
            </w:r>
          </w:p>
        </w:tc>
        <w:tc>
          <w:tcPr>
            <w:tcW w:w="1307" w:type="dxa"/>
            <w:vMerge w:val="restart"/>
            <w:tcBorders>
              <w:tl2br w:val="nil"/>
              <w:tr2bl w:val="nil"/>
            </w:tcBorders>
            <w:shd w:val="clear" w:color="auto" w:fill="auto"/>
            <w:noWrap/>
            <w:vAlign w:val="center"/>
          </w:tcPr>
          <w:p w14:paraId="75049A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7200</w:t>
            </w:r>
          </w:p>
        </w:tc>
        <w:tc>
          <w:tcPr>
            <w:tcW w:w="1204" w:type="dxa"/>
            <w:vMerge w:val="restart"/>
            <w:tcBorders>
              <w:tl2br w:val="nil"/>
              <w:tr2bl w:val="nil"/>
            </w:tcBorders>
            <w:shd w:val="clear" w:color="auto" w:fill="auto"/>
            <w:noWrap/>
            <w:vAlign w:val="center"/>
          </w:tcPr>
          <w:p w14:paraId="42E9CD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DA002</w:t>
            </w:r>
          </w:p>
        </w:tc>
        <w:tc>
          <w:tcPr>
            <w:tcW w:w="1204" w:type="dxa"/>
            <w:vMerge w:val="restart"/>
            <w:tcBorders>
              <w:tl2br w:val="nil"/>
              <w:tr2bl w:val="nil"/>
            </w:tcBorders>
            <w:shd w:val="clear" w:color="auto" w:fill="auto"/>
            <w:noWrap/>
            <w:vAlign w:val="center"/>
          </w:tcPr>
          <w:p w14:paraId="439A8A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3694D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3D8FF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90D1F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7D4834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56539E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0.8839</w:t>
            </w:r>
          </w:p>
        </w:tc>
        <w:tc>
          <w:tcPr>
            <w:tcW w:w="1214" w:type="dxa"/>
            <w:tcBorders>
              <w:tl2br w:val="nil"/>
              <w:tr2bl w:val="nil"/>
            </w:tcBorders>
            <w:shd w:val="clear" w:color="auto" w:fill="auto"/>
            <w:noWrap/>
            <w:vAlign w:val="center"/>
          </w:tcPr>
          <w:p w14:paraId="7EDB89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20.4604</w:t>
            </w:r>
          </w:p>
        </w:tc>
        <w:tc>
          <w:tcPr>
            <w:tcW w:w="1215" w:type="dxa"/>
            <w:tcBorders>
              <w:tl2br w:val="nil"/>
              <w:tr2bl w:val="nil"/>
            </w:tcBorders>
            <w:shd w:val="clear" w:color="auto" w:fill="auto"/>
            <w:noWrap/>
            <w:vAlign w:val="center"/>
          </w:tcPr>
          <w:p w14:paraId="61C416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0.1228</w:t>
            </w:r>
          </w:p>
        </w:tc>
        <w:tc>
          <w:tcPr>
            <w:tcW w:w="1290" w:type="dxa"/>
            <w:vMerge w:val="continue"/>
            <w:tcBorders>
              <w:tl2br w:val="nil"/>
              <w:tr2bl w:val="nil"/>
            </w:tcBorders>
            <w:shd w:val="clear" w:color="auto" w:fill="auto"/>
            <w:noWrap/>
            <w:vAlign w:val="center"/>
          </w:tcPr>
          <w:p w14:paraId="143A7A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267DC9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01B4EF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7EFB0E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0.2210 </w:t>
            </w:r>
          </w:p>
        </w:tc>
        <w:tc>
          <w:tcPr>
            <w:tcW w:w="1110" w:type="dxa"/>
            <w:tcBorders>
              <w:tl2br w:val="nil"/>
              <w:tr2bl w:val="nil"/>
            </w:tcBorders>
            <w:shd w:val="clear" w:color="auto" w:fill="auto"/>
            <w:noWrap/>
            <w:vAlign w:val="center"/>
          </w:tcPr>
          <w:p w14:paraId="4F7581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5.1151 </w:t>
            </w:r>
          </w:p>
        </w:tc>
        <w:tc>
          <w:tcPr>
            <w:tcW w:w="1255" w:type="dxa"/>
            <w:tcBorders>
              <w:tl2br w:val="nil"/>
              <w:tr2bl w:val="nil"/>
            </w:tcBorders>
            <w:shd w:val="clear" w:color="auto" w:fill="auto"/>
            <w:noWrap/>
            <w:vAlign w:val="center"/>
          </w:tcPr>
          <w:p w14:paraId="68D21C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0.0307 </w:t>
            </w:r>
          </w:p>
        </w:tc>
        <w:tc>
          <w:tcPr>
            <w:tcW w:w="1307" w:type="dxa"/>
            <w:vMerge w:val="continue"/>
            <w:tcBorders>
              <w:tl2br w:val="nil"/>
              <w:tr2bl w:val="nil"/>
            </w:tcBorders>
            <w:shd w:val="clear" w:color="auto" w:fill="auto"/>
            <w:noWrap/>
            <w:vAlign w:val="center"/>
          </w:tcPr>
          <w:p w14:paraId="0D630D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98885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DE542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A5BD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FA5DA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3FD939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3AC15B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5B1E1A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1.2256</w:t>
            </w:r>
          </w:p>
        </w:tc>
        <w:tc>
          <w:tcPr>
            <w:tcW w:w="1214" w:type="dxa"/>
            <w:tcBorders>
              <w:tl2br w:val="nil"/>
              <w:tr2bl w:val="nil"/>
            </w:tcBorders>
            <w:shd w:val="clear" w:color="auto" w:fill="auto"/>
            <w:noWrap/>
            <w:vAlign w:val="center"/>
          </w:tcPr>
          <w:p w14:paraId="144E8F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28.3707</w:t>
            </w:r>
          </w:p>
        </w:tc>
        <w:tc>
          <w:tcPr>
            <w:tcW w:w="1215" w:type="dxa"/>
            <w:tcBorders>
              <w:tl2br w:val="nil"/>
              <w:tr2bl w:val="nil"/>
            </w:tcBorders>
            <w:shd w:val="clear" w:color="auto" w:fill="auto"/>
            <w:noWrap/>
            <w:vAlign w:val="center"/>
          </w:tcPr>
          <w:p w14:paraId="50ABC1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0.1702</w:t>
            </w:r>
          </w:p>
        </w:tc>
        <w:tc>
          <w:tcPr>
            <w:tcW w:w="1290" w:type="dxa"/>
            <w:vMerge w:val="continue"/>
            <w:tcBorders>
              <w:tl2br w:val="nil"/>
              <w:tr2bl w:val="nil"/>
            </w:tcBorders>
            <w:shd w:val="clear" w:color="auto" w:fill="auto"/>
            <w:noWrap/>
            <w:vAlign w:val="center"/>
          </w:tcPr>
          <w:p w14:paraId="2F1042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vAlign w:val="center"/>
          </w:tcPr>
          <w:p w14:paraId="397EFE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7160C5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7A054B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0.3064 </w:t>
            </w:r>
          </w:p>
        </w:tc>
        <w:tc>
          <w:tcPr>
            <w:tcW w:w="1110" w:type="dxa"/>
            <w:tcBorders>
              <w:tl2br w:val="nil"/>
              <w:tr2bl w:val="nil"/>
            </w:tcBorders>
            <w:shd w:val="clear" w:color="auto" w:fill="auto"/>
            <w:noWrap/>
            <w:vAlign w:val="center"/>
          </w:tcPr>
          <w:p w14:paraId="6CC34A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7.0927 </w:t>
            </w:r>
          </w:p>
        </w:tc>
        <w:tc>
          <w:tcPr>
            <w:tcW w:w="1255" w:type="dxa"/>
            <w:tcBorders>
              <w:tl2br w:val="nil"/>
              <w:tr2bl w:val="nil"/>
            </w:tcBorders>
            <w:shd w:val="clear" w:color="auto" w:fill="auto"/>
            <w:noWrap/>
            <w:vAlign w:val="center"/>
          </w:tcPr>
          <w:p w14:paraId="335247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0.0426 </w:t>
            </w:r>
          </w:p>
        </w:tc>
        <w:tc>
          <w:tcPr>
            <w:tcW w:w="1307" w:type="dxa"/>
            <w:vMerge w:val="continue"/>
            <w:tcBorders>
              <w:tl2br w:val="nil"/>
              <w:tr2bl w:val="nil"/>
            </w:tcBorders>
            <w:shd w:val="clear" w:color="auto" w:fill="auto"/>
            <w:noWrap/>
            <w:vAlign w:val="center"/>
          </w:tcPr>
          <w:p w14:paraId="352836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2DB34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2ABEB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B7D4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7B7BD3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791121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restart"/>
            <w:tcBorders>
              <w:tl2br w:val="nil"/>
              <w:tr2bl w:val="nil"/>
            </w:tcBorders>
            <w:shd w:val="clear" w:color="auto" w:fill="auto"/>
            <w:noWrap/>
            <w:vAlign w:val="center"/>
          </w:tcPr>
          <w:p w14:paraId="5867B9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2E9B57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0.0565</w:t>
            </w:r>
          </w:p>
        </w:tc>
        <w:tc>
          <w:tcPr>
            <w:tcW w:w="1214" w:type="dxa"/>
            <w:tcBorders>
              <w:tl2br w:val="nil"/>
              <w:tr2bl w:val="nil"/>
            </w:tcBorders>
            <w:shd w:val="clear" w:color="auto" w:fill="auto"/>
            <w:noWrap/>
            <w:vAlign w:val="center"/>
          </w:tcPr>
          <w:p w14:paraId="035414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35F2CD5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0.0078</w:t>
            </w:r>
          </w:p>
        </w:tc>
        <w:tc>
          <w:tcPr>
            <w:tcW w:w="1290" w:type="dxa"/>
            <w:vMerge w:val="restart"/>
            <w:tcBorders>
              <w:tl2br w:val="nil"/>
              <w:tr2bl w:val="nil"/>
            </w:tcBorders>
            <w:shd w:val="clear" w:color="auto" w:fill="auto"/>
            <w:noWrap/>
            <w:vAlign w:val="center"/>
          </w:tcPr>
          <w:p w14:paraId="11E750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vMerge w:val="restart"/>
            <w:tcBorders>
              <w:tl2br w:val="nil"/>
              <w:tr2bl w:val="nil"/>
            </w:tcBorders>
            <w:shd w:val="clear" w:color="auto" w:fill="auto"/>
            <w:noWrap/>
            <w:vAlign w:val="center"/>
          </w:tcPr>
          <w:p w14:paraId="2720338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vMerge w:val="restart"/>
            <w:tcBorders>
              <w:tl2br w:val="nil"/>
              <w:tr2bl w:val="nil"/>
            </w:tcBorders>
            <w:shd w:val="clear" w:color="auto" w:fill="auto"/>
            <w:noWrap/>
            <w:vAlign w:val="center"/>
          </w:tcPr>
          <w:p w14:paraId="138390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2633B6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0.0565 </w:t>
            </w:r>
          </w:p>
        </w:tc>
        <w:tc>
          <w:tcPr>
            <w:tcW w:w="1110" w:type="dxa"/>
            <w:tcBorders>
              <w:tl2br w:val="nil"/>
              <w:tr2bl w:val="nil"/>
            </w:tcBorders>
            <w:shd w:val="clear" w:color="auto" w:fill="auto"/>
            <w:noWrap/>
            <w:vAlign w:val="center"/>
          </w:tcPr>
          <w:p w14:paraId="19226D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3C2FF59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0.0078 </w:t>
            </w:r>
          </w:p>
        </w:tc>
        <w:tc>
          <w:tcPr>
            <w:tcW w:w="1307" w:type="dxa"/>
            <w:vMerge w:val="continue"/>
            <w:tcBorders>
              <w:tl2br w:val="nil"/>
              <w:tr2bl w:val="nil"/>
            </w:tcBorders>
            <w:shd w:val="clear" w:color="auto" w:fill="auto"/>
            <w:noWrap/>
            <w:vAlign w:val="center"/>
          </w:tcPr>
          <w:p w14:paraId="18A4EF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restart"/>
            <w:tcBorders>
              <w:tl2br w:val="nil"/>
              <w:tr2bl w:val="nil"/>
            </w:tcBorders>
            <w:shd w:val="clear" w:color="auto" w:fill="auto"/>
            <w:noWrap/>
            <w:vAlign w:val="center"/>
          </w:tcPr>
          <w:p w14:paraId="0C2A2D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vMerge w:val="restart"/>
            <w:tcBorders>
              <w:tl2br w:val="nil"/>
              <w:tr2bl w:val="nil"/>
            </w:tcBorders>
            <w:shd w:val="clear" w:color="auto" w:fill="auto"/>
            <w:noWrap/>
            <w:vAlign w:val="center"/>
          </w:tcPr>
          <w:p w14:paraId="3EDE4D0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07DE38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151B69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05DAD4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6061DA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248086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0.0982</w:t>
            </w:r>
          </w:p>
        </w:tc>
        <w:tc>
          <w:tcPr>
            <w:tcW w:w="1214" w:type="dxa"/>
            <w:tcBorders>
              <w:tl2br w:val="nil"/>
              <w:tr2bl w:val="nil"/>
            </w:tcBorders>
            <w:shd w:val="clear" w:color="auto" w:fill="auto"/>
            <w:noWrap/>
            <w:vAlign w:val="center"/>
          </w:tcPr>
          <w:p w14:paraId="76E162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148748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0.0136</w:t>
            </w:r>
          </w:p>
        </w:tc>
        <w:tc>
          <w:tcPr>
            <w:tcW w:w="1290" w:type="dxa"/>
            <w:vMerge w:val="continue"/>
            <w:tcBorders>
              <w:tl2br w:val="nil"/>
              <w:tr2bl w:val="nil"/>
            </w:tcBorders>
            <w:shd w:val="clear" w:color="auto" w:fill="auto"/>
            <w:noWrap/>
            <w:vAlign w:val="center"/>
          </w:tcPr>
          <w:p w14:paraId="43CDC5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5CEC62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555C2F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83844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0.0982 </w:t>
            </w:r>
          </w:p>
        </w:tc>
        <w:tc>
          <w:tcPr>
            <w:tcW w:w="1110" w:type="dxa"/>
            <w:tcBorders>
              <w:tl2br w:val="nil"/>
              <w:tr2bl w:val="nil"/>
            </w:tcBorders>
            <w:shd w:val="clear" w:color="auto" w:fill="auto"/>
            <w:noWrap/>
            <w:vAlign w:val="center"/>
          </w:tcPr>
          <w:p w14:paraId="798910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653DDA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0.0136 </w:t>
            </w:r>
          </w:p>
        </w:tc>
        <w:tc>
          <w:tcPr>
            <w:tcW w:w="1307" w:type="dxa"/>
            <w:vMerge w:val="continue"/>
            <w:tcBorders>
              <w:tl2br w:val="nil"/>
              <w:tr2bl w:val="nil"/>
            </w:tcBorders>
            <w:shd w:val="clear" w:color="auto" w:fill="auto"/>
            <w:noWrap/>
            <w:vAlign w:val="center"/>
          </w:tcPr>
          <w:p w14:paraId="7FEFF0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DDBF3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EC08E0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097C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49D1C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7E1903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2C82E7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0ABAEE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0.1362</w:t>
            </w:r>
          </w:p>
        </w:tc>
        <w:tc>
          <w:tcPr>
            <w:tcW w:w="1214" w:type="dxa"/>
            <w:tcBorders>
              <w:tl2br w:val="nil"/>
              <w:tr2bl w:val="nil"/>
            </w:tcBorders>
            <w:shd w:val="clear" w:color="auto" w:fill="auto"/>
            <w:noWrap/>
            <w:vAlign w:val="center"/>
          </w:tcPr>
          <w:p w14:paraId="26B250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2CFFF6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0.0189</w:t>
            </w:r>
          </w:p>
        </w:tc>
        <w:tc>
          <w:tcPr>
            <w:tcW w:w="1290" w:type="dxa"/>
            <w:vMerge w:val="continue"/>
            <w:tcBorders>
              <w:tl2br w:val="nil"/>
              <w:tr2bl w:val="nil"/>
            </w:tcBorders>
            <w:shd w:val="clear" w:color="auto" w:fill="auto"/>
            <w:noWrap/>
            <w:vAlign w:val="center"/>
          </w:tcPr>
          <w:p w14:paraId="3BC9B1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6AEEA0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3F3BFD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05DDD7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0.1362 </w:t>
            </w:r>
          </w:p>
        </w:tc>
        <w:tc>
          <w:tcPr>
            <w:tcW w:w="1110" w:type="dxa"/>
            <w:tcBorders>
              <w:tl2br w:val="nil"/>
              <w:tr2bl w:val="nil"/>
            </w:tcBorders>
            <w:shd w:val="clear" w:color="auto" w:fill="auto"/>
            <w:noWrap/>
            <w:vAlign w:val="center"/>
          </w:tcPr>
          <w:p w14:paraId="0D8A23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0CA644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0.0189 </w:t>
            </w:r>
          </w:p>
        </w:tc>
        <w:tc>
          <w:tcPr>
            <w:tcW w:w="1307" w:type="dxa"/>
            <w:vMerge w:val="continue"/>
            <w:tcBorders>
              <w:tl2br w:val="nil"/>
              <w:tr2bl w:val="nil"/>
            </w:tcBorders>
            <w:shd w:val="clear" w:color="auto" w:fill="auto"/>
            <w:noWrap/>
            <w:vAlign w:val="center"/>
          </w:tcPr>
          <w:p w14:paraId="146567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752237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31FF5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A261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vAlign w:val="center"/>
          </w:tcPr>
          <w:p w14:paraId="6EBC1C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点补</w:t>
            </w:r>
          </w:p>
        </w:tc>
        <w:tc>
          <w:tcPr>
            <w:tcW w:w="2392" w:type="dxa"/>
            <w:tcBorders>
              <w:tl2br w:val="nil"/>
              <w:tr2bl w:val="nil"/>
            </w:tcBorders>
            <w:shd w:val="clear" w:color="auto" w:fill="auto"/>
            <w:noWrap/>
            <w:vAlign w:val="center"/>
          </w:tcPr>
          <w:p w14:paraId="2EBBD7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982" w:type="dxa"/>
            <w:vMerge w:val="restart"/>
            <w:tcBorders>
              <w:tl2br w:val="nil"/>
              <w:tr2bl w:val="nil"/>
            </w:tcBorders>
            <w:shd w:val="clear" w:color="auto" w:fill="auto"/>
            <w:noWrap/>
            <w:vAlign w:val="center"/>
          </w:tcPr>
          <w:p w14:paraId="0B59CE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66D7DC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0.00114 </w:t>
            </w:r>
          </w:p>
        </w:tc>
        <w:tc>
          <w:tcPr>
            <w:tcW w:w="1214" w:type="dxa"/>
            <w:tcBorders>
              <w:tl2br w:val="nil"/>
              <w:tr2bl w:val="nil"/>
            </w:tcBorders>
            <w:shd w:val="clear" w:color="auto" w:fill="auto"/>
            <w:noWrap/>
            <w:vAlign w:val="center"/>
          </w:tcPr>
          <w:p w14:paraId="2D625F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0.1267 </w:t>
            </w:r>
          </w:p>
        </w:tc>
        <w:tc>
          <w:tcPr>
            <w:tcW w:w="1215" w:type="dxa"/>
            <w:tcBorders>
              <w:tl2br w:val="nil"/>
              <w:tr2bl w:val="nil"/>
            </w:tcBorders>
            <w:shd w:val="clear" w:color="auto" w:fill="auto"/>
            <w:noWrap/>
            <w:vAlign w:val="center"/>
          </w:tcPr>
          <w:p w14:paraId="25BBA4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0.0019 </w:t>
            </w:r>
          </w:p>
        </w:tc>
        <w:tc>
          <w:tcPr>
            <w:tcW w:w="1290" w:type="dxa"/>
            <w:vMerge w:val="restart"/>
            <w:tcBorders>
              <w:tl2br w:val="nil"/>
              <w:tr2bl w:val="nil"/>
            </w:tcBorders>
            <w:shd w:val="clear" w:color="auto" w:fill="auto"/>
            <w:noWrap/>
            <w:vAlign w:val="center"/>
          </w:tcPr>
          <w:p w14:paraId="2E677E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15000 </w:t>
            </w:r>
          </w:p>
        </w:tc>
        <w:tc>
          <w:tcPr>
            <w:tcW w:w="2955" w:type="dxa"/>
            <w:vMerge w:val="restart"/>
            <w:tcBorders>
              <w:tl2br w:val="nil"/>
              <w:tr2bl w:val="nil"/>
            </w:tcBorders>
            <w:shd w:val="clear" w:color="auto" w:fill="auto"/>
            <w:noWrap/>
            <w:vAlign w:val="center"/>
          </w:tcPr>
          <w:p w14:paraId="4979DF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过滤棉过滤+二级活性炭吸附</w:t>
            </w:r>
          </w:p>
        </w:tc>
        <w:tc>
          <w:tcPr>
            <w:tcW w:w="1230" w:type="dxa"/>
            <w:tcBorders>
              <w:tl2br w:val="nil"/>
              <w:tr2bl w:val="nil"/>
            </w:tcBorders>
            <w:shd w:val="clear" w:color="auto" w:fill="auto"/>
            <w:noWrap/>
            <w:vAlign w:val="center"/>
          </w:tcPr>
          <w:p w14:paraId="2C57ED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w:t>
            </w:r>
          </w:p>
        </w:tc>
        <w:tc>
          <w:tcPr>
            <w:tcW w:w="1275" w:type="dxa"/>
            <w:tcBorders>
              <w:tl2br w:val="nil"/>
              <w:tr2bl w:val="nil"/>
            </w:tcBorders>
            <w:shd w:val="clear" w:color="auto" w:fill="auto"/>
            <w:noWrap/>
            <w:vAlign w:val="center"/>
          </w:tcPr>
          <w:p w14:paraId="472CB8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0.0002 </w:t>
            </w:r>
          </w:p>
        </w:tc>
        <w:tc>
          <w:tcPr>
            <w:tcW w:w="1110" w:type="dxa"/>
            <w:tcBorders>
              <w:tl2br w:val="nil"/>
              <w:tr2bl w:val="nil"/>
            </w:tcBorders>
            <w:shd w:val="clear" w:color="auto" w:fill="auto"/>
            <w:noWrap/>
            <w:vAlign w:val="center"/>
          </w:tcPr>
          <w:p w14:paraId="64854F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0.0253 </w:t>
            </w:r>
          </w:p>
        </w:tc>
        <w:tc>
          <w:tcPr>
            <w:tcW w:w="1255" w:type="dxa"/>
            <w:tcBorders>
              <w:tl2br w:val="nil"/>
              <w:tr2bl w:val="nil"/>
            </w:tcBorders>
            <w:shd w:val="clear" w:color="auto" w:fill="auto"/>
            <w:noWrap/>
            <w:vAlign w:val="center"/>
          </w:tcPr>
          <w:p w14:paraId="6C35F5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0.0004 </w:t>
            </w:r>
          </w:p>
        </w:tc>
        <w:tc>
          <w:tcPr>
            <w:tcW w:w="1307" w:type="dxa"/>
            <w:vMerge w:val="restart"/>
            <w:tcBorders>
              <w:tl2br w:val="nil"/>
              <w:tr2bl w:val="nil"/>
            </w:tcBorders>
            <w:shd w:val="clear" w:color="auto" w:fill="auto"/>
            <w:noWrap/>
            <w:vAlign w:val="center"/>
          </w:tcPr>
          <w:p w14:paraId="1E06EE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600</w:t>
            </w:r>
          </w:p>
        </w:tc>
        <w:tc>
          <w:tcPr>
            <w:tcW w:w="1204" w:type="dxa"/>
            <w:vMerge w:val="restart"/>
            <w:tcBorders>
              <w:tl2br w:val="nil"/>
              <w:tr2bl w:val="nil"/>
            </w:tcBorders>
            <w:shd w:val="clear" w:color="auto" w:fill="auto"/>
            <w:noWrap/>
            <w:vAlign w:val="center"/>
          </w:tcPr>
          <w:p w14:paraId="44B763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DA003</w:t>
            </w:r>
          </w:p>
        </w:tc>
        <w:tc>
          <w:tcPr>
            <w:tcW w:w="1204" w:type="dxa"/>
            <w:vMerge w:val="restart"/>
            <w:tcBorders>
              <w:tl2br w:val="nil"/>
              <w:tr2bl w:val="nil"/>
            </w:tcBorders>
            <w:shd w:val="clear" w:color="auto" w:fill="auto"/>
            <w:noWrap/>
            <w:vAlign w:val="center"/>
          </w:tcPr>
          <w:p w14:paraId="1ABE86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5360BF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E6F54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EDE9B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continue"/>
            <w:tcBorders>
              <w:tl2br w:val="nil"/>
              <w:tr2bl w:val="nil"/>
            </w:tcBorders>
            <w:shd w:val="clear" w:color="auto" w:fill="auto"/>
            <w:noWrap/>
            <w:vAlign w:val="center"/>
          </w:tcPr>
          <w:p w14:paraId="63C2B0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DEBA7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0.0239 </w:t>
            </w:r>
          </w:p>
        </w:tc>
        <w:tc>
          <w:tcPr>
            <w:tcW w:w="1214" w:type="dxa"/>
            <w:tcBorders>
              <w:tl2br w:val="nil"/>
              <w:tr2bl w:val="nil"/>
            </w:tcBorders>
            <w:shd w:val="clear" w:color="auto" w:fill="auto"/>
            <w:noWrap/>
            <w:vAlign w:val="center"/>
          </w:tcPr>
          <w:p w14:paraId="746D27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2.6536 </w:t>
            </w:r>
          </w:p>
        </w:tc>
        <w:tc>
          <w:tcPr>
            <w:tcW w:w="1215" w:type="dxa"/>
            <w:tcBorders>
              <w:tl2br w:val="nil"/>
              <w:tr2bl w:val="nil"/>
            </w:tcBorders>
            <w:shd w:val="clear" w:color="auto" w:fill="auto"/>
            <w:noWrap/>
            <w:vAlign w:val="center"/>
          </w:tcPr>
          <w:p w14:paraId="230565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0.0398 </w:t>
            </w:r>
          </w:p>
        </w:tc>
        <w:tc>
          <w:tcPr>
            <w:tcW w:w="1290" w:type="dxa"/>
            <w:vMerge w:val="continue"/>
            <w:tcBorders>
              <w:tl2br w:val="nil"/>
              <w:tr2bl w:val="nil"/>
            </w:tcBorders>
            <w:shd w:val="clear" w:color="auto" w:fill="auto"/>
            <w:noWrap/>
            <w:vAlign w:val="center"/>
          </w:tcPr>
          <w:p w14:paraId="4A37B1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5368C4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restart"/>
            <w:tcBorders>
              <w:tl2br w:val="nil"/>
              <w:tr2bl w:val="nil"/>
            </w:tcBorders>
            <w:shd w:val="clear" w:color="auto" w:fill="auto"/>
            <w:noWrap/>
            <w:vAlign w:val="center"/>
          </w:tcPr>
          <w:p w14:paraId="649404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1275" w:type="dxa"/>
            <w:tcBorders>
              <w:tl2br w:val="nil"/>
              <w:tr2bl w:val="nil"/>
            </w:tcBorders>
            <w:shd w:val="clear" w:color="auto" w:fill="auto"/>
            <w:noWrap/>
            <w:vAlign w:val="center"/>
          </w:tcPr>
          <w:p w14:paraId="428636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0.0060 </w:t>
            </w:r>
          </w:p>
        </w:tc>
        <w:tc>
          <w:tcPr>
            <w:tcW w:w="1110" w:type="dxa"/>
            <w:tcBorders>
              <w:tl2br w:val="nil"/>
              <w:tr2bl w:val="nil"/>
            </w:tcBorders>
            <w:shd w:val="clear" w:color="auto" w:fill="auto"/>
            <w:noWrap/>
            <w:vAlign w:val="center"/>
          </w:tcPr>
          <w:p w14:paraId="546ED5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0.6634 </w:t>
            </w:r>
          </w:p>
        </w:tc>
        <w:tc>
          <w:tcPr>
            <w:tcW w:w="1255" w:type="dxa"/>
            <w:tcBorders>
              <w:tl2br w:val="nil"/>
              <w:tr2bl w:val="nil"/>
            </w:tcBorders>
            <w:shd w:val="clear" w:color="auto" w:fill="auto"/>
            <w:noWrap/>
            <w:vAlign w:val="center"/>
          </w:tcPr>
          <w:p w14:paraId="24E704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0.0100 </w:t>
            </w:r>
          </w:p>
        </w:tc>
        <w:tc>
          <w:tcPr>
            <w:tcW w:w="1307" w:type="dxa"/>
            <w:vMerge w:val="continue"/>
            <w:tcBorders>
              <w:tl2br w:val="nil"/>
              <w:tr2bl w:val="nil"/>
            </w:tcBorders>
            <w:shd w:val="clear" w:color="auto" w:fill="auto"/>
            <w:noWrap/>
            <w:vAlign w:val="center"/>
          </w:tcPr>
          <w:p w14:paraId="645CDD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E6C58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4DC17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253D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5327DF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78E107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7CC198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33A9FD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0.0335 </w:t>
            </w:r>
          </w:p>
        </w:tc>
        <w:tc>
          <w:tcPr>
            <w:tcW w:w="1214" w:type="dxa"/>
            <w:tcBorders>
              <w:tl2br w:val="nil"/>
              <w:tr2bl w:val="nil"/>
            </w:tcBorders>
            <w:shd w:val="clear" w:color="auto" w:fill="auto"/>
            <w:noWrap/>
            <w:vAlign w:val="center"/>
          </w:tcPr>
          <w:p w14:paraId="14A08C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3.7245 </w:t>
            </w:r>
          </w:p>
        </w:tc>
        <w:tc>
          <w:tcPr>
            <w:tcW w:w="1215" w:type="dxa"/>
            <w:tcBorders>
              <w:tl2br w:val="nil"/>
              <w:tr2bl w:val="nil"/>
            </w:tcBorders>
            <w:shd w:val="clear" w:color="auto" w:fill="auto"/>
            <w:noWrap/>
            <w:vAlign w:val="center"/>
          </w:tcPr>
          <w:p w14:paraId="719A5D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0.0559 </w:t>
            </w:r>
          </w:p>
        </w:tc>
        <w:tc>
          <w:tcPr>
            <w:tcW w:w="1290" w:type="dxa"/>
            <w:vMerge w:val="continue"/>
            <w:tcBorders>
              <w:tl2br w:val="nil"/>
              <w:tr2bl w:val="nil"/>
            </w:tcBorders>
            <w:shd w:val="clear" w:color="auto" w:fill="auto"/>
            <w:noWrap/>
            <w:vAlign w:val="center"/>
          </w:tcPr>
          <w:p w14:paraId="54E762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33D6A1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3CC0FB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43B4ED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0.0084 </w:t>
            </w:r>
          </w:p>
        </w:tc>
        <w:tc>
          <w:tcPr>
            <w:tcW w:w="1110" w:type="dxa"/>
            <w:tcBorders>
              <w:tl2br w:val="nil"/>
              <w:tr2bl w:val="nil"/>
            </w:tcBorders>
            <w:shd w:val="clear" w:color="auto" w:fill="auto"/>
            <w:noWrap/>
            <w:vAlign w:val="center"/>
          </w:tcPr>
          <w:p w14:paraId="4AD81D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0.9311 </w:t>
            </w:r>
          </w:p>
        </w:tc>
        <w:tc>
          <w:tcPr>
            <w:tcW w:w="1255" w:type="dxa"/>
            <w:tcBorders>
              <w:tl2br w:val="nil"/>
              <w:tr2bl w:val="nil"/>
            </w:tcBorders>
            <w:shd w:val="clear" w:color="auto" w:fill="auto"/>
            <w:noWrap/>
            <w:vAlign w:val="center"/>
          </w:tcPr>
          <w:p w14:paraId="68B6DB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0.0140 </w:t>
            </w:r>
          </w:p>
        </w:tc>
        <w:tc>
          <w:tcPr>
            <w:tcW w:w="1307" w:type="dxa"/>
            <w:vMerge w:val="continue"/>
            <w:tcBorders>
              <w:tl2br w:val="nil"/>
              <w:tr2bl w:val="nil"/>
            </w:tcBorders>
            <w:shd w:val="clear" w:color="auto" w:fill="auto"/>
            <w:noWrap/>
            <w:vAlign w:val="center"/>
          </w:tcPr>
          <w:p w14:paraId="718F4C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4A9CD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3F0B2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7985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2F5EE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F870D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27CEB9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536AA6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0.0465 </w:t>
            </w:r>
          </w:p>
        </w:tc>
        <w:tc>
          <w:tcPr>
            <w:tcW w:w="1214" w:type="dxa"/>
            <w:tcBorders>
              <w:tl2br w:val="nil"/>
              <w:tr2bl w:val="nil"/>
            </w:tcBorders>
            <w:shd w:val="clear" w:color="auto" w:fill="auto"/>
            <w:noWrap/>
            <w:vAlign w:val="center"/>
          </w:tcPr>
          <w:p w14:paraId="443470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5.1645 </w:t>
            </w:r>
          </w:p>
        </w:tc>
        <w:tc>
          <w:tcPr>
            <w:tcW w:w="1215" w:type="dxa"/>
            <w:tcBorders>
              <w:tl2br w:val="nil"/>
              <w:tr2bl w:val="nil"/>
            </w:tcBorders>
            <w:shd w:val="clear" w:color="auto" w:fill="auto"/>
            <w:noWrap/>
            <w:vAlign w:val="center"/>
          </w:tcPr>
          <w:p w14:paraId="1DB067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0.0775 </w:t>
            </w:r>
          </w:p>
        </w:tc>
        <w:tc>
          <w:tcPr>
            <w:tcW w:w="1290" w:type="dxa"/>
            <w:vMerge w:val="continue"/>
            <w:tcBorders>
              <w:tl2br w:val="nil"/>
              <w:tr2bl w:val="nil"/>
            </w:tcBorders>
            <w:shd w:val="clear" w:color="auto" w:fill="auto"/>
            <w:noWrap/>
            <w:vAlign w:val="center"/>
          </w:tcPr>
          <w:p w14:paraId="53A803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0A5E70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3750E7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1233E7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0.0116 </w:t>
            </w:r>
          </w:p>
        </w:tc>
        <w:tc>
          <w:tcPr>
            <w:tcW w:w="1110" w:type="dxa"/>
            <w:tcBorders>
              <w:tl2br w:val="nil"/>
              <w:tr2bl w:val="nil"/>
            </w:tcBorders>
            <w:shd w:val="clear" w:color="auto" w:fill="auto"/>
            <w:noWrap/>
            <w:vAlign w:val="center"/>
          </w:tcPr>
          <w:p w14:paraId="19BE20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1.2911 </w:t>
            </w:r>
          </w:p>
        </w:tc>
        <w:tc>
          <w:tcPr>
            <w:tcW w:w="1255" w:type="dxa"/>
            <w:tcBorders>
              <w:tl2br w:val="nil"/>
              <w:tr2bl w:val="nil"/>
            </w:tcBorders>
            <w:shd w:val="clear" w:color="auto" w:fill="auto"/>
            <w:noWrap/>
            <w:vAlign w:val="center"/>
          </w:tcPr>
          <w:p w14:paraId="74504A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0.0194 </w:t>
            </w:r>
          </w:p>
        </w:tc>
        <w:tc>
          <w:tcPr>
            <w:tcW w:w="1307" w:type="dxa"/>
            <w:vMerge w:val="continue"/>
            <w:tcBorders>
              <w:tl2br w:val="nil"/>
              <w:tr2bl w:val="nil"/>
            </w:tcBorders>
            <w:shd w:val="clear" w:color="auto" w:fill="auto"/>
            <w:noWrap/>
            <w:vAlign w:val="center"/>
          </w:tcPr>
          <w:p w14:paraId="62A497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515A9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CE74E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4AA6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2D165B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9714C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982" w:type="dxa"/>
            <w:vMerge w:val="restart"/>
            <w:tcBorders>
              <w:tl2br w:val="nil"/>
              <w:tr2bl w:val="nil"/>
            </w:tcBorders>
            <w:shd w:val="clear" w:color="auto" w:fill="auto"/>
            <w:noWrap/>
            <w:vAlign w:val="center"/>
          </w:tcPr>
          <w:p w14:paraId="4D2E44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25EE5F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0.00013</w:t>
            </w:r>
          </w:p>
        </w:tc>
        <w:tc>
          <w:tcPr>
            <w:tcW w:w="1214" w:type="dxa"/>
            <w:tcBorders>
              <w:tl2br w:val="nil"/>
              <w:tr2bl w:val="nil"/>
            </w:tcBorders>
            <w:shd w:val="clear" w:color="auto" w:fill="auto"/>
            <w:noWrap/>
            <w:vAlign w:val="center"/>
          </w:tcPr>
          <w:p w14:paraId="3D1D3F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649426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0.0002</w:t>
            </w:r>
          </w:p>
        </w:tc>
        <w:tc>
          <w:tcPr>
            <w:tcW w:w="1290" w:type="dxa"/>
            <w:vMerge w:val="restart"/>
            <w:tcBorders>
              <w:tl2br w:val="nil"/>
              <w:tr2bl w:val="nil"/>
            </w:tcBorders>
            <w:shd w:val="clear" w:color="auto" w:fill="auto"/>
            <w:noWrap/>
            <w:vAlign w:val="center"/>
          </w:tcPr>
          <w:p w14:paraId="536F4C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vMerge w:val="restart"/>
            <w:tcBorders>
              <w:tl2br w:val="nil"/>
              <w:tr2bl w:val="nil"/>
            </w:tcBorders>
            <w:shd w:val="clear" w:color="auto" w:fill="auto"/>
            <w:noWrap/>
            <w:vAlign w:val="center"/>
          </w:tcPr>
          <w:p w14:paraId="6E6FB8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vMerge w:val="restart"/>
            <w:tcBorders>
              <w:tl2br w:val="nil"/>
              <w:tr2bl w:val="nil"/>
            </w:tcBorders>
            <w:shd w:val="clear" w:color="auto" w:fill="auto"/>
            <w:noWrap/>
            <w:vAlign w:val="center"/>
          </w:tcPr>
          <w:p w14:paraId="04B338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2610DC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0.0001 </w:t>
            </w:r>
          </w:p>
        </w:tc>
        <w:tc>
          <w:tcPr>
            <w:tcW w:w="1110" w:type="dxa"/>
            <w:tcBorders>
              <w:tl2br w:val="nil"/>
              <w:tr2bl w:val="nil"/>
            </w:tcBorders>
            <w:shd w:val="clear" w:color="auto" w:fill="auto"/>
            <w:noWrap/>
            <w:vAlign w:val="center"/>
          </w:tcPr>
          <w:p w14:paraId="0FFF1E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2AF863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0.0002 </w:t>
            </w:r>
          </w:p>
        </w:tc>
        <w:tc>
          <w:tcPr>
            <w:tcW w:w="1307" w:type="dxa"/>
            <w:vMerge w:val="continue"/>
            <w:tcBorders>
              <w:tl2br w:val="nil"/>
              <w:tr2bl w:val="nil"/>
            </w:tcBorders>
            <w:shd w:val="clear" w:color="auto" w:fill="auto"/>
            <w:noWrap/>
            <w:vAlign w:val="center"/>
          </w:tcPr>
          <w:p w14:paraId="53F403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restart"/>
            <w:tcBorders>
              <w:tl2br w:val="nil"/>
              <w:tr2bl w:val="nil"/>
            </w:tcBorders>
            <w:shd w:val="clear" w:color="auto" w:fill="auto"/>
            <w:noWrap/>
            <w:vAlign w:val="center"/>
          </w:tcPr>
          <w:p w14:paraId="5052A3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vMerge w:val="restart"/>
            <w:tcBorders>
              <w:tl2br w:val="nil"/>
              <w:tr2bl w:val="nil"/>
            </w:tcBorders>
            <w:shd w:val="clear" w:color="auto" w:fill="auto"/>
            <w:noWrap/>
            <w:vAlign w:val="center"/>
          </w:tcPr>
          <w:p w14:paraId="341C81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3393B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4B0EC6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5637C1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982" w:type="dxa"/>
            <w:vMerge w:val="continue"/>
            <w:tcBorders>
              <w:tl2br w:val="nil"/>
              <w:tr2bl w:val="nil"/>
            </w:tcBorders>
            <w:shd w:val="clear" w:color="auto" w:fill="auto"/>
            <w:noWrap/>
            <w:vAlign w:val="center"/>
          </w:tcPr>
          <w:p w14:paraId="49491A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5029E8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0.0027</w:t>
            </w:r>
          </w:p>
        </w:tc>
        <w:tc>
          <w:tcPr>
            <w:tcW w:w="1214" w:type="dxa"/>
            <w:tcBorders>
              <w:tl2br w:val="nil"/>
              <w:tr2bl w:val="nil"/>
            </w:tcBorders>
            <w:shd w:val="clear" w:color="auto" w:fill="auto"/>
            <w:noWrap/>
            <w:vAlign w:val="center"/>
          </w:tcPr>
          <w:p w14:paraId="0CF6D7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1FB16E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0.0044</w:t>
            </w:r>
          </w:p>
        </w:tc>
        <w:tc>
          <w:tcPr>
            <w:tcW w:w="1290" w:type="dxa"/>
            <w:vMerge w:val="continue"/>
            <w:tcBorders>
              <w:tl2br w:val="nil"/>
              <w:tr2bl w:val="nil"/>
            </w:tcBorders>
            <w:shd w:val="clear" w:color="auto" w:fill="auto"/>
            <w:noWrap/>
            <w:vAlign w:val="center"/>
          </w:tcPr>
          <w:p w14:paraId="32A0B9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77F77A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6A9F62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144247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0.0027 </w:t>
            </w:r>
          </w:p>
        </w:tc>
        <w:tc>
          <w:tcPr>
            <w:tcW w:w="1110" w:type="dxa"/>
            <w:tcBorders>
              <w:tl2br w:val="nil"/>
              <w:tr2bl w:val="nil"/>
            </w:tcBorders>
            <w:shd w:val="clear" w:color="auto" w:fill="auto"/>
            <w:noWrap/>
            <w:vAlign w:val="center"/>
          </w:tcPr>
          <w:p w14:paraId="018E81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6D8D71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 xml:space="preserve">0.0044 </w:t>
            </w:r>
          </w:p>
        </w:tc>
        <w:tc>
          <w:tcPr>
            <w:tcW w:w="1307" w:type="dxa"/>
            <w:vMerge w:val="continue"/>
            <w:tcBorders>
              <w:tl2br w:val="nil"/>
              <w:tr2bl w:val="nil"/>
            </w:tcBorders>
            <w:shd w:val="clear" w:color="auto" w:fill="auto"/>
            <w:noWrap/>
            <w:vAlign w:val="center"/>
          </w:tcPr>
          <w:p w14:paraId="66BCB3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F0521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B104D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2422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471BB2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B8734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982" w:type="dxa"/>
            <w:vMerge w:val="continue"/>
            <w:tcBorders>
              <w:tl2br w:val="nil"/>
              <w:tr2bl w:val="nil"/>
            </w:tcBorders>
            <w:shd w:val="clear" w:color="auto" w:fill="auto"/>
            <w:noWrap/>
            <w:vAlign w:val="center"/>
          </w:tcPr>
          <w:p w14:paraId="08A5EB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384910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0.0037</w:t>
            </w:r>
          </w:p>
        </w:tc>
        <w:tc>
          <w:tcPr>
            <w:tcW w:w="1214" w:type="dxa"/>
            <w:tcBorders>
              <w:tl2br w:val="nil"/>
              <w:tr2bl w:val="nil"/>
            </w:tcBorders>
            <w:shd w:val="clear" w:color="auto" w:fill="auto"/>
            <w:noWrap/>
            <w:vAlign w:val="center"/>
          </w:tcPr>
          <w:p w14:paraId="20150A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4745FB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0.0062</w:t>
            </w:r>
          </w:p>
        </w:tc>
        <w:tc>
          <w:tcPr>
            <w:tcW w:w="1290" w:type="dxa"/>
            <w:vMerge w:val="continue"/>
            <w:tcBorders>
              <w:tl2br w:val="nil"/>
              <w:tr2bl w:val="nil"/>
            </w:tcBorders>
            <w:shd w:val="clear" w:color="auto" w:fill="auto"/>
            <w:noWrap/>
            <w:vAlign w:val="center"/>
          </w:tcPr>
          <w:p w14:paraId="0AE810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772A7B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6CF4D5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44E7B3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0.0037</w:t>
            </w:r>
          </w:p>
        </w:tc>
        <w:tc>
          <w:tcPr>
            <w:tcW w:w="1110" w:type="dxa"/>
            <w:tcBorders>
              <w:tl2br w:val="nil"/>
              <w:tr2bl w:val="nil"/>
            </w:tcBorders>
            <w:shd w:val="clear" w:color="auto" w:fill="auto"/>
            <w:noWrap/>
            <w:vAlign w:val="center"/>
          </w:tcPr>
          <w:p w14:paraId="5E8088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50D227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0.0062</w:t>
            </w:r>
          </w:p>
        </w:tc>
        <w:tc>
          <w:tcPr>
            <w:tcW w:w="1307" w:type="dxa"/>
            <w:vMerge w:val="continue"/>
            <w:tcBorders>
              <w:tl2br w:val="nil"/>
              <w:tr2bl w:val="nil"/>
            </w:tcBorders>
            <w:shd w:val="clear" w:color="auto" w:fill="auto"/>
            <w:noWrap/>
            <w:vAlign w:val="center"/>
          </w:tcPr>
          <w:p w14:paraId="4C8EDC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257999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735E73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8EBD6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vAlign w:val="center"/>
          </w:tcPr>
          <w:p w14:paraId="02A5CC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E190E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982" w:type="dxa"/>
            <w:vMerge w:val="continue"/>
            <w:tcBorders>
              <w:tl2br w:val="nil"/>
              <w:tr2bl w:val="nil"/>
            </w:tcBorders>
            <w:shd w:val="clear" w:color="auto" w:fill="auto"/>
            <w:noWrap/>
            <w:vAlign w:val="center"/>
          </w:tcPr>
          <w:p w14:paraId="52EA36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0148E1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0.0052</w:t>
            </w:r>
          </w:p>
        </w:tc>
        <w:tc>
          <w:tcPr>
            <w:tcW w:w="1214" w:type="dxa"/>
            <w:tcBorders>
              <w:tl2br w:val="nil"/>
              <w:tr2bl w:val="nil"/>
            </w:tcBorders>
            <w:shd w:val="clear" w:color="auto" w:fill="auto"/>
            <w:noWrap/>
            <w:vAlign w:val="center"/>
          </w:tcPr>
          <w:p w14:paraId="4FA07C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41BEA9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0.0086</w:t>
            </w:r>
          </w:p>
        </w:tc>
        <w:tc>
          <w:tcPr>
            <w:tcW w:w="1290" w:type="dxa"/>
            <w:vMerge w:val="continue"/>
            <w:tcBorders>
              <w:tl2br w:val="nil"/>
              <w:tr2bl w:val="nil"/>
            </w:tcBorders>
            <w:shd w:val="clear" w:color="auto" w:fill="auto"/>
            <w:noWrap/>
            <w:vAlign w:val="center"/>
          </w:tcPr>
          <w:p w14:paraId="6C40DF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25B42B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7C8337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62EAC0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0.0052</w:t>
            </w:r>
          </w:p>
        </w:tc>
        <w:tc>
          <w:tcPr>
            <w:tcW w:w="1110" w:type="dxa"/>
            <w:tcBorders>
              <w:tl2br w:val="nil"/>
              <w:tr2bl w:val="nil"/>
            </w:tcBorders>
            <w:shd w:val="clear" w:color="auto" w:fill="auto"/>
            <w:noWrap/>
            <w:vAlign w:val="center"/>
          </w:tcPr>
          <w:p w14:paraId="3C3005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0D48A2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0.0086</w:t>
            </w:r>
          </w:p>
        </w:tc>
        <w:tc>
          <w:tcPr>
            <w:tcW w:w="1307" w:type="dxa"/>
            <w:vMerge w:val="continue"/>
            <w:tcBorders>
              <w:tl2br w:val="nil"/>
              <w:tr2bl w:val="nil"/>
            </w:tcBorders>
            <w:shd w:val="clear" w:color="auto" w:fill="auto"/>
            <w:noWrap/>
            <w:vAlign w:val="center"/>
          </w:tcPr>
          <w:p w14:paraId="77FA86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DB91D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5763A54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EEC0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noWrap/>
            <w:vAlign w:val="center"/>
          </w:tcPr>
          <w:p w14:paraId="5D2C2D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注塑</w:t>
            </w:r>
          </w:p>
        </w:tc>
        <w:tc>
          <w:tcPr>
            <w:tcW w:w="2392" w:type="dxa"/>
            <w:tcBorders>
              <w:tl2br w:val="nil"/>
              <w:tr2bl w:val="nil"/>
            </w:tcBorders>
            <w:shd w:val="clear" w:color="auto" w:fill="auto"/>
            <w:noWrap/>
            <w:vAlign w:val="center"/>
          </w:tcPr>
          <w:p w14:paraId="30A3A5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w:t>
            </w:r>
          </w:p>
        </w:tc>
        <w:tc>
          <w:tcPr>
            <w:tcW w:w="982" w:type="dxa"/>
            <w:tcBorders>
              <w:tl2br w:val="nil"/>
              <w:tr2bl w:val="nil"/>
            </w:tcBorders>
            <w:shd w:val="clear" w:color="auto" w:fill="auto"/>
            <w:noWrap/>
            <w:vAlign w:val="center"/>
          </w:tcPr>
          <w:p w14:paraId="3E7495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361792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1.5269</w:t>
            </w:r>
          </w:p>
        </w:tc>
        <w:tc>
          <w:tcPr>
            <w:tcW w:w="1214" w:type="dxa"/>
            <w:tcBorders>
              <w:tl2br w:val="nil"/>
              <w:tr2bl w:val="nil"/>
            </w:tcBorders>
            <w:shd w:val="clear" w:color="auto" w:fill="auto"/>
            <w:noWrap/>
            <w:vAlign w:val="center"/>
          </w:tcPr>
          <w:p w14:paraId="4A7B9F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17.6727</w:t>
            </w:r>
          </w:p>
        </w:tc>
        <w:tc>
          <w:tcPr>
            <w:tcW w:w="1215" w:type="dxa"/>
            <w:tcBorders>
              <w:tl2br w:val="nil"/>
              <w:tr2bl w:val="nil"/>
            </w:tcBorders>
            <w:shd w:val="clear" w:color="auto" w:fill="auto"/>
            <w:noWrap/>
            <w:vAlign w:val="center"/>
          </w:tcPr>
          <w:p w14:paraId="5ABBC5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0.2121</w:t>
            </w:r>
          </w:p>
        </w:tc>
        <w:tc>
          <w:tcPr>
            <w:tcW w:w="1290" w:type="dxa"/>
            <w:tcBorders>
              <w:tl2br w:val="nil"/>
              <w:tr2bl w:val="nil"/>
            </w:tcBorders>
            <w:shd w:val="clear" w:color="auto" w:fill="auto"/>
            <w:noWrap/>
            <w:vAlign w:val="center"/>
          </w:tcPr>
          <w:p w14:paraId="0A99A4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12000</w:t>
            </w:r>
          </w:p>
        </w:tc>
        <w:tc>
          <w:tcPr>
            <w:tcW w:w="2955" w:type="dxa"/>
            <w:tcBorders>
              <w:tl2br w:val="nil"/>
              <w:tr2bl w:val="nil"/>
            </w:tcBorders>
            <w:shd w:val="clear" w:color="auto" w:fill="auto"/>
            <w:noWrap/>
            <w:vAlign w:val="center"/>
          </w:tcPr>
          <w:p w14:paraId="2C0888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二级活性炭吸附</w:t>
            </w:r>
          </w:p>
        </w:tc>
        <w:tc>
          <w:tcPr>
            <w:tcW w:w="1230" w:type="dxa"/>
            <w:tcBorders>
              <w:tl2br w:val="nil"/>
              <w:tr2bl w:val="nil"/>
            </w:tcBorders>
            <w:shd w:val="clear" w:color="auto" w:fill="auto"/>
            <w:noWrap/>
            <w:vAlign w:val="center"/>
          </w:tcPr>
          <w:p w14:paraId="2AEDBE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1275" w:type="dxa"/>
            <w:tcBorders>
              <w:tl2br w:val="nil"/>
              <w:tr2bl w:val="nil"/>
            </w:tcBorders>
            <w:shd w:val="clear" w:color="auto" w:fill="auto"/>
            <w:noWrap/>
            <w:vAlign w:val="center"/>
          </w:tcPr>
          <w:p w14:paraId="117518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0.3817</w:t>
            </w:r>
          </w:p>
        </w:tc>
        <w:tc>
          <w:tcPr>
            <w:tcW w:w="1110" w:type="dxa"/>
            <w:tcBorders>
              <w:tl2br w:val="nil"/>
              <w:tr2bl w:val="nil"/>
            </w:tcBorders>
            <w:shd w:val="clear" w:color="auto" w:fill="auto"/>
            <w:noWrap/>
            <w:vAlign w:val="center"/>
          </w:tcPr>
          <w:p w14:paraId="6517F0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4.4182</w:t>
            </w:r>
          </w:p>
        </w:tc>
        <w:tc>
          <w:tcPr>
            <w:tcW w:w="1255" w:type="dxa"/>
            <w:tcBorders>
              <w:tl2br w:val="nil"/>
              <w:tr2bl w:val="nil"/>
            </w:tcBorders>
            <w:shd w:val="clear" w:color="auto" w:fill="auto"/>
            <w:noWrap/>
            <w:vAlign w:val="center"/>
          </w:tcPr>
          <w:p w14:paraId="0AE0D6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0.0530</w:t>
            </w:r>
          </w:p>
        </w:tc>
        <w:tc>
          <w:tcPr>
            <w:tcW w:w="1307" w:type="dxa"/>
            <w:vMerge w:val="restart"/>
            <w:tcBorders>
              <w:tl2br w:val="nil"/>
              <w:tr2bl w:val="nil"/>
            </w:tcBorders>
            <w:shd w:val="clear" w:color="auto" w:fill="auto"/>
            <w:noWrap/>
            <w:vAlign w:val="center"/>
          </w:tcPr>
          <w:p w14:paraId="207378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7200</w:t>
            </w:r>
          </w:p>
        </w:tc>
        <w:tc>
          <w:tcPr>
            <w:tcW w:w="1204" w:type="dxa"/>
            <w:tcBorders>
              <w:tl2br w:val="nil"/>
              <w:tr2bl w:val="nil"/>
            </w:tcBorders>
            <w:shd w:val="clear" w:color="auto" w:fill="auto"/>
            <w:noWrap/>
            <w:vAlign w:val="center"/>
          </w:tcPr>
          <w:p w14:paraId="7DFE6B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DA004</w:t>
            </w:r>
          </w:p>
        </w:tc>
        <w:tc>
          <w:tcPr>
            <w:tcW w:w="1204" w:type="dxa"/>
            <w:tcBorders>
              <w:tl2br w:val="nil"/>
              <w:tr2bl w:val="nil"/>
            </w:tcBorders>
            <w:shd w:val="clear" w:color="auto" w:fill="auto"/>
            <w:noWrap/>
            <w:vAlign w:val="center"/>
          </w:tcPr>
          <w:p w14:paraId="5DBD3B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45C34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2B2C50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680BA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w:t>
            </w:r>
          </w:p>
        </w:tc>
        <w:tc>
          <w:tcPr>
            <w:tcW w:w="982" w:type="dxa"/>
            <w:tcBorders>
              <w:tl2br w:val="nil"/>
              <w:tr2bl w:val="nil"/>
            </w:tcBorders>
            <w:shd w:val="clear" w:color="auto" w:fill="auto"/>
            <w:noWrap/>
            <w:vAlign w:val="center"/>
          </w:tcPr>
          <w:p w14:paraId="603AF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2957D5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0.3817</w:t>
            </w:r>
          </w:p>
        </w:tc>
        <w:tc>
          <w:tcPr>
            <w:tcW w:w="1214" w:type="dxa"/>
            <w:tcBorders>
              <w:tl2br w:val="nil"/>
              <w:tr2bl w:val="nil"/>
            </w:tcBorders>
            <w:shd w:val="clear" w:color="auto" w:fill="auto"/>
            <w:noWrap/>
            <w:vAlign w:val="center"/>
          </w:tcPr>
          <w:p w14:paraId="761230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70C82A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0.0530</w:t>
            </w:r>
          </w:p>
        </w:tc>
        <w:tc>
          <w:tcPr>
            <w:tcW w:w="1290" w:type="dxa"/>
            <w:tcBorders>
              <w:tl2br w:val="nil"/>
              <w:tr2bl w:val="nil"/>
            </w:tcBorders>
            <w:shd w:val="clear" w:color="auto" w:fill="auto"/>
            <w:noWrap/>
            <w:vAlign w:val="center"/>
          </w:tcPr>
          <w:p w14:paraId="50A433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tcBorders>
              <w:tl2br w:val="nil"/>
              <w:tr2bl w:val="nil"/>
            </w:tcBorders>
            <w:shd w:val="clear" w:color="auto" w:fill="auto"/>
            <w:noWrap/>
            <w:vAlign w:val="center"/>
          </w:tcPr>
          <w:p w14:paraId="30A5FC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30" w:type="dxa"/>
            <w:tcBorders>
              <w:tl2br w:val="nil"/>
              <w:tr2bl w:val="nil"/>
            </w:tcBorders>
            <w:shd w:val="clear" w:color="auto" w:fill="auto"/>
            <w:noWrap/>
            <w:vAlign w:val="center"/>
          </w:tcPr>
          <w:p w14:paraId="33DE1F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72EE74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0.3817</w:t>
            </w:r>
          </w:p>
        </w:tc>
        <w:tc>
          <w:tcPr>
            <w:tcW w:w="1110" w:type="dxa"/>
            <w:tcBorders>
              <w:tl2br w:val="nil"/>
              <w:tr2bl w:val="nil"/>
            </w:tcBorders>
            <w:shd w:val="clear" w:color="auto" w:fill="auto"/>
            <w:noWrap/>
            <w:vAlign w:val="center"/>
          </w:tcPr>
          <w:p w14:paraId="4195EB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577316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0.0530</w:t>
            </w:r>
          </w:p>
        </w:tc>
        <w:tc>
          <w:tcPr>
            <w:tcW w:w="1307" w:type="dxa"/>
            <w:vMerge w:val="continue"/>
            <w:tcBorders>
              <w:tl2br w:val="nil"/>
              <w:tr2bl w:val="nil"/>
            </w:tcBorders>
            <w:shd w:val="clear" w:color="auto" w:fill="auto"/>
            <w:noWrap/>
            <w:vAlign w:val="center"/>
          </w:tcPr>
          <w:p w14:paraId="1B18CD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tcBorders>
              <w:tl2br w:val="nil"/>
              <w:tr2bl w:val="nil"/>
            </w:tcBorders>
            <w:shd w:val="clear" w:color="auto" w:fill="auto"/>
            <w:noWrap/>
            <w:vAlign w:val="center"/>
          </w:tcPr>
          <w:p w14:paraId="312C07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tcBorders>
              <w:tl2br w:val="nil"/>
              <w:tr2bl w:val="nil"/>
            </w:tcBorders>
            <w:shd w:val="clear" w:color="auto" w:fill="auto"/>
            <w:noWrap/>
            <w:vAlign w:val="center"/>
          </w:tcPr>
          <w:p w14:paraId="0E960E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6A6BD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noWrap/>
            <w:vAlign w:val="center"/>
          </w:tcPr>
          <w:p w14:paraId="2C3751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热水炉</w:t>
            </w:r>
          </w:p>
        </w:tc>
        <w:tc>
          <w:tcPr>
            <w:tcW w:w="2392" w:type="dxa"/>
            <w:tcBorders>
              <w:tl2br w:val="nil"/>
              <w:tr2bl w:val="nil"/>
            </w:tcBorders>
            <w:shd w:val="clear" w:color="auto" w:fill="auto"/>
            <w:noWrap/>
            <w:vAlign w:val="center"/>
          </w:tcPr>
          <w:p w14:paraId="45C01C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二氧化硫</w:t>
            </w:r>
          </w:p>
        </w:tc>
        <w:tc>
          <w:tcPr>
            <w:tcW w:w="982" w:type="dxa"/>
            <w:vMerge w:val="restart"/>
            <w:tcBorders>
              <w:tl2br w:val="nil"/>
              <w:tr2bl w:val="nil"/>
            </w:tcBorders>
            <w:shd w:val="clear" w:color="auto" w:fill="auto"/>
            <w:noWrap/>
            <w:vAlign w:val="center"/>
          </w:tcPr>
          <w:p w14:paraId="30244E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top"/>
          </w:tcPr>
          <w:p w14:paraId="5C0CB16C">
            <w:pPr>
              <w:pStyle w:val="1405"/>
              <w:bidi w:val="0"/>
              <w:jc w:val="center"/>
              <w:rPr>
                <w:rFonts w:hint="eastAsia"/>
                <w:color w:val="auto"/>
                <w:highlight w:val="none"/>
                <w:lang w:val="en-US" w:eastAsia="zh-CN"/>
              </w:rPr>
            </w:pPr>
            <w:r>
              <w:rPr>
                <w:rFonts w:hint="default"/>
                <w:color w:val="auto"/>
                <w:highlight w:val="none"/>
                <w:lang w:val="en-US" w:eastAsia="zh-CN"/>
              </w:rPr>
              <w:t>0.0072</w:t>
            </w:r>
          </w:p>
        </w:tc>
        <w:tc>
          <w:tcPr>
            <w:tcW w:w="1214" w:type="dxa"/>
            <w:tcBorders>
              <w:tl2br w:val="nil"/>
              <w:tr2bl w:val="nil"/>
            </w:tcBorders>
            <w:shd w:val="clear" w:color="auto" w:fill="auto"/>
            <w:noWrap/>
            <w:vAlign w:val="center"/>
          </w:tcPr>
          <w:p w14:paraId="61C1ABDD">
            <w:pPr>
              <w:pStyle w:val="1405"/>
              <w:bidi w:val="0"/>
              <w:jc w:val="center"/>
              <w:rPr>
                <w:rFonts w:hint="eastAsia"/>
                <w:color w:val="auto"/>
                <w:highlight w:val="none"/>
                <w:lang w:val="en-US" w:eastAsia="zh-CN"/>
              </w:rPr>
            </w:pPr>
            <w:r>
              <w:rPr>
                <w:rFonts w:hint="eastAsia"/>
                <w:color w:val="auto"/>
                <w:highlight w:val="none"/>
                <w:lang w:val="en-US" w:eastAsia="zh-CN"/>
              </w:rPr>
              <w:t>18.5610</w:t>
            </w:r>
          </w:p>
        </w:tc>
        <w:tc>
          <w:tcPr>
            <w:tcW w:w="1215" w:type="dxa"/>
            <w:tcBorders>
              <w:tl2br w:val="nil"/>
              <w:tr2bl w:val="nil"/>
            </w:tcBorders>
            <w:shd w:val="clear" w:color="auto" w:fill="auto"/>
            <w:noWrap/>
            <w:vAlign w:val="center"/>
          </w:tcPr>
          <w:p w14:paraId="7C0D5332">
            <w:pPr>
              <w:pStyle w:val="1405"/>
              <w:bidi w:val="0"/>
              <w:jc w:val="center"/>
              <w:rPr>
                <w:rFonts w:hint="eastAsia"/>
                <w:color w:val="auto"/>
                <w:highlight w:val="none"/>
                <w:lang w:val="en-US" w:eastAsia="zh-CN"/>
              </w:rPr>
            </w:pPr>
            <w:r>
              <w:rPr>
                <w:rFonts w:hint="eastAsia"/>
                <w:color w:val="auto"/>
                <w:highlight w:val="none"/>
                <w:lang w:val="en-US" w:eastAsia="zh-CN"/>
              </w:rPr>
              <w:t>0.0020</w:t>
            </w:r>
          </w:p>
        </w:tc>
        <w:tc>
          <w:tcPr>
            <w:tcW w:w="1290" w:type="dxa"/>
            <w:vMerge w:val="restart"/>
            <w:tcBorders>
              <w:tl2br w:val="nil"/>
              <w:tr2bl w:val="nil"/>
            </w:tcBorders>
            <w:shd w:val="clear" w:color="auto" w:fill="auto"/>
            <w:noWrap/>
            <w:vAlign w:val="center"/>
          </w:tcPr>
          <w:p w14:paraId="4FCD3B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108</w:t>
            </w:r>
          </w:p>
        </w:tc>
        <w:tc>
          <w:tcPr>
            <w:tcW w:w="2955" w:type="dxa"/>
            <w:vMerge w:val="restart"/>
            <w:tcBorders>
              <w:tl2br w:val="nil"/>
              <w:tr2bl w:val="nil"/>
            </w:tcBorders>
            <w:shd w:val="clear" w:color="auto" w:fill="auto"/>
            <w:noWrap/>
            <w:vAlign w:val="center"/>
          </w:tcPr>
          <w:p w14:paraId="5F9CA9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低氮燃烧器</w:t>
            </w:r>
          </w:p>
        </w:tc>
        <w:tc>
          <w:tcPr>
            <w:tcW w:w="1230" w:type="dxa"/>
            <w:vMerge w:val="restart"/>
            <w:tcBorders>
              <w:tl2br w:val="nil"/>
              <w:tr2bl w:val="nil"/>
            </w:tcBorders>
            <w:shd w:val="clear" w:color="auto" w:fill="auto"/>
            <w:noWrap/>
            <w:vAlign w:val="center"/>
          </w:tcPr>
          <w:p w14:paraId="7C450F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top"/>
          </w:tcPr>
          <w:p w14:paraId="5AFA0E25">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default"/>
                <w:color w:val="auto"/>
                <w:highlight w:val="none"/>
                <w:lang w:val="en-US" w:eastAsia="zh-CN"/>
              </w:rPr>
              <w:t>0.0072</w:t>
            </w:r>
          </w:p>
        </w:tc>
        <w:tc>
          <w:tcPr>
            <w:tcW w:w="1110" w:type="dxa"/>
            <w:tcBorders>
              <w:tl2br w:val="nil"/>
              <w:tr2bl w:val="nil"/>
            </w:tcBorders>
            <w:shd w:val="clear" w:color="auto" w:fill="auto"/>
            <w:noWrap/>
            <w:vAlign w:val="center"/>
          </w:tcPr>
          <w:p w14:paraId="31A1F4E9">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18.5610</w:t>
            </w:r>
          </w:p>
        </w:tc>
        <w:tc>
          <w:tcPr>
            <w:tcW w:w="1255" w:type="dxa"/>
            <w:tcBorders>
              <w:tl2br w:val="nil"/>
              <w:tr2bl w:val="nil"/>
            </w:tcBorders>
            <w:shd w:val="clear" w:color="auto" w:fill="auto"/>
            <w:noWrap/>
            <w:vAlign w:val="center"/>
          </w:tcPr>
          <w:p w14:paraId="6F1FCFDD">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0.0020</w:t>
            </w:r>
          </w:p>
        </w:tc>
        <w:tc>
          <w:tcPr>
            <w:tcW w:w="1307" w:type="dxa"/>
            <w:vMerge w:val="restart"/>
            <w:tcBorders>
              <w:tl2br w:val="nil"/>
              <w:tr2bl w:val="nil"/>
            </w:tcBorders>
            <w:shd w:val="clear" w:color="auto" w:fill="auto"/>
            <w:noWrap/>
            <w:vAlign w:val="center"/>
          </w:tcPr>
          <w:p w14:paraId="05F314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3600</w:t>
            </w:r>
          </w:p>
        </w:tc>
        <w:tc>
          <w:tcPr>
            <w:tcW w:w="1204" w:type="dxa"/>
            <w:vMerge w:val="restart"/>
            <w:tcBorders>
              <w:tl2br w:val="nil"/>
              <w:tr2bl w:val="nil"/>
            </w:tcBorders>
            <w:shd w:val="clear" w:color="auto" w:fill="auto"/>
            <w:noWrap/>
            <w:vAlign w:val="center"/>
          </w:tcPr>
          <w:p w14:paraId="7C02A8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DA005</w:t>
            </w:r>
          </w:p>
        </w:tc>
        <w:tc>
          <w:tcPr>
            <w:tcW w:w="1204" w:type="dxa"/>
            <w:vMerge w:val="restart"/>
            <w:tcBorders>
              <w:tl2br w:val="nil"/>
              <w:tr2bl w:val="nil"/>
            </w:tcBorders>
            <w:shd w:val="clear" w:color="auto" w:fill="auto"/>
            <w:noWrap/>
            <w:vAlign w:val="center"/>
          </w:tcPr>
          <w:p w14:paraId="50B54C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不低于</w:t>
            </w:r>
            <w:r>
              <w:rPr>
                <w:rFonts w:hint="eastAsia" w:ascii="Times New Roman" w:hAnsi="Times New Roman" w:eastAsia="宋体" w:cs="Times New Roman"/>
                <w:color w:val="auto"/>
                <w:kern w:val="0"/>
                <w:sz w:val="21"/>
                <w:szCs w:val="21"/>
                <w:highlight w:val="none"/>
                <w:lang w:val="en-US" w:eastAsia="zh-CN"/>
              </w:rPr>
              <w:t>8</w:t>
            </w:r>
            <w:r>
              <w:rPr>
                <w:rFonts w:hint="eastAsia" w:cs="Times New Roman"/>
                <w:color w:val="auto"/>
                <w:kern w:val="0"/>
                <w:sz w:val="21"/>
                <w:szCs w:val="21"/>
                <w:highlight w:val="none"/>
                <w:lang w:val="en-US" w:eastAsia="zh-CN"/>
              </w:rPr>
              <w:t>m</w:t>
            </w:r>
          </w:p>
        </w:tc>
      </w:tr>
      <w:tr w14:paraId="199D2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3BF39A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578422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continue"/>
            <w:tcBorders>
              <w:tl2br w:val="nil"/>
              <w:tr2bl w:val="nil"/>
            </w:tcBorders>
            <w:shd w:val="clear" w:color="auto" w:fill="auto"/>
            <w:noWrap/>
            <w:vAlign w:val="center"/>
          </w:tcPr>
          <w:p w14:paraId="7EF8E8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top"/>
          </w:tcPr>
          <w:p w14:paraId="05AFD7F9">
            <w:pPr>
              <w:pStyle w:val="1405"/>
              <w:bidi w:val="0"/>
              <w:jc w:val="center"/>
              <w:rPr>
                <w:rFonts w:hint="eastAsia"/>
                <w:color w:val="auto"/>
                <w:highlight w:val="none"/>
                <w:lang w:val="en-US" w:eastAsia="zh-CN"/>
              </w:rPr>
            </w:pPr>
            <w:r>
              <w:rPr>
                <w:rFonts w:hint="default"/>
                <w:color w:val="auto"/>
                <w:highlight w:val="none"/>
                <w:lang w:val="en-US" w:eastAsia="zh-CN"/>
              </w:rPr>
              <w:t>0.001</w:t>
            </w:r>
            <w:r>
              <w:rPr>
                <w:rFonts w:hint="eastAsia"/>
                <w:color w:val="auto"/>
                <w:highlight w:val="none"/>
                <w:lang w:val="en-US" w:eastAsia="zh-CN"/>
              </w:rPr>
              <w:t>1</w:t>
            </w:r>
          </w:p>
        </w:tc>
        <w:tc>
          <w:tcPr>
            <w:tcW w:w="1214" w:type="dxa"/>
            <w:tcBorders>
              <w:tl2br w:val="nil"/>
              <w:tr2bl w:val="nil"/>
            </w:tcBorders>
            <w:shd w:val="clear" w:color="auto" w:fill="auto"/>
            <w:noWrap/>
            <w:vAlign w:val="center"/>
          </w:tcPr>
          <w:p w14:paraId="4CDF8F82">
            <w:pPr>
              <w:pStyle w:val="1405"/>
              <w:bidi w:val="0"/>
              <w:jc w:val="center"/>
              <w:rPr>
                <w:rFonts w:hint="eastAsia"/>
                <w:color w:val="auto"/>
                <w:highlight w:val="none"/>
                <w:lang w:val="en-US" w:eastAsia="zh-CN"/>
              </w:rPr>
            </w:pPr>
            <w:r>
              <w:rPr>
                <w:rFonts w:hint="eastAsia"/>
                <w:color w:val="auto"/>
                <w:highlight w:val="none"/>
                <w:lang w:val="en-US" w:eastAsia="zh-CN"/>
              </w:rPr>
              <w:t>2.7841</w:t>
            </w:r>
          </w:p>
        </w:tc>
        <w:tc>
          <w:tcPr>
            <w:tcW w:w="1215" w:type="dxa"/>
            <w:tcBorders>
              <w:tl2br w:val="nil"/>
              <w:tr2bl w:val="nil"/>
            </w:tcBorders>
            <w:shd w:val="clear" w:color="auto" w:fill="auto"/>
            <w:noWrap/>
            <w:vAlign w:val="center"/>
          </w:tcPr>
          <w:p w14:paraId="57560558">
            <w:pPr>
              <w:pStyle w:val="1405"/>
              <w:bidi w:val="0"/>
              <w:jc w:val="center"/>
              <w:rPr>
                <w:rFonts w:hint="eastAsia"/>
                <w:color w:val="auto"/>
                <w:highlight w:val="none"/>
                <w:lang w:val="en-US" w:eastAsia="zh-CN"/>
              </w:rPr>
            </w:pPr>
            <w:r>
              <w:rPr>
                <w:rFonts w:hint="eastAsia"/>
                <w:color w:val="auto"/>
                <w:highlight w:val="none"/>
                <w:lang w:val="en-US" w:eastAsia="zh-CN"/>
              </w:rPr>
              <w:t>0.0003</w:t>
            </w:r>
          </w:p>
        </w:tc>
        <w:tc>
          <w:tcPr>
            <w:tcW w:w="1290" w:type="dxa"/>
            <w:vMerge w:val="continue"/>
            <w:tcBorders>
              <w:tl2br w:val="nil"/>
              <w:tr2bl w:val="nil"/>
            </w:tcBorders>
            <w:shd w:val="clear" w:color="auto" w:fill="auto"/>
            <w:noWrap/>
            <w:vAlign w:val="center"/>
          </w:tcPr>
          <w:p w14:paraId="1A5FA3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584151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1B5D5F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top"/>
          </w:tcPr>
          <w:p w14:paraId="14E2BCCD">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default"/>
                <w:color w:val="auto"/>
                <w:highlight w:val="none"/>
                <w:lang w:val="en-US" w:eastAsia="zh-CN"/>
              </w:rPr>
              <w:t>0.001</w:t>
            </w:r>
            <w:r>
              <w:rPr>
                <w:rFonts w:hint="eastAsia"/>
                <w:color w:val="auto"/>
                <w:highlight w:val="none"/>
                <w:lang w:val="en-US" w:eastAsia="zh-CN"/>
              </w:rPr>
              <w:t>1</w:t>
            </w:r>
          </w:p>
        </w:tc>
        <w:tc>
          <w:tcPr>
            <w:tcW w:w="1110" w:type="dxa"/>
            <w:tcBorders>
              <w:tl2br w:val="nil"/>
              <w:tr2bl w:val="nil"/>
            </w:tcBorders>
            <w:shd w:val="clear" w:color="auto" w:fill="auto"/>
            <w:noWrap/>
            <w:vAlign w:val="center"/>
          </w:tcPr>
          <w:p w14:paraId="6432A585">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2.7841</w:t>
            </w:r>
          </w:p>
        </w:tc>
        <w:tc>
          <w:tcPr>
            <w:tcW w:w="1255" w:type="dxa"/>
            <w:tcBorders>
              <w:tl2br w:val="nil"/>
              <w:tr2bl w:val="nil"/>
            </w:tcBorders>
            <w:shd w:val="clear" w:color="auto" w:fill="auto"/>
            <w:noWrap/>
            <w:vAlign w:val="center"/>
          </w:tcPr>
          <w:p w14:paraId="78737EE0">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0.0003</w:t>
            </w:r>
          </w:p>
        </w:tc>
        <w:tc>
          <w:tcPr>
            <w:tcW w:w="1307" w:type="dxa"/>
            <w:vMerge w:val="continue"/>
            <w:tcBorders>
              <w:tl2br w:val="nil"/>
              <w:tr2bl w:val="nil"/>
            </w:tcBorders>
            <w:shd w:val="clear" w:color="auto" w:fill="auto"/>
            <w:noWrap/>
            <w:vAlign w:val="center"/>
          </w:tcPr>
          <w:p w14:paraId="7D651F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09CB84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59246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96547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5E67C7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20541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氮氧化物</w:t>
            </w:r>
          </w:p>
        </w:tc>
        <w:tc>
          <w:tcPr>
            <w:tcW w:w="982" w:type="dxa"/>
            <w:vMerge w:val="continue"/>
            <w:tcBorders>
              <w:tl2br w:val="nil"/>
              <w:tr2bl w:val="nil"/>
            </w:tcBorders>
            <w:shd w:val="clear" w:color="auto" w:fill="auto"/>
            <w:noWrap/>
            <w:vAlign w:val="center"/>
          </w:tcPr>
          <w:p w14:paraId="02DEE0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0716CFD5">
            <w:pPr>
              <w:pStyle w:val="1405"/>
              <w:bidi w:val="0"/>
              <w:jc w:val="center"/>
              <w:rPr>
                <w:rFonts w:hint="eastAsia"/>
                <w:color w:val="auto"/>
                <w:highlight w:val="none"/>
                <w:lang w:val="en-US" w:eastAsia="zh-CN"/>
              </w:rPr>
            </w:pPr>
            <w:r>
              <w:rPr>
                <w:rFonts w:hint="default"/>
                <w:color w:val="auto"/>
                <w:highlight w:val="none"/>
                <w:lang w:val="en-US" w:eastAsia="zh-CN"/>
              </w:rPr>
              <w:t>0.025</w:t>
            </w:r>
            <w:r>
              <w:rPr>
                <w:rFonts w:hint="eastAsia"/>
                <w:color w:val="auto"/>
                <w:highlight w:val="none"/>
                <w:lang w:val="en-US" w:eastAsia="zh-CN"/>
              </w:rPr>
              <w:t>1</w:t>
            </w:r>
          </w:p>
        </w:tc>
        <w:tc>
          <w:tcPr>
            <w:tcW w:w="1214" w:type="dxa"/>
            <w:tcBorders>
              <w:tl2br w:val="nil"/>
              <w:tr2bl w:val="nil"/>
            </w:tcBorders>
            <w:shd w:val="clear" w:color="auto" w:fill="auto"/>
            <w:noWrap/>
            <w:vAlign w:val="center"/>
          </w:tcPr>
          <w:p w14:paraId="16B7A9D4">
            <w:pPr>
              <w:pStyle w:val="1405"/>
              <w:bidi w:val="0"/>
              <w:jc w:val="center"/>
              <w:rPr>
                <w:rFonts w:hint="eastAsia"/>
                <w:color w:val="auto"/>
                <w:highlight w:val="none"/>
                <w:lang w:val="en-US" w:eastAsia="zh-CN"/>
              </w:rPr>
            </w:pPr>
            <w:r>
              <w:rPr>
                <w:rFonts w:hint="eastAsia"/>
                <w:color w:val="auto"/>
                <w:highlight w:val="none"/>
                <w:lang w:val="en-US" w:eastAsia="zh-CN"/>
              </w:rPr>
              <w:t>64.6850</w:t>
            </w:r>
          </w:p>
        </w:tc>
        <w:tc>
          <w:tcPr>
            <w:tcW w:w="1215" w:type="dxa"/>
            <w:tcBorders>
              <w:tl2br w:val="nil"/>
              <w:tr2bl w:val="nil"/>
            </w:tcBorders>
            <w:shd w:val="clear" w:color="auto" w:fill="auto"/>
            <w:noWrap/>
            <w:vAlign w:val="center"/>
          </w:tcPr>
          <w:p w14:paraId="2FF17E4E">
            <w:pPr>
              <w:pStyle w:val="1405"/>
              <w:bidi w:val="0"/>
              <w:jc w:val="center"/>
              <w:rPr>
                <w:rFonts w:hint="eastAsia"/>
                <w:color w:val="auto"/>
                <w:highlight w:val="none"/>
                <w:lang w:val="en-US" w:eastAsia="zh-CN"/>
              </w:rPr>
            </w:pPr>
            <w:r>
              <w:rPr>
                <w:rFonts w:hint="eastAsia"/>
                <w:color w:val="auto"/>
                <w:highlight w:val="none"/>
                <w:lang w:val="en-US" w:eastAsia="zh-CN"/>
              </w:rPr>
              <w:t>0.0070</w:t>
            </w:r>
          </w:p>
        </w:tc>
        <w:tc>
          <w:tcPr>
            <w:tcW w:w="1290" w:type="dxa"/>
            <w:vMerge w:val="continue"/>
            <w:tcBorders>
              <w:tl2br w:val="nil"/>
              <w:tr2bl w:val="nil"/>
            </w:tcBorders>
            <w:shd w:val="clear" w:color="auto" w:fill="auto"/>
            <w:noWrap/>
            <w:vAlign w:val="center"/>
          </w:tcPr>
          <w:p w14:paraId="2C0D8E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3CFBB1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54EF0C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34AE08F4">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default"/>
                <w:color w:val="auto"/>
                <w:highlight w:val="none"/>
                <w:lang w:val="en-US" w:eastAsia="zh-CN"/>
              </w:rPr>
              <w:t>0.025</w:t>
            </w:r>
            <w:r>
              <w:rPr>
                <w:rFonts w:hint="eastAsia"/>
                <w:color w:val="auto"/>
                <w:highlight w:val="none"/>
                <w:lang w:val="en-US" w:eastAsia="zh-CN"/>
              </w:rPr>
              <w:t>1</w:t>
            </w:r>
          </w:p>
        </w:tc>
        <w:tc>
          <w:tcPr>
            <w:tcW w:w="1110" w:type="dxa"/>
            <w:tcBorders>
              <w:tl2br w:val="nil"/>
              <w:tr2bl w:val="nil"/>
            </w:tcBorders>
            <w:shd w:val="clear" w:color="auto" w:fill="auto"/>
            <w:noWrap/>
            <w:vAlign w:val="center"/>
          </w:tcPr>
          <w:p w14:paraId="5A91938E">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64.6850</w:t>
            </w:r>
          </w:p>
        </w:tc>
        <w:tc>
          <w:tcPr>
            <w:tcW w:w="1255" w:type="dxa"/>
            <w:tcBorders>
              <w:tl2br w:val="nil"/>
              <w:tr2bl w:val="nil"/>
            </w:tcBorders>
            <w:shd w:val="clear" w:color="auto" w:fill="auto"/>
            <w:noWrap/>
            <w:vAlign w:val="center"/>
          </w:tcPr>
          <w:p w14:paraId="3F47E029">
            <w:pPr>
              <w:pStyle w:val="1405"/>
              <w:bidi w:val="0"/>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0.0070</w:t>
            </w:r>
          </w:p>
        </w:tc>
        <w:tc>
          <w:tcPr>
            <w:tcW w:w="1307" w:type="dxa"/>
            <w:vMerge w:val="continue"/>
            <w:tcBorders>
              <w:tl2br w:val="nil"/>
              <w:tr2bl w:val="nil"/>
            </w:tcBorders>
            <w:shd w:val="clear" w:color="auto" w:fill="auto"/>
            <w:noWrap/>
            <w:vAlign w:val="center"/>
          </w:tcPr>
          <w:p w14:paraId="23916A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DAC42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B1DF3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D601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noWrap/>
            <w:vAlign w:val="center"/>
          </w:tcPr>
          <w:p w14:paraId="137624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热洁炉</w:t>
            </w:r>
          </w:p>
        </w:tc>
        <w:tc>
          <w:tcPr>
            <w:tcW w:w="2392" w:type="dxa"/>
            <w:tcBorders>
              <w:tl2br w:val="nil"/>
              <w:tr2bl w:val="nil"/>
            </w:tcBorders>
            <w:shd w:val="clear" w:color="auto" w:fill="auto"/>
            <w:noWrap/>
            <w:vAlign w:val="center"/>
          </w:tcPr>
          <w:p w14:paraId="13AFE0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w:t>
            </w:r>
          </w:p>
        </w:tc>
        <w:tc>
          <w:tcPr>
            <w:tcW w:w="982" w:type="dxa"/>
            <w:vMerge w:val="restart"/>
            <w:tcBorders>
              <w:tl2br w:val="nil"/>
              <w:tr2bl w:val="nil"/>
            </w:tcBorders>
            <w:shd w:val="clear" w:color="auto" w:fill="auto"/>
            <w:noWrap/>
            <w:vAlign w:val="center"/>
          </w:tcPr>
          <w:p w14:paraId="1E7C04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有组织</w:t>
            </w:r>
          </w:p>
        </w:tc>
        <w:tc>
          <w:tcPr>
            <w:tcW w:w="1036" w:type="dxa"/>
            <w:tcBorders>
              <w:tl2br w:val="nil"/>
              <w:tr2bl w:val="nil"/>
            </w:tcBorders>
            <w:shd w:val="clear" w:color="auto" w:fill="auto"/>
            <w:noWrap/>
            <w:vAlign w:val="center"/>
          </w:tcPr>
          <w:p w14:paraId="4EEF93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1.1180</w:t>
            </w:r>
          </w:p>
        </w:tc>
        <w:tc>
          <w:tcPr>
            <w:tcW w:w="1214" w:type="dxa"/>
            <w:tcBorders>
              <w:tl2br w:val="nil"/>
              <w:tr2bl w:val="nil"/>
            </w:tcBorders>
            <w:shd w:val="clear" w:color="auto" w:fill="auto"/>
            <w:noWrap/>
            <w:vAlign w:val="center"/>
          </w:tcPr>
          <w:p w14:paraId="20B47B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1035.1852</w:t>
            </w:r>
          </w:p>
        </w:tc>
        <w:tc>
          <w:tcPr>
            <w:tcW w:w="1215" w:type="dxa"/>
            <w:tcBorders>
              <w:tl2br w:val="nil"/>
              <w:tr2bl w:val="nil"/>
            </w:tcBorders>
            <w:shd w:val="clear" w:color="auto" w:fill="auto"/>
            <w:noWrap/>
            <w:vAlign w:val="center"/>
          </w:tcPr>
          <w:p w14:paraId="127E70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15.5278</w:t>
            </w:r>
          </w:p>
        </w:tc>
        <w:tc>
          <w:tcPr>
            <w:tcW w:w="1290" w:type="dxa"/>
            <w:vMerge w:val="restart"/>
            <w:tcBorders>
              <w:tl2br w:val="nil"/>
              <w:tr2bl w:val="nil"/>
            </w:tcBorders>
            <w:shd w:val="clear" w:color="auto" w:fill="auto"/>
            <w:noWrap/>
            <w:vAlign w:val="center"/>
          </w:tcPr>
          <w:p w14:paraId="35D5E3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15000</w:t>
            </w:r>
          </w:p>
        </w:tc>
        <w:tc>
          <w:tcPr>
            <w:tcW w:w="2955" w:type="dxa"/>
            <w:tcBorders>
              <w:tl2br w:val="nil"/>
              <w:tr2bl w:val="nil"/>
            </w:tcBorders>
            <w:shd w:val="clear" w:color="auto" w:fill="auto"/>
            <w:noWrap/>
            <w:vAlign w:val="center"/>
          </w:tcPr>
          <w:p w14:paraId="5838B2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二燃室+换热器</w:t>
            </w:r>
          </w:p>
        </w:tc>
        <w:tc>
          <w:tcPr>
            <w:tcW w:w="1230" w:type="dxa"/>
            <w:tcBorders>
              <w:tl2br w:val="nil"/>
              <w:tr2bl w:val="nil"/>
            </w:tcBorders>
            <w:shd w:val="clear" w:color="auto" w:fill="auto"/>
            <w:noWrap/>
            <w:vAlign w:val="center"/>
          </w:tcPr>
          <w:p w14:paraId="7B7F54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97%</w:t>
            </w:r>
          </w:p>
        </w:tc>
        <w:tc>
          <w:tcPr>
            <w:tcW w:w="1275" w:type="dxa"/>
            <w:tcBorders>
              <w:tl2br w:val="nil"/>
              <w:tr2bl w:val="nil"/>
            </w:tcBorders>
            <w:shd w:val="clear" w:color="auto" w:fill="auto"/>
            <w:noWrap/>
            <w:vAlign w:val="center"/>
          </w:tcPr>
          <w:p w14:paraId="10728E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0.0335</w:t>
            </w:r>
          </w:p>
        </w:tc>
        <w:tc>
          <w:tcPr>
            <w:tcW w:w="1110" w:type="dxa"/>
            <w:tcBorders>
              <w:tl2br w:val="nil"/>
              <w:tr2bl w:val="nil"/>
            </w:tcBorders>
            <w:shd w:val="clear" w:color="auto" w:fill="auto"/>
            <w:noWrap/>
            <w:vAlign w:val="center"/>
          </w:tcPr>
          <w:p w14:paraId="3F8517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31.0556</w:t>
            </w:r>
          </w:p>
        </w:tc>
        <w:tc>
          <w:tcPr>
            <w:tcW w:w="1255" w:type="dxa"/>
            <w:tcBorders>
              <w:tl2br w:val="nil"/>
              <w:tr2bl w:val="nil"/>
            </w:tcBorders>
            <w:shd w:val="clear" w:color="auto" w:fill="auto"/>
            <w:noWrap/>
            <w:vAlign w:val="center"/>
          </w:tcPr>
          <w:p w14:paraId="60D24B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0.4658</w:t>
            </w:r>
          </w:p>
        </w:tc>
        <w:tc>
          <w:tcPr>
            <w:tcW w:w="1307" w:type="dxa"/>
            <w:vMerge w:val="restart"/>
            <w:tcBorders>
              <w:tl2br w:val="nil"/>
              <w:tr2bl w:val="nil"/>
            </w:tcBorders>
            <w:shd w:val="clear" w:color="auto" w:fill="auto"/>
            <w:noWrap/>
            <w:vAlign w:val="center"/>
          </w:tcPr>
          <w:p w14:paraId="498013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w:t>
            </w:r>
          </w:p>
        </w:tc>
        <w:tc>
          <w:tcPr>
            <w:tcW w:w="1204" w:type="dxa"/>
            <w:vMerge w:val="restart"/>
            <w:tcBorders>
              <w:tl2br w:val="nil"/>
              <w:tr2bl w:val="nil"/>
            </w:tcBorders>
            <w:shd w:val="clear" w:color="auto" w:fill="auto"/>
            <w:noWrap/>
            <w:vAlign w:val="center"/>
          </w:tcPr>
          <w:p w14:paraId="5CB7D6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DA006</w:t>
            </w:r>
          </w:p>
        </w:tc>
        <w:tc>
          <w:tcPr>
            <w:tcW w:w="1204" w:type="dxa"/>
            <w:vMerge w:val="restart"/>
            <w:tcBorders>
              <w:tl2br w:val="nil"/>
              <w:tr2bl w:val="nil"/>
            </w:tcBorders>
            <w:shd w:val="clear" w:color="auto" w:fill="auto"/>
            <w:noWrap/>
            <w:vAlign w:val="center"/>
          </w:tcPr>
          <w:p w14:paraId="159719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r>
      <w:tr w14:paraId="0FC0F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59711D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26DF1D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二氧化硫</w:t>
            </w:r>
          </w:p>
        </w:tc>
        <w:tc>
          <w:tcPr>
            <w:tcW w:w="982" w:type="dxa"/>
            <w:vMerge w:val="continue"/>
            <w:tcBorders>
              <w:tl2br w:val="nil"/>
              <w:tr2bl w:val="nil"/>
            </w:tcBorders>
            <w:shd w:val="clear" w:color="auto" w:fill="auto"/>
            <w:noWrap/>
            <w:vAlign w:val="center"/>
          </w:tcPr>
          <w:p w14:paraId="2C30BD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top"/>
          </w:tcPr>
          <w:p w14:paraId="26A114C7">
            <w:pPr>
              <w:pStyle w:val="1405"/>
              <w:bidi w:val="0"/>
              <w:jc w:val="center"/>
              <w:rPr>
                <w:rFonts w:hint="eastAsia"/>
                <w:color w:val="auto"/>
                <w:highlight w:val="none"/>
                <w:lang w:val="en-US" w:eastAsia="zh-CN"/>
              </w:rPr>
            </w:pPr>
            <w:r>
              <w:rPr>
                <w:rFonts w:hint="default"/>
                <w:color w:val="auto"/>
                <w:highlight w:val="none"/>
                <w:lang w:val="en-US" w:eastAsia="zh-CN"/>
              </w:rPr>
              <w:t>0.0002</w:t>
            </w:r>
          </w:p>
        </w:tc>
        <w:tc>
          <w:tcPr>
            <w:tcW w:w="1214" w:type="dxa"/>
            <w:tcBorders>
              <w:tl2br w:val="nil"/>
              <w:tr2bl w:val="nil"/>
            </w:tcBorders>
            <w:shd w:val="clear" w:color="auto" w:fill="auto"/>
            <w:noWrap/>
            <w:vAlign w:val="center"/>
          </w:tcPr>
          <w:p w14:paraId="2B34B9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0.2000</w:t>
            </w:r>
          </w:p>
        </w:tc>
        <w:tc>
          <w:tcPr>
            <w:tcW w:w="1215" w:type="dxa"/>
            <w:tcBorders>
              <w:tl2br w:val="nil"/>
              <w:tr2bl w:val="nil"/>
            </w:tcBorders>
            <w:shd w:val="clear" w:color="auto" w:fill="auto"/>
            <w:noWrap/>
            <w:vAlign w:val="center"/>
          </w:tcPr>
          <w:p w14:paraId="4A66B1CC">
            <w:pPr>
              <w:pStyle w:val="1405"/>
              <w:bidi w:val="0"/>
              <w:jc w:val="center"/>
              <w:rPr>
                <w:rFonts w:hint="eastAsia"/>
                <w:color w:val="auto"/>
                <w:highlight w:val="none"/>
                <w:lang w:val="en-US" w:eastAsia="zh-CN"/>
              </w:rPr>
            </w:pPr>
            <w:r>
              <w:rPr>
                <w:rFonts w:hint="eastAsia"/>
                <w:color w:val="auto"/>
                <w:highlight w:val="none"/>
                <w:lang w:val="en-US" w:eastAsia="zh-CN"/>
              </w:rPr>
              <w:t>0.0030</w:t>
            </w:r>
          </w:p>
        </w:tc>
        <w:tc>
          <w:tcPr>
            <w:tcW w:w="1290" w:type="dxa"/>
            <w:vMerge w:val="continue"/>
            <w:tcBorders>
              <w:tl2br w:val="nil"/>
              <w:tr2bl w:val="nil"/>
            </w:tcBorders>
            <w:shd w:val="clear" w:color="auto" w:fill="auto"/>
            <w:noWrap/>
            <w:vAlign w:val="center"/>
          </w:tcPr>
          <w:p w14:paraId="440FB4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restart"/>
            <w:tcBorders>
              <w:tl2br w:val="nil"/>
              <w:tr2bl w:val="nil"/>
            </w:tcBorders>
            <w:shd w:val="clear" w:color="auto" w:fill="auto"/>
            <w:noWrap/>
            <w:vAlign w:val="center"/>
          </w:tcPr>
          <w:p w14:paraId="59A7E0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低氮燃烧器</w:t>
            </w:r>
          </w:p>
        </w:tc>
        <w:tc>
          <w:tcPr>
            <w:tcW w:w="1230" w:type="dxa"/>
            <w:vMerge w:val="restart"/>
            <w:tcBorders>
              <w:tl2br w:val="nil"/>
              <w:tr2bl w:val="nil"/>
            </w:tcBorders>
            <w:shd w:val="clear" w:color="auto" w:fill="auto"/>
            <w:noWrap/>
            <w:vAlign w:val="center"/>
          </w:tcPr>
          <w:p w14:paraId="565E58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64ACC1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0.0002</w:t>
            </w:r>
          </w:p>
        </w:tc>
        <w:tc>
          <w:tcPr>
            <w:tcW w:w="1110" w:type="dxa"/>
            <w:tcBorders>
              <w:tl2br w:val="nil"/>
              <w:tr2bl w:val="nil"/>
            </w:tcBorders>
            <w:shd w:val="clear" w:color="auto" w:fill="auto"/>
            <w:noWrap/>
            <w:vAlign w:val="center"/>
          </w:tcPr>
          <w:p w14:paraId="489BFD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0.2000</w:t>
            </w:r>
          </w:p>
        </w:tc>
        <w:tc>
          <w:tcPr>
            <w:tcW w:w="1255" w:type="dxa"/>
            <w:tcBorders>
              <w:tl2br w:val="nil"/>
              <w:tr2bl w:val="nil"/>
            </w:tcBorders>
            <w:shd w:val="clear" w:color="auto" w:fill="auto"/>
            <w:noWrap/>
            <w:vAlign w:val="center"/>
          </w:tcPr>
          <w:p w14:paraId="664E49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0.0030</w:t>
            </w:r>
          </w:p>
        </w:tc>
        <w:tc>
          <w:tcPr>
            <w:tcW w:w="1307" w:type="dxa"/>
            <w:vMerge w:val="continue"/>
            <w:tcBorders>
              <w:tl2br w:val="nil"/>
              <w:tr2bl w:val="nil"/>
            </w:tcBorders>
            <w:shd w:val="clear" w:color="auto" w:fill="auto"/>
            <w:noWrap/>
            <w:vAlign w:val="center"/>
          </w:tcPr>
          <w:p w14:paraId="1D83CB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245EF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E7826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C019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0CD99B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58E485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p>
        </w:tc>
        <w:tc>
          <w:tcPr>
            <w:tcW w:w="982" w:type="dxa"/>
            <w:vMerge w:val="continue"/>
            <w:tcBorders>
              <w:tl2br w:val="nil"/>
              <w:tr2bl w:val="nil"/>
            </w:tcBorders>
            <w:shd w:val="clear" w:color="auto" w:fill="auto"/>
            <w:noWrap/>
            <w:vAlign w:val="center"/>
          </w:tcPr>
          <w:p w14:paraId="144686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top"/>
          </w:tcPr>
          <w:p w14:paraId="75C33E2D">
            <w:pPr>
              <w:pStyle w:val="1405"/>
              <w:bidi w:val="0"/>
              <w:jc w:val="center"/>
              <w:rPr>
                <w:rFonts w:hint="eastAsia"/>
                <w:color w:val="auto"/>
                <w:highlight w:val="none"/>
                <w:lang w:val="en-US" w:eastAsia="zh-CN"/>
              </w:rPr>
            </w:pPr>
            <w:r>
              <w:rPr>
                <w:rFonts w:hint="default"/>
                <w:color w:val="auto"/>
                <w:highlight w:val="none"/>
                <w:lang w:val="en-US" w:eastAsia="zh-CN"/>
              </w:rPr>
              <w:t>0.0003</w:t>
            </w:r>
          </w:p>
        </w:tc>
        <w:tc>
          <w:tcPr>
            <w:tcW w:w="1214" w:type="dxa"/>
            <w:tcBorders>
              <w:tl2br w:val="nil"/>
              <w:tr2bl w:val="nil"/>
            </w:tcBorders>
            <w:shd w:val="clear" w:color="auto" w:fill="auto"/>
            <w:noWrap/>
            <w:vAlign w:val="center"/>
          </w:tcPr>
          <w:p w14:paraId="325455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0.2860</w:t>
            </w:r>
          </w:p>
        </w:tc>
        <w:tc>
          <w:tcPr>
            <w:tcW w:w="1215" w:type="dxa"/>
            <w:tcBorders>
              <w:tl2br w:val="nil"/>
              <w:tr2bl w:val="nil"/>
            </w:tcBorders>
            <w:shd w:val="clear" w:color="auto" w:fill="auto"/>
            <w:noWrap/>
            <w:vAlign w:val="center"/>
          </w:tcPr>
          <w:p w14:paraId="3BC51B00">
            <w:pPr>
              <w:pStyle w:val="1405"/>
              <w:bidi w:val="0"/>
              <w:jc w:val="center"/>
              <w:rPr>
                <w:rFonts w:hint="eastAsia"/>
                <w:color w:val="auto"/>
                <w:highlight w:val="none"/>
                <w:lang w:val="en-US" w:eastAsia="zh-CN"/>
              </w:rPr>
            </w:pPr>
            <w:r>
              <w:rPr>
                <w:rFonts w:hint="eastAsia"/>
                <w:color w:val="auto"/>
                <w:highlight w:val="none"/>
                <w:lang w:val="en-US" w:eastAsia="zh-CN"/>
              </w:rPr>
              <w:t>0.0043</w:t>
            </w:r>
          </w:p>
        </w:tc>
        <w:tc>
          <w:tcPr>
            <w:tcW w:w="1290" w:type="dxa"/>
            <w:vMerge w:val="continue"/>
            <w:tcBorders>
              <w:tl2br w:val="nil"/>
              <w:tr2bl w:val="nil"/>
            </w:tcBorders>
            <w:shd w:val="clear" w:color="auto" w:fill="auto"/>
            <w:noWrap/>
            <w:vAlign w:val="center"/>
          </w:tcPr>
          <w:p w14:paraId="1061954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5BAB3C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29D883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5A3B8A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0.0003</w:t>
            </w:r>
          </w:p>
        </w:tc>
        <w:tc>
          <w:tcPr>
            <w:tcW w:w="1110" w:type="dxa"/>
            <w:tcBorders>
              <w:tl2br w:val="nil"/>
              <w:tr2bl w:val="nil"/>
            </w:tcBorders>
            <w:shd w:val="clear" w:color="auto" w:fill="auto"/>
            <w:noWrap/>
            <w:vAlign w:val="center"/>
          </w:tcPr>
          <w:p w14:paraId="06E949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0.2860</w:t>
            </w:r>
          </w:p>
        </w:tc>
        <w:tc>
          <w:tcPr>
            <w:tcW w:w="1255" w:type="dxa"/>
            <w:tcBorders>
              <w:tl2br w:val="nil"/>
              <w:tr2bl w:val="nil"/>
            </w:tcBorders>
            <w:shd w:val="clear" w:color="auto" w:fill="auto"/>
            <w:noWrap/>
            <w:vAlign w:val="center"/>
          </w:tcPr>
          <w:p w14:paraId="11B43C9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0.0043</w:t>
            </w:r>
          </w:p>
        </w:tc>
        <w:tc>
          <w:tcPr>
            <w:tcW w:w="1307" w:type="dxa"/>
            <w:vMerge w:val="continue"/>
            <w:tcBorders>
              <w:tl2br w:val="nil"/>
              <w:tr2bl w:val="nil"/>
            </w:tcBorders>
            <w:shd w:val="clear" w:color="auto" w:fill="auto"/>
            <w:noWrap/>
            <w:vAlign w:val="center"/>
          </w:tcPr>
          <w:p w14:paraId="6A4C97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34E050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19E1C2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CDC8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480DF9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7AB80C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氮氧化物</w:t>
            </w:r>
          </w:p>
        </w:tc>
        <w:tc>
          <w:tcPr>
            <w:tcW w:w="982" w:type="dxa"/>
            <w:vMerge w:val="continue"/>
            <w:tcBorders>
              <w:tl2br w:val="nil"/>
              <w:tr2bl w:val="nil"/>
            </w:tcBorders>
            <w:shd w:val="clear" w:color="auto" w:fill="auto"/>
            <w:noWrap/>
            <w:vAlign w:val="center"/>
          </w:tcPr>
          <w:p w14:paraId="35928D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06697B00">
            <w:pPr>
              <w:pStyle w:val="1405"/>
              <w:bidi w:val="0"/>
              <w:jc w:val="center"/>
              <w:rPr>
                <w:rFonts w:hint="eastAsia"/>
                <w:color w:val="auto"/>
                <w:highlight w:val="none"/>
                <w:lang w:val="en-US" w:eastAsia="zh-CN"/>
              </w:rPr>
            </w:pPr>
            <w:r>
              <w:rPr>
                <w:rFonts w:hint="default"/>
                <w:color w:val="auto"/>
                <w:highlight w:val="none"/>
                <w:lang w:val="en-US" w:eastAsia="zh-CN"/>
              </w:rPr>
              <w:t>0.0020</w:t>
            </w:r>
          </w:p>
        </w:tc>
        <w:tc>
          <w:tcPr>
            <w:tcW w:w="1214" w:type="dxa"/>
            <w:tcBorders>
              <w:tl2br w:val="nil"/>
              <w:tr2bl w:val="nil"/>
            </w:tcBorders>
            <w:shd w:val="clear" w:color="auto" w:fill="auto"/>
            <w:noWrap/>
            <w:vAlign w:val="center"/>
          </w:tcPr>
          <w:p w14:paraId="0D94D2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1.8700</w:t>
            </w:r>
          </w:p>
        </w:tc>
        <w:tc>
          <w:tcPr>
            <w:tcW w:w="1215" w:type="dxa"/>
            <w:tcBorders>
              <w:tl2br w:val="nil"/>
              <w:tr2bl w:val="nil"/>
            </w:tcBorders>
            <w:shd w:val="clear" w:color="auto" w:fill="auto"/>
            <w:noWrap/>
            <w:vAlign w:val="center"/>
          </w:tcPr>
          <w:p w14:paraId="5BD95667">
            <w:pPr>
              <w:pStyle w:val="1405"/>
              <w:bidi w:val="0"/>
              <w:jc w:val="center"/>
              <w:rPr>
                <w:rFonts w:hint="eastAsia"/>
                <w:color w:val="auto"/>
                <w:highlight w:val="none"/>
                <w:lang w:val="en-US" w:eastAsia="zh-CN"/>
              </w:rPr>
            </w:pPr>
            <w:r>
              <w:rPr>
                <w:rFonts w:hint="eastAsia"/>
                <w:color w:val="auto"/>
                <w:highlight w:val="none"/>
                <w:lang w:val="en-US" w:eastAsia="zh-CN"/>
              </w:rPr>
              <w:t>0.0281</w:t>
            </w:r>
          </w:p>
        </w:tc>
        <w:tc>
          <w:tcPr>
            <w:tcW w:w="1290" w:type="dxa"/>
            <w:vMerge w:val="continue"/>
            <w:tcBorders>
              <w:tl2br w:val="nil"/>
              <w:tr2bl w:val="nil"/>
            </w:tcBorders>
            <w:shd w:val="clear" w:color="auto" w:fill="auto"/>
            <w:noWrap/>
            <w:vAlign w:val="center"/>
          </w:tcPr>
          <w:p w14:paraId="1DD258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955" w:type="dxa"/>
            <w:vMerge w:val="continue"/>
            <w:tcBorders>
              <w:tl2br w:val="nil"/>
              <w:tr2bl w:val="nil"/>
            </w:tcBorders>
            <w:shd w:val="clear" w:color="auto" w:fill="auto"/>
            <w:noWrap/>
            <w:vAlign w:val="center"/>
          </w:tcPr>
          <w:p w14:paraId="256600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30" w:type="dxa"/>
            <w:vMerge w:val="continue"/>
            <w:tcBorders>
              <w:tl2br w:val="nil"/>
              <w:tr2bl w:val="nil"/>
            </w:tcBorders>
            <w:shd w:val="clear" w:color="auto" w:fill="auto"/>
            <w:noWrap/>
            <w:vAlign w:val="center"/>
          </w:tcPr>
          <w:p w14:paraId="5F9A43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75" w:type="dxa"/>
            <w:tcBorders>
              <w:tl2br w:val="nil"/>
              <w:tr2bl w:val="nil"/>
            </w:tcBorders>
            <w:shd w:val="clear" w:color="auto" w:fill="auto"/>
            <w:noWrap/>
            <w:vAlign w:val="center"/>
          </w:tcPr>
          <w:p w14:paraId="542539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0.0020</w:t>
            </w:r>
          </w:p>
        </w:tc>
        <w:tc>
          <w:tcPr>
            <w:tcW w:w="1110" w:type="dxa"/>
            <w:tcBorders>
              <w:tl2br w:val="nil"/>
              <w:tr2bl w:val="nil"/>
            </w:tcBorders>
            <w:shd w:val="clear" w:color="auto" w:fill="auto"/>
            <w:noWrap/>
            <w:vAlign w:val="center"/>
          </w:tcPr>
          <w:p w14:paraId="6A1F2E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1.8700</w:t>
            </w:r>
          </w:p>
        </w:tc>
        <w:tc>
          <w:tcPr>
            <w:tcW w:w="1255" w:type="dxa"/>
            <w:tcBorders>
              <w:tl2br w:val="nil"/>
              <w:tr2bl w:val="nil"/>
            </w:tcBorders>
            <w:shd w:val="clear" w:color="auto" w:fill="auto"/>
            <w:noWrap/>
            <w:vAlign w:val="center"/>
          </w:tcPr>
          <w:p w14:paraId="4F67B6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0.0281</w:t>
            </w:r>
          </w:p>
        </w:tc>
        <w:tc>
          <w:tcPr>
            <w:tcW w:w="1307" w:type="dxa"/>
            <w:vMerge w:val="continue"/>
            <w:tcBorders>
              <w:tl2br w:val="nil"/>
              <w:tr2bl w:val="nil"/>
            </w:tcBorders>
            <w:shd w:val="clear" w:color="auto" w:fill="auto"/>
            <w:noWrap/>
            <w:vAlign w:val="center"/>
          </w:tcPr>
          <w:p w14:paraId="28956A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4E6E59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vMerge w:val="continue"/>
            <w:tcBorders>
              <w:tl2br w:val="nil"/>
              <w:tr2bl w:val="nil"/>
            </w:tcBorders>
            <w:shd w:val="clear" w:color="auto" w:fill="auto"/>
            <w:noWrap/>
            <w:vAlign w:val="center"/>
          </w:tcPr>
          <w:p w14:paraId="68A3FB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34081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restart"/>
            <w:tcBorders>
              <w:tl2br w:val="nil"/>
              <w:tr2bl w:val="nil"/>
            </w:tcBorders>
            <w:shd w:val="clear" w:color="auto" w:fill="auto"/>
            <w:noWrap/>
            <w:vAlign w:val="center"/>
          </w:tcPr>
          <w:p w14:paraId="415849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粉碎废气</w:t>
            </w:r>
          </w:p>
        </w:tc>
        <w:tc>
          <w:tcPr>
            <w:tcW w:w="2392" w:type="dxa"/>
            <w:tcBorders>
              <w:tl2br w:val="nil"/>
              <w:tr2bl w:val="nil"/>
            </w:tcBorders>
            <w:shd w:val="clear" w:color="auto" w:fill="auto"/>
            <w:noWrap/>
            <w:vAlign w:val="center"/>
          </w:tcPr>
          <w:p w14:paraId="5A4FB7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r>
              <w:rPr>
                <w:rFonts w:hint="eastAsia" w:cs="Times New Roman"/>
                <w:color w:val="auto"/>
                <w:kern w:val="0"/>
                <w:sz w:val="21"/>
                <w:szCs w:val="21"/>
                <w:highlight w:val="none"/>
                <w:lang w:val="en-US" w:eastAsia="zh-CN"/>
              </w:rPr>
              <w:t>（集气罩收集）</w:t>
            </w:r>
          </w:p>
        </w:tc>
        <w:tc>
          <w:tcPr>
            <w:tcW w:w="982" w:type="dxa"/>
            <w:vMerge w:val="restart"/>
            <w:tcBorders>
              <w:tl2br w:val="nil"/>
              <w:tr2bl w:val="nil"/>
            </w:tcBorders>
            <w:shd w:val="clear" w:color="auto" w:fill="auto"/>
            <w:noWrap/>
            <w:vAlign w:val="center"/>
          </w:tcPr>
          <w:p w14:paraId="378A75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无组织</w:t>
            </w:r>
          </w:p>
        </w:tc>
        <w:tc>
          <w:tcPr>
            <w:tcW w:w="1036" w:type="dxa"/>
            <w:tcBorders>
              <w:tl2br w:val="nil"/>
              <w:tr2bl w:val="nil"/>
            </w:tcBorders>
            <w:shd w:val="clear" w:color="auto" w:fill="auto"/>
            <w:noWrap/>
            <w:vAlign w:val="center"/>
          </w:tcPr>
          <w:p w14:paraId="199E20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0.0461</w:t>
            </w:r>
          </w:p>
        </w:tc>
        <w:tc>
          <w:tcPr>
            <w:tcW w:w="1214" w:type="dxa"/>
            <w:tcBorders>
              <w:tl2br w:val="nil"/>
              <w:tr2bl w:val="nil"/>
            </w:tcBorders>
            <w:shd w:val="clear" w:color="auto" w:fill="auto"/>
            <w:noWrap/>
            <w:vAlign w:val="center"/>
          </w:tcPr>
          <w:p w14:paraId="5B2715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153.6000</w:t>
            </w:r>
          </w:p>
        </w:tc>
        <w:tc>
          <w:tcPr>
            <w:tcW w:w="1215" w:type="dxa"/>
            <w:tcBorders>
              <w:tl2br w:val="nil"/>
              <w:tr2bl w:val="nil"/>
            </w:tcBorders>
            <w:shd w:val="clear" w:color="auto" w:fill="auto"/>
            <w:noWrap/>
            <w:vAlign w:val="center"/>
          </w:tcPr>
          <w:p w14:paraId="482C2F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0.1536</w:t>
            </w:r>
          </w:p>
        </w:tc>
        <w:tc>
          <w:tcPr>
            <w:tcW w:w="1290" w:type="dxa"/>
            <w:tcBorders>
              <w:tl2br w:val="nil"/>
              <w:tr2bl w:val="nil"/>
            </w:tcBorders>
            <w:shd w:val="clear" w:color="auto" w:fill="auto"/>
            <w:noWrap/>
            <w:vAlign w:val="center"/>
          </w:tcPr>
          <w:p w14:paraId="2E22FC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1000</w:t>
            </w:r>
          </w:p>
        </w:tc>
        <w:tc>
          <w:tcPr>
            <w:tcW w:w="2955" w:type="dxa"/>
            <w:tcBorders>
              <w:tl2br w:val="nil"/>
              <w:tr2bl w:val="nil"/>
            </w:tcBorders>
            <w:shd w:val="clear" w:color="auto" w:fill="auto"/>
            <w:noWrap/>
            <w:vAlign w:val="center"/>
          </w:tcPr>
          <w:p w14:paraId="65E292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袋式除尘</w:t>
            </w:r>
          </w:p>
        </w:tc>
        <w:tc>
          <w:tcPr>
            <w:tcW w:w="1230" w:type="dxa"/>
            <w:tcBorders>
              <w:tl2br w:val="nil"/>
              <w:tr2bl w:val="nil"/>
            </w:tcBorders>
            <w:shd w:val="clear" w:color="auto" w:fill="auto"/>
            <w:noWrap/>
            <w:vAlign w:val="center"/>
          </w:tcPr>
          <w:p w14:paraId="6BFC9D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95%</w:t>
            </w:r>
          </w:p>
        </w:tc>
        <w:tc>
          <w:tcPr>
            <w:tcW w:w="1275" w:type="dxa"/>
            <w:tcBorders>
              <w:tl2br w:val="nil"/>
              <w:tr2bl w:val="nil"/>
            </w:tcBorders>
            <w:shd w:val="clear" w:color="auto" w:fill="auto"/>
            <w:noWrap/>
            <w:vAlign w:val="center"/>
          </w:tcPr>
          <w:p w14:paraId="64E641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0.0138</w:t>
            </w:r>
          </w:p>
        </w:tc>
        <w:tc>
          <w:tcPr>
            <w:tcW w:w="1110" w:type="dxa"/>
            <w:tcBorders>
              <w:tl2br w:val="nil"/>
              <w:tr2bl w:val="nil"/>
            </w:tcBorders>
            <w:shd w:val="clear" w:color="auto" w:fill="auto"/>
            <w:noWrap/>
            <w:vAlign w:val="center"/>
          </w:tcPr>
          <w:p w14:paraId="01A20A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46.0800</w:t>
            </w:r>
          </w:p>
        </w:tc>
        <w:tc>
          <w:tcPr>
            <w:tcW w:w="1255" w:type="dxa"/>
            <w:tcBorders>
              <w:tl2br w:val="nil"/>
              <w:tr2bl w:val="nil"/>
            </w:tcBorders>
            <w:shd w:val="clear" w:color="auto" w:fill="auto"/>
            <w:noWrap/>
            <w:vAlign w:val="center"/>
          </w:tcPr>
          <w:p w14:paraId="27BE6E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0.0461</w:t>
            </w:r>
          </w:p>
        </w:tc>
        <w:tc>
          <w:tcPr>
            <w:tcW w:w="1307" w:type="dxa"/>
            <w:vMerge w:val="restart"/>
            <w:tcBorders>
              <w:tl2br w:val="nil"/>
              <w:tr2bl w:val="nil"/>
            </w:tcBorders>
            <w:shd w:val="clear" w:color="auto" w:fill="auto"/>
            <w:noWrap/>
            <w:vAlign w:val="center"/>
          </w:tcPr>
          <w:p w14:paraId="5BDA6A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300</w:t>
            </w:r>
          </w:p>
        </w:tc>
        <w:tc>
          <w:tcPr>
            <w:tcW w:w="1204" w:type="dxa"/>
            <w:tcBorders>
              <w:tl2br w:val="nil"/>
              <w:tr2bl w:val="nil"/>
            </w:tcBorders>
            <w:shd w:val="clear" w:color="auto" w:fill="auto"/>
            <w:noWrap/>
            <w:vAlign w:val="center"/>
          </w:tcPr>
          <w:p w14:paraId="6DB198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04" w:type="dxa"/>
            <w:tcBorders>
              <w:tl2br w:val="nil"/>
              <w:tr2bl w:val="nil"/>
            </w:tcBorders>
            <w:shd w:val="clear" w:color="auto" w:fill="auto"/>
            <w:noWrap/>
            <w:vAlign w:val="center"/>
          </w:tcPr>
          <w:p w14:paraId="197F38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30F00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5" w:type="dxa"/>
            <w:vMerge w:val="continue"/>
            <w:tcBorders>
              <w:tl2br w:val="nil"/>
              <w:tr2bl w:val="nil"/>
            </w:tcBorders>
            <w:shd w:val="clear" w:color="auto" w:fill="auto"/>
            <w:noWrap/>
            <w:vAlign w:val="center"/>
          </w:tcPr>
          <w:p w14:paraId="7C24AE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392" w:type="dxa"/>
            <w:tcBorders>
              <w:tl2br w:val="nil"/>
              <w:tr2bl w:val="nil"/>
            </w:tcBorders>
            <w:shd w:val="clear" w:color="auto" w:fill="auto"/>
            <w:noWrap/>
            <w:vAlign w:val="center"/>
          </w:tcPr>
          <w:p w14:paraId="1D01FE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颗粒物</w:t>
            </w:r>
            <w:r>
              <w:rPr>
                <w:rFonts w:hint="eastAsia" w:cs="Times New Roman"/>
                <w:color w:val="auto"/>
                <w:kern w:val="0"/>
                <w:sz w:val="21"/>
                <w:szCs w:val="21"/>
                <w:highlight w:val="none"/>
                <w:lang w:val="en-US" w:eastAsia="zh-CN"/>
              </w:rPr>
              <w:t>（未收集部分）</w:t>
            </w:r>
          </w:p>
        </w:tc>
        <w:tc>
          <w:tcPr>
            <w:tcW w:w="982" w:type="dxa"/>
            <w:vMerge w:val="continue"/>
            <w:tcBorders>
              <w:tl2br w:val="nil"/>
              <w:tr2bl w:val="nil"/>
            </w:tcBorders>
            <w:shd w:val="clear" w:color="auto" w:fill="auto"/>
            <w:noWrap/>
            <w:vAlign w:val="center"/>
          </w:tcPr>
          <w:p w14:paraId="66A362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036" w:type="dxa"/>
            <w:tcBorders>
              <w:tl2br w:val="nil"/>
              <w:tr2bl w:val="nil"/>
            </w:tcBorders>
            <w:shd w:val="clear" w:color="auto" w:fill="auto"/>
            <w:noWrap/>
            <w:vAlign w:val="center"/>
          </w:tcPr>
          <w:p w14:paraId="47F4E9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0.0115</w:t>
            </w:r>
          </w:p>
        </w:tc>
        <w:tc>
          <w:tcPr>
            <w:tcW w:w="1214" w:type="dxa"/>
            <w:tcBorders>
              <w:tl2br w:val="nil"/>
              <w:tr2bl w:val="nil"/>
            </w:tcBorders>
            <w:shd w:val="clear" w:color="auto" w:fill="auto"/>
            <w:noWrap/>
            <w:vAlign w:val="center"/>
          </w:tcPr>
          <w:p w14:paraId="4BBEF1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15" w:type="dxa"/>
            <w:tcBorders>
              <w:tl2br w:val="nil"/>
              <w:tr2bl w:val="nil"/>
            </w:tcBorders>
            <w:shd w:val="clear" w:color="auto" w:fill="auto"/>
            <w:noWrap/>
            <w:vAlign w:val="center"/>
          </w:tcPr>
          <w:p w14:paraId="4E55BC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0.0384</w:t>
            </w:r>
          </w:p>
        </w:tc>
        <w:tc>
          <w:tcPr>
            <w:tcW w:w="1290" w:type="dxa"/>
            <w:tcBorders>
              <w:tl2br w:val="nil"/>
              <w:tr2bl w:val="nil"/>
            </w:tcBorders>
            <w:shd w:val="clear" w:color="auto" w:fill="auto"/>
            <w:noWrap/>
            <w:vAlign w:val="center"/>
          </w:tcPr>
          <w:p w14:paraId="0D456B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2955" w:type="dxa"/>
            <w:tcBorders>
              <w:tl2br w:val="nil"/>
              <w:tr2bl w:val="nil"/>
            </w:tcBorders>
            <w:shd w:val="clear" w:color="auto" w:fill="auto"/>
            <w:noWrap/>
            <w:vAlign w:val="center"/>
          </w:tcPr>
          <w:p w14:paraId="697FDC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1230" w:type="dxa"/>
            <w:tcBorders>
              <w:tl2br w:val="nil"/>
              <w:tr2bl w:val="nil"/>
            </w:tcBorders>
            <w:shd w:val="clear" w:color="auto" w:fill="auto"/>
            <w:noWrap/>
            <w:vAlign w:val="center"/>
          </w:tcPr>
          <w:p w14:paraId="4216BC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1275" w:type="dxa"/>
            <w:tcBorders>
              <w:tl2br w:val="nil"/>
              <w:tr2bl w:val="nil"/>
            </w:tcBorders>
            <w:shd w:val="clear" w:color="auto" w:fill="auto"/>
            <w:noWrap/>
            <w:vAlign w:val="center"/>
          </w:tcPr>
          <w:p w14:paraId="006073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0.0115</w:t>
            </w:r>
          </w:p>
        </w:tc>
        <w:tc>
          <w:tcPr>
            <w:tcW w:w="1110" w:type="dxa"/>
            <w:tcBorders>
              <w:tl2br w:val="nil"/>
              <w:tr2bl w:val="nil"/>
            </w:tcBorders>
            <w:shd w:val="clear" w:color="auto" w:fill="auto"/>
            <w:noWrap/>
            <w:vAlign w:val="center"/>
          </w:tcPr>
          <w:p w14:paraId="54CA70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255" w:type="dxa"/>
            <w:tcBorders>
              <w:tl2br w:val="nil"/>
              <w:tr2bl w:val="nil"/>
            </w:tcBorders>
            <w:shd w:val="clear" w:color="auto" w:fill="auto"/>
            <w:noWrap/>
            <w:vAlign w:val="center"/>
          </w:tcPr>
          <w:p w14:paraId="4B1321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0.0384</w:t>
            </w:r>
          </w:p>
        </w:tc>
        <w:tc>
          <w:tcPr>
            <w:tcW w:w="1307" w:type="dxa"/>
            <w:vMerge w:val="continue"/>
            <w:tcBorders>
              <w:tl2br w:val="nil"/>
              <w:tr2bl w:val="nil"/>
            </w:tcBorders>
            <w:shd w:val="clear" w:color="auto" w:fill="auto"/>
            <w:noWrap/>
            <w:vAlign w:val="center"/>
          </w:tcPr>
          <w:p w14:paraId="5780F9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1204" w:type="dxa"/>
            <w:tcBorders>
              <w:tl2br w:val="nil"/>
              <w:tr2bl w:val="nil"/>
            </w:tcBorders>
            <w:shd w:val="clear" w:color="auto" w:fill="auto"/>
            <w:noWrap/>
            <w:vAlign w:val="center"/>
          </w:tcPr>
          <w:p w14:paraId="04BE9B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1204" w:type="dxa"/>
            <w:tcBorders>
              <w:tl2br w:val="nil"/>
              <w:tr2bl w:val="nil"/>
            </w:tcBorders>
            <w:shd w:val="clear" w:color="auto" w:fill="auto"/>
            <w:noWrap/>
            <w:vAlign w:val="center"/>
          </w:tcPr>
          <w:p w14:paraId="496178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r>
    </w:tbl>
    <w:p w14:paraId="30FBC615">
      <w:pPr>
        <w:pStyle w:val="8"/>
        <w:bidi w:val="0"/>
        <w:rPr>
          <w:rFonts w:hint="default" w:ascii="Times New Roman" w:hAnsi="Times New Roman" w:cs="Times New Roman"/>
          <w:color w:val="auto"/>
          <w:highlight w:val="none"/>
          <w:lang w:eastAsia="zh-CN"/>
        </w:rPr>
        <w:sectPr>
          <w:pgSz w:w="23811" w:h="16838"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0B9CA817">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5</w:t>
      </w:r>
      <w:r>
        <w:rPr>
          <w:rFonts w:hint="eastAsia"/>
          <w:color w:val="auto"/>
          <w:highlight w:val="none"/>
          <w:lang w:eastAsia="zh-CN"/>
        </w:rPr>
        <w:t>）</w:t>
      </w:r>
      <w:r>
        <w:rPr>
          <w:rFonts w:hint="eastAsia"/>
          <w:color w:val="auto"/>
          <w:highlight w:val="none"/>
        </w:rPr>
        <w:t>非正常工况</w:t>
      </w:r>
    </w:p>
    <w:p w14:paraId="00B2BDEE">
      <w:pPr>
        <w:pStyle w:val="1336"/>
        <w:ind w:firstLine="480"/>
        <w:rPr>
          <w:rFonts w:hint="eastAsia"/>
          <w:color w:val="auto"/>
          <w:highlight w:val="none"/>
        </w:rPr>
      </w:pPr>
      <w:r>
        <w:rPr>
          <w:rFonts w:hint="eastAsia"/>
          <w:color w:val="auto"/>
          <w:highlight w:val="none"/>
        </w:rPr>
        <w:t>①开、停车排放</w:t>
      </w:r>
    </w:p>
    <w:p w14:paraId="7E7C8C36">
      <w:pPr>
        <w:pStyle w:val="1336"/>
        <w:ind w:firstLine="480"/>
        <w:rPr>
          <w:rFonts w:hint="eastAsia"/>
          <w:color w:val="auto"/>
          <w:highlight w:val="none"/>
        </w:rPr>
      </w:pPr>
      <w:r>
        <w:rPr>
          <w:rFonts w:hint="eastAsia"/>
          <w:color w:val="auto"/>
          <w:highlight w:val="none"/>
        </w:rPr>
        <w:t>本项目各条生产线相互独立，且</w:t>
      </w:r>
      <w:r>
        <w:rPr>
          <w:rFonts w:hint="eastAsia"/>
          <w:color w:val="auto"/>
          <w:highlight w:val="none"/>
          <w:lang w:val="en-US" w:eastAsia="zh-CN"/>
        </w:rPr>
        <w:t>生产</w:t>
      </w:r>
      <w:r>
        <w:rPr>
          <w:rFonts w:hint="eastAsia"/>
          <w:color w:val="auto"/>
          <w:highlight w:val="none"/>
        </w:rPr>
        <w:t>线</w:t>
      </w:r>
      <w:r>
        <w:rPr>
          <w:rFonts w:hint="eastAsia"/>
          <w:color w:val="auto"/>
          <w:highlight w:val="none"/>
          <w:lang w:val="en-US" w:eastAsia="zh-CN"/>
        </w:rPr>
        <w:t>均</w:t>
      </w:r>
      <w:r>
        <w:rPr>
          <w:rFonts w:hint="eastAsia"/>
          <w:color w:val="auto"/>
          <w:highlight w:val="none"/>
        </w:rPr>
        <w:t>在密闭空间内进行，产生的废气逸散在密闭空间内，当废气处理设施启动时，产生的废气基本被收集到废气处理设施内进行处理，此时污染物排放量略大于正常情况下的排放量，该非正常工况下排放时间短，随着时间的推移，排放量很快就会趋于正常排放。</w:t>
      </w:r>
    </w:p>
    <w:p w14:paraId="60742161">
      <w:pPr>
        <w:pStyle w:val="1336"/>
        <w:ind w:firstLine="480"/>
        <w:rPr>
          <w:rFonts w:hint="eastAsia"/>
          <w:color w:val="auto"/>
          <w:highlight w:val="none"/>
        </w:rPr>
      </w:pPr>
      <w:r>
        <w:rPr>
          <w:rFonts w:hint="eastAsia"/>
          <w:color w:val="auto"/>
          <w:highlight w:val="none"/>
        </w:rPr>
        <w:t>②集气措施故障</w:t>
      </w:r>
    </w:p>
    <w:p w14:paraId="037CAE5A">
      <w:pPr>
        <w:pStyle w:val="1336"/>
        <w:ind w:firstLine="480"/>
        <w:rPr>
          <w:rFonts w:hint="eastAsia"/>
          <w:color w:val="auto"/>
          <w:highlight w:val="none"/>
        </w:rPr>
      </w:pPr>
      <w:r>
        <w:rPr>
          <w:rFonts w:hint="eastAsia"/>
          <w:color w:val="auto"/>
          <w:highlight w:val="none"/>
        </w:rPr>
        <w:t>集气措施失效</w:t>
      </w:r>
      <w:r>
        <w:rPr>
          <w:rFonts w:hint="eastAsia"/>
          <w:color w:val="auto"/>
          <w:highlight w:val="none"/>
          <w:lang w:eastAsia="zh-CN"/>
        </w:rPr>
        <w:t>（</w:t>
      </w:r>
      <w:r>
        <w:rPr>
          <w:rFonts w:hint="eastAsia"/>
          <w:color w:val="auto"/>
          <w:highlight w:val="none"/>
        </w:rPr>
        <w:t>如风机老旧损坏，无法正常集气</w:t>
      </w:r>
      <w:r>
        <w:rPr>
          <w:rFonts w:hint="eastAsia"/>
          <w:color w:val="auto"/>
          <w:highlight w:val="none"/>
          <w:lang w:eastAsia="zh-CN"/>
        </w:rPr>
        <w:t>），</w:t>
      </w:r>
      <w:r>
        <w:rPr>
          <w:rFonts w:hint="eastAsia"/>
          <w:color w:val="auto"/>
          <w:highlight w:val="none"/>
        </w:rPr>
        <w:t>废气未经收集，呈无组织排放。但由于项目生产线在密闭空间内进行，集气措施失效时废气逸散在密闭空间内，基本不会造成无组织非正常排放。</w:t>
      </w:r>
    </w:p>
    <w:p w14:paraId="7648D854">
      <w:pPr>
        <w:pStyle w:val="1336"/>
        <w:ind w:firstLine="480"/>
        <w:rPr>
          <w:rFonts w:hint="eastAsia"/>
          <w:color w:val="auto"/>
          <w:highlight w:val="none"/>
        </w:rPr>
      </w:pPr>
      <w:r>
        <w:rPr>
          <w:rFonts w:hint="eastAsia"/>
          <w:color w:val="auto"/>
          <w:highlight w:val="none"/>
        </w:rPr>
        <w:t>③废气治理设施故障</w:t>
      </w:r>
    </w:p>
    <w:p w14:paraId="064678F2">
      <w:pPr>
        <w:pStyle w:val="1336"/>
        <w:ind w:firstLine="480"/>
        <w:rPr>
          <w:rFonts w:hint="eastAsia"/>
          <w:color w:val="auto"/>
          <w:highlight w:val="none"/>
        </w:rPr>
      </w:pPr>
      <w:r>
        <w:rPr>
          <w:rFonts w:hint="eastAsia"/>
          <w:color w:val="auto"/>
          <w:highlight w:val="none"/>
        </w:rPr>
        <w:t>当废气处理设施发生故障，不能正常工作时，项目废气会对周围环境产生一定影响，因此需加强管理废气处理设施的维护运行，出现非正常工况时，及时停产检修。</w:t>
      </w:r>
    </w:p>
    <w:p w14:paraId="2F425F80">
      <w:pPr>
        <w:pStyle w:val="1336"/>
        <w:ind w:firstLine="480"/>
        <w:rPr>
          <w:rFonts w:hint="eastAsia"/>
          <w:color w:val="auto"/>
          <w:highlight w:val="none"/>
        </w:rPr>
      </w:pPr>
      <w:r>
        <w:rPr>
          <w:rFonts w:hint="eastAsia"/>
          <w:color w:val="auto"/>
          <w:highlight w:val="none"/>
        </w:rPr>
        <w:t>本次评价非正常工况考虑最不利因素，即废气处理设施发生故障，</w:t>
      </w:r>
      <w:r>
        <w:rPr>
          <w:rFonts w:hint="eastAsia"/>
          <w:color w:val="auto"/>
          <w:kern w:val="0"/>
          <w:sz w:val="24"/>
          <w:highlight w:val="none"/>
          <w:lang w:eastAsia="zh-CN" w:bidi="ar"/>
        </w:rPr>
        <w:t>废气</w:t>
      </w:r>
      <w:r>
        <w:rPr>
          <w:color w:val="auto"/>
          <w:kern w:val="0"/>
          <w:sz w:val="24"/>
          <w:highlight w:val="none"/>
          <w:lang w:bidi="ar"/>
        </w:rPr>
        <w:t>未经处理就直接排放的情景</w:t>
      </w:r>
      <w:r>
        <w:rPr>
          <w:rFonts w:hint="eastAsia"/>
          <w:color w:val="auto"/>
          <w:kern w:val="0"/>
          <w:sz w:val="24"/>
          <w:highlight w:val="none"/>
          <w:lang w:eastAsia="zh-CN" w:bidi="ar"/>
        </w:rPr>
        <w:t>，</w:t>
      </w:r>
      <w:r>
        <w:rPr>
          <w:rFonts w:hint="eastAsia"/>
          <w:color w:val="auto"/>
          <w:highlight w:val="none"/>
        </w:rPr>
        <w:t>具体分析如下：</w:t>
      </w:r>
    </w:p>
    <w:p w14:paraId="3BA2DBBF">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 xml:space="preserve">  项目废气污染物非正常排放核算表</w:t>
      </w:r>
    </w:p>
    <w:tbl>
      <w:tblPr>
        <w:tblStyle w:val="80"/>
        <w:tblW w:w="8755"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59"/>
        <w:gridCol w:w="870"/>
        <w:gridCol w:w="2317"/>
        <w:gridCol w:w="1240"/>
        <w:gridCol w:w="1105"/>
        <w:gridCol w:w="870"/>
        <w:gridCol w:w="789"/>
        <w:gridCol w:w="705"/>
      </w:tblGrid>
      <w:tr w14:paraId="4535F4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tcBorders>
              <w:tl2br w:val="nil"/>
              <w:tr2bl w:val="nil"/>
            </w:tcBorders>
            <w:shd w:val="clear" w:color="auto" w:fill="auto"/>
            <w:vAlign w:val="center"/>
          </w:tcPr>
          <w:p w14:paraId="5851B0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工序</w:t>
            </w:r>
          </w:p>
        </w:tc>
        <w:tc>
          <w:tcPr>
            <w:tcW w:w="909" w:type="dxa"/>
            <w:tcBorders>
              <w:tl2br w:val="nil"/>
              <w:tr2bl w:val="nil"/>
            </w:tcBorders>
            <w:shd w:val="clear" w:color="auto" w:fill="auto"/>
            <w:vAlign w:val="center"/>
          </w:tcPr>
          <w:p w14:paraId="0AAADA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非正常排放原因</w:t>
            </w:r>
          </w:p>
        </w:tc>
        <w:tc>
          <w:tcPr>
            <w:tcW w:w="2162" w:type="dxa"/>
            <w:tcBorders>
              <w:tl2br w:val="nil"/>
              <w:tr2bl w:val="nil"/>
            </w:tcBorders>
            <w:shd w:val="clear" w:color="auto" w:fill="auto"/>
            <w:vAlign w:val="center"/>
          </w:tcPr>
          <w:p w14:paraId="685471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污染物</w:t>
            </w:r>
          </w:p>
        </w:tc>
        <w:tc>
          <w:tcPr>
            <w:tcW w:w="1240" w:type="dxa"/>
            <w:tcBorders>
              <w:tl2br w:val="nil"/>
              <w:tr2bl w:val="nil"/>
            </w:tcBorders>
            <w:shd w:val="clear" w:color="auto" w:fill="auto"/>
            <w:vAlign w:val="center"/>
          </w:tcPr>
          <w:p w14:paraId="4D8B39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非正常排放浓度</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mg/m</w:t>
            </w:r>
            <w:r>
              <w:rPr>
                <w:rFonts w:hint="default" w:ascii="Times New Roman" w:hAnsi="Times New Roman" w:eastAsia="宋体" w:cs="Times New Roman"/>
                <w:color w:val="auto"/>
                <w:kern w:val="0"/>
                <w:sz w:val="21"/>
                <w:szCs w:val="21"/>
                <w:highlight w:val="none"/>
                <w:vertAlign w:val="superscript"/>
                <w:lang w:val="en-US" w:eastAsia="zh-CN"/>
              </w:rPr>
              <w:t>3</w:t>
            </w:r>
            <w:r>
              <w:rPr>
                <w:rFonts w:hint="eastAsia" w:ascii="Times New Roman" w:hAnsi="Times New Roman" w:eastAsia="宋体" w:cs="Times New Roman"/>
                <w:color w:val="auto"/>
                <w:kern w:val="0"/>
                <w:sz w:val="21"/>
                <w:szCs w:val="21"/>
                <w:highlight w:val="none"/>
                <w:lang w:val="en-US" w:eastAsia="zh-CN"/>
              </w:rPr>
              <w:t>）</w:t>
            </w:r>
          </w:p>
        </w:tc>
        <w:tc>
          <w:tcPr>
            <w:tcW w:w="1106" w:type="dxa"/>
            <w:tcBorders>
              <w:tl2br w:val="nil"/>
              <w:tr2bl w:val="nil"/>
            </w:tcBorders>
            <w:shd w:val="clear" w:color="auto" w:fill="auto"/>
            <w:vAlign w:val="center"/>
          </w:tcPr>
          <w:p w14:paraId="31E421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非正常排放速率</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kg/h</w:t>
            </w:r>
            <w:r>
              <w:rPr>
                <w:rFonts w:hint="eastAsia" w:ascii="Times New Roman" w:hAnsi="Times New Roman" w:eastAsia="宋体" w:cs="Times New Roman"/>
                <w:color w:val="auto"/>
                <w:kern w:val="0"/>
                <w:sz w:val="21"/>
                <w:szCs w:val="21"/>
                <w:highlight w:val="none"/>
                <w:lang w:val="en-US" w:eastAsia="zh-CN"/>
              </w:rPr>
              <w:t>）</w:t>
            </w:r>
          </w:p>
        </w:tc>
        <w:tc>
          <w:tcPr>
            <w:tcW w:w="909" w:type="dxa"/>
            <w:tcBorders>
              <w:tl2br w:val="nil"/>
              <w:tr2bl w:val="nil"/>
            </w:tcBorders>
            <w:shd w:val="clear" w:color="auto" w:fill="auto"/>
            <w:vAlign w:val="center"/>
          </w:tcPr>
          <w:p w14:paraId="1276A9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单次持续时间</w:t>
            </w:r>
            <w:r>
              <w:rPr>
                <w:rFonts w:hint="default" w:ascii="Times New Roman" w:hAnsi="Times New Roman" w:eastAsia="宋体" w:cs="Times New Roman"/>
                <w:color w:val="auto"/>
                <w:kern w:val="0"/>
                <w:sz w:val="21"/>
                <w:szCs w:val="21"/>
                <w:highlight w:val="none"/>
                <w:lang w:val="en-US" w:eastAsia="zh-CN"/>
              </w:rPr>
              <w:t>/h</w:t>
            </w:r>
          </w:p>
        </w:tc>
        <w:tc>
          <w:tcPr>
            <w:tcW w:w="821" w:type="dxa"/>
            <w:tcBorders>
              <w:tl2br w:val="nil"/>
              <w:tr2bl w:val="nil"/>
            </w:tcBorders>
            <w:shd w:val="clear" w:color="auto" w:fill="auto"/>
            <w:vAlign w:val="center"/>
          </w:tcPr>
          <w:p w14:paraId="64646D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年发生频次</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次</w:t>
            </w:r>
          </w:p>
        </w:tc>
        <w:tc>
          <w:tcPr>
            <w:tcW w:w="729" w:type="dxa"/>
            <w:tcBorders>
              <w:tl2br w:val="nil"/>
              <w:tr2bl w:val="nil"/>
            </w:tcBorders>
            <w:shd w:val="clear" w:color="auto" w:fill="auto"/>
            <w:vAlign w:val="center"/>
          </w:tcPr>
          <w:p w14:paraId="05C0A4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应对措施</w:t>
            </w:r>
          </w:p>
        </w:tc>
      </w:tr>
      <w:tr w14:paraId="51829F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restart"/>
            <w:tcBorders>
              <w:tl2br w:val="nil"/>
              <w:tr2bl w:val="nil"/>
            </w:tcBorders>
            <w:shd w:val="clear" w:color="auto" w:fill="auto"/>
            <w:vAlign w:val="center"/>
          </w:tcPr>
          <w:p w14:paraId="0C71EF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调漆</w:t>
            </w:r>
          </w:p>
        </w:tc>
        <w:tc>
          <w:tcPr>
            <w:tcW w:w="909" w:type="dxa"/>
            <w:vMerge w:val="restart"/>
            <w:tcBorders>
              <w:tl2br w:val="nil"/>
              <w:tr2bl w:val="nil"/>
            </w:tcBorders>
            <w:shd w:val="clear" w:color="auto" w:fill="auto"/>
            <w:vAlign w:val="center"/>
          </w:tcPr>
          <w:p w14:paraId="550F39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废气处理设施发生故障</w:t>
            </w:r>
          </w:p>
        </w:tc>
        <w:tc>
          <w:tcPr>
            <w:tcW w:w="0" w:type="auto"/>
            <w:tcBorders>
              <w:tl2br w:val="nil"/>
              <w:tr2bl w:val="nil"/>
            </w:tcBorders>
            <w:shd w:val="clear" w:color="auto" w:fill="auto"/>
            <w:noWrap/>
            <w:vAlign w:val="center"/>
          </w:tcPr>
          <w:p w14:paraId="3AF3D8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1240" w:type="dxa"/>
            <w:tcBorders>
              <w:tl2br w:val="nil"/>
              <w:tr2bl w:val="nil"/>
            </w:tcBorders>
            <w:shd w:val="clear" w:color="auto" w:fill="auto"/>
            <w:vAlign w:val="center"/>
          </w:tcPr>
          <w:p w14:paraId="3E73488E">
            <w:pPr>
              <w:pStyle w:val="1405"/>
              <w:bidi w:val="0"/>
              <w:jc w:val="center"/>
              <w:rPr>
                <w:rFonts w:hint="default"/>
                <w:color w:val="auto"/>
                <w:highlight w:val="none"/>
                <w:lang w:val="en-US" w:eastAsia="zh-CN"/>
              </w:rPr>
            </w:pPr>
            <w:r>
              <w:rPr>
                <w:rFonts w:hint="default"/>
                <w:color w:val="auto"/>
                <w:highlight w:val="none"/>
                <w:lang w:val="en-US" w:eastAsia="zh-CN"/>
              </w:rPr>
              <w:t>11.7705</w:t>
            </w:r>
          </w:p>
        </w:tc>
        <w:tc>
          <w:tcPr>
            <w:tcW w:w="1106" w:type="dxa"/>
            <w:tcBorders>
              <w:tl2br w:val="nil"/>
              <w:tr2bl w:val="nil"/>
            </w:tcBorders>
            <w:shd w:val="clear" w:color="auto" w:fill="auto"/>
            <w:vAlign w:val="center"/>
          </w:tcPr>
          <w:p w14:paraId="5C01E827">
            <w:pPr>
              <w:pStyle w:val="1405"/>
              <w:bidi w:val="0"/>
              <w:jc w:val="center"/>
              <w:rPr>
                <w:rFonts w:hint="default"/>
                <w:color w:val="auto"/>
                <w:highlight w:val="none"/>
                <w:lang w:val="en-US" w:eastAsia="zh-CN"/>
              </w:rPr>
            </w:pPr>
            <w:r>
              <w:rPr>
                <w:rFonts w:hint="default"/>
                <w:color w:val="auto"/>
                <w:highlight w:val="none"/>
                <w:lang w:val="en-US" w:eastAsia="zh-CN"/>
              </w:rPr>
              <w:t>0.0706</w:t>
            </w:r>
          </w:p>
        </w:tc>
        <w:tc>
          <w:tcPr>
            <w:tcW w:w="909" w:type="dxa"/>
            <w:tcBorders>
              <w:tl2br w:val="nil"/>
              <w:tr2bl w:val="nil"/>
            </w:tcBorders>
            <w:shd w:val="clear" w:color="auto" w:fill="auto"/>
            <w:vAlign w:val="center"/>
          </w:tcPr>
          <w:p w14:paraId="39B07B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677E30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restart"/>
            <w:tcBorders>
              <w:tl2br w:val="nil"/>
              <w:tr2bl w:val="nil"/>
            </w:tcBorders>
            <w:shd w:val="clear" w:color="auto" w:fill="auto"/>
            <w:vAlign w:val="center"/>
          </w:tcPr>
          <w:p w14:paraId="189284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立即停止作业</w:t>
            </w:r>
          </w:p>
        </w:tc>
      </w:tr>
      <w:tr w14:paraId="05CD00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7C1396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3BA4CF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73CAC2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1240" w:type="dxa"/>
            <w:tcBorders>
              <w:tl2br w:val="nil"/>
              <w:tr2bl w:val="nil"/>
            </w:tcBorders>
            <w:shd w:val="clear" w:color="auto" w:fill="auto"/>
            <w:vAlign w:val="center"/>
          </w:tcPr>
          <w:p w14:paraId="25FE56E5">
            <w:pPr>
              <w:pStyle w:val="1405"/>
              <w:bidi w:val="0"/>
              <w:jc w:val="center"/>
              <w:rPr>
                <w:rFonts w:hint="default"/>
                <w:color w:val="auto"/>
                <w:highlight w:val="none"/>
                <w:lang w:val="en-US" w:eastAsia="zh-CN"/>
              </w:rPr>
            </w:pPr>
            <w:r>
              <w:rPr>
                <w:rFonts w:hint="default"/>
                <w:color w:val="auto"/>
                <w:highlight w:val="none"/>
                <w:lang w:val="en-US" w:eastAsia="zh-CN"/>
              </w:rPr>
              <w:t>20.4604</w:t>
            </w:r>
          </w:p>
        </w:tc>
        <w:tc>
          <w:tcPr>
            <w:tcW w:w="1106" w:type="dxa"/>
            <w:tcBorders>
              <w:tl2br w:val="nil"/>
              <w:tr2bl w:val="nil"/>
            </w:tcBorders>
            <w:shd w:val="clear" w:color="auto" w:fill="auto"/>
            <w:vAlign w:val="center"/>
          </w:tcPr>
          <w:p w14:paraId="5A933F3A">
            <w:pPr>
              <w:pStyle w:val="1405"/>
              <w:bidi w:val="0"/>
              <w:jc w:val="center"/>
              <w:rPr>
                <w:rFonts w:hint="default"/>
                <w:color w:val="auto"/>
                <w:highlight w:val="none"/>
                <w:lang w:val="en-US" w:eastAsia="zh-CN"/>
              </w:rPr>
            </w:pPr>
            <w:r>
              <w:rPr>
                <w:rFonts w:hint="default"/>
                <w:color w:val="auto"/>
                <w:highlight w:val="none"/>
                <w:lang w:val="en-US" w:eastAsia="zh-CN"/>
              </w:rPr>
              <w:t>0.1228</w:t>
            </w:r>
          </w:p>
        </w:tc>
        <w:tc>
          <w:tcPr>
            <w:tcW w:w="909" w:type="dxa"/>
            <w:tcBorders>
              <w:tl2br w:val="nil"/>
              <w:tr2bl w:val="nil"/>
            </w:tcBorders>
            <w:shd w:val="clear" w:color="auto" w:fill="auto"/>
            <w:vAlign w:val="center"/>
          </w:tcPr>
          <w:p w14:paraId="135757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4AA51F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4E676E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71EAA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31C5CB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49FB78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6DE925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1240" w:type="dxa"/>
            <w:tcBorders>
              <w:tl2br w:val="nil"/>
              <w:tr2bl w:val="nil"/>
            </w:tcBorders>
            <w:shd w:val="clear" w:color="auto" w:fill="auto"/>
            <w:vAlign w:val="center"/>
          </w:tcPr>
          <w:p w14:paraId="02132FA7">
            <w:pPr>
              <w:pStyle w:val="1405"/>
              <w:bidi w:val="0"/>
              <w:jc w:val="center"/>
              <w:rPr>
                <w:rFonts w:hint="default"/>
                <w:color w:val="auto"/>
                <w:highlight w:val="none"/>
                <w:lang w:val="en-US" w:eastAsia="zh-CN"/>
              </w:rPr>
            </w:pPr>
            <w:r>
              <w:rPr>
                <w:rFonts w:hint="default"/>
                <w:color w:val="auto"/>
                <w:highlight w:val="none"/>
                <w:lang w:val="en-US" w:eastAsia="zh-CN"/>
              </w:rPr>
              <w:t>28.3707</w:t>
            </w:r>
          </w:p>
        </w:tc>
        <w:tc>
          <w:tcPr>
            <w:tcW w:w="1106" w:type="dxa"/>
            <w:tcBorders>
              <w:tl2br w:val="nil"/>
              <w:tr2bl w:val="nil"/>
            </w:tcBorders>
            <w:shd w:val="clear" w:color="auto" w:fill="auto"/>
            <w:vAlign w:val="center"/>
          </w:tcPr>
          <w:p w14:paraId="1F422D8B">
            <w:pPr>
              <w:pStyle w:val="1405"/>
              <w:bidi w:val="0"/>
              <w:jc w:val="center"/>
              <w:rPr>
                <w:rFonts w:hint="default"/>
                <w:color w:val="auto"/>
                <w:highlight w:val="none"/>
                <w:lang w:val="en-US" w:eastAsia="zh-CN"/>
              </w:rPr>
            </w:pPr>
            <w:r>
              <w:rPr>
                <w:rFonts w:hint="default"/>
                <w:color w:val="auto"/>
                <w:highlight w:val="none"/>
                <w:lang w:val="en-US" w:eastAsia="zh-CN"/>
              </w:rPr>
              <w:t>0.1702</w:t>
            </w:r>
          </w:p>
        </w:tc>
        <w:tc>
          <w:tcPr>
            <w:tcW w:w="909" w:type="dxa"/>
            <w:tcBorders>
              <w:tl2br w:val="nil"/>
              <w:tr2bl w:val="nil"/>
            </w:tcBorders>
            <w:shd w:val="clear" w:color="auto" w:fill="auto"/>
            <w:vAlign w:val="center"/>
          </w:tcPr>
          <w:p w14:paraId="70628B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33439A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5C274F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70A790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restart"/>
            <w:tcBorders>
              <w:tl2br w:val="nil"/>
              <w:tr2bl w:val="nil"/>
            </w:tcBorders>
            <w:shd w:val="clear" w:color="auto" w:fill="auto"/>
            <w:vAlign w:val="center"/>
          </w:tcPr>
          <w:p w14:paraId="60304D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喷漆、流平、烘干、清洗</w:t>
            </w:r>
          </w:p>
        </w:tc>
        <w:tc>
          <w:tcPr>
            <w:tcW w:w="909" w:type="dxa"/>
            <w:vMerge w:val="continue"/>
            <w:tcBorders>
              <w:tl2br w:val="nil"/>
              <w:tr2bl w:val="nil"/>
            </w:tcBorders>
            <w:shd w:val="clear" w:color="auto" w:fill="auto"/>
            <w:vAlign w:val="center"/>
          </w:tcPr>
          <w:p w14:paraId="420723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16A124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1240" w:type="dxa"/>
            <w:tcBorders>
              <w:tl2br w:val="nil"/>
              <w:tr2bl w:val="nil"/>
            </w:tcBorders>
            <w:shd w:val="clear" w:color="auto" w:fill="auto"/>
            <w:vAlign w:val="center"/>
          </w:tcPr>
          <w:p w14:paraId="503C820E">
            <w:pPr>
              <w:pStyle w:val="1405"/>
              <w:bidi w:val="0"/>
              <w:jc w:val="center"/>
              <w:rPr>
                <w:rFonts w:hint="default"/>
                <w:color w:val="auto"/>
                <w:highlight w:val="none"/>
                <w:lang w:val="en-US" w:eastAsia="zh-CN"/>
              </w:rPr>
            </w:pPr>
            <w:r>
              <w:rPr>
                <w:rFonts w:hint="default"/>
                <w:color w:val="auto"/>
                <w:highlight w:val="none"/>
                <w:lang w:val="en-US" w:eastAsia="zh-CN"/>
              </w:rPr>
              <w:t>98.2727</w:t>
            </w:r>
          </w:p>
        </w:tc>
        <w:tc>
          <w:tcPr>
            <w:tcW w:w="1106" w:type="dxa"/>
            <w:tcBorders>
              <w:tl2br w:val="nil"/>
              <w:tr2bl w:val="nil"/>
            </w:tcBorders>
            <w:shd w:val="clear" w:color="auto" w:fill="auto"/>
            <w:vAlign w:val="center"/>
          </w:tcPr>
          <w:p w14:paraId="7878AA9E">
            <w:pPr>
              <w:pStyle w:val="1405"/>
              <w:bidi w:val="0"/>
              <w:jc w:val="center"/>
              <w:rPr>
                <w:rFonts w:hint="default"/>
                <w:color w:val="auto"/>
                <w:highlight w:val="none"/>
                <w:lang w:val="en-US" w:eastAsia="zh-CN"/>
              </w:rPr>
            </w:pPr>
            <w:r>
              <w:rPr>
                <w:rFonts w:hint="default"/>
                <w:color w:val="auto"/>
                <w:highlight w:val="none"/>
                <w:lang w:val="en-US" w:eastAsia="zh-CN"/>
              </w:rPr>
              <w:t>2.4568</w:t>
            </w:r>
          </w:p>
        </w:tc>
        <w:tc>
          <w:tcPr>
            <w:tcW w:w="909" w:type="dxa"/>
            <w:tcBorders>
              <w:tl2br w:val="nil"/>
              <w:tr2bl w:val="nil"/>
            </w:tcBorders>
            <w:shd w:val="clear" w:color="auto" w:fill="auto"/>
            <w:vAlign w:val="center"/>
          </w:tcPr>
          <w:p w14:paraId="6CCB9A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630107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1EB883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84F12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368B6C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499804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11F315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1240" w:type="dxa"/>
            <w:tcBorders>
              <w:tl2br w:val="nil"/>
              <w:tr2bl w:val="nil"/>
            </w:tcBorders>
            <w:shd w:val="clear" w:color="auto" w:fill="auto"/>
            <w:vAlign w:val="center"/>
          </w:tcPr>
          <w:p w14:paraId="3710C7B5">
            <w:pPr>
              <w:pStyle w:val="1405"/>
              <w:bidi w:val="0"/>
              <w:jc w:val="center"/>
              <w:rPr>
                <w:rFonts w:hint="default"/>
                <w:color w:val="auto"/>
                <w:highlight w:val="none"/>
                <w:lang w:val="en-US" w:eastAsia="zh-CN"/>
              </w:rPr>
            </w:pPr>
            <w:r>
              <w:rPr>
                <w:rFonts w:hint="default"/>
                <w:color w:val="auto"/>
                <w:highlight w:val="none"/>
                <w:lang w:val="en-US" w:eastAsia="zh-CN"/>
              </w:rPr>
              <w:t>72.3715</w:t>
            </w:r>
          </w:p>
        </w:tc>
        <w:tc>
          <w:tcPr>
            <w:tcW w:w="1106" w:type="dxa"/>
            <w:tcBorders>
              <w:tl2br w:val="nil"/>
              <w:tr2bl w:val="nil"/>
            </w:tcBorders>
            <w:shd w:val="clear" w:color="auto" w:fill="auto"/>
            <w:vAlign w:val="center"/>
          </w:tcPr>
          <w:p w14:paraId="35277FD3">
            <w:pPr>
              <w:pStyle w:val="1405"/>
              <w:bidi w:val="0"/>
              <w:jc w:val="center"/>
              <w:rPr>
                <w:rFonts w:hint="default"/>
                <w:color w:val="auto"/>
                <w:highlight w:val="none"/>
                <w:lang w:val="en-US" w:eastAsia="zh-CN"/>
              </w:rPr>
            </w:pPr>
            <w:r>
              <w:rPr>
                <w:rFonts w:hint="default"/>
                <w:color w:val="auto"/>
                <w:highlight w:val="none"/>
                <w:lang w:val="en-US" w:eastAsia="zh-CN"/>
              </w:rPr>
              <w:t>1.8093</w:t>
            </w:r>
          </w:p>
        </w:tc>
        <w:tc>
          <w:tcPr>
            <w:tcW w:w="909" w:type="dxa"/>
            <w:tcBorders>
              <w:tl2br w:val="nil"/>
              <w:tr2bl w:val="nil"/>
            </w:tcBorders>
            <w:shd w:val="clear" w:color="auto" w:fill="auto"/>
            <w:vAlign w:val="center"/>
          </w:tcPr>
          <w:p w14:paraId="537FC6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099C48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267C20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DECC0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7132C4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020F7A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36DC60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1240" w:type="dxa"/>
            <w:tcBorders>
              <w:tl2br w:val="nil"/>
              <w:tr2bl w:val="nil"/>
            </w:tcBorders>
            <w:shd w:val="clear" w:color="auto" w:fill="auto"/>
            <w:vAlign w:val="center"/>
          </w:tcPr>
          <w:p w14:paraId="6A34432C">
            <w:pPr>
              <w:pStyle w:val="1405"/>
              <w:bidi w:val="0"/>
              <w:jc w:val="center"/>
              <w:rPr>
                <w:rFonts w:hint="default"/>
                <w:color w:val="auto"/>
                <w:highlight w:val="none"/>
                <w:lang w:val="en-US" w:eastAsia="zh-CN"/>
              </w:rPr>
            </w:pPr>
            <w:r>
              <w:rPr>
                <w:rFonts w:hint="default"/>
                <w:color w:val="auto"/>
                <w:highlight w:val="none"/>
                <w:lang w:val="en-US" w:eastAsia="zh-CN"/>
              </w:rPr>
              <w:t>106.1437</w:t>
            </w:r>
          </w:p>
        </w:tc>
        <w:tc>
          <w:tcPr>
            <w:tcW w:w="1106" w:type="dxa"/>
            <w:tcBorders>
              <w:tl2br w:val="nil"/>
              <w:tr2bl w:val="nil"/>
            </w:tcBorders>
            <w:shd w:val="clear" w:color="auto" w:fill="auto"/>
            <w:vAlign w:val="center"/>
          </w:tcPr>
          <w:p w14:paraId="7F7BE88E">
            <w:pPr>
              <w:pStyle w:val="1405"/>
              <w:bidi w:val="0"/>
              <w:jc w:val="center"/>
              <w:rPr>
                <w:rFonts w:hint="default"/>
                <w:color w:val="auto"/>
                <w:highlight w:val="none"/>
                <w:lang w:val="en-US" w:eastAsia="zh-CN"/>
              </w:rPr>
            </w:pPr>
            <w:r>
              <w:rPr>
                <w:rFonts w:hint="default"/>
                <w:color w:val="auto"/>
                <w:highlight w:val="none"/>
                <w:lang w:val="en-US" w:eastAsia="zh-CN"/>
              </w:rPr>
              <w:t>2.6536</w:t>
            </w:r>
          </w:p>
        </w:tc>
        <w:tc>
          <w:tcPr>
            <w:tcW w:w="909" w:type="dxa"/>
            <w:tcBorders>
              <w:tl2br w:val="nil"/>
              <w:tr2bl w:val="nil"/>
            </w:tcBorders>
            <w:shd w:val="clear" w:color="auto" w:fill="auto"/>
            <w:vAlign w:val="center"/>
          </w:tcPr>
          <w:p w14:paraId="1BBE5D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789086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430C39E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42B1C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4A6492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1EE9A9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66716A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1240" w:type="dxa"/>
            <w:tcBorders>
              <w:tl2br w:val="nil"/>
              <w:tr2bl w:val="nil"/>
            </w:tcBorders>
            <w:shd w:val="clear" w:color="auto" w:fill="auto"/>
            <w:vAlign w:val="center"/>
          </w:tcPr>
          <w:p w14:paraId="7CD6588B">
            <w:pPr>
              <w:pStyle w:val="1405"/>
              <w:bidi w:val="0"/>
              <w:jc w:val="center"/>
              <w:rPr>
                <w:rFonts w:hint="default"/>
                <w:color w:val="auto"/>
                <w:highlight w:val="none"/>
                <w:lang w:val="en-US" w:eastAsia="zh-CN"/>
              </w:rPr>
            </w:pPr>
            <w:r>
              <w:rPr>
                <w:rFonts w:hint="default"/>
                <w:color w:val="auto"/>
                <w:highlight w:val="none"/>
                <w:lang w:val="en-US" w:eastAsia="zh-CN"/>
              </w:rPr>
              <w:t>145.4150</w:t>
            </w:r>
          </w:p>
        </w:tc>
        <w:tc>
          <w:tcPr>
            <w:tcW w:w="1106" w:type="dxa"/>
            <w:tcBorders>
              <w:tl2br w:val="nil"/>
              <w:tr2bl w:val="nil"/>
            </w:tcBorders>
            <w:shd w:val="clear" w:color="auto" w:fill="auto"/>
            <w:vAlign w:val="center"/>
          </w:tcPr>
          <w:p w14:paraId="5F1DB76A">
            <w:pPr>
              <w:pStyle w:val="1405"/>
              <w:bidi w:val="0"/>
              <w:jc w:val="center"/>
              <w:rPr>
                <w:rFonts w:hint="default"/>
                <w:color w:val="auto"/>
                <w:highlight w:val="none"/>
                <w:lang w:val="en-US" w:eastAsia="zh-CN"/>
              </w:rPr>
            </w:pPr>
            <w:r>
              <w:rPr>
                <w:rFonts w:hint="default"/>
                <w:color w:val="auto"/>
                <w:highlight w:val="none"/>
                <w:lang w:val="en-US" w:eastAsia="zh-CN"/>
              </w:rPr>
              <w:t>3.6354</w:t>
            </w:r>
          </w:p>
        </w:tc>
        <w:tc>
          <w:tcPr>
            <w:tcW w:w="909" w:type="dxa"/>
            <w:tcBorders>
              <w:tl2br w:val="nil"/>
              <w:tr2bl w:val="nil"/>
            </w:tcBorders>
            <w:shd w:val="clear" w:color="auto" w:fill="auto"/>
            <w:vAlign w:val="center"/>
          </w:tcPr>
          <w:p w14:paraId="63CA49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7298D0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58748F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B639C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restart"/>
            <w:tcBorders>
              <w:tl2br w:val="nil"/>
              <w:tr2bl w:val="nil"/>
            </w:tcBorders>
            <w:shd w:val="clear" w:color="auto" w:fill="auto"/>
            <w:vAlign w:val="center"/>
          </w:tcPr>
          <w:p w14:paraId="48135D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点补</w:t>
            </w:r>
          </w:p>
        </w:tc>
        <w:tc>
          <w:tcPr>
            <w:tcW w:w="909" w:type="dxa"/>
            <w:vMerge w:val="continue"/>
            <w:tcBorders>
              <w:tl2br w:val="nil"/>
              <w:tr2bl w:val="nil"/>
            </w:tcBorders>
            <w:shd w:val="clear" w:color="auto" w:fill="auto"/>
            <w:vAlign w:val="center"/>
          </w:tcPr>
          <w:p w14:paraId="11CCF9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311C239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漆雾（颗粒物）</w:t>
            </w:r>
          </w:p>
        </w:tc>
        <w:tc>
          <w:tcPr>
            <w:tcW w:w="1239" w:type="dxa"/>
            <w:tcBorders>
              <w:tl2br w:val="nil"/>
              <w:tr2bl w:val="nil"/>
            </w:tcBorders>
            <w:shd w:val="clear" w:color="auto" w:fill="auto"/>
            <w:noWrap/>
            <w:vAlign w:val="center"/>
          </w:tcPr>
          <w:p w14:paraId="7DA8F55F">
            <w:pPr>
              <w:pStyle w:val="1405"/>
              <w:bidi w:val="0"/>
              <w:jc w:val="center"/>
              <w:rPr>
                <w:rFonts w:hint="eastAsia"/>
                <w:color w:val="auto"/>
                <w:highlight w:val="none"/>
                <w:lang w:val="en-US" w:eastAsia="zh-CN"/>
              </w:rPr>
            </w:pPr>
            <w:r>
              <w:rPr>
                <w:rFonts w:hint="eastAsia"/>
                <w:color w:val="auto"/>
                <w:highlight w:val="none"/>
                <w:lang w:val="en-US" w:eastAsia="zh-CN"/>
              </w:rPr>
              <w:t>0.1267</w:t>
            </w:r>
          </w:p>
        </w:tc>
        <w:tc>
          <w:tcPr>
            <w:tcW w:w="1099" w:type="dxa"/>
            <w:tcBorders>
              <w:tl2br w:val="nil"/>
              <w:tr2bl w:val="nil"/>
            </w:tcBorders>
            <w:shd w:val="clear" w:color="auto" w:fill="auto"/>
            <w:noWrap/>
            <w:vAlign w:val="center"/>
          </w:tcPr>
          <w:p w14:paraId="28C5CACF">
            <w:pPr>
              <w:pStyle w:val="1405"/>
              <w:bidi w:val="0"/>
              <w:jc w:val="center"/>
              <w:rPr>
                <w:rFonts w:hint="eastAsia"/>
                <w:color w:val="auto"/>
                <w:highlight w:val="none"/>
                <w:lang w:val="en-US" w:eastAsia="zh-CN"/>
              </w:rPr>
            </w:pPr>
            <w:r>
              <w:rPr>
                <w:rFonts w:hint="eastAsia"/>
                <w:color w:val="auto"/>
                <w:highlight w:val="none"/>
                <w:lang w:val="en-US" w:eastAsia="zh-CN"/>
              </w:rPr>
              <w:t>0.0019</w:t>
            </w:r>
          </w:p>
        </w:tc>
        <w:tc>
          <w:tcPr>
            <w:tcW w:w="909" w:type="dxa"/>
            <w:tcBorders>
              <w:tl2br w:val="nil"/>
              <w:tr2bl w:val="nil"/>
            </w:tcBorders>
            <w:shd w:val="clear" w:color="auto" w:fill="auto"/>
            <w:vAlign w:val="center"/>
          </w:tcPr>
          <w:p w14:paraId="5C8731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0A68CD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56D799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12ACA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503773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25D2F3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1BCD8F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二甲苯</w:t>
            </w:r>
          </w:p>
        </w:tc>
        <w:tc>
          <w:tcPr>
            <w:tcW w:w="1239" w:type="dxa"/>
            <w:tcBorders>
              <w:tl2br w:val="nil"/>
              <w:tr2bl w:val="nil"/>
            </w:tcBorders>
            <w:shd w:val="clear" w:color="auto" w:fill="auto"/>
            <w:noWrap/>
            <w:vAlign w:val="center"/>
          </w:tcPr>
          <w:p w14:paraId="004C0231">
            <w:pPr>
              <w:pStyle w:val="1405"/>
              <w:bidi w:val="0"/>
              <w:jc w:val="center"/>
              <w:rPr>
                <w:rFonts w:hint="eastAsia"/>
                <w:color w:val="auto"/>
                <w:highlight w:val="none"/>
                <w:lang w:val="en-US" w:eastAsia="zh-CN"/>
              </w:rPr>
            </w:pPr>
            <w:r>
              <w:rPr>
                <w:rFonts w:hint="eastAsia"/>
                <w:color w:val="auto"/>
                <w:highlight w:val="none"/>
                <w:lang w:val="en-US" w:eastAsia="zh-CN"/>
              </w:rPr>
              <w:t>2.6536</w:t>
            </w:r>
          </w:p>
        </w:tc>
        <w:tc>
          <w:tcPr>
            <w:tcW w:w="1099" w:type="dxa"/>
            <w:tcBorders>
              <w:tl2br w:val="nil"/>
              <w:tr2bl w:val="nil"/>
            </w:tcBorders>
            <w:shd w:val="clear" w:color="auto" w:fill="auto"/>
            <w:noWrap/>
            <w:vAlign w:val="center"/>
          </w:tcPr>
          <w:p w14:paraId="01AAB5B0">
            <w:pPr>
              <w:pStyle w:val="1405"/>
              <w:bidi w:val="0"/>
              <w:jc w:val="center"/>
              <w:rPr>
                <w:rFonts w:hint="eastAsia"/>
                <w:color w:val="auto"/>
                <w:highlight w:val="none"/>
                <w:lang w:val="en-US" w:eastAsia="zh-CN"/>
              </w:rPr>
            </w:pPr>
            <w:r>
              <w:rPr>
                <w:rFonts w:hint="eastAsia"/>
                <w:color w:val="auto"/>
                <w:highlight w:val="none"/>
                <w:lang w:val="en-US" w:eastAsia="zh-CN"/>
              </w:rPr>
              <w:t>0.0398</w:t>
            </w:r>
          </w:p>
        </w:tc>
        <w:tc>
          <w:tcPr>
            <w:tcW w:w="909" w:type="dxa"/>
            <w:tcBorders>
              <w:tl2br w:val="nil"/>
              <w:tr2bl w:val="nil"/>
            </w:tcBorders>
            <w:shd w:val="clear" w:color="auto" w:fill="auto"/>
            <w:vAlign w:val="center"/>
          </w:tcPr>
          <w:p w14:paraId="0DDE9A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50D661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243F26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D1DB1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1A873F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3DB40C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244925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乙酸丁酯</w:t>
            </w:r>
          </w:p>
        </w:tc>
        <w:tc>
          <w:tcPr>
            <w:tcW w:w="1239" w:type="dxa"/>
            <w:tcBorders>
              <w:tl2br w:val="nil"/>
              <w:tr2bl w:val="nil"/>
            </w:tcBorders>
            <w:shd w:val="clear" w:color="auto" w:fill="auto"/>
            <w:noWrap/>
            <w:vAlign w:val="center"/>
          </w:tcPr>
          <w:p w14:paraId="19D2B1BC">
            <w:pPr>
              <w:pStyle w:val="1405"/>
              <w:bidi w:val="0"/>
              <w:jc w:val="center"/>
              <w:rPr>
                <w:rFonts w:hint="eastAsia"/>
                <w:color w:val="auto"/>
                <w:highlight w:val="none"/>
                <w:lang w:val="en-US" w:eastAsia="zh-CN"/>
              </w:rPr>
            </w:pPr>
            <w:r>
              <w:rPr>
                <w:rFonts w:hint="eastAsia"/>
                <w:color w:val="auto"/>
                <w:highlight w:val="none"/>
                <w:lang w:val="en-US" w:eastAsia="zh-CN"/>
              </w:rPr>
              <w:t>3.7245</w:t>
            </w:r>
          </w:p>
        </w:tc>
        <w:tc>
          <w:tcPr>
            <w:tcW w:w="1099" w:type="dxa"/>
            <w:tcBorders>
              <w:tl2br w:val="nil"/>
              <w:tr2bl w:val="nil"/>
            </w:tcBorders>
            <w:shd w:val="clear" w:color="auto" w:fill="auto"/>
            <w:noWrap/>
            <w:vAlign w:val="center"/>
          </w:tcPr>
          <w:p w14:paraId="6891EB97">
            <w:pPr>
              <w:pStyle w:val="1405"/>
              <w:bidi w:val="0"/>
              <w:jc w:val="center"/>
              <w:rPr>
                <w:rFonts w:hint="eastAsia"/>
                <w:color w:val="auto"/>
                <w:highlight w:val="none"/>
                <w:lang w:val="en-US" w:eastAsia="zh-CN"/>
              </w:rPr>
            </w:pPr>
            <w:r>
              <w:rPr>
                <w:rFonts w:hint="eastAsia"/>
                <w:color w:val="auto"/>
                <w:highlight w:val="none"/>
                <w:lang w:val="en-US" w:eastAsia="zh-CN"/>
              </w:rPr>
              <w:t>0.0559</w:t>
            </w:r>
          </w:p>
        </w:tc>
        <w:tc>
          <w:tcPr>
            <w:tcW w:w="909" w:type="dxa"/>
            <w:tcBorders>
              <w:tl2br w:val="nil"/>
              <w:tr2bl w:val="nil"/>
            </w:tcBorders>
            <w:shd w:val="clear" w:color="auto" w:fill="auto"/>
            <w:vAlign w:val="center"/>
          </w:tcPr>
          <w:p w14:paraId="1F41C0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080BA9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5DECDB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64429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9" w:type="dxa"/>
            <w:vMerge w:val="continue"/>
            <w:tcBorders>
              <w:tl2br w:val="nil"/>
              <w:tr2bl w:val="nil"/>
            </w:tcBorders>
            <w:shd w:val="clear" w:color="auto" w:fill="auto"/>
            <w:vAlign w:val="center"/>
          </w:tcPr>
          <w:p w14:paraId="285743E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909" w:type="dxa"/>
            <w:vMerge w:val="continue"/>
            <w:tcBorders>
              <w:tl2br w:val="nil"/>
              <w:tr2bl w:val="nil"/>
            </w:tcBorders>
            <w:shd w:val="clear" w:color="auto" w:fill="auto"/>
            <w:vAlign w:val="center"/>
          </w:tcPr>
          <w:p w14:paraId="359742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7A8FA8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NMHC（含乙酸丁酯）</w:t>
            </w:r>
          </w:p>
        </w:tc>
        <w:tc>
          <w:tcPr>
            <w:tcW w:w="1239" w:type="dxa"/>
            <w:tcBorders>
              <w:tl2br w:val="nil"/>
              <w:tr2bl w:val="nil"/>
            </w:tcBorders>
            <w:shd w:val="clear" w:color="auto" w:fill="auto"/>
            <w:noWrap/>
            <w:vAlign w:val="center"/>
          </w:tcPr>
          <w:p w14:paraId="3D929189">
            <w:pPr>
              <w:pStyle w:val="1405"/>
              <w:bidi w:val="0"/>
              <w:jc w:val="center"/>
              <w:rPr>
                <w:rFonts w:hint="eastAsia"/>
                <w:color w:val="auto"/>
                <w:highlight w:val="none"/>
                <w:lang w:val="en-US" w:eastAsia="zh-CN"/>
              </w:rPr>
            </w:pPr>
            <w:r>
              <w:rPr>
                <w:rFonts w:hint="eastAsia"/>
                <w:color w:val="auto"/>
                <w:highlight w:val="none"/>
                <w:lang w:val="en-US" w:eastAsia="zh-CN"/>
              </w:rPr>
              <w:t>5.1645</w:t>
            </w:r>
          </w:p>
        </w:tc>
        <w:tc>
          <w:tcPr>
            <w:tcW w:w="1099" w:type="dxa"/>
            <w:tcBorders>
              <w:tl2br w:val="nil"/>
              <w:tr2bl w:val="nil"/>
            </w:tcBorders>
            <w:shd w:val="clear" w:color="auto" w:fill="auto"/>
            <w:noWrap/>
            <w:vAlign w:val="center"/>
          </w:tcPr>
          <w:p w14:paraId="05085E61">
            <w:pPr>
              <w:pStyle w:val="1405"/>
              <w:bidi w:val="0"/>
              <w:jc w:val="center"/>
              <w:rPr>
                <w:rFonts w:hint="eastAsia"/>
                <w:color w:val="auto"/>
                <w:highlight w:val="none"/>
                <w:lang w:val="en-US" w:eastAsia="zh-CN"/>
              </w:rPr>
            </w:pPr>
            <w:r>
              <w:rPr>
                <w:rFonts w:hint="eastAsia"/>
                <w:color w:val="auto"/>
                <w:highlight w:val="none"/>
                <w:lang w:val="en-US" w:eastAsia="zh-CN"/>
              </w:rPr>
              <w:t>0.0775</w:t>
            </w:r>
          </w:p>
        </w:tc>
        <w:tc>
          <w:tcPr>
            <w:tcW w:w="909" w:type="dxa"/>
            <w:tcBorders>
              <w:tl2br w:val="nil"/>
              <w:tr2bl w:val="nil"/>
            </w:tcBorders>
            <w:shd w:val="clear" w:color="auto" w:fill="auto"/>
            <w:vAlign w:val="center"/>
          </w:tcPr>
          <w:p w14:paraId="2B6F2E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72C397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34F52A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A8CAC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tcBorders>
              <w:tl2br w:val="nil"/>
              <w:tr2bl w:val="nil"/>
            </w:tcBorders>
            <w:shd w:val="clear" w:color="auto" w:fill="auto"/>
            <w:vAlign w:val="center"/>
          </w:tcPr>
          <w:p w14:paraId="58A3C9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注塑</w:t>
            </w:r>
          </w:p>
        </w:tc>
        <w:tc>
          <w:tcPr>
            <w:tcW w:w="909" w:type="dxa"/>
            <w:vMerge w:val="continue"/>
            <w:tcBorders>
              <w:tl2br w:val="nil"/>
              <w:tr2bl w:val="nil"/>
            </w:tcBorders>
            <w:shd w:val="clear" w:color="auto" w:fill="auto"/>
            <w:vAlign w:val="center"/>
          </w:tcPr>
          <w:p w14:paraId="6281A0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40A0CA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w:t>
            </w:r>
          </w:p>
        </w:tc>
        <w:tc>
          <w:tcPr>
            <w:tcW w:w="1240" w:type="dxa"/>
            <w:tcBorders>
              <w:tl2br w:val="nil"/>
              <w:tr2bl w:val="nil"/>
            </w:tcBorders>
            <w:shd w:val="clear" w:color="auto" w:fill="auto"/>
            <w:vAlign w:val="center"/>
          </w:tcPr>
          <w:p w14:paraId="1476C1F7">
            <w:pPr>
              <w:pStyle w:val="1405"/>
              <w:bidi w:val="0"/>
              <w:jc w:val="center"/>
              <w:rPr>
                <w:rFonts w:hint="default"/>
                <w:color w:val="auto"/>
                <w:highlight w:val="none"/>
                <w:lang w:val="en-US" w:eastAsia="zh-CN"/>
              </w:rPr>
            </w:pPr>
            <w:r>
              <w:rPr>
                <w:rFonts w:hint="default"/>
                <w:color w:val="auto"/>
                <w:highlight w:val="none"/>
                <w:lang w:val="en-US" w:eastAsia="zh-CN"/>
              </w:rPr>
              <w:t>17.6727</w:t>
            </w:r>
          </w:p>
        </w:tc>
        <w:tc>
          <w:tcPr>
            <w:tcW w:w="1106" w:type="dxa"/>
            <w:tcBorders>
              <w:tl2br w:val="nil"/>
              <w:tr2bl w:val="nil"/>
            </w:tcBorders>
            <w:shd w:val="clear" w:color="auto" w:fill="auto"/>
            <w:vAlign w:val="center"/>
          </w:tcPr>
          <w:p w14:paraId="368A2A74">
            <w:pPr>
              <w:pStyle w:val="1405"/>
              <w:bidi w:val="0"/>
              <w:jc w:val="center"/>
              <w:rPr>
                <w:rFonts w:hint="default"/>
                <w:color w:val="auto"/>
                <w:highlight w:val="none"/>
                <w:lang w:val="en-US" w:eastAsia="zh-CN"/>
              </w:rPr>
            </w:pPr>
            <w:r>
              <w:rPr>
                <w:rFonts w:hint="default"/>
                <w:color w:val="auto"/>
                <w:highlight w:val="none"/>
                <w:lang w:val="en-US" w:eastAsia="zh-CN"/>
              </w:rPr>
              <w:t>0.2121</w:t>
            </w:r>
          </w:p>
        </w:tc>
        <w:tc>
          <w:tcPr>
            <w:tcW w:w="909" w:type="dxa"/>
            <w:tcBorders>
              <w:tl2br w:val="nil"/>
              <w:tr2bl w:val="nil"/>
            </w:tcBorders>
            <w:shd w:val="clear" w:color="auto" w:fill="auto"/>
            <w:vAlign w:val="center"/>
          </w:tcPr>
          <w:p w14:paraId="7392B7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1FDB20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299F4A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908C4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79" w:type="dxa"/>
            <w:tcBorders>
              <w:tl2br w:val="nil"/>
              <w:tr2bl w:val="nil"/>
            </w:tcBorders>
            <w:shd w:val="clear" w:color="auto" w:fill="auto"/>
            <w:vAlign w:val="center"/>
          </w:tcPr>
          <w:p w14:paraId="59770A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挂具去除</w:t>
            </w:r>
          </w:p>
        </w:tc>
        <w:tc>
          <w:tcPr>
            <w:tcW w:w="909" w:type="dxa"/>
            <w:vMerge w:val="continue"/>
            <w:tcBorders>
              <w:tl2br w:val="nil"/>
              <w:tr2bl w:val="nil"/>
            </w:tcBorders>
            <w:shd w:val="clear" w:color="auto" w:fill="auto"/>
            <w:vAlign w:val="center"/>
          </w:tcPr>
          <w:p w14:paraId="7E3597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0" w:type="auto"/>
            <w:tcBorders>
              <w:tl2br w:val="nil"/>
              <w:tr2bl w:val="nil"/>
            </w:tcBorders>
            <w:shd w:val="clear" w:color="auto" w:fill="auto"/>
            <w:noWrap/>
            <w:vAlign w:val="center"/>
          </w:tcPr>
          <w:p w14:paraId="00A17F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NMHC</w:t>
            </w:r>
          </w:p>
        </w:tc>
        <w:tc>
          <w:tcPr>
            <w:tcW w:w="1239" w:type="dxa"/>
            <w:tcBorders>
              <w:tl2br w:val="nil"/>
              <w:tr2bl w:val="nil"/>
            </w:tcBorders>
            <w:shd w:val="clear" w:color="auto" w:fill="auto"/>
            <w:noWrap/>
            <w:vAlign w:val="center"/>
          </w:tcPr>
          <w:p w14:paraId="1182E0F3">
            <w:pPr>
              <w:pStyle w:val="1405"/>
              <w:bidi w:val="0"/>
              <w:jc w:val="center"/>
              <w:rPr>
                <w:rFonts w:hint="eastAsia"/>
                <w:color w:val="auto"/>
                <w:highlight w:val="none"/>
                <w:lang w:val="en-US" w:eastAsia="zh-CN"/>
              </w:rPr>
            </w:pPr>
            <w:r>
              <w:rPr>
                <w:rFonts w:hint="eastAsia"/>
                <w:color w:val="auto"/>
                <w:highlight w:val="none"/>
                <w:lang w:val="en-US" w:eastAsia="zh-CN"/>
              </w:rPr>
              <w:t>1035.1852</w:t>
            </w:r>
          </w:p>
        </w:tc>
        <w:tc>
          <w:tcPr>
            <w:tcW w:w="1099" w:type="dxa"/>
            <w:tcBorders>
              <w:tl2br w:val="nil"/>
              <w:tr2bl w:val="nil"/>
            </w:tcBorders>
            <w:shd w:val="clear" w:color="auto" w:fill="auto"/>
            <w:noWrap/>
            <w:vAlign w:val="center"/>
          </w:tcPr>
          <w:p w14:paraId="5DE9B9E4">
            <w:pPr>
              <w:pStyle w:val="1405"/>
              <w:bidi w:val="0"/>
              <w:jc w:val="center"/>
              <w:rPr>
                <w:rFonts w:hint="eastAsia"/>
                <w:color w:val="auto"/>
                <w:highlight w:val="none"/>
                <w:lang w:val="en-US" w:eastAsia="zh-CN"/>
              </w:rPr>
            </w:pPr>
            <w:r>
              <w:rPr>
                <w:rFonts w:hint="eastAsia"/>
                <w:color w:val="auto"/>
                <w:highlight w:val="none"/>
                <w:lang w:val="en-US" w:eastAsia="zh-CN"/>
              </w:rPr>
              <w:t>15.5278</w:t>
            </w:r>
          </w:p>
        </w:tc>
        <w:tc>
          <w:tcPr>
            <w:tcW w:w="909" w:type="dxa"/>
            <w:tcBorders>
              <w:tl2br w:val="nil"/>
              <w:tr2bl w:val="nil"/>
            </w:tcBorders>
            <w:shd w:val="clear" w:color="auto" w:fill="auto"/>
            <w:vAlign w:val="center"/>
          </w:tcPr>
          <w:p w14:paraId="0B1F3D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821" w:type="dxa"/>
            <w:tcBorders>
              <w:tl2br w:val="nil"/>
              <w:tr2bl w:val="nil"/>
            </w:tcBorders>
            <w:shd w:val="clear" w:color="auto" w:fill="auto"/>
            <w:vAlign w:val="center"/>
          </w:tcPr>
          <w:p w14:paraId="2A49D2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29" w:type="dxa"/>
            <w:vMerge w:val="continue"/>
            <w:tcBorders>
              <w:tl2br w:val="nil"/>
              <w:tr2bl w:val="nil"/>
            </w:tcBorders>
            <w:shd w:val="clear" w:color="auto" w:fill="auto"/>
            <w:vAlign w:val="center"/>
          </w:tcPr>
          <w:p w14:paraId="6EDB29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bl>
    <w:p w14:paraId="0FB63D5A">
      <w:pPr>
        <w:pStyle w:val="4"/>
        <w:numPr>
          <w:ilvl w:val="2"/>
          <w:numId w:val="0"/>
        </w:numPr>
        <w:tabs>
          <w:tab w:val="clear" w:pos="720"/>
        </w:tabs>
        <w:bidi w:val="0"/>
        <w:rPr>
          <w:color w:val="auto"/>
          <w:highlight w:val="none"/>
        </w:rPr>
      </w:pPr>
      <w:bookmarkStart w:id="352" w:name="_Toc15230"/>
      <w:r>
        <w:rPr>
          <w:rFonts w:hint="eastAsia"/>
          <w:color w:val="auto"/>
          <w:highlight w:val="none"/>
          <w:lang w:eastAsia="zh-CN"/>
        </w:rPr>
        <w:t>3.4</w:t>
      </w:r>
      <w:r>
        <w:rPr>
          <w:color w:val="auto"/>
          <w:highlight w:val="none"/>
        </w:rPr>
        <w:t>.3</w:t>
      </w:r>
      <w:r>
        <w:rPr>
          <w:rFonts w:hint="eastAsia"/>
          <w:color w:val="auto"/>
          <w:highlight w:val="none"/>
          <w:lang w:val="en-US" w:eastAsia="zh-CN"/>
        </w:rPr>
        <w:t xml:space="preserve"> </w:t>
      </w:r>
      <w:r>
        <w:rPr>
          <w:color w:val="auto"/>
          <w:highlight w:val="none"/>
        </w:rPr>
        <w:t>运营期噪声污染源及污染源强分析</w:t>
      </w:r>
      <w:bookmarkEnd w:id="352"/>
    </w:p>
    <w:p w14:paraId="011C379B">
      <w:pPr>
        <w:pStyle w:val="1336"/>
        <w:ind w:firstLine="480"/>
        <w:rPr>
          <w:color w:val="auto"/>
          <w:highlight w:val="none"/>
        </w:rPr>
      </w:pPr>
      <w:r>
        <w:rPr>
          <w:color w:val="auto"/>
          <w:highlight w:val="none"/>
        </w:rPr>
        <w:t>本项目噪声主要来自生产线、风机等设备，设备的噪声源强采用类比法进行核算，设备噪声源强详见下表</w:t>
      </w:r>
      <w:r>
        <w:rPr>
          <w:rFonts w:hint="eastAsia"/>
          <w:color w:val="auto"/>
          <w:highlight w:val="none"/>
          <w:lang w:eastAsia="zh-CN"/>
        </w:rPr>
        <w:t>3.4</w:t>
      </w:r>
      <w:r>
        <w:rPr>
          <w:color w:val="auto"/>
          <w:highlight w:val="none"/>
        </w:rPr>
        <w:t>-</w:t>
      </w:r>
      <w:r>
        <w:rPr>
          <w:rFonts w:hint="eastAsia"/>
          <w:color w:val="auto"/>
          <w:highlight w:val="none"/>
          <w:lang w:val="en-US" w:eastAsia="zh-CN"/>
        </w:rPr>
        <w:t>13</w:t>
      </w:r>
      <w:r>
        <w:rPr>
          <w:color w:val="auto"/>
          <w:highlight w:val="none"/>
        </w:rPr>
        <w:t>。</w:t>
      </w:r>
    </w:p>
    <w:p w14:paraId="5D42A40C">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3</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项目主要设备噪声污染源强核算结果及相关参数一览表</w:t>
      </w:r>
    </w:p>
    <w:tbl>
      <w:tblPr>
        <w:tblStyle w:val="80"/>
        <w:tblW w:w="9097"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92"/>
        <w:gridCol w:w="2437"/>
        <w:gridCol w:w="1055"/>
        <w:gridCol w:w="1195"/>
        <w:gridCol w:w="1205"/>
        <w:gridCol w:w="2113"/>
      </w:tblGrid>
      <w:tr w14:paraId="6228ED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tcBorders>
              <w:tl2br w:val="nil"/>
              <w:tr2bl w:val="nil"/>
            </w:tcBorders>
            <w:shd w:val="clear" w:color="auto" w:fill="auto"/>
            <w:vAlign w:val="center"/>
          </w:tcPr>
          <w:p w14:paraId="771909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噪声源</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位置</w:t>
            </w:r>
          </w:p>
        </w:tc>
        <w:tc>
          <w:tcPr>
            <w:tcW w:w="2437" w:type="dxa"/>
            <w:tcBorders>
              <w:tl2br w:val="nil"/>
              <w:tr2bl w:val="nil"/>
            </w:tcBorders>
            <w:shd w:val="clear" w:color="auto" w:fill="auto"/>
            <w:vAlign w:val="center"/>
          </w:tcPr>
          <w:p w14:paraId="083B0F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设备名称</w:t>
            </w:r>
          </w:p>
        </w:tc>
        <w:tc>
          <w:tcPr>
            <w:tcW w:w="1055" w:type="dxa"/>
            <w:tcBorders>
              <w:tl2br w:val="nil"/>
              <w:tr2bl w:val="nil"/>
            </w:tcBorders>
            <w:shd w:val="clear" w:color="auto" w:fill="auto"/>
            <w:vAlign w:val="center"/>
          </w:tcPr>
          <w:p w14:paraId="7B28CF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数量</w:t>
            </w:r>
            <w:r>
              <w:rPr>
                <w:rFonts w:hint="eastAsia" w:ascii="Times New Roman" w:hAnsi="Times New Roman" w:eastAsia="宋体" w:cs="Times New Roman"/>
                <w:color w:val="auto"/>
                <w:kern w:val="0"/>
                <w:sz w:val="21"/>
                <w:szCs w:val="21"/>
                <w:highlight w:val="none"/>
                <w:lang w:val="en-US" w:eastAsia="zh-CN"/>
              </w:rPr>
              <w:br w:type="textWrapping"/>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台/套</w:t>
            </w:r>
            <w:r>
              <w:rPr>
                <w:rFonts w:hint="eastAsia" w:cs="Times New Roman"/>
                <w:color w:val="auto"/>
                <w:kern w:val="0"/>
                <w:sz w:val="21"/>
                <w:szCs w:val="21"/>
                <w:highlight w:val="none"/>
                <w:lang w:val="en-US" w:eastAsia="zh-CN"/>
              </w:rPr>
              <w:t>）</w:t>
            </w:r>
          </w:p>
        </w:tc>
        <w:tc>
          <w:tcPr>
            <w:tcW w:w="1195" w:type="dxa"/>
            <w:tcBorders>
              <w:tl2br w:val="nil"/>
              <w:tr2bl w:val="nil"/>
            </w:tcBorders>
            <w:shd w:val="clear" w:color="auto" w:fill="auto"/>
            <w:vAlign w:val="center"/>
          </w:tcPr>
          <w:p w14:paraId="5319C8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产生源强</w:t>
            </w:r>
          </w:p>
        </w:tc>
        <w:tc>
          <w:tcPr>
            <w:tcW w:w="1205" w:type="dxa"/>
            <w:tcBorders>
              <w:tl2br w:val="nil"/>
              <w:tr2bl w:val="nil"/>
            </w:tcBorders>
            <w:shd w:val="clear" w:color="auto" w:fill="auto"/>
            <w:vAlign w:val="center"/>
          </w:tcPr>
          <w:p w14:paraId="5A3EFF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持续</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时间</w:t>
            </w:r>
          </w:p>
        </w:tc>
        <w:tc>
          <w:tcPr>
            <w:tcW w:w="2113" w:type="dxa"/>
            <w:tcBorders>
              <w:tl2br w:val="nil"/>
              <w:tr2bl w:val="nil"/>
            </w:tcBorders>
            <w:shd w:val="clear" w:color="auto" w:fill="auto"/>
            <w:vAlign w:val="center"/>
          </w:tcPr>
          <w:p w14:paraId="4FB2D3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噪声治理措施</w:t>
            </w:r>
          </w:p>
        </w:tc>
      </w:tr>
      <w:tr w14:paraId="53085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restart"/>
            <w:tcBorders>
              <w:tl2br w:val="nil"/>
              <w:tr2bl w:val="nil"/>
            </w:tcBorders>
            <w:shd w:val="clear" w:color="auto" w:fill="auto"/>
            <w:vAlign w:val="center"/>
          </w:tcPr>
          <w:p w14:paraId="400DD4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B库厂房注塑车间</w:t>
            </w:r>
          </w:p>
        </w:tc>
        <w:tc>
          <w:tcPr>
            <w:tcW w:w="2437" w:type="dxa"/>
            <w:tcBorders>
              <w:tl2br w:val="nil"/>
              <w:tr2bl w:val="nil"/>
            </w:tcBorders>
            <w:shd w:val="clear" w:color="auto" w:fill="auto"/>
            <w:vAlign w:val="center"/>
          </w:tcPr>
          <w:p w14:paraId="5C5873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注塑机组</w:t>
            </w:r>
          </w:p>
        </w:tc>
        <w:tc>
          <w:tcPr>
            <w:tcW w:w="1055" w:type="dxa"/>
            <w:tcBorders>
              <w:tl2br w:val="nil"/>
              <w:tr2bl w:val="nil"/>
            </w:tcBorders>
            <w:shd w:val="clear" w:color="auto" w:fill="auto"/>
            <w:vAlign w:val="center"/>
          </w:tcPr>
          <w:p w14:paraId="13A6C1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w:t>
            </w:r>
          </w:p>
        </w:tc>
        <w:tc>
          <w:tcPr>
            <w:tcW w:w="1195" w:type="dxa"/>
            <w:tcBorders>
              <w:tl2br w:val="nil"/>
              <w:tr2bl w:val="nil"/>
            </w:tcBorders>
            <w:shd w:val="clear" w:color="auto" w:fill="auto"/>
            <w:vAlign w:val="center"/>
          </w:tcPr>
          <w:p w14:paraId="3BDCDE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40E046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restart"/>
            <w:tcBorders>
              <w:tl2br w:val="nil"/>
              <w:tr2bl w:val="nil"/>
            </w:tcBorders>
            <w:shd w:val="clear" w:color="auto" w:fill="auto"/>
            <w:vAlign w:val="center"/>
          </w:tcPr>
          <w:p w14:paraId="0E81D6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选用低噪声设备、</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基础减振、厂房隔</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声等</w:t>
            </w:r>
          </w:p>
        </w:tc>
      </w:tr>
      <w:tr w14:paraId="3F4421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1BF5C0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0B514A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空压机</w:t>
            </w:r>
          </w:p>
        </w:tc>
        <w:tc>
          <w:tcPr>
            <w:tcW w:w="1055" w:type="dxa"/>
            <w:tcBorders>
              <w:tl2br w:val="nil"/>
              <w:tr2bl w:val="nil"/>
            </w:tcBorders>
            <w:shd w:val="clear" w:color="auto" w:fill="auto"/>
            <w:vAlign w:val="center"/>
          </w:tcPr>
          <w:p w14:paraId="4E617C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1195" w:type="dxa"/>
            <w:tcBorders>
              <w:tl2br w:val="nil"/>
              <w:tr2bl w:val="nil"/>
            </w:tcBorders>
            <w:shd w:val="clear" w:color="auto" w:fill="auto"/>
            <w:vAlign w:val="center"/>
          </w:tcPr>
          <w:p w14:paraId="2A3B19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5B87E4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22A3B3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11AD0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4A0F24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5EB4E1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粉碎机</w:t>
            </w:r>
          </w:p>
        </w:tc>
        <w:tc>
          <w:tcPr>
            <w:tcW w:w="1055" w:type="dxa"/>
            <w:tcBorders>
              <w:tl2br w:val="nil"/>
              <w:tr2bl w:val="nil"/>
            </w:tcBorders>
            <w:shd w:val="clear" w:color="auto" w:fill="auto"/>
            <w:vAlign w:val="center"/>
          </w:tcPr>
          <w:p w14:paraId="4E29B3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p>
        </w:tc>
        <w:tc>
          <w:tcPr>
            <w:tcW w:w="1195" w:type="dxa"/>
            <w:tcBorders>
              <w:tl2br w:val="nil"/>
              <w:tr2bl w:val="nil"/>
            </w:tcBorders>
            <w:shd w:val="clear" w:color="auto" w:fill="auto"/>
            <w:vAlign w:val="center"/>
          </w:tcPr>
          <w:p w14:paraId="4F6044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2DDFE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1h/d</w:t>
            </w:r>
          </w:p>
        </w:tc>
        <w:tc>
          <w:tcPr>
            <w:tcW w:w="2113" w:type="dxa"/>
            <w:vMerge w:val="continue"/>
            <w:tcBorders>
              <w:tl2br w:val="nil"/>
              <w:tr2bl w:val="nil"/>
            </w:tcBorders>
            <w:shd w:val="clear" w:color="auto" w:fill="auto"/>
            <w:vAlign w:val="center"/>
          </w:tcPr>
          <w:p w14:paraId="10CBE7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E872D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restart"/>
            <w:tcBorders>
              <w:tl2br w:val="nil"/>
              <w:tr2bl w:val="nil"/>
            </w:tcBorders>
            <w:shd w:val="clear" w:color="auto" w:fill="auto"/>
            <w:vAlign w:val="center"/>
          </w:tcPr>
          <w:p w14:paraId="18FEF4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A库厂房涂装车间</w:t>
            </w:r>
          </w:p>
        </w:tc>
        <w:tc>
          <w:tcPr>
            <w:tcW w:w="2437" w:type="dxa"/>
            <w:tcBorders>
              <w:tl2br w:val="nil"/>
              <w:tr2bl w:val="nil"/>
            </w:tcBorders>
            <w:shd w:val="clear" w:color="auto" w:fill="auto"/>
            <w:vAlign w:val="center"/>
          </w:tcPr>
          <w:p w14:paraId="7AE519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底漆喷漆室</w:t>
            </w:r>
          </w:p>
        </w:tc>
        <w:tc>
          <w:tcPr>
            <w:tcW w:w="1055" w:type="dxa"/>
            <w:tcBorders>
              <w:tl2br w:val="nil"/>
              <w:tr2bl w:val="nil"/>
            </w:tcBorders>
            <w:shd w:val="clear" w:color="auto" w:fill="auto"/>
            <w:vAlign w:val="center"/>
          </w:tcPr>
          <w:p w14:paraId="0B4C2C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w:t>
            </w:r>
          </w:p>
        </w:tc>
        <w:tc>
          <w:tcPr>
            <w:tcW w:w="1195" w:type="dxa"/>
            <w:tcBorders>
              <w:tl2br w:val="nil"/>
              <w:tr2bl w:val="nil"/>
            </w:tcBorders>
            <w:shd w:val="clear" w:color="auto" w:fill="auto"/>
            <w:vAlign w:val="center"/>
          </w:tcPr>
          <w:p w14:paraId="2BCD76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667591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restart"/>
            <w:tcBorders>
              <w:tl2br w:val="nil"/>
              <w:tr2bl w:val="nil"/>
            </w:tcBorders>
            <w:shd w:val="clear" w:color="auto" w:fill="auto"/>
            <w:vAlign w:val="center"/>
          </w:tcPr>
          <w:p w14:paraId="097EEF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选用低噪声设备、</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消声器、基础减</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振、厂房隔声等</w:t>
            </w:r>
          </w:p>
        </w:tc>
      </w:tr>
      <w:tr w14:paraId="62DBE0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51B66D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20C2FE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清漆喷漆室</w:t>
            </w:r>
          </w:p>
        </w:tc>
        <w:tc>
          <w:tcPr>
            <w:tcW w:w="1055" w:type="dxa"/>
            <w:tcBorders>
              <w:tl2br w:val="nil"/>
              <w:tr2bl w:val="nil"/>
            </w:tcBorders>
            <w:shd w:val="clear" w:color="auto" w:fill="auto"/>
            <w:vAlign w:val="center"/>
          </w:tcPr>
          <w:p w14:paraId="05142B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w:t>
            </w:r>
          </w:p>
        </w:tc>
        <w:tc>
          <w:tcPr>
            <w:tcW w:w="1195" w:type="dxa"/>
            <w:tcBorders>
              <w:tl2br w:val="nil"/>
              <w:tr2bl w:val="nil"/>
            </w:tcBorders>
            <w:shd w:val="clear" w:color="auto" w:fill="auto"/>
            <w:vAlign w:val="center"/>
          </w:tcPr>
          <w:p w14:paraId="68B2A3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1205" w:type="dxa"/>
            <w:tcBorders>
              <w:tl2br w:val="nil"/>
              <w:tr2bl w:val="nil"/>
            </w:tcBorders>
            <w:shd w:val="clear" w:color="auto" w:fill="auto"/>
            <w:vAlign w:val="center"/>
          </w:tcPr>
          <w:p w14:paraId="6F89C6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2F1332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76615E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6ABA62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42FC78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色漆喷漆室</w:t>
            </w:r>
          </w:p>
        </w:tc>
        <w:tc>
          <w:tcPr>
            <w:tcW w:w="1055" w:type="dxa"/>
            <w:tcBorders>
              <w:tl2br w:val="nil"/>
              <w:tr2bl w:val="nil"/>
            </w:tcBorders>
            <w:shd w:val="clear" w:color="auto" w:fill="auto"/>
            <w:vAlign w:val="center"/>
          </w:tcPr>
          <w:p w14:paraId="4D2CB4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w:t>
            </w:r>
          </w:p>
        </w:tc>
        <w:tc>
          <w:tcPr>
            <w:tcW w:w="1195" w:type="dxa"/>
            <w:tcBorders>
              <w:tl2br w:val="nil"/>
              <w:tr2bl w:val="nil"/>
            </w:tcBorders>
            <w:shd w:val="clear" w:color="auto" w:fill="auto"/>
            <w:vAlign w:val="center"/>
          </w:tcPr>
          <w:p w14:paraId="576B42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1205" w:type="dxa"/>
            <w:tcBorders>
              <w:tl2br w:val="nil"/>
              <w:tr2bl w:val="nil"/>
            </w:tcBorders>
            <w:shd w:val="clear" w:color="auto" w:fill="auto"/>
            <w:vAlign w:val="center"/>
          </w:tcPr>
          <w:p w14:paraId="64BEBE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76B9DE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C4EC8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60B47B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63CA94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空压机</w:t>
            </w:r>
          </w:p>
        </w:tc>
        <w:tc>
          <w:tcPr>
            <w:tcW w:w="1055" w:type="dxa"/>
            <w:tcBorders>
              <w:tl2br w:val="nil"/>
              <w:tr2bl w:val="nil"/>
            </w:tcBorders>
            <w:shd w:val="clear" w:color="auto" w:fill="auto"/>
            <w:vAlign w:val="center"/>
          </w:tcPr>
          <w:p w14:paraId="530599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w:t>
            </w:r>
          </w:p>
        </w:tc>
        <w:tc>
          <w:tcPr>
            <w:tcW w:w="1195" w:type="dxa"/>
            <w:tcBorders>
              <w:tl2br w:val="nil"/>
              <w:tr2bl w:val="nil"/>
            </w:tcBorders>
            <w:shd w:val="clear" w:color="auto" w:fill="auto"/>
            <w:vAlign w:val="center"/>
          </w:tcPr>
          <w:p w14:paraId="5A1361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56C13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100858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E1453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64B94B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2D6252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喷漆循环风空调机组</w:t>
            </w:r>
          </w:p>
        </w:tc>
        <w:tc>
          <w:tcPr>
            <w:tcW w:w="1055" w:type="dxa"/>
            <w:tcBorders>
              <w:tl2br w:val="nil"/>
              <w:tr2bl w:val="nil"/>
            </w:tcBorders>
            <w:shd w:val="clear" w:color="auto" w:fill="auto"/>
            <w:vAlign w:val="center"/>
          </w:tcPr>
          <w:p w14:paraId="6C16D7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1195" w:type="dxa"/>
            <w:tcBorders>
              <w:tl2br w:val="nil"/>
              <w:tr2bl w:val="nil"/>
            </w:tcBorders>
            <w:shd w:val="clear" w:color="auto" w:fill="auto"/>
            <w:vAlign w:val="center"/>
          </w:tcPr>
          <w:p w14:paraId="55166F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1E30B0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5D89E4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43913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62006E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0886E5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热水炉</w:t>
            </w:r>
          </w:p>
        </w:tc>
        <w:tc>
          <w:tcPr>
            <w:tcW w:w="1055" w:type="dxa"/>
            <w:tcBorders>
              <w:tl2br w:val="nil"/>
              <w:tr2bl w:val="nil"/>
            </w:tcBorders>
            <w:shd w:val="clear" w:color="auto" w:fill="auto"/>
            <w:vAlign w:val="center"/>
          </w:tcPr>
          <w:p w14:paraId="406787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p>
        </w:tc>
        <w:tc>
          <w:tcPr>
            <w:tcW w:w="1195" w:type="dxa"/>
            <w:tcBorders>
              <w:tl2br w:val="nil"/>
              <w:tr2bl w:val="nil"/>
            </w:tcBorders>
            <w:shd w:val="clear" w:color="auto" w:fill="auto"/>
            <w:vAlign w:val="center"/>
          </w:tcPr>
          <w:p w14:paraId="67A3CB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364EE8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00A353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764FE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32687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32131C7D">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纯水制备系统</w:t>
            </w:r>
          </w:p>
        </w:tc>
        <w:tc>
          <w:tcPr>
            <w:tcW w:w="1055" w:type="dxa"/>
            <w:tcBorders>
              <w:tl2br w:val="nil"/>
              <w:tr2bl w:val="nil"/>
            </w:tcBorders>
            <w:shd w:val="clear" w:color="auto" w:fill="auto"/>
            <w:vAlign w:val="center"/>
          </w:tcPr>
          <w:p w14:paraId="754753D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3355A4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480FD8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3792F1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7D6A7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2A4F48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6DAD907B">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集中供漆系统</w:t>
            </w:r>
          </w:p>
        </w:tc>
        <w:tc>
          <w:tcPr>
            <w:tcW w:w="1055" w:type="dxa"/>
            <w:tcBorders>
              <w:tl2br w:val="nil"/>
              <w:tr2bl w:val="nil"/>
            </w:tcBorders>
            <w:shd w:val="clear" w:color="auto" w:fill="auto"/>
            <w:vAlign w:val="center"/>
          </w:tcPr>
          <w:p w14:paraId="290F5B38">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279A05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528CE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679048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B93F6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BDAA2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4F1640AD">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废清洗剂回收装置</w:t>
            </w:r>
          </w:p>
        </w:tc>
        <w:tc>
          <w:tcPr>
            <w:tcW w:w="1055" w:type="dxa"/>
            <w:tcBorders>
              <w:tl2br w:val="nil"/>
              <w:tr2bl w:val="nil"/>
            </w:tcBorders>
            <w:shd w:val="clear" w:color="auto" w:fill="auto"/>
            <w:vAlign w:val="center"/>
          </w:tcPr>
          <w:p w14:paraId="1F4235AE">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41A4E5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598A6B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6h/d</w:t>
            </w:r>
          </w:p>
        </w:tc>
        <w:tc>
          <w:tcPr>
            <w:tcW w:w="2113" w:type="dxa"/>
            <w:vMerge w:val="continue"/>
            <w:tcBorders>
              <w:tl2br w:val="nil"/>
              <w:tr2bl w:val="nil"/>
            </w:tcBorders>
            <w:shd w:val="clear" w:color="auto" w:fill="auto"/>
            <w:vAlign w:val="center"/>
          </w:tcPr>
          <w:p w14:paraId="0A7865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5DFBC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27EAC4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595FB8D3">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CO</w:t>
            </w:r>
            <w:r>
              <w:rPr>
                <w:rFonts w:hint="eastAsia"/>
                <w:color w:val="auto"/>
                <w:highlight w:val="none"/>
                <w:vertAlign w:val="subscript"/>
              </w:rPr>
              <w:t>2</w:t>
            </w:r>
            <w:r>
              <w:rPr>
                <w:rFonts w:hint="eastAsia"/>
                <w:color w:val="auto"/>
                <w:highlight w:val="none"/>
              </w:rPr>
              <w:t>自动灭火装置</w:t>
            </w:r>
          </w:p>
        </w:tc>
        <w:tc>
          <w:tcPr>
            <w:tcW w:w="1055" w:type="dxa"/>
            <w:tcBorders>
              <w:tl2br w:val="nil"/>
              <w:tr2bl w:val="nil"/>
            </w:tcBorders>
            <w:shd w:val="clear" w:color="auto" w:fill="auto"/>
            <w:vAlign w:val="center"/>
          </w:tcPr>
          <w:p w14:paraId="197AC2BF">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043FDB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16E11FE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7985395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DE9D3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154A93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3457B9FD">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装配线工作台</w:t>
            </w:r>
          </w:p>
        </w:tc>
        <w:tc>
          <w:tcPr>
            <w:tcW w:w="1055" w:type="dxa"/>
            <w:tcBorders>
              <w:tl2br w:val="nil"/>
              <w:tr2bl w:val="nil"/>
            </w:tcBorders>
            <w:shd w:val="clear" w:color="auto" w:fill="auto"/>
            <w:vAlign w:val="center"/>
          </w:tcPr>
          <w:p w14:paraId="12923DD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w:t>
            </w:r>
          </w:p>
        </w:tc>
        <w:tc>
          <w:tcPr>
            <w:tcW w:w="1195" w:type="dxa"/>
            <w:tcBorders>
              <w:tl2br w:val="nil"/>
              <w:tr2bl w:val="nil"/>
            </w:tcBorders>
            <w:shd w:val="clear" w:color="auto" w:fill="auto"/>
            <w:vAlign w:val="center"/>
          </w:tcPr>
          <w:p w14:paraId="0289E9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6615C1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085E0A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3E086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4474F5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2541B868">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RTO蓄热式焚烧炉</w:t>
            </w:r>
          </w:p>
        </w:tc>
        <w:tc>
          <w:tcPr>
            <w:tcW w:w="1055" w:type="dxa"/>
            <w:tcBorders>
              <w:tl2br w:val="nil"/>
              <w:tr2bl w:val="nil"/>
            </w:tcBorders>
            <w:shd w:val="clear" w:color="auto" w:fill="auto"/>
            <w:vAlign w:val="center"/>
          </w:tcPr>
          <w:p w14:paraId="0DC8CFF5">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488791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06DB7C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4CEC1F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bl>
    <w:p w14:paraId="14BA208C">
      <w:pPr>
        <w:pStyle w:val="4"/>
        <w:numPr>
          <w:ilvl w:val="2"/>
          <w:numId w:val="0"/>
        </w:numPr>
        <w:tabs>
          <w:tab w:val="clear" w:pos="720"/>
        </w:tabs>
        <w:bidi w:val="0"/>
        <w:rPr>
          <w:color w:val="auto"/>
          <w:highlight w:val="none"/>
        </w:rPr>
      </w:pPr>
      <w:bookmarkStart w:id="353" w:name="_Toc30993"/>
      <w:r>
        <w:rPr>
          <w:rFonts w:hint="eastAsia"/>
          <w:color w:val="auto"/>
          <w:highlight w:val="none"/>
          <w:lang w:eastAsia="zh-CN"/>
        </w:rPr>
        <w:t>3.4</w:t>
      </w:r>
      <w:r>
        <w:rPr>
          <w:color w:val="auto"/>
          <w:highlight w:val="none"/>
        </w:rPr>
        <w:t>.4</w:t>
      </w:r>
      <w:r>
        <w:rPr>
          <w:rFonts w:hint="eastAsia"/>
          <w:color w:val="auto"/>
          <w:highlight w:val="none"/>
          <w:lang w:val="en-US" w:eastAsia="zh-CN"/>
        </w:rPr>
        <w:t xml:space="preserve"> </w:t>
      </w:r>
      <w:r>
        <w:rPr>
          <w:color w:val="auto"/>
          <w:highlight w:val="none"/>
        </w:rPr>
        <w:t>运营期固体废物污染源及污染源强分析</w:t>
      </w:r>
      <w:bookmarkEnd w:id="353"/>
    </w:p>
    <w:p w14:paraId="6F012E2B">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本项目运营期固废主要包括注塑不合格品和边角废料、废包装材料、废包装桶</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包括油漆、稀释剂、固化剂和清洗剂废包装桶</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、废清洗剂、废抛光片、挂具</w:t>
      </w:r>
      <w:r>
        <w:rPr>
          <w:rFonts w:hint="eastAsia" w:ascii="Times New Roman" w:hAnsi="Times New Roman" w:cs="Times New Roman"/>
          <w:color w:val="auto"/>
          <w:highlight w:val="none"/>
          <w:lang w:val="en-US" w:eastAsia="zh-CN"/>
        </w:rPr>
        <w:t>清理渣</w:t>
      </w:r>
      <w:r>
        <w:rPr>
          <w:rFonts w:hint="default" w:ascii="Times New Roman" w:hAnsi="Times New Roman" w:cs="Times New Roman"/>
          <w:color w:val="auto"/>
          <w:highlight w:val="none"/>
          <w:lang w:val="en-US" w:eastAsia="zh-CN"/>
        </w:rPr>
        <w:t>、纯水制备系统废滤材</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包括废石英砂、废活性炭和废反渗透膜等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、有机废气处理装置产生的废活性炭、废干式纸盒</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含漆渣</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、废过滤棉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含漆渣</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、废蓄热陶瓷体、袋式除尘器收集的粉尘、设备维修保养产生的废润滑油</w:t>
      </w:r>
      <w:r>
        <w:rPr>
          <w:rFonts w:hint="eastAsia" w:ascii="Times New Roman" w:hAnsi="Times New Roman" w:cs="Times New Roman"/>
          <w:color w:val="auto"/>
          <w:highlight w:val="none"/>
          <w:lang w:val="en-US" w:eastAsia="zh-CN"/>
        </w:rPr>
        <w:t>、含有手套及废抹布、热洁炉灰渣</w:t>
      </w:r>
      <w:r>
        <w:rPr>
          <w:rFonts w:hint="default" w:ascii="Times New Roman" w:hAnsi="Times New Roman" w:cs="Times New Roman"/>
          <w:color w:val="auto"/>
          <w:highlight w:val="none"/>
          <w:lang w:val="en-US" w:eastAsia="zh-CN"/>
        </w:rPr>
        <w:t>和职工生活垃圾。</w:t>
      </w:r>
    </w:p>
    <w:p w14:paraId="06B29EAF">
      <w:pPr>
        <w:pStyle w:val="1336"/>
        <w:ind w:firstLine="48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1</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一般工业固体废物</w:t>
      </w:r>
    </w:p>
    <w:p w14:paraId="55C9B489">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①注塑不合格品和边角废料</w:t>
      </w:r>
    </w:p>
    <w:p w14:paraId="58F26B94">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由于注塑件品质要求较高，注塑不合格品和边角废料约占10%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不合格品和边角废料产生量为</w:t>
      </w:r>
      <w:r>
        <w:rPr>
          <w:rFonts w:hint="default" w:ascii="Times New Roman" w:hAnsi="Times New Roman" w:cs="Times New Roman"/>
          <w:color w:val="auto"/>
          <w:highlight w:val="none"/>
        </w:rPr>
        <w:t>144.</w:t>
      </w:r>
      <w:r>
        <w:rPr>
          <w:rFonts w:hint="eastAsia" w:ascii="Times New Roman" w:hAnsi="Times New Roman" w:cs="Times New Roman"/>
          <w:color w:val="auto"/>
          <w:highlight w:val="none"/>
          <w:lang w:val="en-US" w:eastAsia="zh-CN"/>
        </w:rPr>
        <w:t>5423</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t/a。经查阅《固体废物分类与代码目录》</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公告2024年第4号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,注塑不合格品和边角废料类别为SW17可再生类废物，代码为900-003-S17</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经粉碎后回用于生产。</w:t>
      </w:r>
    </w:p>
    <w:p w14:paraId="6963FFC0">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②废包装材料</w:t>
      </w:r>
    </w:p>
    <w:p w14:paraId="05B638EA">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本项目塑料粒子用量为</w:t>
      </w:r>
      <w:r>
        <w:rPr>
          <w:rFonts w:hint="eastAsia" w:cs="Times New Roman"/>
          <w:color w:val="auto"/>
          <w:highlight w:val="none"/>
          <w:lang w:val="en-US" w:eastAsia="zh-CN"/>
        </w:rPr>
        <w:t>1446</w:t>
      </w:r>
      <w:r>
        <w:rPr>
          <w:rFonts w:hint="default" w:ascii="Times New Roman" w:hAnsi="Times New Roman" w:cs="Times New Roman"/>
          <w:color w:val="auto"/>
          <w:highlight w:val="none"/>
          <w:lang w:val="en-US" w:eastAsia="zh-CN"/>
        </w:rPr>
        <w:t>t/a</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包装规格为25kg/袋，编织袋袋重约50g/个，则废包装材料产生量为2.892t/a。经查阅《固体废物分类与代码目录》</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公告2024年第4号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注塑废包装材料类别为SW17可再生类废物，代码为900-003-S17</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收集后定期外售。</w:t>
      </w:r>
    </w:p>
    <w:p w14:paraId="66D70862">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③废抛光片</w:t>
      </w:r>
    </w:p>
    <w:p w14:paraId="509DD79F">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本项目废抛光片产生量约为0.015t/a。经查阅《固体废物分类与代码目录》</w:t>
      </w:r>
      <w:r>
        <w:rPr>
          <w:rFonts w:hint="eastAsia" w:cs="Times New Roman"/>
          <w:color w:val="auto"/>
          <w:highlight w:val="none"/>
          <w:lang w:eastAsia="zh-CN"/>
        </w:rPr>
        <w:t>（</w:t>
      </w:r>
      <w:r>
        <w:rPr>
          <w:rFonts w:hint="default" w:ascii="Times New Roman" w:hAnsi="Times New Roman" w:cs="Times New Roman"/>
          <w:color w:val="auto"/>
          <w:highlight w:val="none"/>
        </w:rPr>
        <w:t>公告2024年第4号</w:t>
      </w:r>
      <w:r>
        <w:rPr>
          <w:rFonts w:hint="eastAsia" w:cs="Times New Roman"/>
          <w:color w:val="auto"/>
          <w:highlight w:val="none"/>
          <w:lang w:eastAsia="zh-CN"/>
        </w:rPr>
        <w:t>），</w:t>
      </w:r>
      <w:r>
        <w:rPr>
          <w:rFonts w:hint="default" w:ascii="Times New Roman" w:hAnsi="Times New Roman" w:cs="Times New Roman"/>
          <w:color w:val="auto"/>
          <w:highlight w:val="none"/>
        </w:rPr>
        <w:t>废抛光片类别为SW59其他工业固体废物，代码为900-099-S59</w:t>
      </w:r>
      <w:r>
        <w:rPr>
          <w:rFonts w:hint="eastAsia" w:cs="Times New Roman"/>
          <w:color w:val="auto"/>
          <w:highlight w:val="none"/>
          <w:lang w:eastAsia="zh-CN"/>
        </w:rPr>
        <w:t>，</w:t>
      </w:r>
      <w:r>
        <w:rPr>
          <w:rFonts w:hint="default" w:ascii="Times New Roman" w:hAnsi="Times New Roman" w:cs="Times New Roman"/>
          <w:color w:val="auto"/>
          <w:highlight w:val="none"/>
        </w:rPr>
        <w:t>收集后定期外售。</w:t>
      </w:r>
    </w:p>
    <w:p w14:paraId="1FEA459E">
      <w:pPr>
        <w:pStyle w:val="1336"/>
        <w:ind w:firstLine="48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④</w:t>
      </w:r>
      <w:r>
        <w:rPr>
          <w:rFonts w:hint="default" w:ascii="Times New Roman" w:hAnsi="Times New Roman" w:cs="Times New Roman"/>
          <w:color w:val="auto"/>
          <w:highlight w:val="none"/>
        </w:rPr>
        <w:t>纯水制备系统废滤材</w:t>
      </w:r>
      <w:r>
        <w:rPr>
          <w:rFonts w:hint="eastAsia" w:cs="Times New Roman"/>
          <w:color w:val="auto"/>
          <w:highlight w:val="none"/>
          <w:lang w:eastAsia="zh-CN"/>
        </w:rPr>
        <w:t>（</w:t>
      </w:r>
      <w:r>
        <w:rPr>
          <w:rFonts w:hint="default" w:ascii="Times New Roman" w:hAnsi="Times New Roman" w:cs="Times New Roman"/>
          <w:color w:val="auto"/>
          <w:highlight w:val="none"/>
        </w:rPr>
        <w:t>包括废石英砂、废活性炭和废反渗透膜等</w:t>
      </w:r>
      <w:r>
        <w:rPr>
          <w:rFonts w:hint="eastAsia" w:cs="Times New Roman"/>
          <w:color w:val="auto"/>
          <w:highlight w:val="none"/>
          <w:lang w:eastAsia="zh-CN"/>
        </w:rPr>
        <w:t>）</w:t>
      </w:r>
    </w:p>
    <w:p w14:paraId="07BB5266">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本项目纯水制备系统采用预过滤</w:t>
      </w:r>
      <w:r>
        <w:rPr>
          <w:rFonts w:hint="eastAsia" w:cs="Times New Roman"/>
          <w:color w:val="auto"/>
          <w:highlight w:val="none"/>
          <w:lang w:eastAsia="zh-CN"/>
        </w:rPr>
        <w:t>（</w:t>
      </w:r>
      <w:r>
        <w:rPr>
          <w:rFonts w:hint="default" w:ascii="Times New Roman" w:hAnsi="Times New Roman" w:cs="Times New Roman"/>
          <w:color w:val="auto"/>
          <w:highlight w:val="none"/>
        </w:rPr>
        <w:t>石英砂+活性炭</w:t>
      </w:r>
      <w:r>
        <w:rPr>
          <w:rFonts w:hint="eastAsia" w:cs="Times New Roman"/>
          <w:color w:val="auto"/>
          <w:highlight w:val="none"/>
          <w:lang w:eastAsia="zh-CN"/>
        </w:rPr>
        <w:t>）</w:t>
      </w:r>
      <w:r>
        <w:rPr>
          <w:rFonts w:hint="default" w:ascii="Times New Roman" w:hAnsi="Times New Roman" w:cs="Times New Roman"/>
          <w:color w:val="auto"/>
          <w:highlight w:val="none"/>
        </w:rPr>
        <w:t>+反渗透工艺，滤材需每年更换一次，废滤材</w:t>
      </w:r>
      <w:r>
        <w:rPr>
          <w:rFonts w:hint="eastAsia" w:cs="Times New Roman"/>
          <w:color w:val="auto"/>
          <w:highlight w:val="none"/>
          <w:lang w:eastAsia="zh-CN"/>
        </w:rPr>
        <w:t>（</w:t>
      </w:r>
      <w:r>
        <w:rPr>
          <w:rFonts w:hint="default" w:ascii="Times New Roman" w:hAnsi="Times New Roman" w:cs="Times New Roman"/>
          <w:color w:val="auto"/>
          <w:highlight w:val="none"/>
        </w:rPr>
        <w:t>包括废石英砂、废活性炭、废反渗透膜等</w:t>
      </w:r>
      <w:r>
        <w:rPr>
          <w:rFonts w:hint="eastAsia" w:cs="Times New Roman"/>
          <w:color w:val="auto"/>
          <w:highlight w:val="none"/>
          <w:lang w:eastAsia="zh-CN"/>
        </w:rPr>
        <w:t>）</w:t>
      </w:r>
      <w:r>
        <w:rPr>
          <w:rFonts w:hint="default" w:ascii="Times New Roman" w:hAnsi="Times New Roman" w:cs="Times New Roman"/>
          <w:color w:val="auto"/>
          <w:highlight w:val="none"/>
        </w:rPr>
        <w:t>产生量约为0.05t/a</w:t>
      </w:r>
      <w:r>
        <w:rPr>
          <w:rFonts w:hint="eastAsia" w:cs="Times New Roman"/>
          <w:color w:val="auto"/>
          <w:highlight w:val="none"/>
          <w:lang w:eastAsia="zh-CN"/>
        </w:rPr>
        <w:t>，</w:t>
      </w:r>
      <w:r>
        <w:rPr>
          <w:rFonts w:hint="default" w:ascii="Times New Roman" w:hAnsi="Times New Roman" w:cs="Times New Roman"/>
          <w:color w:val="auto"/>
          <w:highlight w:val="none"/>
        </w:rPr>
        <w:t>属于一般工业固体废物。经查阅《固体废物分类与代码目录》</w:t>
      </w:r>
      <w:r>
        <w:rPr>
          <w:rFonts w:hint="eastAsia" w:cs="Times New Roman"/>
          <w:color w:val="auto"/>
          <w:highlight w:val="none"/>
          <w:lang w:eastAsia="zh-CN"/>
        </w:rPr>
        <w:t>（</w:t>
      </w:r>
      <w:r>
        <w:rPr>
          <w:rFonts w:hint="default" w:ascii="Times New Roman" w:hAnsi="Times New Roman" w:cs="Times New Roman"/>
          <w:color w:val="auto"/>
          <w:highlight w:val="none"/>
        </w:rPr>
        <w:t>公告2024年第4号</w:t>
      </w:r>
      <w:r>
        <w:rPr>
          <w:rFonts w:hint="eastAsia" w:cs="Times New Roman"/>
          <w:color w:val="auto"/>
          <w:highlight w:val="none"/>
          <w:lang w:eastAsia="zh-CN"/>
        </w:rPr>
        <w:t>），</w:t>
      </w:r>
      <w:r>
        <w:rPr>
          <w:rFonts w:hint="default" w:ascii="Times New Roman" w:hAnsi="Times New Roman" w:cs="Times New Roman"/>
          <w:color w:val="auto"/>
          <w:highlight w:val="none"/>
        </w:rPr>
        <w:t>废滤材类别为SW59其他工业固体废物，代码为900-009-S59</w:t>
      </w:r>
      <w:r>
        <w:rPr>
          <w:rFonts w:hint="eastAsia" w:cs="Times New Roman"/>
          <w:color w:val="auto"/>
          <w:highlight w:val="none"/>
          <w:lang w:eastAsia="zh-CN"/>
        </w:rPr>
        <w:t>，</w:t>
      </w:r>
      <w:r>
        <w:rPr>
          <w:rFonts w:hint="default" w:ascii="Times New Roman" w:hAnsi="Times New Roman" w:cs="Times New Roman"/>
          <w:color w:val="auto"/>
          <w:highlight w:val="none"/>
        </w:rPr>
        <w:t>更换时由厂家回收处理，不在厂区暂存。</w:t>
      </w:r>
    </w:p>
    <w:p w14:paraId="41FF4E6D">
      <w:pPr>
        <w:pStyle w:val="1336"/>
        <w:ind w:firstLine="480"/>
        <w:rPr>
          <w:rFonts w:hint="default" w:ascii="Times New Roman" w:hAnsi="Times New Roman" w:cs="Times New Roman"/>
          <w:color w:val="auto"/>
          <w:highlight w:val="none"/>
        </w:rPr>
      </w:pPr>
      <w:r>
        <w:rPr>
          <w:rFonts w:hint="eastAsia" w:cs="Times New Roman"/>
          <w:color w:val="auto"/>
          <w:highlight w:val="none"/>
          <w:lang w:val="en-US" w:eastAsia="zh-CN"/>
        </w:rPr>
        <w:t>⑤</w:t>
      </w:r>
      <w:r>
        <w:rPr>
          <w:rFonts w:hint="default" w:ascii="Times New Roman" w:hAnsi="Times New Roman" w:cs="Times New Roman"/>
          <w:color w:val="auto"/>
          <w:highlight w:val="none"/>
        </w:rPr>
        <w:t>废蓄热陶瓷体</w:t>
      </w:r>
    </w:p>
    <w:p w14:paraId="456FC181">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本项目RTO蓄热焚烧炉中蓄热陶瓷体需每十年更换一次，废蓄热陶瓷体产生量约为2t/10a</w:t>
      </w:r>
      <w:r>
        <w:rPr>
          <w:rFonts w:hint="eastAsia" w:cs="Times New Roman"/>
          <w:color w:val="auto"/>
          <w:highlight w:val="none"/>
          <w:lang w:eastAsia="zh-CN"/>
        </w:rPr>
        <w:t>，</w:t>
      </w:r>
      <w:r>
        <w:rPr>
          <w:rFonts w:hint="default" w:ascii="Times New Roman" w:hAnsi="Times New Roman" w:cs="Times New Roman"/>
          <w:color w:val="auto"/>
          <w:highlight w:val="none"/>
        </w:rPr>
        <w:t>属于一般工业固体废物。经查阅《固体废物分类与代码目录》</w:t>
      </w:r>
      <w:r>
        <w:rPr>
          <w:rFonts w:hint="eastAsia" w:cs="Times New Roman"/>
          <w:color w:val="auto"/>
          <w:highlight w:val="none"/>
          <w:lang w:eastAsia="zh-CN"/>
        </w:rPr>
        <w:t>（</w:t>
      </w:r>
      <w:r>
        <w:rPr>
          <w:rFonts w:hint="default" w:ascii="Times New Roman" w:hAnsi="Times New Roman" w:cs="Times New Roman"/>
          <w:color w:val="auto"/>
          <w:highlight w:val="none"/>
        </w:rPr>
        <w:t>公告2024年第4号</w:t>
      </w:r>
      <w:r>
        <w:rPr>
          <w:rFonts w:hint="eastAsia" w:cs="Times New Roman"/>
          <w:color w:val="auto"/>
          <w:highlight w:val="none"/>
          <w:lang w:eastAsia="zh-CN"/>
        </w:rPr>
        <w:t>），</w:t>
      </w:r>
      <w:r>
        <w:rPr>
          <w:rFonts w:hint="default" w:ascii="Times New Roman" w:hAnsi="Times New Roman" w:cs="Times New Roman"/>
          <w:color w:val="auto"/>
          <w:highlight w:val="none"/>
        </w:rPr>
        <w:t>废蓄热陶瓷体类别为SW59其他工业固体废物，代码为900-099-S59</w:t>
      </w:r>
      <w:r>
        <w:rPr>
          <w:rFonts w:hint="eastAsia" w:cs="Times New Roman"/>
          <w:color w:val="auto"/>
          <w:highlight w:val="none"/>
          <w:lang w:eastAsia="zh-CN"/>
        </w:rPr>
        <w:t>，</w:t>
      </w:r>
      <w:r>
        <w:rPr>
          <w:rFonts w:hint="default" w:ascii="Times New Roman" w:hAnsi="Times New Roman" w:cs="Times New Roman"/>
          <w:color w:val="auto"/>
          <w:highlight w:val="none"/>
        </w:rPr>
        <w:t>更换时由厂家回收处理，不在厂区暂存。</w:t>
      </w:r>
    </w:p>
    <w:p w14:paraId="5AE1AB2B">
      <w:pPr>
        <w:pStyle w:val="1336"/>
        <w:ind w:firstLine="480"/>
        <w:rPr>
          <w:rFonts w:hint="default" w:ascii="Times New Roman" w:hAnsi="Times New Roman" w:cs="Times New Roman"/>
          <w:color w:val="auto"/>
          <w:highlight w:val="none"/>
        </w:rPr>
      </w:pPr>
      <w:r>
        <w:rPr>
          <w:rFonts w:hint="eastAsia" w:cs="Times New Roman"/>
          <w:color w:val="auto"/>
          <w:highlight w:val="none"/>
          <w:lang w:val="en-US" w:eastAsia="zh-CN"/>
        </w:rPr>
        <w:t>⑥</w:t>
      </w:r>
      <w:r>
        <w:rPr>
          <w:rFonts w:hint="default" w:ascii="Times New Roman" w:hAnsi="Times New Roman" w:cs="Times New Roman"/>
          <w:color w:val="auto"/>
          <w:highlight w:val="none"/>
        </w:rPr>
        <w:t>袋式除尘器收集的粉尘</w:t>
      </w:r>
    </w:p>
    <w:p w14:paraId="78A3E33C">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本项目注塑不合格品和边角废料粉碎粉尘拟设置1套袋式除尘器进行处理，收集的粉尘量为</w:t>
      </w:r>
      <w:r>
        <w:rPr>
          <w:rFonts w:hint="eastAsia" w:ascii="Times New Roman" w:hAnsi="Times New Roman" w:cs="Times New Roman"/>
          <w:color w:val="auto"/>
          <w:highlight w:val="none"/>
        </w:rPr>
        <w:t>0.0439</w:t>
      </w:r>
      <w:r>
        <w:rPr>
          <w:rFonts w:hint="default" w:ascii="Times New Roman" w:hAnsi="Times New Roman" w:cs="Times New Roman"/>
          <w:color w:val="auto"/>
          <w:highlight w:val="none"/>
        </w:rPr>
        <w:t>t/a。经查阅《固体废物分类与代码目录》</w:t>
      </w:r>
      <w:r>
        <w:rPr>
          <w:rFonts w:hint="eastAsia" w:cs="Times New Roman"/>
          <w:color w:val="auto"/>
          <w:highlight w:val="none"/>
          <w:lang w:eastAsia="zh-CN"/>
        </w:rPr>
        <w:t>（</w:t>
      </w:r>
      <w:r>
        <w:rPr>
          <w:rFonts w:hint="default" w:ascii="Times New Roman" w:hAnsi="Times New Roman" w:cs="Times New Roman"/>
          <w:color w:val="auto"/>
          <w:highlight w:val="none"/>
        </w:rPr>
        <w:t>公告2024年第4号</w:t>
      </w:r>
      <w:r>
        <w:rPr>
          <w:rFonts w:hint="eastAsia" w:cs="Times New Roman"/>
          <w:color w:val="auto"/>
          <w:highlight w:val="none"/>
          <w:lang w:eastAsia="zh-CN"/>
        </w:rPr>
        <w:t>），</w:t>
      </w:r>
      <w:r>
        <w:rPr>
          <w:rFonts w:hint="default" w:ascii="Times New Roman" w:hAnsi="Times New Roman" w:cs="Times New Roman"/>
          <w:color w:val="auto"/>
          <w:highlight w:val="none"/>
        </w:rPr>
        <w:t>收集的粉尘类别为SW59其他工业固体废物，代码为900-099-S59</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袋式除尘器收集的粉尘集中收集后外售给可回收利用单位</w:t>
      </w:r>
      <w:r>
        <w:rPr>
          <w:rFonts w:hint="eastAsia" w:ascii="Times New Roman" w:hAnsi="Times New Roman" w:cs="Times New Roman"/>
          <w:color w:val="auto"/>
          <w:highlight w:val="none"/>
          <w:lang w:val="en-US" w:eastAsia="zh-CN"/>
        </w:rPr>
        <w:t>，不外排</w:t>
      </w:r>
      <w:r>
        <w:rPr>
          <w:rFonts w:hint="default" w:ascii="Times New Roman" w:hAnsi="Times New Roman" w:cs="Times New Roman"/>
          <w:color w:val="auto"/>
          <w:highlight w:val="none"/>
        </w:rPr>
        <w:t>。</w:t>
      </w:r>
    </w:p>
    <w:p w14:paraId="2468407F">
      <w:pPr>
        <w:pStyle w:val="1336"/>
        <w:ind w:firstLine="480"/>
        <w:rPr>
          <w:rFonts w:hint="default"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cs="Times New Roman"/>
          <w:color w:val="auto"/>
          <w:highlight w:val="none"/>
          <w:lang w:val="en-US" w:eastAsia="zh-CN"/>
        </w:rPr>
        <w:t>2</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危险废物</w:t>
      </w:r>
    </w:p>
    <w:p w14:paraId="0CF7956E">
      <w:pPr>
        <w:pStyle w:val="1336"/>
        <w:ind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①</w:t>
      </w:r>
      <w:r>
        <w:rPr>
          <w:rFonts w:hint="default" w:ascii="Times New Roman" w:hAnsi="Times New Roman" w:eastAsia="宋体" w:cs="Times New Roman"/>
          <w:color w:val="auto"/>
          <w:highlight w:val="none"/>
        </w:rPr>
        <w:t>废包装</w:t>
      </w:r>
      <w:r>
        <w:rPr>
          <w:rFonts w:hint="default" w:ascii="Times New Roman" w:hAnsi="Times New Roman" w:cs="Times New Roman"/>
          <w:color w:val="auto"/>
          <w:highlight w:val="none"/>
        </w:rPr>
        <w:t>桶</w:t>
      </w:r>
      <w:r>
        <w:rPr>
          <w:rFonts w:hint="eastAsia" w:cs="Times New Roman"/>
          <w:color w:val="auto"/>
          <w:highlight w:val="none"/>
          <w:lang w:eastAsia="zh-CN"/>
        </w:rPr>
        <w:t>（</w:t>
      </w:r>
      <w:r>
        <w:rPr>
          <w:rFonts w:hint="default" w:ascii="Times New Roman" w:hAnsi="Times New Roman" w:eastAsia="宋体" w:cs="Times New Roman"/>
          <w:color w:val="auto"/>
          <w:highlight w:val="none"/>
        </w:rPr>
        <w:t>油漆、稀释剂、固化剂和清洗剂</w:t>
      </w:r>
      <w:r>
        <w:rPr>
          <w:rFonts w:hint="eastAsia" w:cs="Times New Roman"/>
          <w:color w:val="auto"/>
          <w:highlight w:val="none"/>
          <w:lang w:eastAsia="zh-CN"/>
        </w:rPr>
        <w:t>）</w:t>
      </w:r>
    </w:p>
    <w:p w14:paraId="4E956B9A">
      <w:pPr>
        <w:pStyle w:val="1336"/>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本项目油漆</w:t>
      </w:r>
      <w:r>
        <w:rPr>
          <w:rFonts w:hint="eastAsia" w:cs="Times New Roman"/>
          <w:color w:val="auto"/>
          <w:highlight w:val="none"/>
          <w:lang w:eastAsia="zh-CN"/>
        </w:rPr>
        <w:t>（</w:t>
      </w:r>
      <w:r>
        <w:rPr>
          <w:rFonts w:hint="default" w:ascii="Times New Roman" w:hAnsi="Times New Roman" w:eastAsia="宋体" w:cs="Times New Roman"/>
          <w:color w:val="auto"/>
          <w:highlight w:val="none"/>
        </w:rPr>
        <w:t>包括底漆、色漆和清漆</w:t>
      </w:r>
      <w:r>
        <w:rPr>
          <w:rFonts w:hint="eastAsia" w:cs="Times New Roman"/>
          <w:color w:val="auto"/>
          <w:highlight w:val="none"/>
          <w:lang w:eastAsia="zh-CN"/>
        </w:rPr>
        <w:t>）</w:t>
      </w:r>
      <w:r>
        <w:rPr>
          <w:rFonts w:hint="default" w:ascii="Times New Roman" w:hAnsi="Times New Roman" w:eastAsia="宋体" w:cs="Times New Roman"/>
          <w:color w:val="auto"/>
          <w:highlight w:val="none"/>
        </w:rPr>
        <w:t>用量为</w:t>
      </w:r>
      <w:r>
        <w:rPr>
          <w:rFonts w:hint="eastAsia" w:cs="Times New Roman"/>
          <w:color w:val="auto"/>
          <w:highlight w:val="none"/>
          <w:lang w:val="en-US" w:eastAsia="zh-CN"/>
        </w:rPr>
        <w:t>65.35</w:t>
      </w:r>
      <w:r>
        <w:rPr>
          <w:rFonts w:hint="default" w:ascii="Times New Roman" w:hAnsi="Times New Roman" w:eastAsia="宋体" w:cs="Times New Roman"/>
          <w:color w:val="auto"/>
          <w:highlight w:val="none"/>
        </w:rPr>
        <w:t>t/a</w:t>
      </w:r>
      <w:r>
        <w:rPr>
          <w:rFonts w:hint="eastAsia" w:cs="Times New Roman"/>
          <w:color w:val="auto"/>
          <w:highlight w:val="none"/>
          <w:lang w:eastAsia="zh-CN"/>
        </w:rPr>
        <w:t>，</w:t>
      </w:r>
      <w:r>
        <w:rPr>
          <w:rFonts w:hint="default" w:ascii="Times New Roman" w:hAnsi="Times New Roman" w:eastAsia="宋体" w:cs="Times New Roman"/>
          <w:color w:val="auto"/>
          <w:highlight w:val="none"/>
        </w:rPr>
        <w:t>稀释剂用量为</w:t>
      </w:r>
      <w:r>
        <w:rPr>
          <w:rFonts w:hint="eastAsia" w:cs="Times New Roman"/>
          <w:color w:val="auto"/>
          <w:highlight w:val="none"/>
          <w:lang w:val="en-US" w:eastAsia="zh-CN"/>
        </w:rPr>
        <w:t>1.48</w:t>
      </w:r>
      <w:r>
        <w:rPr>
          <w:rFonts w:hint="default" w:ascii="Times New Roman" w:hAnsi="Times New Roman" w:eastAsia="宋体" w:cs="Times New Roman"/>
          <w:color w:val="auto"/>
          <w:highlight w:val="none"/>
        </w:rPr>
        <w:t>t/a</w:t>
      </w:r>
      <w:r>
        <w:rPr>
          <w:rFonts w:hint="eastAsia" w:cs="Times New Roman"/>
          <w:color w:val="auto"/>
          <w:highlight w:val="none"/>
          <w:lang w:eastAsia="zh-CN"/>
        </w:rPr>
        <w:t>，</w:t>
      </w:r>
      <w:r>
        <w:rPr>
          <w:rFonts w:hint="default" w:ascii="Times New Roman" w:hAnsi="Times New Roman" w:eastAsia="宋体" w:cs="Times New Roman"/>
          <w:color w:val="auto"/>
          <w:highlight w:val="none"/>
        </w:rPr>
        <w:t>固化剂用量为</w:t>
      </w:r>
      <w:r>
        <w:rPr>
          <w:rFonts w:hint="eastAsia" w:cs="Times New Roman"/>
          <w:color w:val="auto"/>
          <w:highlight w:val="none"/>
          <w:lang w:val="en-US" w:eastAsia="zh-CN"/>
        </w:rPr>
        <w:t>1.22</w:t>
      </w:r>
      <w:r>
        <w:rPr>
          <w:rFonts w:hint="default" w:ascii="Times New Roman" w:hAnsi="Times New Roman" w:eastAsia="宋体" w:cs="Times New Roman"/>
          <w:color w:val="auto"/>
          <w:highlight w:val="none"/>
        </w:rPr>
        <w:t>t/a</w:t>
      </w:r>
      <w:r>
        <w:rPr>
          <w:rFonts w:hint="eastAsia" w:cs="Times New Roman"/>
          <w:color w:val="auto"/>
          <w:highlight w:val="none"/>
          <w:lang w:eastAsia="zh-CN"/>
        </w:rPr>
        <w:t>，</w:t>
      </w:r>
      <w:r>
        <w:rPr>
          <w:rFonts w:hint="default" w:ascii="Times New Roman" w:hAnsi="Times New Roman" w:eastAsia="宋体" w:cs="Times New Roman"/>
          <w:color w:val="auto"/>
          <w:highlight w:val="none"/>
        </w:rPr>
        <w:t>清洗剂</w:t>
      </w:r>
      <w:r>
        <w:rPr>
          <w:rFonts w:hint="eastAsia" w:cs="Times New Roman"/>
          <w:color w:val="auto"/>
          <w:highlight w:val="none"/>
          <w:lang w:eastAsia="zh-CN"/>
        </w:rPr>
        <w:t>（</w:t>
      </w:r>
      <w:r>
        <w:rPr>
          <w:rFonts w:hint="default" w:ascii="Times New Roman" w:hAnsi="Times New Roman" w:eastAsia="宋体" w:cs="Times New Roman"/>
          <w:color w:val="auto"/>
          <w:highlight w:val="none"/>
        </w:rPr>
        <w:t>乙酸丁酯</w:t>
      </w:r>
      <w:r>
        <w:rPr>
          <w:rFonts w:hint="eastAsia" w:cs="Times New Roman"/>
          <w:color w:val="auto"/>
          <w:highlight w:val="none"/>
          <w:lang w:eastAsia="zh-CN"/>
        </w:rPr>
        <w:t>）</w:t>
      </w:r>
      <w:r>
        <w:rPr>
          <w:rFonts w:hint="default" w:ascii="Times New Roman" w:hAnsi="Times New Roman" w:eastAsia="宋体" w:cs="Times New Roman"/>
          <w:color w:val="auto"/>
          <w:highlight w:val="none"/>
        </w:rPr>
        <w:t>用量为</w:t>
      </w:r>
      <w:r>
        <w:rPr>
          <w:rFonts w:hint="eastAsia" w:cs="Times New Roman"/>
          <w:color w:val="auto"/>
          <w:highlight w:val="none"/>
          <w:lang w:val="en-US" w:eastAsia="zh-CN"/>
        </w:rPr>
        <w:t>2.79</w:t>
      </w:r>
      <w:r>
        <w:rPr>
          <w:rFonts w:hint="default" w:ascii="Times New Roman" w:hAnsi="Times New Roman" w:eastAsia="宋体" w:cs="Times New Roman"/>
          <w:color w:val="auto"/>
          <w:highlight w:val="none"/>
        </w:rPr>
        <w:t>t/a包装规格分别为油漆18kg/桶、稀释剂18kg/桶、固化剂20kg/桶、清洗剂25kg/桶，则废包装桶产生量分别为油漆废包装桶</w:t>
      </w:r>
      <w:r>
        <w:rPr>
          <w:rFonts w:hint="eastAsia" w:cs="Times New Roman"/>
          <w:color w:val="auto"/>
          <w:highlight w:val="none"/>
          <w:lang w:val="en-US" w:eastAsia="zh-CN"/>
        </w:rPr>
        <w:t>3631</w:t>
      </w:r>
      <w:r>
        <w:rPr>
          <w:rFonts w:hint="default" w:ascii="Times New Roman" w:hAnsi="Times New Roman" w:eastAsia="宋体" w:cs="Times New Roman"/>
          <w:color w:val="auto"/>
          <w:highlight w:val="none"/>
        </w:rPr>
        <w:t>个/a、稀释剂废包装桶</w:t>
      </w:r>
      <w:r>
        <w:rPr>
          <w:rFonts w:hint="eastAsia" w:cs="Times New Roman"/>
          <w:color w:val="auto"/>
          <w:highlight w:val="none"/>
          <w:lang w:val="en-US" w:eastAsia="zh-CN"/>
        </w:rPr>
        <w:t>83</w:t>
      </w:r>
      <w:r>
        <w:rPr>
          <w:rFonts w:hint="default" w:ascii="Times New Roman" w:hAnsi="Times New Roman" w:eastAsia="宋体" w:cs="Times New Roman"/>
          <w:color w:val="auto"/>
          <w:highlight w:val="none"/>
        </w:rPr>
        <w:t>个/a、固化剂废包装桶</w:t>
      </w:r>
      <w:r>
        <w:rPr>
          <w:rFonts w:hint="eastAsia" w:cs="Times New Roman"/>
          <w:color w:val="auto"/>
          <w:highlight w:val="none"/>
          <w:lang w:val="en-US" w:eastAsia="zh-CN"/>
        </w:rPr>
        <w:t>61</w:t>
      </w:r>
      <w:r>
        <w:rPr>
          <w:rFonts w:hint="default" w:ascii="Times New Roman" w:hAnsi="Times New Roman" w:eastAsia="宋体" w:cs="Times New Roman"/>
          <w:color w:val="auto"/>
          <w:highlight w:val="none"/>
        </w:rPr>
        <w:t>个/a、清洗剂包装桶</w:t>
      </w:r>
      <w:r>
        <w:rPr>
          <w:rFonts w:hint="eastAsia" w:cs="Times New Roman"/>
          <w:color w:val="auto"/>
          <w:highlight w:val="none"/>
          <w:lang w:val="en-US" w:eastAsia="zh-CN"/>
        </w:rPr>
        <w:t>112</w:t>
      </w:r>
      <w:r>
        <w:rPr>
          <w:rFonts w:hint="default" w:ascii="Times New Roman" w:hAnsi="Times New Roman" w:eastAsia="宋体" w:cs="Times New Roman"/>
          <w:color w:val="auto"/>
          <w:highlight w:val="none"/>
        </w:rPr>
        <w:t>个/a</w:t>
      </w:r>
      <w:r>
        <w:rPr>
          <w:rFonts w:hint="eastAsia" w:cs="Times New Roman"/>
          <w:color w:val="auto"/>
          <w:highlight w:val="none"/>
          <w:lang w:eastAsia="zh-CN"/>
        </w:rPr>
        <w:t>，</w:t>
      </w:r>
      <w:r>
        <w:rPr>
          <w:rFonts w:hint="default" w:ascii="Times New Roman" w:hAnsi="Times New Roman" w:eastAsia="宋体" w:cs="Times New Roman"/>
          <w:color w:val="auto"/>
          <w:highlight w:val="none"/>
        </w:rPr>
        <w:t>18kg桶重约为1kg/个，20kg桶重约为1.2kg/个，25kg桶重约为1.5kg/个，共折合</w:t>
      </w:r>
      <w:r>
        <w:rPr>
          <w:rFonts w:hint="eastAsia" w:cs="Times New Roman"/>
          <w:color w:val="auto"/>
          <w:highlight w:val="none"/>
          <w:lang w:val="en-US" w:eastAsia="zh-CN"/>
        </w:rPr>
        <w:t>3.955</w:t>
      </w:r>
      <w:r>
        <w:rPr>
          <w:rFonts w:hint="default" w:ascii="Times New Roman" w:hAnsi="Times New Roman" w:eastAsia="宋体" w:cs="Times New Roman"/>
          <w:color w:val="auto"/>
          <w:highlight w:val="none"/>
        </w:rPr>
        <w:t>t/a。根据《国家危险废物名录（2025年版）》，该类废物属于 HW49 其他废物，废物代码为 900-041-49，其年产生量约0.6吨。所有废弃包装桶经收集后，均须安全暂存于厂区危废贮存库，并委托持有相应危险废物经营许可证的单位及时清运与合规处置。</w:t>
      </w:r>
    </w:p>
    <w:p w14:paraId="0813EDA1">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②废清洗剂</w:t>
      </w:r>
    </w:p>
    <w:p w14:paraId="7B1E70E2">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根据《污染源源强核算技术指南汽车制造》（HJ1097-2020），管路、喷枪清洗（设置废溶剂负压回收罐）废溶剂回收率为70%，本项目清洗剂（乙酸丁酯）用量为</w:t>
      </w:r>
      <w:r>
        <w:rPr>
          <w:rFonts w:hint="eastAsia" w:ascii="Times New Roman" w:hAnsi="Times New Roman" w:cs="Times New Roman"/>
          <w:color w:val="auto"/>
          <w:highlight w:val="none"/>
          <w:lang w:val="en-US" w:eastAsia="zh-CN"/>
        </w:rPr>
        <w:t>2.79</w:t>
      </w:r>
      <w:r>
        <w:rPr>
          <w:rFonts w:hint="default" w:ascii="Times New Roman" w:hAnsi="Times New Roman" w:cs="Times New Roman"/>
          <w:color w:val="auto"/>
          <w:highlight w:val="none"/>
          <w:lang w:val="en-US" w:eastAsia="zh-CN"/>
        </w:rPr>
        <w:t>t/a，则废清洗剂产生量为</w:t>
      </w:r>
      <w:r>
        <w:rPr>
          <w:rFonts w:hint="eastAsia" w:ascii="Times New Roman" w:hAnsi="Times New Roman" w:cs="Times New Roman"/>
          <w:color w:val="auto"/>
          <w:highlight w:val="none"/>
          <w:lang w:val="en-US" w:eastAsia="zh-CN"/>
        </w:rPr>
        <w:t>1.953</w:t>
      </w:r>
      <w:r>
        <w:rPr>
          <w:rFonts w:hint="default" w:ascii="Times New Roman" w:hAnsi="Times New Roman" w:cs="Times New Roman"/>
          <w:color w:val="auto"/>
          <w:highlight w:val="none"/>
          <w:lang w:val="en-US" w:eastAsia="zh-CN"/>
        </w:rPr>
        <w:t>t/a。经查阅</w:t>
      </w:r>
      <w:r>
        <w:rPr>
          <w:rFonts w:hint="default" w:ascii="Times New Roman" w:hAnsi="Times New Roman" w:eastAsia="宋体" w:cs="Times New Roman"/>
          <w:color w:val="auto"/>
          <w:highlight w:val="none"/>
        </w:rPr>
        <w:t>《国家危险废物名录（2025年版）》</w:t>
      </w:r>
      <w:r>
        <w:rPr>
          <w:rFonts w:hint="default" w:ascii="Times New Roman" w:hAnsi="Times New Roman" w:cs="Times New Roman"/>
          <w:color w:val="auto"/>
          <w:highlight w:val="none"/>
          <w:lang w:val="en-US" w:eastAsia="zh-CN"/>
        </w:rPr>
        <w:t>，废清洗剂属于危险废物，类别为HW06废有机溶剂与含有机溶剂废物，代码为900-402-06，密闭容器收集后暂存于危废暂存间，定期交由有资质单位处置。</w:t>
      </w:r>
    </w:p>
    <w:p w14:paraId="17B2C0FD">
      <w:pPr>
        <w:pStyle w:val="133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③废活性炭</w:t>
      </w:r>
    </w:p>
    <w:p w14:paraId="19AE34CF">
      <w:pPr>
        <w:pStyle w:val="1336"/>
        <w:ind w:firstLine="480"/>
        <w:rPr>
          <w:rFonts w:hint="default"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调漆、点补、注塑产生的有机废气分别收集后由3套</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二级活性炭吸附</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处理（项目使用蜂窝活性炭，碘吸附值为8</w:t>
      </w:r>
      <w:r>
        <w:rPr>
          <w:rFonts w:hint="eastAsia" w:cs="Times New Roman"/>
          <w:color w:val="auto"/>
          <w:highlight w:val="none"/>
          <w:lang w:val="en-US" w:eastAsia="zh-CN"/>
        </w:rPr>
        <w:t>55</w:t>
      </w:r>
      <w:r>
        <w:rPr>
          <w:rFonts w:hint="eastAsia" w:ascii="Times New Roman" w:hAnsi="Times New Roman" w:cs="Times New Roman"/>
          <w:color w:val="auto"/>
          <w:highlight w:val="none"/>
          <w:lang w:val="en-US" w:eastAsia="zh-CN"/>
        </w:rPr>
        <w:t>mg/g，详见附件9）</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废气处理设施会产生废活性炭。根据《国家危险废物名录</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2025年版</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》，废弃活性炭吸附饱和物属于危险废物，废物类别为HW49其他废物（烟气、VOCs治理过程（不包括餐饮行业油烟治理过程）产生的废活性炭），废物代码900-039-49</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妥善收集后暂存于</w:t>
      </w:r>
      <w:r>
        <w:rPr>
          <w:rFonts w:hint="eastAsia" w:ascii="Times New Roman" w:hAnsi="Times New Roman" w:cs="Times New Roman"/>
          <w:color w:val="auto"/>
          <w:highlight w:val="none"/>
          <w:lang w:val="en-US" w:eastAsia="zh-CN"/>
        </w:rPr>
        <w:t>危废贮存库</w:t>
      </w:r>
      <w:r>
        <w:rPr>
          <w:rFonts w:hint="default" w:ascii="Times New Roman" w:hAnsi="Times New Roman" w:cs="Times New Roman"/>
          <w:color w:val="auto"/>
          <w:highlight w:val="none"/>
          <w:lang w:val="en-US" w:eastAsia="zh-CN"/>
        </w:rPr>
        <w:t>，定期委托有资质单位处置</w:t>
      </w:r>
      <w:r>
        <w:rPr>
          <w:rFonts w:hint="eastAsia" w:ascii="Times New Roman" w:hAnsi="Times New Roman" w:eastAsia="宋体" w:cs="Times New Roman"/>
          <w:color w:val="auto"/>
          <w:highlight w:val="none"/>
          <w:lang w:val="en-US" w:eastAsia="zh-CN"/>
        </w:rPr>
        <w:t>。</w:t>
      </w:r>
    </w:p>
    <w:p w14:paraId="4C7986A5">
      <w:pPr>
        <w:pStyle w:val="1336"/>
        <w:ind w:firstLine="480"/>
        <w:rPr>
          <w:rFonts w:hint="eastAsia" w:ascii="Times New Roman" w:hAnsi="Times New Roman" w:cs="Times New Roman"/>
          <w:color w:val="auto"/>
          <w:highlight w:val="none"/>
        </w:rPr>
      </w:pPr>
      <w:r>
        <w:rPr>
          <w:rFonts w:hint="eastAsia" w:ascii="Times New Roman" w:hAnsi="Times New Roman" w:cs="Times New Roman"/>
          <w:color w:val="auto"/>
          <w:highlight w:val="none"/>
        </w:rPr>
        <w:t>根据废气污染源强分析，项目活性炭吸附的有机废气</w:t>
      </w:r>
      <w:r>
        <w:rPr>
          <w:rFonts w:hint="eastAsia" w:cs="Times New Roman"/>
          <w:color w:val="auto"/>
          <w:highlight w:val="none"/>
          <w:lang w:eastAsia="zh-CN"/>
        </w:rPr>
        <w:t>（</w:t>
      </w:r>
      <w:r>
        <w:rPr>
          <w:rFonts w:hint="eastAsia" w:cs="Times New Roman"/>
          <w:color w:val="auto"/>
          <w:highlight w:val="none"/>
          <w:lang w:val="en-US" w:eastAsia="zh-CN"/>
        </w:rPr>
        <w:t>二甲苯、乙酸丁酯、NMHC</w:t>
      </w:r>
      <w:r>
        <w:rPr>
          <w:rFonts w:hint="eastAsia" w:cs="Times New Roman"/>
          <w:color w:val="auto"/>
          <w:highlight w:val="none"/>
          <w:lang w:eastAsia="zh-CN"/>
        </w:rPr>
        <w:t>）</w:t>
      </w:r>
      <w:r>
        <w:rPr>
          <w:rFonts w:hint="eastAsia" w:ascii="Times New Roman" w:hAnsi="Times New Roman" w:cs="Times New Roman"/>
          <w:color w:val="auto"/>
          <w:highlight w:val="none"/>
        </w:rPr>
        <w:t>总量为</w:t>
      </w:r>
      <w:r>
        <w:rPr>
          <w:rFonts w:hint="eastAsia" w:ascii="Times New Roman" w:hAnsi="Times New Roman" w:cs="Times New Roman"/>
          <w:color w:val="auto"/>
          <w:highlight w:val="none"/>
          <w:lang w:val="en-US" w:eastAsia="zh-CN"/>
        </w:rPr>
        <w:t>2.4985</w:t>
      </w:r>
      <w:r>
        <w:rPr>
          <w:rFonts w:hint="eastAsia" w:ascii="Times New Roman" w:hAnsi="Times New Roman" w:cs="Times New Roman"/>
          <w:color w:val="auto"/>
          <w:highlight w:val="none"/>
        </w:rPr>
        <w:t xml:space="preserve"> t/a。根据《活性炭纤维在挥发性有机废气处理中应用》的试验结果表明:1kg活性炭可吸附0.22-0.30kg的有机废气，本次环评取每公斤活性炭吸附量为0.</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kg。项目活性炭吸附装置的活性炭填充量为</w:t>
      </w:r>
      <w:r>
        <w:rPr>
          <w:rFonts w:hint="eastAsia" w:ascii="Times New Roman" w:hAnsi="Times New Roman" w:cs="Times New Roman"/>
          <w:color w:val="auto"/>
          <w:highlight w:val="none"/>
          <w:lang w:val="en-US" w:eastAsia="zh-CN"/>
        </w:rPr>
        <w:t>2.4</w:t>
      </w:r>
      <w:r>
        <w:rPr>
          <w:rFonts w:hint="eastAsia" w:ascii="Times New Roman" w:hAnsi="Times New Roman" w:cs="Times New Roman"/>
          <w:color w:val="auto"/>
          <w:highlight w:val="none"/>
        </w:rPr>
        <w:t>m</w:t>
      </w:r>
      <w:r>
        <w:rPr>
          <w:rFonts w:hint="eastAsia" w:ascii="Times New Roman" w:hAnsi="Times New Roman" w:cs="Times New Roman"/>
          <w:color w:val="auto"/>
          <w:highlight w:val="none"/>
          <w:vertAlign w:val="superscript"/>
        </w:rPr>
        <w:t>3</w:t>
      </w:r>
      <w:r>
        <w:rPr>
          <w:rFonts w:hint="eastAsia" w:cs="Times New Roman"/>
          <w:color w:val="auto"/>
          <w:highlight w:val="none"/>
          <w:lang w:eastAsia="zh-CN"/>
        </w:rPr>
        <w:t>（</w:t>
      </w:r>
      <w:r>
        <w:rPr>
          <w:rFonts w:hint="eastAsia" w:ascii="Times New Roman" w:hAnsi="Times New Roman" w:cs="Times New Roman"/>
          <w:color w:val="auto"/>
          <w:highlight w:val="none"/>
          <w:lang w:val="en-US" w:eastAsia="zh-CN"/>
        </w:rPr>
        <w:t>二级</w:t>
      </w:r>
      <w:r>
        <w:rPr>
          <w:rFonts w:hint="eastAsia" w:ascii="Times New Roman" w:hAnsi="Times New Roman" w:cs="Times New Roman"/>
          <w:color w:val="auto"/>
          <w:highlight w:val="none"/>
        </w:rPr>
        <w:t>活性炭</w:t>
      </w:r>
      <w:r>
        <w:rPr>
          <w:rFonts w:hint="eastAsia" w:cs="Times New Roman"/>
          <w:color w:val="auto"/>
          <w:highlight w:val="none"/>
          <w:lang w:eastAsia="zh-CN"/>
        </w:rPr>
        <w:t>）</w:t>
      </w:r>
      <w:r>
        <w:rPr>
          <w:rFonts w:hint="eastAsia" w:ascii="Times New Roman" w:hAnsi="Times New Roman" w:cs="Times New Roman"/>
          <w:color w:val="auto"/>
          <w:highlight w:val="none"/>
        </w:rPr>
        <w:t>。活性炭的密度0.40~0.55t/m</w:t>
      </w:r>
      <w:r>
        <w:rPr>
          <w:rFonts w:hint="eastAsia" w:ascii="Times New Roman" w:hAnsi="Times New Roman" w:cs="Times New Roman"/>
          <w:color w:val="auto"/>
          <w:highlight w:val="none"/>
          <w:vertAlign w:val="superscript"/>
        </w:rPr>
        <w:t>3</w:t>
      </w:r>
      <w:r>
        <w:rPr>
          <w:rFonts w:hint="eastAsia" w:cs="Times New Roman"/>
          <w:color w:val="auto"/>
          <w:highlight w:val="none"/>
          <w:lang w:eastAsia="zh-CN"/>
        </w:rPr>
        <w:t>（</w:t>
      </w:r>
      <w:r>
        <w:rPr>
          <w:rFonts w:hint="eastAsia" w:ascii="Times New Roman" w:hAnsi="Times New Roman" w:cs="Times New Roman"/>
          <w:color w:val="auto"/>
          <w:highlight w:val="none"/>
        </w:rPr>
        <w:t>本环评取0.</w:t>
      </w: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t/m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计算</w:t>
      </w:r>
      <w:r>
        <w:rPr>
          <w:rFonts w:hint="eastAsia" w:cs="Times New Roman"/>
          <w:color w:val="auto"/>
          <w:highlight w:val="none"/>
          <w:lang w:eastAsia="zh-CN"/>
        </w:rPr>
        <w:t>）</w:t>
      </w:r>
      <w:r>
        <w:rPr>
          <w:rFonts w:hint="eastAsia" w:ascii="Times New Roman" w:hAnsi="Times New Roman" w:cs="Times New Roman"/>
          <w:color w:val="auto"/>
          <w:highlight w:val="none"/>
        </w:rPr>
        <w:t>，则活性炭填充量为</w:t>
      </w:r>
      <w:r>
        <w:rPr>
          <w:rFonts w:hint="eastAsia" w:cs="Times New Roman"/>
          <w:color w:val="auto"/>
          <w:highlight w:val="none"/>
          <w:lang w:val="en-US" w:eastAsia="zh-CN"/>
        </w:rPr>
        <w:t>1.2</w:t>
      </w:r>
      <w:r>
        <w:rPr>
          <w:rFonts w:hint="eastAsia" w:ascii="Times New Roman" w:hAnsi="Times New Roman" w:cs="Times New Roman"/>
          <w:color w:val="auto"/>
          <w:highlight w:val="none"/>
        </w:rPr>
        <w:t>t。项目活性炭更换频次详见表</w:t>
      </w:r>
      <w:r>
        <w:rPr>
          <w:rFonts w:hint="eastAsia" w:ascii="Times New Roman" w:hAnsi="Times New Roman" w:cs="Times New Roman"/>
          <w:color w:val="auto"/>
          <w:highlight w:val="none"/>
          <w:lang w:val="en-US" w:eastAsia="zh-CN"/>
        </w:rPr>
        <w:t>3.4-1</w:t>
      </w:r>
      <w:r>
        <w:rPr>
          <w:rFonts w:hint="eastAsia" w:cs="Times New Roman"/>
          <w:color w:val="auto"/>
          <w:highlight w:val="none"/>
          <w:lang w:val="en-US" w:eastAsia="zh-CN"/>
        </w:rPr>
        <w:t>4</w:t>
      </w:r>
      <w:r>
        <w:rPr>
          <w:rFonts w:hint="eastAsia" w:ascii="Times New Roman" w:hAnsi="Times New Roman" w:cs="Times New Roman"/>
          <w:color w:val="auto"/>
          <w:highlight w:val="none"/>
        </w:rPr>
        <w:t>。</w:t>
      </w:r>
    </w:p>
    <w:p w14:paraId="51D49BD8">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 xml:space="preserve">  项目活性炭更换频次一览表</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094"/>
        <w:gridCol w:w="1137"/>
        <w:gridCol w:w="1770"/>
        <w:gridCol w:w="1890"/>
        <w:gridCol w:w="990"/>
        <w:gridCol w:w="991"/>
      </w:tblGrid>
      <w:tr w14:paraId="476209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29" w:type="dxa"/>
            <w:vMerge w:val="restart"/>
            <w:vAlign w:val="center"/>
          </w:tcPr>
          <w:p w14:paraId="019A4D26">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处理设施编号</w:t>
            </w:r>
          </w:p>
        </w:tc>
        <w:tc>
          <w:tcPr>
            <w:tcW w:w="1094" w:type="dxa"/>
            <w:vMerge w:val="restart"/>
            <w:vAlign w:val="center"/>
          </w:tcPr>
          <w:p w14:paraId="17776C22">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风机量</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/h</w:t>
            </w:r>
            <w:r>
              <w:rPr>
                <w:rFonts w:hint="eastAsia" w:cs="Times New Roman"/>
                <w:color w:val="auto"/>
                <w:highlight w:val="none"/>
                <w:lang w:val="en-US" w:eastAsia="zh-CN"/>
              </w:rPr>
              <w:t>）</w:t>
            </w:r>
          </w:p>
        </w:tc>
        <w:tc>
          <w:tcPr>
            <w:tcW w:w="1137" w:type="dxa"/>
            <w:vMerge w:val="restart"/>
            <w:vAlign w:val="center"/>
          </w:tcPr>
          <w:p w14:paraId="5A689D0E">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设施填充量</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w:t>
            </w:r>
            <w:r>
              <w:rPr>
                <w:rFonts w:hint="eastAsia" w:cs="Times New Roman"/>
                <w:color w:val="auto"/>
                <w:highlight w:val="none"/>
                <w:lang w:val="en-US" w:eastAsia="zh-CN"/>
              </w:rPr>
              <w:t>）</w:t>
            </w:r>
          </w:p>
        </w:tc>
        <w:tc>
          <w:tcPr>
            <w:tcW w:w="1770" w:type="dxa"/>
            <w:vMerge w:val="restart"/>
            <w:vAlign w:val="center"/>
          </w:tcPr>
          <w:p w14:paraId="01F1A331">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一次填充可吸附有机废气量</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w:t>
            </w:r>
            <w:r>
              <w:rPr>
                <w:rFonts w:hint="eastAsia" w:cs="Times New Roman"/>
                <w:color w:val="auto"/>
                <w:highlight w:val="none"/>
                <w:lang w:val="en-US" w:eastAsia="zh-CN"/>
              </w:rPr>
              <w:t>）</w:t>
            </w:r>
          </w:p>
        </w:tc>
        <w:tc>
          <w:tcPr>
            <w:tcW w:w="1890" w:type="dxa"/>
            <w:vMerge w:val="restart"/>
            <w:vAlign w:val="center"/>
          </w:tcPr>
          <w:p w14:paraId="48E5C7A2">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年需吸附</w:t>
            </w:r>
          </w:p>
          <w:p w14:paraId="627E2456">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有机废气量</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t</w:t>
            </w:r>
            <w:r>
              <w:rPr>
                <w:rFonts w:hint="eastAsia" w:cs="Times New Roman"/>
                <w:color w:val="auto"/>
                <w:highlight w:val="none"/>
                <w:lang w:val="en-US" w:eastAsia="zh-CN"/>
              </w:rPr>
              <w:t>）</w:t>
            </w:r>
          </w:p>
        </w:tc>
        <w:tc>
          <w:tcPr>
            <w:tcW w:w="1981" w:type="dxa"/>
            <w:gridSpan w:val="2"/>
            <w:vAlign w:val="center"/>
          </w:tcPr>
          <w:p w14:paraId="2432346E">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年更换次数</w:t>
            </w:r>
          </w:p>
          <w:p w14:paraId="7A927409">
            <w:pPr>
              <w:pStyle w:val="1358"/>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次</w:t>
            </w:r>
            <w:r>
              <w:rPr>
                <w:rFonts w:hint="eastAsia" w:cs="Times New Roman"/>
                <w:color w:val="auto"/>
                <w:highlight w:val="none"/>
                <w:lang w:val="en-US" w:eastAsia="zh-CN"/>
              </w:rPr>
              <w:t>）</w:t>
            </w:r>
          </w:p>
        </w:tc>
      </w:tr>
      <w:tr w14:paraId="3F327E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29" w:type="dxa"/>
            <w:vMerge w:val="continue"/>
            <w:vAlign w:val="center"/>
          </w:tcPr>
          <w:p w14:paraId="5AF3FFAE">
            <w:pPr>
              <w:pStyle w:val="1358"/>
              <w:jc w:val="center"/>
              <w:rPr>
                <w:color w:val="auto"/>
                <w:highlight w:val="none"/>
              </w:rPr>
            </w:pPr>
          </w:p>
        </w:tc>
        <w:tc>
          <w:tcPr>
            <w:tcW w:w="1094" w:type="dxa"/>
            <w:vMerge w:val="continue"/>
            <w:vAlign w:val="center"/>
          </w:tcPr>
          <w:p w14:paraId="7FE5A72F">
            <w:pPr>
              <w:pStyle w:val="1358"/>
              <w:jc w:val="center"/>
              <w:rPr>
                <w:color w:val="auto"/>
                <w:highlight w:val="none"/>
              </w:rPr>
            </w:pPr>
          </w:p>
        </w:tc>
        <w:tc>
          <w:tcPr>
            <w:tcW w:w="1137" w:type="dxa"/>
            <w:vMerge w:val="continue"/>
            <w:vAlign w:val="center"/>
          </w:tcPr>
          <w:p w14:paraId="3FCC15B2">
            <w:pPr>
              <w:pStyle w:val="1358"/>
              <w:jc w:val="center"/>
              <w:rPr>
                <w:color w:val="auto"/>
                <w:highlight w:val="none"/>
              </w:rPr>
            </w:pPr>
          </w:p>
        </w:tc>
        <w:tc>
          <w:tcPr>
            <w:tcW w:w="1770" w:type="dxa"/>
            <w:vMerge w:val="continue"/>
            <w:vAlign w:val="center"/>
          </w:tcPr>
          <w:p w14:paraId="098F930C">
            <w:pPr>
              <w:pStyle w:val="1358"/>
              <w:jc w:val="center"/>
              <w:rPr>
                <w:color w:val="auto"/>
                <w:highlight w:val="none"/>
              </w:rPr>
            </w:pPr>
          </w:p>
        </w:tc>
        <w:tc>
          <w:tcPr>
            <w:tcW w:w="1890" w:type="dxa"/>
            <w:vMerge w:val="continue"/>
            <w:vAlign w:val="center"/>
          </w:tcPr>
          <w:p w14:paraId="281F9ECB">
            <w:pPr>
              <w:pStyle w:val="1358"/>
              <w:jc w:val="center"/>
              <w:rPr>
                <w:color w:val="auto"/>
                <w:highlight w:val="none"/>
              </w:rPr>
            </w:pPr>
          </w:p>
        </w:tc>
        <w:tc>
          <w:tcPr>
            <w:tcW w:w="990" w:type="dxa"/>
            <w:vAlign w:val="center"/>
          </w:tcPr>
          <w:p w14:paraId="2EADA4C3">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理论</w:t>
            </w:r>
          </w:p>
        </w:tc>
        <w:tc>
          <w:tcPr>
            <w:tcW w:w="991" w:type="dxa"/>
            <w:vAlign w:val="center"/>
          </w:tcPr>
          <w:p w14:paraId="560A3664">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实际</w:t>
            </w:r>
          </w:p>
        </w:tc>
      </w:tr>
      <w:tr w14:paraId="7F7BB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9" w:type="dxa"/>
            <w:vAlign w:val="center"/>
          </w:tcPr>
          <w:p w14:paraId="06993931">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T</w:t>
            </w:r>
            <w:r>
              <w:rPr>
                <w:rFonts w:hint="eastAsia" w:ascii="Times New Roman" w:hAnsi="Times New Roman" w:eastAsia="宋体" w:cs="Times New Roman"/>
                <w:color w:val="auto"/>
                <w:highlight w:val="none"/>
                <w:lang w:val="en-US" w:eastAsia="zh-CN"/>
              </w:rPr>
              <w:t>A00</w:t>
            </w:r>
            <w:r>
              <w:rPr>
                <w:rFonts w:hint="eastAsia" w:cs="Times New Roman"/>
                <w:color w:val="auto"/>
                <w:highlight w:val="none"/>
                <w:lang w:val="en-US" w:eastAsia="zh-CN"/>
              </w:rPr>
              <w:t>2</w:t>
            </w:r>
          </w:p>
        </w:tc>
        <w:tc>
          <w:tcPr>
            <w:tcW w:w="1094" w:type="dxa"/>
            <w:vAlign w:val="center"/>
          </w:tcPr>
          <w:p w14:paraId="69B234E9">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w:t>
            </w:r>
            <w:r>
              <w:rPr>
                <w:rFonts w:hint="default" w:ascii="Times New Roman" w:hAnsi="Times New Roman" w:eastAsia="宋体" w:cs="Times New Roman"/>
                <w:color w:val="auto"/>
                <w:highlight w:val="none"/>
                <w:lang w:val="en-US" w:eastAsia="zh-CN"/>
              </w:rPr>
              <w:t>000</w:t>
            </w:r>
          </w:p>
        </w:tc>
        <w:tc>
          <w:tcPr>
            <w:tcW w:w="1137" w:type="dxa"/>
            <w:vAlign w:val="center"/>
          </w:tcPr>
          <w:p w14:paraId="055C42C1">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w:t>
            </w:r>
          </w:p>
        </w:tc>
        <w:tc>
          <w:tcPr>
            <w:tcW w:w="1770" w:type="dxa"/>
            <w:vAlign w:val="center"/>
          </w:tcPr>
          <w:p w14:paraId="2BF2DDAE">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0.36</w:t>
            </w:r>
          </w:p>
        </w:tc>
        <w:tc>
          <w:tcPr>
            <w:tcW w:w="1890" w:type="dxa"/>
            <w:vAlign w:val="center"/>
          </w:tcPr>
          <w:p w14:paraId="00ABC246">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1.3006 </w:t>
            </w:r>
          </w:p>
        </w:tc>
        <w:tc>
          <w:tcPr>
            <w:tcW w:w="990" w:type="dxa"/>
            <w:vAlign w:val="center"/>
          </w:tcPr>
          <w:p w14:paraId="59E90D76">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3.61 </w:t>
            </w:r>
          </w:p>
        </w:tc>
        <w:tc>
          <w:tcPr>
            <w:tcW w:w="991" w:type="dxa"/>
            <w:vAlign w:val="center"/>
          </w:tcPr>
          <w:p w14:paraId="5D20C07F">
            <w:pPr>
              <w:pStyle w:val="1358"/>
              <w:jc w:val="center"/>
              <w:rPr>
                <w:rFonts w:hint="default" w:cs="Times New Roman"/>
                <w:color w:val="auto"/>
                <w:highlight w:val="none"/>
                <w:lang w:val="en-US" w:eastAsia="zh-CN"/>
              </w:rPr>
            </w:pPr>
            <w:r>
              <w:rPr>
                <w:rFonts w:hint="eastAsia" w:cs="Times New Roman"/>
                <w:color w:val="auto"/>
                <w:highlight w:val="none"/>
                <w:lang w:val="en-US" w:eastAsia="zh-CN"/>
              </w:rPr>
              <w:t>4</w:t>
            </w:r>
          </w:p>
        </w:tc>
      </w:tr>
      <w:tr w14:paraId="22560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9" w:type="dxa"/>
            <w:vAlign w:val="center"/>
          </w:tcPr>
          <w:p w14:paraId="2391C71F">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T</w:t>
            </w:r>
            <w:r>
              <w:rPr>
                <w:rFonts w:hint="eastAsia" w:ascii="Times New Roman" w:hAnsi="Times New Roman" w:eastAsia="宋体" w:cs="Times New Roman"/>
                <w:color w:val="auto"/>
                <w:highlight w:val="none"/>
                <w:lang w:val="en-US" w:eastAsia="zh-CN"/>
              </w:rPr>
              <w:t>A00</w:t>
            </w:r>
            <w:r>
              <w:rPr>
                <w:rFonts w:hint="eastAsia" w:cs="Times New Roman"/>
                <w:color w:val="auto"/>
                <w:highlight w:val="none"/>
                <w:lang w:val="en-US" w:eastAsia="zh-CN"/>
              </w:rPr>
              <w:t>3</w:t>
            </w:r>
          </w:p>
        </w:tc>
        <w:tc>
          <w:tcPr>
            <w:tcW w:w="1094" w:type="dxa"/>
            <w:vAlign w:val="center"/>
          </w:tcPr>
          <w:p w14:paraId="14E7DF40">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000</w:t>
            </w:r>
          </w:p>
        </w:tc>
        <w:tc>
          <w:tcPr>
            <w:tcW w:w="1137" w:type="dxa"/>
            <w:vAlign w:val="center"/>
          </w:tcPr>
          <w:p w14:paraId="6EEB7E9F">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w:t>
            </w:r>
          </w:p>
        </w:tc>
        <w:tc>
          <w:tcPr>
            <w:tcW w:w="1770" w:type="dxa"/>
            <w:vAlign w:val="center"/>
          </w:tcPr>
          <w:p w14:paraId="03A7A3E7">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0.36</w:t>
            </w:r>
          </w:p>
        </w:tc>
        <w:tc>
          <w:tcPr>
            <w:tcW w:w="1890" w:type="dxa"/>
            <w:vAlign w:val="center"/>
          </w:tcPr>
          <w:p w14:paraId="27C900F1">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0.0528 </w:t>
            </w:r>
          </w:p>
        </w:tc>
        <w:tc>
          <w:tcPr>
            <w:tcW w:w="990" w:type="dxa"/>
            <w:vAlign w:val="center"/>
          </w:tcPr>
          <w:p w14:paraId="2C2AEEE3">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0.15 </w:t>
            </w:r>
          </w:p>
        </w:tc>
        <w:tc>
          <w:tcPr>
            <w:tcW w:w="991" w:type="dxa"/>
            <w:vAlign w:val="center"/>
          </w:tcPr>
          <w:p w14:paraId="730EE55C">
            <w:pPr>
              <w:pStyle w:val="1358"/>
              <w:jc w:val="center"/>
              <w:rPr>
                <w:rFonts w:hint="default" w:cs="Times New Roman"/>
                <w:color w:val="auto"/>
                <w:highlight w:val="none"/>
                <w:lang w:val="en-US" w:eastAsia="zh-CN"/>
              </w:rPr>
            </w:pPr>
            <w:r>
              <w:rPr>
                <w:rFonts w:hint="eastAsia" w:cs="Times New Roman"/>
                <w:color w:val="auto"/>
                <w:highlight w:val="none"/>
                <w:lang w:val="en-US" w:eastAsia="zh-CN"/>
              </w:rPr>
              <w:t>1</w:t>
            </w:r>
          </w:p>
        </w:tc>
      </w:tr>
      <w:tr w14:paraId="43BDF0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9" w:type="dxa"/>
            <w:vAlign w:val="center"/>
          </w:tcPr>
          <w:p w14:paraId="332820AC">
            <w:pPr>
              <w:pStyle w:val="1358"/>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T</w:t>
            </w:r>
            <w:r>
              <w:rPr>
                <w:rFonts w:hint="eastAsia" w:ascii="Times New Roman" w:hAnsi="Times New Roman" w:eastAsia="宋体" w:cs="Times New Roman"/>
                <w:color w:val="auto"/>
                <w:highlight w:val="none"/>
                <w:lang w:val="en-US" w:eastAsia="zh-CN"/>
              </w:rPr>
              <w:t>A00</w:t>
            </w:r>
            <w:r>
              <w:rPr>
                <w:rFonts w:hint="eastAsia" w:cs="Times New Roman"/>
                <w:color w:val="auto"/>
                <w:highlight w:val="none"/>
                <w:lang w:val="en-US" w:eastAsia="zh-CN"/>
              </w:rPr>
              <w:t>4</w:t>
            </w:r>
          </w:p>
        </w:tc>
        <w:tc>
          <w:tcPr>
            <w:tcW w:w="1094" w:type="dxa"/>
            <w:vAlign w:val="center"/>
          </w:tcPr>
          <w:p w14:paraId="1BE7E1A8">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12000</w:t>
            </w:r>
          </w:p>
        </w:tc>
        <w:tc>
          <w:tcPr>
            <w:tcW w:w="1137" w:type="dxa"/>
            <w:vAlign w:val="center"/>
          </w:tcPr>
          <w:p w14:paraId="5631251F">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w:t>
            </w:r>
          </w:p>
        </w:tc>
        <w:tc>
          <w:tcPr>
            <w:tcW w:w="1770" w:type="dxa"/>
            <w:vAlign w:val="center"/>
          </w:tcPr>
          <w:p w14:paraId="697540E7">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0.36</w:t>
            </w:r>
          </w:p>
        </w:tc>
        <w:tc>
          <w:tcPr>
            <w:tcW w:w="1890" w:type="dxa"/>
            <w:vAlign w:val="center"/>
          </w:tcPr>
          <w:p w14:paraId="68D3343F">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1.1452 </w:t>
            </w:r>
          </w:p>
        </w:tc>
        <w:tc>
          <w:tcPr>
            <w:tcW w:w="990" w:type="dxa"/>
            <w:vAlign w:val="center"/>
          </w:tcPr>
          <w:p w14:paraId="3FF6E4A1">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3.18 </w:t>
            </w:r>
          </w:p>
        </w:tc>
        <w:tc>
          <w:tcPr>
            <w:tcW w:w="991" w:type="dxa"/>
            <w:vAlign w:val="center"/>
          </w:tcPr>
          <w:p w14:paraId="5B8A32A8">
            <w:pPr>
              <w:pStyle w:val="1358"/>
              <w:jc w:val="center"/>
              <w:rPr>
                <w:rFonts w:hint="default" w:cs="Times New Roman"/>
                <w:color w:val="auto"/>
                <w:highlight w:val="none"/>
                <w:lang w:val="en-US" w:eastAsia="zh-CN"/>
              </w:rPr>
            </w:pPr>
            <w:r>
              <w:rPr>
                <w:rFonts w:hint="eastAsia" w:cs="Times New Roman"/>
                <w:color w:val="auto"/>
                <w:highlight w:val="none"/>
                <w:lang w:val="en-US" w:eastAsia="zh-CN"/>
              </w:rPr>
              <w:t>4</w:t>
            </w:r>
          </w:p>
        </w:tc>
      </w:tr>
      <w:tr w14:paraId="2CEAB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0" w:type="dxa"/>
            <w:gridSpan w:val="4"/>
            <w:vAlign w:val="center"/>
          </w:tcPr>
          <w:p w14:paraId="79DB9252">
            <w:pPr>
              <w:pStyle w:val="1358"/>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1890" w:type="dxa"/>
            <w:shd w:val="clear" w:color="auto" w:fill="auto"/>
            <w:vAlign w:val="center"/>
          </w:tcPr>
          <w:p w14:paraId="29C4AC9A">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2.4985 </w:t>
            </w:r>
          </w:p>
        </w:tc>
        <w:tc>
          <w:tcPr>
            <w:tcW w:w="990" w:type="dxa"/>
            <w:vAlign w:val="center"/>
          </w:tcPr>
          <w:p w14:paraId="0E876C5E">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991" w:type="dxa"/>
            <w:vAlign w:val="center"/>
          </w:tcPr>
          <w:p w14:paraId="5EB37792">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w:t>
            </w:r>
          </w:p>
        </w:tc>
      </w:tr>
    </w:tbl>
    <w:p w14:paraId="131F66C4">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根据活性炭年更换次数计算，项目所需活性炭为</w:t>
      </w:r>
      <w:r>
        <w:rPr>
          <w:rFonts w:hint="eastAsia" w:cs="Times New Roman"/>
          <w:color w:val="auto"/>
          <w:highlight w:val="none"/>
          <w:lang w:val="en-US" w:eastAsia="zh-CN"/>
        </w:rPr>
        <w:t>9</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1.2</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10.8</w:t>
      </w:r>
      <w:r>
        <w:rPr>
          <w:rFonts w:hint="eastAsia" w:ascii="Times New Roman" w:hAnsi="Times New Roman" w:eastAsia="宋体" w:cs="Times New Roman"/>
          <w:color w:val="auto"/>
          <w:highlight w:val="none"/>
          <w:lang w:val="en-US" w:eastAsia="zh-CN"/>
        </w:rPr>
        <w:t>t/a，废活性炭产生量为</w:t>
      </w:r>
      <w:r>
        <w:rPr>
          <w:rFonts w:hint="eastAsia" w:cs="Times New Roman"/>
          <w:color w:val="auto"/>
          <w:highlight w:val="none"/>
          <w:lang w:val="en-US" w:eastAsia="zh-CN"/>
        </w:rPr>
        <w:t>10.8</w:t>
      </w:r>
      <w:r>
        <w:rPr>
          <w:rFonts w:hint="eastAsia" w:ascii="Times New Roman" w:hAnsi="Times New Roman" w:eastAsia="宋体" w:cs="Times New Roman"/>
          <w:color w:val="auto"/>
          <w:highlight w:val="none"/>
          <w:lang w:val="en-US" w:eastAsia="zh-CN"/>
        </w:rPr>
        <w:t>+2.4985=</w:t>
      </w:r>
      <w:r>
        <w:rPr>
          <w:rFonts w:hint="eastAsia" w:cs="Times New Roman"/>
          <w:color w:val="auto"/>
          <w:highlight w:val="none"/>
          <w:lang w:val="en-US" w:eastAsia="zh-CN"/>
        </w:rPr>
        <w:t>13.2985</w:t>
      </w:r>
      <w:r>
        <w:rPr>
          <w:rFonts w:hint="eastAsia" w:ascii="Times New Roman" w:hAnsi="Times New Roman" w:eastAsia="宋体" w:cs="Times New Roman"/>
          <w:color w:val="auto"/>
          <w:highlight w:val="none"/>
          <w:lang w:val="en-US" w:eastAsia="zh-CN"/>
        </w:rPr>
        <w:t>t/a。</w:t>
      </w:r>
    </w:p>
    <w:p w14:paraId="52C6094E">
      <w:pPr>
        <w:pStyle w:val="1336"/>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④废干式纸盒（含漆渣）、废过滤棉（含漆渣）</w:t>
      </w:r>
    </w:p>
    <w:p w14:paraId="7B89C70A">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本项目喷漆室拟采用干式纸盒过滤</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过滤棉过滤，点补室拟采用过滤棉过滤，根据物料平衡，喷漆室干式纸盒过滤</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过滤棉过滤吸附的漆渣量为</w:t>
      </w:r>
      <w:r>
        <w:rPr>
          <w:rFonts w:hint="eastAsia" w:cs="Times New Roman"/>
          <w:color w:val="auto"/>
          <w:highlight w:val="none"/>
          <w:lang w:val="en-US" w:eastAsia="zh-CN"/>
        </w:rPr>
        <w:t>16.0529</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（其中干式纸盒过滤吸附漆渣量为</w:t>
      </w:r>
      <w:r>
        <w:rPr>
          <w:rFonts w:hint="eastAsia" w:cs="Times New Roman"/>
          <w:color w:val="auto"/>
          <w:highlight w:val="none"/>
          <w:lang w:val="en-US" w:eastAsia="zh-CN"/>
        </w:rPr>
        <w:t>15.4043</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，过滤棉过滤吸附漆渣量为</w:t>
      </w:r>
      <w:r>
        <w:rPr>
          <w:rFonts w:hint="eastAsia" w:cs="Times New Roman"/>
          <w:color w:val="auto"/>
          <w:highlight w:val="none"/>
          <w:lang w:val="en-US" w:eastAsia="zh-CN"/>
        </w:rPr>
        <w:t>0.6486</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），点补室过滤棉过滤吸附的漆渣量为</w:t>
      </w:r>
      <w:r>
        <w:rPr>
          <w:rFonts w:hint="default" w:ascii="Times New Roman" w:hAnsi="Times New Roman" w:eastAsia="宋体" w:cs="Times New Roman"/>
          <w:color w:val="auto"/>
          <w:highlight w:val="none"/>
          <w:lang w:val="en-US" w:eastAsia="zh-CN"/>
        </w:rPr>
        <w:t>0.0</w:t>
      </w:r>
      <w:r>
        <w:rPr>
          <w:rFonts w:hint="eastAsia" w:cs="Times New Roman"/>
          <w:color w:val="auto"/>
          <w:highlight w:val="none"/>
          <w:lang w:val="en-US" w:eastAsia="zh-CN"/>
        </w:rPr>
        <w:t>009</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。根据环保设备厂房设计资料，单个纸盒吸附量约为</w:t>
      </w:r>
      <w:r>
        <w:rPr>
          <w:rFonts w:hint="default" w:ascii="Times New Roman" w:hAnsi="Times New Roman" w:eastAsia="宋体" w:cs="Times New Roman"/>
          <w:color w:val="auto"/>
          <w:highlight w:val="none"/>
          <w:lang w:val="en-US" w:eastAsia="zh-CN"/>
        </w:rPr>
        <w:t>20kg</w:t>
      </w:r>
      <w:r>
        <w:rPr>
          <w:rFonts w:hint="eastAsia" w:ascii="Times New Roman" w:hAnsi="Times New Roman" w:eastAsia="宋体" w:cs="Times New Roman"/>
          <w:color w:val="auto"/>
          <w:highlight w:val="none"/>
          <w:lang w:val="en-US" w:eastAsia="zh-CN"/>
        </w:rPr>
        <w:t>，则需用</w:t>
      </w:r>
      <w:r>
        <w:rPr>
          <w:rFonts w:hint="eastAsia" w:cs="Times New Roman"/>
          <w:color w:val="auto"/>
          <w:highlight w:val="none"/>
          <w:lang w:val="en-US" w:eastAsia="zh-CN"/>
        </w:rPr>
        <w:t>771</w:t>
      </w:r>
      <w:r>
        <w:rPr>
          <w:rFonts w:hint="eastAsia" w:ascii="Times New Roman" w:hAnsi="Times New Roman" w:eastAsia="宋体" w:cs="Times New Roman"/>
          <w:color w:val="auto"/>
          <w:highlight w:val="none"/>
          <w:lang w:val="en-US" w:eastAsia="zh-CN"/>
        </w:rPr>
        <w:t>个干式纸盒，单个干式纸盒重量约为</w:t>
      </w:r>
      <w:r>
        <w:rPr>
          <w:rFonts w:hint="default" w:ascii="Times New Roman" w:hAnsi="Times New Roman" w:eastAsia="宋体" w:cs="Times New Roman"/>
          <w:color w:val="auto"/>
          <w:highlight w:val="none"/>
          <w:lang w:val="en-US" w:eastAsia="zh-CN"/>
        </w:rPr>
        <w:t>0.8kg</w:t>
      </w:r>
      <w:r>
        <w:rPr>
          <w:rFonts w:hint="eastAsia" w:ascii="Times New Roman" w:hAnsi="Times New Roman" w:eastAsia="宋体" w:cs="Times New Roman"/>
          <w:color w:val="auto"/>
          <w:highlight w:val="none"/>
          <w:lang w:val="en-US" w:eastAsia="zh-CN"/>
        </w:rPr>
        <w:t>，干式纸盒重量共为</w:t>
      </w:r>
      <w:r>
        <w:rPr>
          <w:rFonts w:hint="eastAsia" w:cs="Times New Roman"/>
          <w:color w:val="auto"/>
          <w:highlight w:val="none"/>
          <w:lang w:val="en-US" w:eastAsia="zh-CN"/>
        </w:rPr>
        <w:t>0.6168</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，则废干式纸盒（含漆渣）产生量为</w:t>
      </w:r>
      <w:r>
        <w:rPr>
          <w:rFonts w:hint="eastAsia" w:cs="Times New Roman"/>
          <w:color w:val="auto"/>
          <w:highlight w:val="none"/>
          <w:lang w:val="en-US" w:eastAsia="zh-CN"/>
        </w:rPr>
        <w:t>16.0211</w:t>
      </w:r>
      <w:r>
        <w:rPr>
          <w:rFonts w:hint="default" w:ascii="Times New Roman" w:hAnsi="Times New Roman" w:eastAsia="宋体" w:cs="Times New Roman"/>
          <w:color w:val="auto"/>
          <w:highlight w:val="none"/>
          <w:lang w:val="en-US" w:eastAsia="zh-CN"/>
        </w:rPr>
        <w:t>t/a</w:t>
      </w:r>
      <w:r>
        <w:rPr>
          <w:rFonts w:hint="eastAsia" w:ascii="Times New Roman" w:hAnsi="Times New Roman" w:eastAsia="宋体" w:cs="Times New Roman"/>
          <w:color w:val="auto"/>
          <w:highlight w:val="none"/>
          <w:lang w:val="en-US" w:eastAsia="zh-CN"/>
        </w:rPr>
        <w:t>。根据《漆雾高效干式净化法的关键-过滤材料》文中同类型过滤棉数据，容尘量取4.5kg/m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重量取500g/m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过滤棉过滤吸附漆渣量共为</w:t>
      </w:r>
      <w:r>
        <w:rPr>
          <w:rFonts w:hint="eastAsia" w:cs="Times New Roman"/>
          <w:color w:val="auto"/>
          <w:highlight w:val="none"/>
          <w:lang w:val="en-US" w:eastAsia="zh-CN"/>
        </w:rPr>
        <w:t>0.6495</w:t>
      </w:r>
      <w:r>
        <w:rPr>
          <w:rFonts w:hint="eastAsia" w:ascii="Times New Roman" w:hAnsi="Times New Roman" w:eastAsia="宋体" w:cs="Times New Roman"/>
          <w:color w:val="auto"/>
          <w:highlight w:val="none"/>
          <w:lang w:val="en-US" w:eastAsia="zh-CN"/>
        </w:rPr>
        <w:t>ta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过滤棉消耗量约为</w:t>
      </w:r>
      <w:r>
        <w:rPr>
          <w:rFonts w:hint="eastAsia" w:cs="Times New Roman"/>
          <w:color w:val="auto"/>
          <w:highlight w:val="none"/>
          <w:lang w:val="en-US" w:eastAsia="zh-CN"/>
        </w:rPr>
        <w:t>144</w:t>
      </w:r>
      <w:r>
        <w:rPr>
          <w:rFonts w:hint="eastAsia" w:ascii="Times New Roman" w:hAnsi="Times New Roman" w:eastAsia="宋体" w:cs="Times New Roman"/>
          <w:color w:val="auto"/>
          <w:highlight w:val="none"/>
          <w:lang w:val="en-US" w:eastAsia="zh-CN"/>
        </w:rPr>
        <w:t>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过滤棉量约为</w:t>
      </w:r>
      <w:r>
        <w:rPr>
          <w:rFonts w:hint="eastAsia" w:cs="Times New Roman"/>
          <w:color w:val="auto"/>
          <w:highlight w:val="none"/>
          <w:lang w:val="en-US" w:eastAsia="zh-CN"/>
        </w:rPr>
        <w:t>0.0720</w:t>
      </w:r>
      <w:r>
        <w:rPr>
          <w:rFonts w:hint="default" w:ascii="Times New Roman" w:hAnsi="Times New Roman" w:eastAsia="宋体" w:cs="Times New Roman"/>
          <w:color w:val="auto"/>
          <w:highlight w:val="none"/>
          <w:lang w:val="en-US" w:eastAsia="zh-CN"/>
        </w:rPr>
        <w:t>t/a</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则废过滤棉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含漆渣</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产生量为</w:t>
      </w:r>
      <w:r>
        <w:rPr>
          <w:rFonts w:hint="eastAsia" w:cs="Times New Roman"/>
          <w:color w:val="auto"/>
          <w:highlight w:val="none"/>
          <w:lang w:val="en-US" w:eastAsia="zh-CN"/>
        </w:rPr>
        <w:t>0.7215</w:t>
      </w:r>
      <w:r>
        <w:rPr>
          <w:rFonts w:hint="eastAsia" w:ascii="Times New Roman" w:hAnsi="Times New Roman" w:eastAsia="宋体" w:cs="Times New Roman"/>
          <w:color w:val="auto"/>
          <w:highlight w:val="none"/>
          <w:lang w:val="en-US" w:eastAsia="zh-CN"/>
        </w:rPr>
        <w:t>t/a。经查阅</w:t>
      </w:r>
      <w:r>
        <w:rPr>
          <w:rFonts w:hint="default" w:ascii="Times New Roman" w:hAnsi="Times New Roman" w:cs="Times New Roman"/>
          <w:color w:val="auto"/>
          <w:highlight w:val="none"/>
          <w:lang w:val="en-US" w:eastAsia="zh-CN"/>
        </w:rPr>
        <w:t>《国家危险废物名录</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2025年版</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废干式纸盒和废过滤棉属于危险废物，</w:t>
      </w:r>
      <w:r>
        <w:rPr>
          <w:rFonts w:hint="default" w:ascii="Times New Roman" w:hAnsi="Times New Roman" w:cs="Times New Roman"/>
          <w:color w:val="auto"/>
          <w:highlight w:val="none"/>
          <w:lang w:val="en-US" w:eastAsia="zh-CN"/>
        </w:rPr>
        <w:t>其危险废物类别为HW49（900-041-49），妥善收集后暂存于</w:t>
      </w:r>
      <w:r>
        <w:rPr>
          <w:rFonts w:hint="eastAsia" w:ascii="Times New Roman" w:hAnsi="Times New Roman" w:cs="Times New Roman"/>
          <w:color w:val="auto"/>
          <w:highlight w:val="none"/>
          <w:lang w:val="en-US" w:eastAsia="zh-CN"/>
        </w:rPr>
        <w:t>危废贮存库</w:t>
      </w:r>
      <w:r>
        <w:rPr>
          <w:rFonts w:hint="default" w:ascii="Times New Roman" w:hAnsi="Times New Roman" w:cs="Times New Roman"/>
          <w:color w:val="auto"/>
          <w:highlight w:val="none"/>
          <w:lang w:val="en-US" w:eastAsia="zh-CN"/>
        </w:rPr>
        <w:t>，定期委托有资质单位处置</w:t>
      </w:r>
      <w:r>
        <w:rPr>
          <w:rFonts w:hint="eastAsia" w:ascii="Times New Roman" w:hAnsi="Times New Roman" w:eastAsia="宋体" w:cs="Times New Roman"/>
          <w:color w:val="auto"/>
          <w:highlight w:val="none"/>
          <w:lang w:val="en-US" w:eastAsia="zh-CN"/>
        </w:rPr>
        <w:t>。</w:t>
      </w:r>
    </w:p>
    <w:p w14:paraId="7ADEB887">
      <w:pPr>
        <w:pStyle w:val="1336"/>
        <w:ind w:firstLine="48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⑤</w:t>
      </w:r>
      <w:r>
        <w:rPr>
          <w:rFonts w:hint="default" w:ascii="Times New Roman" w:hAnsi="Times New Roman" w:cs="Times New Roman"/>
          <w:color w:val="auto"/>
          <w:highlight w:val="none"/>
        </w:rPr>
        <w:t>废</w:t>
      </w:r>
      <w:r>
        <w:rPr>
          <w:rFonts w:hint="eastAsia" w:cs="Times New Roman"/>
          <w:color w:val="auto"/>
          <w:highlight w:val="none"/>
          <w:lang w:eastAsia="zh-CN"/>
        </w:rPr>
        <w:t>润滑油</w:t>
      </w:r>
    </w:p>
    <w:p w14:paraId="7280FA74">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项目各类机械维修/保养过程将产生一部分废</w:t>
      </w:r>
      <w:r>
        <w:rPr>
          <w:rFonts w:hint="eastAsia" w:cs="Times New Roman"/>
          <w:color w:val="auto"/>
          <w:highlight w:val="none"/>
          <w:lang w:eastAsia="zh-CN"/>
        </w:rPr>
        <w:t>润滑油</w:t>
      </w:r>
      <w:r>
        <w:rPr>
          <w:rFonts w:hint="default" w:ascii="Times New Roman" w:hAnsi="Times New Roman" w:cs="Times New Roman"/>
          <w:color w:val="auto"/>
          <w:highlight w:val="none"/>
        </w:rPr>
        <w:t>，预计废</w:t>
      </w:r>
      <w:r>
        <w:rPr>
          <w:rFonts w:hint="eastAsia" w:cs="Times New Roman"/>
          <w:color w:val="auto"/>
          <w:highlight w:val="none"/>
          <w:lang w:eastAsia="zh-CN"/>
        </w:rPr>
        <w:t>润滑油</w:t>
      </w:r>
      <w:r>
        <w:rPr>
          <w:rFonts w:hint="default" w:ascii="Times New Roman" w:hAnsi="Times New Roman" w:cs="Times New Roman"/>
          <w:color w:val="auto"/>
          <w:highlight w:val="none"/>
        </w:rPr>
        <w:t>产生量为0.5t/a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属于《国家危险废物名录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2025年版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》中规定的危险废物，危废代码HW08</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900-214-08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废</w:t>
      </w:r>
      <w:r>
        <w:rPr>
          <w:rFonts w:hint="eastAsia" w:cs="Times New Roman"/>
          <w:color w:val="auto"/>
          <w:highlight w:val="none"/>
          <w:lang w:eastAsia="zh-CN"/>
        </w:rPr>
        <w:t>润滑油</w:t>
      </w:r>
      <w:r>
        <w:rPr>
          <w:rFonts w:hint="default" w:ascii="Times New Roman" w:hAnsi="Times New Roman" w:cs="Times New Roman"/>
          <w:color w:val="auto"/>
          <w:highlight w:val="none"/>
        </w:rPr>
        <w:t>暂存在</w:t>
      </w:r>
      <w:r>
        <w:rPr>
          <w:rFonts w:hint="eastAsia" w:ascii="Times New Roman" w:hAnsi="Times New Roman" w:cs="Times New Roman"/>
          <w:color w:val="auto"/>
          <w:highlight w:val="none"/>
          <w:lang w:eastAsia="zh-CN"/>
        </w:rPr>
        <w:t>危废贮存库</w:t>
      </w:r>
      <w:r>
        <w:rPr>
          <w:rFonts w:hint="default" w:ascii="Times New Roman" w:hAnsi="Times New Roman" w:cs="Times New Roman"/>
          <w:color w:val="auto"/>
          <w:highlight w:val="none"/>
        </w:rPr>
        <w:t>中，定期委托</w:t>
      </w:r>
      <w:r>
        <w:rPr>
          <w:rFonts w:hint="eastAsia" w:ascii="Times New Roman" w:hAnsi="Times New Roman" w:cs="Times New Roman"/>
          <w:color w:val="auto"/>
          <w:highlight w:val="none"/>
          <w:lang w:eastAsia="zh-CN"/>
        </w:rPr>
        <w:t>有</w:t>
      </w:r>
      <w:r>
        <w:rPr>
          <w:rFonts w:hint="default" w:ascii="Times New Roman" w:hAnsi="Times New Roman" w:cs="Times New Roman"/>
          <w:color w:val="auto"/>
          <w:highlight w:val="none"/>
        </w:rPr>
        <w:t>资质的单位处置。</w:t>
      </w:r>
    </w:p>
    <w:p w14:paraId="47C2CD48">
      <w:pPr>
        <w:pStyle w:val="1336"/>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⑥</w:t>
      </w:r>
      <w:r>
        <w:rPr>
          <w:rFonts w:hint="default" w:ascii="Times New Roman" w:hAnsi="Times New Roman" w:eastAsia="宋体" w:cs="Times New Roman"/>
          <w:color w:val="auto"/>
          <w:highlight w:val="none"/>
          <w:lang w:val="en-US" w:eastAsia="zh-CN"/>
        </w:rPr>
        <w:t>含油的手套及废</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抹布</w:t>
      </w:r>
    </w:p>
    <w:p w14:paraId="270BA191">
      <w:pPr>
        <w:pStyle w:val="1336"/>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设备</w:t>
      </w:r>
      <w:r>
        <w:rPr>
          <w:rFonts w:hint="default" w:ascii="Times New Roman" w:hAnsi="Times New Roman" w:eastAsia="宋体" w:cs="Times New Roman"/>
          <w:color w:val="auto"/>
          <w:highlight w:val="none"/>
          <w:lang w:val="en-US" w:eastAsia="zh-CN"/>
        </w:rPr>
        <w:t>检修和维护保养过程中会产生含油的手套及废抹布</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晾干后的工件取出进行抛光修整，以去除工件表面的油剂及灰尘，</w:t>
      </w:r>
      <w:r>
        <w:rPr>
          <w:rFonts w:hint="default"/>
          <w:color w:val="auto"/>
          <w:highlight w:val="none"/>
          <w:lang w:val="en-US" w:eastAsia="zh-CN"/>
        </w:rPr>
        <w:t>产生量约为</w:t>
      </w:r>
      <w:r>
        <w:rPr>
          <w:rFonts w:hint="eastAsia"/>
          <w:color w:val="auto"/>
          <w:highlight w:val="none"/>
          <w:lang w:val="en-US" w:eastAsia="zh-CN"/>
        </w:rPr>
        <w:t>0.1</w:t>
      </w:r>
      <w:r>
        <w:rPr>
          <w:rFonts w:hint="default"/>
          <w:color w:val="auto"/>
          <w:highlight w:val="none"/>
          <w:lang w:val="en-US" w:eastAsia="zh-CN"/>
        </w:rPr>
        <w:t>t/a</w:t>
      </w:r>
      <w:r>
        <w:rPr>
          <w:rFonts w:hint="eastAsia"/>
          <w:color w:val="auto"/>
          <w:highlight w:val="none"/>
          <w:lang w:val="en-US" w:eastAsia="zh-CN"/>
        </w:rPr>
        <w:t>，</w:t>
      </w:r>
      <w:r>
        <w:rPr>
          <w:rFonts w:hint="eastAsia" w:ascii="Times New Roman" w:hAnsi="Times New Roman" w:eastAsia="宋体" w:cs="Times New Roman"/>
          <w:color w:val="auto"/>
          <w:highlight w:val="none"/>
          <w:lang w:val="en-US" w:eastAsia="zh-CN"/>
        </w:rPr>
        <w:t>属于</w:t>
      </w:r>
      <w:r>
        <w:rPr>
          <w:rFonts w:hint="default" w:ascii="Times New Roman" w:hAnsi="Times New Roman" w:eastAsia="宋体" w:cs="Times New Roman"/>
          <w:color w:val="auto"/>
          <w:highlight w:val="none"/>
          <w:lang w:val="en-US" w:eastAsia="zh-CN"/>
        </w:rPr>
        <w:t>HW49 900-041-49类危险废物，用专门容器收集后作为危险废物规范储存于</w:t>
      </w:r>
      <w:r>
        <w:rPr>
          <w:rFonts w:hint="eastAsia" w:ascii="Times New Roman" w:hAnsi="Times New Roman" w:eastAsia="宋体" w:cs="Times New Roman"/>
          <w:color w:val="auto"/>
          <w:highlight w:val="none"/>
          <w:lang w:val="en-US" w:eastAsia="zh-CN"/>
        </w:rPr>
        <w:t>危废贮存库</w:t>
      </w:r>
      <w:r>
        <w:rPr>
          <w:rFonts w:hint="default" w:ascii="Times New Roman" w:hAnsi="Times New Roman" w:eastAsia="宋体" w:cs="Times New Roman"/>
          <w:color w:val="auto"/>
          <w:highlight w:val="none"/>
          <w:lang w:val="en-US" w:eastAsia="zh-CN"/>
        </w:rPr>
        <w:t>，定期委托有资质单位进行处置。</w:t>
      </w:r>
    </w:p>
    <w:p w14:paraId="32895005">
      <w:pPr>
        <w:pStyle w:val="1336"/>
        <w:ind w:firstLine="480"/>
        <w:rPr>
          <w:rFonts w:hint="eastAsia" w:cs="Times New Roman"/>
          <w:color w:val="auto"/>
          <w:highlight w:val="none"/>
          <w:lang w:val="en-US" w:eastAsia="zh-CN"/>
        </w:rPr>
      </w:pPr>
      <w:r>
        <w:rPr>
          <w:rFonts w:hint="eastAsia" w:cs="Times New Roman"/>
          <w:color w:val="auto"/>
          <w:highlight w:val="none"/>
          <w:lang w:val="en-US" w:eastAsia="zh-CN"/>
        </w:rPr>
        <w:t>⑦热洁炉灰渣</w:t>
      </w:r>
    </w:p>
    <w:p w14:paraId="0CEAD749">
      <w:pPr>
        <w:pStyle w:val="1336"/>
        <w:ind w:firstLine="480"/>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工件退漆完成后，灰渣会掉落在热洁炉腔体内，热洁炉灰渣产生量为0.882t/a，根据《国家危险废物名录（2025年版）》，危废代码为HW18 772-003-18。收集的热洁炉灰渣作为危险废物委托相关资质单位处置。</w:t>
      </w:r>
    </w:p>
    <w:p w14:paraId="7F0E113E">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6</w:t>
      </w:r>
      <w:r>
        <w:rPr>
          <w:rFonts w:hint="eastAsia"/>
          <w:color w:val="auto"/>
          <w:highlight w:val="none"/>
          <w:lang w:eastAsia="zh-CN"/>
        </w:rPr>
        <w:t>）</w:t>
      </w:r>
      <w:r>
        <w:rPr>
          <w:rFonts w:hint="eastAsia"/>
          <w:color w:val="auto"/>
          <w:highlight w:val="none"/>
        </w:rPr>
        <w:t>生活垃圾</w:t>
      </w:r>
    </w:p>
    <w:p w14:paraId="7B2DB240">
      <w:pPr>
        <w:pStyle w:val="1336"/>
        <w:ind w:firstLine="480"/>
        <w:rPr>
          <w:rFonts w:hint="eastAsia"/>
          <w:color w:val="auto"/>
          <w:highlight w:val="none"/>
        </w:rPr>
      </w:pPr>
      <w:r>
        <w:rPr>
          <w:rFonts w:hint="eastAsia"/>
          <w:color w:val="auto"/>
          <w:highlight w:val="none"/>
        </w:rPr>
        <w:t>本项目职工</w:t>
      </w:r>
      <w:r>
        <w:rPr>
          <w:rFonts w:hint="eastAsia"/>
          <w:color w:val="auto"/>
          <w:highlight w:val="none"/>
          <w:lang w:val="en-US" w:eastAsia="zh-CN"/>
        </w:rPr>
        <w:t>50</w:t>
      </w:r>
      <w:r>
        <w:rPr>
          <w:rFonts w:hint="eastAsia"/>
          <w:color w:val="auto"/>
          <w:highlight w:val="none"/>
        </w:rPr>
        <w:t>人，均不在厂内住宿，不住厂员工人均垃圾产生系数以0.5kg/d·人计算，则生活垃圾产生量为</w:t>
      </w:r>
      <w:r>
        <w:rPr>
          <w:rFonts w:hint="eastAsia"/>
          <w:color w:val="auto"/>
          <w:highlight w:val="none"/>
          <w:lang w:val="en-US" w:eastAsia="zh-CN"/>
        </w:rPr>
        <w:t>25</w:t>
      </w:r>
      <w:r>
        <w:rPr>
          <w:rFonts w:hint="eastAsia"/>
          <w:color w:val="auto"/>
          <w:highlight w:val="none"/>
        </w:rPr>
        <w:t>kg/d</w:t>
      </w:r>
      <w:r>
        <w:rPr>
          <w:rFonts w:hint="eastAsia"/>
          <w:color w:val="auto"/>
          <w:highlight w:val="none"/>
          <w:lang w:eastAsia="zh-CN"/>
        </w:rPr>
        <w:t>（</w:t>
      </w:r>
      <w:r>
        <w:rPr>
          <w:rFonts w:hint="eastAsia"/>
          <w:color w:val="auto"/>
          <w:highlight w:val="none"/>
          <w:lang w:val="en-US" w:eastAsia="zh-CN"/>
        </w:rPr>
        <w:t>7.5</w:t>
      </w:r>
      <w:r>
        <w:rPr>
          <w:rFonts w:hint="eastAsia"/>
          <w:color w:val="auto"/>
          <w:highlight w:val="none"/>
        </w:rPr>
        <w:t>t/a</w:t>
      </w:r>
      <w:r>
        <w:rPr>
          <w:rFonts w:hint="eastAsia"/>
          <w:color w:val="auto"/>
          <w:highlight w:val="none"/>
          <w:lang w:eastAsia="zh-CN"/>
        </w:rPr>
        <w:t>），</w:t>
      </w:r>
      <w:r>
        <w:rPr>
          <w:rFonts w:hint="eastAsia"/>
          <w:color w:val="auto"/>
          <w:highlight w:val="none"/>
        </w:rPr>
        <w:t>生活垃圾分类收集后交由环卫部门统一清运处理。</w:t>
      </w:r>
    </w:p>
    <w:p w14:paraId="459B5CD1">
      <w:pPr>
        <w:pStyle w:val="1336"/>
        <w:ind w:firstLine="480"/>
        <w:rPr>
          <w:color w:val="auto"/>
          <w:highlight w:val="none"/>
        </w:rPr>
      </w:pPr>
      <w:r>
        <w:rPr>
          <w:color w:val="auto"/>
          <w:highlight w:val="none"/>
        </w:rPr>
        <w:t>项目危险废物汇总详见下表</w:t>
      </w:r>
      <w:r>
        <w:rPr>
          <w:rFonts w:hint="eastAsia"/>
          <w:color w:val="auto"/>
          <w:highlight w:val="none"/>
          <w:lang w:eastAsia="zh-CN"/>
        </w:rPr>
        <w:t>3.4</w:t>
      </w:r>
      <w:r>
        <w:rPr>
          <w:color w:val="auto"/>
          <w:highlight w:val="none"/>
        </w:rPr>
        <w:t>-</w:t>
      </w:r>
      <w:r>
        <w:rPr>
          <w:rFonts w:hint="eastAsia"/>
          <w:color w:val="auto"/>
          <w:highlight w:val="none"/>
          <w:lang w:val="en-US" w:eastAsia="zh-CN"/>
        </w:rPr>
        <w:t>15</w:t>
      </w:r>
      <w:r>
        <w:rPr>
          <w:color w:val="auto"/>
          <w:highlight w:val="none"/>
        </w:rPr>
        <w:t>。</w:t>
      </w:r>
    </w:p>
    <w:p w14:paraId="5C118D9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5</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危险废物汇总表</w:t>
      </w:r>
    </w:p>
    <w:tbl>
      <w:tblPr>
        <w:tblStyle w:val="80"/>
        <w:tblW w:w="49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083"/>
        <w:gridCol w:w="1322"/>
        <w:gridCol w:w="1051"/>
        <w:gridCol w:w="1019"/>
        <w:gridCol w:w="762"/>
        <w:gridCol w:w="729"/>
        <w:gridCol w:w="659"/>
        <w:gridCol w:w="611"/>
        <w:gridCol w:w="674"/>
      </w:tblGrid>
      <w:tr w14:paraId="3EC6D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noWrap w:val="0"/>
            <w:vAlign w:val="center"/>
          </w:tcPr>
          <w:p w14:paraId="60070DC6">
            <w:pPr>
              <w:pStyle w:val="1358"/>
              <w:rPr>
                <w:color w:val="auto"/>
                <w:highlight w:val="none"/>
              </w:rPr>
            </w:pPr>
            <w:r>
              <w:rPr>
                <w:color w:val="auto"/>
                <w:highlight w:val="none"/>
              </w:rPr>
              <w:t>危险废物名称</w:t>
            </w:r>
          </w:p>
        </w:tc>
        <w:tc>
          <w:tcPr>
            <w:tcW w:w="603" w:type="pct"/>
            <w:tcBorders>
              <w:tl2br w:val="nil"/>
              <w:tr2bl w:val="nil"/>
            </w:tcBorders>
            <w:noWrap w:val="0"/>
            <w:vAlign w:val="center"/>
          </w:tcPr>
          <w:p w14:paraId="536DA252">
            <w:pPr>
              <w:pStyle w:val="1358"/>
              <w:rPr>
                <w:color w:val="auto"/>
                <w:highlight w:val="none"/>
              </w:rPr>
            </w:pPr>
            <w:r>
              <w:rPr>
                <w:color w:val="auto"/>
                <w:highlight w:val="none"/>
              </w:rPr>
              <w:t>危险废物类别</w:t>
            </w:r>
          </w:p>
        </w:tc>
        <w:tc>
          <w:tcPr>
            <w:tcW w:w="736" w:type="pct"/>
            <w:tcBorders>
              <w:tl2br w:val="nil"/>
              <w:tr2bl w:val="nil"/>
            </w:tcBorders>
            <w:noWrap w:val="0"/>
            <w:vAlign w:val="center"/>
          </w:tcPr>
          <w:p w14:paraId="1A566EE5">
            <w:pPr>
              <w:pStyle w:val="1358"/>
              <w:rPr>
                <w:color w:val="auto"/>
                <w:highlight w:val="none"/>
              </w:rPr>
            </w:pPr>
            <w:r>
              <w:rPr>
                <w:color w:val="auto"/>
                <w:highlight w:val="none"/>
              </w:rPr>
              <w:t>危险废物代码</w:t>
            </w:r>
          </w:p>
        </w:tc>
        <w:tc>
          <w:tcPr>
            <w:tcW w:w="585" w:type="pct"/>
            <w:tcBorders>
              <w:tl2br w:val="nil"/>
              <w:tr2bl w:val="nil"/>
            </w:tcBorders>
            <w:noWrap w:val="0"/>
            <w:vAlign w:val="center"/>
          </w:tcPr>
          <w:p w14:paraId="7145EA78">
            <w:pPr>
              <w:pStyle w:val="1358"/>
              <w:rPr>
                <w:color w:val="auto"/>
                <w:highlight w:val="none"/>
              </w:rPr>
            </w:pPr>
            <w:r>
              <w:rPr>
                <w:color w:val="auto"/>
                <w:highlight w:val="none"/>
              </w:rPr>
              <w:t>产生量（t/a）</w:t>
            </w:r>
          </w:p>
        </w:tc>
        <w:tc>
          <w:tcPr>
            <w:tcW w:w="567" w:type="pct"/>
            <w:tcBorders>
              <w:tl2br w:val="nil"/>
              <w:tr2bl w:val="nil"/>
            </w:tcBorders>
            <w:noWrap w:val="0"/>
            <w:vAlign w:val="center"/>
          </w:tcPr>
          <w:p w14:paraId="7719B83F">
            <w:pPr>
              <w:pStyle w:val="1358"/>
              <w:rPr>
                <w:color w:val="auto"/>
                <w:highlight w:val="none"/>
              </w:rPr>
            </w:pPr>
            <w:r>
              <w:rPr>
                <w:color w:val="auto"/>
                <w:highlight w:val="none"/>
              </w:rPr>
              <w:t>产生工序及装置</w:t>
            </w:r>
          </w:p>
        </w:tc>
        <w:tc>
          <w:tcPr>
            <w:tcW w:w="424" w:type="pct"/>
            <w:tcBorders>
              <w:tl2br w:val="nil"/>
              <w:tr2bl w:val="nil"/>
            </w:tcBorders>
            <w:noWrap w:val="0"/>
            <w:vAlign w:val="center"/>
          </w:tcPr>
          <w:p w14:paraId="449F8242">
            <w:pPr>
              <w:pStyle w:val="1358"/>
              <w:rPr>
                <w:color w:val="auto"/>
                <w:highlight w:val="none"/>
              </w:rPr>
            </w:pPr>
            <w:r>
              <w:rPr>
                <w:color w:val="auto"/>
                <w:highlight w:val="none"/>
              </w:rPr>
              <w:t>形态</w:t>
            </w:r>
          </w:p>
        </w:tc>
        <w:tc>
          <w:tcPr>
            <w:tcW w:w="406" w:type="pct"/>
            <w:tcBorders>
              <w:tl2br w:val="nil"/>
              <w:tr2bl w:val="nil"/>
            </w:tcBorders>
            <w:noWrap w:val="0"/>
            <w:vAlign w:val="center"/>
          </w:tcPr>
          <w:p w14:paraId="54643189">
            <w:pPr>
              <w:pStyle w:val="1358"/>
              <w:rPr>
                <w:color w:val="auto"/>
                <w:highlight w:val="none"/>
              </w:rPr>
            </w:pPr>
            <w:r>
              <w:rPr>
                <w:color w:val="auto"/>
                <w:highlight w:val="none"/>
              </w:rPr>
              <w:t>主要成分</w:t>
            </w:r>
          </w:p>
        </w:tc>
        <w:tc>
          <w:tcPr>
            <w:tcW w:w="367" w:type="pct"/>
            <w:tcBorders>
              <w:tl2br w:val="nil"/>
              <w:tr2bl w:val="nil"/>
            </w:tcBorders>
            <w:noWrap w:val="0"/>
            <w:vAlign w:val="center"/>
          </w:tcPr>
          <w:p w14:paraId="5BE94FC4">
            <w:pPr>
              <w:pStyle w:val="1358"/>
              <w:rPr>
                <w:color w:val="auto"/>
                <w:highlight w:val="none"/>
              </w:rPr>
            </w:pPr>
            <w:r>
              <w:rPr>
                <w:color w:val="auto"/>
                <w:highlight w:val="none"/>
              </w:rPr>
              <w:t>有害成分</w:t>
            </w:r>
          </w:p>
        </w:tc>
        <w:tc>
          <w:tcPr>
            <w:tcW w:w="340" w:type="pct"/>
            <w:tcBorders>
              <w:tl2br w:val="nil"/>
              <w:tr2bl w:val="nil"/>
            </w:tcBorders>
            <w:noWrap w:val="0"/>
            <w:vAlign w:val="center"/>
          </w:tcPr>
          <w:p w14:paraId="26926FA4">
            <w:pPr>
              <w:pStyle w:val="1358"/>
              <w:rPr>
                <w:color w:val="auto"/>
                <w:highlight w:val="none"/>
              </w:rPr>
            </w:pPr>
            <w:r>
              <w:rPr>
                <w:color w:val="auto"/>
                <w:highlight w:val="none"/>
              </w:rPr>
              <w:t>危险</w:t>
            </w:r>
          </w:p>
          <w:p w14:paraId="6545676B">
            <w:pPr>
              <w:pStyle w:val="1358"/>
              <w:rPr>
                <w:color w:val="auto"/>
                <w:highlight w:val="none"/>
              </w:rPr>
            </w:pPr>
            <w:r>
              <w:rPr>
                <w:color w:val="auto"/>
                <w:highlight w:val="none"/>
              </w:rPr>
              <w:t>特性</w:t>
            </w:r>
          </w:p>
        </w:tc>
        <w:tc>
          <w:tcPr>
            <w:tcW w:w="375" w:type="pct"/>
            <w:tcBorders>
              <w:tl2br w:val="nil"/>
              <w:tr2bl w:val="nil"/>
            </w:tcBorders>
            <w:noWrap w:val="0"/>
            <w:vAlign w:val="center"/>
          </w:tcPr>
          <w:p w14:paraId="6933B6C2">
            <w:pPr>
              <w:pStyle w:val="1358"/>
              <w:rPr>
                <w:color w:val="auto"/>
                <w:highlight w:val="none"/>
              </w:rPr>
            </w:pPr>
            <w:r>
              <w:rPr>
                <w:color w:val="auto"/>
                <w:highlight w:val="none"/>
              </w:rPr>
              <w:t>污染防治措施</w:t>
            </w:r>
          </w:p>
        </w:tc>
      </w:tr>
      <w:tr w14:paraId="454385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6CFE2C1F">
            <w:pPr>
              <w:pStyle w:val="1358"/>
              <w:ind w:firstLine="0" w:firstLineChars="0"/>
              <w:rPr>
                <w:rFonts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废包装桶</w:t>
            </w:r>
          </w:p>
        </w:tc>
        <w:tc>
          <w:tcPr>
            <w:tcW w:w="603" w:type="pct"/>
            <w:tcBorders>
              <w:tl2br w:val="nil"/>
              <w:tr2bl w:val="nil"/>
            </w:tcBorders>
            <w:shd w:val="clear" w:color="auto" w:fill="auto"/>
            <w:noWrap w:val="0"/>
            <w:vAlign w:val="center"/>
          </w:tcPr>
          <w:p w14:paraId="41142DD7">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HW</w:t>
            </w:r>
            <w:r>
              <w:rPr>
                <w:rFonts w:hint="eastAsia"/>
                <w:color w:val="auto"/>
                <w:highlight w:val="none"/>
                <w:lang w:val="en-US" w:eastAsia="zh-CN"/>
              </w:rPr>
              <w:t>49</w:t>
            </w:r>
          </w:p>
        </w:tc>
        <w:tc>
          <w:tcPr>
            <w:tcW w:w="736" w:type="pct"/>
            <w:tcBorders>
              <w:tl2br w:val="nil"/>
              <w:tr2bl w:val="nil"/>
            </w:tcBorders>
            <w:shd w:val="clear" w:color="auto" w:fill="auto"/>
            <w:noWrap w:val="0"/>
            <w:vAlign w:val="center"/>
          </w:tcPr>
          <w:p w14:paraId="22DEFDAD">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900-</w:t>
            </w:r>
            <w:r>
              <w:rPr>
                <w:rFonts w:hint="eastAsia"/>
                <w:color w:val="auto"/>
                <w:highlight w:val="none"/>
                <w:lang w:val="en-US" w:eastAsia="zh-CN"/>
              </w:rPr>
              <w:t>041-49</w:t>
            </w:r>
          </w:p>
        </w:tc>
        <w:tc>
          <w:tcPr>
            <w:tcW w:w="585" w:type="pct"/>
            <w:tcBorders>
              <w:tl2br w:val="nil"/>
              <w:tr2bl w:val="nil"/>
            </w:tcBorders>
            <w:shd w:val="clear" w:color="auto" w:fill="auto"/>
            <w:noWrap w:val="0"/>
            <w:vAlign w:val="center"/>
          </w:tcPr>
          <w:p w14:paraId="7DE07B52">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0.</w:t>
            </w:r>
            <w:r>
              <w:rPr>
                <w:rFonts w:hint="eastAsia"/>
                <w:color w:val="auto"/>
                <w:highlight w:val="none"/>
                <w:lang w:val="en-US" w:eastAsia="zh-CN"/>
              </w:rPr>
              <w:t>6</w:t>
            </w:r>
          </w:p>
        </w:tc>
        <w:tc>
          <w:tcPr>
            <w:tcW w:w="567" w:type="pct"/>
            <w:tcBorders>
              <w:tl2br w:val="nil"/>
              <w:tr2bl w:val="nil"/>
            </w:tcBorders>
            <w:shd w:val="clear" w:color="auto" w:fill="auto"/>
            <w:noWrap w:val="0"/>
            <w:vAlign w:val="center"/>
          </w:tcPr>
          <w:p w14:paraId="4A485D74">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喷漆</w:t>
            </w:r>
          </w:p>
        </w:tc>
        <w:tc>
          <w:tcPr>
            <w:tcW w:w="424" w:type="pct"/>
            <w:tcBorders>
              <w:tl2br w:val="nil"/>
              <w:tr2bl w:val="nil"/>
            </w:tcBorders>
            <w:shd w:val="clear" w:color="auto" w:fill="auto"/>
            <w:noWrap w:val="0"/>
            <w:vAlign w:val="center"/>
          </w:tcPr>
          <w:p w14:paraId="22247538">
            <w:pPr>
              <w:pStyle w:val="1358"/>
              <w:ind w:firstLine="0" w:firstLineChars="0"/>
              <w:rPr>
                <w:rFonts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固态</w:t>
            </w:r>
          </w:p>
        </w:tc>
        <w:tc>
          <w:tcPr>
            <w:tcW w:w="406" w:type="pct"/>
            <w:tcBorders>
              <w:tl2br w:val="nil"/>
              <w:tr2bl w:val="nil"/>
            </w:tcBorders>
            <w:shd w:val="clear" w:color="auto" w:fill="auto"/>
            <w:noWrap w:val="0"/>
            <w:vAlign w:val="center"/>
          </w:tcPr>
          <w:p w14:paraId="6B30CEE6">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有机溶剂</w:t>
            </w:r>
          </w:p>
        </w:tc>
        <w:tc>
          <w:tcPr>
            <w:tcW w:w="367" w:type="pct"/>
            <w:tcBorders>
              <w:tl2br w:val="nil"/>
              <w:tr2bl w:val="nil"/>
            </w:tcBorders>
            <w:shd w:val="clear" w:color="auto" w:fill="auto"/>
            <w:noWrap w:val="0"/>
            <w:vAlign w:val="center"/>
          </w:tcPr>
          <w:p w14:paraId="2DA30C7B">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有机溶剂</w:t>
            </w:r>
          </w:p>
        </w:tc>
        <w:tc>
          <w:tcPr>
            <w:tcW w:w="340" w:type="pct"/>
            <w:tcBorders>
              <w:tl2br w:val="nil"/>
              <w:tr2bl w:val="nil"/>
            </w:tcBorders>
            <w:shd w:val="clear" w:color="auto" w:fill="auto"/>
            <w:noWrap w:val="0"/>
            <w:vAlign w:val="center"/>
          </w:tcPr>
          <w:p w14:paraId="09A641C8">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color w:val="auto"/>
                <w:highlight w:val="none"/>
              </w:rPr>
              <w:t>T/In</w:t>
            </w:r>
          </w:p>
        </w:tc>
        <w:tc>
          <w:tcPr>
            <w:tcW w:w="375" w:type="pct"/>
            <w:vMerge w:val="restart"/>
            <w:tcBorders>
              <w:tl2br w:val="nil"/>
              <w:tr2bl w:val="nil"/>
            </w:tcBorders>
            <w:noWrap w:val="0"/>
            <w:vAlign w:val="center"/>
          </w:tcPr>
          <w:p w14:paraId="2296CDC2">
            <w:pPr>
              <w:pStyle w:val="1358"/>
              <w:rPr>
                <w:color w:val="auto"/>
                <w:highlight w:val="none"/>
              </w:rPr>
            </w:pPr>
            <w:r>
              <w:rPr>
                <w:color w:val="auto"/>
                <w:highlight w:val="none"/>
              </w:rPr>
              <w:t>按要求收集后</w:t>
            </w:r>
            <w:r>
              <w:rPr>
                <w:rFonts w:hint="eastAsia"/>
                <w:color w:val="auto"/>
                <w:highlight w:val="none"/>
                <w:lang w:eastAsia="zh-CN"/>
              </w:rPr>
              <w:t>危废贮存库</w:t>
            </w:r>
            <w:r>
              <w:rPr>
                <w:color w:val="auto"/>
                <w:highlight w:val="none"/>
              </w:rPr>
              <w:t>暂存，定期委托有资质的单位集中处置</w:t>
            </w:r>
          </w:p>
        </w:tc>
      </w:tr>
      <w:tr w14:paraId="0CDD6D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0D50B26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废</w:t>
            </w:r>
            <w:r>
              <w:rPr>
                <w:rFonts w:hint="eastAsia" w:cs="Times New Roman"/>
                <w:color w:val="auto"/>
                <w:highlight w:val="none"/>
                <w:lang w:eastAsia="zh-CN"/>
              </w:rPr>
              <w:t>润滑油</w:t>
            </w:r>
          </w:p>
        </w:tc>
        <w:tc>
          <w:tcPr>
            <w:tcW w:w="603" w:type="pct"/>
            <w:tcBorders>
              <w:tl2br w:val="nil"/>
              <w:tr2bl w:val="nil"/>
            </w:tcBorders>
            <w:shd w:val="clear" w:color="auto" w:fill="auto"/>
            <w:noWrap w:val="0"/>
            <w:vAlign w:val="center"/>
          </w:tcPr>
          <w:p w14:paraId="0CB9B1B4">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HW0</w:t>
            </w:r>
            <w:r>
              <w:rPr>
                <w:rFonts w:hint="eastAsia"/>
                <w:color w:val="auto"/>
                <w:highlight w:val="none"/>
                <w:lang w:val="en-US" w:eastAsia="zh-CN"/>
              </w:rPr>
              <w:t>8</w:t>
            </w:r>
          </w:p>
        </w:tc>
        <w:tc>
          <w:tcPr>
            <w:tcW w:w="736" w:type="pct"/>
            <w:tcBorders>
              <w:tl2br w:val="nil"/>
              <w:tr2bl w:val="nil"/>
            </w:tcBorders>
            <w:shd w:val="clear" w:color="auto" w:fill="auto"/>
            <w:noWrap w:val="0"/>
            <w:vAlign w:val="center"/>
          </w:tcPr>
          <w:p w14:paraId="7DF227BD">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900-</w:t>
            </w:r>
            <w:r>
              <w:rPr>
                <w:rFonts w:hint="eastAsia"/>
                <w:color w:val="auto"/>
                <w:highlight w:val="none"/>
                <w:lang w:val="en-US" w:eastAsia="zh-CN"/>
              </w:rPr>
              <w:t>241-08</w:t>
            </w:r>
          </w:p>
        </w:tc>
        <w:tc>
          <w:tcPr>
            <w:tcW w:w="585" w:type="pct"/>
            <w:tcBorders>
              <w:tl2br w:val="nil"/>
              <w:tr2bl w:val="nil"/>
            </w:tcBorders>
            <w:shd w:val="clear" w:color="auto" w:fill="auto"/>
            <w:noWrap w:val="0"/>
            <w:vAlign w:val="center"/>
          </w:tcPr>
          <w:p w14:paraId="78F44BF2">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color w:val="auto"/>
                <w:highlight w:val="none"/>
              </w:rPr>
              <w:t>0.</w:t>
            </w:r>
            <w:r>
              <w:rPr>
                <w:rFonts w:hint="eastAsia"/>
                <w:color w:val="auto"/>
                <w:highlight w:val="none"/>
                <w:lang w:val="en-US" w:eastAsia="zh-CN"/>
              </w:rPr>
              <w:t>5</w:t>
            </w:r>
          </w:p>
        </w:tc>
        <w:tc>
          <w:tcPr>
            <w:tcW w:w="567" w:type="pct"/>
            <w:tcBorders>
              <w:tl2br w:val="nil"/>
              <w:tr2bl w:val="nil"/>
            </w:tcBorders>
            <w:shd w:val="clear" w:color="auto" w:fill="auto"/>
            <w:noWrap w:val="0"/>
            <w:vAlign w:val="center"/>
          </w:tcPr>
          <w:p w14:paraId="33A7D923">
            <w:pPr>
              <w:pStyle w:val="1358"/>
              <w:rPr>
                <w:rFonts w:hint="eastAsia"/>
                <w:color w:val="auto"/>
                <w:highlight w:val="none"/>
                <w:lang w:val="en-US" w:eastAsia="zh-CN"/>
              </w:rPr>
            </w:pPr>
            <w:r>
              <w:rPr>
                <w:rFonts w:hint="eastAsia"/>
                <w:color w:val="auto"/>
                <w:highlight w:val="none"/>
                <w:lang w:val="en-US" w:eastAsia="zh-CN"/>
              </w:rPr>
              <w:t>设备</w:t>
            </w:r>
          </w:p>
          <w:p w14:paraId="38430AA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运维</w:t>
            </w:r>
          </w:p>
        </w:tc>
        <w:tc>
          <w:tcPr>
            <w:tcW w:w="424" w:type="pct"/>
            <w:tcBorders>
              <w:tl2br w:val="nil"/>
              <w:tr2bl w:val="nil"/>
            </w:tcBorders>
            <w:shd w:val="clear" w:color="auto" w:fill="auto"/>
            <w:noWrap w:val="0"/>
            <w:vAlign w:val="center"/>
          </w:tcPr>
          <w:p w14:paraId="7D17A15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液态</w:t>
            </w:r>
          </w:p>
        </w:tc>
        <w:tc>
          <w:tcPr>
            <w:tcW w:w="406" w:type="pct"/>
            <w:tcBorders>
              <w:tl2br w:val="nil"/>
              <w:tr2bl w:val="nil"/>
            </w:tcBorders>
            <w:shd w:val="clear" w:color="auto" w:fill="auto"/>
            <w:noWrap w:val="0"/>
            <w:vAlign w:val="center"/>
          </w:tcPr>
          <w:p w14:paraId="256D8103">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油类</w:t>
            </w:r>
          </w:p>
        </w:tc>
        <w:tc>
          <w:tcPr>
            <w:tcW w:w="367" w:type="pct"/>
            <w:tcBorders>
              <w:tl2br w:val="nil"/>
              <w:tr2bl w:val="nil"/>
            </w:tcBorders>
            <w:shd w:val="clear" w:color="auto" w:fill="auto"/>
            <w:noWrap w:val="0"/>
            <w:vAlign w:val="center"/>
          </w:tcPr>
          <w:p w14:paraId="6804614F">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油类</w:t>
            </w:r>
          </w:p>
        </w:tc>
        <w:tc>
          <w:tcPr>
            <w:tcW w:w="340" w:type="pct"/>
            <w:tcBorders>
              <w:tl2br w:val="nil"/>
              <w:tr2bl w:val="nil"/>
            </w:tcBorders>
            <w:shd w:val="clear" w:color="auto" w:fill="auto"/>
            <w:noWrap w:val="0"/>
            <w:vAlign w:val="center"/>
          </w:tcPr>
          <w:p w14:paraId="6AE2A8AE">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color w:val="auto"/>
                <w:highlight w:val="none"/>
              </w:rPr>
              <w:t>T，I</w:t>
            </w:r>
          </w:p>
        </w:tc>
        <w:tc>
          <w:tcPr>
            <w:tcW w:w="375" w:type="pct"/>
            <w:vMerge w:val="continue"/>
            <w:tcBorders>
              <w:tl2br w:val="nil"/>
              <w:tr2bl w:val="nil"/>
            </w:tcBorders>
            <w:noWrap w:val="0"/>
            <w:vAlign w:val="center"/>
          </w:tcPr>
          <w:p w14:paraId="32761DDC">
            <w:pPr>
              <w:pStyle w:val="1358"/>
              <w:rPr>
                <w:color w:val="auto"/>
                <w:highlight w:val="none"/>
              </w:rPr>
            </w:pPr>
          </w:p>
        </w:tc>
      </w:tr>
      <w:tr w14:paraId="06072C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1F4D767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废活性炭</w:t>
            </w:r>
          </w:p>
        </w:tc>
        <w:tc>
          <w:tcPr>
            <w:tcW w:w="603" w:type="pct"/>
            <w:tcBorders>
              <w:tl2br w:val="nil"/>
              <w:tr2bl w:val="nil"/>
            </w:tcBorders>
            <w:shd w:val="clear" w:color="auto" w:fill="auto"/>
            <w:noWrap w:val="0"/>
            <w:vAlign w:val="center"/>
          </w:tcPr>
          <w:p w14:paraId="46487968">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highlight w:val="none"/>
              </w:rPr>
              <w:t>HW</w:t>
            </w:r>
            <w:r>
              <w:rPr>
                <w:rFonts w:hint="eastAsia" w:ascii="Times New Roman" w:hAnsi="Times New Roman" w:eastAsia="宋体" w:cs="Times New Roman"/>
                <w:color w:val="auto"/>
                <w:highlight w:val="none"/>
                <w:lang w:val="en-US" w:eastAsia="zh-CN"/>
              </w:rPr>
              <w:t>49</w:t>
            </w:r>
          </w:p>
        </w:tc>
        <w:tc>
          <w:tcPr>
            <w:tcW w:w="736" w:type="pct"/>
            <w:tcBorders>
              <w:tl2br w:val="nil"/>
              <w:tr2bl w:val="nil"/>
            </w:tcBorders>
            <w:shd w:val="clear" w:color="auto" w:fill="auto"/>
            <w:noWrap w:val="0"/>
            <w:vAlign w:val="center"/>
          </w:tcPr>
          <w:p w14:paraId="02675207">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eastAsia="zh-CN"/>
              </w:rPr>
              <w:t>900-</w:t>
            </w:r>
            <w:r>
              <w:rPr>
                <w:rFonts w:hint="eastAsia" w:ascii="Times New Roman" w:hAnsi="Times New Roman" w:eastAsia="宋体" w:cs="Times New Roman"/>
                <w:color w:val="auto"/>
                <w:highlight w:val="none"/>
                <w:lang w:val="en-US" w:eastAsia="zh-CN"/>
              </w:rPr>
              <w:t>039</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49</w:t>
            </w:r>
          </w:p>
        </w:tc>
        <w:tc>
          <w:tcPr>
            <w:tcW w:w="585" w:type="pct"/>
            <w:tcBorders>
              <w:tl2br w:val="nil"/>
              <w:tr2bl w:val="nil"/>
            </w:tcBorders>
            <w:shd w:val="clear" w:color="auto" w:fill="auto"/>
            <w:noWrap w:val="0"/>
            <w:vAlign w:val="center"/>
          </w:tcPr>
          <w:p w14:paraId="09704D3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13.2985</w:t>
            </w:r>
          </w:p>
        </w:tc>
        <w:tc>
          <w:tcPr>
            <w:tcW w:w="567" w:type="pct"/>
            <w:tcBorders>
              <w:tl2br w:val="nil"/>
              <w:tr2bl w:val="nil"/>
            </w:tcBorders>
            <w:shd w:val="clear" w:color="auto" w:fill="auto"/>
            <w:noWrap w:val="0"/>
            <w:vAlign w:val="center"/>
          </w:tcPr>
          <w:p w14:paraId="1A519AEF">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废气处理</w:t>
            </w:r>
          </w:p>
        </w:tc>
        <w:tc>
          <w:tcPr>
            <w:tcW w:w="424" w:type="pct"/>
            <w:tcBorders>
              <w:tl2br w:val="nil"/>
              <w:tr2bl w:val="nil"/>
            </w:tcBorders>
            <w:shd w:val="clear" w:color="auto" w:fill="auto"/>
            <w:noWrap w:val="0"/>
            <w:vAlign w:val="center"/>
          </w:tcPr>
          <w:p w14:paraId="56ECEA4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固态</w:t>
            </w:r>
          </w:p>
        </w:tc>
        <w:tc>
          <w:tcPr>
            <w:tcW w:w="406" w:type="pct"/>
            <w:tcBorders>
              <w:tl2br w:val="nil"/>
              <w:tr2bl w:val="nil"/>
            </w:tcBorders>
            <w:shd w:val="clear" w:color="auto" w:fill="auto"/>
            <w:noWrap w:val="0"/>
            <w:vAlign w:val="center"/>
          </w:tcPr>
          <w:p w14:paraId="443D6BB5">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有机废气</w:t>
            </w:r>
          </w:p>
        </w:tc>
        <w:tc>
          <w:tcPr>
            <w:tcW w:w="367" w:type="pct"/>
            <w:tcBorders>
              <w:tl2br w:val="nil"/>
              <w:tr2bl w:val="nil"/>
            </w:tcBorders>
            <w:shd w:val="clear" w:color="auto" w:fill="auto"/>
            <w:noWrap w:val="0"/>
            <w:vAlign w:val="center"/>
          </w:tcPr>
          <w:p w14:paraId="235950DE">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有机废气</w:t>
            </w:r>
          </w:p>
        </w:tc>
        <w:tc>
          <w:tcPr>
            <w:tcW w:w="340" w:type="pct"/>
            <w:tcBorders>
              <w:tl2br w:val="nil"/>
              <w:tr2bl w:val="nil"/>
            </w:tcBorders>
            <w:shd w:val="clear" w:color="auto" w:fill="auto"/>
            <w:noWrap w:val="0"/>
            <w:vAlign w:val="center"/>
          </w:tcPr>
          <w:p w14:paraId="2066D31A">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T</w:t>
            </w:r>
          </w:p>
        </w:tc>
        <w:tc>
          <w:tcPr>
            <w:tcW w:w="375" w:type="pct"/>
            <w:vMerge w:val="continue"/>
            <w:tcBorders>
              <w:tl2br w:val="nil"/>
              <w:tr2bl w:val="nil"/>
            </w:tcBorders>
            <w:noWrap w:val="0"/>
            <w:vAlign w:val="center"/>
          </w:tcPr>
          <w:p w14:paraId="10ECF14F">
            <w:pPr>
              <w:pStyle w:val="1358"/>
              <w:rPr>
                <w:color w:val="auto"/>
                <w:highlight w:val="none"/>
              </w:rPr>
            </w:pPr>
          </w:p>
        </w:tc>
      </w:tr>
      <w:tr w14:paraId="64070B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pct"/>
            <w:tcBorders>
              <w:tl2br w:val="nil"/>
              <w:tr2bl w:val="nil"/>
            </w:tcBorders>
            <w:shd w:val="clear" w:color="auto" w:fill="auto"/>
            <w:noWrap w:val="0"/>
            <w:vAlign w:val="center"/>
          </w:tcPr>
          <w:p w14:paraId="6C391C56">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废干式纸盒（含漆渣）、废过滤棉（含漆渣）</w:t>
            </w:r>
          </w:p>
        </w:tc>
        <w:tc>
          <w:tcPr>
            <w:tcW w:w="603" w:type="pct"/>
            <w:tcBorders>
              <w:tl2br w:val="nil"/>
              <w:tr2bl w:val="nil"/>
            </w:tcBorders>
            <w:shd w:val="clear" w:color="auto" w:fill="auto"/>
            <w:noWrap w:val="0"/>
            <w:vAlign w:val="center"/>
          </w:tcPr>
          <w:p w14:paraId="75E7C22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HW49</w:t>
            </w:r>
          </w:p>
        </w:tc>
        <w:tc>
          <w:tcPr>
            <w:tcW w:w="736" w:type="pct"/>
            <w:tcBorders>
              <w:tl2br w:val="nil"/>
              <w:tr2bl w:val="nil"/>
            </w:tcBorders>
            <w:shd w:val="clear" w:color="auto" w:fill="auto"/>
            <w:noWrap w:val="0"/>
            <w:vAlign w:val="center"/>
          </w:tcPr>
          <w:p w14:paraId="0438A32E">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900-041-4</w:t>
            </w:r>
            <w:r>
              <w:rPr>
                <w:rFonts w:hint="eastAsia" w:ascii="Times New Roman" w:hAnsi="Times New Roman" w:eastAsia="宋体" w:cs="Times New Roman"/>
                <w:color w:val="auto"/>
                <w:highlight w:val="none"/>
                <w:lang w:val="en-US" w:eastAsia="zh-CN"/>
              </w:rPr>
              <w:t>9</w:t>
            </w:r>
          </w:p>
        </w:tc>
        <w:tc>
          <w:tcPr>
            <w:tcW w:w="585" w:type="pct"/>
            <w:tcBorders>
              <w:tl2br w:val="nil"/>
              <w:tr2bl w:val="nil"/>
            </w:tcBorders>
            <w:shd w:val="clear" w:color="auto" w:fill="auto"/>
            <w:noWrap w:val="0"/>
            <w:vAlign w:val="center"/>
          </w:tcPr>
          <w:p w14:paraId="52C8D3C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16.7426</w:t>
            </w:r>
          </w:p>
        </w:tc>
        <w:tc>
          <w:tcPr>
            <w:tcW w:w="567" w:type="pct"/>
            <w:tcBorders>
              <w:tl2br w:val="nil"/>
              <w:tr2bl w:val="nil"/>
            </w:tcBorders>
            <w:noWrap w:val="0"/>
            <w:vAlign w:val="center"/>
          </w:tcPr>
          <w:p w14:paraId="2A5C0CF8">
            <w:pPr>
              <w:pStyle w:val="1358"/>
              <w:rPr>
                <w:rFonts w:hint="default" w:eastAsia="宋体"/>
                <w:color w:val="auto"/>
                <w:highlight w:val="none"/>
                <w:lang w:val="en-US" w:eastAsia="zh-CN"/>
              </w:rPr>
            </w:pPr>
            <w:r>
              <w:rPr>
                <w:rFonts w:hint="eastAsia"/>
                <w:color w:val="auto"/>
                <w:highlight w:val="none"/>
                <w:lang w:val="en-US" w:eastAsia="zh-CN"/>
              </w:rPr>
              <w:t>废气处理</w:t>
            </w:r>
          </w:p>
        </w:tc>
        <w:tc>
          <w:tcPr>
            <w:tcW w:w="424" w:type="pct"/>
            <w:tcBorders>
              <w:tl2br w:val="nil"/>
              <w:tr2bl w:val="nil"/>
            </w:tcBorders>
            <w:shd w:val="clear" w:color="auto" w:fill="auto"/>
            <w:noWrap w:val="0"/>
            <w:vAlign w:val="center"/>
          </w:tcPr>
          <w:p w14:paraId="43D17AA0">
            <w:pPr>
              <w:pStyle w:val="1358"/>
              <w:ind w:firstLine="0" w:firstLineChars="0"/>
              <w:rPr>
                <w:rFonts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固态</w:t>
            </w:r>
          </w:p>
        </w:tc>
        <w:tc>
          <w:tcPr>
            <w:tcW w:w="406" w:type="pct"/>
            <w:tcBorders>
              <w:tl2br w:val="nil"/>
              <w:tr2bl w:val="nil"/>
            </w:tcBorders>
            <w:shd w:val="clear" w:color="auto" w:fill="auto"/>
            <w:noWrap w:val="0"/>
            <w:vAlign w:val="center"/>
          </w:tcPr>
          <w:p w14:paraId="710CB6FF">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有机废气</w:t>
            </w:r>
          </w:p>
        </w:tc>
        <w:tc>
          <w:tcPr>
            <w:tcW w:w="367" w:type="pct"/>
            <w:tcBorders>
              <w:tl2br w:val="nil"/>
              <w:tr2bl w:val="nil"/>
            </w:tcBorders>
            <w:shd w:val="clear" w:color="auto" w:fill="auto"/>
            <w:noWrap w:val="0"/>
            <w:vAlign w:val="center"/>
          </w:tcPr>
          <w:p w14:paraId="1BD198A9">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有机废气</w:t>
            </w:r>
          </w:p>
        </w:tc>
        <w:tc>
          <w:tcPr>
            <w:tcW w:w="340" w:type="pct"/>
            <w:tcBorders>
              <w:tl2br w:val="nil"/>
              <w:tr2bl w:val="nil"/>
            </w:tcBorders>
            <w:shd w:val="clear" w:color="auto" w:fill="auto"/>
            <w:noWrap w:val="0"/>
            <w:vAlign w:val="center"/>
          </w:tcPr>
          <w:p w14:paraId="5D68D9F0">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T/In</w:t>
            </w:r>
          </w:p>
        </w:tc>
        <w:tc>
          <w:tcPr>
            <w:tcW w:w="375" w:type="pct"/>
            <w:vMerge w:val="continue"/>
            <w:tcBorders>
              <w:tl2br w:val="nil"/>
              <w:tr2bl w:val="nil"/>
            </w:tcBorders>
            <w:noWrap w:val="0"/>
            <w:vAlign w:val="center"/>
          </w:tcPr>
          <w:p w14:paraId="27174A34">
            <w:pPr>
              <w:pStyle w:val="1358"/>
              <w:rPr>
                <w:color w:val="auto"/>
                <w:highlight w:val="none"/>
              </w:rPr>
            </w:pPr>
          </w:p>
        </w:tc>
      </w:tr>
      <w:tr w14:paraId="39F88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49E878B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废清洗剂</w:t>
            </w:r>
          </w:p>
        </w:tc>
        <w:tc>
          <w:tcPr>
            <w:tcW w:w="603" w:type="pct"/>
            <w:tcBorders>
              <w:tl2br w:val="nil"/>
              <w:tr2bl w:val="nil"/>
            </w:tcBorders>
            <w:shd w:val="clear" w:color="auto" w:fill="auto"/>
            <w:noWrap w:val="0"/>
            <w:vAlign w:val="center"/>
          </w:tcPr>
          <w:p w14:paraId="1F8E1AEE">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HW</w:t>
            </w:r>
            <w:r>
              <w:rPr>
                <w:rFonts w:hint="eastAsia" w:cs="Times New Roman"/>
                <w:color w:val="auto"/>
                <w:highlight w:val="none"/>
                <w:lang w:val="en-US" w:eastAsia="zh-CN"/>
              </w:rPr>
              <w:t>06</w:t>
            </w:r>
          </w:p>
        </w:tc>
        <w:tc>
          <w:tcPr>
            <w:tcW w:w="736" w:type="pct"/>
            <w:tcBorders>
              <w:tl2br w:val="nil"/>
              <w:tr2bl w:val="nil"/>
            </w:tcBorders>
            <w:shd w:val="clear" w:color="auto" w:fill="auto"/>
            <w:noWrap w:val="0"/>
            <w:vAlign w:val="center"/>
          </w:tcPr>
          <w:p w14:paraId="5443A413">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900-402-06</w:t>
            </w:r>
          </w:p>
        </w:tc>
        <w:tc>
          <w:tcPr>
            <w:tcW w:w="585" w:type="pct"/>
            <w:tcBorders>
              <w:tl2br w:val="nil"/>
              <w:tr2bl w:val="nil"/>
            </w:tcBorders>
            <w:shd w:val="clear" w:color="auto" w:fill="auto"/>
            <w:noWrap w:val="0"/>
            <w:vAlign w:val="center"/>
          </w:tcPr>
          <w:p w14:paraId="18564D0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1.953</w:t>
            </w:r>
          </w:p>
        </w:tc>
        <w:tc>
          <w:tcPr>
            <w:tcW w:w="567" w:type="pct"/>
            <w:tcBorders>
              <w:tl2br w:val="nil"/>
              <w:tr2bl w:val="nil"/>
            </w:tcBorders>
            <w:shd w:val="clear" w:color="auto" w:fill="auto"/>
            <w:noWrap w:val="0"/>
            <w:vAlign w:val="center"/>
          </w:tcPr>
          <w:p w14:paraId="45B5632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喷枪清洗</w:t>
            </w:r>
          </w:p>
        </w:tc>
        <w:tc>
          <w:tcPr>
            <w:tcW w:w="424" w:type="pct"/>
            <w:tcBorders>
              <w:tl2br w:val="nil"/>
              <w:tr2bl w:val="nil"/>
            </w:tcBorders>
            <w:shd w:val="clear" w:color="auto" w:fill="auto"/>
            <w:noWrap w:val="0"/>
            <w:vAlign w:val="center"/>
          </w:tcPr>
          <w:p w14:paraId="5EC4A454">
            <w:pPr>
              <w:pStyle w:val="1358"/>
              <w:ind w:firstLine="0" w:firstLineChars="0"/>
              <w:rPr>
                <w:rFonts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液态</w:t>
            </w:r>
          </w:p>
        </w:tc>
        <w:tc>
          <w:tcPr>
            <w:tcW w:w="406" w:type="pct"/>
            <w:tcBorders>
              <w:tl2br w:val="nil"/>
              <w:tr2bl w:val="nil"/>
            </w:tcBorders>
            <w:shd w:val="clear" w:color="auto" w:fill="auto"/>
            <w:noWrap w:val="0"/>
            <w:vAlign w:val="center"/>
          </w:tcPr>
          <w:p w14:paraId="40CCE910">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有机溶剂</w:t>
            </w:r>
          </w:p>
        </w:tc>
        <w:tc>
          <w:tcPr>
            <w:tcW w:w="367" w:type="pct"/>
            <w:tcBorders>
              <w:tl2br w:val="nil"/>
              <w:tr2bl w:val="nil"/>
            </w:tcBorders>
            <w:shd w:val="clear" w:color="auto" w:fill="auto"/>
            <w:noWrap w:val="0"/>
            <w:vAlign w:val="center"/>
          </w:tcPr>
          <w:p w14:paraId="2C52C44B">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有机溶剂</w:t>
            </w:r>
          </w:p>
        </w:tc>
        <w:tc>
          <w:tcPr>
            <w:tcW w:w="340" w:type="pct"/>
            <w:tcBorders>
              <w:tl2br w:val="nil"/>
              <w:tr2bl w:val="nil"/>
            </w:tcBorders>
            <w:shd w:val="clear" w:color="auto" w:fill="auto"/>
            <w:noWrap w:val="0"/>
            <w:vAlign w:val="center"/>
          </w:tcPr>
          <w:p w14:paraId="23080A9E">
            <w:pPr>
              <w:pStyle w:val="1358"/>
              <w:ind w:firstLine="0" w:firstLineChars="0"/>
              <w:rPr>
                <w:rFonts w:ascii="Times New Roman" w:hAnsi="Times New Roman" w:eastAsia="宋体" w:cs="Times New Roman"/>
                <w:color w:val="auto"/>
                <w:kern w:val="2"/>
                <w:sz w:val="21"/>
                <w:szCs w:val="24"/>
                <w:highlight w:val="none"/>
                <w:lang w:val="en-US" w:eastAsia="zh-CN" w:bidi="ar-SA"/>
              </w:rPr>
            </w:pPr>
            <w:r>
              <w:rPr>
                <w:color w:val="auto"/>
                <w:highlight w:val="none"/>
              </w:rPr>
              <w:t>T</w:t>
            </w:r>
          </w:p>
        </w:tc>
        <w:tc>
          <w:tcPr>
            <w:tcW w:w="375" w:type="pct"/>
            <w:vMerge w:val="continue"/>
            <w:tcBorders>
              <w:tl2br w:val="nil"/>
              <w:tr2bl w:val="nil"/>
            </w:tcBorders>
            <w:noWrap w:val="0"/>
            <w:vAlign w:val="center"/>
          </w:tcPr>
          <w:p w14:paraId="6291B6EA">
            <w:pPr>
              <w:pStyle w:val="1358"/>
              <w:rPr>
                <w:color w:val="auto"/>
                <w:highlight w:val="none"/>
              </w:rPr>
            </w:pPr>
          </w:p>
        </w:tc>
      </w:tr>
      <w:tr w14:paraId="533EE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3AC78D50">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含油的手套及废抹布</w:t>
            </w:r>
          </w:p>
        </w:tc>
        <w:tc>
          <w:tcPr>
            <w:tcW w:w="603" w:type="pct"/>
            <w:tcBorders>
              <w:tl2br w:val="nil"/>
              <w:tr2bl w:val="nil"/>
            </w:tcBorders>
            <w:shd w:val="clear" w:color="auto" w:fill="auto"/>
            <w:noWrap w:val="0"/>
            <w:vAlign w:val="center"/>
          </w:tcPr>
          <w:p w14:paraId="3C50EC7D">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 xml:space="preserve">HW49 </w:t>
            </w:r>
          </w:p>
        </w:tc>
        <w:tc>
          <w:tcPr>
            <w:tcW w:w="736" w:type="pct"/>
            <w:tcBorders>
              <w:tl2br w:val="nil"/>
              <w:tr2bl w:val="nil"/>
            </w:tcBorders>
            <w:shd w:val="clear" w:color="auto" w:fill="auto"/>
            <w:noWrap w:val="0"/>
            <w:vAlign w:val="center"/>
          </w:tcPr>
          <w:p w14:paraId="109E3DC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900-041-49</w:t>
            </w:r>
          </w:p>
        </w:tc>
        <w:tc>
          <w:tcPr>
            <w:tcW w:w="585" w:type="pct"/>
            <w:tcBorders>
              <w:tl2br w:val="nil"/>
              <w:tr2bl w:val="nil"/>
            </w:tcBorders>
            <w:shd w:val="clear" w:color="auto" w:fill="auto"/>
            <w:noWrap w:val="0"/>
            <w:vAlign w:val="center"/>
          </w:tcPr>
          <w:p w14:paraId="1B768E5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0.1</w:t>
            </w:r>
          </w:p>
        </w:tc>
        <w:tc>
          <w:tcPr>
            <w:tcW w:w="567" w:type="pct"/>
            <w:tcBorders>
              <w:tl2br w:val="nil"/>
              <w:tr2bl w:val="nil"/>
            </w:tcBorders>
            <w:shd w:val="clear" w:color="auto" w:fill="auto"/>
            <w:noWrap w:val="0"/>
            <w:vAlign w:val="center"/>
          </w:tcPr>
          <w:p w14:paraId="4104695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运维</w:t>
            </w:r>
          </w:p>
        </w:tc>
        <w:tc>
          <w:tcPr>
            <w:tcW w:w="424" w:type="pct"/>
            <w:tcBorders>
              <w:tl2br w:val="nil"/>
              <w:tr2bl w:val="nil"/>
            </w:tcBorders>
            <w:shd w:val="clear" w:color="auto" w:fill="auto"/>
            <w:noWrap w:val="0"/>
            <w:vAlign w:val="center"/>
          </w:tcPr>
          <w:p w14:paraId="41FAEA5F">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固态</w:t>
            </w:r>
          </w:p>
        </w:tc>
        <w:tc>
          <w:tcPr>
            <w:tcW w:w="406" w:type="pct"/>
            <w:tcBorders>
              <w:tl2br w:val="nil"/>
              <w:tr2bl w:val="nil"/>
            </w:tcBorders>
            <w:shd w:val="clear" w:color="auto" w:fill="auto"/>
            <w:noWrap w:val="0"/>
            <w:vAlign w:val="center"/>
          </w:tcPr>
          <w:p w14:paraId="18956CBB">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油类</w:t>
            </w:r>
          </w:p>
        </w:tc>
        <w:tc>
          <w:tcPr>
            <w:tcW w:w="367" w:type="pct"/>
            <w:tcBorders>
              <w:tl2br w:val="nil"/>
              <w:tr2bl w:val="nil"/>
            </w:tcBorders>
            <w:shd w:val="clear" w:color="auto" w:fill="auto"/>
            <w:noWrap w:val="0"/>
            <w:vAlign w:val="center"/>
          </w:tcPr>
          <w:p w14:paraId="1E2D4CB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油类</w:t>
            </w:r>
          </w:p>
        </w:tc>
        <w:tc>
          <w:tcPr>
            <w:tcW w:w="340" w:type="pct"/>
            <w:tcBorders>
              <w:tl2br w:val="nil"/>
              <w:tr2bl w:val="nil"/>
            </w:tcBorders>
            <w:shd w:val="clear" w:color="auto" w:fill="auto"/>
            <w:noWrap w:val="0"/>
            <w:vAlign w:val="center"/>
          </w:tcPr>
          <w:p w14:paraId="00F3810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T</w:t>
            </w:r>
          </w:p>
        </w:tc>
        <w:tc>
          <w:tcPr>
            <w:tcW w:w="375" w:type="pct"/>
            <w:vMerge w:val="continue"/>
            <w:tcBorders>
              <w:tl2br w:val="nil"/>
              <w:tr2bl w:val="nil"/>
            </w:tcBorders>
            <w:noWrap w:val="0"/>
            <w:vAlign w:val="center"/>
          </w:tcPr>
          <w:p w14:paraId="1FB8083D">
            <w:pPr>
              <w:pStyle w:val="1358"/>
              <w:rPr>
                <w:color w:val="auto"/>
                <w:highlight w:val="none"/>
              </w:rPr>
            </w:pPr>
          </w:p>
        </w:tc>
      </w:tr>
      <w:tr w14:paraId="7AB37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5A87E12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热洁炉灰渣</w:t>
            </w:r>
          </w:p>
        </w:tc>
        <w:tc>
          <w:tcPr>
            <w:tcW w:w="603" w:type="pct"/>
            <w:tcBorders>
              <w:tl2br w:val="nil"/>
              <w:tr2bl w:val="nil"/>
            </w:tcBorders>
            <w:shd w:val="clear" w:color="auto" w:fill="auto"/>
            <w:noWrap w:val="0"/>
            <w:vAlign w:val="center"/>
          </w:tcPr>
          <w:p w14:paraId="51B1ECAE">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 xml:space="preserve">HW18 </w:t>
            </w:r>
          </w:p>
        </w:tc>
        <w:tc>
          <w:tcPr>
            <w:tcW w:w="736" w:type="pct"/>
            <w:tcBorders>
              <w:tl2br w:val="nil"/>
              <w:tr2bl w:val="nil"/>
            </w:tcBorders>
            <w:shd w:val="clear" w:color="auto" w:fill="auto"/>
            <w:noWrap w:val="0"/>
            <w:vAlign w:val="center"/>
          </w:tcPr>
          <w:p w14:paraId="114A8D8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772-003-18</w:t>
            </w:r>
          </w:p>
        </w:tc>
        <w:tc>
          <w:tcPr>
            <w:tcW w:w="585" w:type="pct"/>
            <w:tcBorders>
              <w:tl2br w:val="nil"/>
              <w:tr2bl w:val="nil"/>
            </w:tcBorders>
            <w:shd w:val="clear" w:color="auto" w:fill="auto"/>
            <w:noWrap w:val="0"/>
            <w:vAlign w:val="center"/>
          </w:tcPr>
          <w:p w14:paraId="247FEA7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0.882</w:t>
            </w:r>
          </w:p>
        </w:tc>
        <w:tc>
          <w:tcPr>
            <w:tcW w:w="567" w:type="pct"/>
            <w:tcBorders>
              <w:tl2br w:val="nil"/>
              <w:tr2bl w:val="nil"/>
            </w:tcBorders>
            <w:shd w:val="clear" w:color="auto" w:fill="auto"/>
            <w:noWrap w:val="0"/>
            <w:vAlign w:val="center"/>
          </w:tcPr>
          <w:p w14:paraId="23F4FF9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热洁炉</w:t>
            </w:r>
          </w:p>
        </w:tc>
        <w:tc>
          <w:tcPr>
            <w:tcW w:w="424" w:type="pct"/>
            <w:tcBorders>
              <w:tl2br w:val="nil"/>
              <w:tr2bl w:val="nil"/>
            </w:tcBorders>
            <w:shd w:val="clear" w:color="auto" w:fill="auto"/>
            <w:noWrap w:val="0"/>
            <w:vAlign w:val="center"/>
          </w:tcPr>
          <w:p w14:paraId="444D3BD0">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固态</w:t>
            </w:r>
          </w:p>
        </w:tc>
        <w:tc>
          <w:tcPr>
            <w:tcW w:w="406" w:type="pct"/>
            <w:tcBorders>
              <w:tl2br w:val="nil"/>
              <w:tr2bl w:val="nil"/>
            </w:tcBorders>
            <w:shd w:val="clear" w:color="auto" w:fill="auto"/>
            <w:noWrap w:val="0"/>
            <w:vAlign w:val="center"/>
          </w:tcPr>
          <w:p w14:paraId="2A49A669">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炉渣</w:t>
            </w:r>
          </w:p>
        </w:tc>
        <w:tc>
          <w:tcPr>
            <w:tcW w:w="367" w:type="pct"/>
            <w:tcBorders>
              <w:tl2br w:val="nil"/>
              <w:tr2bl w:val="nil"/>
            </w:tcBorders>
            <w:shd w:val="clear" w:color="auto" w:fill="auto"/>
            <w:noWrap w:val="0"/>
            <w:vAlign w:val="center"/>
          </w:tcPr>
          <w:p w14:paraId="36516E5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炉渣</w:t>
            </w:r>
          </w:p>
        </w:tc>
        <w:tc>
          <w:tcPr>
            <w:tcW w:w="340" w:type="pct"/>
            <w:tcBorders>
              <w:tl2br w:val="nil"/>
              <w:tr2bl w:val="nil"/>
            </w:tcBorders>
            <w:shd w:val="clear" w:color="auto" w:fill="auto"/>
            <w:noWrap w:val="0"/>
            <w:vAlign w:val="center"/>
          </w:tcPr>
          <w:p w14:paraId="7D63AC14">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T</w:t>
            </w:r>
          </w:p>
        </w:tc>
        <w:tc>
          <w:tcPr>
            <w:tcW w:w="375" w:type="pct"/>
            <w:vMerge w:val="continue"/>
            <w:tcBorders>
              <w:tl2br w:val="nil"/>
              <w:tr2bl w:val="nil"/>
            </w:tcBorders>
            <w:noWrap w:val="0"/>
            <w:vAlign w:val="center"/>
          </w:tcPr>
          <w:p w14:paraId="5ED871E6">
            <w:pPr>
              <w:pStyle w:val="1358"/>
              <w:rPr>
                <w:color w:val="auto"/>
                <w:highlight w:val="none"/>
              </w:rPr>
            </w:pPr>
          </w:p>
        </w:tc>
      </w:tr>
      <w:tr w14:paraId="63CD4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1" w:type="pct"/>
            <w:tcBorders>
              <w:tl2br w:val="nil"/>
              <w:tr2bl w:val="nil"/>
            </w:tcBorders>
            <w:shd w:val="clear" w:color="auto" w:fill="auto"/>
            <w:noWrap w:val="0"/>
            <w:vAlign w:val="center"/>
          </w:tcPr>
          <w:p w14:paraId="4BE3742C">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合计</w:t>
            </w:r>
          </w:p>
        </w:tc>
        <w:tc>
          <w:tcPr>
            <w:tcW w:w="603" w:type="pct"/>
            <w:tcBorders>
              <w:tl2br w:val="nil"/>
              <w:tr2bl w:val="nil"/>
            </w:tcBorders>
            <w:shd w:val="clear" w:color="auto" w:fill="auto"/>
            <w:noWrap w:val="0"/>
            <w:vAlign w:val="center"/>
          </w:tcPr>
          <w:p w14:paraId="13224DAF">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w:t>
            </w:r>
          </w:p>
        </w:tc>
        <w:tc>
          <w:tcPr>
            <w:tcW w:w="736" w:type="pct"/>
            <w:tcBorders>
              <w:tl2br w:val="nil"/>
              <w:tr2bl w:val="nil"/>
            </w:tcBorders>
            <w:shd w:val="clear" w:color="auto" w:fill="auto"/>
            <w:noWrap w:val="0"/>
            <w:vAlign w:val="center"/>
          </w:tcPr>
          <w:p w14:paraId="3331821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w:t>
            </w:r>
          </w:p>
        </w:tc>
        <w:tc>
          <w:tcPr>
            <w:tcW w:w="585" w:type="pct"/>
            <w:tcBorders>
              <w:tl2br w:val="nil"/>
              <w:tr2bl w:val="nil"/>
            </w:tcBorders>
            <w:shd w:val="clear" w:color="auto" w:fill="auto"/>
            <w:noWrap w:val="0"/>
            <w:vAlign w:val="center"/>
          </w:tcPr>
          <w:p w14:paraId="7826CC22">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34.0761</w:t>
            </w:r>
          </w:p>
        </w:tc>
        <w:tc>
          <w:tcPr>
            <w:tcW w:w="567" w:type="pct"/>
            <w:tcBorders>
              <w:tl2br w:val="nil"/>
              <w:tr2bl w:val="nil"/>
            </w:tcBorders>
            <w:shd w:val="clear" w:color="auto" w:fill="auto"/>
            <w:noWrap w:val="0"/>
            <w:vAlign w:val="center"/>
          </w:tcPr>
          <w:p w14:paraId="190B46C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424" w:type="pct"/>
            <w:tcBorders>
              <w:tl2br w:val="nil"/>
              <w:tr2bl w:val="nil"/>
            </w:tcBorders>
            <w:shd w:val="clear" w:color="auto" w:fill="auto"/>
            <w:noWrap w:val="0"/>
            <w:vAlign w:val="center"/>
          </w:tcPr>
          <w:p w14:paraId="3678C9CA">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406" w:type="pct"/>
            <w:tcBorders>
              <w:tl2br w:val="nil"/>
              <w:tr2bl w:val="nil"/>
            </w:tcBorders>
            <w:shd w:val="clear" w:color="auto" w:fill="auto"/>
            <w:noWrap w:val="0"/>
            <w:vAlign w:val="center"/>
          </w:tcPr>
          <w:p w14:paraId="254934E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367" w:type="pct"/>
            <w:tcBorders>
              <w:tl2br w:val="nil"/>
              <w:tr2bl w:val="nil"/>
            </w:tcBorders>
            <w:shd w:val="clear" w:color="auto" w:fill="auto"/>
            <w:noWrap w:val="0"/>
            <w:vAlign w:val="center"/>
          </w:tcPr>
          <w:p w14:paraId="3C8474BC">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340" w:type="pct"/>
            <w:tcBorders>
              <w:tl2br w:val="nil"/>
              <w:tr2bl w:val="nil"/>
            </w:tcBorders>
            <w:shd w:val="clear" w:color="auto" w:fill="auto"/>
            <w:noWrap w:val="0"/>
            <w:vAlign w:val="center"/>
          </w:tcPr>
          <w:p w14:paraId="559B1D2C">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w:t>
            </w:r>
          </w:p>
        </w:tc>
        <w:tc>
          <w:tcPr>
            <w:tcW w:w="375" w:type="pct"/>
            <w:vMerge w:val="continue"/>
            <w:tcBorders>
              <w:tl2br w:val="nil"/>
              <w:tr2bl w:val="nil"/>
            </w:tcBorders>
            <w:noWrap w:val="0"/>
            <w:vAlign w:val="center"/>
          </w:tcPr>
          <w:p w14:paraId="60805B21">
            <w:pPr>
              <w:pStyle w:val="1358"/>
              <w:rPr>
                <w:color w:val="auto"/>
                <w:highlight w:val="none"/>
              </w:rPr>
            </w:pPr>
          </w:p>
        </w:tc>
      </w:tr>
    </w:tbl>
    <w:p w14:paraId="16FE4739">
      <w:pPr>
        <w:pStyle w:val="441"/>
        <w:ind w:firstLine="480"/>
        <w:rPr>
          <w:color w:val="auto"/>
          <w:highlight w:val="none"/>
        </w:rPr>
      </w:pPr>
      <w:r>
        <w:rPr>
          <w:color w:val="auto"/>
          <w:highlight w:val="none"/>
        </w:rPr>
        <w:t>（5）项目固体废物产生情况汇总</w:t>
      </w:r>
    </w:p>
    <w:p w14:paraId="25253D86">
      <w:pPr>
        <w:pStyle w:val="441"/>
        <w:ind w:firstLine="480"/>
        <w:rPr>
          <w:color w:val="auto"/>
          <w:highlight w:val="none"/>
        </w:rPr>
      </w:pPr>
      <w:r>
        <w:rPr>
          <w:color w:val="auto"/>
          <w:highlight w:val="none"/>
        </w:rPr>
        <w:t>项目固体废物产生情况见下表</w:t>
      </w:r>
      <w:r>
        <w:rPr>
          <w:rFonts w:hint="eastAsia"/>
          <w:color w:val="auto"/>
          <w:highlight w:val="none"/>
          <w:lang w:eastAsia="zh-CN"/>
        </w:rPr>
        <w:t>3.4</w:t>
      </w:r>
      <w:r>
        <w:rPr>
          <w:color w:val="auto"/>
          <w:highlight w:val="none"/>
        </w:rPr>
        <w:t>-1</w:t>
      </w:r>
      <w:r>
        <w:rPr>
          <w:rFonts w:hint="eastAsia"/>
          <w:color w:val="auto"/>
          <w:highlight w:val="none"/>
          <w:lang w:val="en-US" w:eastAsia="zh-CN"/>
        </w:rPr>
        <w:t>6</w:t>
      </w:r>
      <w:r>
        <w:rPr>
          <w:color w:val="auto"/>
          <w:highlight w:val="none"/>
        </w:rPr>
        <w:t>。</w:t>
      </w:r>
    </w:p>
    <w:p w14:paraId="2518DACB">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-1</w:t>
      </w:r>
      <w:r>
        <w:rPr>
          <w:rFonts w:hint="eastAsia" w:cs="Times New Roman"/>
          <w:color w:val="auto"/>
          <w:highlight w:val="none"/>
          <w:lang w:val="en-US" w:eastAsia="zh-CN"/>
        </w:rPr>
        <w:t>6</w:t>
      </w:r>
      <w:r>
        <w:rPr>
          <w:rFonts w:hint="default" w:ascii="Times New Roman" w:hAnsi="Times New Roman" w:cs="Times New Roman"/>
          <w:color w:val="auto"/>
          <w:highlight w:val="none"/>
        </w:rPr>
        <w:t xml:space="preserve">  项目固废产生情况汇总</w:t>
      </w:r>
    </w:p>
    <w:tbl>
      <w:tblPr>
        <w:tblStyle w:val="80"/>
        <w:tblW w:w="91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691"/>
        <w:gridCol w:w="2265"/>
        <w:gridCol w:w="840"/>
        <w:gridCol w:w="1425"/>
        <w:gridCol w:w="3269"/>
      </w:tblGrid>
      <w:tr w14:paraId="18978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88" w:type="dxa"/>
            <w:tcBorders>
              <w:tl2br w:val="nil"/>
              <w:tr2bl w:val="nil"/>
            </w:tcBorders>
            <w:noWrap w:val="0"/>
            <w:vAlign w:val="center"/>
          </w:tcPr>
          <w:p w14:paraId="6DAF4426">
            <w:pPr>
              <w:pStyle w:val="1358"/>
              <w:rPr>
                <w:color w:val="auto"/>
                <w:highlight w:val="none"/>
              </w:rPr>
            </w:pPr>
            <w:r>
              <w:rPr>
                <w:color w:val="auto"/>
                <w:highlight w:val="none"/>
              </w:rPr>
              <w:t>序号</w:t>
            </w:r>
          </w:p>
        </w:tc>
        <w:tc>
          <w:tcPr>
            <w:tcW w:w="2956" w:type="dxa"/>
            <w:gridSpan w:val="2"/>
            <w:tcBorders>
              <w:tl2br w:val="nil"/>
              <w:tr2bl w:val="nil"/>
            </w:tcBorders>
            <w:noWrap w:val="0"/>
            <w:vAlign w:val="center"/>
          </w:tcPr>
          <w:p w14:paraId="74547EBB">
            <w:pPr>
              <w:pStyle w:val="1358"/>
              <w:rPr>
                <w:color w:val="auto"/>
                <w:highlight w:val="none"/>
              </w:rPr>
            </w:pPr>
            <w:r>
              <w:rPr>
                <w:color w:val="auto"/>
                <w:highlight w:val="none"/>
              </w:rPr>
              <w:t>名称</w:t>
            </w:r>
          </w:p>
        </w:tc>
        <w:tc>
          <w:tcPr>
            <w:tcW w:w="840" w:type="dxa"/>
            <w:tcBorders>
              <w:tl2br w:val="nil"/>
              <w:tr2bl w:val="nil"/>
            </w:tcBorders>
            <w:noWrap w:val="0"/>
            <w:vAlign w:val="center"/>
          </w:tcPr>
          <w:p w14:paraId="4B58B3D3">
            <w:pPr>
              <w:pStyle w:val="1358"/>
              <w:rPr>
                <w:rFonts w:hint="eastAsia" w:eastAsia="宋体"/>
                <w:color w:val="auto"/>
                <w:highlight w:val="none"/>
                <w:lang w:eastAsia="zh-CN"/>
              </w:rPr>
            </w:pPr>
            <w:r>
              <w:rPr>
                <w:rFonts w:hint="eastAsia"/>
                <w:color w:val="auto"/>
                <w:highlight w:val="none"/>
                <w:lang w:val="en-US" w:eastAsia="zh-CN"/>
              </w:rPr>
              <w:t>形态</w:t>
            </w:r>
          </w:p>
        </w:tc>
        <w:tc>
          <w:tcPr>
            <w:tcW w:w="1425" w:type="dxa"/>
            <w:tcBorders>
              <w:tl2br w:val="nil"/>
              <w:tr2bl w:val="nil"/>
            </w:tcBorders>
            <w:noWrap w:val="0"/>
            <w:vAlign w:val="center"/>
          </w:tcPr>
          <w:p w14:paraId="3F835370">
            <w:pPr>
              <w:pStyle w:val="1358"/>
              <w:rPr>
                <w:color w:val="auto"/>
                <w:highlight w:val="none"/>
              </w:rPr>
            </w:pPr>
            <w:r>
              <w:rPr>
                <w:color w:val="auto"/>
                <w:highlight w:val="none"/>
              </w:rPr>
              <w:t>产生量（t/a）</w:t>
            </w:r>
          </w:p>
        </w:tc>
        <w:tc>
          <w:tcPr>
            <w:tcW w:w="3269" w:type="dxa"/>
            <w:tcBorders>
              <w:tl2br w:val="nil"/>
              <w:tr2bl w:val="nil"/>
            </w:tcBorders>
            <w:noWrap w:val="0"/>
            <w:vAlign w:val="center"/>
          </w:tcPr>
          <w:p w14:paraId="783A6225">
            <w:pPr>
              <w:pStyle w:val="1358"/>
              <w:rPr>
                <w:color w:val="auto"/>
                <w:highlight w:val="none"/>
              </w:rPr>
            </w:pPr>
            <w:r>
              <w:rPr>
                <w:color w:val="auto"/>
                <w:highlight w:val="none"/>
              </w:rPr>
              <w:t>处置方式</w:t>
            </w:r>
          </w:p>
        </w:tc>
      </w:tr>
      <w:tr w14:paraId="0C367E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1B31BD4F">
            <w:pPr>
              <w:pStyle w:val="1358"/>
              <w:ind w:firstLine="0" w:firstLineChars="0"/>
              <w:rPr>
                <w:color w:val="auto"/>
                <w:highlight w:val="none"/>
              </w:rPr>
            </w:pPr>
            <w:r>
              <w:rPr>
                <w:color w:val="auto"/>
                <w:highlight w:val="none"/>
              </w:rPr>
              <w:t>1</w:t>
            </w:r>
          </w:p>
        </w:tc>
        <w:tc>
          <w:tcPr>
            <w:tcW w:w="691" w:type="dxa"/>
            <w:vMerge w:val="restart"/>
            <w:tcBorders>
              <w:tl2br w:val="nil"/>
              <w:tr2bl w:val="nil"/>
            </w:tcBorders>
            <w:noWrap w:val="0"/>
            <w:vAlign w:val="center"/>
          </w:tcPr>
          <w:p w14:paraId="344F6E38">
            <w:pPr>
              <w:pStyle w:val="1358"/>
              <w:ind w:firstLine="0" w:firstLineChars="0"/>
              <w:rPr>
                <w:color w:val="auto"/>
                <w:highlight w:val="none"/>
              </w:rPr>
            </w:pPr>
            <w:r>
              <w:rPr>
                <w:color w:val="auto"/>
                <w:highlight w:val="none"/>
              </w:rPr>
              <w:t>危险废物</w:t>
            </w:r>
          </w:p>
        </w:tc>
        <w:tc>
          <w:tcPr>
            <w:tcW w:w="2265" w:type="dxa"/>
            <w:tcBorders>
              <w:tl2br w:val="nil"/>
              <w:tr2bl w:val="nil"/>
            </w:tcBorders>
            <w:noWrap w:val="0"/>
            <w:vAlign w:val="center"/>
          </w:tcPr>
          <w:p w14:paraId="202C2B2E">
            <w:pPr>
              <w:pStyle w:val="1358"/>
              <w:ind w:firstLine="0" w:firstLineChars="0"/>
              <w:rPr>
                <w:rFonts w:hint="eastAsia"/>
                <w:color w:val="auto"/>
                <w:highlight w:val="none"/>
                <w:lang w:val="en-US" w:eastAsia="zh-CN"/>
              </w:rPr>
            </w:pPr>
            <w:r>
              <w:rPr>
                <w:rFonts w:hint="eastAsia"/>
                <w:color w:val="auto"/>
                <w:highlight w:val="none"/>
                <w:lang w:val="en-US" w:eastAsia="zh-CN"/>
              </w:rPr>
              <w:t>废包装桶</w:t>
            </w:r>
          </w:p>
        </w:tc>
        <w:tc>
          <w:tcPr>
            <w:tcW w:w="840" w:type="dxa"/>
            <w:tcBorders>
              <w:tl2br w:val="nil"/>
              <w:tr2bl w:val="nil"/>
            </w:tcBorders>
            <w:noWrap w:val="0"/>
            <w:vAlign w:val="center"/>
          </w:tcPr>
          <w:p w14:paraId="14004315">
            <w:pPr>
              <w:pStyle w:val="1358"/>
              <w:ind w:firstLine="0" w:firstLineChars="0"/>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75514B4D">
            <w:pPr>
              <w:pStyle w:val="1358"/>
              <w:ind w:firstLine="0" w:firstLineChars="0"/>
              <w:rPr>
                <w:rFonts w:hint="default"/>
                <w:color w:val="auto"/>
                <w:highlight w:val="none"/>
                <w:lang w:val="en-US" w:eastAsia="zh-CN"/>
              </w:rPr>
            </w:pPr>
            <w:r>
              <w:rPr>
                <w:rFonts w:hint="default"/>
                <w:color w:val="auto"/>
                <w:highlight w:val="none"/>
                <w:lang w:val="en-US" w:eastAsia="zh-CN"/>
              </w:rPr>
              <w:t>0.6</w:t>
            </w:r>
          </w:p>
        </w:tc>
        <w:tc>
          <w:tcPr>
            <w:tcW w:w="3269" w:type="dxa"/>
            <w:vMerge w:val="restart"/>
            <w:tcBorders>
              <w:tl2br w:val="nil"/>
              <w:tr2bl w:val="nil"/>
            </w:tcBorders>
            <w:noWrap w:val="0"/>
            <w:vAlign w:val="center"/>
          </w:tcPr>
          <w:p w14:paraId="40F764FC">
            <w:pPr>
              <w:pStyle w:val="1358"/>
              <w:rPr>
                <w:color w:val="auto"/>
                <w:highlight w:val="none"/>
              </w:rPr>
            </w:pPr>
            <w:r>
              <w:rPr>
                <w:color w:val="auto"/>
                <w:highlight w:val="none"/>
              </w:rPr>
              <w:t>按要求收集后</w:t>
            </w:r>
            <w:r>
              <w:rPr>
                <w:rFonts w:hint="eastAsia"/>
                <w:color w:val="auto"/>
                <w:highlight w:val="none"/>
                <w:lang w:eastAsia="zh-CN"/>
              </w:rPr>
              <w:t>危废贮存库</w:t>
            </w:r>
            <w:r>
              <w:rPr>
                <w:color w:val="auto"/>
                <w:highlight w:val="none"/>
              </w:rPr>
              <w:t>暂存，定期委托有资质的单位集中处置</w:t>
            </w:r>
          </w:p>
        </w:tc>
      </w:tr>
      <w:tr w14:paraId="0DECC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727BA8D1">
            <w:pPr>
              <w:pStyle w:val="1358"/>
              <w:ind w:firstLine="0" w:firstLineChars="0"/>
              <w:rPr>
                <w:color w:val="auto"/>
                <w:highlight w:val="none"/>
              </w:rPr>
            </w:pPr>
            <w:r>
              <w:rPr>
                <w:color w:val="auto"/>
                <w:highlight w:val="none"/>
              </w:rPr>
              <w:t>2</w:t>
            </w:r>
          </w:p>
        </w:tc>
        <w:tc>
          <w:tcPr>
            <w:tcW w:w="691" w:type="dxa"/>
            <w:vMerge w:val="continue"/>
            <w:tcBorders>
              <w:tl2br w:val="nil"/>
              <w:tr2bl w:val="nil"/>
            </w:tcBorders>
            <w:noWrap w:val="0"/>
            <w:vAlign w:val="center"/>
          </w:tcPr>
          <w:p w14:paraId="5B2869E0">
            <w:pPr>
              <w:pStyle w:val="1358"/>
              <w:ind w:firstLine="0" w:firstLineChars="0"/>
              <w:rPr>
                <w:color w:val="auto"/>
                <w:highlight w:val="none"/>
              </w:rPr>
            </w:pPr>
          </w:p>
        </w:tc>
        <w:tc>
          <w:tcPr>
            <w:tcW w:w="2265" w:type="dxa"/>
            <w:tcBorders>
              <w:tl2br w:val="nil"/>
              <w:tr2bl w:val="nil"/>
            </w:tcBorders>
            <w:noWrap w:val="0"/>
            <w:vAlign w:val="center"/>
          </w:tcPr>
          <w:p w14:paraId="2972930E">
            <w:pPr>
              <w:pStyle w:val="1358"/>
              <w:ind w:firstLine="0" w:firstLineChars="0"/>
              <w:rPr>
                <w:rFonts w:hint="eastAsia"/>
                <w:color w:val="auto"/>
                <w:highlight w:val="none"/>
                <w:lang w:val="en-US" w:eastAsia="zh-CN"/>
              </w:rPr>
            </w:pPr>
            <w:r>
              <w:rPr>
                <w:rFonts w:hint="eastAsia"/>
                <w:color w:val="auto"/>
                <w:highlight w:val="none"/>
                <w:lang w:val="en-US" w:eastAsia="zh-CN"/>
              </w:rPr>
              <w:t>废润滑油</w:t>
            </w:r>
          </w:p>
        </w:tc>
        <w:tc>
          <w:tcPr>
            <w:tcW w:w="840" w:type="dxa"/>
            <w:tcBorders>
              <w:tl2br w:val="nil"/>
              <w:tr2bl w:val="nil"/>
            </w:tcBorders>
            <w:noWrap w:val="0"/>
            <w:vAlign w:val="center"/>
          </w:tcPr>
          <w:p w14:paraId="25BA6D91">
            <w:pPr>
              <w:pStyle w:val="1358"/>
              <w:ind w:firstLine="0" w:firstLineChars="0"/>
              <w:rPr>
                <w:rFonts w:hint="default"/>
                <w:color w:val="auto"/>
                <w:highlight w:val="none"/>
                <w:lang w:val="en-US" w:eastAsia="zh-CN"/>
              </w:rPr>
            </w:pPr>
            <w:r>
              <w:rPr>
                <w:rFonts w:hint="eastAsia"/>
                <w:color w:val="auto"/>
                <w:highlight w:val="none"/>
                <w:lang w:val="en-US" w:eastAsia="zh-CN"/>
              </w:rPr>
              <w:t>液态</w:t>
            </w:r>
          </w:p>
        </w:tc>
        <w:tc>
          <w:tcPr>
            <w:tcW w:w="1425" w:type="dxa"/>
            <w:tcBorders>
              <w:tl2br w:val="nil"/>
              <w:tr2bl w:val="nil"/>
            </w:tcBorders>
            <w:noWrap w:val="0"/>
            <w:vAlign w:val="center"/>
          </w:tcPr>
          <w:p w14:paraId="781B39B6">
            <w:pPr>
              <w:pStyle w:val="1358"/>
              <w:ind w:firstLine="0" w:firstLineChars="0"/>
              <w:rPr>
                <w:rFonts w:hint="eastAsia"/>
                <w:color w:val="auto"/>
                <w:highlight w:val="none"/>
                <w:lang w:val="en-US" w:eastAsia="zh-CN"/>
              </w:rPr>
            </w:pPr>
            <w:r>
              <w:rPr>
                <w:rFonts w:hint="default"/>
                <w:color w:val="auto"/>
                <w:highlight w:val="none"/>
                <w:lang w:val="en-US" w:eastAsia="zh-CN"/>
              </w:rPr>
              <w:t>0.5</w:t>
            </w:r>
          </w:p>
        </w:tc>
        <w:tc>
          <w:tcPr>
            <w:tcW w:w="3269" w:type="dxa"/>
            <w:vMerge w:val="continue"/>
            <w:tcBorders>
              <w:tl2br w:val="nil"/>
              <w:tr2bl w:val="nil"/>
            </w:tcBorders>
            <w:noWrap w:val="0"/>
            <w:vAlign w:val="center"/>
          </w:tcPr>
          <w:p w14:paraId="48F93ED7">
            <w:pPr>
              <w:pStyle w:val="1358"/>
              <w:rPr>
                <w:color w:val="auto"/>
                <w:highlight w:val="none"/>
              </w:rPr>
            </w:pPr>
          </w:p>
        </w:tc>
      </w:tr>
      <w:tr w14:paraId="2C3BC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7E9B2DE2">
            <w:pPr>
              <w:pStyle w:val="1358"/>
              <w:ind w:firstLine="0" w:firstLineChars="0"/>
              <w:rPr>
                <w:color w:val="auto"/>
                <w:highlight w:val="none"/>
              </w:rPr>
            </w:pPr>
            <w:r>
              <w:rPr>
                <w:color w:val="auto"/>
                <w:highlight w:val="none"/>
              </w:rPr>
              <w:t>3</w:t>
            </w:r>
          </w:p>
        </w:tc>
        <w:tc>
          <w:tcPr>
            <w:tcW w:w="691" w:type="dxa"/>
            <w:vMerge w:val="continue"/>
            <w:tcBorders>
              <w:tl2br w:val="nil"/>
              <w:tr2bl w:val="nil"/>
            </w:tcBorders>
            <w:noWrap w:val="0"/>
            <w:vAlign w:val="center"/>
          </w:tcPr>
          <w:p w14:paraId="325254E5">
            <w:pPr>
              <w:pStyle w:val="1358"/>
              <w:ind w:firstLine="0" w:firstLineChars="0"/>
              <w:rPr>
                <w:color w:val="auto"/>
                <w:highlight w:val="none"/>
              </w:rPr>
            </w:pPr>
          </w:p>
        </w:tc>
        <w:tc>
          <w:tcPr>
            <w:tcW w:w="2265" w:type="dxa"/>
            <w:tcBorders>
              <w:tl2br w:val="nil"/>
              <w:tr2bl w:val="nil"/>
            </w:tcBorders>
            <w:noWrap w:val="0"/>
            <w:vAlign w:val="center"/>
          </w:tcPr>
          <w:p w14:paraId="51B4B1A4">
            <w:pPr>
              <w:pStyle w:val="1358"/>
              <w:ind w:firstLine="0" w:firstLineChars="0"/>
              <w:rPr>
                <w:rFonts w:hint="eastAsia"/>
                <w:color w:val="auto"/>
                <w:highlight w:val="none"/>
                <w:lang w:val="en-US" w:eastAsia="zh-CN"/>
              </w:rPr>
            </w:pPr>
            <w:r>
              <w:rPr>
                <w:rFonts w:hint="eastAsia"/>
                <w:color w:val="auto"/>
                <w:highlight w:val="none"/>
                <w:lang w:val="en-US" w:eastAsia="zh-CN"/>
              </w:rPr>
              <w:t>废活性炭</w:t>
            </w:r>
          </w:p>
        </w:tc>
        <w:tc>
          <w:tcPr>
            <w:tcW w:w="840" w:type="dxa"/>
            <w:tcBorders>
              <w:tl2br w:val="nil"/>
              <w:tr2bl w:val="nil"/>
            </w:tcBorders>
            <w:noWrap w:val="0"/>
            <w:vAlign w:val="center"/>
          </w:tcPr>
          <w:p w14:paraId="569F9C42">
            <w:pPr>
              <w:pStyle w:val="1358"/>
              <w:ind w:firstLine="0" w:firstLineChars="0"/>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001834A2">
            <w:pPr>
              <w:pStyle w:val="1358"/>
              <w:ind w:firstLine="0" w:firstLineChars="0"/>
              <w:rPr>
                <w:rFonts w:hint="eastAsia"/>
                <w:color w:val="auto"/>
                <w:highlight w:val="none"/>
                <w:lang w:val="en-US" w:eastAsia="zh-CN"/>
              </w:rPr>
            </w:pPr>
            <w:r>
              <w:rPr>
                <w:rFonts w:hint="default"/>
                <w:color w:val="auto"/>
                <w:highlight w:val="none"/>
                <w:lang w:val="en-US" w:eastAsia="zh-CN"/>
              </w:rPr>
              <w:t>13.2985</w:t>
            </w:r>
          </w:p>
        </w:tc>
        <w:tc>
          <w:tcPr>
            <w:tcW w:w="3269" w:type="dxa"/>
            <w:vMerge w:val="continue"/>
            <w:tcBorders>
              <w:tl2br w:val="nil"/>
              <w:tr2bl w:val="nil"/>
            </w:tcBorders>
            <w:noWrap w:val="0"/>
            <w:vAlign w:val="center"/>
          </w:tcPr>
          <w:p w14:paraId="45354488">
            <w:pPr>
              <w:pStyle w:val="1358"/>
              <w:rPr>
                <w:color w:val="auto"/>
                <w:highlight w:val="none"/>
              </w:rPr>
            </w:pPr>
          </w:p>
        </w:tc>
      </w:tr>
      <w:tr w14:paraId="65432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2849C90">
            <w:pPr>
              <w:pStyle w:val="1358"/>
              <w:ind w:firstLine="0" w:firstLineChars="0"/>
              <w:rPr>
                <w:color w:val="auto"/>
                <w:highlight w:val="none"/>
              </w:rPr>
            </w:pPr>
            <w:r>
              <w:rPr>
                <w:color w:val="auto"/>
                <w:highlight w:val="none"/>
              </w:rPr>
              <w:t>4</w:t>
            </w:r>
          </w:p>
        </w:tc>
        <w:tc>
          <w:tcPr>
            <w:tcW w:w="691" w:type="dxa"/>
            <w:vMerge w:val="continue"/>
            <w:tcBorders>
              <w:tl2br w:val="nil"/>
              <w:tr2bl w:val="nil"/>
            </w:tcBorders>
            <w:noWrap w:val="0"/>
            <w:vAlign w:val="center"/>
          </w:tcPr>
          <w:p w14:paraId="713C895F">
            <w:pPr>
              <w:pStyle w:val="1358"/>
              <w:ind w:firstLine="0" w:firstLineChars="0"/>
              <w:rPr>
                <w:color w:val="auto"/>
                <w:highlight w:val="none"/>
              </w:rPr>
            </w:pPr>
          </w:p>
        </w:tc>
        <w:tc>
          <w:tcPr>
            <w:tcW w:w="2265" w:type="dxa"/>
            <w:tcBorders>
              <w:tl2br w:val="nil"/>
              <w:tr2bl w:val="nil"/>
            </w:tcBorders>
            <w:noWrap w:val="0"/>
            <w:vAlign w:val="center"/>
          </w:tcPr>
          <w:p w14:paraId="1B7FA20F">
            <w:pPr>
              <w:pStyle w:val="1358"/>
              <w:ind w:firstLine="0" w:firstLineChars="0"/>
              <w:rPr>
                <w:rFonts w:hint="default"/>
                <w:color w:val="auto"/>
                <w:highlight w:val="none"/>
                <w:lang w:val="en-US" w:eastAsia="zh-CN"/>
              </w:rPr>
            </w:pPr>
            <w:r>
              <w:rPr>
                <w:rFonts w:hint="eastAsia"/>
                <w:color w:val="auto"/>
                <w:highlight w:val="none"/>
                <w:lang w:val="en-US" w:eastAsia="zh-CN"/>
              </w:rPr>
              <w:t>废干式纸盒（含漆渣）、废过滤棉（含漆渣）</w:t>
            </w:r>
          </w:p>
        </w:tc>
        <w:tc>
          <w:tcPr>
            <w:tcW w:w="840" w:type="dxa"/>
            <w:tcBorders>
              <w:tl2br w:val="nil"/>
              <w:tr2bl w:val="nil"/>
            </w:tcBorders>
            <w:noWrap w:val="0"/>
            <w:vAlign w:val="center"/>
          </w:tcPr>
          <w:p w14:paraId="40920D37">
            <w:pPr>
              <w:pStyle w:val="1358"/>
              <w:ind w:firstLine="0" w:firstLineChars="0"/>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5576A0A0">
            <w:pPr>
              <w:pStyle w:val="1358"/>
              <w:ind w:firstLine="0" w:firstLineChars="0"/>
              <w:rPr>
                <w:rFonts w:hint="eastAsia"/>
                <w:color w:val="auto"/>
                <w:highlight w:val="none"/>
                <w:lang w:val="en-US" w:eastAsia="zh-CN"/>
              </w:rPr>
            </w:pPr>
            <w:r>
              <w:rPr>
                <w:rFonts w:hint="default"/>
                <w:color w:val="auto"/>
                <w:highlight w:val="none"/>
                <w:lang w:val="en-US" w:eastAsia="zh-CN"/>
              </w:rPr>
              <w:t>16.7426</w:t>
            </w:r>
          </w:p>
        </w:tc>
        <w:tc>
          <w:tcPr>
            <w:tcW w:w="3269" w:type="dxa"/>
            <w:vMerge w:val="continue"/>
            <w:tcBorders>
              <w:tl2br w:val="nil"/>
              <w:tr2bl w:val="nil"/>
            </w:tcBorders>
            <w:noWrap w:val="0"/>
            <w:vAlign w:val="center"/>
          </w:tcPr>
          <w:p w14:paraId="6851EC29">
            <w:pPr>
              <w:pStyle w:val="1358"/>
              <w:rPr>
                <w:color w:val="auto"/>
                <w:highlight w:val="none"/>
              </w:rPr>
            </w:pPr>
          </w:p>
        </w:tc>
      </w:tr>
      <w:tr w14:paraId="4249A8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564278A7">
            <w:pPr>
              <w:pStyle w:val="1358"/>
              <w:ind w:firstLine="0" w:firstLineChars="0"/>
              <w:rPr>
                <w:color w:val="auto"/>
                <w:highlight w:val="none"/>
              </w:rPr>
            </w:pPr>
            <w:r>
              <w:rPr>
                <w:color w:val="auto"/>
                <w:highlight w:val="none"/>
              </w:rPr>
              <w:t>5</w:t>
            </w:r>
          </w:p>
        </w:tc>
        <w:tc>
          <w:tcPr>
            <w:tcW w:w="691" w:type="dxa"/>
            <w:vMerge w:val="continue"/>
            <w:tcBorders>
              <w:tl2br w:val="nil"/>
              <w:tr2bl w:val="nil"/>
            </w:tcBorders>
            <w:noWrap w:val="0"/>
            <w:vAlign w:val="center"/>
          </w:tcPr>
          <w:p w14:paraId="724E95C7">
            <w:pPr>
              <w:pStyle w:val="1358"/>
              <w:ind w:firstLine="0" w:firstLineChars="0"/>
              <w:rPr>
                <w:color w:val="auto"/>
                <w:highlight w:val="none"/>
              </w:rPr>
            </w:pPr>
          </w:p>
        </w:tc>
        <w:tc>
          <w:tcPr>
            <w:tcW w:w="2265" w:type="dxa"/>
            <w:tcBorders>
              <w:tl2br w:val="nil"/>
              <w:tr2bl w:val="nil"/>
            </w:tcBorders>
            <w:noWrap w:val="0"/>
            <w:vAlign w:val="center"/>
          </w:tcPr>
          <w:p w14:paraId="644F56B0">
            <w:pPr>
              <w:pStyle w:val="1358"/>
              <w:ind w:firstLine="0" w:firstLineChars="0"/>
              <w:rPr>
                <w:rFonts w:hint="default"/>
                <w:color w:val="auto"/>
                <w:highlight w:val="none"/>
                <w:lang w:val="en-US" w:eastAsia="zh-CN"/>
              </w:rPr>
            </w:pPr>
            <w:r>
              <w:rPr>
                <w:rFonts w:hint="eastAsia"/>
                <w:color w:val="auto"/>
                <w:highlight w:val="none"/>
                <w:lang w:val="en-US" w:eastAsia="zh-CN"/>
              </w:rPr>
              <w:t>废清洗剂</w:t>
            </w:r>
          </w:p>
        </w:tc>
        <w:tc>
          <w:tcPr>
            <w:tcW w:w="840" w:type="dxa"/>
            <w:tcBorders>
              <w:tl2br w:val="nil"/>
              <w:tr2bl w:val="nil"/>
            </w:tcBorders>
            <w:noWrap w:val="0"/>
            <w:vAlign w:val="center"/>
          </w:tcPr>
          <w:p w14:paraId="042313DC">
            <w:pPr>
              <w:pStyle w:val="1358"/>
              <w:ind w:firstLine="0" w:firstLineChars="0"/>
              <w:rPr>
                <w:rFonts w:hint="eastAsia"/>
                <w:color w:val="auto"/>
                <w:highlight w:val="none"/>
                <w:lang w:val="en-US" w:eastAsia="zh-CN"/>
              </w:rPr>
            </w:pPr>
            <w:r>
              <w:rPr>
                <w:rFonts w:hint="eastAsia"/>
                <w:color w:val="auto"/>
                <w:highlight w:val="none"/>
                <w:lang w:val="en-US" w:eastAsia="zh-CN"/>
              </w:rPr>
              <w:t>液态</w:t>
            </w:r>
          </w:p>
        </w:tc>
        <w:tc>
          <w:tcPr>
            <w:tcW w:w="1425" w:type="dxa"/>
            <w:tcBorders>
              <w:tl2br w:val="nil"/>
              <w:tr2bl w:val="nil"/>
            </w:tcBorders>
            <w:noWrap w:val="0"/>
            <w:vAlign w:val="center"/>
          </w:tcPr>
          <w:p w14:paraId="23794606">
            <w:pPr>
              <w:pStyle w:val="1358"/>
              <w:ind w:firstLine="0" w:firstLineChars="0"/>
              <w:rPr>
                <w:rFonts w:hint="default"/>
                <w:color w:val="auto"/>
                <w:highlight w:val="none"/>
                <w:lang w:val="en-US" w:eastAsia="zh-CN"/>
              </w:rPr>
            </w:pPr>
            <w:r>
              <w:rPr>
                <w:rFonts w:hint="default"/>
                <w:color w:val="auto"/>
                <w:highlight w:val="none"/>
                <w:lang w:val="en-US" w:eastAsia="zh-CN"/>
              </w:rPr>
              <w:t>1.953</w:t>
            </w:r>
          </w:p>
        </w:tc>
        <w:tc>
          <w:tcPr>
            <w:tcW w:w="3269" w:type="dxa"/>
            <w:vMerge w:val="continue"/>
            <w:tcBorders>
              <w:tl2br w:val="nil"/>
              <w:tr2bl w:val="nil"/>
            </w:tcBorders>
            <w:noWrap w:val="0"/>
            <w:vAlign w:val="center"/>
          </w:tcPr>
          <w:p w14:paraId="317BF79C">
            <w:pPr>
              <w:pStyle w:val="1358"/>
              <w:rPr>
                <w:color w:val="auto"/>
                <w:highlight w:val="none"/>
              </w:rPr>
            </w:pPr>
          </w:p>
        </w:tc>
      </w:tr>
      <w:tr w14:paraId="2BE1AD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88" w:type="dxa"/>
            <w:tcBorders>
              <w:tl2br w:val="nil"/>
              <w:tr2bl w:val="nil"/>
            </w:tcBorders>
            <w:noWrap w:val="0"/>
            <w:vAlign w:val="center"/>
          </w:tcPr>
          <w:p w14:paraId="4F8D8F34">
            <w:pPr>
              <w:pStyle w:val="1358"/>
              <w:ind w:firstLine="0" w:firstLineChars="0"/>
              <w:rPr>
                <w:color w:val="auto"/>
                <w:highlight w:val="none"/>
              </w:rPr>
            </w:pPr>
            <w:r>
              <w:rPr>
                <w:color w:val="auto"/>
                <w:highlight w:val="none"/>
              </w:rPr>
              <w:t>6</w:t>
            </w:r>
          </w:p>
        </w:tc>
        <w:tc>
          <w:tcPr>
            <w:tcW w:w="691" w:type="dxa"/>
            <w:vMerge w:val="continue"/>
            <w:tcBorders>
              <w:tl2br w:val="nil"/>
              <w:tr2bl w:val="nil"/>
            </w:tcBorders>
            <w:noWrap w:val="0"/>
            <w:vAlign w:val="center"/>
          </w:tcPr>
          <w:p w14:paraId="7669FB66">
            <w:pPr>
              <w:pStyle w:val="1358"/>
              <w:ind w:firstLine="0" w:firstLineChars="0"/>
              <w:rPr>
                <w:color w:val="auto"/>
                <w:highlight w:val="none"/>
              </w:rPr>
            </w:pPr>
          </w:p>
        </w:tc>
        <w:tc>
          <w:tcPr>
            <w:tcW w:w="2265" w:type="dxa"/>
            <w:tcBorders>
              <w:tl2br w:val="nil"/>
              <w:tr2bl w:val="nil"/>
            </w:tcBorders>
            <w:noWrap w:val="0"/>
            <w:vAlign w:val="center"/>
          </w:tcPr>
          <w:p w14:paraId="5259E3D7">
            <w:pPr>
              <w:pStyle w:val="1358"/>
              <w:ind w:firstLine="0" w:firstLineChars="0"/>
              <w:rPr>
                <w:rFonts w:hint="eastAsia"/>
                <w:color w:val="auto"/>
                <w:highlight w:val="none"/>
                <w:lang w:val="en-US" w:eastAsia="zh-CN"/>
              </w:rPr>
            </w:pPr>
            <w:r>
              <w:rPr>
                <w:rFonts w:hint="eastAsia"/>
                <w:color w:val="auto"/>
                <w:highlight w:val="none"/>
                <w:lang w:val="en-US" w:eastAsia="zh-CN"/>
              </w:rPr>
              <w:t>含油的手套及废抹布</w:t>
            </w:r>
          </w:p>
        </w:tc>
        <w:tc>
          <w:tcPr>
            <w:tcW w:w="840" w:type="dxa"/>
            <w:tcBorders>
              <w:tl2br w:val="nil"/>
              <w:tr2bl w:val="nil"/>
            </w:tcBorders>
            <w:noWrap w:val="0"/>
            <w:vAlign w:val="center"/>
          </w:tcPr>
          <w:p w14:paraId="4AE3A088">
            <w:pPr>
              <w:pStyle w:val="1358"/>
              <w:ind w:firstLine="0" w:firstLineChars="0"/>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56448139">
            <w:pPr>
              <w:pStyle w:val="1358"/>
              <w:ind w:firstLine="0" w:firstLineChars="0"/>
              <w:rPr>
                <w:rFonts w:hint="eastAsia"/>
                <w:color w:val="auto"/>
                <w:highlight w:val="none"/>
                <w:lang w:val="en-US" w:eastAsia="zh-CN"/>
              </w:rPr>
            </w:pPr>
            <w:r>
              <w:rPr>
                <w:rFonts w:hint="default"/>
                <w:color w:val="auto"/>
                <w:highlight w:val="none"/>
                <w:lang w:val="en-US" w:eastAsia="zh-CN"/>
              </w:rPr>
              <w:t>0.1</w:t>
            </w:r>
          </w:p>
        </w:tc>
        <w:tc>
          <w:tcPr>
            <w:tcW w:w="3269" w:type="dxa"/>
            <w:vMerge w:val="continue"/>
            <w:tcBorders>
              <w:tl2br w:val="nil"/>
              <w:tr2bl w:val="nil"/>
            </w:tcBorders>
            <w:noWrap w:val="0"/>
            <w:vAlign w:val="center"/>
          </w:tcPr>
          <w:p w14:paraId="351AC911">
            <w:pPr>
              <w:pStyle w:val="1358"/>
              <w:rPr>
                <w:color w:val="auto"/>
                <w:highlight w:val="none"/>
              </w:rPr>
            </w:pPr>
          </w:p>
        </w:tc>
      </w:tr>
      <w:tr w14:paraId="1BBAB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4249DEB4">
            <w:pPr>
              <w:pStyle w:val="1358"/>
              <w:ind w:firstLine="0" w:firstLineChars="0"/>
              <w:rPr>
                <w:rFonts w:hint="eastAsia" w:eastAsia="宋体"/>
                <w:color w:val="auto"/>
                <w:highlight w:val="none"/>
                <w:lang w:val="en-US" w:eastAsia="zh-CN"/>
              </w:rPr>
            </w:pPr>
            <w:r>
              <w:rPr>
                <w:rFonts w:hint="eastAsia"/>
                <w:color w:val="auto"/>
                <w:highlight w:val="none"/>
                <w:lang w:val="en-US" w:eastAsia="zh-CN"/>
              </w:rPr>
              <w:t>7</w:t>
            </w:r>
          </w:p>
        </w:tc>
        <w:tc>
          <w:tcPr>
            <w:tcW w:w="691" w:type="dxa"/>
            <w:vMerge w:val="continue"/>
            <w:tcBorders>
              <w:tl2br w:val="nil"/>
              <w:tr2bl w:val="nil"/>
            </w:tcBorders>
            <w:noWrap w:val="0"/>
            <w:vAlign w:val="center"/>
          </w:tcPr>
          <w:p w14:paraId="781D406C">
            <w:pPr>
              <w:pStyle w:val="1358"/>
              <w:ind w:firstLine="0" w:firstLineChars="0"/>
              <w:rPr>
                <w:color w:val="auto"/>
                <w:highlight w:val="none"/>
              </w:rPr>
            </w:pPr>
          </w:p>
        </w:tc>
        <w:tc>
          <w:tcPr>
            <w:tcW w:w="2265" w:type="dxa"/>
            <w:tcBorders>
              <w:tl2br w:val="nil"/>
              <w:tr2bl w:val="nil"/>
            </w:tcBorders>
            <w:noWrap w:val="0"/>
            <w:vAlign w:val="center"/>
          </w:tcPr>
          <w:p w14:paraId="0D1287A9">
            <w:pPr>
              <w:pStyle w:val="1358"/>
              <w:ind w:firstLine="0" w:firstLineChars="0"/>
              <w:rPr>
                <w:rFonts w:hint="eastAsia"/>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热洁炉灰渣</w:t>
            </w:r>
          </w:p>
        </w:tc>
        <w:tc>
          <w:tcPr>
            <w:tcW w:w="840" w:type="dxa"/>
            <w:tcBorders>
              <w:tl2br w:val="nil"/>
              <w:tr2bl w:val="nil"/>
            </w:tcBorders>
            <w:noWrap w:val="0"/>
            <w:vAlign w:val="center"/>
          </w:tcPr>
          <w:p w14:paraId="6BC2E1B9">
            <w:pPr>
              <w:pStyle w:val="1358"/>
              <w:ind w:firstLine="0" w:firstLineChars="0"/>
              <w:rPr>
                <w:rFonts w:hint="eastAsia"/>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固态</w:t>
            </w:r>
          </w:p>
        </w:tc>
        <w:tc>
          <w:tcPr>
            <w:tcW w:w="1425" w:type="dxa"/>
            <w:tcBorders>
              <w:tl2br w:val="nil"/>
              <w:tr2bl w:val="nil"/>
            </w:tcBorders>
            <w:noWrap w:val="0"/>
            <w:vAlign w:val="center"/>
          </w:tcPr>
          <w:p w14:paraId="63E10168">
            <w:pPr>
              <w:pStyle w:val="1358"/>
              <w:ind w:firstLine="0" w:firstLineChars="0"/>
              <w:rPr>
                <w:rFonts w:hint="default"/>
                <w:color w:val="auto"/>
                <w:highlight w:val="none"/>
                <w:lang w:val="en-US" w:eastAsia="zh-CN"/>
              </w:rPr>
            </w:pPr>
            <w:r>
              <w:rPr>
                <w:rFonts w:hint="eastAsia"/>
                <w:color w:val="auto"/>
                <w:highlight w:val="none"/>
                <w:lang w:val="en-US" w:eastAsia="zh-CN"/>
              </w:rPr>
              <w:t>34.0761</w:t>
            </w:r>
          </w:p>
        </w:tc>
        <w:tc>
          <w:tcPr>
            <w:tcW w:w="3269" w:type="dxa"/>
            <w:vMerge w:val="continue"/>
            <w:tcBorders>
              <w:tl2br w:val="nil"/>
              <w:tr2bl w:val="nil"/>
            </w:tcBorders>
            <w:noWrap w:val="0"/>
            <w:vAlign w:val="center"/>
          </w:tcPr>
          <w:p w14:paraId="7478E66D">
            <w:pPr>
              <w:pStyle w:val="1358"/>
              <w:rPr>
                <w:color w:val="auto"/>
                <w:highlight w:val="none"/>
              </w:rPr>
            </w:pPr>
          </w:p>
        </w:tc>
      </w:tr>
      <w:tr w14:paraId="4BFBD7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4" w:type="dxa"/>
            <w:gridSpan w:val="4"/>
            <w:tcBorders>
              <w:tl2br w:val="nil"/>
              <w:tr2bl w:val="nil"/>
            </w:tcBorders>
            <w:noWrap w:val="0"/>
            <w:vAlign w:val="center"/>
          </w:tcPr>
          <w:p w14:paraId="0608CEC9">
            <w:pPr>
              <w:pStyle w:val="1358"/>
              <w:ind w:firstLine="0" w:firstLineChars="0"/>
              <w:rPr>
                <w:rFonts w:ascii="Times New Roman" w:hAnsi="Times New Roman" w:eastAsia="宋体" w:cs="Times New Roman"/>
                <w:color w:val="auto"/>
                <w:highlight w:val="none"/>
              </w:rPr>
            </w:pPr>
            <w:r>
              <w:rPr>
                <w:rFonts w:ascii="Times New Roman" w:hAnsi="Times New Roman" w:eastAsia="宋体" w:cs="Times New Roman"/>
                <w:b/>
                <w:bCs/>
                <w:color w:val="auto"/>
                <w:highlight w:val="none"/>
              </w:rPr>
              <w:t>小计</w:t>
            </w:r>
          </w:p>
        </w:tc>
        <w:tc>
          <w:tcPr>
            <w:tcW w:w="1425" w:type="dxa"/>
            <w:tcBorders>
              <w:tl2br w:val="nil"/>
              <w:tr2bl w:val="nil"/>
            </w:tcBorders>
            <w:noWrap w:val="0"/>
            <w:vAlign w:val="center"/>
          </w:tcPr>
          <w:p w14:paraId="38B017B9">
            <w:pPr>
              <w:pStyle w:val="1358"/>
              <w:ind w:firstLine="0" w:firstLineChars="0"/>
              <w:rPr>
                <w:b/>
                <w:color w:val="auto"/>
                <w:highlight w:val="none"/>
              </w:rPr>
            </w:pPr>
            <w:r>
              <w:rPr>
                <w:rFonts w:hint="default" w:ascii="Times New Roman" w:hAnsi="Times New Roman" w:eastAsia="宋体" w:cs="Times New Roman"/>
                <w:color w:val="auto"/>
                <w:kern w:val="2"/>
                <w:sz w:val="21"/>
                <w:szCs w:val="24"/>
                <w:highlight w:val="none"/>
                <w:lang w:val="en-US" w:eastAsia="zh-CN" w:bidi="ar-SA"/>
              </w:rPr>
              <w:t>34.0761</w:t>
            </w:r>
          </w:p>
        </w:tc>
        <w:tc>
          <w:tcPr>
            <w:tcW w:w="0" w:type="auto"/>
            <w:tcBorders>
              <w:tl2br w:val="nil"/>
              <w:tr2bl w:val="nil"/>
            </w:tcBorders>
            <w:noWrap w:val="0"/>
            <w:vAlign w:val="center"/>
          </w:tcPr>
          <w:p w14:paraId="4F929B36">
            <w:pPr>
              <w:pStyle w:val="1358"/>
              <w:ind w:firstLine="0" w:firstLineChars="0"/>
              <w:rPr>
                <w:color w:val="auto"/>
                <w:highlight w:val="none"/>
              </w:rPr>
            </w:pPr>
          </w:p>
        </w:tc>
      </w:tr>
      <w:tr w14:paraId="13A55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5640EC45">
            <w:pPr>
              <w:pStyle w:val="1358"/>
              <w:rPr>
                <w:rFonts w:hint="eastAsia" w:eastAsia="宋体"/>
                <w:color w:val="auto"/>
                <w:highlight w:val="none"/>
                <w:lang w:val="en-US" w:eastAsia="zh-CN"/>
              </w:rPr>
            </w:pPr>
            <w:r>
              <w:rPr>
                <w:rFonts w:hint="eastAsia"/>
                <w:color w:val="auto"/>
                <w:highlight w:val="none"/>
                <w:lang w:val="en-US" w:eastAsia="zh-CN"/>
              </w:rPr>
              <w:t>1</w:t>
            </w:r>
          </w:p>
        </w:tc>
        <w:tc>
          <w:tcPr>
            <w:tcW w:w="691" w:type="dxa"/>
            <w:vMerge w:val="restart"/>
            <w:tcBorders>
              <w:tl2br w:val="nil"/>
              <w:tr2bl w:val="nil"/>
            </w:tcBorders>
            <w:noWrap w:val="0"/>
            <w:vAlign w:val="center"/>
          </w:tcPr>
          <w:p w14:paraId="3DBCAAE5">
            <w:pPr>
              <w:pStyle w:val="1358"/>
              <w:rPr>
                <w:rFonts w:hint="eastAsia"/>
                <w:color w:val="auto"/>
                <w:highlight w:val="none"/>
                <w:lang w:val="en-US" w:eastAsia="zh-CN"/>
              </w:rPr>
            </w:pPr>
            <w:r>
              <w:rPr>
                <w:rFonts w:hint="eastAsia"/>
                <w:color w:val="auto"/>
                <w:highlight w:val="none"/>
                <w:lang w:val="en-US" w:eastAsia="zh-CN"/>
              </w:rPr>
              <w:t>一般工业固体废物</w:t>
            </w:r>
          </w:p>
        </w:tc>
        <w:tc>
          <w:tcPr>
            <w:tcW w:w="2265" w:type="dxa"/>
            <w:tcBorders>
              <w:tl2br w:val="nil"/>
              <w:tr2bl w:val="nil"/>
            </w:tcBorders>
            <w:noWrap w:val="0"/>
            <w:vAlign w:val="center"/>
          </w:tcPr>
          <w:p w14:paraId="733FEBA6">
            <w:pPr>
              <w:pStyle w:val="1358"/>
              <w:rPr>
                <w:rFonts w:hint="eastAsia"/>
                <w:color w:val="auto"/>
                <w:highlight w:val="none"/>
                <w:lang w:val="en-US" w:eastAsia="zh-CN"/>
              </w:rPr>
            </w:pPr>
            <w:r>
              <w:rPr>
                <w:rFonts w:hint="eastAsia"/>
                <w:color w:val="auto"/>
                <w:highlight w:val="none"/>
                <w:lang w:val="en-US" w:eastAsia="zh-CN"/>
              </w:rPr>
              <w:t>注塑不合格品和边角废料</w:t>
            </w:r>
          </w:p>
        </w:tc>
        <w:tc>
          <w:tcPr>
            <w:tcW w:w="840" w:type="dxa"/>
            <w:tcBorders>
              <w:tl2br w:val="nil"/>
              <w:tr2bl w:val="nil"/>
            </w:tcBorders>
            <w:noWrap w:val="0"/>
            <w:vAlign w:val="center"/>
          </w:tcPr>
          <w:p w14:paraId="0CA5E254">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0424DA59">
            <w:pPr>
              <w:pStyle w:val="1358"/>
              <w:rPr>
                <w:rFonts w:hint="default"/>
                <w:color w:val="auto"/>
                <w:highlight w:val="none"/>
                <w:lang w:val="en-US" w:eastAsia="zh-CN"/>
              </w:rPr>
            </w:pPr>
            <w:r>
              <w:rPr>
                <w:rFonts w:hint="default"/>
                <w:color w:val="auto"/>
                <w:highlight w:val="none"/>
                <w:lang w:val="en-US" w:eastAsia="zh-CN"/>
              </w:rPr>
              <w:t>144.5423</w:t>
            </w:r>
          </w:p>
        </w:tc>
        <w:tc>
          <w:tcPr>
            <w:tcW w:w="3269" w:type="dxa"/>
            <w:vMerge w:val="restart"/>
            <w:tcBorders>
              <w:tl2br w:val="nil"/>
              <w:tr2bl w:val="nil"/>
            </w:tcBorders>
            <w:noWrap w:val="0"/>
            <w:vAlign w:val="center"/>
          </w:tcPr>
          <w:p w14:paraId="68D76DAA">
            <w:pPr>
              <w:pStyle w:val="1358"/>
              <w:rPr>
                <w:color w:val="auto"/>
                <w:highlight w:val="none"/>
              </w:rPr>
            </w:pPr>
            <w:r>
              <w:rPr>
                <w:color w:val="auto"/>
                <w:highlight w:val="none"/>
              </w:rPr>
              <w:t>暂存于一般固体废物暂存间，定期外售综合利用</w:t>
            </w:r>
          </w:p>
        </w:tc>
      </w:tr>
      <w:tr w14:paraId="7FD82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17EB68A">
            <w:pPr>
              <w:pStyle w:val="1358"/>
              <w:rPr>
                <w:rFonts w:hint="default" w:eastAsia="宋体"/>
                <w:color w:val="auto"/>
                <w:highlight w:val="none"/>
                <w:lang w:val="en-US" w:eastAsia="zh-CN"/>
              </w:rPr>
            </w:pPr>
            <w:r>
              <w:rPr>
                <w:rFonts w:hint="eastAsia" w:eastAsia="宋体"/>
                <w:color w:val="auto"/>
                <w:highlight w:val="none"/>
                <w:lang w:val="en-US" w:eastAsia="zh-CN"/>
              </w:rPr>
              <w:t>2</w:t>
            </w:r>
          </w:p>
        </w:tc>
        <w:tc>
          <w:tcPr>
            <w:tcW w:w="691" w:type="dxa"/>
            <w:vMerge w:val="continue"/>
            <w:tcBorders>
              <w:tl2br w:val="nil"/>
              <w:tr2bl w:val="nil"/>
            </w:tcBorders>
            <w:noWrap w:val="0"/>
            <w:vAlign w:val="center"/>
          </w:tcPr>
          <w:p w14:paraId="567BB468">
            <w:pPr>
              <w:pStyle w:val="1358"/>
              <w:rPr>
                <w:rFonts w:hint="eastAsia"/>
                <w:color w:val="auto"/>
                <w:highlight w:val="none"/>
                <w:lang w:val="en-US" w:eastAsia="zh-CN"/>
              </w:rPr>
            </w:pPr>
          </w:p>
        </w:tc>
        <w:tc>
          <w:tcPr>
            <w:tcW w:w="2265" w:type="dxa"/>
            <w:tcBorders>
              <w:tl2br w:val="nil"/>
              <w:tr2bl w:val="nil"/>
            </w:tcBorders>
            <w:noWrap w:val="0"/>
            <w:vAlign w:val="center"/>
          </w:tcPr>
          <w:p w14:paraId="4AC01D74">
            <w:pPr>
              <w:pStyle w:val="1358"/>
              <w:rPr>
                <w:rFonts w:hint="eastAsia"/>
                <w:color w:val="auto"/>
                <w:highlight w:val="none"/>
                <w:lang w:val="en-US" w:eastAsia="zh-CN"/>
              </w:rPr>
            </w:pPr>
            <w:r>
              <w:rPr>
                <w:rFonts w:hint="eastAsia"/>
                <w:color w:val="auto"/>
                <w:highlight w:val="none"/>
                <w:lang w:val="en-US" w:eastAsia="zh-CN"/>
              </w:rPr>
              <w:t>废包装材料</w:t>
            </w:r>
          </w:p>
        </w:tc>
        <w:tc>
          <w:tcPr>
            <w:tcW w:w="840" w:type="dxa"/>
            <w:tcBorders>
              <w:tl2br w:val="nil"/>
              <w:tr2bl w:val="nil"/>
            </w:tcBorders>
            <w:noWrap w:val="0"/>
            <w:vAlign w:val="center"/>
          </w:tcPr>
          <w:p w14:paraId="0BF06A64">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4C45470D">
            <w:pPr>
              <w:pStyle w:val="1358"/>
              <w:rPr>
                <w:rFonts w:hint="default"/>
                <w:color w:val="auto"/>
                <w:highlight w:val="none"/>
                <w:lang w:val="en-US" w:eastAsia="zh-CN"/>
              </w:rPr>
            </w:pPr>
            <w:r>
              <w:rPr>
                <w:rFonts w:hint="default"/>
                <w:color w:val="auto"/>
                <w:highlight w:val="none"/>
                <w:lang w:val="en-US" w:eastAsia="zh-CN"/>
              </w:rPr>
              <w:t>2.892</w:t>
            </w:r>
          </w:p>
        </w:tc>
        <w:tc>
          <w:tcPr>
            <w:tcW w:w="3269" w:type="dxa"/>
            <w:vMerge w:val="continue"/>
            <w:tcBorders>
              <w:tl2br w:val="nil"/>
              <w:tr2bl w:val="nil"/>
            </w:tcBorders>
            <w:noWrap w:val="0"/>
            <w:vAlign w:val="center"/>
          </w:tcPr>
          <w:p w14:paraId="1FDF9AC2">
            <w:pPr>
              <w:pStyle w:val="1358"/>
              <w:rPr>
                <w:color w:val="auto"/>
                <w:highlight w:val="none"/>
              </w:rPr>
            </w:pPr>
          </w:p>
        </w:tc>
      </w:tr>
      <w:tr w14:paraId="54399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33DF637A">
            <w:pPr>
              <w:pStyle w:val="1358"/>
              <w:rPr>
                <w:rFonts w:hint="eastAsia" w:eastAsia="宋体"/>
                <w:color w:val="auto"/>
                <w:highlight w:val="none"/>
                <w:lang w:val="en-US" w:eastAsia="zh-CN"/>
              </w:rPr>
            </w:pPr>
            <w:r>
              <w:rPr>
                <w:rFonts w:hint="eastAsia"/>
                <w:color w:val="auto"/>
                <w:highlight w:val="none"/>
                <w:lang w:val="en-US" w:eastAsia="zh-CN"/>
              </w:rPr>
              <w:t>3</w:t>
            </w:r>
          </w:p>
        </w:tc>
        <w:tc>
          <w:tcPr>
            <w:tcW w:w="691" w:type="dxa"/>
            <w:vMerge w:val="continue"/>
            <w:tcBorders>
              <w:tl2br w:val="nil"/>
              <w:tr2bl w:val="nil"/>
            </w:tcBorders>
            <w:noWrap w:val="0"/>
            <w:vAlign w:val="center"/>
          </w:tcPr>
          <w:p w14:paraId="3A2FAE02">
            <w:pPr>
              <w:pStyle w:val="1358"/>
              <w:rPr>
                <w:rFonts w:hint="eastAsia"/>
                <w:color w:val="auto"/>
                <w:highlight w:val="none"/>
                <w:lang w:val="en-US" w:eastAsia="zh-CN"/>
              </w:rPr>
            </w:pPr>
          </w:p>
        </w:tc>
        <w:tc>
          <w:tcPr>
            <w:tcW w:w="2265" w:type="dxa"/>
            <w:tcBorders>
              <w:tl2br w:val="nil"/>
              <w:tr2bl w:val="nil"/>
            </w:tcBorders>
            <w:noWrap w:val="0"/>
            <w:vAlign w:val="center"/>
          </w:tcPr>
          <w:p w14:paraId="0CF49D44">
            <w:pPr>
              <w:pStyle w:val="1358"/>
              <w:rPr>
                <w:rFonts w:hint="eastAsia"/>
                <w:color w:val="auto"/>
                <w:highlight w:val="none"/>
                <w:lang w:val="en-US" w:eastAsia="zh-CN"/>
              </w:rPr>
            </w:pPr>
            <w:r>
              <w:rPr>
                <w:rFonts w:hint="eastAsia"/>
                <w:color w:val="auto"/>
                <w:highlight w:val="none"/>
                <w:lang w:val="en-US" w:eastAsia="zh-CN"/>
              </w:rPr>
              <w:t>废抛光片</w:t>
            </w:r>
          </w:p>
        </w:tc>
        <w:tc>
          <w:tcPr>
            <w:tcW w:w="840" w:type="dxa"/>
            <w:tcBorders>
              <w:tl2br w:val="nil"/>
              <w:tr2bl w:val="nil"/>
            </w:tcBorders>
            <w:noWrap w:val="0"/>
            <w:vAlign w:val="center"/>
          </w:tcPr>
          <w:p w14:paraId="3052E505">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330C3BA5">
            <w:pPr>
              <w:pStyle w:val="1358"/>
              <w:rPr>
                <w:rFonts w:hint="eastAsia"/>
                <w:color w:val="auto"/>
                <w:highlight w:val="none"/>
                <w:lang w:val="en-US" w:eastAsia="zh-CN"/>
              </w:rPr>
            </w:pPr>
            <w:r>
              <w:rPr>
                <w:rFonts w:hint="default"/>
                <w:color w:val="auto"/>
                <w:highlight w:val="none"/>
                <w:lang w:val="en-US" w:eastAsia="zh-CN"/>
              </w:rPr>
              <w:t>0.015</w:t>
            </w:r>
          </w:p>
        </w:tc>
        <w:tc>
          <w:tcPr>
            <w:tcW w:w="3269" w:type="dxa"/>
            <w:vMerge w:val="continue"/>
            <w:tcBorders>
              <w:tl2br w:val="nil"/>
              <w:tr2bl w:val="nil"/>
            </w:tcBorders>
            <w:noWrap w:val="0"/>
            <w:vAlign w:val="center"/>
          </w:tcPr>
          <w:p w14:paraId="6BD1B08C">
            <w:pPr>
              <w:pStyle w:val="1358"/>
              <w:rPr>
                <w:color w:val="auto"/>
                <w:highlight w:val="none"/>
              </w:rPr>
            </w:pPr>
          </w:p>
        </w:tc>
      </w:tr>
      <w:tr w14:paraId="07847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01268D07">
            <w:pPr>
              <w:pStyle w:val="1358"/>
              <w:rPr>
                <w:rFonts w:hint="default"/>
                <w:color w:val="auto"/>
                <w:highlight w:val="none"/>
                <w:lang w:val="en-US" w:eastAsia="zh-CN"/>
              </w:rPr>
            </w:pPr>
            <w:r>
              <w:rPr>
                <w:rFonts w:hint="eastAsia"/>
                <w:color w:val="auto"/>
                <w:highlight w:val="none"/>
                <w:lang w:val="en-US" w:eastAsia="zh-CN"/>
              </w:rPr>
              <w:t>4</w:t>
            </w:r>
          </w:p>
        </w:tc>
        <w:tc>
          <w:tcPr>
            <w:tcW w:w="691" w:type="dxa"/>
            <w:vMerge w:val="continue"/>
            <w:tcBorders>
              <w:tl2br w:val="nil"/>
              <w:tr2bl w:val="nil"/>
            </w:tcBorders>
            <w:noWrap w:val="0"/>
            <w:vAlign w:val="center"/>
          </w:tcPr>
          <w:p w14:paraId="5B5C57D2">
            <w:pPr>
              <w:pStyle w:val="1358"/>
              <w:rPr>
                <w:rFonts w:hint="eastAsia"/>
                <w:color w:val="auto"/>
                <w:highlight w:val="none"/>
                <w:lang w:val="en-US" w:eastAsia="zh-CN"/>
              </w:rPr>
            </w:pPr>
          </w:p>
        </w:tc>
        <w:tc>
          <w:tcPr>
            <w:tcW w:w="2265" w:type="dxa"/>
            <w:tcBorders>
              <w:tl2br w:val="nil"/>
              <w:tr2bl w:val="nil"/>
            </w:tcBorders>
            <w:noWrap w:val="0"/>
            <w:vAlign w:val="center"/>
          </w:tcPr>
          <w:p w14:paraId="786528C5">
            <w:pPr>
              <w:pStyle w:val="1358"/>
              <w:rPr>
                <w:rFonts w:hint="default"/>
                <w:color w:val="auto"/>
                <w:highlight w:val="none"/>
                <w:lang w:val="en-US" w:eastAsia="zh-CN"/>
              </w:rPr>
            </w:pPr>
            <w:r>
              <w:rPr>
                <w:rFonts w:hint="eastAsia"/>
                <w:color w:val="auto"/>
                <w:highlight w:val="none"/>
                <w:lang w:val="en-US" w:eastAsia="zh-CN"/>
              </w:rPr>
              <w:t>纯水制备系统废滤材</w:t>
            </w:r>
          </w:p>
        </w:tc>
        <w:tc>
          <w:tcPr>
            <w:tcW w:w="840" w:type="dxa"/>
            <w:tcBorders>
              <w:tl2br w:val="nil"/>
              <w:tr2bl w:val="nil"/>
            </w:tcBorders>
            <w:noWrap w:val="0"/>
            <w:vAlign w:val="center"/>
          </w:tcPr>
          <w:p w14:paraId="3059086C">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73E80196">
            <w:pPr>
              <w:pStyle w:val="1358"/>
              <w:rPr>
                <w:rFonts w:hint="default"/>
                <w:color w:val="auto"/>
                <w:highlight w:val="none"/>
                <w:lang w:val="en-US" w:eastAsia="zh-CN"/>
              </w:rPr>
            </w:pPr>
            <w:r>
              <w:rPr>
                <w:rFonts w:hint="default"/>
                <w:color w:val="auto"/>
                <w:highlight w:val="none"/>
                <w:lang w:val="en-US" w:eastAsia="zh-CN"/>
              </w:rPr>
              <w:t>0.05</w:t>
            </w:r>
          </w:p>
        </w:tc>
        <w:tc>
          <w:tcPr>
            <w:tcW w:w="3269" w:type="dxa"/>
            <w:vMerge w:val="continue"/>
            <w:tcBorders>
              <w:tl2br w:val="nil"/>
              <w:tr2bl w:val="nil"/>
            </w:tcBorders>
            <w:noWrap w:val="0"/>
            <w:vAlign w:val="center"/>
          </w:tcPr>
          <w:p w14:paraId="52FC3ECF">
            <w:pPr>
              <w:pStyle w:val="1358"/>
              <w:rPr>
                <w:color w:val="auto"/>
                <w:highlight w:val="none"/>
              </w:rPr>
            </w:pPr>
          </w:p>
        </w:tc>
      </w:tr>
      <w:tr w14:paraId="036F5A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3CD91753">
            <w:pPr>
              <w:pStyle w:val="1358"/>
              <w:rPr>
                <w:rFonts w:hint="default"/>
                <w:color w:val="auto"/>
                <w:highlight w:val="none"/>
                <w:lang w:val="en-US" w:eastAsia="zh-CN"/>
              </w:rPr>
            </w:pPr>
            <w:r>
              <w:rPr>
                <w:rFonts w:hint="eastAsia"/>
                <w:color w:val="auto"/>
                <w:highlight w:val="none"/>
                <w:lang w:val="en-US" w:eastAsia="zh-CN"/>
              </w:rPr>
              <w:t>5</w:t>
            </w:r>
          </w:p>
        </w:tc>
        <w:tc>
          <w:tcPr>
            <w:tcW w:w="691" w:type="dxa"/>
            <w:vMerge w:val="continue"/>
            <w:tcBorders>
              <w:tl2br w:val="nil"/>
              <w:tr2bl w:val="nil"/>
            </w:tcBorders>
            <w:noWrap w:val="0"/>
            <w:vAlign w:val="center"/>
          </w:tcPr>
          <w:p w14:paraId="727C5CB4">
            <w:pPr>
              <w:pStyle w:val="1358"/>
              <w:rPr>
                <w:rFonts w:hint="eastAsia"/>
                <w:color w:val="auto"/>
                <w:highlight w:val="none"/>
                <w:lang w:val="en-US" w:eastAsia="zh-CN"/>
              </w:rPr>
            </w:pPr>
          </w:p>
        </w:tc>
        <w:tc>
          <w:tcPr>
            <w:tcW w:w="2265" w:type="dxa"/>
            <w:tcBorders>
              <w:tl2br w:val="nil"/>
              <w:tr2bl w:val="nil"/>
            </w:tcBorders>
            <w:noWrap w:val="0"/>
            <w:vAlign w:val="center"/>
          </w:tcPr>
          <w:p w14:paraId="6D9BA882">
            <w:pPr>
              <w:pStyle w:val="1358"/>
              <w:rPr>
                <w:rFonts w:hint="default"/>
                <w:color w:val="auto"/>
                <w:highlight w:val="none"/>
                <w:lang w:val="en-US" w:eastAsia="zh-CN"/>
              </w:rPr>
            </w:pPr>
            <w:r>
              <w:rPr>
                <w:rFonts w:hint="eastAsia"/>
                <w:color w:val="auto"/>
                <w:highlight w:val="none"/>
                <w:lang w:val="en-US" w:eastAsia="zh-CN"/>
              </w:rPr>
              <w:t>废蓄热陶瓷体</w:t>
            </w:r>
          </w:p>
        </w:tc>
        <w:tc>
          <w:tcPr>
            <w:tcW w:w="840" w:type="dxa"/>
            <w:tcBorders>
              <w:tl2br w:val="nil"/>
              <w:tr2bl w:val="nil"/>
            </w:tcBorders>
            <w:noWrap w:val="0"/>
            <w:vAlign w:val="center"/>
          </w:tcPr>
          <w:p w14:paraId="301C3E03">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6EAE8763">
            <w:pPr>
              <w:pStyle w:val="1358"/>
              <w:rPr>
                <w:rFonts w:hint="eastAsia"/>
                <w:color w:val="auto"/>
                <w:highlight w:val="none"/>
                <w:lang w:val="en-US" w:eastAsia="zh-CN"/>
              </w:rPr>
            </w:pPr>
            <w:r>
              <w:rPr>
                <w:rFonts w:hint="default"/>
                <w:color w:val="auto"/>
                <w:highlight w:val="none"/>
                <w:lang w:val="en-US" w:eastAsia="zh-CN"/>
              </w:rPr>
              <w:t>0.2</w:t>
            </w:r>
          </w:p>
        </w:tc>
        <w:tc>
          <w:tcPr>
            <w:tcW w:w="3269" w:type="dxa"/>
            <w:vMerge w:val="continue"/>
            <w:tcBorders>
              <w:tl2br w:val="nil"/>
              <w:tr2bl w:val="nil"/>
            </w:tcBorders>
            <w:noWrap w:val="0"/>
            <w:vAlign w:val="center"/>
          </w:tcPr>
          <w:p w14:paraId="7DED56C7">
            <w:pPr>
              <w:pStyle w:val="1358"/>
              <w:rPr>
                <w:color w:val="auto"/>
                <w:highlight w:val="none"/>
              </w:rPr>
            </w:pPr>
          </w:p>
        </w:tc>
      </w:tr>
      <w:tr w14:paraId="20EB6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ACF1B92">
            <w:pPr>
              <w:pStyle w:val="1358"/>
              <w:rPr>
                <w:rFonts w:hint="default"/>
                <w:color w:val="auto"/>
                <w:highlight w:val="none"/>
                <w:lang w:val="en-US" w:eastAsia="zh-CN"/>
              </w:rPr>
            </w:pPr>
            <w:r>
              <w:rPr>
                <w:rFonts w:hint="eastAsia"/>
                <w:color w:val="auto"/>
                <w:highlight w:val="none"/>
                <w:lang w:val="en-US" w:eastAsia="zh-CN"/>
              </w:rPr>
              <w:t>6</w:t>
            </w:r>
          </w:p>
        </w:tc>
        <w:tc>
          <w:tcPr>
            <w:tcW w:w="691" w:type="dxa"/>
            <w:vMerge w:val="continue"/>
            <w:tcBorders>
              <w:tl2br w:val="nil"/>
              <w:tr2bl w:val="nil"/>
            </w:tcBorders>
            <w:noWrap w:val="0"/>
            <w:vAlign w:val="center"/>
          </w:tcPr>
          <w:p w14:paraId="30DA7E3B">
            <w:pPr>
              <w:pStyle w:val="1358"/>
              <w:rPr>
                <w:rFonts w:hint="eastAsia"/>
                <w:color w:val="auto"/>
                <w:highlight w:val="none"/>
                <w:lang w:val="en-US" w:eastAsia="zh-CN"/>
              </w:rPr>
            </w:pPr>
          </w:p>
        </w:tc>
        <w:tc>
          <w:tcPr>
            <w:tcW w:w="2265" w:type="dxa"/>
            <w:tcBorders>
              <w:tl2br w:val="nil"/>
              <w:tr2bl w:val="nil"/>
            </w:tcBorders>
            <w:noWrap w:val="0"/>
            <w:vAlign w:val="center"/>
          </w:tcPr>
          <w:p w14:paraId="19249A62">
            <w:pPr>
              <w:pStyle w:val="1358"/>
              <w:rPr>
                <w:rFonts w:hint="default"/>
                <w:color w:val="auto"/>
                <w:highlight w:val="none"/>
                <w:lang w:val="en-US" w:eastAsia="zh-CN"/>
              </w:rPr>
            </w:pPr>
            <w:r>
              <w:rPr>
                <w:rFonts w:hint="eastAsia"/>
                <w:color w:val="auto"/>
                <w:highlight w:val="none"/>
                <w:lang w:val="en-US" w:eastAsia="zh-CN"/>
              </w:rPr>
              <w:t>袋式除尘器收集的粉尘</w:t>
            </w:r>
          </w:p>
        </w:tc>
        <w:tc>
          <w:tcPr>
            <w:tcW w:w="840" w:type="dxa"/>
            <w:tcBorders>
              <w:tl2br w:val="nil"/>
              <w:tr2bl w:val="nil"/>
            </w:tcBorders>
            <w:noWrap w:val="0"/>
            <w:vAlign w:val="center"/>
          </w:tcPr>
          <w:p w14:paraId="0E57F297">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12B95E82">
            <w:pPr>
              <w:pStyle w:val="1358"/>
              <w:rPr>
                <w:rFonts w:hint="eastAsia"/>
                <w:color w:val="auto"/>
                <w:highlight w:val="none"/>
                <w:lang w:val="en-US" w:eastAsia="zh-CN"/>
              </w:rPr>
            </w:pPr>
            <w:r>
              <w:rPr>
                <w:rFonts w:hint="default"/>
                <w:color w:val="auto"/>
                <w:highlight w:val="none"/>
                <w:lang w:val="en-US" w:eastAsia="zh-CN"/>
              </w:rPr>
              <w:t>0.0439</w:t>
            </w:r>
          </w:p>
        </w:tc>
        <w:tc>
          <w:tcPr>
            <w:tcW w:w="3269" w:type="dxa"/>
            <w:vMerge w:val="continue"/>
            <w:tcBorders>
              <w:tl2br w:val="nil"/>
              <w:tr2bl w:val="nil"/>
            </w:tcBorders>
            <w:noWrap w:val="0"/>
            <w:vAlign w:val="center"/>
          </w:tcPr>
          <w:p w14:paraId="403CDC6B">
            <w:pPr>
              <w:pStyle w:val="1358"/>
              <w:rPr>
                <w:color w:val="auto"/>
                <w:highlight w:val="none"/>
              </w:rPr>
            </w:pPr>
          </w:p>
        </w:tc>
      </w:tr>
      <w:tr w14:paraId="780D3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4" w:type="dxa"/>
            <w:gridSpan w:val="4"/>
            <w:tcBorders>
              <w:tl2br w:val="nil"/>
              <w:tr2bl w:val="nil"/>
            </w:tcBorders>
            <w:noWrap w:val="0"/>
            <w:vAlign w:val="center"/>
          </w:tcPr>
          <w:p w14:paraId="4C30231F">
            <w:pPr>
              <w:pStyle w:val="1358"/>
              <w:rPr>
                <w:b/>
                <w:color w:val="auto"/>
                <w:highlight w:val="none"/>
              </w:rPr>
            </w:pPr>
            <w:r>
              <w:rPr>
                <w:b/>
                <w:color w:val="auto"/>
                <w:highlight w:val="none"/>
              </w:rPr>
              <w:t>小计</w:t>
            </w:r>
          </w:p>
        </w:tc>
        <w:tc>
          <w:tcPr>
            <w:tcW w:w="1425" w:type="dxa"/>
            <w:tcBorders>
              <w:tl2br w:val="nil"/>
              <w:tr2bl w:val="nil"/>
            </w:tcBorders>
            <w:noWrap w:val="0"/>
            <w:vAlign w:val="center"/>
          </w:tcPr>
          <w:p w14:paraId="40B21D04">
            <w:pPr>
              <w:pStyle w:val="1358"/>
              <w:rPr>
                <w:rFonts w:hint="default"/>
                <w:color w:val="auto"/>
                <w:highlight w:val="none"/>
                <w:lang w:val="en-US" w:eastAsia="zh-CN"/>
              </w:rPr>
            </w:pPr>
            <w:r>
              <w:rPr>
                <w:rFonts w:hint="default"/>
                <w:color w:val="auto"/>
                <w:highlight w:val="none"/>
                <w:lang w:val="en-US" w:eastAsia="zh-CN"/>
              </w:rPr>
              <w:t>147.7432</w:t>
            </w:r>
          </w:p>
        </w:tc>
        <w:tc>
          <w:tcPr>
            <w:tcW w:w="3269" w:type="dxa"/>
            <w:tcBorders>
              <w:tl2br w:val="nil"/>
              <w:tr2bl w:val="nil"/>
            </w:tcBorders>
            <w:noWrap w:val="0"/>
            <w:vAlign w:val="center"/>
          </w:tcPr>
          <w:p w14:paraId="550998A9">
            <w:pPr>
              <w:pStyle w:val="1358"/>
              <w:rPr>
                <w:b/>
                <w:color w:val="auto"/>
                <w:highlight w:val="none"/>
              </w:rPr>
            </w:pPr>
            <w:r>
              <w:rPr>
                <w:b/>
                <w:color w:val="auto"/>
                <w:highlight w:val="none"/>
              </w:rPr>
              <w:t>/</w:t>
            </w:r>
          </w:p>
        </w:tc>
      </w:tr>
      <w:tr w14:paraId="4804A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46DD2953">
            <w:pPr>
              <w:pStyle w:val="1358"/>
              <w:rPr>
                <w:rFonts w:hint="default" w:eastAsia="宋体"/>
                <w:color w:val="auto"/>
                <w:highlight w:val="none"/>
                <w:lang w:val="en-US" w:eastAsia="zh-CN"/>
              </w:rPr>
            </w:pPr>
            <w:r>
              <w:rPr>
                <w:rFonts w:hint="eastAsia"/>
                <w:color w:val="auto"/>
                <w:highlight w:val="none"/>
                <w:lang w:val="en-US" w:eastAsia="zh-CN"/>
              </w:rPr>
              <w:t>1</w:t>
            </w:r>
          </w:p>
        </w:tc>
        <w:tc>
          <w:tcPr>
            <w:tcW w:w="2956" w:type="dxa"/>
            <w:gridSpan w:val="2"/>
            <w:tcBorders>
              <w:tl2br w:val="nil"/>
              <w:tr2bl w:val="nil"/>
            </w:tcBorders>
            <w:noWrap w:val="0"/>
            <w:vAlign w:val="center"/>
          </w:tcPr>
          <w:p w14:paraId="7867468C">
            <w:pPr>
              <w:pStyle w:val="1358"/>
              <w:rPr>
                <w:color w:val="auto"/>
                <w:highlight w:val="none"/>
              </w:rPr>
            </w:pPr>
            <w:r>
              <w:rPr>
                <w:color w:val="auto"/>
                <w:highlight w:val="none"/>
              </w:rPr>
              <w:t>生活垃圾</w:t>
            </w:r>
          </w:p>
        </w:tc>
        <w:tc>
          <w:tcPr>
            <w:tcW w:w="840" w:type="dxa"/>
            <w:tcBorders>
              <w:tl2br w:val="nil"/>
              <w:tr2bl w:val="nil"/>
            </w:tcBorders>
            <w:noWrap w:val="0"/>
            <w:vAlign w:val="center"/>
          </w:tcPr>
          <w:p w14:paraId="3B659E0E">
            <w:pPr>
              <w:pStyle w:val="1358"/>
              <w:rPr>
                <w:color w:val="auto"/>
                <w:highlight w:val="none"/>
              </w:rPr>
            </w:pPr>
            <w:r>
              <w:rPr>
                <w:color w:val="auto"/>
                <w:highlight w:val="none"/>
              </w:rPr>
              <w:t>/</w:t>
            </w:r>
          </w:p>
        </w:tc>
        <w:tc>
          <w:tcPr>
            <w:tcW w:w="1425" w:type="dxa"/>
            <w:tcBorders>
              <w:tl2br w:val="nil"/>
              <w:tr2bl w:val="nil"/>
            </w:tcBorders>
            <w:noWrap w:val="0"/>
            <w:vAlign w:val="center"/>
          </w:tcPr>
          <w:p w14:paraId="4EAED272">
            <w:pPr>
              <w:pStyle w:val="1358"/>
              <w:rPr>
                <w:rFonts w:hint="default"/>
                <w:color w:val="auto"/>
                <w:highlight w:val="none"/>
                <w:lang w:val="en-US" w:eastAsia="zh-CN"/>
              </w:rPr>
            </w:pPr>
            <w:r>
              <w:rPr>
                <w:rFonts w:hint="eastAsia"/>
                <w:color w:val="auto"/>
                <w:highlight w:val="none"/>
                <w:lang w:val="en-US" w:eastAsia="zh-CN"/>
              </w:rPr>
              <w:t>7.5</w:t>
            </w:r>
          </w:p>
        </w:tc>
        <w:tc>
          <w:tcPr>
            <w:tcW w:w="3269" w:type="dxa"/>
            <w:tcBorders>
              <w:tl2br w:val="nil"/>
              <w:tr2bl w:val="nil"/>
            </w:tcBorders>
            <w:noWrap w:val="0"/>
            <w:vAlign w:val="center"/>
          </w:tcPr>
          <w:p w14:paraId="303C82A3">
            <w:pPr>
              <w:pStyle w:val="1358"/>
              <w:rPr>
                <w:color w:val="auto"/>
                <w:highlight w:val="none"/>
              </w:rPr>
            </w:pPr>
            <w:r>
              <w:rPr>
                <w:color w:val="auto"/>
                <w:highlight w:val="none"/>
              </w:rPr>
              <w:t>生活垃圾收集桶收集后由环卫部门统一清运处置</w:t>
            </w:r>
          </w:p>
        </w:tc>
      </w:tr>
    </w:tbl>
    <w:p w14:paraId="321EDDA8">
      <w:pPr>
        <w:pStyle w:val="4"/>
        <w:numPr>
          <w:ilvl w:val="2"/>
          <w:numId w:val="0"/>
        </w:numPr>
        <w:tabs>
          <w:tab w:val="clear" w:pos="720"/>
        </w:tabs>
        <w:bidi w:val="0"/>
        <w:rPr>
          <w:color w:val="auto"/>
          <w:highlight w:val="none"/>
        </w:rPr>
      </w:pPr>
      <w:bookmarkStart w:id="354" w:name="_Toc20084"/>
      <w:bookmarkStart w:id="355" w:name="_Toc529434189"/>
      <w:r>
        <w:rPr>
          <w:rFonts w:hint="eastAsia"/>
          <w:color w:val="auto"/>
          <w:highlight w:val="none"/>
          <w:lang w:eastAsia="zh-CN"/>
        </w:rPr>
        <w:t>3.4</w:t>
      </w:r>
      <w:r>
        <w:rPr>
          <w:color w:val="auto"/>
          <w:highlight w:val="none"/>
        </w:rPr>
        <w:t>.5</w:t>
      </w:r>
      <w:r>
        <w:rPr>
          <w:rFonts w:hint="eastAsia"/>
          <w:color w:val="auto"/>
          <w:highlight w:val="none"/>
          <w:lang w:val="en-US" w:eastAsia="zh-CN"/>
        </w:rPr>
        <w:t xml:space="preserve"> </w:t>
      </w:r>
      <w:r>
        <w:rPr>
          <w:color w:val="auto"/>
          <w:highlight w:val="none"/>
        </w:rPr>
        <w:t>污染物排放情况汇总</w:t>
      </w:r>
      <w:bookmarkEnd w:id="354"/>
    </w:p>
    <w:p w14:paraId="5B6C4222">
      <w:pPr>
        <w:pStyle w:val="1336"/>
        <w:ind w:firstLine="480"/>
        <w:rPr>
          <w:color w:val="auto"/>
          <w:highlight w:val="none"/>
        </w:rPr>
      </w:pPr>
      <w:r>
        <w:rPr>
          <w:color w:val="auto"/>
          <w:highlight w:val="none"/>
        </w:rPr>
        <w:t>项目主要污染物排放情况汇总见下表</w:t>
      </w:r>
      <w:r>
        <w:rPr>
          <w:rFonts w:hint="eastAsia"/>
          <w:color w:val="auto"/>
          <w:highlight w:val="none"/>
          <w:lang w:eastAsia="zh-CN"/>
        </w:rPr>
        <w:t>3.4</w:t>
      </w:r>
      <w:r>
        <w:rPr>
          <w:color w:val="auto"/>
          <w:highlight w:val="none"/>
        </w:rPr>
        <w:t>-</w:t>
      </w:r>
      <w:r>
        <w:rPr>
          <w:rFonts w:hint="eastAsia"/>
          <w:color w:val="auto"/>
          <w:highlight w:val="none"/>
          <w:lang w:val="en-US" w:eastAsia="zh-CN"/>
        </w:rPr>
        <w:t>17</w:t>
      </w:r>
      <w:r>
        <w:rPr>
          <w:color w:val="auto"/>
          <w:highlight w:val="none"/>
        </w:rPr>
        <w:t>。</w:t>
      </w:r>
    </w:p>
    <w:p w14:paraId="7C30892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7</w:t>
      </w:r>
      <w:r>
        <w:rPr>
          <w:rFonts w:hint="default" w:ascii="Times New Roman" w:hAnsi="Times New Roman" w:cs="Times New Roman"/>
          <w:color w:val="auto"/>
          <w:highlight w:val="none"/>
        </w:rPr>
        <w:t xml:space="preserve">  项目主要污染物排放情况一览表</w:t>
      </w:r>
    </w:p>
    <w:tbl>
      <w:tblPr>
        <w:tblStyle w:val="80"/>
        <w:tblW w:w="9180"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17"/>
        <w:gridCol w:w="2190"/>
        <w:gridCol w:w="1412"/>
        <w:gridCol w:w="1305"/>
        <w:gridCol w:w="3156"/>
      </w:tblGrid>
      <w:tr w14:paraId="76971B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9180" w:type="dxa"/>
            <w:gridSpan w:val="5"/>
            <w:tcBorders>
              <w:tl2br w:val="nil"/>
              <w:tr2bl w:val="nil"/>
            </w:tcBorders>
            <w:shd w:val="clear" w:color="auto" w:fill="auto"/>
            <w:vAlign w:val="center"/>
          </w:tcPr>
          <w:p w14:paraId="4466965F">
            <w:pPr>
              <w:pStyle w:val="1358"/>
              <w:jc w:val="center"/>
              <w:rPr>
                <w:rFonts w:hint="eastAsia"/>
                <w:color w:val="auto"/>
                <w:highlight w:val="none"/>
              </w:rPr>
            </w:pPr>
            <w:bookmarkStart w:id="356" w:name="_Toc14724"/>
            <w:r>
              <w:rPr>
                <w:rFonts w:hint="eastAsia"/>
                <w:color w:val="auto"/>
                <w:highlight w:val="none"/>
                <w:lang w:val="en-US" w:eastAsia="zh-CN"/>
              </w:rPr>
              <w:t>一、废水</w:t>
            </w:r>
          </w:p>
        </w:tc>
      </w:tr>
      <w:tr w14:paraId="7C42C0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07" w:type="dxa"/>
            <w:gridSpan w:val="2"/>
            <w:tcBorders>
              <w:tl2br w:val="nil"/>
              <w:tr2bl w:val="nil"/>
            </w:tcBorders>
            <w:shd w:val="clear" w:color="auto" w:fill="auto"/>
            <w:vAlign w:val="center"/>
          </w:tcPr>
          <w:p w14:paraId="60E0CAD6">
            <w:pPr>
              <w:pStyle w:val="1358"/>
              <w:jc w:val="center"/>
              <w:rPr>
                <w:rFonts w:hint="eastAsia"/>
                <w:color w:val="auto"/>
                <w:highlight w:val="none"/>
              </w:rPr>
            </w:pPr>
            <w:r>
              <w:rPr>
                <w:rFonts w:hint="eastAsia"/>
                <w:color w:val="auto"/>
                <w:highlight w:val="none"/>
                <w:lang w:val="en-US" w:eastAsia="zh-CN"/>
              </w:rPr>
              <w:t>污染源名称</w:t>
            </w:r>
          </w:p>
        </w:tc>
        <w:tc>
          <w:tcPr>
            <w:tcW w:w="1412" w:type="dxa"/>
            <w:tcBorders>
              <w:tl2br w:val="nil"/>
              <w:tr2bl w:val="nil"/>
            </w:tcBorders>
            <w:shd w:val="clear" w:color="auto" w:fill="auto"/>
            <w:vAlign w:val="center"/>
          </w:tcPr>
          <w:p w14:paraId="76F5E473">
            <w:pPr>
              <w:pStyle w:val="1358"/>
              <w:jc w:val="center"/>
              <w:rPr>
                <w:rFonts w:hint="eastAsia"/>
                <w:color w:val="auto"/>
                <w:highlight w:val="none"/>
              </w:rPr>
            </w:pPr>
            <w:r>
              <w:rPr>
                <w:rFonts w:hint="eastAsia"/>
                <w:color w:val="auto"/>
                <w:highlight w:val="none"/>
                <w:lang w:val="en-US" w:eastAsia="zh-CN"/>
              </w:rPr>
              <w:t>产生量（</w:t>
            </w:r>
            <w:r>
              <w:rPr>
                <w:rFonts w:hint="default"/>
                <w:color w:val="auto"/>
                <w:highlight w:val="none"/>
                <w:lang w:val="en-US" w:eastAsia="zh-CN"/>
              </w:rPr>
              <w:t>t/a</w:t>
            </w:r>
            <w:r>
              <w:rPr>
                <w:rFonts w:hint="eastAsia"/>
                <w:color w:val="auto"/>
                <w:highlight w:val="none"/>
                <w:lang w:val="en-US" w:eastAsia="zh-CN"/>
              </w:rPr>
              <w:t>）</w:t>
            </w:r>
          </w:p>
        </w:tc>
        <w:tc>
          <w:tcPr>
            <w:tcW w:w="1305" w:type="dxa"/>
            <w:tcBorders>
              <w:tl2br w:val="nil"/>
              <w:tr2bl w:val="nil"/>
            </w:tcBorders>
            <w:shd w:val="clear" w:color="auto" w:fill="auto"/>
            <w:vAlign w:val="center"/>
          </w:tcPr>
          <w:p w14:paraId="532AD8E2">
            <w:pPr>
              <w:pStyle w:val="1358"/>
              <w:jc w:val="center"/>
              <w:rPr>
                <w:rFonts w:hint="eastAsia"/>
                <w:color w:val="auto"/>
                <w:highlight w:val="none"/>
              </w:rPr>
            </w:pPr>
            <w:r>
              <w:rPr>
                <w:rFonts w:hint="eastAsia"/>
                <w:color w:val="auto"/>
                <w:highlight w:val="none"/>
                <w:lang w:val="en-US" w:eastAsia="zh-CN"/>
              </w:rPr>
              <w:t>削减量（</w:t>
            </w:r>
            <w:r>
              <w:rPr>
                <w:rFonts w:hint="default"/>
                <w:color w:val="auto"/>
                <w:highlight w:val="none"/>
                <w:lang w:val="en-US" w:eastAsia="zh-CN"/>
              </w:rPr>
              <w:t>t/a</w:t>
            </w:r>
            <w:r>
              <w:rPr>
                <w:rFonts w:hint="eastAsia"/>
                <w:color w:val="auto"/>
                <w:highlight w:val="none"/>
                <w:lang w:val="en-US" w:eastAsia="zh-CN"/>
              </w:rPr>
              <w:t>）</w:t>
            </w:r>
          </w:p>
        </w:tc>
        <w:tc>
          <w:tcPr>
            <w:tcW w:w="3156" w:type="dxa"/>
            <w:tcBorders>
              <w:tl2br w:val="nil"/>
              <w:tr2bl w:val="nil"/>
            </w:tcBorders>
            <w:shd w:val="clear" w:color="auto" w:fill="auto"/>
            <w:vAlign w:val="center"/>
          </w:tcPr>
          <w:p w14:paraId="3DCB2B64">
            <w:pPr>
              <w:pStyle w:val="1358"/>
              <w:jc w:val="center"/>
              <w:rPr>
                <w:rFonts w:hint="eastAsia"/>
                <w:color w:val="auto"/>
                <w:highlight w:val="none"/>
              </w:rPr>
            </w:pPr>
            <w:r>
              <w:rPr>
                <w:rFonts w:hint="eastAsia"/>
                <w:color w:val="auto"/>
                <w:highlight w:val="none"/>
                <w:lang w:val="en-US" w:eastAsia="zh-CN"/>
              </w:rPr>
              <w:t>排放量（</w:t>
            </w:r>
            <w:r>
              <w:rPr>
                <w:rFonts w:hint="default"/>
                <w:color w:val="auto"/>
                <w:highlight w:val="none"/>
                <w:lang w:val="en-US" w:eastAsia="zh-CN"/>
              </w:rPr>
              <w:t>t/a</w:t>
            </w:r>
            <w:r>
              <w:rPr>
                <w:rFonts w:hint="eastAsia"/>
                <w:color w:val="auto"/>
                <w:highlight w:val="none"/>
                <w:lang w:val="en-US" w:eastAsia="zh-CN"/>
              </w:rPr>
              <w:t>）</w:t>
            </w:r>
          </w:p>
        </w:tc>
      </w:tr>
      <w:tr w14:paraId="680446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restart"/>
            <w:tcBorders>
              <w:tl2br w:val="nil"/>
              <w:tr2bl w:val="nil"/>
            </w:tcBorders>
            <w:shd w:val="clear" w:color="auto" w:fill="auto"/>
            <w:vAlign w:val="center"/>
          </w:tcPr>
          <w:p w14:paraId="1AAB018E">
            <w:pPr>
              <w:pStyle w:val="1358"/>
              <w:jc w:val="center"/>
              <w:rPr>
                <w:rFonts w:hint="eastAsia"/>
                <w:color w:val="auto"/>
                <w:highlight w:val="none"/>
              </w:rPr>
            </w:pPr>
            <w:r>
              <w:rPr>
                <w:rFonts w:hint="eastAsia"/>
                <w:color w:val="auto"/>
                <w:highlight w:val="none"/>
                <w:lang w:val="en-US" w:eastAsia="zh-CN"/>
              </w:rPr>
              <w:t>生活污水</w:t>
            </w:r>
          </w:p>
        </w:tc>
        <w:tc>
          <w:tcPr>
            <w:tcW w:w="2190" w:type="dxa"/>
            <w:tcBorders>
              <w:tl2br w:val="nil"/>
              <w:tr2bl w:val="nil"/>
            </w:tcBorders>
            <w:shd w:val="clear" w:color="auto" w:fill="auto"/>
            <w:vAlign w:val="center"/>
          </w:tcPr>
          <w:p w14:paraId="3B1A0EED">
            <w:pPr>
              <w:pStyle w:val="1358"/>
              <w:jc w:val="center"/>
              <w:rPr>
                <w:rFonts w:hint="eastAsia"/>
                <w:color w:val="auto"/>
                <w:highlight w:val="none"/>
              </w:rPr>
            </w:pPr>
            <w:r>
              <w:rPr>
                <w:rFonts w:hint="eastAsia"/>
                <w:color w:val="auto"/>
                <w:highlight w:val="none"/>
                <w:lang w:val="en-US" w:eastAsia="zh-CN"/>
              </w:rPr>
              <w:t>废水量</w:t>
            </w:r>
          </w:p>
        </w:tc>
        <w:tc>
          <w:tcPr>
            <w:tcW w:w="1412" w:type="dxa"/>
            <w:tcBorders>
              <w:tl2br w:val="nil"/>
              <w:tr2bl w:val="nil"/>
            </w:tcBorders>
            <w:shd w:val="clear" w:color="auto" w:fill="auto"/>
            <w:vAlign w:val="center"/>
          </w:tcPr>
          <w:p w14:paraId="36C46829">
            <w:pPr>
              <w:pStyle w:val="1358"/>
              <w:jc w:val="center"/>
              <w:rPr>
                <w:rFonts w:hint="default"/>
                <w:color w:val="auto"/>
                <w:highlight w:val="none"/>
              </w:rPr>
            </w:pPr>
            <w:r>
              <w:rPr>
                <w:rFonts w:hint="default"/>
                <w:color w:val="auto"/>
                <w:highlight w:val="none"/>
                <w:lang w:val="en-US" w:eastAsia="zh-CN"/>
              </w:rPr>
              <w:t>600</w:t>
            </w:r>
          </w:p>
        </w:tc>
        <w:tc>
          <w:tcPr>
            <w:tcW w:w="1305" w:type="dxa"/>
            <w:tcBorders>
              <w:tl2br w:val="nil"/>
              <w:tr2bl w:val="nil"/>
            </w:tcBorders>
            <w:shd w:val="clear" w:color="auto" w:fill="auto"/>
            <w:vAlign w:val="center"/>
          </w:tcPr>
          <w:p w14:paraId="1228883C">
            <w:pPr>
              <w:pStyle w:val="1358"/>
              <w:jc w:val="center"/>
              <w:rPr>
                <w:rFonts w:hint="default"/>
                <w:color w:val="auto"/>
                <w:highlight w:val="none"/>
              </w:rPr>
            </w:pPr>
            <w:r>
              <w:rPr>
                <w:rFonts w:hint="default"/>
                <w:color w:val="auto"/>
                <w:highlight w:val="none"/>
                <w:lang w:val="en-US" w:eastAsia="zh-CN"/>
              </w:rPr>
              <w:t>0</w:t>
            </w:r>
          </w:p>
        </w:tc>
        <w:tc>
          <w:tcPr>
            <w:tcW w:w="3156" w:type="dxa"/>
            <w:tcBorders>
              <w:tl2br w:val="nil"/>
              <w:tr2bl w:val="nil"/>
            </w:tcBorders>
            <w:shd w:val="clear" w:color="auto" w:fill="auto"/>
            <w:vAlign w:val="center"/>
          </w:tcPr>
          <w:p w14:paraId="40963054">
            <w:pPr>
              <w:pStyle w:val="1358"/>
              <w:jc w:val="center"/>
              <w:rPr>
                <w:rFonts w:hint="default"/>
                <w:color w:val="auto"/>
                <w:highlight w:val="none"/>
              </w:rPr>
            </w:pPr>
            <w:r>
              <w:rPr>
                <w:rFonts w:hint="default"/>
                <w:color w:val="auto"/>
                <w:highlight w:val="none"/>
                <w:lang w:val="en-US" w:eastAsia="zh-CN"/>
              </w:rPr>
              <w:t>600</w:t>
            </w:r>
          </w:p>
        </w:tc>
      </w:tr>
      <w:tr w14:paraId="7226D3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75E3639D">
            <w:pPr>
              <w:pStyle w:val="1358"/>
              <w:jc w:val="center"/>
              <w:rPr>
                <w:rFonts w:hint="eastAsia"/>
                <w:color w:val="auto"/>
                <w:highlight w:val="none"/>
              </w:rPr>
            </w:pPr>
          </w:p>
        </w:tc>
        <w:tc>
          <w:tcPr>
            <w:tcW w:w="2190" w:type="dxa"/>
            <w:tcBorders>
              <w:tl2br w:val="nil"/>
              <w:tr2bl w:val="nil"/>
            </w:tcBorders>
            <w:shd w:val="clear" w:color="auto" w:fill="auto"/>
            <w:vAlign w:val="center"/>
          </w:tcPr>
          <w:p w14:paraId="5861054F">
            <w:pPr>
              <w:pStyle w:val="1358"/>
              <w:jc w:val="center"/>
              <w:rPr>
                <w:rFonts w:hint="default"/>
                <w:color w:val="auto"/>
                <w:highlight w:val="none"/>
              </w:rPr>
            </w:pPr>
            <w:r>
              <w:rPr>
                <w:rFonts w:hint="default"/>
                <w:color w:val="auto"/>
                <w:highlight w:val="none"/>
                <w:lang w:val="en-US" w:eastAsia="zh-CN"/>
              </w:rPr>
              <w:t>COD</w:t>
            </w:r>
          </w:p>
        </w:tc>
        <w:tc>
          <w:tcPr>
            <w:tcW w:w="1412" w:type="dxa"/>
            <w:tcBorders>
              <w:tl2br w:val="nil"/>
              <w:tr2bl w:val="nil"/>
            </w:tcBorders>
            <w:shd w:val="clear" w:color="auto" w:fill="auto"/>
            <w:vAlign w:val="center"/>
          </w:tcPr>
          <w:p w14:paraId="47AA2714">
            <w:pPr>
              <w:pStyle w:val="1358"/>
              <w:jc w:val="center"/>
              <w:rPr>
                <w:rFonts w:hint="default"/>
                <w:color w:val="auto"/>
                <w:highlight w:val="none"/>
              </w:rPr>
            </w:pPr>
            <w:r>
              <w:rPr>
                <w:rFonts w:hint="default"/>
                <w:color w:val="auto"/>
                <w:highlight w:val="none"/>
                <w:lang w:val="en-US" w:eastAsia="zh-CN"/>
              </w:rPr>
              <w:t>0.24</w:t>
            </w:r>
          </w:p>
        </w:tc>
        <w:tc>
          <w:tcPr>
            <w:tcW w:w="1305" w:type="dxa"/>
            <w:tcBorders>
              <w:tl2br w:val="nil"/>
              <w:tr2bl w:val="nil"/>
            </w:tcBorders>
            <w:shd w:val="clear" w:color="auto" w:fill="auto"/>
            <w:vAlign w:val="center"/>
          </w:tcPr>
          <w:p w14:paraId="6A520D8B">
            <w:pPr>
              <w:pStyle w:val="1358"/>
              <w:jc w:val="center"/>
              <w:rPr>
                <w:rFonts w:hint="default"/>
                <w:color w:val="auto"/>
                <w:highlight w:val="none"/>
              </w:rPr>
            </w:pPr>
            <w:r>
              <w:rPr>
                <w:rFonts w:hint="default"/>
                <w:color w:val="auto"/>
                <w:highlight w:val="none"/>
                <w:lang w:val="en-US" w:eastAsia="zh-CN"/>
              </w:rPr>
              <w:t>0.096</w:t>
            </w:r>
          </w:p>
        </w:tc>
        <w:tc>
          <w:tcPr>
            <w:tcW w:w="3156" w:type="dxa"/>
            <w:tcBorders>
              <w:tl2br w:val="nil"/>
              <w:tr2bl w:val="nil"/>
            </w:tcBorders>
            <w:shd w:val="clear" w:color="auto" w:fill="auto"/>
            <w:vAlign w:val="center"/>
          </w:tcPr>
          <w:p w14:paraId="0BB99F03">
            <w:pPr>
              <w:pStyle w:val="1358"/>
              <w:jc w:val="center"/>
              <w:rPr>
                <w:rFonts w:hint="default"/>
                <w:color w:val="auto"/>
                <w:highlight w:val="none"/>
              </w:rPr>
            </w:pPr>
            <w:r>
              <w:rPr>
                <w:rFonts w:hint="default"/>
                <w:color w:val="auto"/>
                <w:highlight w:val="none"/>
                <w:lang w:val="en-US" w:eastAsia="zh-CN"/>
              </w:rPr>
              <w:t>0.144</w:t>
            </w:r>
          </w:p>
        </w:tc>
      </w:tr>
      <w:tr w14:paraId="56BE2A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1117" w:type="dxa"/>
            <w:vMerge w:val="continue"/>
            <w:tcBorders>
              <w:tl2br w:val="nil"/>
              <w:tr2bl w:val="nil"/>
            </w:tcBorders>
            <w:shd w:val="clear" w:color="auto" w:fill="auto"/>
            <w:vAlign w:val="center"/>
          </w:tcPr>
          <w:p w14:paraId="28FA741E">
            <w:pPr>
              <w:pStyle w:val="1358"/>
              <w:jc w:val="center"/>
              <w:rPr>
                <w:rFonts w:hint="eastAsia"/>
                <w:color w:val="auto"/>
                <w:highlight w:val="none"/>
              </w:rPr>
            </w:pPr>
          </w:p>
        </w:tc>
        <w:tc>
          <w:tcPr>
            <w:tcW w:w="2190" w:type="dxa"/>
            <w:tcBorders>
              <w:tl2br w:val="nil"/>
              <w:tr2bl w:val="nil"/>
            </w:tcBorders>
            <w:shd w:val="clear" w:color="auto" w:fill="auto"/>
            <w:vAlign w:val="center"/>
          </w:tcPr>
          <w:p w14:paraId="24EA6A8E">
            <w:pPr>
              <w:pStyle w:val="1358"/>
              <w:jc w:val="center"/>
              <w:rPr>
                <w:rFonts w:hint="default"/>
                <w:color w:val="auto"/>
                <w:highlight w:val="none"/>
              </w:rPr>
            </w:pPr>
            <w:r>
              <w:rPr>
                <w:rFonts w:hint="default"/>
                <w:color w:val="auto"/>
                <w:highlight w:val="none"/>
                <w:lang w:val="en-US" w:eastAsia="zh-CN"/>
              </w:rPr>
              <w:t>BOD</w:t>
            </w:r>
            <w:r>
              <w:rPr>
                <w:rFonts w:hint="default"/>
                <w:color w:val="auto"/>
                <w:highlight w:val="none"/>
                <w:vertAlign w:val="subscript"/>
                <w:lang w:val="en-US" w:eastAsia="zh-CN"/>
              </w:rPr>
              <w:t>5</w:t>
            </w:r>
          </w:p>
        </w:tc>
        <w:tc>
          <w:tcPr>
            <w:tcW w:w="1412" w:type="dxa"/>
            <w:tcBorders>
              <w:tl2br w:val="nil"/>
              <w:tr2bl w:val="nil"/>
            </w:tcBorders>
            <w:shd w:val="clear" w:color="auto" w:fill="auto"/>
            <w:vAlign w:val="center"/>
          </w:tcPr>
          <w:p w14:paraId="2AC4451F">
            <w:pPr>
              <w:pStyle w:val="1358"/>
              <w:jc w:val="center"/>
              <w:rPr>
                <w:rFonts w:hint="default"/>
                <w:color w:val="auto"/>
                <w:highlight w:val="none"/>
              </w:rPr>
            </w:pPr>
            <w:r>
              <w:rPr>
                <w:rFonts w:hint="default"/>
                <w:color w:val="auto"/>
                <w:highlight w:val="none"/>
                <w:lang w:val="en-US" w:eastAsia="zh-CN"/>
              </w:rPr>
              <w:t>0.12</w:t>
            </w:r>
          </w:p>
        </w:tc>
        <w:tc>
          <w:tcPr>
            <w:tcW w:w="1305" w:type="dxa"/>
            <w:tcBorders>
              <w:tl2br w:val="nil"/>
              <w:tr2bl w:val="nil"/>
            </w:tcBorders>
            <w:shd w:val="clear" w:color="auto" w:fill="auto"/>
            <w:vAlign w:val="center"/>
          </w:tcPr>
          <w:p w14:paraId="33C383AB">
            <w:pPr>
              <w:pStyle w:val="1358"/>
              <w:jc w:val="center"/>
              <w:rPr>
                <w:rFonts w:hint="default"/>
                <w:color w:val="auto"/>
                <w:highlight w:val="none"/>
              </w:rPr>
            </w:pPr>
            <w:r>
              <w:rPr>
                <w:rFonts w:hint="default"/>
                <w:color w:val="auto"/>
                <w:highlight w:val="none"/>
                <w:lang w:val="en-US" w:eastAsia="zh-CN"/>
              </w:rPr>
              <w:t>0.0264</w:t>
            </w:r>
          </w:p>
        </w:tc>
        <w:tc>
          <w:tcPr>
            <w:tcW w:w="3156" w:type="dxa"/>
            <w:tcBorders>
              <w:tl2br w:val="nil"/>
              <w:tr2bl w:val="nil"/>
            </w:tcBorders>
            <w:shd w:val="clear" w:color="auto" w:fill="auto"/>
            <w:vAlign w:val="center"/>
          </w:tcPr>
          <w:p w14:paraId="503D989F">
            <w:pPr>
              <w:pStyle w:val="1358"/>
              <w:jc w:val="center"/>
              <w:rPr>
                <w:rFonts w:hint="default"/>
                <w:color w:val="auto"/>
                <w:highlight w:val="none"/>
              </w:rPr>
            </w:pPr>
            <w:r>
              <w:rPr>
                <w:rFonts w:hint="default"/>
                <w:color w:val="auto"/>
                <w:highlight w:val="none"/>
                <w:lang w:val="en-US" w:eastAsia="zh-CN"/>
              </w:rPr>
              <w:t>0.0936</w:t>
            </w:r>
          </w:p>
        </w:tc>
      </w:tr>
      <w:tr w14:paraId="3BDAA3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2B9A67E0">
            <w:pPr>
              <w:pStyle w:val="1358"/>
              <w:jc w:val="center"/>
              <w:rPr>
                <w:rFonts w:hint="eastAsia"/>
                <w:color w:val="auto"/>
                <w:highlight w:val="none"/>
              </w:rPr>
            </w:pPr>
          </w:p>
        </w:tc>
        <w:tc>
          <w:tcPr>
            <w:tcW w:w="2190" w:type="dxa"/>
            <w:tcBorders>
              <w:tl2br w:val="nil"/>
              <w:tr2bl w:val="nil"/>
            </w:tcBorders>
            <w:shd w:val="clear" w:color="auto" w:fill="auto"/>
            <w:vAlign w:val="center"/>
          </w:tcPr>
          <w:p w14:paraId="08231F41">
            <w:pPr>
              <w:pStyle w:val="1358"/>
              <w:jc w:val="center"/>
              <w:rPr>
                <w:rFonts w:hint="default"/>
                <w:color w:val="auto"/>
                <w:highlight w:val="none"/>
              </w:rPr>
            </w:pPr>
            <w:r>
              <w:rPr>
                <w:rFonts w:hint="default"/>
                <w:color w:val="auto"/>
                <w:highlight w:val="none"/>
                <w:lang w:val="en-US" w:eastAsia="zh-CN"/>
              </w:rPr>
              <w:t>SS</w:t>
            </w:r>
          </w:p>
        </w:tc>
        <w:tc>
          <w:tcPr>
            <w:tcW w:w="1412" w:type="dxa"/>
            <w:tcBorders>
              <w:tl2br w:val="nil"/>
              <w:tr2bl w:val="nil"/>
            </w:tcBorders>
            <w:shd w:val="clear" w:color="auto" w:fill="auto"/>
            <w:vAlign w:val="center"/>
          </w:tcPr>
          <w:p w14:paraId="454AD80B">
            <w:pPr>
              <w:pStyle w:val="1358"/>
              <w:jc w:val="center"/>
              <w:rPr>
                <w:rFonts w:hint="default"/>
                <w:color w:val="auto"/>
                <w:highlight w:val="none"/>
              </w:rPr>
            </w:pPr>
            <w:r>
              <w:rPr>
                <w:rFonts w:hint="default"/>
                <w:color w:val="auto"/>
                <w:highlight w:val="none"/>
                <w:lang w:val="en-US" w:eastAsia="zh-CN"/>
              </w:rPr>
              <w:t>0.18</w:t>
            </w:r>
          </w:p>
        </w:tc>
        <w:tc>
          <w:tcPr>
            <w:tcW w:w="1305" w:type="dxa"/>
            <w:tcBorders>
              <w:tl2br w:val="nil"/>
              <w:tr2bl w:val="nil"/>
            </w:tcBorders>
            <w:shd w:val="clear" w:color="auto" w:fill="auto"/>
            <w:vAlign w:val="center"/>
          </w:tcPr>
          <w:p w14:paraId="0CB67827">
            <w:pPr>
              <w:pStyle w:val="1358"/>
              <w:jc w:val="center"/>
              <w:rPr>
                <w:rFonts w:hint="default"/>
                <w:color w:val="auto"/>
                <w:highlight w:val="none"/>
              </w:rPr>
            </w:pPr>
            <w:r>
              <w:rPr>
                <w:rFonts w:hint="default"/>
                <w:color w:val="auto"/>
                <w:highlight w:val="none"/>
                <w:lang w:val="en-US" w:eastAsia="zh-CN"/>
              </w:rPr>
              <w:t>0.108</w:t>
            </w:r>
          </w:p>
        </w:tc>
        <w:tc>
          <w:tcPr>
            <w:tcW w:w="3156" w:type="dxa"/>
            <w:tcBorders>
              <w:tl2br w:val="nil"/>
              <w:tr2bl w:val="nil"/>
            </w:tcBorders>
            <w:shd w:val="clear" w:color="auto" w:fill="auto"/>
            <w:vAlign w:val="center"/>
          </w:tcPr>
          <w:p w14:paraId="0C05A913">
            <w:pPr>
              <w:pStyle w:val="1358"/>
              <w:jc w:val="center"/>
              <w:rPr>
                <w:rFonts w:hint="default"/>
                <w:color w:val="auto"/>
                <w:highlight w:val="none"/>
              </w:rPr>
            </w:pPr>
            <w:r>
              <w:rPr>
                <w:rFonts w:hint="default"/>
                <w:color w:val="auto"/>
                <w:highlight w:val="none"/>
                <w:lang w:val="en-US" w:eastAsia="zh-CN"/>
              </w:rPr>
              <w:t>0.072</w:t>
            </w:r>
          </w:p>
        </w:tc>
      </w:tr>
      <w:tr w14:paraId="4B276A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6F339688">
            <w:pPr>
              <w:pStyle w:val="1358"/>
              <w:jc w:val="center"/>
              <w:rPr>
                <w:rFonts w:hint="eastAsia"/>
                <w:color w:val="auto"/>
                <w:highlight w:val="none"/>
              </w:rPr>
            </w:pPr>
          </w:p>
        </w:tc>
        <w:tc>
          <w:tcPr>
            <w:tcW w:w="2190" w:type="dxa"/>
            <w:tcBorders>
              <w:tl2br w:val="nil"/>
              <w:tr2bl w:val="nil"/>
            </w:tcBorders>
            <w:shd w:val="clear" w:color="auto" w:fill="auto"/>
            <w:vAlign w:val="center"/>
          </w:tcPr>
          <w:p w14:paraId="56BCD6C8">
            <w:pPr>
              <w:pStyle w:val="1358"/>
              <w:jc w:val="center"/>
              <w:rPr>
                <w:rFonts w:hint="default"/>
                <w:color w:val="auto"/>
                <w:highlight w:val="none"/>
              </w:rPr>
            </w:pPr>
            <w:r>
              <w:rPr>
                <w:rFonts w:hint="default"/>
                <w:color w:val="auto"/>
                <w:highlight w:val="none"/>
                <w:lang w:val="en-US" w:eastAsia="zh-CN"/>
              </w:rPr>
              <w:t>NH</w:t>
            </w:r>
            <w:r>
              <w:rPr>
                <w:rFonts w:hint="default"/>
                <w:color w:val="auto"/>
                <w:highlight w:val="none"/>
                <w:vertAlign w:val="subscript"/>
                <w:lang w:val="en-US" w:eastAsia="zh-CN"/>
              </w:rPr>
              <w:t>3</w:t>
            </w:r>
            <w:r>
              <w:rPr>
                <w:rFonts w:hint="default"/>
                <w:color w:val="auto"/>
                <w:highlight w:val="none"/>
                <w:lang w:val="en-US" w:eastAsia="zh-CN"/>
              </w:rPr>
              <w:t>-N</w:t>
            </w:r>
          </w:p>
        </w:tc>
        <w:tc>
          <w:tcPr>
            <w:tcW w:w="1412" w:type="dxa"/>
            <w:tcBorders>
              <w:tl2br w:val="nil"/>
              <w:tr2bl w:val="nil"/>
            </w:tcBorders>
            <w:shd w:val="clear" w:color="auto" w:fill="auto"/>
            <w:vAlign w:val="center"/>
          </w:tcPr>
          <w:p w14:paraId="1EE033D8">
            <w:pPr>
              <w:pStyle w:val="1358"/>
              <w:jc w:val="center"/>
              <w:rPr>
                <w:rFonts w:hint="default"/>
                <w:color w:val="auto"/>
                <w:highlight w:val="none"/>
              </w:rPr>
            </w:pPr>
            <w:r>
              <w:rPr>
                <w:rFonts w:hint="default"/>
                <w:color w:val="auto"/>
                <w:highlight w:val="none"/>
                <w:lang w:val="en-US" w:eastAsia="zh-CN"/>
              </w:rPr>
              <w:t>0.018</w:t>
            </w:r>
          </w:p>
        </w:tc>
        <w:tc>
          <w:tcPr>
            <w:tcW w:w="1305" w:type="dxa"/>
            <w:tcBorders>
              <w:tl2br w:val="nil"/>
              <w:tr2bl w:val="nil"/>
            </w:tcBorders>
            <w:shd w:val="clear" w:color="auto" w:fill="auto"/>
            <w:vAlign w:val="center"/>
          </w:tcPr>
          <w:p w14:paraId="373E8B89">
            <w:pPr>
              <w:pStyle w:val="1358"/>
              <w:jc w:val="center"/>
              <w:rPr>
                <w:rFonts w:hint="default"/>
                <w:color w:val="auto"/>
                <w:highlight w:val="none"/>
              </w:rPr>
            </w:pPr>
            <w:r>
              <w:rPr>
                <w:rFonts w:hint="default"/>
                <w:color w:val="auto"/>
                <w:highlight w:val="none"/>
                <w:lang w:val="en-US" w:eastAsia="zh-CN"/>
              </w:rPr>
              <w:t>0.0018</w:t>
            </w:r>
          </w:p>
        </w:tc>
        <w:tc>
          <w:tcPr>
            <w:tcW w:w="3156" w:type="dxa"/>
            <w:tcBorders>
              <w:tl2br w:val="nil"/>
              <w:tr2bl w:val="nil"/>
            </w:tcBorders>
            <w:shd w:val="clear" w:color="auto" w:fill="auto"/>
            <w:vAlign w:val="center"/>
          </w:tcPr>
          <w:p w14:paraId="31F14DCF">
            <w:pPr>
              <w:pStyle w:val="1358"/>
              <w:jc w:val="center"/>
              <w:rPr>
                <w:rFonts w:hint="default"/>
                <w:color w:val="auto"/>
                <w:highlight w:val="none"/>
              </w:rPr>
            </w:pPr>
            <w:r>
              <w:rPr>
                <w:rFonts w:hint="default"/>
                <w:color w:val="auto"/>
                <w:highlight w:val="none"/>
                <w:lang w:val="en-US" w:eastAsia="zh-CN"/>
              </w:rPr>
              <w:t>0.0162</w:t>
            </w:r>
          </w:p>
        </w:tc>
      </w:tr>
      <w:tr w14:paraId="63D17E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180" w:type="dxa"/>
            <w:gridSpan w:val="5"/>
            <w:tcBorders>
              <w:tl2br w:val="nil"/>
              <w:tr2bl w:val="nil"/>
            </w:tcBorders>
            <w:shd w:val="clear" w:color="auto" w:fill="auto"/>
            <w:vAlign w:val="center"/>
          </w:tcPr>
          <w:p w14:paraId="25E56985">
            <w:pPr>
              <w:pStyle w:val="1358"/>
              <w:jc w:val="center"/>
              <w:rPr>
                <w:rFonts w:hint="eastAsia"/>
                <w:color w:val="auto"/>
                <w:highlight w:val="none"/>
              </w:rPr>
            </w:pPr>
            <w:r>
              <w:rPr>
                <w:rFonts w:hint="eastAsia"/>
                <w:color w:val="auto"/>
                <w:highlight w:val="none"/>
                <w:lang w:val="en-US" w:eastAsia="zh-CN"/>
              </w:rPr>
              <w:t>二、废气</w:t>
            </w:r>
          </w:p>
        </w:tc>
      </w:tr>
      <w:tr w14:paraId="3354E4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tcBorders>
              <w:tl2br w:val="nil"/>
              <w:tr2bl w:val="nil"/>
            </w:tcBorders>
            <w:shd w:val="clear" w:color="auto" w:fill="auto"/>
            <w:vAlign w:val="center"/>
          </w:tcPr>
          <w:p w14:paraId="4CCD2B94">
            <w:pPr>
              <w:pStyle w:val="1358"/>
              <w:jc w:val="center"/>
              <w:rPr>
                <w:rFonts w:hint="eastAsia"/>
                <w:color w:val="auto"/>
                <w:highlight w:val="none"/>
              </w:rPr>
            </w:pPr>
            <w:r>
              <w:rPr>
                <w:rFonts w:hint="eastAsia"/>
                <w:color w:val="auto"/>
                <w:highlight w:val="none"/>
                <w:lang w:val="en-US" w:eastAsia="zh-CN"/>
              </w:rPr>
              <w:t>排放方式</w:t>
            </w:r>
          </w:p>
        </w:tc>
        <w:tc>
          <w:tcPr>
            <w:tcW w:w="2190" w:type="dxa"/>
            <w:tcBorders>
              <w:tl2br w:val="nil"/>
              <w:tr2bl w:val="nil"/>
            </w:tcBorders>
            <w:shd w:val="clear" w:color="auto" w:fill="auto"/>
            <w:vAlign w:val="center"/>
          </w:tcPr>
          <w:p w14:paraId="10E21186">
            <w:pPr>
              <w:pStyle w:val="1358"/>
              <w:jc w:val="center"/>
              <w:rPr>
                <w:rFonts w:hint="eastAsia"/>
                <w:color w:val="auto"/>
                <w:highlight w:val="none"/>
              </w:rPr>
            </w:pPr>
            <w:r>
              <w:rPr>
                <w:rFonts w:hint="eastAsia"/>
                <w:color w:val="auto"/>
                <w:highlight w:val="none"/>
                <w:lang w:val="en-US" w:eastAsia="zh-CN"/>
              </w:rPr>
              <w:t>污染物名称</w:t>
            </w:r>
          </w:p>
        </w:tc>
        <w:tc>
          <w:tcPr>
            <w:tcW w:w="1412" w:type="dxa"/>
            <w:tcBorders>
              <w:tl2br w:val="nil"/>
              <w:tr2bl w:val="nil"/>
            </w:tcBorders>
            <w:shd w:val="clear" w:color="auto" w:fill="auto"/>
            <w:vAlign w:val="center"/>
          </w:tcPr>
          <w:p w14:paraId="3F9B3DD0">
            <w:pPr>
              <w:pStyle w:val="1358"/>
              <w:jc w:val="center"/>
              <w:rPr>
                <w:rFonts w:hint="eastAsia"/>
                <w:color w:val="auto"/>
                <w:highlight w:val="none"/>
              </w:rPr>
            </w:pPr>
            <w:r>
              <w:rPr>
                <w:rFonts w:hint="eastAsia"/>
                <w:color w:val="auto"/>
                <w:highlight w:val="none"/>
                <w:lang w:val="en-US" w:eastAsia="zh-CN"/>
              </w:rPr>
              <w:t>产生量（</w:t>
            </w:r>
            <w:r>
              <w:rPr>
                <w:rFonts w:hint="default"/>
                <w:color w:val="auto"/>
                <w:highlight w:val="none"/>
                <w:lang w:val="en-US" w:eastAsia="zh-CN"/>
              </w:rPr>
              <w:t>t/a</w:t>
            </w:r>
            <w:r>
              <w:rPr>
                <w:rFonts w:hint="eastAsia"/>
                <w:color w:val="auto"/>
                <w:highlight w:val="none"/>
                <w:lang w:val="en-US" w:eastAsia="zh-CN"/>
              </w:rPr>
              <w:t>）</w:t>
            </w:r>
          </w:p>
        </w:tc>
        <w:tc>
          <w:tcPr>
            <w:tcW w:w="1305" w:type="dxa"/>
            <w:tcBorders>
              <w:tl2br w:val="nil"/>
              <w:tr2bl w:val="nil"/>
            </w:tcBorders>
            <w:shd w:val="clear" w:color="auto" w:fill="auto"/>
            <w:vAlign w:val="center"/>
          </w:tcPr>
          <w:p w14:paraId="55348458">
            <w:pPr>
              <w:pStyle w:val="1358"/>
              <w:jc w:val="center"/>
              <w:rPr>
                <w:rFonts w:hint="eastAsia"/>
                <w:color w:val="auto"/>
                <w:highlight w:val="none"/>
              </w:rPr>
            </w:pPr>
            <w:r>
              <w:rPr>
                <w:rFonts w:hint="eastAsia"/>
                <w:color w:val="auto"/>
                <w:highlight w:val="none"/>
                <w:lang w:val="en-US" w:eastAsia="zh-CN"/>
              </w:rPr>
              <w:t>削减量（</w:t>
            </w:r>
            <w:r>
              <w:rPr>
                <w:rFonts w:hint="default"/>
                <w:color w:val="auto"/>
                <w:highlight w:val="none"/>
                <w:lang w:val="en-US" w:eastAsia="zh-CN"/>
              </w:rPr>
              <w:t>t/a</w:t>
            </w:r>
            <w:r>
              <w:rPr>
                <w:rFonts w:hint="eastAsia"/>
                <w:color w:val="auto"/>
                <w:highlight w:val="none"/>
                <w:lang w:val="en-US" w:eastAsia="zh-CN"/>
              </w:rPr>
              <w:t>）</w:t>
            </w:r>
          </w:p>
        </w:tc>
        <w:tc>
          <w:tcPr>
            <w:tcW w:w="3156" w:type="dxa"/>
            <w:tcBorders>
              <w:tl2br w:val="nil"/>
              <w:tr2bl w:val="nil"/>
            </w:tcBorders>
            <w:shd w:val="clear" w:color="auto" w:fill="auto"/>
            <w:vAlign w:val="center"/>
          </w:tcPr>
          <w:p w14:paraId="37AB2AA3">
            <w:pPr>
              <w:pStyle w:val="1358"/>
              <w:jc w:val="center"/>
              <w:rPr>
                <w:rFonts w:hint="eastAsia"/>
                <w:color w:val="auto"/>
                <w:highlight w:val="none"/>
              </w:rPr>
            </w:pPr>
            <w:r>
              <w:rPr>
                <w:rFonts w:hint="eastAsia"/>
                <w:color w:val="auto"/>
                <w:highlight w:val="none"/>
                <w:lang w:val="en-US" w:eastAsia="zh-CN"/>
              </w:rPr>
              <w:t>排放量（</w:t>
            </w:r>
            <w:r>
              <w:rPr>
                <w:rFonts w:hint="default"/>
                <w:color w:val="auto"/>
                <w:highlight w:val="none"/>
                <w:lang w:val="en-US" w:eastAsia="zh-CN"/>
              </w:rPr>
              <w:t>t/a</w:t>
            </w:r>
            <w:r>
              <w:rPr>
                <w:rFonts w:hint="eastAsia"/>
                <w:color w:val="auto"/>
                <w:highlight w:val="none"/>
                <w:lang w:val="en-US" w:eastAsia="zh-CN"/>
              </w:rPr>
              <w:t>）</w:t>
            </w:r>
          </w:p>
        </w:tc>
      </w:tr>
      <w:tr w14:paraId="42C674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restart"/>
            <w:tcBorders>
              <w:tl2br w:val="nil"/>
              <w:tr2bl w:val="nil"/>
            </w:tcBorders>
            <w:shd w:val="clear" w:color="auto" w:fill="auto"/>
            <w:vAlign w:val="center"/>
          </w:tcPr>
          <w:p w14:paraId="7D50FB70">
            <w:pPr>
              <w:pStyle w:val="1358"/>
              <w:jc w:val="center"/>
              <w:rPr>
                <w:rFonts w:hint="eastAsia"/>
                <w:color w:val="auto"/>
                <w:highlight w:val="none"/>
              </w:rPr>
            </w:pPr>
            <w:r>
              <w:rPr>
                <w:rFonts w:hint="eastAsia"/>
                <w:color w:val="auto"/>
                <w:highlight w:val="none"/>
                <w:lang w:val="en-US" w:eastAsia="zh-CN"/>
              </w:rPr>
              <w:t>有组织</w:t>
            </w:r>
          </w:p>
        </w:tc>
        <w:tc>
          <w:tcPr>
            <w:tcW w:w="2190" w:type="dxa"/>
            <w:tcBorders>
              <w:tl2br w:val="nil"/>
              <w:tr2bl w:val="nil"/>
            </w:tcBorders>
            <w:shd w:val="clear" w:color="auto" w:fill="auto"/>
            <w:noWrap/>
            <w:vAlign w:val="center"/>
          </w:tcPr>
          <w:p w14:paraId="7A6D9D29">
            <w:pPr>
              <w:pStyle w:val="1358"/>
              <w:jc w:val="center"/>
              <w:rPr>
                <w:color w:val="auto"/>
                <w:highlight w:val="none"/>
              </w:rPr>
            </w:pPr>
            <w:r>
              <w:rPr>
                <w:rFonts w:hint="eastAsia"/>
                <w:color w:val="auto"/>
                <w:highlight w:val="none"/>
                <w:lang w:val="en-US" w:eastAsia="zh-CN"/>
              </w:rPr>
              <w:t>二甲苯</w:t>
            </w:r>
          </w:p>
        </w:tc>
        <w:tc>
          <w:tcPr>
            <w:tcW w:w="1412" w:type="dxa"/>
            <w:tcBorders>
              <w:tl2br w:val="nil"/>
              <w:tr2bl w:val="nil"/>
            </w:tcBorders>
            <w:shd w:val="clear" w:color="auto" w:fill="auto"/>
            <w:vAlign w:val="center"/>
          </w:tcPr>
          <w:p w14:paraId="6775373E">
            <w:pPr>
              <w:pStyle w:val="1358"/>
              <w:bidi w:val="0"/>
              <w:jc w:val="center"/>
              <w:rPr>
                <w:rFonts w:hint="default"/>
                <w:color w:val="auto"/>
                <w:highlight w:val="none"/>
              </w:rPr>
            </w:pPr>
            <w:r>
              <w:rPr>
                <w:rFonts w:hint="eastAsia"/>
                <w:color w:val="auto"/>
                <w:highlight w:val="none"/>
                <w:lang w:val="en-US" w:eastAsia="zh-CN"/>
              </w:rPr>
              <w:t>12.4737</w:t>
            </w:r>
          </w:p>
        </w:tc>
        <w:tc>
          <w:tcPr>
            <w:tcW w:w="1305" w:type="dxa"/>
            <w:tcBorders>
              <w:tl2br w:val="nil"/>
              <w:tr2bl w:val="nil"/>
            </w:tcBorders>
            <w:shd w:val="clear" w:color="auto" w:fill="auto"/>
            <w:vAlign w:val="center"/>
          </w:tcPr>
          <w:p w14:paraId="76C6016A">
            <w:pPr>
              <w:pStyle w:val="1358"/>
              <w:bidi w:val="0"/>
              <w:jc w:val="center"/>
              <w:rPr>
                <w:rFonts w:hint="default"/>
                <w:color w:val="auto"/>
                <w:highlight w:val="none"/>
              </w:rPr>
            </w:pPr>
            <w:r>
              <w:rPr>
                <w:rFonts w:hint="eastAsia"/>
                <w:color w:val="auto"/>
                <w:highlight w:val="none"/>
                <w:lang w:val="en-US" w:eastAsia="zh-CN"/>
              </w:rPr>
              <w:t>12.1018</w:t>
            </w:r>
          </w:p>
        </w:tc>
        <w:tc>
          <w:tcPr>
            <w:tcW w:w="3156" w:type="dxa"/>
            <w:tcBorders>
              <w:tl2br w:val="nil"/>
              <w:tr2bl w:val="nil"/>
            </w:tcBorders>
            <w:shd w:val="clear" w:color="auto" w:fill="auto"/>
            <w:vAlign w:val="center"/>
          </w:tcPr>
          <w:p w14:paraId="4D8498E6">
            <w:pPr>
              <w:pStyle w:val="1358"/>
              <w:bidi w:val="0"/>
              <w:jc w:val="center"/>
              <w:rPr>
                <w:rFonts w:hint="default"/>
                <w:color w:val="auto"/>
                <w:highlight w:val="none"/>
              </w:rPr>
            </w:pPr>
            <w:r>
              <w:rPr>
                <w:rFonts w:hint="eastAsia"/>
                <w:color w:val="auto"/>
                <w:highlight w:val="none"/>
                <w:lang w:val="en-US" w:eastAsia="zh-CN"/>
              </w:rPr>
              <w:t>0.3719</w:t>
            </w:r>
          </w:p>
        </w:tc>
      </w:tr>
      <w:tr w14:paraId="15EE87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1857F8F9">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670FB8B9">
            <w:pPr>
              <w:pStyle w:val="1358"/>
              <w:jc w:val="center"/>
              <w:rPr>
                <w:rFonts w:hint="eastAsia"/>
                <w:color w:val="auto"/>
                <w:highlight w:val="none"/>
              </w:rPr>
            </w:pPr>
            <w:r>
              <w:rPr>
                <w:rFonts w:hint="eastAsia"/>
                <w:color w:val="auto"/>
                <w:highlight w:val="none"/>
                <w:lang w:val="en-US" w:eastAsia="zh-CN"/>
              </w:rPr>
              <w:t>乙酸丁酯</w:t>
            </w:r>
          </w:p>
        </w:tc>
        <w:tc>
          <w:tcPr>
            <w:tcW w:w="1412" w:type="dxa"/>
            <w:tcBorders>
              <w:tl2br w:val="nil"/>
              <w:tr2bl w:val="nil"/>
            </w:tcBorders>
            <w:shd w:val="clear" w:color="auto" w:fill="auto"/>
            <w:vAlign w:val="center"/>
          </w:tcPr>
          <w:p w14:paraId="75F34728">
            <w:pPr>
              <w:pStyle w:val="1358"/>
              <w:bidi w:val="0"/>
              <w:jc w:val="center"/>
              <w:rPr>
                <w:rFonts w:hint="default"/>
                <w:color w:val="auto"/>
                <w:highlight w:val="none"/>
              </w:rPr>
            </w:pPr>
            <w:r>
              <w:rPr>
                <w:rFonts w:hint="eastAsia"/>
                <w:color w:val="auto"/>
                <w:highlight w:val="none"/>
                <w:lang w:val="en-US" w:eastAsia="zh-CN"/>
              </w:rPr>
              <w:t>18.4311</w:t>
            </w:r>
          </w:p>
        </w:tc>
        <w:tc>
          <w:tcPr>
            <w:tcW w:w="1305" w:type="dxa"/>
            <w:tcBorders>
              <w:tl2br w:val="nil"/>
              <w:tr2bl w:val="nil"/>
            </w:tcBorders>
            <w:shd w:val="clear" w:color="auto" w:fill="auto"/>
            <w:vAlign w:val="center"/>
          </w:tcPr>
          <w:p w14:paraId="3667B113">
            <w:pPr>
              <w:pStyle w:val="1358"/>
              <w:bidi w:val="0"/>
              <w:jc w:val="center"/>
              <w:rPr>
                <w:rFonts w:hint="default"/>
                <w:color w:val="auto"/>
                <w:highlight w:val="none"/>
              </w:rPr>
            </w:pPr>
            <w:r>
              <w:rPr>
                <w:rFonts w:hint="eastAsia"/>
                <w:color w:val="auto"/>
                <w:highlight w:val="none"/>
                <w:lang w:val="en-US" w:eastAsia="zh-CN"/>
              </w:rPr>
              <w:t>17.8515</w:t>
            </w:r>
          </w:p>
        </w:tc>
        <w:tc>
          <w:tcPr>
            <w:tcW w:w="3156" w:type="dxa"/>
            <w:tcBorders>
              <w:tl2br w:val="nil"/>
              <w:tr2bl w:val="nil"/>
            </w:tcBorders>
            <w:shd w:val="clear" w:color="auto" w:fill="auto"/>
            <w:vAlign w:val="center"/>
          </w:tcPr>
          <w:p w14:paraId="22050D11">
            <w:pPr>
              <w:pStyle w:val="1358"/>
              <w:bidi w:val="0"/>
              <w:jc w:val="center"/>
              <w:rPr>
                <w:rFonts w:hint="default"/>
                <w:color w:val="auto"/>
                <w:highlight w:val="none"/>
              </w:rPr>
            </w:pPr>
            <w:r>
              <w:rPr>
                <w:rFonts w:hint="eastAsia"/>
                <w:color w:val="auto"/>
                <w:highlight w:val="none"/>
                <w:lang w:val="en-US" w:eastAsia="zh-CN"/>
              </w:rPr>
              <w:t>0.5796</w:t>
            </w:r>
          </w:p>
        </w:tc>
      </w:tr>
      <w:tr w14:paraId="387D9C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013BB573">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4F011CF8">
            <w:pPr>
              <w:pStyle w:val="1358"/>
              <w:jc w:val="center"/>
              <w:rPr>
                <w:rFonts w:hint="eastAsia"/>
                <w:color w:val="auto"/>
                <w:highlight w:val="none"/>
              </w:rPr>
            </w:pPr>
            <w:r>
              <w:rPr>
                <w:rFonts w:hint="eastAsia"/>
                <w:color w:val="auto"/>
                <w:highlight w:val="none"/>
                <w:lang w:val="en-US" w:eastAsia="zh-CN"/>
              </w:rPr>
              <w:t>NMHC（含乙酸丁酯）</w:t>
            </w:r>
          </w:p>
        </w:tc>
        <w:tc>
          <w:tcPr>
            <w:tcW w:w="1412" w:type="dxa"/>
            <w:tcBorders>
              <w:tl2br w:val="nil"/>
              <w:tr2bl w:val="nil"/>
            </w:tcBorders>
            <w:shd w:val="clear" w:color="auto" w:fill="auto"/>
            <w:vAlign w:val="center"/>
          </w:tcPr>
          <w:p w14:paraId="530DD0D8">
            <w:pPr>
              <w:pStyle w:val="1358"/>
              <w:bidi w:val="0"/>
              <w:jc w:val="center"/>
              <w:rPr>
                <w:rFonts w:hint="default"/>
                <w:color w:val="auto"/>
                <w:highlight w:val="none"/>
              </w:rPr>
            </w:pPr>
            <w:r>
              <w:rPr>
                <w:rFonts w:hint="eastAsia"/>
                <w:color w:val="auto"/>
                <w:highlight w:val="none"/>
                <w:lang w:val="en-US" w:eastAsia="zh-CN"/>
              </w:rPr>
              <w:t>27.9105</w:t>
            </w:r>
          </w:p>
        </w:tc>
        <w:tc>
          <w:tcPr>
            <w:tcW w:w="1305" w:type="dxa"/>
            <w:tcBorders>
              <w:tl2br w:val="nil"/>
              <w:tr2bl w:val="nil"/>
            </w:tcBorders>
            <w:shd w:val="clear" w:color="auto" w:fill="auto"/>
            <w:vAlign w:val="center"/>
          </w:tcPr>
          <w:p w14:paraId="48D06F0F">
            <w:pPr>
              <w:pStyle w:val="1358"/>
              <w:bidi w:val="0"/>
              <w:jc w:val="center"/>
              <w:rPr>
                <w:rFonts w:hint="default"/>
                <w:color w:val="auto"/>
                <w:highlight w:val="none"/>
              </w:rPr>
            </w:pPr>
            <w:r>
              <w:rPr>
                <w:rFonts w:hint="eastAsia"/>
                <w:color w:val="auto"/>
                <w:highlight w:val="none"/>
                <w:lang w:val="en-US" w:eastAsia="zh-CN"/>
              </w:rPr>
              <w:t>26.6973</w:t>
            </w:r>
          </w:p>
        </w:tc>
        <w:tc>
          <w:tcPr>
            <w:tcW w:w="3156" w:type="dxa"/>
            <w:tcBorders>
              <w:tl2br w:val="nil"/>
              <w:tr2bl w:val="nil"/>
            </w:tcBorders>
            <w:shd w:val="clear" w:color="auto" w:fill="auto"/>
            <w:vAlign w:val="center"/>
          </w:tcPr>
          <w:p w14:paraId="4D4A93B9">
            <w:pPr>
              <w:pStyle w:val="1358"/>
              <w:bidi w:val="0"/>
              <w:jc w:val="center"/>
              <w:rPr>
                <w:rFonts w:hint="default"/>
                <w:color w:val="auto"/>
                <w:highlight w:val="none"/>
              </w:rPr>
            </w:pPr>
            <w:r>
              <w:rPr>
                <w:rFonts w:hint="eastAsia"/>
                <w:color w:val="auto"/>
                <w:highlight w:val="none"/>
                <w:lang w:val="en-US" w:eastAsia="zh-CN"/>
              </w:rPr>
              <w:t>1.2132</w:t>
            </w:r>
          </w:p>
        </w:tc>
      </w:tr>
      <w:tr w14:paraId="133B74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05961FBF">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5035DCA2">
            <w:pPr>
              <w:pStyle w:val="1358"/>
              <w:jc w:val="center"/>
              <w:rPr>
                <w:rFonts w:hint="eastAsia"/>
                <w:color w:val="auto"/>
                <w:highlight w:val="none"/>
              </w:rPr>
            </w:pPr>
            <w:r>
              <w:rPr>
                <w:rFonts w:hint="eastAsia"/>
                <w:color w:val="auto"/>
                <w:highlight w:val="none"/>
                <w:lang w:val="en-US" w:eastAsia="zh-CN"/>
              </w:rPr>
              <w:t>二氧化硫</w:t>
            </w:r>
          </w:p>
        </w:tc>
        <w:tc>
          <w:tcPr>
            <w:tcW w:w="1412" w:type="dxa"/>
            <w:tcBorders>
              <w:tl2br w:val="nil"/>
              <w:tr2bl w:val="nil"/>
            </w:tcBorders>
            <w:shd w:val="clear" w:color="auto" w:fill="auto"/>
            <w:vAlign w:val="center"/>
          </w:tcPr>
          <w:p w14:paraId="6F0A5C9A">
            <w:pPr>
              <w:pStyle w:val="1358"/>
              <w:bidi w:val="0"/>
              <w:jc w:val="center"/>
              <w:rPr>
                <w:rFonts w:hint="default"/>
                <w:color w:val="auto"/>
                <w:highlight w:val="none"/>
              </w:rPr>
            </w:pPr>
            <w:r>
              <w:rPr>
                <w:rFonts w:hint="eastAsia"/>
                <w:color w:val="auto"/>
                <w:highlight w:val="none"/>
                <w:lang w:val="en-US" w:eastAsia="zh-CN"/>
              </w:rPr>
              <w:t>0.0668</w:t>
            </w:r>
          </w:p>
        </w:tc>
        <w:tc>
          <w:tcPr>
            <w:tcW w:w="1305" w:type="dxa"/>
            <w:tcBorders>
              <w:tl2br w:val="nil"/>
              <w:tr2bl w:val="nil"/>
            </w:tcBorders>
            <w:shd w:val="clear" w:color="auto" w:fill="auto"/>
            <w:vAlign w:val="center"/>
          </w:tcPr>
          <w:p w14:paraId="1E6CBAB8">
            <w:pPr>
              <w:pStyle w:val="1358"/>
              <w:bidi w:val="0"/>
              <w:jc w:val="center"/>
              <w:rPr>
                <w:rFonts w:hint="default"/>
                <w:color w:val="auto"/>
                <w:highlight w:val="none"/>
              </w:rPr>
            </w:pPr>
            <w:r>
              <w:rPr>
                <w:rFonts w:hint="eastAsia"/>
                <w:color w:val="auto"/>
                <w:highlight w:val="none"/>
                <w:lang w:val="en-US" w:eastAsia="zh-CN"/>
              </w:rPr>
              <w:t>0</w:t>
            </w:r>
          </w:p>
        </w:tc>
        <w:tc>
          <w:tcPr>
            <w:tcW w:w="3156" w:type="dxa"/>
            <w:tcBorders>
              <w:tl2br w:val="nil"/>
              <w:tr2bl w:val="nil"/>
            </w:tcBorders>
            <w:shd w:val="clear" w:color="auto" w:fill="auto"/>
            <w:vAlign w:val="center"/>
          </w:tcPr>
          <w:p w14:paraId="09633366">
            <w:pPr>
              <w:pStyle w:val="1358"/>
              <w:bidi w:val="0"/>
              <w:jc w:val="center"/>
              <w:rPr>
                <w:rFonts w:hint="default"/>
                <w:color w:val="auto"/>
                <w:highlight w:val="none"/>
              </w:rPr>
            </w:pPr>
            <w:r>
              <w:rPr>
                <w:rFonts w:hint="eastAsia"/>
                <w:color w:val="auto"/>
                <w:highlight w:val="none"/>
                <w:lang w:val="en-US" w:eastAsia="zh-CN"/>
              </w:rPr>
              <w:t>0.0668</w:t>
            </w:r>
          </w:p>
        </w:tc>
      </w:tr>
      <w:tr w14:paraId="1A0A1F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676A9B55">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5295530B">
            <w:pPr>
              <w:pStyle w:val="1358"/>
              <w:jc w:val="center"/>
              <w:rPr>
                <w:rFonts w:hint="eastAsia"/>
                <w:color w:val="auto"/>
                <w:highlight w:val="none"/>
              </w:rPr>
            </w:pPr>
            <w:r>
              <w:rPr>
                <w:rFonts w:hint="eastAsia"/>
                <w:color w:val="auto"/>
                <w:highlight w:val="none"/>
                <w:lang w:val="en-US" w:eastAsia="zh-CN"/>
              </w:rPr>
              <w:t>颗粒物</w:t>
            </w:r>
          </w:p>
        </w:tc>
        <w:tc>
          <w:tcPr>
            <w:tcW w:w="1412" w:type="dxa"/>
            <w:tcBorders>
              <w:tl2br w:val="nil"/>
              <w:tr2bl w:val="nil"/>
            </w:tcBorders>
            <w:shd w:val="clear" w:color="auto" w:fill="auto"/>
            <w:vAlign w:val="center"/>
          </w:tcPr>
          <w:p w14:paraId="78016500">
            <w:pPr>
              <w:pStyle w:val="1358"/>
              <w:bidi w:val="0"/>
              <w:jc w:val="center"/>
              <w:rPr>
                <w:rFonts w:hint="default"/>
                <w:color w:val="auto"/>
                <w:highlight w:val="none"/>
              </w:rPr>
            </w:pPr>
            <w:r>
              <w:rPr>
                <w:rFonts w:hint="eastAsia"/>
                <w:color w:val="auto"/>
                <w:highlight w:val="none"/>
                <w:lang w:val="en-US" w:eastAsia="zh-CN"/>
              </w:rPr>
              <w:t>16.3025</w:t>
            </w:r>
          </w:p>
        </w:tc>
        <w:tc>
          <w:tcPr>
            <w:tcW w:w="1305" w:type="dxa"/>
            <w:tcBorders>
              <w:tl2br w:val="nil"/>
              <w:tr2bl w:val="nil"/>
            </w:tcBorders>
            <w:shd w:val="clear" w:color="auto" w:fill="auto"/>
            <w:vAlign w:val="center"/>
          </w:tcPr>
          <w:p w14:paraId="5B92B2F5">
            <w:pPr>
              <w:pStyle w:val="1358"/>
              <w:bidi w:val="0"/>
              <w:jc w:val="center"/>
              <w:rPr>
                <w:rFonts w:hint="default"/>
                <w:color w:val="auto"/>
                <w:highlight w:val="none"/>
              </w:rPr>
            </w:pPr>
            <w:r>
              <w:rPr>
                <w:rFonts w:hint="eastAsia"/>
                <w:color w:val="auto"/>
                <w:highlight w:val="none"/>
                <w:lang w:val="en-US" w:eastAsia="zh-CN"/>
              </w:rPr>
              <w:t>16.0538</w:t>
            </w:r>
          </w:p>
        </w:tc>
        <w:tc>
          <w:tcPr>
            <w:tcW w:w="3156" w:type="dxa"/>
            <w:tcBorders>
              <w:tl2br w:val="nil"/>
              <w:tr2bl w:val="nil"/>
            </w:tcBorders>
            <w:shd w:val="clear" w:color="auto" w:fill="auto"/>
            <w:vAlign w:val="center"/>
          </w:tcPr>
          <w:p w14:paraId="2AAA5E5C">
            <w:pPr>
              <w:pStyle w:val="1358"/>
              <w:bidi w:val="0"/>
              <w:jc w:val="center"/>
              <w:rPr>
                <w:rFonts w:hint="default"/>
                <w:color w:val="auto"/>
                <w:highlight w:val="none"/>
              </w:rPr>
            </w:pPr>
            <w:r>
              <w:rPr>
                <w:rFonts w:hint="eastAsia"/>
                <w:color w:val="auto"/>
                <w:highlight w:val="none"/>
                <w:lang w:val="en-US" w:eastAsia="zh-CN"/>
              </w:rPr>
              <w:t>0.2487</w:t>
            </w:r>
          </w:p>
        </w:tc>
      </w:tr>
      <w:tr w14:paraId="47EB11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216CBA74">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1A999FE5">
            <w:pPr>
              <w:pStyle w:val="1358"/>
              <w:jc w:val="center"/>
              <w:rPr>
                <w:rFonts w:hint="eastAsia"/>
                <w:color w:val="auto"/>
                <w:highlight w:val="none"/>
              </w:rPr>
            </w:pPr>
            <w:r>
              <w:rPr>
                <w:rFonts w:hint="eastAsia"/>
                <w:color w:val="auto"/>
                <w:highlight w:val="none"/>
                <w:lang w:val="en-US" w:eastAsia="zh-CN"/>
              </w:rPr>
              <w:t>氮氧化物</w:t>
            </w:r>
          </w:p>
        </w:tc>
        <w:tc>
          <w:tcPr>
            <w:tcW w:w="1412" w:type="dxa"/>
            <w:tcBorders>
              <w:tl2br w:val="nil"/>
              <w:tr2bl w:val="nil"/>
            </w:tcBorders>
            <w:shd w:val="clear" w:color="auto" w:fill="auto"/>
            <w:vAlign w:val="center"/>
          </w:tcPr>
          <w:p w14:paraId="66F21190">
            <w:pPr>
              <w:pStyle w:val="1358"/>
              <w:bidi w:val="0"/>
              <w:jc w:val="center"/>
              <w:rPr>
                <w:rFonts w:hint="default"/>
                <w:color w:val="auto"/>
                <w:highlight w:val="none"/>
              </w:rPr>
            </w:pPr>
            <w:r>
              <w:rPr>
                <w:rFonts w:hint="eastAsia"/>
                <w:color w:val="auto"/>
                <w:highlight w:val="none"/>
                <w:lang w:val="en-US" w:eastAsia="zh-CN"/>
              </w:rPr>
              <w:t>0.5825</w:t>
            </w:r>
          </w:p>
        </w:tc>
        <w:tc>
          <w:tcPr>
            <w:tcW w:w="1305" w:type="dxa"/>
            <w:tcBorders>
              <w:tl2br w:val="nil"/>
              <w:tr2bl w:val="nil"/>
            </w:tcBorders>
            <w:shd w:val="clear" w:color="auto" w:fill="auto"/>
            <w:vAlign w:val="center"/>
          </w:tcPr>
          <w:p w14:paraId="107A9045">
            <w:pPr>
              <w:pStyle w:val="1358"/>
              <w:bidi w:val="0"/>
              <w:jc w:val="center"/>
              <w:rPr>
                <w:rFonts w:hint="default"/>
                <w:color w:val="auto"/>
                <w:highlight w:val="none"/>
              </w:rPr>
            </w:pPr>
            <w:r>
              <w:rPr>
                <w:rFonts w:hint="eastAsia"/>
                <w:color w:val="auto"/>
                <w:highlight w:val="none"/>
                <w:lang w:val="en-US" w:eastAsia="zh-CN"/>
              </w:rPr>
              <w:t>0</w:t>
            </w:r>
          </w:p>
        </w:tc>
        <w:tc>
          <w:tcPr>
            <w:tcW w:w="3156" w:type="dxa"/>
            <w:tcBorders>
              <w:tl2br w:val="nil"/>
              <w:tr2bl w:val="nil"/>
            </w:tcBorders>
            <w:shd w:val="clear" w:color="auto" w:fill="auto"/>
            <w:vAlign w:val="center"/>
          </w:tcPr>
          <w:p w14:paraId="78A92F04">
            <w:pPr>
              <w:pStyle w:val="1358"/>
              <w:bidi w:val="0"/>
              <w:jc w:val="center"/>
              <w:rPr>
                <w:rFonts w:hint="default"/>
                <w:color w:val="auto"/>
                <w:highlight w:val="none"/>
              </w:rPr>
            </w:pPr>
            <w:r>
              <w:rPr>
                <w:rFonts w:hint="eastAsia"/>
                <w:color w:val="auto"/>
                <w:highlight w:val="none"/>
                <w:lang w:val="en-US" w:eastAsia="zh-CN"/>
              </w:rPr>
              <w:t>0.5825</w:t>
            </w:r>
          </w:p>
        </w:tc>
      </w:tr>
      <w:tr w14:paraId="5CBB8A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restart"/>
            <w:tcBorders>
              <w:tl2br w:val="nil"/>
              <w:tr2bl w:val="nil"/>
            </w:tcBorders>
            <w:shd w:val="clear" w:color="auto" w:fill="auto"/>
            <w:vAlign w:val="center"/>
          </w:tcPr>
          <w:p w14:paraId="4AF7F09D">
            <w:pPr>
              <w:pStyle w:val="1358"/>
              <w:jc w:val="center"/>
              <w:rPr>
                <w:rFonts w:hint="eastAsia"/>
                <w:color w:val="auto"/>
                <w:highlight w:val="none"/>
              </w:rPr>
            </w:pPr>
            <w:r>
              <w:rPr>
                <w:rFonts w:hint="eastAsia"/>
                <w:color w:val="auto"/>
                <w:highlight w:val="none"/>
                <w:lang w:val="en-US" w:eastAsia="zh-CN"/>
              </w:rPr>
              <w:t>无组织</w:t>
            </w:r>
          </w:p>
        </w:tc>
        <w:tc>
          <w:tcPr>
            <w:tcW w:w="2190" w:type="dxa"/>
            <w:tcBorders>
              <w:tl2br w:val="nil"/>
              <w:tr2bl w:val="nil"/>
            </w:tcBorders>
            <w:shd w:val="clear" w:color="auto" w:fill="auto"/>
            <w:noWrap/>
            <w:vAlign w:val="center"/>
          </w:tcPr>
          <w:p w14:paraId="313C5DCC">
            <w:pPr>
              <w:pStyle w:val="1358"/>
              <w:jc w:val="center"/>
              <w:rPr>
                <w:rFonts w:hint="eastAsia"/>
                <w:color w:val="auto"/>
                <w:highlight w:val="none"/>
              </w:rPr>
            </w:pPr>
            <w:r>
              <w:rPr>
                <w:rFonts w:hint="eastAsia"/>
                <w:color w:val="auto"/>
                <w:highlight w:val="none"/>
                <w:lang w:val="en-US" w:eastAsia="zh-CN"/>
              </w:rPr>
              <w:t>颗粒物</w:t>
            </w:r>
          </w:p>
        </w:tc>
        <w:tc>
          <w:tcPr>
            <w:tcW w:w="1412" w:type="dxa"/>
            <w:tcBorders>
              <w:tl2br w:val="nil"/>
              <w:tr2bl w:val="nil"/>
            </w:tcBorders>
            <w:shd w:val="clear" w:color="auto" w:fill="auto"/>
            <w:vAlign w:val="center"/>
          </w:tcPr>
          <w:p w14:paraId="3B9E9052">
            <w:pPr>
              <w:pStyle w:val="1358"/>
              <w:bidi w:val="0"/>
              <w:jc w:val="center"/>
              <w:rPr>
                <w:rFonts w:hint="default"/>
                <w:color w:val="auto"/>
                <w:highlight w:val="none"/>
              </w:rPr>
            </w:pPr>
            <w:r>
              <w:rPr>
                <w:rFonts w:hint="eastAsia"/>
                <w:color w:val="auto"/>
                <w:highlight w:val="none"/>
                <w:lang w:val="en-US" w:eastAsia="zh-CN"/>
              </w:rPr>
              <w:t>1.8479</w:t>
            </w:r>
          </w:p>
        </w:tc>
        <w:tc>
          <w:tcPr>
            <w:tcW w:w="1305" w:type="dxa"/>
            <w:tcBorders>
              <w:tl2br w:val="nil"/>
              <w:tr2bl w:val="nil"/>
            </w:tcBorders>
            <w:shd w:val="clear" w:color="auto" w:fill="auto"/>
            <w:vAlign w:val="center"/>
          </w:tcPr>
          <w:p w14:paraId="267D1690">
            <w:pPr>
              <w:pStyle w:val="1358"/>
              <w:bidi w:val="0"/>
              <w:jc w:val="center"/>
              <w:rPr>
                <w:rFonts w:hint="default"/>
                <w:color w:val="auto"/>
                <w:highlight w:val="none"/>
              </w:rPr>
            </w:pPr>
            <w:r>
              <w:rPr>
                <w:rFonts w:hint="eastAsia"/>
                <w:color w:val="auto"/>
                <w:highlight w:val="none"/>
                <w:lang w:val="en-US" w:eastAsia="zh-CN"/>
              </w:rPr>
              <w:t>0.0438</w:t>
            </w:r>
          </w:p>
        </w:tc>
        <w:tc>
          <w:tcPr>
            <w:tcW w:w="3156" w:type="dxa"/>
            <w:tcBorders>
              <w:tl2br w:val="nil"/>
              <w:tr2bl w:val="nil"/>
            </w:tcBorders>
            <w:shd w:val="clear" w:color="auto" w:fill="auto"/>
            <w:vAlign w:val="center"/>
          </w:tcPr>
          <w:p w14:paraId="538574AB">
            <w:pPr>
              <w:pStyle w:val="1358"/>
              <w:bidi w:val="0"/>
              <w:jc w:val="center"/>
              <w:rPr>
                <w:rFonts w:hint="default"/>
                <w:color w:val="auto"/>
                <w:highlight w:val="none"/>
              </w:rPr>
            </w:pPr>
            <w:r>
              <w:rPr>
                <w:rFonts w:hint="eastAsia"/>
                <w:color w:val="auto"/>
                <w:highlight w:val="none"/>
                <w:lang w:val="en-US" w:eastAsia="zh-CN"/>
              </w:rPr>
              <w:t>1.8041</w:t>
            </w:r>
          </w:p>
        </w:tc>
      </w:tr>
      <w:tr w14:paraId="664109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2E94EFFF">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04D39856">
            <w:pPr>
              <w:pStyle w:val="1358"/>
              <w:jc w:val="center"/>
              <w:rPr>
                <w:rFonts w:hint="eastAsia"/>
                <w:color w:val="auto"/>
                <w:highlight w:val="none"/>
              </w:rPr>
            </w:pPr>
            <w:r>
              <w:rPr>
                <w:rFonts w:hint="eastAsia"/>
                <w:color w:val="auto"/>
                <w:highlight w:val="none"/>
                <w:lang w:val="en-US" w:eastAsia="zh-CN"/>
              </w:rPr>
              <w:t>二甲苯</w:t>
            </w:r>
          </w:p>
        </w:tc>
        <w:tc>
          <w:tcPr>
            <w:tcW w:w="1412" w:type="dxa"/>
            <w:tcBorders>
              <w:tl2br w:val="nil"/>
              <w:tr2bl w:val="nil"/>
            </w:tcBorders>
            <w:shd w:val="clear" w:color="auto" w:fill="auto"/>
            <w:vAlign w:val="center"/>
          </w:tcPr>
          <w:p w14:paraId="43E6C6BC">
            <w:pPr>
              <w:pStyle w:val="1358"/>
              <w:bidi w:val="0"/>
              <w:jc w:val="center"/>
              <w:rPr>
                <w:rFonts w:hint="default"/>
                <w:color w:val="auto"/>
                <w:highlight w:val="none"/>
              </w:rPr>
            </w:pPr>
            <w:r>
              <w:rPr>
                <w:rFonts w:hint="eastAsia"/>
                <w:color w:val="auto"/>
                <w:highlight w:val="none"/>
                <w:lang w:val="en-US" w:eastAsia="zh-CN"/>
              </w:rPr>
              <w:t>1.3860</w:t>
            </w:r>
          </w:p>
        </w:tc>
        <w:tc>
          <w:tcPr>
            <w:tcW w:w="1305" w:type="dxa"/>
            <w:tcBorders>
              <w:tl2br w:val="nil"/>
              <w:tr2bl w:val="nil"/>
            </w:tcBorders>
            <w:shd w:val="clear" w:color="auto" w:fill="auto"/>
            <w:vAlign w:val="center"/>
          </w:tcPr>
          <w:p w14:paraId="299243A4">
            <w:pPr>
              <w:pStyle w:val="1358"/>
              <w:bidi w:val="0"/>
              <w:jc w:val="center"/>
              <w:rPr>
                <w:rFonts w:hint="default"/>
                <w:color w:val="auto"/>
                <w:highlight w:val="none"/>
              </w:rPr>
            </w:pPr>
            <w:r>
              <w:rPr>
                <w:rFonts w:hint="eastAsia"/>
                <w:color w:val="auto"/>
                <w:highlight w:val="none"/>
                <w:lang w:val="en-US" w:eastAsia="zh-CN"/>
              </w:rPr>
              <w:t>0</w:t>
            </w:r>
          </w:p>
        </w:tc>
        <w:tc>
          <w:tcPr>
            <w:tcW w:w="3156" w:type="dxa"/>
            <w:tcBorders>
              <w:tl2br w:val="nil"/>
              <w:tr2bl w:val="nil"/>
            </w:tcBorders>
            <w:shd w:val="clear" w:color="auto" w:fill="auto"/>
            <w:vAlign w:val="center"/>
          </w:tcPr>
          <w:p w14:paraId="4614DCD3">
            <w:pPr>
              <w:pStyle w:val="1358"/>
              <w:bidi w:val="0"/>
              <w:jc w:val="center"/>
              <w:rPr>
                <w:rFonts w:hint="default"/>
                <w:color w:val="auto"/>
                <w:highlight w:val="none"/>
              </w:rPr>
            </w:pPr>
            <w:r>
              <w:rPr>
                <w:rFonts w:hint="eastAsia"/>
                <w:color w:val="auto"/>
                <w:highlight w:val="none"/>
                <w:lang w:val="en-US" w:eastAsia="zh-CN"/>
              </w:rPr>
              <w:t>1.3860</w:t>
            </w:r>
          </w:p>
        </w:tc>
      </w:tr>
      <w:tr w14:paraId="22A7EE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27DAB3C9">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440AEBE5">
            <w:pPr>
              <w:pStyle w:val="1358"/>
              <w:jc w:val="center"/>
              <w:rPr>
                <w:rFonts w:hint="eastAsia"/>
                <w:color w:val="auto"/>
                <w:highlight w:val="none"/>
              </w:rPr>
            </w:pPr>
            <w:r>
              <w:rPr>
                <w:rFonts w:hint="eastAsia"/>
                <w:color w:val="auto"/>
                <w:highlight w:val="none"/>
                <w:lang w:val="en-US" w:eastAsia="zh-CN"/>
              </w:rPr>
              <w:t>乙酸丁酯</w:t>
            </w:r>
          </w:p>
        </w:tc>
        <w:tc>
          <w:tcPr>
            <w:tcW w:w="1412" w:type="dxa"/>
            <w:tcBorders>
              <w:tl2br w:val="nil"/>
              <w:tr2bl w:val="nil"/>
            </w:tcBorders>
            <w:shd w:val="clear" w:color="auto" w:fill="auto"/>
            <w:vAlign w:val="center"/>
          </w:tcPr>
          <w:p w14:paraId="16557490">
            <w:pPr>
              <w:pStyle w:val="1358"/>
              <w:bidi w:val="0"/>
              <w:jc w:val="center"/>
              <w:rPr>
                <w:rFonts w:hint="default"/>
                <w:color w:val="auto"/>
                <w:highlight w:val="none"/>
              </w:rPr>
            </w:pPr>
            <w:r>
              <w:rPr>
                <w:rFonts w:hint="eastAsia"/>
                <w:color w:val="auto"/>
                <w:highlight w:val="none"/>
                <w:lang w:val="en-US" w:eastAsia="zh-CN"/>
              </w:rPr>
              <w:t>2.0479</w:t>
            </w:r>
          </w:p>
        </w:tc>
        <w:tc>
          <w:tcPr>
            <w:tcW w:w="1305" w:type="dxa"/>
            <w:tcBorders>
              <w:tl2br w:val="nil"/>
              <w:tr2bl w:val="nil"/>
            </w:tcBorders>
            <w:shd w:val="clear" w:color="auto" w:fill="auto"/>
            <w:vAlign w:val="center"/>
          </w:tcPr>
          <w:p w14:paraId="3A744982">
            <w:pPr>
              <w:pStyle w:val="1358"/>
              <w:bidi w:val="0"/>
              <w:jc w:val="center"/>
              <w:rPr>
                <w:rFonts w:hint="default"/>
                <w:color w:val="auto"/>
                <w:highlight w:val="none"/>
              </w:rPr>
            </w:pPr>
            <w:r>
              <w:rPr>
                <w:rFonts w:hint="eastAsia"/>
                <w:color w:val="auto"/>
                <w:highlight w:val="none"/>
                <w:lang w:val="en-US" w:eastAsia="zh-CN"/>
              </w:rPr>
              <w:t>0</w:t>
            </w:r>
          </w:p>
        </w:tc>
        <w:tc>
          <w:tcPr>
            <w:tcW w:w="3156" w:type="dxa"/>
            <w:tcBorders>
              <w:tl2br w:val="nil"/>
              <w:tr2bl w:val="nil"/>
            </w:tcBorders>
            <w:shd w:val="clear" w:color="auto" w:fill="auto"/>
            <w:vAlign w:val="center"/>
          </w:tcPr>
          <w:p w14:paraId="127E2E15">
            <w:pPr>
              <w:pStyle w:val="1358"/>
              <w:bidi w:val="0"/>
              <w:jc w:val="center"/>
              <w:rPr>
                <w:rFonts w:hint="default"/>
                <w:color w:val="auto"/>
                <w:highlight w:val="none"/>
              </w:rPr>
            </w:pPr>
            <w:r>
              <w:rPr>
                <w:rFonts w:hint="eastAsia"/>
                <w:color w:val="auto"/>
                <w:highlight w:val="none"/>
                <w:lang w:val="en-US" w:eastAsia="zh-CN"/>
              </w:rPr>
              <w:t>2.0479</w:t>
            </w:r>
          </w:p>
        </w:tc>
      </w:tr>
      <w:tr w14:paraId="7A6D80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vMerge w:val="continue"/>
            <w:tcBorders>
              <w:tl2br w:val="nil"/>
              <w:tr2bl w:val="nil"/>
            </w:tcBorders>
            <w:shd w:val="clear" w:color="auto" w:fill="auto"/>
            <w:vAlign w:val="center"/>
          </w:tcPr>
          <w:p w14:paraId="0B373AD2">
            <w:pPr>
              <w:pStyle w:val="1358"/>
              <w:jc w:val="center"/>
              <w:rPr>
                <w:rFonts w:hint="eastAsia"/>
                <w:color w:val="auto"/>
                <w:highlight w:val="none"/>
              </w:rPr>
            </w:pPr>
          </w:p>
        </w:tc>
        <w:tc>
          <w:tcPr>
            <w:tcW w:w="2190" w:type="dxa"/>
            <w:tcBorders>
              <w:tl2br w:val="nil"/>
              <w:tr2bl w:val="nil"/>
            </w:tcBorders>
            <w:shd w:val="clear" w:color="auto" w:fill="auto"/>
            <w:noWrap/>
            <w:vAlign w:val="center"/>
          </w:tcPr>
          <w:p w14:paraId="62C90FE6">
            <w:pPr>
              <w:pStyle w:val="1358"/>
              <w:jc w:val="center"/>
              <w:rPr>
                <w:rFonts w:hint="eastAsia"/>
                <w:color w:val="auto"/>
                <w:highlight w:val="none"/>
              </w:rPr>
            </w:pPr>
            <w:r>
              <w:rPr>
                <w:rFonts w:hint="eastAsia"/>
                <w:color w:val="auto"/>
                <w:highlight w:val="none"/>
                <w:lang w:val="en-US" w:eastAsia="zh-CN"/>
              </w:rPr>
              <w:t>NMHC（含乙酸丁酯）</w:t>
            </w:r>
          </w:p>
        </w:tc>
        <w:tc>
          <w:tcPr>
            <w:tcW w:w="1412" w:type="dxa"/>
            <w:tcBorders>
              <w:tl2br w:val="nil"/>
              <w:tr2bl w:val="nil"/>
            </w:tcBorders>
            <w:shd w:val="clear" w:color="auto" w:fill="auto"/>
            <w:vAlign w:val="center"/>
          </w:tcPr>
          <w:p w14:paraId="0706134A">
            <w:pPr>
              <w:pStyle w:val="1358"/>
              <w:bidi w:val="0"/>
              <w:jc w:val="center"/>
              <w:rPr>
                <w:rFonts w:hint="default"/>
                <w:color w:val="auto"/>
                <w:highlight w:val="none"/>
              </w:rPr>
            </w:pPr>
            <w:r>
              <w:rPr>
                <w:rFonts w:hint="eastAsia"/>
                <w:color w:val="auto"/>
                <w:highlight w:val="none"/>
                <w:lang w:val="en-US" w:eastAsia="zh-CN"/>
              </w:rPr>
              <w:t>3.1890</w:t>
            </w:r>
          </w:p>
        </w:tc>
        <w:tc>
          <w:tcPr>
            <w:tcW w:w="1305" w:type="dxa"/>
            <w:tcBorders>
              <w:tl2br w:val="nil"/>
              <w:tr2bl w:val="nil"/>
            </w:tcBorders>
            <w:shd w:val="clear" w:color="auto" w:fill="auto"/>
            <w:vAlign w:val="center"/>
          </w:tcPr>
          <w:p w14:paraId="7D95044D">
            <w:pPr>
              <w:pStyle w:val="1358"/>
              <w:bidi w:val="0"/>
              <w:jc w:val="center"/>
              <w:rPr>
                <w:rFonts w:hint="default"/>
                <w:color w:val="auto"/>
                <w:highlight w:val="none"/>
              </w:rPr>
            </w:pPr>
            <w:r>
              <w:rPr>
                <w:rFonts w:hint="eastAsia"/>
                <w:color w:val="auto"/>
                <w:highlight w:val="none"/>
                <w:lang w:val="en-US" w:eastAsia="zh-CN"/>
              </w:rPr>
              <w:t>0</w:t>
            </w:r>
          </w:p>
        </w:tc>
        <w:tc>
          <w:tcPr>
            <w:tcW w:w="3156" w:type="dxa"/>
            <w:tcBorders>
              <w:tl2br w:val="nil"/>
              <w:tr2bl w:val="nil"/>
            </w:tcBorders>
            <w:shd w:val="clear" w:color="auto" w:fill="auto"/>
            <w:vAlign w:val="center"/>
          </w:tcPr>
          <w:p w14:paraId="78A719E9">
            <w:pPr>
              <w:pStyle w:val="1358"/>
              <w:bidi w:val="0"/>
              <w:jc w:val="center"/>
              <w:rPr>
                <w:rFonts w:hint="default"/>
                <w:color w:val="auto"/>
                <w:highlight w:val="none"/>
              </w:rPr>
            </w:pPr>
            <w:r>
              <w:rPr>
                <w:rFonts w:hint="eastAsia"/>
                <w:color w:val="auto"/>
                <w:highlight w:val="none"/>
                <w:lang w:val="en-US" w:eastAsia="zh-CN"/>
              </w:rPr>
              <w:t>3.1890</w:t>
            </w:r>
          </w:p>
        </w:tc>
      </w:tr>
      <w:tr w14:paraId="7DA77D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180" w:type="dxa"/>
            <w:gridSpan w:val="5"/>
            <w:tcBorders>
              <w:tl2br w:val="nil"/>
              <w:tr2bl w:val="nil"/>
            </w:tcBorders>
            <w:shd w:val="clear" w:color="auto" w:fill="auto"/>
            <w:vAlign w:val="center"/>
          </w:tcPr>
          <w:p w14:paraId="55A7F357">
            <w:pPr>
              <w:pStyle w:val="1358"/>
              <w:jc w:val="center"/>
              <w:rPr>
                <w:rFonts w:hint="eastAsia"/>
                <w:color w:val="auto"/>
                <w:highlight w:val="none"/>
              </w:rPr>
            </w:pPr>
            <w:r>
              <w:rPr>
                <w:rFonts w:hint="eastAsia"/>
                <w:color w:val="auto"/>
                <w:highlight w:val="none"/>
                <w:lang w:val="en-US" w:eastAsia="zh-CN"/>
              </w:rPr>
              <w:t>三、固体废物</w:t>
            </w:r>
          </w:p>
        </w:tc>
      </w:tr>
      <w:tr w14:paraId="25DC65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tcBorders>
              <w:tl2br w:val="nil"/>
              <w:tr2bl w:val="nil"/>
            </w:tcBorders>
            <w:shd w:val="clear" w:color="auto" w:fill="auto"/>
            <w:vAlign w:val="center"/>
          </w:tcPr>
          <w:p w14:paraId="3A90BD33">
            <w:pPr>
              <w:pStyle w:val="1358"/>
              <w:jc w:val="center"/>
              <w:rPr>
                <w:rFonts w:hint="eastAsia"/>
                <w:color w:val="auto"/>
                <w:highlight w:val="none"/>
              </w:rPr>
            </w:pPr>
            <w:r>
              <w:rPr>
                <w:rFonts w:hint="eastAsia"/>
                <w:color w:val="auto"/>
                <w:highlight w:val="none"/>
                <w:lang w:val="en-US" w:eastAsia="zh-CN"/>
              </w:rPr>
              <w:t>固废类别</w:t>
            </w:r>
          </w:p>
        </w:tc>
        <w:tc>
          <w:tcPr>
            <w:tcW w:w="2190" w:type="dxa"/>
            <w:tcBorders>
              <w:tl2br w:val="nil"/>
              <w:tr2bl w:val="nil"/>
            </w:tcBorders>
            <w:shd w:val="clear" w:color="auto" w:fill="auto"/>
            <w:vAlign w:val="center"/>
          </w:tcPr>
          <w:p w14:paraId="4B56B5E2">
            <w:pPr>
              <w:pStyle w:val="1358"/>
              <w:jc w:val="center"/>
              <w:rPr>
                <w:rFonts w:hint="eastAsia"/>
                <w:color w:val="auto"/>
                <w:highlight w:val="none"/>
              </w:rPr>
            </w:pPr>
            <w:r>
              <w:rPr>
                <w:rFonts w:hint="eastAsia"/>
                <w:color w:val="auto"/>
                <w:highlight w:val="none"/>
                <w:lang w:val="en-US" w:eastAsia="zh-CN"/>
              </w:rPr>
              <w:t>产生量（</w:t>
            </w:r>
            <w:r>
              <w:rPr>
                <w:rFonts w:hint="default"/>
                <w:color w:val="auto"/>
                <w:highlight w:val="none"/>
                <w:lang w:val="en-US" w:eastAsia="zh-CN"/>
              </w:rPr>
              <w:t>t/a</w:t>
            </w:r>
            <w:r>
              <w:rPr>
                <w:rFonts w:hint="eastAsia"/>
                <w:color w:val="auto"/>
                <w:highlight w:val="none"/>
                <w:lang w:val="en-US" w:eastAsia="zh-CN"/>
              </w:rPr>
              <w:t>）</w:t>
            </w:r>
          </w:p>
        </w:tc>
        <w:tc>
          <w:tcPr>
            <w:tcW w:w="1412" w:type="dxa"/>
            <w:tcBorders>
              <w:tl2br w:val="nil"/>
              <w:tr2bl w:val="nil"/>
            </w:tcBorders>
            <w:shd w:val="clear" w:color="auto" w:fill="auto"/>
            <w:vAlign w:val="center"/>
          </w:tcPr>
          <w:p w14:paraId="0511E2C7">
            <w:pPr>
              <w:pStyle w:val="1358"/>
              <w:jc w:val="center"/>
              <w:rPr>
                <w:rFonts w:hint="eastAsia"/>
                <w:color w:val="auto"/>
                <w:highlight w:val="none"/>
              </w:rPr>
            </w:pPr>
            <w:r>
              <w:rPr>
                <w:rFonts w:hint="eastAsia"/>
                <w:color w:val="auto"/>
                <w:highlight w:val="none"/>
                <w:lang w:val="en-US" w:eastAsia="zh-CN"/>
              </w:rPr>
              <w:t>削减量（</w:t>
            </w:r>
            <w:r>
              <w:rPr>
                <w:rFonts w:hint="default"/>
                <w:color w:val="auto"/>
                <w:highlight w:val="none"/>
                <w:lang w:val="en-US" w:eastAsia="zh-CN"/>
              </w:rPr>
              <w:t>t/a</w:t>
            </w:r>
            <w:r>
              <w:rPr>
                <w:rFonts w:hint="eastAsia"/>
                <w:color w:val="auto"/>
                <w:highlight w:val="none"/>
                <w:lang w:val="en-US" w:eastAsia="zh-CN"/>
              </w:rPr>
              <w:t>）</w:t>
            </w:r>
          </w:p>
        </w:tc>
        <w:tc>
          <w:tcPr>
            <w:tcW w:w="1305" w:type="dxa"/>
            <w:tcBorders>
              <w:tl2br w:val="nil"/>
              <w:tr2bl w:val="nil"/>
            </w:tcBorders>
            <w:shd w:val="clear" w:color="auto" w:fill="auto"/>
            <w:vAlign w:val="center"/>
          </w:tcPr>
          <w:p w14:paraId="1B8C982C">
            <w:pPr>
              <w:pStyle w:val="1358"/>
              <w:jc w:val="center"/>
              <w:rPr>
                <w:rFonts w:hint="eastAsia"/>
                <w:color w:val="auto"/>
                <w:highlight w:val="none"/>
              </w:rPr>
            </w:pPr>
            <w:r>
              <w:rPr>
                <w:rFonts w:hint="eastAsia"/>
                <w:color w:val="auto"/>
                <w:highlight w:val="none"/>
                <w:lang w:val="en-US" w:eastAsia="zh-CN"/>
              </w:rPr>
              <w:t>排放量（</w:t>
            </w:r>
            <w:r>
              <w:rPr>
                <w:rFonts w:hint="default"/>
                <w:color w:val="auto"/>
                <w:highlight w:val="none"/>
                <w:lang w:val="en-US" w:eastAsia="zh-CN"/>
              </w:rPr>
              <w:t>t/a</w:t>
            </w:r>
            <w:r>
              <w:rPr>
                <w:rFonts w:hint="eastAsia"/>
                <w:color w:val="auto"/>
                <w:highlight w:val="none"/>
                <w:lang w:val="en-US" w:eastAsia="zh-CN"/>
              </w:rPr>
              <w:t>）</w:t>
            </w:r>
          </w:p>
        </w:tc>
        <w:tc>
          <w:tcPr>
            <w:tcW w:w="3156" w:type="dxa"/>
            <w:tcBorders>
              <w:tl2br w:val="nil"/>
              <w:tr2bl w:val="nil"/>
            </w:tcBorders>
            <w:shd w:val="clear" w:color="auto" w:fill="auto"/>
            <w:vAlign w:val="center"/>
          </w:tcPr>
          <w:p w14:paraId="2B04FDE2">
            <w:pPr>
              <w:pStyle w:val="1358"/>
              <w:jc w:val="center"/>
              <w:rPr>
                <w:rFonts w:hint="eastAsia"/>
                <w:color w:val="auto"/>
                <w:highlight w:val="none"/>
              </w:rPr>
            </w:pPr>
            <w:r>
              <w:rPr>
                <w:rFonts w:hint="eastAsia"/>
                <w:color w:val="auto"/>
                <w:highlight w:val="none"/>
                <w:lang w:val="en-US" w:eastAsia="zh-CN"/>
              </w:rPr>
              <w:t>综合利用方式</w:t>
            </w:r>
          </w:p>
        </w:tc>
      </w:tr>
      <w:tr w14:paraId="4CCC8D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tcBorders>
              <w:tl2br w:val="nil"/>
              <w:tr2bl w:val="nil"/>
            </w:tcBorders>
            <w:shd w:val="clear" w:color="auto" w:fill="auto"/>
            <w:vAlign w:val="center"/>
          </w:tcPr>
          <w:p w14:paraId="1C5FC81B">
            <w:pPr>
              <w:pStyle w:val="1358"/>
              <w:jc w:val="center"/>
              <w:rPr>
                <w:rFonts w:hint="eastAsia"/>
                <w:color w:val="auto"/>
                <w:highlight w:val="none"/>
              </w:rPr>
            </w:pPr>
            <w:r>
              <w:rPr>
                <w:rFonts w:hint="eastAsia"/>
                <w:color w:val="auto"/>
                <w:highlight w:val="none"/>
                <w:lang w:val="en-US" w:eastAsia="zh-CN"/>
              </w:rPr>
              <w:t>一般工业固体废物</w:t>
            </w:r>
          </w:p>
        </w:tc>
        <w:tc>
          <w:tcPr>
            <w:tcW w:w="2190" w:type="dxa"/>
            <w:tcBorders>
              <w:tl2br w:val="nil"/>
              <w:tr2bl w:val="nil"/>
            </w:tcBorders>
            <w:shd w:val="clear" w:color="auto" w:fill="auto"/>
            <w:vAlign w:val="center"/>
          </w:tcPr>
          <w:p w14:paraId="58BD954E">
            <w:pPr>
              <w:pStyle w:val="1358"/>
              <w:jc w:val="center"/>
              <w:rPr>
                <w:rFonts w:hint="default"/>
                <w:color w:val="auto"/>
                <w:highlight w:val="none"/>
              </w:rPr>
            </w:pPr>
            <w:r>
              <w:rPr>
                <w:rFonts w:hint="default"/>
                <w:color w:val="auto"/>
                <w:highlight w:val="none"/>
                <w:lang w:val="en-US" w:eastAsia="zh-CN"/>
              </w:rPr>
              <w:t>147.7432</w:t>
            </w:r>
          </w:p>
        </w:tc>
        <w:tc>
          <w:tcPr>
            <w:tcW w:w="1412" w:type="dxa"/>
            <w:tcBorders>
              <w:tl2br w:val="nil"/>
              <w:tr2bl w:val="nil"/>
            </w:tcBorders>
            <w:shd w:val="clear" w:color="auto" w:fill="auto"/>
            <w:vAlign w:val="center"/>
          </w:tcPr>
          <w:p w14:paraId="6211E03F">
            <w:pPr>
              <w:pStyle w:val="1358"/>
              <w:jc w:val="center"/>
              <w:rPr>
                <w:rFonts w:hint="default"/>
                <w:color w:val="auto"/>
                <w:highlight w:val="none"/>
              </w:rPr>
            </w:pPr>
            <w:r>
              <w:rPr>
                <w:rFonts w:hint="default"/>
                <w:color w:val="auto"/>
                <w:highlight w:val="none"/>
                <w:lang w:val="en-US" w:eastAsia="zh-CN"/>
              </w:rPr>
              <w:t>147.7432</w:t>
            </w:r>
          </w:p>
        </w:tc>
        <w:tc>
          <w:tcPr>
            <w:tcW w:w="1305" w:type="dxa"/>
            <w:tcBorders>
              <w:tl2br w:val="nil"/>
              <w:tr2bl w:val="nil"/>
            </w:tcBorders>
            <w:shd w:val="clear" w:color="auto" w:fill="auto"/>
            <w:vAlign w:val="center"/>
          </w:tcPr>
          <w:p w14:paraId="4C9EAD35">
            <w:pPr>
              <w:pStyle w:val="1358"/>
              <w:jc w:val="center"/>
              <w:rPr>
                <w:rFonts w:hint="default"/>
                <w:color w:val="auto"/>
                <w:highlight w:val="none"/>
              </w:rPr>
            </w:pPr>
            <w:r>
              <w:rPr>
                <w:rFonts w:hint="default"/>
                <w:color w:val="auto"/>
                <w:highlight w:val="none"/>
                <w:lang w:val="en-US" w:eastAsia="zh-CN"/>
              </w:rPr>
              <w:t>0</w:t>
            </w:r>
          </w:p>
        </w:tc>
        <w:tc>
          <w:tcPr>
            <w:tcW w:w="3156" w:type="dxa"/>
            <w:tcBorders>
              <w:tl2br w:val="nil"/>
              <w:tr2bl w:val="nil"/>
            </w:tcBorders>
            <w:shd w:val="clear" w:color="auto" w:fill="auto"/>
            <w:vAlign w:val="center"/>
          </w:tcPr>
          <w:p w14:paraId="4CCEA226">
            <w:pPr>
              <w:pStyle w:val="1358"/>
              <w:jc w:val="center"/>
              <w:rPr>
                <w:rFonts w:hint="eastAsia"/>
                <w:color w:val="auto"/>
                <w:highlight w:val="none"/>
              </w:rPr>
            </w:pPr>
            <w:r>
              <w:rPr>
                <w:rFonts w:hint="eastAsia"/>
                <w:color w:val="auto"/>
                <w:highlight w:val="none"/>
                <w:lang w:val="en-US" w:eastAsia="zh-CN"/>
              </w:rPr>
              <w:t>暂存于一般固体废物暂存间，定期外售综合利用</w:t>
            </w:r>
          </w:p>
        </w:tc>
      </w:tr>
      <w:tr w14:paraId="568B50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tcBorders>
              <w:tl2br w:val="nil"/>
              <w:tr2bl w:val="nil"/>
            </w:tcBorders>
            <w:shd w:val="clear" w:color="auto" w:fill="auto"/>
            <w:vAlign w:val="center"/>
          </w:tcPr>
          <w:p w14:paraId="1376BD8A">
            <w:pPr>
              <w:pStyle w:val="1358"/>
              <w:jc w:val="center"/>
              <w:rPr>
                <w:rFonts w:hint="eastAsia"/>
                <w:color w:val="auto"/>
                <w:highlight w:val="none"/>
              </w:rPr>
            </w:pPr>
            <w:r>
              <w:rPr>
                <w:rFonts w:hint="eastAsia"/>
                <w:color w:val="auto"/>
                <w:highlight w:val="none"/>
                <w:lang w:val="en-US" w:eastAsia="zh-CN"/>
              </w:rPr>
              <w:t>危险废物</w:t>
            </w:r>
          </w:p>
        </w:tc>
        <w:tc>
          <w:tcPr>
            <w:tcW w:w="2190" w:type="dxa"/>
            <w:tcBorders>
              <w:tl2br w:val="nil"/>
              <w:tr2bl w:val="nil"/>
            </w:tcBorders>
            <w:shd w:val="clear" w:color="auto" w:fill="auto"/>
            <w:vAlign w:val="center"/>
          </w:tcPr>
          <w:p w14:paraId="5259EC04">
            <w:pPr>
              <w:pStyle w:val="1358"/>
              <w:jc w:val="center"/>
              <w:rPr>
                <w:rFonts w:hint="default"/>
                <w:color w:val="auto"/>
                <w:highlight w:val="none"/>
                <w:lang w:val="en-US" w:eastAsia="zh-CN"/>
              </w:rPr>
            </w:pPr>
            <w:r>
              <w:rPr>
                <w:rFonts w:hint="default"/>
                <w:color w:val="auto"/>
                <w:highlight w:val="none"/>
                <w:lang w:val="en-US" w:eastAsia="zh-CN"/>
              </w:rPr>
              <w:t>34.0761</w:t>
            </w:r>
          </w:p>
        </w:tc>
        <w:tc>
          <w:tcPr>
            <w:tcW w:w="1412" w:type="dxa"/>
            <w:tcBorders>
              <w:tl2br w:val="nil"/>
              <w:tr2bl w:val="nil"/>
            </w:tcBorders>
            <w:shd w:val="clear" w:color="auto" w:fill="auto"/>
            <w:vAlign w:val="center"/>
          </w:tcPr>
          <w:p w14:paraId="6D989D59">
            <w:pPr>
              <w:pStyle w:val="1358"/>
              <w:jc w:val="center"/>
              <w:rPr>
                <w:rFonts w:hint="default"/>
                <w:color w:val="auto"/>
                <w:highlight w:val="none"/>
                <w:lang w:val="en-US" w:eastAsia="zh-CN"/>
              </w:rPr>
            </w:pPr>
            <w:r>
              <w:rPr>
                <w:rFonts w:hint="default"/>
                <w:color w:val="auto"/>
                <w:highlight w:val="none"/>
                <w:lang w:val="en-US" w:eastAsia="zh-CN"/>
              </w:rPr>
              <w:t>34.0761</w:t>
            </w:r>
          </w:p>
        </w:tc>
        <w:tc>
          <w:tcPr>
            <w:tcW w:w="1305" w:type="dxa"/>
            <w:tcBorders>
              <w:tl2br w:val="nil"/>
              <w:tr2bl w:val="nil"/>
            </w:tcBorders>
            <w:shd w:val="clear" w:color="auto" w:fill="auto"/>
            <w:vAlign w:val="center"/>
          </w:tcPr>
          <w:p w14:paraId="44A6B4A1">
            <w:pPr>
              <w:pStyle w:val="1358"/>
              <w:jc w:val="center"/>
              <w:rPr>
                <w:rFonts w:hint="default"/>
                <w:color w:val="auto"/>
                <w:highlight w:val="none"/>
              </w:rPr>
            </w:pPr>
            <w:r>
              <w:rPr>
                <w:rFonts w:hint="default"/>
                <w:color w:val="auto"/>
                <w:highlight w:val="none"/>
                <w:lang w:val="en-US" w:eastAsia="zh-CN"/>
              </w:rPr>
              <w:t>0</w:t>
            </w:r>
          </w:p>
        </w:tc>
        <w:tc>
          <w:tcPr>
            <w:tcW w:w="3156" w:type="dxa"/>
            <w:tcBorders>
              <w:tl2br w:val="nil"/>
              <w:tr2bl w:val="nil"/>
            </w:tcBorders>
            <w:shd w:val="clear" w:color="auto" w:fill="auto"/>
            <w:vAlign w:val="center"/>
          </w:tcPr>
          <w:p w14:paraId="03156CC7">
            <w:pPr>
              <w:pStyle w:val="1358"/>
              <w:jc w:val="center"/>
              <w:rPr>
                <w:rFonts w:hint="eastAsia"/>
                <w:color w:val="auto"/>
                <w:highlight w:val="none"/>
              </w:rPr>
            </w:pPr>
            <w:r>
              <w:rPr>
                <w:rFonts w:hint="eastAsia"/>
                <w:color w:val="auto"/>
                <w:highlight w:val="none"/>
                <w:lang w:val="en-US" w:eastAsia="zh-CN"/>
              </w:rPr>
              <w:t>按要求收集后危废贮存库暂存，定期委托有资质的单位集中处置</w:t>
            </w:r>
          </w:p>
        </w:tc>
      </w:tr>
      <w:tr w14:paraId="11AEC1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7" w:type="dxa"/>
            <w:tcBorders>
              <w:tl2br w:val="nil"/>
              <w:tr2bl w:val="nil"/>
            </w:tcBorders>
            <w:shd w:val="clear" w:color="auto" w:fill="auto"/>
            <w:vAlign w:val="center"/>
          </w:tcPr>
          <w:p w14:paraId="47634F39">
            <w:pPr>
              <w:pStyle w:val="1358"/>
              <w:jc w:val="center"/>
              <w:rPr>
                <w:rFonts w:hint="eastAsia"/>
                <w:color w:val="auto"/>
                <w:highlight w:val="none"/>
              </w:rPr>
            </w:pPr>
            <w:r>
              <w:rPr>
                <w:rFonts w:hint="eastAsia"/>
                <w:color w:val="auto"/>
                <w:highlight w:val="none"/>
                <w:lang w:val="en-US" w:eastAsia="zh-CN"/>
              </w:rPr>
              <w:t>生活垃圾</w:t>
            </w:r>
          </w:p>
        </w:tc>
        <w:tc>
          <w:tcPr>
            <w:tcW w:w="2190" w:type="dxa"/>
            <w:tcBorders>
              <w:tl2br w:val="nil"/>
              <w:tr2bl w:val="nil"/>
            </w:tcBorders>
            <w:shd w:val="clear" w:color="auto" w:fill="auto"/>
            <w:vAlign w:val="center"/>
          </w:tcPr>
          <w:p w14:paraId="7DA8C957">
            <w:pPr>
              <w:pStyle w:val="1358"/>
              <w:jc w:val="center"/>
              <w:rPr>
                <w:rFonts w:hint="default"/>
                <w:color w:val="auto"/>
                <w:highlight w:val="none"/>
              </w:rPr>
            </w:pPr>
            <w:r>
              <w:rPr>
                <w:rFonts w:hint="default"/>
                <w:color w:val="auto"/>
                <w:highlight w:val="none"/>
                <w:lang w:val="en-US" w:eastAsia="zh-CN"/>
              </w:rPr>
              <w:t>7.5</w:t>
            </w:r>
          </w:p>
        </w:tc>
        <w:tc>
          <w:tcPr>
            <w:tcW w:w="1412" w:type="dxa"/>
            <w:tcBorders>
              <w:tl2br w:val="nil"/>
              <w:tr2bl w:val="nil"/>
            </w:tcBorders>
            <w:shd w:val="clear" w:color="auto" w:fill="auto"/>
            <w:vAlign w:val="center"/>
          </w:tcPr>
          <w:p w14:paraId="62F8BB40">
            <w:pPr>
              <w:pStyle w:val="1358"/>
              <w:jc w:val="center"/>
              <w:rPr>
                <w:rFonts w:hint="default"/>
                <w:color w:val="auto"/>
                <w:highlight w:val="none"/>
              </w:rPr>
            </w:pPr>
            <w:r>
              <w:rPr>
                <w:rFonts w:hint="default"/>
                <w:color w:val="auto"/>
                <w:highlight w:val="none"/>
                <w:lang w:val="en-US" w:eastAsia="zh-CN"/>
              </w:rPr>
              <w:t>7.5</w:t>
            </w:r>
          </w:p>
        </w:tc>
        <w:tc>
          <w:tcPr>
            <w:tcW w:w="1305" w:type="dxa"/>
            <w:tcBorders>
              <w:tl2br w:val="nil"/>
              <w:tr2bl w:val="nil"/>
            </w:tcBorders>
            <w:shd w:val="clear" w:color="auto" w:fill="auto"/>
            <w:vAlign w:val="center"/>
          </w:tcPr>
          <w:p w14:paraId="78B1544F">
            <w:pPr>
              <w:pStyle w:val="1358"/>
              <w:jc w:val="center"/>
              <w:rPr>
                <w:rFonts w:hint="default"/>
                <w:color w:val="auto"/>
                <w:highlight w:val="none"/>
              </w:rPr>
            </w:pPr>
            <w:r>
              <w:rPr>
                <w:rFonts w:hint="default"/>
                <w:color w:val="auto"/>
                <w:highlight w:val="none"/>
                <w:lang w:val="en-US" w:eastAsia="zh-CN"/>
              </w:rPr>
              <w:t>0</w:t>
            </w:r>
          </w:p>
        </w:tc>
        <w:tc>
          <w:tcPr>
            <w:tcW w:w="3156" w:type="dxa"/>
            <w:tcBorders>
              <w:tl2br w:val="nil"/>
              <w:tr2bl w:val="nil"/>
            </w:tcBorders>
            <w:shd w:val="clear" w:color="auto" w:fill="auto"/>
            <w:vAlign w:val="center"/>
          </w:tcPr>
          <w:p w14:paraId="64ADDC62">
            <w:pPr>
              <w:pStyle w:val="1358"/>
              <w:jc w:val="center"/>
              <w:rPr>
                <w:rFonts w:hint="eastAsia"/>
                <w:color w:val="auto"/>
                <w:highlight w:val="none"/>
              </w:rPr>
            </w:pPr>
            <w:r>
              <w:rPr>
                <w:rFonts w:hint="eastAsia"/>
                <w:color w:val="auto"/>
                <w:highlight w:val="none"/>
                <w:lang w:val="en-US" w:eastAsia="zh-CN"/>
              </w:rPr>
              <w:t>生活垃圾收集桶收集后由环卫部门统一清运处置</w:t>
            </w:r>
          </w:p>
        </w:tc>
      </w:tr>
    </w:tbl>
    <w:p w14:paraId="1DA99EFA">
      <w:pPr>
        <w:pStyle w:val="3"/>
        <w:numPr>
          <w:ilvl w:val="1"/>
          <w:numId w:val="0"/>
        </w:numPr>
        <w:bidi w:val="0"/>
        <w:rPr>
          <w:color w:val="auto"/>
          <w:highlight w:val="none"/>
        </w:rPr>
      </w:pPr>
      <w:bookmarkStart w:id="357" w:name="_Toc6440"/>
      <w:r>
        <w:rPr>
          <w:rFonts w:hint="eastAsia"/>
          <w:color w:val="auto"/>
          <w:highlight w:val="none"/>
          <w:lang w:val="en-US" w:eastAsia="zh-CN"/>
        </w:rPr>
        <w:t xml:space="preserve">3.5 </w:t>
      </w:r>
      <w:r>
        <w:rPr>
          <w:color w:val="auto"/>
          <w:highlight w:val="none"/>
        </w:rPr>
        <w:t>环境可行性分析</w:t>
      </w:r>
      <w:bookmarkEnd w:id="356"/>
      <w:bookmarkEnd w:id="357"/>
    </w:p>
    <w:p w14:paraId="30165EE5">
      <w:pPr>
        <w:pStyle w:val="4"/>
        <w:numPr>
          <w:ilvl w:val="2"/>
          <w:numId w:val="0"/>
        </w:numPr>
        <w:tabs>
          <w:tab w:val="clear" w:pos="720"/>
        </w:tabs>
        <w:bidi w:val="0"/>
        <w:rPr>
          <w:rFonts w:hint="eastAsia"/>
          <w:color w:val="auto"/>
          <w:highlight w:val="none"/>
          <w:lang w:val="en-US" w:eastAsia="zh-CN"/>
        </w:rPr>
      </w:pPr>
      <w:bookmarkStart w:id="358" w:name="_Toc14563"/>
      <w:r>
        <w:rPr>
          <w:rFonts w:hint="eastAsia"/>
          <w:color w:val="auto"/>
          <w:highlight w:val="none"/>
          <w:lang w:val="en-US" w:eastAsia="zh-CN"/>
        </w:rPr>
        <w:t xml:space="preserve">3.5.1 </w:t>
      </w:r>
      <w:r>
        <w:rPr>
          <w:rFonts w:hint="eastAsia"/>
          <w:color w:val="auto"/>
          <w:highlight w:val="none"/>
          <w:lang w:eastAsia="zh-CN"/>
        </w:rPr>
        <w:t>与</w:t>
      </w:r>
      <w:r>
        <w:rPr>
          <w:rFonts w:hint="eastAsia"/>
          <w:color w:val="auto"/>
          <w:highlight w:val="none"/>
          <w:lang w:val="en-US" w:eastAsia="zh-CN"/>
        </w:rPr>
        <w:t>《闽侯县国土空间总体规划（</w:t>
      </w:r>
      <w:r>
        <w:rPr>
          <w:rFonts w:hint="default"/>
          <w:color w:val="auto"/>
          <w:highlight w:val="none"/>
          <w:lang w:val="en-US" w:eastAsia="zh-CN"/>
        </w:rPr>
        <w:t>2021-2035</w:t>
      </w:r>
      <w:r>
        <w:rPr>
          <w:rFonts w:hint="eastAsia"/>
          <w:color w:val="auto"/>
          <w:highlight w:val="none"/>
          <w:lang w:val="en-US" w:eastAsia="zh-CN"/>
        </w:rPr>
        <w:t>年）》符合性分析</w:t>
      </w:r>
      <w:bookmarkEnd w:id="358"/>
    </w:p>
    <w:p w14:paraId="1E528A0C">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《闽侯县国土空间总体规划（</w:t>
      </w:r>
      <w:r>
        <w:rPr>
          <w:rFonts w:hint="default" w:ascii="Times New Roman" w:hAnsi="Times New Roman" w:eastAsia="宋体" w:cs="Times New Roman"/>
          <w:bCs/>
          <w:color w:val="auto"/>
          <w:highlight w:val="none"/>
          <w:lang w:val="en-US" w:eastAsia="zh-CN"/>
        </w:rPr>
        <w:t>2021-2035</w:t>
      </w:r>
      <w:r>
        <w:rPr>
          <w:rFonts w:hint="eastAsia" w:ascii="Times New Roman" w:hAnsi="Times New Roman" w:eastAsia="宋体" w:cs="Times New Roman"/>
          <w:bCs/>
          <w:color w:val="auto"/>
          <w:highlight w:val="none"/>
          <w:lang w:val="en-US" w:eastAsia="zh-CN"/>
        </w:rPr>
        <w:t>年）》简介：</w:t>
      </w:r>
    </w:p>
    <w:p w14:paraId="2AF403EF">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kern w:val="2"/>
          <w:sz w:val="24"/>
          <w:szCs w:val="22"/>
          <w:highlight w:val="none"/>
          <w:lang w:val="en-US" w:eastAsia="zh-CN" w:bidi="ar-SA"/>
        </w:rPr>
        <w:t>（</w:t>
      </w:r>
      <w:r>
        <w:rPr>
          <w:rFonts w:hint="eastAsia" w:ascii="Times New Roman" w:hAnsi="Times New Roman" w:cs="Times New Roman"/>
          <w:bCs/>
          <w:color w:val="auto"/>
          <w:kern w:val="2"/>
          <w:sz w:val="24"/>
          <w:szCs w:val="22"/>
          <w:highlight w:val="none"/>
          <w:lang w:val="en-US" w:eastAsia="zh-CN" w:bidi="ar-SA"/>
        </w:rPr>
        <w:t>1</w:t>
      </w:r>
      <w:r>
        <w:rPr>
          <w:rFonts w:hint="eastAsia" w:ascii="Times New Roman" w:hAnsi="Times New Roman" w:eastAsia="宋体" w:cs="Times New Roman"/>
          <w:bCs/>
          <w:color w:val="auto"/>
          <w:kern w:val="2"/>
          <w:sz w:val="24"/>
          <w:szCs w:val="22"/>
          <w:highlight w:val="none"/>
          <w:lang w:val="en-US" w:eastAsia="zh-CN" w:bidi="ar-SA"/>
        </w:rPr>
        <w:t>）</w:t>
      </w:r>
      <w:r>
        <w:rPr>
          <w:rFonts w:hint="eastAsia" w:ascii="Times New Roman" w:hAnsi="Times New Roman" w:eastAsia="宋体" w:cs="Times New Roman"/>
          <w:bCs/>
          <w:color w:val="auto"/>
          <w:highlight w:val="none"/>
          <w:lang w:val="en-US" w:eastAsia="zh-CN"/>
        </w:rPr>
        <w:t>国土空间总体格局：构建</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两轴、两区、三心</w:t>
      </w:r>
      <w:r>
        <w:rPr>
          <w:rFonts w:hint="default" w:ascii="Times New Roman" w:hAnsi="Times New Roman" w:eastAsia="宋体"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的国土空间总体格局，两轴：沿江发展轴、山区发展轴，两区：滨海新城区、特色山区，三心：科学城副中心、荆甘竹新城县域中心，雪峰山城中心。</w:t>
      </w:r>
    </w:p>
    <w:p w14:paraId="60845EC0">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w:t>
      </w:r>
      <w:r>
        <w:rPr>
          <w:rFonts w:hint="default" w:ascii="Times New Roman" w:hAnsi="Times New Roman" w:eastAsia="宋体" w:cs="Times New Roman"/>
          <w:bCs/>
          <w:color w:val="auto"/>
          <w:highlight w:val="none"/>
          <w:lang w:val="en-US" w:eastAsia="zh-CN"/>
        </w:rPr>
        <w:t>2</w:t>
      </w:r>
      <w:r>
        <w:rPr>
          <w:rFonts w:hint="eastAsia" w:ascii="Times New Roman" w:hAnsi="Times New Roman" w:eastAsia="宋体" w:cs="Times New Roman"/>
          <w:bCs/>
          <w:color w:val="auto"/>
          <w:highlight w:val="none"/>
          <w:lang w:val="en-US" w:eastAsia="zh-CN"/>
        </w:rPr>
        <w:t>）国土空间三条控制线划定：严格划定永久基本农田：闽侯县划定永久基本农田保护目标1280平方公里。永久基本农田一经划定，必须严格落实《基本农田保护条例》和《福建省基本农田保护条例》，严控建设占用永久基本农田。科学划定生态保护红线：闽侯县划定生态保护红线目标</w:t>
      </w:r>
      <w:r>
        <w:rPr>
          <w:rFonts w:hint="default" w:ascii="Times New Roman" w:hAnsi="Times New Roman" w:eastAsia="宋体" w:cs="Times New Roman"/>
          <w:bCs/>
          <w:color w:val="auto"/>
          <w:highlight w:val="none"/>
          <w:lang w:val="en-US" w:eastAsia="zh-CN"/>
        </w:rPr>
        <w:t>420</w:t>
      </w:r>
      <w:r>
        <w:rPr>
          <w:rFonts w:hint="eastAsia" w:ascii="Times New Roman" w:hAnsi="Times New Roman" w:eastAsia="宋体" w:cs="Times New Roman"/>
          <w:bCs/>
          <w:color w:val="auto"/>
          <w:highlight w:val="none"/>
          <w:lang w:val="en-US" w:eastAsia="zh-CN"/>
        </w:rPr>
        <w:t>平方公里。实行最严格的生态保护红线管控制度，按照《生态保护红线管理办法》要求执行，除国家重大战略项目外，仅允许对生态功能不破坏的有限人为活动。合理确定城镇开发边界：闽侯县划定城镇开发边界</w:t>
      </w:r>
      <w:r>
        <w:rPr>
          <w:rFonts w:hint="default" w:ascii="Times New Roman" w:hAnsi="Times New Roman" w:eastAsia="宋体" w:cs="Times New Roman"/>
          <w:bCs/>
          <w:color w:val="auto"/>
          <w:highlight w:val="none"/>
          <w:lang w:val="en-US" w:eastAsia="zh-CN"/>
        </w:rPr>
        <w:t>145</w:t>
      </w:r>
      <w:r>
        <w:rPr>
          <w:rFonts w:hint="eastAsia" w:ascii="Times New Roman" w:hAnsi="Times New Roman" w:eastAsia="宋体" w:cs="Times New Roman"/>
          <w:bCs/>
          <w:color w:val="auto"/>
          <w:highlight w:val="none"/>
          <w:lang w:val="en-US" w:eastAsia="zh-CN"/>
        </w:rPr>
        <w:t>平方公里城镇开发边界一经划定，原则上不得调整，因国家重大战略调整</w:t>
      </w:r>
      <w:r>
        <w:rPr>
          <w:rFonts w:hint="eastAsia" w:ascii="Times New Roman" w:hAnsi="Times New Roman"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国家重大项目建设、行政区划调整等确需调整的、按国土空间规划修改程序进行。</w:t>
      </w:r>
    </w:p>
    <w:p w14:paraId="668BD4E1">
      <w:pPr>
        <w:pStyle w:val="1238"/>
        <w:keepNext w:val="0"/>
        <w:keepLines w:val="0"/>
        <w:pageBreakBefore w:val="0"/>
        <w:widowControl/>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本项目位于闽侯县青口镇，项目所在位置属于闽侯青口汽车工业园区的工业用地。地块不涉及永久基本农田，且满足《福州市生态环境分区管控方案（</w:t>
      </w:r>
      <w:r>
        <w:rPr>
          <w:rFonts w:hint="default" w:ascii="Times New Roman" w:hAnsi="Times New Roman" w:eastAsia="宋体" w:cs="Times New Roman"/>
          <w:bCs/>
          <w:color w:val="auto"/>
          <w:highlight w:val="none"/>
          <w:lang w:val="en-US" w:eastAsia="zh-CN"/>
        </w:rPr>
        <w:t>2023</w:t>
      </w:r>
      <w:r>
        <w:rPr>
          <w:rFonts w:hint="eastAsia" w:ascii="Times New Roman" w:hAnsi="Times New Roman" w:eastAsia="宋体" w:cs="Times New Roman"/>
          <w:bCs/>
          <w:color w:val="auto"/>
          <w:highlight w:val="none"/>
          <w:lang w:val="en-US" w:eastAsia="zh-CN"/>
        </w:rPr>
        <w:t>年更新）》，不涉及闽侯县划定的生态保护红线区域，因此本项目的建设符合闽侯县国土空间总体规划（</w:t>
      </w:r>
      <w:r>
        <w:rPr>
          <w:rFonts w:hint="default" w:ascii="Times New Roman" w:hAnsi="Times New Roman" w:eastAsia="宋体" w:cs="Times New Roman"/>
          <w:bCs/>
          <w:color w:val="auto"/>
          <w:highlight w:val="none"/>
          <w:lang w:val="en-US" w:eastAsia="zh-CN"/>
        </w:rPr>
        <w:t>2021-2035</w:t>
      </w:r>
      <w:r>
        <w:rPr>
          <w:rFonts w:hint="eastAsia" w:ascii="Times New Roman" w:hAnsi="Times New Roman" w:eastAsia="宋体" w:cs="Times New Roman"/>
          <w:bCs/>
          <w:color w:val="auto"/>
          <w:highlight w:val="none"/>
          <w:lang w:val="en-US" w:eastAsia="zh-CN"/>
        </w:rPr>
        <w:t>年）的要求。</w:t>
      </w:r>
    </w:p>
    <w:p w14:paraId="380CBEC8">
      <w:pPr>
        <w:pStyle w:val="4"/>
        <w:numPr>
          <w:ilvl w:val="2"/>
          <w:numId w:val="0"/>
        </w:numPr>
        <w:tabs>
          <w:tab w:val="clear" w:pos="720"/>
        </w:tabs>
        <w:bidi w:val="0"/>
        <w:rPr>
          <w:rFonts w:hint="eastAsia"/>
          <w:color w:val="auto"/>
          <w:highlight w:val="none"/>
          <w:lang w:val="en-US" w:eastAsia="zh-CN"/>
        </w:rPr>
      </w:pPr>
      <w:bookmarkStart w:id="359" w:name="_Toc30939"/>
      <w:r>
        <w:rPr>
          <w:rFonts w:hint="eastAsia"/>
          <w:color w:val="auto"/>
          <w:highlight w:val="none"/>
          <w:lang w:val="en-US" w:eastAsia="zh-CN"/>
        </w:rPr>
        <w:t>3.5.2产业政策符合性</w:t>
      </w:r>
      <w:bookmarkEnd w:id="359"/>
    </w:p>
    <w:p w14:paraId="63A8B176">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对照</w:t>
      </w:r>
      <w:r>
        <w:rPr>
          <w:rFonts w:hint="eastAsia" w:ascii="Times New Roman" w:hAnsi="Times New Roman" w:eastAsia="宋体" w:cs="Times New Roman"/>
          <w:color w:val="auto"/>
          <w:sz w:val="24"/>
          <w:szCs w:val="22"/>
          <w:highlight w:val="none"/>
          <w:lang w:val="en-US" w:eastAsia="zh-CN" w:bidi="ar-SA"/>
        </w:rPr>
        <w:t>《产业结构调整指导目录（2024年本）》</w:t>
      </w:r>
      <w:r>
        <w:rPr>
          <w:rFonts w:ascii="Times New Roman" w:hAnsi="Times New Roman" w:eastAsia="宋体" w:cs="Times New Roman"/>
          <w:color w:val="auto"/>
          <w:sz w:val="24"/>
          <w:szCs w:val="22"/>
          <w:highlight w:val="none"/>
          <w:lang w:val="en-US" w:eastAsia="zh-CN" w:bidi="ar-SA"/>
        </w:rPr>
        <w:t>，该项目不属于</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鼓励类</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限制类</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和</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淘汰类</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项目。根据《促进产业结构调整暂行规定</w:t>
      </w:r>
      <w:r>
        <w:rPr>
          <w:rFonts w:hint="eastAsia" w:ascii="Times New Roman" w:hAnsi="Times New Roman" w:eastAsia="宋体"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第十三条</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不属于鼓励类、限制类和淘汰类，且符合国家有关</w:t>
      </w:r>
      <w:r>
        <w:rPr>
          <w:rFonts w:hint="eastAsia" w:ascii="Times New Roman" w:hAnsi="Times New Roman" w:eastAsia="宋体" w:cs="Times New Roman"/>
          <w:color w:val="auto"/>
          <w:sz w:val="24"/>
          <w:szCs w:val="22"/>
          <w:highlight w:val="none"/>
          <w:lang w:val="en-US" w:eastAsia="zh-CN" w:bidi="ar-SA"/>
        </w:rPr>
        <w:t>法律法规</w:t>
      </w:r>
      <w:r>
        <w:rPr>
          <w:rFonts w:ascii="Times New Roman" w:hAnsi="Times New Roman" w:eastAsia="宋体" w:cs="Times New Roman"/>
          <w:color w:val="auto"/>
          <w:sz w:val="24"/>
          <w:szCs w:val="22"/>
          <w:highlight w:val="none"/>
          <w:lang w:val="en-US" w:eastAsia="zh-CN" w:bidi="ar-SA"/>
        </w:rPr>
        <w:t>规定的，为允许类</w:t>
      </w:r>
      <w:r>
        <w:rPr>
          <w:rFonts w:hint="eastAsia"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的规定。</w:t>
      </w:r>
    </w:p>
    <w:p w14:paraId="1788F0C0">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he-IL"/>
        </w:rPr>
      </w:pPr>
      <w:r>
        <w:rPr>
          <w:rFonts w:ascii="Times New Roman" w:hAnsi="Times New Roman" w:eastAsia="宋体" w:cs="Times New Roman"/>
          <w:color w:val="auto"/>
          <w:sz w:val="24"/>
          <w:szCs w:val="22"/>
          <w:highlight w:val="none"/>
          <w:lang w:val="en-US" w:eastAsia="zh-CN" w:bidi="ar-SA"/>
        </w:rPr>
        <w:t>项目已于</w:t>
      </w:r>
      <w:r>
        <w:rPr>
          <w:rFonts w:hint="eastAsia" w:ascii="Times New Roman" w:hAnsi="Times New Roman" w:eastAsia="宋体" w:cs="Times New Roman"/>
          <w:color w:val="auto"/>
          <w:sz w:val="24"/>
          <w:szCs w:val="22"/>
          <w:highlight w:val="none"/>
          <w:lang w:val="en-US" w:eastAsia="zh-CN" w:bidi="ar-SA"/>
        </w:rPr>
        <w:t>2026年</w:t>
      </w:r>
      <w:r>
        <w:rPr>
          <w:rFonts w:hint="eastAsia" w:cs="Times New Roman"/>
          <w:color w:val="auto"/>
          <w:sz w:val="24"/>
          <w:szCs w:val="22"/>
          <w:highlight w:val="none"/>
          <w:lang w:val="en-US" w:eastAsia="zh-CN" w:bidi="ar-SA"/>
        </w:rPr>
        <w:t>10</w:t>
      </w:r>
      <w:r>
        <w:rPr>
          <w:rFonts w:hint="eastAsia" w:ascii="Times New Roman" w:hAnsi="Times New Roman" w:eastAsia="宋体" w:cs="Times New Roman"/>
          <w:color w:val="auto"/>
          <w:sz w:val="24"/>
          <w:szCs w:val="22"/>
          <w:highlight w:val="none"/>
          <w:lang w:val="en-US" w:eastAsia="zh-CN" w:bidi="ar-SA"/>
        </w:rPr>
        <w:t>月</w:t>
      </w:r>
      <w:r>
        <w:rPr>
          <w:rFonts w:hint="eastAsia" w:cs="Times New Roman"/>
          <w:color w:val="auto"/>
          <w:sz w:val="24"/>
          <w:szCs w:val="22"/>
          <w:highlight w:val="none"/>
          <w:lang w:val="en-US" w:eastAsia="zh-CN" w:bidi="ar-SA"/>
        </w:rPr>
        <w:t>1</w:t>
      </w:r>
      <w:r>
        <w:rPr>
          <w:rFonts w:hint="eastAsia" w:ascii="Times New Roman" w:hAnsi="Times New Roman" w:eastAsia="宋体" w:cs="Times New Roman"/>
          <w:color w:val="auto"/>
          <w:sz w:val="24"/>
          <w:szCs w:val="22"/>
          <w:highlight w:val="none"/>
          <w:lang w:val="en-US" w:eastAsia="zh-CN" w:bidi="ar-SA"/>
        </w:rPr>
        <w:t>2日取得闽侯县发展和改革局出具的《福建省投资项目备案证明（内资）》（编号：闽发改备[2026]A080808号）</w:t>
      </w:r>
      <w:r>
        <w:rPr>
          <w:rFonts w:ascii="Times New Roman" w:hAnsi="Times New Roman" w:eastAsia="宋体" w:cs="Times New Roman"/>
          <w:color w:val="auto"/>
          <w:sz w:val="24"/>
          <w:szCs w:val="22"/>
          <w:highlight w:val="none"/>
          <w:lang w:val="en-US" w:eastAsia="zh-CN" w:bidi="he-IL"/>
        </w:rPr>
        <w:t>。</w:t>
      </w:r>
    </w:p>
    <w:p w14:paraId="19376C94">
      <w:pPr>
        <w:pStyle w:val="1336"/>
        <w:ind w:firstLine="480"/>
        <w:rPr>
          <w:color w:val="auto"/>
          <w:highlight w:val="none"/>
          <w:lang w:bidi="he-IL"/>
        </w:rPr>
      </w:pPr>
      <w:r>
        <w:rPr>
          <w:color w:val="auto"/>
          <w:highlight w:val="none"/>
          <w:lang w:bidi="he-IL"/>
        </w:rPr>
        <w:t>综上所述，项目建设是符合国家和地方产业政策的。</w:t>
      </w:r>
    </w:p>
    <w:p w14:paraId="5FB145FE">
      <w:pPr>
        <w:pStyle w:val="4"/>
        <w:numPr>
          <w:ilvl w:val="2"/>
          <w:numId w:val="0"/>
        </w:numPr>
        <w:tabs>
          <w:tab w:val="clear" w:pos="720"/>
        </w:tabs>
        <w:bidi w:val="0"/>
        <w:rPr>
          <w:color w:val="auto"/>
          <w:highlight w:val="none"/>
        </w:rPr>
      </w:pPr>
      <w:bookmarkStart w:id="360" w:name="_Toc16235"/>
      <w:r>
        <w:rPr>
          <w:rFonts w:hint="eastAsia"/>
          <w:color w:val="auto"/>
          <w:highlight w:val="none"/>
          <w:lang w:eastAsia="zh-CN"/>
        </w:rPr>
        <w:t>3.5</w:t>
      </w:r>
      <w:r>
        <w:rPr>
          <w:color w:val="auto"/>
          <w:highlight w:val="none"/>
        </w:rPr>
        <w:t>.</w:t>
      </w:r>
      <w:r>
        <w:rPr>
          <w:rFonts w:hint="eastAsia"/>
          <w:color w:val="auto"/>
          <w:highlight w:val="none"/>
          <w:lang w:val="en-US" w:eastAsia="zh-CN"/>
        </w:rPr>
        <w:t>3</w:t>
      </w:r>
      <w:r>
        <w:rPr>
          <w:color w:val="auto"/>
          <w:highlight w:val="none"/>
        </w:rPr>
        <w:t>选址合理性分析</w:t>
      </w:r>
      <w:bookmarkEnd w:id="360"/>
    </w:p>
    <w:p w14:paraId="7B2736E1">
      <w:pPr>
        <w:pStyle w:val="1336"/>
        <w:ind w:firstLine="480"/>
        <w:rPr>
          <w:color w:val="auto"/>
          <w:highlight w:val="none"/>
        </w:rPr>
      </w:pPr>
      <w:r>
        <w:rPr>
          <w:color w:val="auto"/>
          <w:highlight w:val="none"/>
        </w:rPr>
        <w:t>（1）土地利用符合性分析</w:t>
      </w:r>
    </w:p>
    <w:p w14:paraId="12B0F4CD">
      <w:pPr>
        <w:pStyle w:val="1336"/>
        <w:ind w:firstLine="480"/>
        <w:rPr>
          <w:rFonts w:hint="eastAsia"/>
          <w:color w:val="auto"/>
          <w:highlight w:val="none"/>
        </w:rPr>
      </w:pPr>
      <w:r>
        <w:rPr>
          <w:rFonts w:hint="eastAsia"/>
          <w:color w:val="auto"/>
          <w:highlight w:val="none"/>
        </w:rPr>
        <w:t>项目租赁</w:t>
      </w:r>
      <w:r>
        <w:rPr>
          <w:rFonts w:hint="eastAsia"/>
          <w:color w:val="auto"/>
          <w:highlight w:val="none"/>
          <w:lang w:eastAsia="zh-CN"/>
        </w:rPr>
        <w:t>福州鑫旺物流服务有限公司</w:t>
      </w:r>
      <w:r>
        <w:rPr>
          <w:rFonts w:hint="eastAsia"/>
          <w:color w:val="auto"/>
          <w:highlight w:val="none"/>
        </w:rPr>
        <w:t>位于福建省福州市闽侯县青口镇祥宏南路1366号办公楼、A库厂房、B库厂房</w:t>
      </w:r>
      <w:r>
        <w:rPr>
          <w:rFonts w:hint="eastAsia" w:ascii="Times New Roman" w:hAnsi="Times New Roman" w:eastAsia="宋体" w:cs="Times New Roman"/>
          <w:color w:val="auto"/>
          <w:sz w:val="24"/>
          <w:highlight w:val="none"/>
          <w:lang w:val="en-US" w:eastAsia="zh-CN"/>
        </w:rPr>
        <w:t>，</w:t>
      </w:r>
      <w:r>
        <w:rPr>
          <w:rFonts w:hint="default"/>
          <w:color w:val="auto"/>
          <w:highlight w:val="none"/>
          <w:lang w:val="en-US" w:eastAsia="zh-CN"/>
        </w:rPr>
        <w:t>租赁物建筑总面积合计18377.76</w:t>
      </w:r>
      <w:r>
        <w:rPr>
          <w:rFonts w:hint="default"/>
          <w:color w:val="auto"/>
          <w:sz w:val="24"/>
          <w:szCs w:val="24"/>
          <w:highlight w:val="none"/>
        </w:rPr>
        <w:t>m</w:t>
      </w:r>
      <w:r>
        <w:rPr>
          <w:rFonts w:hint="default"/>
          <w:color w:val="auto"/>
          <w:sz w:val="24"/>
          <w:szCs w:val="24"/>
          <w:highlight w:val="none"/>
          <w:vertAlign w:val="superscript"/>
        </w:rPr>
        <w:t>2</w:t>
      </w:r>
      <w:r>
        <w:rPr>
          <w:rFonts w:hint="eastAsia" w:ascii="Times New Roman" w:hAnsi="Times New Roman" w:eastAsia="宋体" w:cs="Times New Roman"/>
          <w:color w:val="auto"/>
          <w:sz w:val="24"/>
          <w:highlight w:val="none"/>
          <w:lang w:val="en-US" w:eastAsia="zh-CN"/>
        </w:rPr>
        <w:t>，</w:t>
      </w:r>
      <w:r>
        <w:rPr>
          <w:rFonts w:hint="eastAsia"/>
          <w:color w:val="auto"/>
          <w:highlight w:val="none"/>
        </w:rPr>
        <w:t>建设</w:t>
      </w:r>
      <w:r>
        <w:rPr>
          <w:rFonts w:hint="eastAsia"/>
          <w:color w:val="auto"/>
          <w:highlight w:val="none"/>
          <w:lang w:eastAsia="zh-CN"/>
        </w:rPr>
        <w:t>福州日源汽车零部件加工生产项目</w:t>
      </w:r>
      <w:r>
        <w:rPr>
          <w:rFonts w:hint="eastAsia"/>
          <w:color w:val="auto"/>
          <w:highlight w:val="none"/>
        </w:rPr>
        <w:t>，根据</w:t>
      </w:r>
      <w:r>
        <w:rPr>
          <w:rFonts w:hint="eastAsia"/>
          <w:color w:val="auto"/>
          <w:highlight w:val="none"/>
          <w:lang w:eastAsia="zh-CN"/>
        </w:rPr>
        <w:t>福州鑫旺物流服务有限公司</w:t>
      </w:r>
      <w:r>
        <w:rPr>
          <w:rFonts w:hint="eastAsia"/>
          <w:color w:val="auto"/>
          <w:highlight w:val="none"/>
        </w:rPr>
        <w:t>产权证</w:t>
      </w:r>
      <w:r>
        <w:rPr>
          <w:rFonts w:hint="eastAsia"/>
          <w:color w:val="auto"/>
          <w:highlight w:val="none"/>
          <w:lang w:eastAsia="zh-CN"/>
        </w:rPr>
        <w:t>（</w:t>
      </w:r>
      <w:r>
        <w:rPr>
          <w:rFonts w:hint="eastAsia"/>
          <w:color w:val="auto"/>
          <w:highlight w:val="none"/>
          <w:lang w:val="en-US" w:eastAsia="zh-CN"/>
        </w:rPr>
        <w:t>闽（2025）闽侯县不动产权</w:t>
      </w:r>
      <w:r>
        <w:rPr>
          <w:rFonts w:hint="eastAsia"/>
          <w:color w:val="auto"/>
          <w:highlight w:val="none"/>
        </w:rPr>
        <w:t>第</w:t>
      </w:r>
      <w:r>
        <w:rPr>
          <w:rFonts w:hint="eastAsia"/>
          <w:color w:val="auto"/>
          <w:highlight w:val="none"/>
          <w:lang w:val="en-US" w:eastAsia="zh-CN"/>
        </w:rPr>
        <w:t>9024898</w:t>
      </w:r>
      <w:r>
        <w:rPr>
          <w:rFonts w:hint="eastAsia"/>
          <w:color w:val="auto"/>
          <w:highlight w:val="none"/>
        </w:rPr>
        <w:t>号</w:t>
      </w:r>
      <w:r>
        <w:rPr>
          <w:rFonts w:hint="eastAsia"/>
          <w:color w:val="auto"/>
          <w:highlight w:val="none"/>
          <w:lang w:eastAsia="zh-CN"/>
        </w:rPr>
        <w:t>），</w:t>
      </w:r>
      <w:r>
        <w:rPr>
          <w:rFonts w:hint="eastAsia"/>
          <w:color w:val="auto"/>
          <w:highlight w:val="none"/>
        </w:rPr>
        <w:t>项目用地为厂房及配套设施</w:t>
      </w:r>
      <w:r>
        <w:rPr>
          <w:rFonts w:hint="eastAsia"/>
          <w:color w:val="auto"/>
          <w:highlight w:val="none"/>
          <w:lang w:eastAsia="zh-CN"/>
        </w:rPr>
        <w:t>（</w:t>
      </w:r>
      <w:r>
        <w:rPr>
          <w:rFonts w:hint="eastAsia"/>
          <w:color w:val="auto"/>
          <w:highlight w:val="none"/>
        </w:rPr>
        <w:t>详见附件4</w:t>
      </w:r>
      <w:r>
        <w:rPr>
          <w:rFonts w:hint="eastAsia"/>
          <w:color w:val="auto"/>
          <w:highlight w:val="none"/>
          <w:lang w:eastAsia="zh-CN"/>
        </w:rPr>
        <w:t>），</w:t>
      </w:r>
      <w:r>
        <w:rPr>
          <w:rFonts w:hint="eastAsia"/>
          <w:color w:val="auto"/>
          <w:highlight w:val="none"/>
        </w:rPr>
        <w:t>项目的建设符合用地性质。</w:t>
      </w:r>
    </w:p>
    <w:p w14:paraId="5726AD49">
      <w:pPr>
        <w:bidi w:val="0"/>
        <w:rPr>
          <w:color w:val="auto"/>
          <w:highlight w:val="none"/>
        </w:rPr>
      </w:pPr>
      <w:r>
        <w:rPr>
          <w:color w:val="auto"/>
          <w:highlight w:val="none"/>
        </w:rPr>
        <w:t>（2）环境功能区划符合性分析</w:t>
      </w:r>
    </w:p>
    <w:p w14:paraId="47045232">
      <w:pPr>
        <w:bidi w:val="0"/>
        <w:rPr>
          <w:color w:val="auto"/>
          <w:highlight w:val="none"/>
        </w:rPr>
      </w:pPr>
      <w:r>
        <w:rPr>
          <w:color w:val="auto"/>
          <w:highlight w:val="none"/>
        </w:rPr>
        <w:t>项目运营期产生的废气经过废气处理设施处理后污染物能够达标排放，对周围环境空气不会产生显著影响；</w:t>
      </w:r>
      <w:r>
        <w:rPr>
          <w:rFonts w:hint="eastAsia"/>
          <w:color w:val="auto"/>
          <w:highlight w:val="none"/>
          <w:lang w:val="en-US" w:eastAsia="zh-CN"/>
        </w:rPr>
        <w:t>生活污水</w:t>
      </w:r>
      <w:r>
        <w:rPr>
          <w:color w:val="auto"/>
          <w:highlight w:val="none"/>
        </w:rPr>
        <w:t>经处理达标后排入市政污水管网，纳入</w:t>
      </w:r>
      <w:r>
        <w:rPr>
          <w:rFonts w:hint="eastAsia"/>
          <w:color w:val="auto"/>
          <w:highlight w:val="none"/>
          <w:lang w:eastAsia="zh-CN"/>
        </w:rPr>
        <w:t>青口汽车工业开发区污水处理厂</w:t>
      </w:r>
      <w:r>
        <w:rPr>
          <w:color w:val="auto"/>
          <w:highlight w:val="none"/>
        </w:rPr>
        <w:t>统一处理，不直接排入地表水体，</w:t>
      </w:r>
      <w:r>
        <w:rPr>
          <w:rFonts w:hint="eastAsia"/>
          <w:color w:val="auto"/>
          <w:highlight w:val="none"/>
          <w:lang w:eastAsia="zh-CN"/>
        </w:rPr>
        <w:t>青口汽车工业开发区污水处理厂</w:t>
      </w:r>
      <w:r>
        <w:rPr>
          <w:color w:val="auto"/>
          <w:highlight w:val="none"/>
        </w:rPr>
        <w:t>深度处理达标后排入</w:t>
      </w:r>
      <w:r>
        <w:rPr>
          <w:rFonts w:hint="eastAsia"/>
          <w:color w:val="auto"/>
          <w:highlight w:val="none"/>
          <w:lang w:val="en-US" w:eastAsia="zh-CN"/>
        </w:rPr>
        <w:t>陶江</w:t>
      </w:r>
      <w:r>
        <w:rPr>
          <w:color w:val="auto"/>
          <w:highlight w:val="none"/>
        </w:rPr>
        <w:t>，</w:t>
      </w:r>
      <w:r>
        <w:rPr>
          <w:rFonts w:hint="eastAsia"/>
          <w:color w:val="auto"/>
          <w:highlight w:val="none"/>
          <w:lang w:val="en-US" w:eastAsia="zh-CN"/>
        </w:rPr>
        <w:t>陶</w:t>
      </w:r>
      <w:r>
        <w:rPr>
          <w:color w:val="auto"/>
          <w:highlight w:val="none"/>
        </w:rPr>
        <w:t>江水质符合《地表水环境质量标准》（GB3838-2002）中</w:t>
      </w:r>
      <w:r>
        <w:rPr>
          <w:rFonts w:hint="default" w:ascii="Times New Roman" w:hAnsi="Times New Roman" w:cs="Times New Roman"/>
          <w:color w:val="auto"/>
          <w:highlight w:val="none"/>
          <w:lang w:eastAsia="zh-CN"/>
        </w:rPr>
        <w:t>Ⅲ类</w:t>
      </w:r>
      <w:r>
        <w:rPr>
          <w:color w:val="auto"/>
          <w:highlight w:val="none"/>
        </w:rPr>
        <w:t>水质标准；项目在采取隔声、减振的噪声污染防治措施后，产生的噪声不会对周围环境产生显著影响，项目所在区域的环境噪声符合《声环境质量标准》（GB3096-2008）的3类标准。</w:t>
      </w:r>
    </w:p>
    <w:p w14:paraId="4FB83226">
      <w:pPr>
        <w:bidi w:val="0"/>
        <w:rPr>
          <w:color w:val="auto"/>
          <w:highlight w:val="none"/>
        </w:rPr>
      </w:pPr>
      <w:r>
        <w:rPr>
          <w:color w:val="auto"/>
          <w:highlight w:val="none"/>
        </w:rPr>
        <w:t>因此，项目建设符合环境功能规划。</w:t>
      </w:r>
    </w:p>
    <w:p w14:paraId="1B22C8C6">
      <w:pPr>
        <w:bidi w:val="0"/>
        <w:rPr>
          <w:color w:val="auto"/>
          <w:highlight w:val="none"/>
        </w:rPr>
      </w:pPr>
      <w:r>
        <w:rPr>
          <w:color w:val="auto"/>
          <w:highlight w:val="none"/>
        </w:rPr>
        <w:t>（3）周围环境相容性分析</w:t>
      </w:r>
    </w:p>
    <w:p w14:paraId="732E74F4">
      <w:pPr>
        <w:bidi w:val="0"/>
        <w:rPr>
          <w:color w:val="auto"/>
          <w:highlight w:val="none"/>
        </w:rPr>
      </w:pPr>
      <w:r>
        <w:rPr>
          <w:color w:val="auto"/>
          <w:highlight w:val="none"/>
        </w:rPr>
        <w:t>根据现场踏勘可知，项目</w:t>
      </w:r>
      <w:r>
        <w:rPr>
          <w:rFonts w:hint="eastAsia"/>
          <w:color w:val="auto"/>
          <w:highlight w:val="none"/>
          <w:lang w:val="en-US" w:eastAsia="zh-CN"/>
        </w:rPr>
        <w:t>均为</w:t>
      </w:r>
      <w:r>
        <w:rPr>
          <w:rFonts w:hint="eastAsia"/>
          <w:color w:val="auto"/>
          <w:highlight w:val="none"/>
        </w:rPr>
        <w:t>汽车行业</w:t>
      </w:r>
      <w:r>
        <w:rPr>
          <w:color w:val="auto"/>
          <w:highlight w:val="none"/>
        </w:rPr>
        <w:t>。项目周边无食品加工型企业，项目在生产过程中需严格落实本环评提出的各项环保措施</w:t>
      </w:r>
      <w:r>
        <w:rPr>
          <w:rFonts w:hint="eastAsia"/>
          <w:color w:val="auto"/>
          <w:highlight w:val="none"/>
          <w:lang w:eastAsia="zh-CN"/>
        </w:rPr>
        <w:t>，在</w:t>
      </w:r>
      <w:r>
        <w:rPr>
          <w:color w:val="auto"/>
          <w:highlight w:val="none"/>
        </w:rPr>
        <w:t>确保各项污染物达标排放的情况下，其正常建设运营不会对周边敏感目标产生较大影响，项目所在地区位合理，与周边环境可相容。</w:t>
      </w:r>
    </w:p>
    <w:p w14:paraId="6EDE4C16">
      <w:pPr>
        <w:bidi w:val="0"/>
        <w:rPr>
          <w:color w:val="auto"/>
          <w:highlight w:val="none"/>
        </w:rPr>
      </w:pPr>
      <w:r>
        <w:rPr>
          <w:color w:val="auto"/>
          <w:highlight w:val="none"/>
        </w:rPr>
        <w:t>综上分析可知，项目选址合理可行。</w:t>
      </w:r>
    </w:p>
    <w:p w14:paraId="31FA7FEB">
      <w:pPr>
        <w:pStyle w:val="4"/>
        <w:numPr>
          <w:ilvl w:val="2"/>
          <w:numId w:val="0"/>
        </w:numPr>
        <w:tabs>
          <w:tab w:val="clear" w:pos="720"/>
        </w:tabs>
        <w:bidi w:val="0"/>
        <w:rPr>
          <w:color w:val="auto"/>
          <w:highlight w:val="none"/>
        </w:rPr>
      </w:pPr>
      <w:bookmarkStart w:id="361" w:name="_Toc27781"/>
      <w:r>
        <w:rPr>
          <w:rFonts w:hint="eastAsia"/>
          <w:color w:val="auto"/>
          <w:highlight w:val="none"/>
          <w:lang w:eastAsia="zh-CN"/>
        </w:rPr>
        <w:t>3.5</w:t>
      </w:r>
      <w:r>
        <w:rPr>
          <w:color w:val="auto"/>
          <w:highlight w:val="none"/>
        </w:rPr>
        <w:t>.</w:t>
      </w:r>
      <w:r>
        <w:rPr>
          <w:rFonts w:hint="eastAsia"/>
          <w:color w:val="auto"/>
          <w:highlight w:val="none"/>
          <w:lang w:val="en-US" w:eastAsia="zh-CN"/>
        </w:rPr>
        <w:t>4</w:t>
      </w:r>
      <w:r>
        <w:rPr>
          <w:color w:val="auto"/>
          <w:highlight w:val="none"/>
        </w:rPr>
        <w:t>相关规划符合性分析</w:t>
      </w:r>
      <w:bookmarkEnd w:id="361"/>
    </w:p>
    <w:p w14:paraId="5E221A28">
      <w:pPr>
        <w:pStyle w:val="5"/>
        <w:numPr>
          <w:ilvl w:val="3"/>
          <w:numId w:val="0"/>
        </w:numPr>
        <w:bidi w:val="0"/>
        <w:ind w:leftChars="0"/>
        <w:rPr>
          <w:color w:val="auto"/>
          <w:highlight w:val="none"/>
        </w:rPr>
      </w:pPr>
      <w:r>
        <w:rPr>
          <w:rFonts w:hint="eastAsia"/>
          <w:color w:val="auto"/>
          <w:highlight w:val="none"/>
          <w:lang w:eastAsia="zh-CN"/>
        </w:rPr>
        <w:t>3.5</w:t>
      </w:r>
      <w:r>
        <w:rPr>
          <w:color w:val="auto"/>
          <w:highlight w:val="none"/>
        </w:rPr>
        <w:t>.</w:t>
      </w:r>
      <w:r>
        <w:rPr>
          <w:rFonts w:hint="eastAsia"/>
          <w:color w:val="auto"/>
          <w:highlight w:val="none"/>
          <w:lang w:val="en-US" w:eastAsia="zh-CN"/>
        </w:rPr>
        <w:t>4</w:t>
      </w:r>
      <w:r>
        <w:rPr>
          <w:color w:val="auto"/>
          <w:highlight w:val="none"/>
        </w:rPr>
        <w:t>.1与</w:t>
      </w:r>
      <w:r>
        <w:rPr>
          <w:rFonts w:hint="eastAsia"/>
          <w:color w:val="auto"/>
          <w:highlight w:val="none"/>
        </w:rPr>
        <w:t>《福州市闽侯县青口镇总体规划</w:t>
      </w:r>
      <w:r>
        <w:rPr>
          <w:rFonts w:hint="eastAsia"/>
          <w:color w:val="auto"/>
          <w:highlight w:val="none"/>
          <w:lang w:eastAsia="zh-CN"/>
        </w:rPr>
        <w:t>（</w:t>
      </w:r>
      <w:r>
        <w:rPr>
          <w:rFonts w:hint="eastAsia"/>
          <w:color w:val="auto"/>
          <w:highlight w:val="none"/>
        </w:rPr>
        <w:t>2011—2030</w:t>
      </w:r>
      <w:r>
        <w:rPr>
          <w:rFonts w:hint="eastAsia"/>
          <w:color w:val="auto"/>
          <w:highlight w:val="none"/>
          <w:lang w:eastAsia="zh-CN"/>
        </w:rPr>
        <w:t>）</w:t>
      </w:r>
      <w:r>
        <w:rPr>
          <w:rFonts w:hint="eastAsia"/>
          <w:color w:val="auto"/>
          <w:highlight w:val="none"/>
        </w:rPr>
        <w:t>》</w:t>
      </w:r>
      <w:r>
        <w:rPr>
          <w:color w:val="auto"/>
          <w:highlight w:val="none"/>
        </w:rPr>
        <w:t>符合性分析</w:t>
      </w:r>
    </w:p>
    <w:p w14:paraId="69AA6351">
      <w:pPr>
        <w:pStyle w:val="1336"/>
        <w:ind w:firstLine="482"/>
        <w:rPr>
          <w:rFonts w:hint="eastAsia"/>
          <w:color w:val="auto"/>
          <w:highlight w:val="none"/>
        </w:rPr>
      </w:pPr>
      <w:r>
        <w:rPr>
          <w:rFonts w:hint="eastAsia"/>
          <w:color w:val="auto"/>
          <w:highlight w:val="none"/>
        </w:rPr>
        <w:t>根据《福州市闽侯县青口镇总体规划</w:t>
      </w:r>
      <w:r>
        <w:rPr>
          <w:rFonts w:hint="eastAsia"/>
          <w:color w:val="auto"/>
          <w:highlight w:val="none"/>
          <w:lang w:eastAsia="zh-CN"/>
        </w:rPr>
        <w:t>（</w:t>
      </w:r>
      <w:r>
        <w:rPr>
          <w:rFonts w:hint="eastAsia"/>
          <w:color w:val="auto"/>
          <w:highlight w:val="none"/>
        </w:rPr>
        <w:t>2011—2030</w:t>
      </w:r>
      <w:r>
        <w:rPr>
          <w:rFonts w:hint="eastAsia"/>
          <w:color w:val="auto"/>
          <w:highlight w:val="none"/>
          <w:lang w:eastAsia="zh-CN"/>
        </w:rPr>
        <w:t>）</w:t>
      </w:r>
      <w:r>
        <w:rPr>
          <w:rFonts w:hint="eastAsia"/>
          <w:color w:val="auto"/>
          <w:highlight w:val="none"/>
        </w:rPr>
        <w:t>》本项目所在区域的规划定位分别如下：</w:t>
      </w:r>
    </w:p>
    <w:p w14:paraId="67A67AE3">
      <w:pPr>
        <w:pStyle w:val="1336"/>
        <w:ind w:firstLine="482"/>
        <w:rPr>
          <w:rFonts w:hint="eastAsia"/>
          <w:color w:val="auto"/>
          <w:highlight w:val="none"/>
        </w:rPr>
      </w:pPr>
      <w:r>
        <w:rPr>
          <w:rFonts w:hint="eastAsia"/>
          <w:color w:val="auto"/>
          <w:highlight w:val="none"/>
        </w:rPr>
        <w:t>青口镇城市性质为：为福州市南部汽车产业重镇，集汽车产业、行政、生活居住、金融贸易、文化娱乐于一体的现代化、综合性汽车城。</w:t>
      </w:r>
    </w:p>
    <w:p w14:paraId="7E9E927A">
      <w:pPr>
        <w:pStyle w:val="1336"/>
        <w:ind w:firstLine="482"/>
        <w:rPr>
          <w:rFonts w:hint="eastAsia"/>
          <w:color w:val="auto"/>
          <w:highlight w:val="none"/>
        </w:rPr>
      </w:pPr>
      <w:r>
        <w:rPr>
          <w:rFonts w:hint="eastAsia"/>
          <w:color w:val="auto"/>
          <w:highlight w:val="none"/>
        </w:rPr>
        <w:t>祥谦镇城镇性质：青口投资区中心镇之一，以发展汽车配套产业、光电信息产业、旅游休闲产业为主的工贸型城镇。</w:t>
      </w:r>
    </w:p>
    <w:p w14:paraId="0D47A96E">
      <w:pPr>
        <w:pStyle w:val="1336"/>
        <w:ind w:firstLine="482"/>
        <w:rPr>
          <w:rFonts w:hint="eastAsia"/>
          <w:color w:val="auto"/>
          <w:highlight w:val="none"/>
        </w:rPr>
      </w:pPr>
      <w:r>
        <w:rPr>
          <w:rFonts w:hint="eastAsia"/>
          <w:color w:val="auto"/>
          <w:highlight w:val="none"/>
        </w:rPr>
        <w:t>本项目主要从事汽车</w:t>
      </w:r>
      <w:r>
        <w:rPr>
          <w:rFonts w:hint="eastAsia"/>
          <w:color w:val="auto"/>
          <w:highlight w:val="none"/>
          <w:lang w:val="en-US" w:eastAsia="zh-CN"/>
        </w:rPr>
        <w:t>零部件制造</w:t>
      </w:r>
      <w:r>
        <w:rPr>
          <w:rFonts w:hint="eastAsia"/>
          <w:color w:val="auto"/>
          <w:highlight w:val="none"/>
        </w:rPr>
        <w:t>，属于汽车配套产业，因此本项目符合青口镇规划、</w:t>
      </w:r>
      <w:r>
        <w:rPr>
          <w:rFonts w:hint="eastAsia"/>
          <w:color w:val="auto"/>
          <w:highlight w:val="none"/>
          <w:lang w:eastAsia="zh-CN"/>
        </w:rPr>
        <w:t>符合</w:t>
      </w:r>
      <w:r>
        <w:rPr>
          <w:rFonts w:hint="eastAsia"/>
          <w:color w:val="auto"/>
          <w:highlight w:val="none"/>
        </w:rPr>
        <w:t>城市总体规划及准入条件要求，项目选址符合闽侯县青口镇的土地利用规划要求及行业规划要求。</w:t>
      </w:r>
    </w:p>
    <w:p w14:paraId="74E2DFF2">
      <w:pPr>
        <w:pStyle w:val="1336"/>
        <w:ind w:firstLine="482"/>
        <w:rPr>
          <w:rFonts w:hint="eastAsia"/>
          <w:color w:val="auto"/>
          <w:highlight w:val="none"/>
        </w:rPr>
      </w:pPr>
      <w:r>
        <w:rPr>
          <w:rFonts w:hint="eastAsia"/>
          <w:color w:val="auto"/>
          <w:highlight w:val="none"/>
          <w:lang w:eastAsia="zh-CN"/>
        </w:rPr>
        <w:t>（</w:t>
      </w:r>
      <w:r>
        <w:rPr>
          <w:rFonts w:hint="eastAsia"/>
          <w:color w:val="auto"/>
          <w:highlight w:val="none"/>
        </w:rPr>
        <w:t>2</w:t>
      </w:r>
      <w:r>
        <w:rPr>
          <w:rFonts w:hint="eastAsia"/>
          <w:color w:val="auto"/>
          <w:highlight w:val="none"/>
          <w:lang w:eastAsia="zh-CN"/>
        </w:rPr>
        <w:t>）</w:t>
      </w:r>
      <w:r>
        <w:rPr>
          <w:rFonts w:hint="eastAsia"/>
          <w:color w:val="auto"/>
          <w:highlight w:val="none"/>
        </w:rPr>
        <w:t>与青口投资区的规划符合性</w:t>
      </w:r>
    </w:p>
    <w:p w14:paraId="110426B6">
      <w:pPr>
        <w:pStyle w:val="1336"/>
        <w:ind w:firstLine="482"/>
        <w:rPr>
          <w:rFonts w:hint="eastAsia"/>
          <w:color w:val="auto"/>
          <w:highlight w:val="none"/>
        </w:rPr>
      </w:pPr>
      <w:r>
        <w:rPr>
          <w:rFonts w:hint="eastAsia"/>
          <w:color w:val="auto"/>
          <w:highlight w:val="none"/>
        </w:rPr>
        <w:t>项目所在区域的青口投资区创办于1988年秋，1991年经福州市人民政府批准正式成立；青口投资区是以机械、轻工、建工为三大主导产业的省级投资区。</w:t>
      </w:r>
    </w:p>
    <w:p w14:paraId="2DAF510F">
      <w:pPr>
        <w:pStyle w:val="1336"/>
        <w:ind w:firstLine="482"/>
        <w:rPr>
          <w:rFonts w:hint="eastAsia"/>
          <w:color w:val="auto"/>
          <w:highlight w:val="none"/>
        </w:rPr>
      </w:pPr>
      <w:r>
        <w:rPr>
          <w:rFonts w:hint="eastAsia"/>
          <w:color w:val="auto"/>
          <w:highlight w:val="none"/>
        </w:rPr>
        <w:t>青口投资区是一个交通便捷的地方；公路有324国道南北纵贯全区13.6km</w:t>
      </w:r>
      <w:r>
        <w:rPr>
          <w:rFonts w:hint="eastAsia"/>
          <w:color w:val="auto"/>
          <w:highlight w:val="none"/>
          <w:lang w:eastAsia="zh-CN"/>
        </w:rPr>
        <w:t>；</w:t>
      </w:r>
      <w:r>
        <w:rPr>
          <w:rFonts w:hint="eastAsia"/>
          <w:color w:val="auto"/>
          <w:highlight w:val="none"/>
        </w:rPr>
        <w:t>京福</w:t>
      </w:r>
      <w:r>
        <w:rPr>
          <w:rFonts w:hint="eastAsia"/>
          <w:color w:val="auto"/>
          <w:highlight w:val="none"/>
          <w:lang w:eastAsia="zh-CN"/>
        </w:rPr>
        <w:t>（</w:t>
      </w:r>
      <w:r>
        <w:rPr>
          <w:rFonts w:hint="eastAsia"/>
          <w:color w:val="auto"/>
          <w:highlight w:val="none"/>
        </w:rPr>
        <w:t>北京至福州</w:t>
      </w:r>
      <w:r>
        <w:rPr>
          <w:rFonts w:hint="eastAsia"/>
          <w:color w:val="auto"/>
          <w:highlight w:val="none"/>
          <w:lang w:eastAsia="zh-CN"/>
        </w:rPr>
        <w:t>）</w:t>
      </w:r>
      <w:r>
        <w:rPr>
          <w:rFonts w:hint="eastAsia"/>
          <w:color w:val="auto"/>
          <w:highlight w:val="none"/>
        </w:rPr>
        <w:t>高速公路和同三</w:t>
      </w:r>
      <w:r>
        <w:rPr>
          <w:rFonts w:hint="eastAsia"/>
          <w:color w:val="auto"/>
          <w:highlight w:val="none"/>
          <w:lang w:eastAsia="zh-CN"/>
        </w:rPr>
        <w:t>（</w:t>
      </w:r>
      <w:r>
        <w:rPr>
          <w:rFonts w:hint="eastAsia"/>
          <w:color w:val="auto"/>
          <w:highlight w:val="none"/>
        </w:rPr>
        <w:t>黑龙江同山县至海南三亚市</w:t>
      </w:r>
      <w:r>
        <w:rPr>
          <w:rFonts w:hint="eastAsia"/>
          <w:color w:val="auto"/>
          <w:highlight w:val="none"/>
          <w:lang w:eastAsia="zh-CN"/>
        </w:rPr>
        <w:t>）</w:t>
      </w:r>
      <w:r>
        <w:rPr>
          <w:rFonts w:hint="eastAsia"/>
          <w:color w:val="auto"/>
          <w:highlight w:val="none"/>
        </w:rPr>
        <w:t>高速公路交流道口均在投资区内；紧靠筹建中的福州铁路编组站。投资区离省会福州市中心仅25km</w:t>
      </w:r>
      <w:r>
        <w:rPr>
          <w:rFonts w:hint="eastAsia"/>
          <w:color w:val="auto"/>
          <w:highlight w:val="none"/>
          <w:lang w:eastAsia="zh-CN"/>
        </w:rPr>
        <w:t>，</w:t>
      </w:r>
      <w:r>
        <w:rPr>
          <w:rFonts w:hint="eastAsia"/>
          <w:color w:val="auto"/>
          <w:highlight w:val="none"/>
        </w:rPr>
        <w:t>距长乐国际机场38km</w:t>
      </w:r>
      <w:r>
        <w:rPr>
          <w:rFonts w:hint="eastAsia"/>
          <w:color w:val="auto"/>
          <w:highlight w:val="none"/>
          <w:lang w:eastAsia="zh-CN"/>
        </w:rPr>
        <w:t>；</w:t>
      </w:r>
      <w:r>
        <w:rPr>
          <w:rFonts w:hint="eastAsia"/>
          <w:color w:val="auto"/>
          <w:highlight w:val="none"/>
        </w:rPr>
        <w:t>经青洲大桥距马尾海关10km</w:t>
      </w:r>
      <w:r>
        <w:rPr>
          <w:rFonts w:hint="eastAsia"/>
          <w:color w:val="auto"/>
          <w:highlight w:val="none"/>
          <w:lang w:eastAsia="zh-CN"/>
        </w:rPr>
        <w:t>；</w:t>
      </w:r>
      <w:r>
        <w:rPr>
          <w:rFonts w:hint="eastAsia"/>
          <w:color w:val="auto"/>
          <w:highlight w:val="none"/>
        </w:rPr>
        <w:t>内河陶江通闽江直达马尾港，相距12km。1996年东南汽车落地后</w:t>
      </w:r>
      <w:r>
        <w:rPr>
          <w:rFonts w:hint="eastAsia"/>
          <w:color w:val="auto"/>
          <w:highlight w:val="none"/>
          <w:lang w:eastAsia="zh-CN"/>
        </w:rPr>
        <w:t>迅速</w:t>
      </w:r>
      <w:r>
        <w:rPr>
          <w:rFonts w:hint="eastAsia"/>
          <w:color w:val="auto"/>
          <w:highlight w:val="none"/>
        </w:rPr>
        <w:t>形成了以汽车及其零部件生产为主导产业的省级投资区。投资区位于福州市乌龙江南岸，双福</w:t>
      </w:r>
      <w:r>
        <w:rPr>
          <w:rFonts w:hint="eastAsia"/>
          <w:color w:val="auto"/>
          <w:highlight w:val="none"/>
          <w:lang w:eastAsia="zh-CN"/>
        </w:rPr>
        <w:t>（</w:t>
      </w:r>
      <w:r>
        <w:rPr>
          <w:rFonts w:hint="eastAsia"/>
          <w:color w:val="auto"/>
          <w:highlight w:val="none"/>
        </w:rPr>
        <w:t>福州一</w:t>
      </w:r>
      <w:r>
        <w:rPr>
          <w:rFonts w:hint="eastAsia"/>
          <w:color w:val="auto"/>
          <w:highlight w:val="none"/>
          <w:lang w:eastAsia="zh-CN"/>
        </w:rPr>
        <w:t>闽侯）</w:t>
      </w:r>
      <w:r>
        <w:rPr>
          <w:rFonts w:hint="eastAsia"/>
          <w:color w:val="auto"/>
          <w:highlight w:val="none"/>
        </w:rPr>
        <w:t>工业走廊中心地段。全区规划面积56km²</w:t>
      </w:r>
      <w:r>
        <w:rPr>
          <w:rFonts w:hint="eastAsia"/>
          <w:color w:val="auto"/>
          <w:highlight w:val="none"/>
          <w:lang w:eastAsia="zh-CN"/>
        </w:rPr>
        <w:t>，</w:t>
      </w:r>
      <w:r>
        <w:rPr>
          <w:rFonts w:hint="eastAsia"/>
          <w:color w:val="auto"/>
          <w:highlight w:val="none"/>
        </w:rPr>
        <w:t>规划工业用地18km²。区内水、电、路、通讯、治污等配套设施齐全。已开发工业用地7km²</w:t>
      </w:r>
      <w:r>
        <w:rPr>
          <w:rFonts w:hint="eastAsia"/>
          <w:color w:val="auto"/>
          <w:highlight w:val="none"/>
          <w:lang w:eastAsia="zh-CN"/>
        </w:rPr>
        <w:t>，</w:t>
      </w:r>
      <w:r>
        <w:rPr>
          <w:rFonts w:hint="eastAsia"/>
          <w:color w:val="auto"/>
          <w:highlight w:val="none"/>
        </w:rPr>
        <w:t>主要发展汽车、机械、电子等产业，汽车产业占主导地位。</w:t>
      </w:r>
    </w:p>
    <w:p w14:paraId="17163301">
      <w:pPr>
        <w:pStyle w:val="1336"/>
        <w:ind w:firstLine="482"/>
        <w:rPr>
          <w:rFonts w:hint="eastAsia"/>
          <w:color w:val="auto"/>
          <w:highlight w:val="none"/>
        </w:rPr>
      </w:pPr>
      <w:r>
        <w:rPr>
          <w:rFonts w:hint="eastAsia"/>
          <w:color w:val="auto"/>
          <w:highlight w:val="none"/>
        </w:rPr>
        <w:t>根据《福州青口投资区一青口汽车城总体规划》及土地利用规划图，本项目位于青口汽车工业园区规划范围内</w:t>
      </w:r>
      <w:r>
        <w:rPr>
          <w:rFonts w:hint="eastAsia"/>
          <w:color w:val="auto"/>
          <w:highlight w:val="none"/>
          <w:lang w:eastAsia="zh-CN"/>
        </w:rPr>
        <w:t>，</w:t>
      </w:r>
      <w:r>
        <w:rPr>
          <w:rFonts w:hint="eastAsia"/>
          <w:color w:val="auto"/>
          <w:highlight w:val="none"/>
        </w:rPr>
        <w:t>该项目用地规划用途为二类工业用地。本项目主要从事汽车</w:t>
      </w:r>
      <w:r>
        <w:rPr>
          <w:rFonts w:hint="eastAsia"/>
          <w:color w:val="auto"/>
          <w:highlight w:val="none"/>
          <w:lang w:val="en-US" w:eastAsia="zh-CN"/>
        </w:rPr>
        <w:t>零部件制造</w:t>
      </w:r>
      <w:r>
        <w:rPr>
          <w:rFonts w:hint="eastAsia"/>
          <w:color w:val="auto"/>
          <w:highlight w:val="none"/>
        </w:rPr>
        <w:t>，属于汽车配套产业，因此本项目符合青口汽车城总体规划的土地利用规划要求及行业规划要求。</w:t>
      </w:r>
    </w:p>
    <w:p w14:paraId="58F7BF16">
      <w:pPr>
        <w:pStyle w:val="5"/>
        <w:numPr>
          <w:ilvl w:val="3"/>
          <w:numId w:val="0"/>
        </w:numPr>
        <w:bidi w:val="0"/>
        <w:ind w:leftChars="0"/>
        <w:rPr>
          <w:rFonts w:hint="eastAsia"/>
          <w:color w:val="auto"/>
          <w:highlight w:val="none"/>
        </w:rPr>
      </w:pPr>
      <w:r>
        <w:rPr>
          <w:rFonts w:hint="eastAsia"/>
          <w:color w:val="auto"/>
          <w:highlight w:val="none"/>
          <w:lang w:val="en-US" w:eastAsia="zh-CN"/>
        </w:rPr>
        <w:t>3.5.4</w:t>
      </w:r>
      <w:r>
        <w:rPr>
          <w:rFonts w:hint="eastAsia"/>
          <w:color w:val="auto"/>
          <w:highlight w:val="none"/>
          <w:lang w:eastAsia="zh-CN"/>
        </w:rPr>
        <w:t>.2</w:t>
      </w:r>
      <w:r>
        <w:rPr>
          <w:rFonts w:hint="eastAsia"/>
          <w:color w:val="auto"/>
          <w:highlight w:val="none"/>
        </w:rPr>
        <w:t>与《青口汽车城控制性详细规划》符合性分析</w:t>
      </w:r>
    </w:p>
    <w:p w14:paraId="65DD81E6">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根据《青口汽车城控制性详细规划》的相关内容，青口汽车城发展定位为中国东南部，以汽车产业为主导的现代化、综合性汽车新城。</w:t>
      </w:r>
    </w:p>
    <w:p w14:paraId="408ADDD0">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规划形成</w:t>
      </w:r>
      <w:r>
        <w:rPr>
          <w:rFonts w:hint="eastAsia" w:cs="Times New Roman"/>
          <w:color w:val="auto"/>
          <w:highlight w:val="none"/>
          <w:lang w:eastAsia="zh-CN"/>
        </w:rPr>
        <w:t>“</w:t>
      </w:r>
      <w:r>
        <w:rPr>
          <w:rFonts w:hint="eastAsia" w:ascii="Times New Roman" w:hAnsi="Times New Roman" w:eastAsia="宋体" w:cs="Times New Roman"/>
          <w:color w:val="auto"/>
          <w:highlight w:val="none"/>
        </w:rPr>
        <w:t>一心、三廊道、四组团</w:t>
      </w:r>
      <w:r>
        <w:rPr>
          <w:rFonts w:hint="eastAsia" w:cs="Times New Roman"/>
          <w:color w:val="auto"/>
          <w:highlight w:val="none"/>
          <w:lang w:eastAsia="zh-CN"/>
        </w:rPr>
        <w:t>”</w:t>
      </w:r>
      <w:r>
        <w:rPr>
          <w:rFonts w:hint="eastAsia" w:ascii="Times New Roman" w:hAnsi="Times New Roman" w:eastAsia="宋体" w:cs="Times New Roman"/>
          <w:color w:val="auto"/>
          <w:highlight w:val="none"/>
        </w:rPr>
        <w:t>的规划结构，其中，汽车核心产业组团：依托现有汽车产业，发展以整车制造组装产业为主，零配件生产为辅的汽车制造组装中心产业区。内部少量与汽车产业无关的以及村办企业逐渐搬迁整合升级为与汽车相关产业。提升中心工业区产能。以千家山及周边居住用地为配套服务中心。</w:t>
      </w:r>
    </w:p>
    <w:p w14:paraId="30B8B9BD">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本项目为汽车零部件及配件制造，属于汽车产业体系，位于青口汽车城汽车核心产业组团内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符合《青口汽车城控制性详细规划》的相关要求。</w:t>
      </w:r>
    </w:p>
    <w:p w14:paraId="7DBF0241">
      <w:pPr>
        <w:pStyle w:val="5"/>
        <w:numPr>
          <w:ilvl w:val="3"/>
          <w:numId w:val="0"/>
        </w:numPr>
        <w:bidi w:val="0"/>
        <w:ind w:leftChars="0"/>
        <w:rPr>
          <w:rFonts w:hint="eastAsia"/>
          <w:color w:val="auto"/>
          <w:highlight w:val="none"/>
          <w:lang w:eastAsia="zh-CN"/>
        </w:rPr>
      </w:pPr>
      <w:r>
        <w:rPr>
          <w:rFonts w:hint="eastAsia"/>
          <w:color w:val="auto"/>
          <w:highlight w:val="none"/>
          <w:lang w:val="en-US" w:eastAsia="zh-CN"/>
        </w:rPr>
        <w:t>3.5.4.3</w:t>
      </w:r>
      <w:r>
        <w:rPr>
          <w:rFonts w:hint="eastAsia"/>
          <w:color w:val="auto"/>
          <w:highlight w:val="none"/>
          <w:lang w:eastAsia="zh-CN"/>
        </w:rPr>
        <w:t>与《福州青口投资区环境影响报告书》和跟踪规划环评批复和审查意见分析</w:t>
      </w:r>
    </w:p>
    <w:p w14:paraId="7F5E7075">
      <w:pPr>
        <w:pStyle w:val="1336"/>
        <w:ind w:firstLine="482"/>
        <w:rPr>
          <w:rFonts w:hint="eastAsia"/>
          <w:color w:val="auto"/>
          <w:highlight w:val="none"/>
        </w:rPr>
      </w:pPr>
      <w:r>
        <w:rPr>
          <w:rFonts w:hint="eastAsia"/>
          <w:color w:val="auto"/>
          <w:highlight w:val="none"/>
        </w:rPr>
        <w:t>根据《福州青口投资区环境影响跟踪评价报告书》中产业政策要求：禁止在规划区及其上游汇水区域新建畜禽养殖项目，现有畜禽养殖项目应在规划中期内全部搬迁取缔。对于电子、食品、轻工、石材、建材</w:t>
      </w:r>
      <w:r>
        <w:rPr>
          <w:rFonts w:hint="eastAsia"/>
          <w:color w:val="auto"/>
          <w:highlight w:val="none"/>
          <w:lang w:eastAsia="zh-CN"/>
        </w:rPr>
        <w:t>（</w:t>
      </w:r>
      <w:r>
        <w:rPr>
          <w:rFonts w:hint="eastAsia"/>
          <w:color w:val="auto"/>
          <w:highlight w:val="none"/>
        </w:rPr>
        <w:t>主要指粉磨站、管桩制造</w:t>
      </w:r>
      <w:r>
        <w:rPr>
          <w:rFonts w:hint="eastAsia"/>
          <w:color w:val="auto"/>
          <w:highlight w:val="none"/>
          <w:lang w:eastAsia="zh-CN"/>
        </w:rPr>
        <w:t>）</w:t>
      </w:r>
      <w:r>
        <w:rPr>
          <w:rFonts w:hint="eastAsia"/>
          <w:color w:val="auto"/>
          <w:highlight w:val="none"/>
        </w:rPr>
        <w:t>等现有行业应</w:t>
      </w:r>
      <w:r>
        <w:rPr>
          <w:rFonts w:hint="eastAsia"/>
          <w:color w:val="auto"/>
          <w:highlight w:val="none"/>
          <w:lang w:eastAsia="zh-CN"/>
        </w:rPr>
        <w:t>限制</w:t>
      </w:r>
      <w:r>
        <w:rPr>
          <w:rFonts w:hint="eastAsia"/>
          <w:color w:val="auto"/>
          <w:highlight w:val="none"/>
        </w:rPr>
        <w:t>其生产规模和用地规模的进一步扩大</w:t>
      </w:r>
      <w:r>
        <w:rPr>
          <w:rFonts w:hint="eastAsia"/>
          <w:color w:val="auto"/>
          <w:highlight w:val="none"/>
          <w:lang w:eastAsia="zh-CN"/>
        </w:rPr>
        <w:t>，在</w:t>
      </w:r>
      <w:r>
        <w:rPr>
          <w:rFonts w:hint="eastAsia"/>
          <w:color w:val="auto"/>
          <w:highlight w:val="none"/>
        </w:rPr>
        <w:t>规划区内限制新建此类项目，鼓励与汽车工业、汽车零配件加工等机械加工行业相关的产业进入规划区。鼓励发展循环经济。本项目主要进行汽车</w:t>
      </w:r>
      <w:r>
        <w:rPr>
          <w:rFonts w:hint="eastAsia"/>
          <w:color w:val="auto"/>
          <w:highlight w:val="none"/>
          <w:lang w:val="en-US" w:eastAsia="zh-CN"/>
        </w:rPr>
        <w:t>零部件</w:t>
      </w:r>
      <w:r>
        <w:rPr>
          <w:rFonts w:hint="eastAsia"/>
          <w:color w:val="auto"/>
          <w:highlight w:val="none"/>
        </w:rPr>
        <w:t>生产，属于汽车零配件加工企业，为园区鼓励发展企业，不属于规划环评及跟踪规划环评中限制入规划区项目，因此项目符合《福州青口投资区环境影响报告书》和跟踪规划环评及规划环评审查意见要求，项目建设与青口汽车城规划相符。</w:t>
      </w:r>
    </w:p>
    <w:p w14:paraId="1129D015">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 xml:space="preserve">3.5-1  </w:t>
      </w:r>
      <w:r>
        <w:rPr>
          <w:rFonts w:hint="default" w:ascii="Times New Roman" w:hAnsi="Times New Roman" w:cs="Times New Roman"/>
          <w:color w:val="auto"/>
          <w:highlight w:val="none"/>
        </w:rPr>
        <w:t>限制入规划区项目</w:t>
      </w:r>
    </w:p>
    <w:tbl>
      <w:tblPr>
        <w:tblStyle w:val="80"/>
        <w:tblW w:w="897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146"/>
      </w:tblGrid>
      <w:tr w14:paraId="54B0A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1E8DB11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4538" w:type="pct"/>
            <w:noWrap w:val="0"/>
            <w:vAlign w:val="center"/>
          </w:tcPr>
          <w:p w14:paraId="4236FBA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项目（行业）类别</w:t>
            </w:r>
          </w:p>
        </w:tc>
      </w:tr>
      <w:tr w14:paraId="09598E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27AC758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4538" w:type="pct"/>
            <w:noWrap w:val="0"/>
            <w:vAlign w:val="center"/>
          </w:tcPr>
          <w:p w14:paraId="18F1456A">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钢铁、冶金等大气污染严重行业</w:t>
            </w:r>
          </w:p>
        </w:tc>
      </w:tr>
      <w:tr w14:paraId="45503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71638F9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2</w:t>
            </w:r>
          </w:p>
        </w:tc>
        <w:tc>
          <w:tcPr>
            <w:tcW w:w="4538" w:type="pct"/>
            <w:noWrap w:val="0"/>
            <w:vAlign w:val="center"/>
          </w:tcPr>
          <w:p w14:paraId="2EF42EDE">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屠宰及肉类、蛋类加工</w:t>
            </w:r>
          </w:p>
        </w:tc>
      </w:tr>
      <w:tr w14:paraId="45CA03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5E982D6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3</w:t>
            </w:r>
          </w:p>
        </w:tc>
        <w:tc>
          <w:tcPr>
            <w:tcW w:w="4538" w:type="pct"/>
            <w:noWrap w:val="0"/>
            <w:vAlign w:val="center"/>
          </w:tcPr>
          <w:p w14:paraId="3A8767D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味精、柠檬酸、氨基酸制造，淀粉，淀粉糖等制品</w:t>
            </w:r>
          </w:p>
        </w:tc>
      </w:tr>
      <w:tr w14:paraId="23478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30F5A02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p>
        </w:tc>
        <w:tc>
          <w:tcPr>
            <w:tcW w:w="4538" w:type="pct"/>
            <w:noWrap w:val="0"/>
            <w:vAlign w:val="center"/>
          </w:tcPr>
          <w:p w14:paraId="2E22A941">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含洗毛、染整、脱胶工段的纺织项目；含有蚕蛹废水、精炼废水等的丝绸项目</w:t>
            </w:r>
          </w:p>
        </w:tc>
      </w:tr>
      <w:tr w14:paraId="19AE56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792271A2">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5</w:t>
            </w:r>
          </w:p>
        </w:tc>
        <w:tc>
          <w:tcPr>
            <w:tcW w:w="4538" w:type="pct"/>
            <w:noWrap w:val="0"/>
            <w:vAlign w:val="center"/>
          </w:tcPr>
          <w:p w14:paraId="37F5EC1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制革，毛皮鞣制</w:t>
            </w:r>
          </w:p>
        </w:tc>
      </w:tr>
      <w:tr w14:paraId="349702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773D5E5F">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c>
          <w:tcPr>
            <w:tcW w:w="4538" w:type="pct"/>
            <w:noWrap w:val="0"/>
            <w:vAlign w:val="center"/>
          </w:tcPr>
          <w:p w14:paraId="454850D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纸浆制造，造纸（含废纸造纸）</w:t>
            </w:r>
          </w:p>
        </w:tc>
      </w:tr>
      <w:tr w14:paraId="5D566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1FA956A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7</w:t>
            </w:r>
          </w:p>
        </w:tc>
        <w:tc>
          <w:tcPr>
            <w:tcW w:w="4538" w:type="pct"/>
            <w:noWrap w:val="0"/>
            <w:vAlign w:val="center"/>
          </w:tcPr>
          <w:p w14:paraId="13D68DA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基本化学原料制造，化学肥料制造，化学农药制造，化学染料制造，合成染料制造，助剂及其它有机产品制造，有机化工原料及中间体制造，合成材料制造，合成树脂及其它高分子材料制造，专用化学品制造，生物化工，感光材料制造，磁性记录材料制造，日用化学品制造等</w:t>
            </w:r>
          </w:p>
        </w:tc>
      </w:tr>
      <w:tr w14:paraId="5A890D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0B85E69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8</w:t>
            </w:r>
          </w:p>
        </w:tc>
        <w:tc>
          <w:tcPr>
            <w:tcW w:w="4538" w:type="pct"/>
            <w:noWrap w:val="0"/>
            <w:vAlign w:val="center"/>
          </w:tcPr>
          <w:p w14:paraId="465BB10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化学药品制造，生物制品</w:t>
            </w:r>
          </w:p>
        </w:tc>
      </w:tr>
      <w:tr w14:paraId="17863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52CA7BBC">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9</w:t>
            </w:r>
          </w:p>
        </w:tc>
        <w:tc>
          <w:tcPr>
            <w:tcW w:w="4538" w:type="pct"/>
            <w:noWrap w:val="0"/>
            <w:vAlign w:val="center"/>
          </w:tcPr>
          <w:p w14:paraId="173D3B54">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化学纤维制造</w:t>
            </w:r>
          </w:p>
        </w:tc>
      </w:tr>
      <w:tr w14:paraId="41FC8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438DD0E7">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4538" w:type="pct"/>
            <w:noWrap w:val="0"/>
            <w:vAlign w:val="center"/>
          </w:tcPr>
          <w:p w14:paraId="2742FA13">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规模化畜禽养殖</w:t>
            </w:r>
          </w:p>
        </w:tc>
      </w:tr>
      <w:tr w14:paraId="12A9F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1" w:type="pct"/>
            <w:noWrap w:val="0"/>
            <w:vAlign w:val="center"/>
          </w:tcPr>
          <w:p w14:paraId="4A147C3B">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11</w:t>
            </w:r>
          </w:p>
        </w:tc>
        <w:tc>
          <w:tcPr>
            <w:tcW w:w="4538" w:type="pct"/>
            <w:noWrap w:val="0"/>
            <w:vAlign w:val="center"/>
          </w:tcPr>
          <w:p w14:paraId="20DD0FE0">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电镀（区域内允许建设一个规模化的电镀中心，并要求采用清洁生产工艺）</w:t>
            </w:r>
          </w:p>
        </w:tc>
      </w:tr>
    </w:tbl>
    <w:p w14:paraId="3BA5D3AD">
      <w:pPr>
        <w:pStyle w:val="5"/>
        <w:numPr>
          <w:ilvl w:val="3"/>
          <w:numId w:val="0"/>
        </w:numPr>
        <w:bidi w:val="0"/>
        <w:ind w:leftChars="0"/>
        <w:rPr>
          <w:rFonts w:hint="eastAsia"/>
          <w:color w:val="auto"/>
          <w:highlight w:val="none"/>
          <w:lang w:val="en-US" w:eastAsia="zh-CN"/>
        </w:rPr>
      </w:pPr>
      <w:r>
        <w:rPr>
          <w:rFonts w:hint="eastAsia"/>
          <w:color w:val="auto"/>
          <w:highlight w:val="none"/>
          <w:lang w:val="en-US" w:eastAsia="zh-CN"/>
        </w:rPr>
        <w:t>3.5.4.4 与生态环境分区管控符合性分析</w:t>
      </w:r>
    </w:p>
    <w:p w14:paraId="4C452430">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福州市生态环境分区管控方案（2023年更新）》（榕政办规〔2024〕20号）以及福州市生态环境局《关于发布福州市2024年生态环境分区管控动态更新成果的通知》（榕环保综〔2025〕1号）相关要求分析，项目所在位置属于福建省福州市陆域区域，位于福建闽侯青口汽车工业园区环境管控单元（环境管控单元编码：ZH35012120001）。符合性分析如下：</w:t>
      </w:r>
    </w:p>
    <w:p w14:paraId="42F60D87">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①与福州市全市总体准入要求的符合性分析</w:t>
      </w:r>
    </w:p>
    <w:p w14:paraId="0C08EF60">
      <w:pPr>
        <w:pStyle w:val="8"/>
        <w:bidi w:val="0"/>
        <w:jc w:val="both"/>
        <w:rPr>
          <w:rFonts w:hint="default" w:ascii="Times New Roman" w:hAnsi="Times New Roman" w:cs="Times New Roman"/>
          <w:color w:val="auto"/>
          <w:highlight w:val="none"/>
        </w:rPr>
        <w:sectPr>
          <w:headerReference r:id="rId18" w:type="first"/>
          <w:footerReference r:id="rId20" w:type="first"/>
          <w:headerReference r:id="rId17" w:type="even"/>
          <w:footerReference r:id="rId19" w:type="even"/>
          <w:pgSz w:w="11906" w:h="16838"/>
          <w:pgMar w:top="1418" w:right="1701" w:bottom="1588" w:left="1418" w:header="1020"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3D806C8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3.5</w:t>
      </w:r>
      <w:r>
        <w:rPr>
          <w:rFonts w:hint="default" w:ascii="Times New Roman" w:hAnsi="Times New Roman" w:cs="Times New Roman"/>
          <w:color w:val="auto"/>
          <w:highlight w:val="none"/>
        </w:rPr>
        <w:t>-</w:t>
      </w:r>
      <w:r>
        <w:rPr>
          <w:rFonts w:hint="eastAsia" w:cs="Times New Roman"/>
          <w:color w:val="auto"/>
          <w:highlight w:val="none"/>
          <w:lang w:val="en-US" w:eastAsia="zh-CN"/>
        </w:rPr>
        <w:t>2</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与福州市生态环境总体准入要求的符合性分析</w:t>
      </w:r>
    </w:p>
    <w:tbl>
      <w:tblPr>
        <w:tblStyle w:val="80"/>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708"/>
        <w:gridCol w:w="552"/>
        <w:gridCol w:w="9859"/>
        <w:gridCol w:w="2156"/>
        <w:gridCol w:w="789"/>
      </w:tblGrid>
      <w:tr w14:paraId="5B3DBD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noWrap w:val="0"/>
            <w:vAlign w:val="center"/>
          </w:tcPr>
          <w:p w14:paraId="28240FB8">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适用范围</w:t>
            </w:r>
          </w:p>
        </w:tc>
        <w:tc>
          <w:tcPr>
            <w:tcW w:w="3700" w:type="pct"/>
            <w:gridSpan w:val="2"/>
            <w:noWrap w:val="0"/>
            <w:vAlign w:val="center"/>
          </w:tcPr>
          <w:p w14:paraId="7825608A">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准入要求</w:t>
            </w:r>
          </w:p>
        </w:tc>
        <w:tc>
          <w:tcPr>
            <w:tcW w:w="766" w:type="pct"/>
            <w:noWrap w:val="0"/>
            <w:vAlign w:val="center"/>
          </w:tcPr>
          <w:p w14:paraId="4F1B066E">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本项目情况</w:t>
            </w:r>
          </w:p>
        </w:tc>
        <w:tc>
          <w:tcPr>
            <w:tcW w:w="280" w:type="pct"/>
            <w:noWrap w:val="0"/>
            <w:vAlign w:val="center"/>
          </w:tcPr>
          <w:p w14:paraId="19E012FF">
            <w:pPr>
              <w:pStyle w:val="1358"/>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符合性</w:t>
            </w:r>
          </w:p>
        </w:tc>
      </w:tr>
      <w:tr w14:paraId="0BB897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vMerge w:val="restart"/>
            <w:noWrap w:val="0"/>
            <w:vAlign w:val="center"/>
          </w:tcPr>
          <w:p w14:paraId="23EDACE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陆域</w:t>
            </w:r>
          </w:p>
        </w:tc>
        <w:tc>
          <w:tcPr>
            <w:tcW w:w="196" w:type="pct"/>
            <w:vMerge w:val="restart"/>
            <w:noWrap w:val="0"/>
            <w:vAlign w:val="center"/>
          </w:tcPr>
          <w:p w14:paraId="1464DA0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空间布局约束</w:t>
            </w:r>
          </w:p>
        </w:tc>
        <w:tc>
          <w:tcPr>
            <w:tcW w:w="3504" w:type="pct"/>
            <w:noWrap w:val="0"/>
            <w:vAlign w:val="center"/>
          </w:tcPr>
          <w:p w14:paraId="341BEC46">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一、优先保护单元中的生态保护红线</w:t>
            </w:r>
          </w:p>
          <w:p w14:paraId="75F6C4D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根据《关于在国土空间规划中统筹划定落实三条控制线的指导意见》《自然资源部生态环境部国家林业和草原局关于加强生态保护红线管理的通知（试行）》，加强生态保护红线管理，严守自然生态安全边界。生态保护红线内，自然保护地核心保护区原则上禁止人为活动，其他区域禁止开发性、生产性建设活动，在符合法律法规的前提下，仅允许以下对生态功能不造成破坏的有限人为活动。生态保护红线内自然保护区、风景名胜区、饮用水水源保护区等区域，依照法律法规执行。</w:t>
            </w:r>
          </w:p>
          <w:p w14:paraId="6DCD439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（1）管护巡护、保护执法、科学研究、调查监测、测绘导航、防灾减灾救灾、军事国防、疫情防控等活动及相关的必要设施修筑。</w:t>
            </w:r>
          </w:p>
          <w:p w14:paraId="59950D5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p w14:paraId="0576D6C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（3）经依法批准的考古调查发掘、古生物化石调查发掘、标本采集和文物保护活动。</w:t>
            </w:r>
          </w:p>
          <w:p w14:paraId="4323F5E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（4）按规定对人工商品林进行抚育采伐，或以提升森林质量、优化栖息地、建设生物防火隔离带等为目的的树种更新，依法开展的竹林采伐经营。</w:t>
            </w:r>
          </w:p>
          <w:p w14:paraId="3A8B6B1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（5）不破坏生态功能的适度参观旅游、科普宣教及符合相关规划的配套性服务设施和相关的必要公共设施建设及维护。</w:t>
            </w:r>
          </w:p>
          <w:p w14:paraId="1B8FB20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（6）必须且无法避让、符合县级以上国土空间规划的线性基础设施、通讯和防洪、供水设施建设和船舶航行、航道疏浚清淤等活动；已有的合法水利、交通运输等设施运行维护改造。</w:t>
            </w:r>
          </w:p>
          <w:p w14:paraId="405C9EA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w:t>
            </w:r>
          </w:p>
          <w:p w14:paraId="3C9FF30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（8）依据县级以上国土空间规划和生态保护修复专项规划开展的生态修复。</w:t>
            </w:r>
          </w:p>
          <w:p w14:paraId="7ED281E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（9）法律法规规定允许的其他人为活动。</w:t>
            </w:r>
          </w:p>
          <w:p w14:paraId="3129641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2.依据《福建省自然资源厅福建省生态环境厅福建省林业局关于进一步加强生态保护红线监管的通知（试行）》（闽自然资发〔2023〕56号），允许占用生态保护红线的重大项目范围：</w:t>
            </w:r>
          </w:p>
          <w:p w14:paraId="4DC03AA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（1）党中央、国务院发布文件或批准规划中明确具体名称的项目和国务院批准的项目。</w:t>
            </w:r>
          </w:p>
          <w:p w14:paraId="04C9542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（2）中央军委及其有关部门批准的军事国防项目。</w:t>
            </w:r>
          </w:p>
          <w:p w14:paraId="47F9182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（3）国家级规划（指国务院及其有关部门正式颁布）明确的交通、水利项目。</w:t>
            </w:r>
          </w:p>
          <w:p w14:paraId="3FB589F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（4）国家级规划明确的电网项目，国家级规划明确的且符合国家产业政策的能源矿产勘查开采、油气管线、水电、核电项目。</w:t>
            </w:r>
          </w:p>
          <w:p w14:paraId="294CCFE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（5）为贯彻落实党中央、国务院重大决策部署，国务院投资主管部门或国务院投资主管部门会同有关部门确认的交通、能源、水利等基础设施项目。</w:t>
            </w:r>
          </w:p>
          <w:p w14:paraId="6798949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（6）按照国家重大项目用地保障工作机制要求，国家发展改革委会同有关部门确认的需中央加大建设用地保障力度，确实难以避让的国家重大项目。</w:t>
            </w:r>
          </w:p>
        </w:tc>
        <w:tc>
          <w:tcPr>
            <w:tcW w:w="766" w:type="pct"/>
            <w:noWrap w:val="0"/>
            <w:vAlign w:val="center"/>
          </w:tcPr>
          <w:p w14:paraId="1150FF42">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本项目位于</w:t>
            </w:r>
            <w:r>
              <w:rPr>
                <w:rFonts w:hint="eastAsia"/>
                <w:color w:val="auto"/>
                <w:highlight w:val="none"/>
                <w:lang w:eastAsia="zh-CN" w:bidi="he-IL"/>
              </w:rPr>
              <w:t>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不涉及优先保护单元中的生态保护红线</w:t>
            </w:r>
          </w:p>
        </w:tc>
        <w:tc>
          <w:tcPr>
            <w:tcW w:w="280" w:type="pct"/>
            <w:noWrap w:val="0"/>
            <w:vAlign w:val="center"/>
          </w:tcPr>
          <w:p w14:paraId="635FB59E">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7A1B1C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vMerge w:val="continue"/>
            <w:noWrap w:val="0"/>
            <w:vAlign w:val="center"/>
          </w:tcPr>
          <w:p w14:paraId="78986BDC">
            <w:pPr>
              <w:pStyle w:val="1358"/>
              <w:rPr>
                <w:rFonts w:hint="eastAsia" w:ascii="Times New Roman" w:hAnsi="Times New Roman" w:eastAsia="宋体" w:cs="Times New Roman"/>
                <w:color w:val="auto"/>
                <w:highlight w:val="none"/>
                <w:lang w:val="en-US" w:eastAsia="zh-CN"/>
              </w:rPr>
            </w:pPr>
          </w:p>
        </w:tc>
        <w:tc>
          <w:tcPr>
            <w:tcW w:w="196" w:type="pct"/>
            <w:vMerge w:val="continue"/>
            <w:noWrap w:val="0"/>
            <w:vAlign w:val="center"/>
          </w:tcPr>
          <w:p w14:paraId="3AE7E93F">
            <w:pPr>
              <w:pStyle w:val="1358"/>
              <w:rPr>
                <w:rFonts w:hint="eastAsia" w:ascii="Times New Roman" w:hAnsi="Times New Roman" w:eastAsia="宋体" w:cs="Times New Roman"/>
                <w:color w:val="auto"/>
                <w:highlight w:val="none"/>
                <w:lang w:val="en-US" w:eastAsia="zh-CN"/>
              </w:rPr>
            </w:pPr>
          </w:p>
        </w:tc>
        <w:tc>
          <w:tcPr>
            <w:tcW w:w="3504" w:type="pct"/>
            <w:noWrap w:val="0"/>
            <w:vAlign w:val="center"/>
          </w:tcPr>
          <w:p w14:paraId="1C4EEC7C">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二、优先保护单元中的一般生态空间</w:t>
            </w:r>
          </w:p>
          <w:p w14:paraId="00B6E8D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1.一般生态空间以保护和修复生态环境、提供生态产品和服务为首要任务，因地制宜地发展不影响主体功能定位的适宜产业。</w:t>
            </w:r>
          </w:p>
          <w:p w14:paraId="505956A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2.一般生态空间内未纳入生态保护红线的饮用水水源保护区等各类法定保护地，其管控要求依照相关法律法规执行。</w:t>
            </w:r>
          </w:p>
          <w:p w14:paraId="5FFF625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3.一般生态空间内现有合法的水泥厂、矿山开发等生产性设施及生活垃圾处置等民生工程予以保留，应按照法律法规要求落实污染防治和生态保护措施，避免对生态功能造成破坏。</w:t>
            </w:r>
          </w:p>
        </w:tc>
        <w:tc>
          <w:tcPr>
            <w:tcW w:w="766" w:type="pct"/>
            <w:noWrap w:val="0"/>
            <w:vAlign w:val="center"/>
          </w:tcPr>
          <w:p w14:paraId="6A9DFD9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本项目位于福建省福州市闽侯县青口镇（青口汽车城内）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不涉及优先保护单元中的一般生态空间</w:t>
            </w:r>
          </w:p>
        </w:tc>
        <w:tc>
          <w:tcPr>
            <w:tcW w:w="280" w:type="pct"/>
            <w:noWrap w:val="0"/>
            <w:vAlign w:val="center"/>
          </w:tcPr>
          <w:p w14:paraId="5DA67C3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505A75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vMerge w:val="continue"/>
            <w:noWrap w:val="0"/>
            <w:vAlign w:val="center"/>
          </w:tcPr>
          <w:p w14:paraId="3EB96021">
            <w:pPr>
              <w:pStyle w:val="1358"/>
              <w:rPr>
                <w:rFonts w:hint="eastAsia" w:ascii="Times New Roman" w:hAnsi="Times New Roman" w:eastAsia="宋体" w:cs="Times New Roman"/>
                <w:color w:val="auto"/>
                <w:highlight w:val="none"/>
                <w:lang w:val="en-US" w:eastAsia="zh-CN"/>
              </w:rPr>
            </w:pPr>
          </w:p>
        </w:tc>
        <w:tc>
          <w:tcPr>
            <w:tcW w:w="196" w:type="pct"/>
            <w:vMerge w:val="continue"/>
            <w:noWrap w:val="0"/>
            <w:vAlign w:val="center"/>
          </w:tcPr>
          <w:p w14:paraId="75FB5101">
            <w:pPr>
              <w:pStyle w:val="1358"/>
              <w:rPr>
                <w:rFonts w:hint="eastAsia" w:ascii="Times New Roman" w:hAnsi="Times New Roman" w:eastAsia="宋体" w:cs="Times New Roman"/>
                <w:color w:val="auto"/>
                <w:highlight w:val="none"/>
                <w:lang w:val="en-US" w:eastAsia="zh-CN"/>
              </w:rPr>
            </w:pPr>
          </w:p>
        </w:tc>
        <w:tc>
          <w:tcPr>
            <w:tcW w:w="3504" w:type="pct"/>
            <w:noWrap w:val="0"/>
            <w:vAlign w:val="center"/>
          </w:tcPr>
          <w:p w14:paraId="5515F878">
            <w:pPr>
              <w:pStyle w:val="1358"/>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三、其它要求</w:t>
            </w:r>
          </w:p>
          <w:p w14:paraId="411BE6B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1.福州市石化中上游项目重点在福州江阴港城经济区、可门港经济区化工新材料产业园布局。</w:t>
            </w:r>
          </w:p>
          <w:p w14:paraId="035B807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2.禁止在闽江马尾罗星塔以上流域范围新、扩建制革项目，严控新（扩）建植物制浆、印染、合成革及人造革、电镀项目。</w:t>
            </w:r>
          </w:p>
          <w:p w14:paraId="5F896EA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3.禁止在通风廊道和主导风向的上风向布局大气重污染企业，推进建成区大气重污染企业搬迁或升级改造、环境风险企业搬迁或关闭退出。</w:t>
            </w:r>
          </w:p>
          <w:p w14:paraId="19F2F81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4.禁止新、改、扩建生产高VOCs含量有机溶剂型涂料、油墨和胶黏剂的项目。</w:t>
            </w:r>
          </w:p>
          <w:p w14:paraId="7BC60EB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5.持续加强闽清等地建陶产业的环境综合治理，充分衔接国土空间规划和生态环境分区管控，并对照产业政策、城市总体发展规划等要求，进一步明确发展定位，优化产业布局和规模。</w:t>
            </w:r>
          </w:p>
          <w:p w14:paraId="26D4E6A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新建、扩建的涉及重点重金属污染物［1］的有色金属冶炼、电镀、制革、铅蓄电池制造企业应优先选择布设在依法合规设立并经规划环评、环境基础设施和环境风险防范措施齐全的产业园区。禁止低端落后产能向闽江中上游地区转移。禁止新建用汞的电石法（聚）氯乙烯生产工艺。加快推进专业电镀企业入园，到2025年底专业电镀企业入园率达到90%以上。</w:t>
            </w:r>
          </w:p>
          <w:p w14:paraId="3AEC28D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7.禁止在流域上游新建、扩建重污染企业和项目。</w:t>
            </w:r>
          </w:p>
          <w:p w14:paraId="35A25C6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8.重要敏感水体及富营养化湖库生态缓冲带除相关政府部门批准的科学研究活动外，禁止其它可能对保护区构成危害或不良影响的大规模生产、建设活动。</w:t>
            </w:r>
          </w:p>
          <w:p w14:paraId="2FF1C9A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9.新、改、扩建煤电、钢铁、建材、石化、化工等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两高</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项目，严格落实国家、省、市产业规划、产业政策、</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三线一单</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、规划环评，以及产能置换、煤炭消费减量替代、区域污染削减等相关要求。</w:t>
            </w:r>
          </w:p>
          <w:p w14:paraId="3DFDFB2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单元内涉及永久基本农田的，应按照《福建省基本农田保护条例》（2010年修正本）、《国土资源部关于全面实行永久基本农田特殊保护的通知》（国土资规〔2018〕1号）、《中共中央、国务院关于加强耕地保护和改进占补平衡的意见》（2017年1月9日）等相关文件要求进行严格管理，一般建设项目不得占用永久基本农田，重大建设项目选址确实难以避让永久基本农田的，必须依法依规办理。严禁通过擅自调整县乡国土空间规划，规避占用永久基本农田的审批。禁止随意砍伐防风固沙林和农田保护林。严格按照自然资源部、农业农村部、国家林业和草原局《关于严格耕地用途管制有关问题的通知》（自然资发〔2021〕166号）要求全面落实耕地用途管制。</w:t>
            </w:r>
          </w:p>
        </w:tc>
        <w:tc>
          <w:tcPr>
            <w:tcW w:w="766" w:type="pct"/>
            <w:noWrap w:val="0"/>
            <w:vAlign w:val="center"/>
          </w:tcPr>
          <w:p w14:paraId="0D6713B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为</w:t>
            </w:r>
            <w:r>
              <w:rPr>
                <w:rFonts w:hint="eastAsia" w:ascii="Times New Roman" w:hAnsi="Times New Roman" w:eastAsia="宋体" w:cs="Times New Roman"/>
                <w:color w:val="auto"/>
                <w:highlight w:val="none"/>
                <w:lang w:val="en-US" w:eastAsia="zh-CN"/>
              </w:rPr>
              <w:t>汽车零部件及配件制造，位于福建省福州市闽侯县青口镇（青口汽车城内），不涉及福州市石化中上游项目、不属于在闽江马尾罗星塔以上流域范围新、扩建制革项目、不属于在通风廊道和主导风向的上风向布局大气重污染企业、不属于新、改、扩建生产高VOCs含量有机溶剂型涂料、油墨和胶黏剂的项目、不属于建陶产业、不属于新建、扩建的涉及重点重金属污染物</w:t>
            </w:r>
            <w:r>
              <w:rPr>
                <w:rFonts w:hint="eastAsia" w:ascii="Times New Roman" w:hAnsi="Times New Roman" w:eastAsia="宋体" w:cs="Times New Roman"/>
                <w:color w:val="auto"/>
                <w:highlight w:val="none"/>
                <w:vertAlign w:val="superscript"/>
                <w:lang w:val="en-US" w:eastAsia="zh-CN"/>
              </w:rPr>
              <w:t>［1］</w:t>
            </w:r>
            <w:r>
              <w:rPr>
                <w:rFonts w:hint="eastAsia" w:ascii="Times New Roman" w:hAnsi="Times New Roman" w:eastAsia="宋体" w:cs="Times New Roman"/>
                <w:color w:val="auto"/>
                <w:highlight w:val="none"/>
                <w:lang w:val="en-US" w:eastAsia="zh-CN"/>
              </w:rPr>
              <w:t>的有色金属冶炼、电镀、制革、铅蓄电池制造企业、不属于在流域上游新建、扩建重污染企业和项目、不涉及其它可能对保护区构成危害或不良影响的大规模生产、建设活动、不属于新、改、扩建煤电、钢铁、建材、石化、化工等</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两高</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项目、不涉及永久基本农田。</w:t>
            </w:r>
          </w:p>
        </w:tc>
        <w:tc>
          <w:tcPr>
            <w:tcW w:w="280" w:type="pct"/>
            <w:noWrap w:val="0"/>
            <w:vAlign w:val="center"/>
          </w:tcPr>
          <w:p w14:paraId="713083B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16A864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vMerge w:val="continue"/>
            <w:noWrap w:val="0"/>
            <w:vAlign w:val="center"/>
          </w:tcPr>
          <w:p w14:paraId="7177C6C0">
            <w:pPr>
              <w:pStyle w:val="1358"/>
              <w:rPr>
                <w:rFonts w:hint="eastAsia" w:ascii="Times New Roman" w:hAnsi="Times New Roman" w:eastAsia="宋体" w:cs="Times New Roman"/>
                <w:color w:val="auto"/>
                <w:highlight w:val="none"/>
                <w:lang w:val="en-US" w:eastAsia="zh-CN"/>
              </w:rPr>
            </w:pPr>
          </w:p>
        </w:tc>
        <w:tc>
          <w:tcPr>
            <w:tcW w:w="196" w:type="pct"/>
            <w:noWrap w:val="0"/>
            <w:vAlign w:val="center"/>
          </w:tcPr>
          <w:p w14:paraId="7246ECA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污染物排放管控</w:t>
            </w:r>
          </w:p>
        </w:tc>
        <w:tc>
          <w:tcPr>
            <w:tcW w:w="3504" w:type="pct"/>
            <w:noWrap w:val="0"/>
            <w:vAlign w:val="center"/>
          </w:tcPr>
          <w:p w14:paraId="13AEFC4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1.工业类新（改、扩）建项目新增主要污染物（水污染物化学需氧量、氨氮和大气污染物二氧化硫、氮氧化物）排放总量指标应符合区域环境质量和总量控制要求，立足于通过</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以新带老</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、削减存量，努力实现区域、企业自身总量平衡。总量指标来源、审核和监督管理按照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榕环保综〔2017〕90号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等相关文件执行。</w:t>
            </w:r>
          </w:p>
          <w:p w14:paraId="51D3785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2.新、改、扩建涉VOCs排放项目污染物排放量应满足《福州市</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十四五</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空气质量持续改善计划》（榕环保综〔2023〕40号），应从源头加强控制，使用低（无）VOCs含量的原辅材料。</w:t>
            </w:r>
          </w:p>
          <w:p w14:paraId="7924EAC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严格控制新建、改建、扩建钢铁、水泥、平板玻璃、有色金属冶炼、化工等工业项目。新改扩建钢铁、火电项目应执行超低排放限值，有色项目应当执行大气污染物特别排放限值。重点控制区新建化工、石化应当执行大气污染物特别排放限值。</w:t>
            </w:r>
          </w:p>
          <w:p w14:paraId="283DDC4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4.氟化工、印染、电镀等行业企业实行水污染物特别排放限值。</w:t>
            </w:r>
          </w:p>
          <w:p w14:paraId="0261B41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5.新、改、扩建重点行业［2］建设项目要遵循重点重金属污染物排放</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等量替代</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原则，总量来源原则上应是同一重点行业内的削减量，当同一重点行业无法满足时可从其他重点行业调剂。</w:t>
            </w:r>
          </w:p>
          <w:p w14:paraId="24EE267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6.每小时35（含）—65蒸吨燃煤锅炉和位于县级及以上城市建成区内保留的燃煤、燃油、燃生物质锅炉，原则上2024年底前必须全面实现超低排放。</w:t>
            </w:r>
          </w:p>
          <w:p w14:paraId="2A174A4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7.水泥行业新改扩建项目严格对照超低排放、能效标杆水平建设实施；现有项目超低排放改造应按文件（闽环规〔2023〕2号）的时限要求分步推进，2025年底前全面完成［3］［4］。</w:t>
            </w:r>
          </w:p>
          <w:p w14:paraId="5460161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8.化工园区新建项目实施</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禁限控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化学物质管控措施，项目在开展环境影响评价时应严格落实相关要求，严格涉新污染物建设项目源头防控和准入管理。以印染、皮革、农药、医药、涂料等行业为重点，推进有毒有害化学物质替代。严格落实废药品、废农药以及抗生素生产过程中产生的废母液、废反应基和废培养基等废物的收集利用处置要求。</w:t>
            </w:r>
          </w:p>
        </w:tc>
        <w:tc>
          <w:tcPr>
            <w:tcW w:w="766" w:type="pct"/>
            <w:noWrap w:val="0"/>
            <w:vAlign w:val="center"/>
          </w:tcPr>
          <w:p w14:paraId="3D3188E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为</w:t>
            </w:r>
            <w:r>
              <w:rPr>
                <w:rFonts w:hint="eastAsia" w:ascii="Times New Roman" w:hAnsi="Times New Roman" w:eastAsia="宋体" w:cs="Times New Roman"/>
                <w:color w:val="auto"/>
                <w:highlight w:val="none"/>
                <w:lang w:val="en-US" w:eastAsia="zh-CN"/>
              </w:rPr>
              <w:t>汽车零部件及配件制造，不属于新建、改建、扩建钢铁、水泥、平板玻璃、有色金属冶炼、化工等工业项目、不属于氟化工、印染、电镀等行业、不涉及使用燃煤锅炉、不属于水泥行业。本项目位于福建省福州市闽侯县青口镇（青口汽车城内）</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不属于化工园区内。</w:t>
            </w:r>
          </w:p>
        </w:tc>
        <w:tc>
          <w:tcPr>
            <w:tcW w:w="280" w:type="pct"/>
            <w:noWrap w:val="0"/>
            <w:vAlign w:val="center"/>
          </w:tcPr>
          <w:p w14:paraId="7AD21F7D">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0F89DA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252" w:type="pct"/>
            <w:vMerge w:val="continue"/>
            <w:noWrap w:val="0"/>
            <w:vAlign w:val="center"/>
          </w:tcPr>
          <w:p w14:paraId="0DFCFF1B">
            <w:pPr>
              <w:pStyle w:val="1358"/>
              <w:rPr>
                <w:rFonts w:hint="eastAsia" w:ascii="Times New Roman" w:hAnsi="Times New Roman" w:eastAsia="宋体" w:cs="Times New Roman"/>
                <w:color w:val="auto"/>
                <w:highlight w:val="none"/>
                <w:lang w:val="en-US" w:eastAsia="zh-CN"/>
              </w:rPr>
            </w:pPr>
          </w:p>
        </w:tc>
        <w:tc>
          <w:tcPr>
            <w:tcW w:w="196" w:type="pct"/>
            <w:noWrap w:val="0"/>
            <w:vAlign w:val="center"/>
          </w:tcPr>
          <w:p w14:paraId="001A44A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资源开发效率要求</w:t>
            </w:r>
          </w:p>
        </w:tc>
        <w:tc>
          <w:tcPr>
            <w:tcW w:w="3504" w:type="pct"/>
            <w:noWrap w:val="0"/>
            <w:vAlign w:val="center"/>
          </w:tcPr>
          <w:p w14:paraId="75CDF22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到2024年底，全市范围内每小时10蒸吨及以下燃煤锅炉全面淘汰；到2025年底，全市范围内每小时35蒸吨以下燃煤锅炉通过集中供热、清洁能源替代、深度治理等方式全面实现转型、升级、退出，县级及以上城市建成区在用锅炉（燃煤、燃油、燃生物质）全面改用电能等清洁能源或治理达到超低排放水平；禁止新建每小时35蒸吨以下燃煤锅炉，以及每小时10蒸吨及以下燃生物质和其他使用高污染燃料的锅炉。集中供热管网覆盖范围内禁止新建、扩建分散燃煤、燃油等供热锅炉。</w:t>
            </w:r>
          </w:p>
          <w:p w14:paraId="4B6BCFF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2.按照</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提气、转电、控煤</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的发展思路，推动陶瓷行业进一步优化用能结构，实现能源消费清洁低碳化。</w:t>
            </w:r>
          </w:p>
        </w:tc>
        <w:tc>
          <w:tcPr>
            <w:tcW w:w="766" w:type="pct"/>
            <w:noWrap w:val="0"/>
            <w:vAlign w:val="center"/>
          </w:tcPr>
          <w:p w14:paraId="4001E00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本项目为汽车零部件及配件制造，不涉及使用燃煤锅炉、不属于陶瓷行业。</w:t>
            </w:r>
          </w:p>
        </w:tc>
        <w:tc>
          <w:tcPr>
            <w:tcW w:w="280" w:type="pct"/>
            <w:noWrap w:val="0"/>
            <w:vAlign w:val="center"/>
          </w:tcPr>
          <w:p w14:paraId="6C8DF6C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bl>
    <w:p w14:paraId="0DFDC58F">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②与福州市陆域环境管控单元准入要求的符合性分析</w:t>
      </w:r>
    </w:p>
    <w:p w14:paraId="4CC54221">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表3.5-</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GB" w:eastAsia="zh-CN"/>
        </w:rPr>
        <w:t>与</w:t>
      </w:r>
      <w:r>
        <w:rPr>
          <w:rFonts w:hint="default" w:ascii="Times New Roman" w:hAnsi="Times New Roman" w:cs="Times New Roman"/>
          <w:color w:val="auto"/>
          <w:highlight w:val="none"/>
          <w:lang w:val="en-US" w:eastAsia="zh-CN"/>
        </w:rPr>
        <w:t>陆域环境管控单元准入要求</w:t>
      </w:r>
      <w:r>
        <w:rPr>
          <w:rFonts w:hint="default" w:ascii="Times New Roman" w:hAnsi="Times New Roman" w:cs="Times New Roman"/>
          <w:color w:val="auto"/>
          <w:highlight w:val="none"/>
          <w:lang w:val="en-GB" w:eastAsia="zh-CN"/>
        </w:rPr>
        <w:t>（福建闽侯青口汽车工业园区生态环境准入</w:t>
      </w:r>
      <w:r>
        <w:rPr>
          <w:rFonts w:hint="default" w:ascii="Times New Roman" w:hAnsi="Times New Roman" w:cs="Times New Roman"/>
          <w:color w:val="auto"/>
          <w:highlight w:val="none"/>
          <w:lang w:val="en-US" w:eastAsia="zh-CN"/>
        </w:rPr>
        <w:t>清单</w:t>
      </w:r>
      <w:r>
        <w:rPr>
          <w:rFonts w:hint="default" w:ascii="Times New Roman" w:hAnsi="Times New Roman" w:cs="Times New Roman"/>
          <w:color w:val="auto"/>
          <w:highlight w:val="none"/>
          <w:lang w:val="en-GB" w:eastAsia="zh-CN"/>
        </w:rPr>
        <w:t>）的符合性分析</w:t>
      </w:r>
    </w:p>
    <w:tbl>
      <w:tblPr>
        <w:tblStyle w:val="80"/>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1168"/>
        <w:gridCol w:w="1151"/>
        <w:gridCol w:w="912"/>
        <w:gridCol w:w="797"/>
        <w:gridCol w:w="5316"/>
        <w:gridCol w:w="3938"/>
        <w:gridCol w:w="785"/>
      </w:tblGrid>
      <w:tr w14:paraId="6E2630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415" w:type="pct"/>
            <w:noWrap w:val="0"/>
            <w:vAlign w:val="center"/>
          </w:tcPr>
          <w:p w14:paraId="0249E07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环境管控单元编码</w:t>
            </w:r>
          </w:p>
        </w:tc>
        <w:tc>
          <w:tcPr>
            <w:tcW w:w="409" w:type="pct"/>
            <w:noWrap w:val="0"/>
            <w:vAlign w:val="center"/>
          </w:tcPr>
          <w:p w14:paraId="72A9B25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环境管控单位名称</w:t>
            </w:r>
          </w:p>
        </w:tc>
        <w:tc>
          <w:tcPr>
            <w:tcW w:w="324" w:type="pct"/>
            <w:noWrap w:val="0"/>
            <w:vAlign w:val="center"/>
          </w:tcPr>
          <w:p w14:paraId="5CABF20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管控单元类别</w:t>
            </w:r>
          </w:p>
        </w:tc>
        <w:tc>
          <w:tcPr>
            <w:tcW w:w="2172" w:type="pct"/>
            <w:gridSpan w:val="2"/>
            <w:noWrap w:val="0"/>
            <w:vAlign w:val="center"/>
          </w:tcPr>
          <w:p w14:paraId="3875D1F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管控要求</w:t>
            </w:r>
          </w:p>
        </w:tc>
        <w:tc>
          <w:tcPr>
            <w:tcW w:w="1399" w:type="pct"/>
            <w:noWrap w:val="0"/>
            <w:vAlign w:val="center"/>
          </w:tcPr>
          <w:p w14:paraId="5053B61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本项目情况</w:t>
            </w:r>
          </w:p>
        </w:tc>
        <w:tc>
          <w:tcPr>
            <w:tcW w:w="278" w:type="pct"/>
            <w:noWrap w:val="0"/>
            <w:vAlign w:val="center"/>
          </w:tcPr>
          <w:p w14:paraId="46D9535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符合性</w:t>
            </w:r>
          </w:p>
        </w:tc>
      </w:tr>
      <w:tr w14:paraId="5ED4DE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415" w:type="pct"/>
            <w:vMerge w:val="restart"/>
            <w:noWrap w:val="0"/>
            <w:vAlign w:val="center"/>
          </w:tcPr>
          <w:p w14:paraId="69CCA89F">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ZH35012120001</w:t>
            </w:r>
          </w:p>
        </w:tc>
        <w:tc>
          <w:tcPr>
            <w:tcW w:w="409" w:type="pct"/>
            <w:vMerge w:val="restart"/>
            <w:noWrap w:val="0"/>
            <w:vAlign w:val="center"/>
          </w:tcPr>
          <w:p w14:paraId="316D7898">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福建闽侯青口汽车工业园区</w:t>
            </w:r>
          </w:p>
        </w:tc>
        <w:tc>
          <w:tcPr>
            <w:tcW w:w="324" w:type="pct"/>
            <w:vMerge w:val="restart"/>
            <w:noWrap w:val="0"/>
            <w:vAlign w:val="center"/>
          </w:tcPr>
          <w:p w14:paraId="70CBCE04">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重点管控单元</w:t>
            </w:r>
          </w:p>
        </w:tc>
        <w:tc>
          <w:tcPr>
            <w:tcW w:w="283" w:type="pct"/>
            <w:noWrap w:val="0"/>
            <w:vAlign w:val="center"/>
          </w:tcPr>
          <w:p w14:paraId="5394AE6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空间布局约束</w:t>
            </w:r>
          </w:p>
        </w:tc>
        <w:tc>
          <w:tcPr>
            <w:tcW w:w="1889" w:type="pct"/>
            <w:noWrap w:val="0"/>
            <w:vAlign w:val="center"/>
          </w:tcPr>
          <w:p w14:paraId="06F348A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1、禁止在园区及其上游汇水区域内新建畜禽养殖项目。</w:t>
            </w:r>
          </w:p>
          <w:p w14:paraId="06D486F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2、现有电镀企业不得进行改、扩建，限制新建电镀企业。</w:t>
            </w:r>
          </w:p>
          <w:p w14:paraId="3AB7793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3、严格限制新建、扩建食品、轻工、石材、建材等与园区规划产业不符的项目。</w:t>
            </w:r>
          </w:p>
          <w:p w14:paraId="582F31B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4、居住用地周边禁止布局潜在废气扰民的建设项目。</w:t>
            </w:r>
          </w:p>
        </w:tc>
        <w:tc>
          <w:tcPr>
            <w:tcW w:w="1399" w:type="pct"/>
            <w:noWrap w:val="0"/>
            <w:vAlign w:val="center"/>
          </w:tcPr>
          <w:p w14:paraId="046AC75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1.本项目不属于畜禽养殖项目，且不位于园区及其上游汇水区域内；</w:t>
            </w:r>
          </w:p>
          <w:p w14:paraId="77A1750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2.本项目不属于电镀企业；</w:t>
            </w:r>
          </w:p>
          <w:p w14:paraId="0E94142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3.本项目为汽车零部件及配件制造，不属于食品、轻工、石材、建材等项目；不属于园区规划产业限制准入的产业；</w:t>
            </w:r>
          </w:p>
          <w:p w14:paraId="40E3F79D">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4.本项目所在地为工业用地，不会造成废气扰民的影响。</w:t>
            </w:r>
          </w:p>
        </w:tc>
        <w:tc>
          <w:tcPr>
            <w:tcW w:w="278" w:type="pct"/>
            <w:noWrap w:val="0"/>
            <w:vAlign w:val="center"/>
          </w:tcPr>
          <w:p w14:paraId="06A1304D">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1C65B2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415" w:type="pct"/>
            <w:vMerge w:val="continue"/>
            <w:noWrap w:val="0"/>
            <w:vAlign w:val="center"/>
          </w:tcPr>
          <w:p w14:paraId="13FBEAC4">
            <w:pPr>
              <w:pStyle w:val="1358"/>
              <w:rPr>
                <w:rFonts w:hint="eastAsia" w:ascii="Times New Roman" w:hAnsi="Times New Roman" w:eastAsia="宋体" w:cs="Times New Roman"/>
                <w:color w:val="auto"/>
                <w:highlight w:val="none"/>
                <w:lang w:val="en-US" w:eastAsia="zh-CN"/>
              </w:rPr>
            </w:pPr>
          </w:p>
        </w:tc>
        <w:tc>
          <w:tcPr>
            <w:tcW w:w="409" w:type="pct"/>
            <w:vMerge w:val="continue"/>
            <w:noWrap w:val="0"/>
            <w:vAlign w:val="center"/>
          </w:tcPr>
          <w:p w14:paraId="299B0E7E">
            <w:pPr>
              <w:pStyle w:val="1358"/>
              <w:rPr>
                <w:rFonts w:hint="eastAsia" w:ascii="Times New Roman" w:hAnsi="Times New Roman" w:eastAsia="宋体" w:cs="Times New Roman"/>
                <w:color w:val="auto"/>
                <w:highlight w:val="none"/>
                <w:lang w:val="en-US" w:eastAsia="zh-CN"/>
              </w:rPr>
            </w:pPr>
          </w:p>
        </w:tc>
        <w:tc>
          <w:tcPr>
            <w:tcW w:w="324" w:type="pct"/>
            <w:vMerge w:val="continue"/>
            <w:noWrap w:val="0"/>
            <w:vAlign w:val="center"/>
          </w:tcPr>
          <w:p w14:paraId="65302B40">
            <w:pPr>
              <w:pStyle w:val="1358"/>
              <w:rPr>
                <w:rFonts w:hint="eastAsia" w:ascii="Times New Roman" w:hAnsi="Times New Roman" w:eastAsia="宋体" w:cs="Times New Roman"/>
                <w:color w:val="auto"/>
                <w:highlight w:val="none"/>
                <w:lang w:val="en-US" w:eastAsia="zh-CN"/>
              </w:rPr>
            </w:pPr>
          </w:p>
        </w:tc>
        <w:tc>
          <w:tcPr>
            <w:tcW w:w="283" w:type="pct"/>
            <w:noWrap w:val="0"/>
            <w:vAlign w:val="center"/>
          </w:tcPr>
          <w:p w14:paraId="043451FA">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污染物排放管控</w:t>
            </w:r>
          </w:p>
        </w:tc>
        <w:tc>
          <w:tcPr>
            <w:tcW w:w="1889" w:type="pct"/>
            <w:noWrap w:val="0"/>
            <w:vAlign w:val="center"/>
          </w:tcPr>
          <w:p w14:paraId="59CF18C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1、完善建设污水收集管网，做到雨污分流，保证园区内所有工业废水、生活污水纳入污水处理厂处理并达标排放。</w:t>
            </w:r>
          </w:p>
          <w:p w14:paraId="239D262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2、根据区域发展需要择机建设电镀中心，实现污染物集中控制。</w:t>
            </w:r>
          </w:p>
          <w:p w14:paraId="17F5349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3、落实新增VOCs排放总量控制要求。</w:t>
            </w:r>
          </w:p>
        </w:tc>
        <w:tc>
          <w:tcPr>
            <w:tcW w:w="1399" w:type="pct"/>
            <w:noWrap w:val="0"/>
            <w:vAlign w:val="center"/>
          </w:tcPr>
          <w:p w14:paraId="03B71B9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1.生活污水依托租赁方已建化粪池处理后纳入市政污水管网，进入青口汽车工业开发区污水处理厂进一步处理；热水炉排水和纯水制备系统浓水</w:t>
            </w:r>
            <w:r>
              <w:rPr>
                <w:rFonts w:hint="eastAsia" w:cs="Times New Roman"/>
                <w:color w:val="auto"/>
                <w:highlight w:val="none"/>
                <w:lang w:val="en-US" w:eastAsia="zh-CN"/>
              </w:rPr>
              <w:t>较为清净</w:t>
            </w:r>
            <w:r>
              <w:rPr>
                <w:rFonts w:hint="eastAsia" w:ascii="Times New Roman" w:hAnsi="Times New Roman" w:eastAsia="宋体" w:cs="Times New Roman"/>
                <w:color w:val="auto"/>
                <w:highlight w:val="none"/>
                <w:lang w:val="en-US" w:eastAsia="zh-CN"/>
              </w:rPr>
              <w:t>，可直接排至厂区总排口；冷却水循环使用不外排。</w:t>
            </w:r>
          </w:p>
          <w:p w14:paraId="09D5F74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2.本项目不涉及电镀。</w:t>
            </w:r>
          </w:p>
          <w:p w14:paraId="3F71246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3.项目涉</w:t>
            </w:r>
            <w:r>
              <w:rPr>
                <w:rFonts w:hint="default" w:ascii="Times New Roman" w:hAnsi="Times New Roman" w:eastAsia="宋体" w:cs="Times New Roman"/>
                <w:color w:val="auto"/>
                <w:highlight w:val="none"/>
                <w:lang w:val="en-US" w:eastAsia="zh-CN"/>
              </w:rPr>
              <w:t>VOCs</w:t>
            </w:r>
            <w:r>
              <w:rPr>
                <w:rFonts w:hint="eastAsia" w:ascii="Times New Roman" w:hAnsi="Times New Roman" w:eastAsia="宋体" w:cs="Times New Roman"/>
                <w:color w:val="auto"/>
                <w:highlight w:val="none"/>
                <w:lang w:val="en-US" w:eastAsia="zh-CN"/>
              </w:rPr>
              <w:t>排放，建设单位将严格按照文件规定要求对</w:t>
            </w:r>
            <w:r>
              <w:rPr>
                <w:rFonts w:hint="default" w:ascii="Times New Roman" w:hAnsi="Times New Roman" w:eastAsia="宋体" w:cs="Times New Roman"/>
                <w:color w:val="auto"/>
                <w:highlight w:val="none"/>
                <w:lang w:val="en-US" w:eastAsia="zh-CN"/>
              </w:rPr>
              <w:t>VOCs</w:t>
            </w:r>
            <w:r>
              <w:rPr>
                <w:rFonts w:hint="eastAsia" w:ascii="Times New Roman" w:hAnsi="Times New Roman" w:eastAsia="宋体" w:cs="Times New Roman"/>
                <w:color w:val="auto"/>
                <w:highlight w:val="none"/>
                <w:lang w:val="en-US" w:eastAsia="zh-CN"/>
              </w:rPr>
              <w:t>排放实行倍量替代。</w:t>
            </w:r>
          </w:p>
        </w:tc>
        <w:tc>
          <w:tcPr>
            <w:tcW w:w="278" w:type="pct"/>
            <w:noWrap w:val="0"/>
            <w:vAlign w:val="center"/>
          </w:tcPr>
          <w:p w14:paraId="6BA0D6E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48FF40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415" w:type="pct"/>
            <w:vMerge w:val="continue"/>
            <w:noWrap w:val="0"/>
            <w:vAlign w:val="center"/>
          </w:tcPr>
          <w:p w14:paraId="3E7B183C">
            <w:pPr>
              <w:pStyle w:val="1358"/>
              <w:rPr>
                <w:rFonts w:hint="eastAsia" w:ascii="Times New Roman" w:hAnsi="Times New Roman" w:eastAsia="宋体" w:cs="Times New Roman"/>
                <w:color w:val="auto"/>
                <w:highlight w:val="none"/>
                <w:lang w:val="en-US" w:eastAsia="zh-CN"/>
              </w:rPr>
            </w:pPr>
          </w:p>
        </w:tc>
        <w:tc>
          <w:tcPr>
            <w:tcW w:w="409" w:type="pct"/>
            <w:vMerge w:val="continue"/>
            <w:noWrap w:val="0"/>
            <w:vAlign w:val="center"/>
          </w:tcPr>
          <w:p w14:paraId="4DEBEB10">
            <w:pPr>
              <w:pStyle w:val="1358"/>
              <w:rPr>
                <w:rFonts w:hint="eastAsia" w:ascii="Times New Roman" w:hAnsi="Times New Roman" w:eastAsia="宋体" w:cs="Times New Roman"/>
                <w:color w:val="auto"/>
                <w:highlight w:val="none"/>
                <w:lang w:val="en-US" w:eastAsia="zh-CN"/>
              </w:rPr>
            </w:pPr>
          </w:p>
        </w:tc>
        <w:tc>
          <w:tcPr>
            <w:tcW w:w="324" w:type="pct"/>
            <w:vMerge w:val="continue"/>
            <w:noWrap w:val="0"/>
            <w:vAlign w:val="center"/>
          </w:tcPr>
          <w:p w14:paraId="0D680E3D">
            <w:pPr>
              <w:pStyle w:val="1358"/>
              <w:rPr>
                <w:rFonts w:hint="eastAsia" w:ascii="Times New Roman" w:hAnsi="Times New Roman" w:eastAsia="宋体" w:cs="Times New Roman"/>
                <w:color w:val="auto"/>
                <w:highlight w:val="none"/>
                <w:lang w:val="en-US" w:eastAsia="zh-CN"/>
              </w:rPr>
            </w:pPr>
          </w:p>
        </w:tc>
        <w:tc>
          <w:tcPr>
            <w:tcW w:w="283" w:type="pct"/>
            <w:noWrap w:val="0"/>
            <w:vAlign w:val="center"/>
          </w:tcPr>
          <w:p w14:paraId="5E0385F4">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环境风险防控</w:t>
            </w:r>
          </w:p>
        </w:tc>
        <w:tc>
          <w:tcPr>
            <w:tcW w:w="1889" w:type="pct"/>
            <w:noWrap w:val="0"/>
            <w:vAlign w:val="center"/>
          </w:tcPr>
          <w:p w14:paraId="46860D4A">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1、建立健全环境风险防控体系，制定环境风险应急预案，建设事故应急池，成立应急组织机构，防止在处理安全生产事故过程中产生的可能严重污染水体的消防废水、废液直接排入水体。</w:t>
            </w:r>
          </w:p>
          <w:p w14:paraId="3760C03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2、应采取有效措施防止园区建设对区域地下水、土壤造成污染。</w:t>
            </w:r>
          </w:p>
        </w:tc>
        <w:tc>
          <w:tcPr>
            <w:tcW w:w="1399" w:type="pct"/>
            <w:noWrap w:val="0"/>
            <w:vAlign w:val="center"/>
          </w:tcPr>
          <w:p w14:paraId="04D44E06">
            <w:pPr>
              <w:pStyle w:val="1358"/>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本项目环境风险较小，建设</w:t>
            </w:r>
            <w:r>
              <w:rPr>
                <w:rFonts w:hint="eastAsia" w:ascii="Times New Roman" w:hAnsi="Times New Roman" w:eastAsia="宋体" w:cs="Times New Roman"/>
                <w:color w:val="auto"/>
                <w:sz w:val="21"/>
                <w:szCs w:val="21"/>
                <w:highlight w:val="none"/>
                <w:lang w:val="en-US" w:eastAsia="zh-CN"/>
              </w:rPr>
              <w:t>单位</w:t>
            </w:r>
            <w:r>
              <w:rPr>
                <w:rFonts w:hint="default" w:ascii="Times New Roman" w:hAnsi="Times New Roman" w:eastAsia="宋体" w:cs="Times New Roman"/>
                <w:color w:val="auto"/>
                <w:sz w:val="21"/>
                <w:szCs w:val="21"/>
                <w:highlight w:val="none"/>
                <w:lang w:val="en-US" w:eastAsia="zh-CN"/>
              </w:rPr>
              <w:t>采取本评价建议的环境风险防范和减缓措施，</w:t>
            </w:r>
            <w:r>
              <w:rPr>
                <w:rFonts w:hint="eastAsia" w:ascii="Times New Roman" w:hAnsi="Times New Roman" w:eastAsia="宋体" w:cs="Times New Roman"/>
                <w:color w:val="auto"/>
                <w:sz w:val="21"/>
                <w:szCs w:val="21"/>
                <w:highlight w:val="none"/>
                <w:lang w:val="en-US" w:eastAsia="zh-CN"/>
              </w:rPr>
              <w:t>可以</w:t>
            </w:r>
            <w:r>
              <w:rPr>
                <w:rFonts w:hint="default" w:ascii="Times New Roman" w:hAnsi="Times New Roman" w:eastAsia="宋体" w:cs="Times New Roman"/>
                <w:color w:val="auto"/>
                <w:sz w:val="21"/>
                <w:szCs w:val="21"/>
                <w:highlight w:val="none"/>
                <w:lang w:val="en-US" w:eastAsia="zh-CN"/>
              </w:rPr>
              <w:t>杜绝风险事故的发生。本项目的环境风险在可接受范围内</w:t>
            </w:r>
            <w:r>
              <w:rPr>
                <w:rFonts w:hint="eastAsia" w:ascii="Times New Roman" w:hAnsi="Times New Roman" w:eastAsia="宋体" w:cs="Times New Roman"/>
                <w:color w:val="auto"/>
                <w:highlight w:val="none"/>
                <w:lang w:val="en-US" w:eastAsia="zh-CN"/>
              </w:rPr>
              <w:t>。</w:t>
            </w:r>
          </w:p>
        </w:tc>
        <w:tc>
          <w:tcPr>
            <w:tcW w:w="278" w:type="pct"/>
            <w:noWrap w:val="0"/>
            <w:vAlign w:val="center"/>
          </w:tcPr>
          <w:p w14:paraId="21D5B6A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r w14:paraId="4DDC0C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415" w:type="pct"/>
            <w:vMerge w:val="continue"/>
            <w:noWrap w:val="0"/>
            <w:vAlign w:val="center"/>
          </w:tcPr>
          <w:p w14:paraId="729B48D0">
            <w:pPr>
              <w:pStyle w:val="1358"/>
              <w:rPr>
                <w:rFonts w:hint="eastAsia" w:ascii="Times New Roman" w:hAnsi="Times New Roman" w:eastAsia="宋体" w:cs="Times New Roman"/>
                <w:color w:val="auto"/>
                <w:highlight w:val="none"/>
                <w:lang w:val="en-US" w:eastAsia="zh-CN"/>
              </w:rPr>
            </w:pPr>
          </w:p>
        </w:tc>
        <w:tc>
          <w:tcPr>
            <w:tcW w:w="409" w:type="pct"/>
            <w:vMerge w:val="continue"/>
            <w:noWrap w:val="0"/>
            <w:vAlign w:val="center"/>
          </w:tcPr>
          <w:p w14:paraId="4F8BD3F3">
            <w:pPr>
              <w:pStyle w:val="1358"/>
              <w:rPr>
                <w:rFonts w:hint="eastAsia" w:ascii="Times New Roman" w:hAnsi="Times New Roman" w:eastAsia="宋体" w:cs="Times New Roman"/>
                <w:color w:val="auto"/>
                <w:highlight w:val="none"/>
                <w:lang w:val="en-US" w:eastAsia="zh-CN"/>
              </w:rPr>
            </w:pPr>
          </w:p>
        </w:tc>
        <w:tc>
          <w:tcPr>
            <w:tcW w:w="324" w:type="pct"/>
            <w:vMerge w:val="continue"/>
            <w:noWrap w:val="0"/>
            <w:vAlign w:val="center"/>
          </w:tcPr>
          <w:p w14:paraId="45F85AD8">
            <w:pPr>
              <w:pStyle w:val="1358"/>
              <w:rPr>
                <w:rFonts w:hint="eastAsia" w:ascii="Times New Roman" w:hAnsi="Times New Roman" w:eastAsia="宋体" w:cs="Times New Roman"/>
                <w:color w:val="auto"/>
                <w:highlight w:val="none"/>
                <w:lang w:val="en-US" w:eastAsia="zh-CN"/>
              </w:rPr>
            </w:pPr>
          </w:p>
        </w:tc>
        <w:tc>
          <w:tcPr>
            <w:tcW w:w="283" w:type="pct"/>
            <w:noWrap w:val="0"/>
            <w:vAlign w:val="center"/>
          </w:tcPr>
          <w:p w14:paraId="407B2D5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资源开发效率要求</w:t>
            </w:r>
          </w:p>
        </w:tc>
        <w:tc>
          <w:tcPr>
            <w:tcW w:w="1889" w:type="pct"/>
            <w:noWrap w:val="0"/>
            <w:vAlign w:val="center"/>
          </w:tcPr>
          <w:p w14:paraId="6C603FE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使用燃煤锅及燃油锅炉企业尽快进行能源改造，近期可使用生物质颗粒，远期鼓励以LNG或电能替代其他能源。</w:t>
            </w:r>
          </w:p>
        </w:tc>
        <w:tc>
          <w:tcPr>
            <w:tcW w:w="1399" w:type="pct"/>
            <w:noWrap w:val="0"/>
            <w:vAlign w:val="center"/>
          </w:tcPr>
          <w:p w14:paraId="35B77F6B">
            <w:pPr>
              <w:pStyle w:val="1358"/>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本项目用电</w:t>
            </w:r>
            <w:r>
              <w:rPr>
                <w:rFonts w:hint="eastAsia" w:cs="Times New Roman"/>
                <w:color w:val="auto"/>
                <w:highlight w:val="none"/>
                <w:lang w:val="en-US" w:eastAsia="zh-CN"/>
              </w:rPr>
              <w:t>及天然气</w:t>
            </w:r>
            <w:r>
              <w:rPr>
                <w:rFonts w:hint="default" w:ascii="Times New Roman" w:hAnsi="Times New Roman" w:eastAsia="宋体" w:cs="Times New Roman"/>
                <w:color w:val="auto"/>
                <w:highlight w:val="none"/>
                <w:lang w:val="en-US" w:eastAsia="zh-CN"/>
              </w:rPr>
              <w:t>作为能源，未使用高污染燃料</w:t>
            </w:r>
            <w:r>
              <w:rPr>
                <w:rFonts w:hint="eastAsia" w:ascii="Times New Roman" w:hAnsi="Times New Roman" w:eastAsia="宋体" w:cs="Times New Roman"/>
                <w:color w:val="auto"/>
                <w:highlight w:val="none"/>
                <w:lang w:val="en-US" w:eastAsia="zh-CN"/>
              </w:rPr>
              <w:t>。</w:t>
            </w:r>
          </w:p>
        </w:tc>
        <w:tc>
          <w:tcPr>
            <w:tcW w:w="278" w:type="pct"/>
            <w:noWrap w:val="0"/>
            <w:vAlign w:val="center"/>
          </w:tcPr>
          <w:p w14:paraId="101ABF3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符合</w:t>
            </w:r>
          </w:p>
        </w:tc>
      </w:tr>
    </w:tbl>
    <w:p w14:paraId="537919AD">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根据上述分析，本项目与</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三线一单</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及《福州市生态环境分区管控方案（2023年更新）的通知（榕政办规（2024）20号）及《关于发布福州市2024年生态环境分区管控动态更新成果的通知》（榕环保综〔2025〕1号）中的相关规定是符合的，本项目</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福建省生态环境分区管控综合查询报告</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详见附件</w:t>
      </w:r>
      <w:r>
        <w:rPr>
          <w:rFonts w:hint="eastAsia" w:cs="Times New Roman"/>
          <w:color w:val="auto"/>
          <w:highlight w:val="none"/>
          <w:lang w:val="en-US" w:eastAsia="zh-CN"/>
        </w:rPr>
        <w:t>12</w:t>
      </w:r>
      <w:r>
        <w:rPr>
          <w:rFonts w:hint="eastAsia" w:ascii="Times New Roman" w:hAnsi="Times New Roman" w:eastAsia="宋体" w:cs="Times New Roman"/>
          <w:color w:val="auto"/>
          <w:highlight w:val="none"/>
          <w:lang w:val="en-US" w:eastAsia="zh-CN"/>
        </w:rPr>
        <w:t>。</w:t>
      </w:r>
    </w:p>
    <w:p w14:paraId="7814BA9D">
      <w:pPr>
        <w:pStyle w:val="4"/>
        <w:numPr>
          <w:ilvl w:val="2"/>
          <w:numId w:val="0"/>
        </w:numPr>
        <w:tabs>
          <w:tab w:val="clear" w:pos="720"/>
        </w:tabs>
        <w:bidi w:val="0"/>
        <w:rPr>
          <w:color w:val="auto"/>
          <w:highlight w:val="none"/>
        </w:rPr>
      </w:pPr>
      <w:bookmarkStart w:id="362" w:name="_Toc26185"/>
      <w:bookmarkStart w:id="363" w:name="_Toc6994"/>
      <w:r>
        <w:rPr>
          <w:rFonts w:hint="eastAsia"/>
          <w:color w:val="auto"/>
          <w:highlight w:val="none"/>
          <w:lang w:eastAsia="zh-CN"/>
        </w:rPr>
        <w:t>3.5</w:t>
      </w:r>
      <w:r>
        <w:rPr>
          <w:color w:val="auto"/>
          <w:highlight w:val="none"/>
        </w:rPr>
        <w:t>.</w:t>
      </w:r>
      <w:r>
        <w:rPr>
          <w:rFonts w:hint="eastAsia"/>
          <w:color w:val="auto"/>
          <w:highlight w:val="none"/>
          <w:lang w:val="en-US" w:eastAsia="zh-CN"/>
        </w:rPr>
        <w:t xml:space="preserve">5 </w:t>
      </w:r>
      <w:r>
        <w:rPr>
          <w:color w:val="auto"/>
          <w:highlight w:val="none"/>
        </w:rPr>
        <w:t>与相关环保政策符合性分析</w:t>
      </w:r>
      <w:bookmarkEnd w:id="362"/>
    </w:p>
    <w:p w14:paraId="69553976">
      <w:pPr>
        <w:pStyle w:val="1336"/>
        <w:ind w:firstLine="480"/>
        <w:rPr>
          <w:color w:val="auto"/>
          <w:highlight w:val="none"/>
        </w:rPr>
      </w:pPr>
      <w:r>
        <w:rPr>
          <w:rFonts w:hint="eastAsia"/>
          <w:color w:val="auto"/>
          <w:highlight w:val="none"/>
        </w:rPr>
        <w:t>项目建设与挥发性有机物污染防治政策等符合性分析详见表</w:t>
      </w:r>
      <w:r>
        <w:rPr>
          <w:rFonts w:hint="eastAsia"/>
          <w:color w:val="auto"/>
          <w:highlight w:val="none"/>
          <w:lang w:eastAsia="zh-CN"/>
        </w:rPr>
        <w:t>3.5</w:t>
      </w:r>
      <w:r>
        <w:rPr>
          <w:color w:val="auto"/>
          <w:highlight w:val="none"/>
        </w:rPr>
        <w:t>-</w:t>
      </w:r>
      <w:r>
        <w:rPr>
          <w:rFonts w:hint="eastAsia"/>
          <w:color w:val="auto"/>
          <w:highlight w:val="none"/>
          <w:lang w:val="en-US" w:eastAsia="zh-CN"/>
        </w:rPr>
        <w:t>4</w:t>
      </w:r>
      <w:r>
        <w:rPr>
          <w:color w:val="auto"/>
          <w:highlight w:val="none"/>
        </w:rPr>
        <w:t>。</w:t>
      </w:r>
    </w:p>
    <w:p w14:paraId="79759029">
      <w:pPr>
        <w:pStyle w:val="8"/>
        <w:bidi w:val="0"/>
        <w:rPr>
          <w:rFonts w:hint="default" w:ascii="Times New Roman" w:hAnsi="Times New Roman" w:cs="Times New Roman"/>
          <w:color w:val="auto"/>
          <w:highlight w:val="none"/>
        </w:rPr>
        <w:sectPr>
          <w:pgSz w:w="16838" w:h="11906"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21E3335A">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eastAsia="zh-CN"/>
        </w:rPr>
        <w:t>3.5</w:t>
      </w:r>
      <w:r>
        <w:rPr>
          <w:rFonts w:hint="default" w:ascii="Times New Roman" w:hAnsi="Times New Roman" w:cs="Times New Roman"/>
          <w:color w:val="auto"/>
          <w:highlight w:val="none"/>
        </w:rPr>
        <w:t>-</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挥发性有机物污染防治政策相关内容</w:t>
      </w:r>
    </w:p>
    <w:tbl>
      <w:tblPr>
        <w:tblStyle w:val="80"/>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2815"/>
        <w:gridCol w:w="5269"/>
        <w:gridCol w:w="4331"/>
        <w:gridCol w:w="1069"/>
      </w:tblGrid>
      <w:tr w14:paraId="219E2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4E661769">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序号</w:t>
            </w:r>
          </w:p>
        </w:tc>
        <w:tc>
          <w:tcPr>
            <w:tcW w:w="993" w:type="pct"/>
            <w:noWrap w:val="0"/>
            <w:vAlign w:val="center"/>
          </w:tcPr>
          <w:p w14:paraId="302DD1F6">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规章、政策名称</w:t>
            </w:r>
          </w:p>
        </w:tc>
        <w:tc>
          <w:tcPr>
            <w:tcW w:w="1859" w:type="pct"/>
            <w:noWrap w:val="0"/>
            <w:vAlign w:val="center"/>
          </w:tcPr>
          <w:p w14:paraId="42B7C95A">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具体内容</w:t>
            </w:r>
          </w:p>
        </w:tc>
        <w:tc>
          <w:tcPr>
            <w:tcW w:w="1528" w:type="pct"/>
            <w:noWrap w:val="0"/>
            <w:vAlign w:val="center"/>
          </w:tcPr>
          <w:p w14:paraId="36675D1B">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本项目建设情况</w:t>
            </w:r>
          </w:p>
        </w:tc>
        <w:tc>
          <w:tcPr>
            <w:tcW w:w="377" w:type="pct"/>
            <w:noWrap w:val="0"/>
            <w:vAlign w:val="center"/>
          </w:tcPr>
          <w:p w14:paraId="6058F32E">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符合性分析</w:t>
            </w:r>
          </w:p>
        </w:tc>
      </w:tr>
      <w:tr w14:paraId="2576D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196BD50F">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993" w:type="pct"/>
            <w:noWrap w:val="0"/>
            <w:vAlign w:val="center"/>
          </w:tcPr>
          <w:p w14:paraId="525AA2CE">
            <w:pPr>
              <w:pStyle w:val="1358"/>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十</w:t>
            </w:r>
            <w:r>
              <w:rPr>
                <w:rFonts w:hint="eastAsia" w:ascii="Times New Roman" w:hAnsi="Times New Roman" w:eastAsia="宋体" w:cs="Times New Roman"/>
                <w:color w:val="auto"/>
                <w:highlight w:val="none"/>
                <w:lang w:val="en-US" w:eastAsia="zh-CN"/>
              </w:rPr>
              <w:t>四</w:t>
            </w:r>
            <w:r>
              <w:rPr>
                <w:rFonts w:hint="default" w:ascii="Times New Roman" w:hAnsi="Times New Roman" w:eastAsia="宋体" w:cs="Times New Roman"/>
                <w:color w:val="auto"/>
                <w:highlight w:val="none"/>
                <w:lang w:val="en-US" w:eastAsia="zh-CN"/>
              </w:rPr>
              <w:t>五</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节能减排</w:t>
            </w:r>
            <w:r>
              <w:rPr>
                <w:rFonts w:hint="default" w:ascii="Times New Roman" w:hAnsi="Times New Roman" w:eastAsia="宋体" w:cs="Times New Roman"/>
                <w:color w:val="auto"/>
                <w:highlight w:val="none"/>
                <w:lang w:val="en-US" w:eastAsia="zh-CN"/>
              </w:rPr>
              <w:t>工作方案</w:t>
            </w:r>
          </w:p>
        </w:tc>
        <w:tc>
          <w:tcPr>
            <w:tcW w:w="1859" w:type="pct"/>
            <w:noWrap w:val="0"/>
            <w:vAlign w:val="top"/>
          </w:tcPr>
          <w:p w14:paraId="0ECC23F2">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挥发性有机物综合整治工程。推进原辅材料和产品源头替代工程，实施全过程污染物治理。以工业涂装、包装印刷等行业为重点，推动使用低挥发性有机物含量的涂料、油墨、胶粘剂、清洗剂。深化石化化工等行业挥发性有机物污染治理，全面提升废气收集率、治理设施同步运行率和去除率。对易挥发有机液体储罐实施改造，对浮顶罐推广采用全接液浮盘和高效双重密封技术，对废水系统高浓度废气实施单独收集处理。加强油船和原油、成品油码头油气回收治理。到2025年，溶剂型工业涂料、油墨使用比例分别降低20个百分点、10个百分点，溶剂型胶粘剂使用量降低20%。</w:t>
            </w:r>
          </w:p>
        </w:tc>
        <w:tc>
          <w:tcPr>
            <w:tcW w:w="1528" w:type="pct"/>
            <w:noWrap w:val="0"/>
            <w:vAlign w:val="top"/>
          </w:tcPr>
          <w:p w14:paraId="207EABA3">
            <w:pPr>
              <w:pStyle w:val="1358"/>
              <w:jc w:val="both"/>
              <w:rPr>
                <w:rFonts w:hint="default" w:ascii="Times New Roman" w:hAnsi="Times New Roman" w:eastAsia="宋体" w:cs="Times New Roman"/>
                <w:color w:val="auto"/>
                <w:highlight w:val="none"/>
                <w:lang w:val="en-US" w:eastAsia="zh-CN"/>
              </w:rPr>
            </w:pPr>
          </w:p>
          <w:p w14:paraId="01D53EA7">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本项目为汽车零部件制造企业，使用原辅材料主要为面漆、罩光漆、底漆、稀释剂等，待项目投产后将根据市场逐步采用水性漆替代油性漆。本评价要求企业在运营过程中做好原辅材料台账，并保存相关作证材料</w:t>
            </w:r>
            <w:r>
              <w:rPr>
                <w:rFonts w:hint="eastAsia" w:cs="Times New Roman"/>
                <w:color w:val="auto"/>
                <w:highlight w:val="none"/>
                <w:lang w:val="en-US" w:eastAsia="zh-CN"/>
              </w:rPr>
              <w:t>。</w:t>
            </w:r>
          </w:p>
        </w:tc>
        <w:tc>
          <w:tcPr>
            <w:tcW w:w="377" w:type="pct"/>
            <w:noWrap w:val="0"/>
            <w:vAlign w:val="center"/>
          </w:tcPr>
          <w:p w14:paraId="5CB4FF8D">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2F486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5626580C">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p>
        </w:tc>
        <w:tc>
          <w:tcPr>
            <w:tcW w:w="993" w:type="pct"/>
            <w:noWrap w:val="0"/>
            <w:vAlign w:val="center"/>
          </w:tcPr>
          <w:p w14:paraId="6B3D69E8">
            <w:pPr>
              <w:pStyle w:val="1358"/>
              <w:jc w:val="center"/>
              <w:rPr>
                <w:rFonts w:hint="default" w:ascii="Times New Roman" w:hAnsi="Times New Roman" w:eastAsia="宋体" w:cs="Times New Roman"/>
                <w:color w:val="auto"/>
                <w:highlight w:val="none"/>
                <w:lang w:val="en-US" w:eastAsia="zh-CN"/>
              </w:rPr>
            </w:pPr>
            <w:r>
              <w:rPr>
                <w:rFonts w:hint="eastAsia"/>
                <w:color w:val="auto"/>
                <w:highlight w:val="none"/>
              </w:rPr>
              <w:t>《福建省重点行业挥发性有机物污染防治工作方案》</w:t>
            </w:r>
          </w:p>
        </w:tc>
        <w:tc>
          <w:tcPr>
            <w:tcW w:w="1859" w:type="pct"/>
            <w:noWrap w:val="0"/>
            <w:vAlign w:val="center"/>
          </w:tcPr>
          <w:p w14:paraId="04446ECE">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二、主要任务</w:t>
            </w:r>
          </w:p>
          <w:p w14:paraId="314C71C3">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（一）严格环境准入</w:t>
            </w:r>
          </w:p>
          <w:p w14:paraId="4A86758B">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进一步提高行业准入门槛，严格控制新增污染物排放量。严格限制石化、化工、包装印刷、工业涂装等高VOCs排放建设项目。新改扩建项目要使用低VOCs含量原辅材料，采取密闭措施，加强废气收集，配套安装高效治理设施，减少污染排放。淘汰国家及地方明令禁止的落后工艺和设备。</w:t>
            </w:r>
          </w:p>
          <w:p w14:paraId="0581097C">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（二）大力推进清洁生产</w:t>
            </w:r>
          </w:p>
          <w:p w14:paraId="39853743">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……在重点行业大力倡导环境标志产品生产及使用，尤其是水性涂料的生产和使用，从源头控制VOCs排放。</w:t>
            </w:r>
          </w:p>
        </w:tc>
        <w:tc>
          <w:tcPr>
            <w:tcW w:w="1528" w:type="pct"/>
            <w:noWrap w:val="0"/>
            <w:vAlign w:val="center"/>
          </w:tcPr>
          <w:p w14:paraId="29A65E50">
            <w:pPr>
              <w:pStyle w:val="1358"/>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本项目使用低VOCs含量原辅材料，且使用量较少，项目喷漆室、流平室、油漆烘干室产生的</w:t>
            </w:r>
            <w:r>
              <w:rPr>
                <w:rFonts w:hint="eastAsia" w:cs="Times New Roman"/>
                <w:color w:val="auto"/>
                <w:highlight w:val="none"/>
                <w:lang w:val="en-US" w:eastAsia="zh-CN"/>
              </w:rPr>
              <w:t>有机</w:t>
            </w:r>
            <w:r>
              <w:rPr>
                <w:rFonts w:hint="default" w:ascii="Times New Roman" w:hAnsi="Times New Roman" w:eastAsia="宋体" w:cs="Times New Roman"/>
                <w:color w:val="auto"/>
                <w:highlight w:val="none"/>
                <w:lang w:val="en-US" w:eastAsia="zh-CN"/>
              </w:rPr>
              <w:t>废气经负压收集后由</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干式纸盒+过滤棉过滤+RTO蓄热式焚烧炉</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（TA001）处理达标后经20m排气筒（DA001）高空排放；调漆房产生的有机废气经负压收集后由</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二级活性炭吸附</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（TA002）处理达标后经20m排气筒（DA002）高空排放；点补室产生的废气经负压收集后由</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过滤棉过滤+二级活性炭吸附</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（TA003）处理达标后经20m排气筒（DA003）高空排放；注塑区产生的有机废气以及伴随的臭气经设备直连管道收集后由</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二级活性炭吸附</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（TA004）处理后通过1根20m高排气筒（DA004）排放。</w:t>
            </w:r>
          </w:p>
        </w:tc>
        <w:tc>
          <w:tcPr>
            <w:tcW w:w="377" w:type="pct"/>
            <w:noWrap w:val="0"/>
            <w:vAlign w:val="center"/>
          </w:tcPr>
          <w:p w14:paraId="28BCD3FA">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2FA97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458F392F">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p>
        </w:tc>
        <w:tc>
          <w:tcPr>
            <w:tcW w:w="993" w:type="pct"/>
            <w:noWrap w:val="0"/>
            <w:vAlign w:val="center"/>
          </w:tcPr>
          <w:p w14:paraId="1767D28C">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《挥发性有机物无组织排放控制标准》</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GB37822-2019</w:t>
            </w:r>
            <w:r>
              <w:rPr>
                <w:rFonts w:hint="eastAsia" w:ascii="Times New Roman" w:hAnsi="Times New Roman" w:eastAsia="宋体" w:cs="Times New Roman"/>
                <w:color w:val="auto"/>
                <w:highlight w:val="none"/>
                <w:lang w:val="en-US" w:eastAsia="zh-CN"/>
              </w:rPr>
              <w:t>）</w:t>
            </w:r>
          </w:p>
        </w:tc>
        <w:tc>
          <w:tcPr>
            <w:tcW w:w="1859" w:type="pct"/>
            <w:noWrap w:val="0"/>
            <w:vAlign w:val="center"/>
          </w:tcPr>
          <w:p w14:paraId="5D6EFF93">
            <w:pPr>
              <w:pStyle w:val="1358"/>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VOCs 物料应储存于密闭的容器、包装袋、储罐、储库、料仓中；</w:t>
            </w:r>
            <w:r>
              <w:rPr>
                <w:rFonts w:hint="default" w:ascii="Times New Roman" w:hAnsi="Times New Roman" w:eastAsia="宋体" w:cs="Times New Roman"/>
                <w:color w:val="auto"/>
                <w:highlight w:val="none"/>
                <w:lang w:val="en-US" w:eastAsia="zh-CN"/>
              </w:rPr>
              <w:br w:type="textWrapping"/>
            </w:r>
            <w:r>
              <w:rPr>
                <w:rFonts w:hint="default" w:ascii="Times New Roman" w:hAnsi="Times New Roman" w:eastAsia="宋体" w:cs="Times New Roman"/>
                <w:color w:val="auto"/>
                <w:highlight w:val="none"/>
                <w:lang w:val="en-US" w:eastAsia="zh-CN"/>
              </w:rPr>
              <w:t>1）液态 VOCs 物料应采用密闭管道输送。采用非管道输送方式转移液态 VOCs 物料时，应采用密闭容器、罐车。</w:t>
            </w:r>
          </w:p>
          <w:p w14:paraId="726B48BE">
            <w:pPr>
              <w:pStyle w:val="1358"/>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2）粉状、粒状 VOCs 物料应采用气力输送设备、管状带式输送机、螺旋输送机等密闭输送方式或者采用</w:t>
            </w:r>
            <w:r>
              <w:rPr>
                <w:rFonts w:hint="eastAsia" w:ascii="Times New Roman" w:hAnsi="Times New Roman" w:eastAsia="宋体" w:cs="Times New Roman"/>
                <w:color w:val="auto"/>
                <w:highlight w:val="none"/>
                <w:lang w:val="en-US" w:eastAsia="zh-CN"/>
              </w:rPr>
              <w:t>密闭</w:t>
            </w:r>
            <w:r>
              <w:rPr>
                <w:rFonts w:hint="default" w:ascii="Times New Roman" w:hAnsi="Times New Roman" w:eastAsia="宋体" w:cs="Times New Roman"/>
                <w:color w:val="auto"/>
                <w:highlight w:val="none"/>
                <w:lang w:val="en-US" w:eastAsia="zh-CN"/>
              </w:rPr>
              <w:t>的包装袋，容器或罐车进行物料转移</w:t>
            </w:r>
          </w:p>
        </w:tc>
        <w:tc>
          <w:tcPr>
            <w:tcW w:w="1528" w:type="pct"/>
            <w:noWrap w:val="0"/>
            <w:vAlign w:val="center"/>
          </w:tcPr>
          <w:p w14:paraId="76731789">
            <w:pPr>
              <w:pStyle w:val="1358"/>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项目VOCs物料储存于密封桶放置于仓库中；项目液态VOCs物料采用密闭容器输送。无粉状、粒状VOCs物料</w:t>
            </w:r>
            <w:r>
              <w:rPr>
                <w:rFonts w:hint="eastAsia" w:cs="Times New Roman"/>
                <w:color w:val="auto"/>
                <w:highlight w:val="none"/>
                <w:lang w:val="en-US" w:eastAsia="zh-CN"/>
              </w:rPr>
              <w:t>。</w:t>
            </w:r>
          </w:p>
        </w:tc>
        <w:tc>
          <w:tcPr>
            <w:tcW w:w="377" w:type="pct"/>
            <w:noWrap w:val="0"/>
            <w:vAlign w:val="center"/>
          </w:tcPr>
          <w:p w14:paraId="5E564A67">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2894C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28416D46">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p>
        </w:tc>
        <w:tc>
          <w:tcPr>
            <w:tcW w:w="993" w:type="pct"/>
            <w:noWrap w:val="0"/>
            <w:vAlign w:val="center"/>
          </w:tcPr>
          <w:p w14:paraId="02CF7AD9">
            <w:pPr>
              <w:pStyle w:val="323"/>
              <w:bidi w:val="0"/>
              <w:ind w:left="348" w:leftChars="-30" w:right="-72" w:rightChars="-30" w:hanging="420" w:hangingChars="200"/>
              <w:rPr>
                <w:rFonts w:hint="default" w:ascii="Times New Roman" w:hAnsi="Times New Roman" w:eastAsia="宋体" w:cs="Times New Roman"/>
                <w:color w:val="auto"/>
                <w:highlight w:val="none"/>
                <w:lang w:val="en-US" w:eastAsia="zh-CN"/>
              </w:rPr>
            </w:pPr>
            <w:r>
              <w:rPr>
                <w:rFonts w:hint="eastAsia"/>
                <w:color w:val="auto"/>
                <w:highlight w:val="none"/>
              </w:rPr>
              <w:t>《福州市</w:t>
            </w:r>
            <w:r>
              <w:rPr>
                <w:rFonts w:hint="eastAsia"/>
                <w:color w:val="auto"/>
                <w:highlight w:val="none"/>
                <w:lang w:eastAsia="zh-CN"/>
              </w:rPr>
              <w:t>“</w:t>
            </w:r>
            <w:r>
              <w:rPr>
                <w:rFonts w:hint="eastAsia"/>
                <w:color w:val="auto"/>
                <w:highlight w:val="none"/>
              </w:rPr>
              <w:t>十四五</w:t>
            </w:r>
            <w:r>
              <w:rPr>
                <w:rFonts w:hint="eastAsia"/>
                <w:color w:val="auto"/>
                <w:highlight w:val="none"/>
                <w:lang w:eastAsia="zh-CN"/>
              </w:rPr>
              <w:t>”</w:t>
            </w:r>
            <w:r>
              <w:rPr>
                <w:rFonts w:hint="eastAsia"/>
                <w:color w:val="auto"/>
                <w:highlight w:val="none"/>
              </w:rPr>
              <w:t>节能减排综合工作实施方案》榕政办〔2022〕127号</w:t>
            </w:r>
          </w:p>
        </w:tc>
        <w:tc>
          <w:tcPr>
            <w:tcW w:w="1859" w:type="pct"/>
            <w:noWrap w:val="0"/>
            <w:vAlign w:val="center"/>
          </w:tcPr>
          <w:p w14:paraId="6C2B7A64">
            <w:pPr>
              <w:pStyle w:val="1405"/>
              <w:bidi w:val="0"/>
              <w:jc w:val="both"/>
              <w:rPr>
                <w:rFonts w:hint="default" w:ascii="Times New Roman" w:hAnsi="Times New Roman" w:eastAsia="宋体" w:cs="Times New Roman"/>
                <w:color w:val="auto"/>
                <w:highlight w:val="none"/>
                <w:lang w:val="en-US" w:eastAsia="zh-CN"/>
              </w:rPr>
            </w:pPr>
            <w:r>
              <w:rPr>
                <w:rFonts w:hint="eastAsia"/>
                <w:color w:val="auto"/>
                <w:highlight w:val="none"/>
              </w:rPr>
              <w:t>实行新建项目挥发性有机物排放区域内1.2及以上倍量替代。VOCs年排放量大于5吨的新建项目投运前应安装VOCs在线监控设备，并接入市生态云平台。</w:t>
            </w:r>
          </w:p>
        </w:tc>
        <w:tc>
          <w:tcPr>
            <w:tcW w:w="1528" w:type="pct"/>
            <w:noWrap w:val="0"/>
            <w:vAlign w:val="center"/>
          </w:tcPr>
          <w:p w14:paraId="28EABB41">
            <w:pPr>
              <w:pStyle w:val="1405"/>
              <w:bidi w:val="0"/>
              <w:jc w:val="both"/>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项目使用低VOCs含量原辅材料，位于工业园区内，废气采用高效处理设施，不涉及单一低温等离子、光催化氧化工艺，VOCs排放拟实行区域内倍量替代，符合榕环委办〔2025〕47号相关要求。本项目VOCs年排放量为6.16t/a，大于5吨，应按福州市涉VOCs在线监控管理要求，在项目投运前安装VOCs在线监控设备并联网。</w:t>
            </w:r>
          </w:p>
        </w:tc>
        <w:tc>
          <w:tcPr>
            <w:tcW w:w="377" w:type="pct"/>
            <w:noWrap w:val="0"/>
            <w:vAlign w:val="center"/>
          </w:tcPr>
          <w:p w14:paraId="20B0212E">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161CD3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3ABED6EA">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w:t>
            </w:r>
          </w:p>
        </w:tc>
        <w:tc>
          <w:tcPr>
            <w:tcW w:w="993" w:type="pct"/>
            <w:noWrap w:val="0"/>
            <w:vAlign w:val="center"/>
          </w:tcPr>
          <w:p w14:paraId="51DA75CC">
            <w:pPr>
              <w:pStyle w:val="323"/>
              <w:bidi w:val="0"/>
              <w:ind w:left="0" w:leftChars="0" w:right="-72" w:rightChars="-30" w:firstLine="0" w:firstLineChars="0"/>
              <w:rPr>
                <w:rFonts w:hint="eastAsia" w:ascii="Times New Roman" w:hAnsi="Times New Roman" w:eastAsia="宋体" w:cs="Times New Roman"/>
                <w:color w:val="auto"/>
                <w:highlight w:val="none"/>
                <w:lang w:eastAsia="zh-CN"/>
              </w:rPr>
            </w:pPr>
            <w:r>
              <w:rPr>
                <w:rFonts w:hint="eastAsia"/>
                <w:color w:val="auto"/>
                <w:highlight w:val="none"/>
                <w:lang w:val="en-US" w:eastAsia="zh-CN"/>
              </w:rPr>
              <w:t>《福州市生态环境保护委员会办公室关于印发2025年度福州市蓝天碧水碧海净土保卫战行动计划的通知》（榕环委办</w:t>
            </w:r>
            <w:r>
              <w:rPr>
                <w:rFonts w:hint="eastAsia"/>
                <w:color w:val="auto"/>
                <w:highlight w:val="none"/>
              </w:rPr>
              <w:t>〔</w:t>
            </w:r>
            <w:r>
              <w:rPr>
                <w:rFonts w:hint="eastAsia"/>
                <w:color w:val="auto"/>
                <w:highlight w:val="none"/>
                <w:lang w:val="en-US" w:eastAsia="zh-CN"/>
              </w:rPr>
              <w:t>2025</w:t>
            </w:r>
            <w:r>
              <w:rPr>
                <w:rFonts w:hint="eastAsia"/>
                <w:color w:val="auto"/>
                <w:highlight w:val="none"/>
              </w:rPr>
              <w:t>〕</w:t>
            </w:r>
            <w:r>
              <w:rPr>
                <w:rFonts w:hint="eastAsia"/>
                <w:color w:val="auto"/>
                <w:highlight w:val="none"/>
                <w:lang w:val="en-US" w:eastAsia="zh-CN"/>
              </w:rPr>
              <w:t>47号）</w:t>
            </w:r>
          </w:p>
        </w:tc>
        <w:tc>
          <w:tcPr>
            <w:tcW w:w="1859" w:type="pct"/>
            <w:noWrap w:val="0"/>
            <w:vAlign w:val="center"/>
          </w:tcPr>
          <w:p w14:paraId="5497586F">
            <w:pPr>
              <w:pStyle w:val="323"/>
              <w:bidi w:val="0"/>
              <w:ind w:left="0" w:leftChars="0" w:right="-72" w:rightChars="-30" w:firstLine="0" w:firstLineChars="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 w:val="21"/>
                <w:szCs w:val="24"/>
                <w:highlight w:val="none"/>
                <w:lang w:val="en-US" w:eastAsia="zh-CN" w:bidi="ar-SA"/>
              </w:rPr>
              <w:t>全市新建、改建、扩建工业涂装、包装印刷、制鞋项目应实现低VOCs涂料、油墨、胶粘剂等原辅材料应用尽用。鼓励和引导现有涉VOCs企业向相应工业园区或产业聚集区集聚，市区三环以内原则上不再新增涉VOCs项目，如确需新上涉VOCs排放项目，需使用低VOCs原辅材料，无法全部使用低VOCs原辅材料的应根据工艺特点选择高效处理设施，不得使用单一低温等离子、光催化氧化等处理设施。新建涉VOCs项目应当进入工业园区。</w:t>
            </w:r>
          </w:p>
        </w:tc>
        <w:tc>
          <w:tcPr>
            <w:tcW w:w="1528" w:type="pct"/>
            <w:noWrap w:val="0"/>
            <w:vAlign w:val="center"/>
          </w:tcPr>
          <w:p w14:paraId="48793D58">
            <w:pPr>
              <w:pStyle w:val="1358"/>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项目为新建项目，项目所使用原辅材料均为低VOCs含量产品。项目VOCs废气采用高效处理设施进行处理，不采用单一低温等离子、光催化氧化等低效处理设施。项目VOCs排放总量按照要求实行区域内倍量替代。</w:t>
            </w:r>
          </w:p>
        </w:tc>
        <w:tc>
          <w:tcPr>
            <w:tcW w:w="377" w:type="pct"/>
            <w:noWrap w:val="0"/>
            <w:vAlign w:val="center"/>
          </w:tcPr>
          <w:p w14:paraId="2F591B2D">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r w14:paraId="72926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0" w:type="pct"/>
            <w:noWrap w:val="0"/>
            <w:vAlign w:val="center"/>
          </w:tcPr>
          <w:p w14:paraId="5040B335">
            <w:pPr>
              <w:pStyle w:val="1358"/>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w:t>
            </w:r>
          </w:p>
        </w:tc>
        <w:tc>
          <w:tcPr>
            <w:tcW w:w="993" w:type="pct"/>
            <w:noWrap w:val="0"/>
            <w:vAlign w:val="center"/>
          </w:tcPr>
          <w:p w14:paraId="4548AE85">
            <w:pPr>
              <w:pStyle w:val="1358"/>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《福州市生态环境局关于开展福州市重点行业挥发性有机物综合治理工作（VOCs2.0）的通知》</w:t>
            </w:r>
          </w:p>
        </w:tc>
        <w:tc>
          <w:tcPr>
            <w:tcW w:w="1859" w:type="pct"/>
            <w:noWrap w:val="0"/>
            <w:vAlign w:val="center"/>
          </w:tcPr>
          <w:p w14:paraId="462BB8F3">
            <w:pPr>
              <w:pStyle w:val="1358"/>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（三）严格审批，加强管控</w:t>
            </w:r>
          </w:p>
          <w:p w14:paraId="72BEB13B">
            <w:pPr>
              <w:pStyle w:val="1358"/>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1.严格涉挥发性有机物建设项目环境影响评价审批。新、改、扩建排放挥发性有机物的建设项目实行倍量替代。鼓励使用低（无）挥发性有机物含量的原辅材料</w:t>
            </w:r>
          </w:p>
        </w:tc>
        <w:tc>
          <w:tcPr>
            <w:tcW w:w="1528" w:type="pct"/>
            <w:noWrap w:val="0"/>
            <w:vAlign w:val="center"/>
          </w:tcPr>
          <w:p w14:paraId="4C77CD38">
            <w:pPr>
              <w:pStyle w:val="135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项目挥发性有机物的排放实行倍量替代</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项目使用的原辅材料均不涉及高VOCs含量的物料</w:t>
            </w:r>
          </w:p>
        </w:tc>
        <w:tc>
          <w:tcPr>
            <w:tcW w:w="377" w:type="pct"/>
            <w:noWrap w:val="0"/>
            <w:vAlign w:val="center"/>
          </w:tcPr>
          <w:p w14:paraId="0EB397C7">
            <w:pPr>
              <w:pStyle w:val="1358"/>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w:t>
            </w:r>
          </w:p>
        </w:tc>
      </w:tr>
    </w:tbl>
    <w:p w14:paraId="080A7DDA">
      <w:pPr>
        <w:pStyle w:val="8"/>
        <w:bidi w:val="0"/>
        <w:rPr>
          <w:rFonts w:hint="default" w:ascii="Times New Roman" w:hAnsi="Times New Roman" w:cs="Times New Roman"/>
          <w:color w:val="auto"/>
          <w:highlight w:val="none"/>
        </w:rPr>
        <w:sectPr>
          <w:pgSz w:w="16838" w:h="11906"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79734D2B">
      <w:pPr>
        <w:pStyle w:val="3"/>
        <w:numPr>
          <w:ilvl w:val="1"/>
          <w:numId w:val="0"/>
        </w:numPr>
        <w:bidi w:val="0"/>
        <w:ind w:left="0" w:leftChars="0" w:firstLine="0" w:firstLineChars="0"/>
        <w:rPr>
          <w:color w:val="auto"/>
          <w:highlight w:val="none"/>
        </w:rPr>
      </w:pPr>
      <w:bookmarkStart w:id="364" w:name="_Toc11128"/>
      <w:r>
        <w:rPr>
          <w:rFonts w:hint="eastAsia"/>
          <w:color w:val="auto"/>
          <w:highlight w:val="none"/>
          <w:lang w:val="en-US" w:eastAsia="zh-CN"/>
        </w:rPr>
        <w:t xml:space="preserve">3.6 </w:t>
      </w:r>
      <w:r>
        <w:rPr>
          <w:color w:val="auto"/>
          <w:highlight w:val="none"/>
        </w:rPr>
        <w:t>清洁生产分析</w:t>
      </w:r>
      <w:bookmarkEnd w:id="355"/>
      <w:bookmarkEnd w:id="363"/>
      <w:bookmarkEnd w:id="364"/>
    </w:p>
    <w:p w14:paraId="697C09DB">
      <w:pPr>
        <w:pStyle w:val="1336"/>
        <w:ind w:firstLine="480"/>
        <w:rPr>
          <w:rFonts w:hint="eastAsia" w:ascii="Times New Roman" w:hAnsi="Times New Roman" w:eastAsia="宋体" w:cs="Times New Roman"/>
          <w:color w:val="auto"/>
          <w:highlight w:val="none"/>
          <w:lang w:eastAsia="zh-CN"/>
        </w:rPr>
      </w:pPr>
      <w:bookmarkStart w:id="365" w:name="_Toc529434191"/>
      <w:bookmarkStart w:id="366" w:name="_Toc523646206"/>
      <w:r>
        <w:rPr>
          <w:rFonts w:hint="eastAsia" w:ascii="Times New Roman" w:hAnsi="Times New Roman" w:eastAsia="宋体" w:cs="Times New Roman"/>
          <w:color w:val="auto"/>
          <w:highlight w:val="none"/>
          <w:lang w:eastAsia="zh-CN"/>
        </w:rPr>
        <w:t>清洁生产是指不断采取改进设计、使用清洁的能源和原料、采用先进的工艺技术与设备、改善管理、综合利用等措施，从源头削减污染，提高资源利用效率，减少或者避免生产、服务各环节以及产品使用过程中污染物的产生和排放，以减轻或者消除对人类健康和环境的危害。企业推行清洁生产工艺是解决环境问题的重要手段，是衡量企业可持续发展的标志。</w:t>
      </w:r>
    </w:p>
    <w:p w14:paraId="0AAD23E6">
      <w:pPr>
        <w:pStyle w:val="4"/>
        <w:numPr>
          <w:ilvl w:val="2"/>
          <w:numId w:val="0"/>
        </w:numPr>
        <w:tabs>
          <w:tab w:val="clear" w:pos="720"/>
        </w:tabs>
        <w:bidi w:val="0"/>
        <w:rPr>
          <w:rFonts w:hint="eastAsia"/>
          <w:color w:val="auto"/>
          <w:highlight w:val="none"/>
          <w:lang w:eastAsia="zh-CN"/>
        </w:rPr>
      </w:pPr>
      <w:bookmarkStart w:id="367" w:name="_Toc25450"/>
      <w:r>
        <w:rPr>
          <w:rFonts w:hint="eastAsia"/>
          <w:color w:val="auto"/>
          <w:highlight w:val="none"/>
          <w:lang w:val="en-US" w:eastAsia="zh-CN"/>
        </w:rPr>
        <w:t>3.6</w:t>
      </w:r>
      <w:r>
        <w:rPr>
          <w:rFonts w:hint="eastAsia"/>
          <w:color w:val="auto"/>
          <w:highlight w:val="none"/>
          <w:lang w:eastAsia="zh-CN"/>
        </w:rPr>
        <w:t>.1</w:t>
      </w:r>
      <w:r>
        <w:rPr>
          <w:rFonts w:hint="eastAsia"/>
          <w:color w:val="auto"/>
          <w:highlight w:val="none"/>
          <w:lang w:val="en-US" w:eastAsia="zh-CN"/>
        </w:rPr>
        <w:t xml:space="preserve"> </w:t>
      </w:r>
      <w:r>
        <w:rPr>
          <w:rFonts w:hint="eastAsia"/>
          <w:color w:val="auto"/>
          <w:highlight w:val="none"/>
          <w:lang w:eastAsia="zh-CN"/>
        </w:rPr>
        <w:t>清洁生产标准</w:t>
      </w:r>
      <w:bookmarkEnd w:id="367"/>
    </w:p>
    <w:p w14:paraId="4728C04C">
      <w:pPr>
        <w:pStyle w:val="133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根据国家发展和改革委员会、环境保护部、工业和信息化部2015年发布的《涂装行业清洁生产评价指标体系》，本次评价对照该标准，从生产工艺及设备要求、资源和能源消耗指标、污染物产生指标、清洁生产管理指标等清洁生产指标分析本项目的清洁生产水平，详见表</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eastAsia="zh-CN"/>
        </w:rPr>
        <w:t>-1~</w:t>
      </w:r>
      <w:r>
        <w:rPr>
          <w:rFonts w:hint="eastAsia" w:ascii="Times New Roman" w:hAnsi="Times New Roman" w:eastAsia="宋体" w:cs="Times New Roman"/>
          <w:color w:val="auto"/>
          <w:highlight w:val="none"/>
          <w:lang w:val="en-US" w:eastAsia="zh-CN"/>
        </w:rPr>
        <w:t>3.6</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w:t>
      </w:r>
    </w:p>
    <w:p w14:paraId="7FD24893">
      <w:pPr>
        <w:pStyle w:val="4"/>
        <w:numPr>
          <w:ilvl w:val="2"/>
          <w:numId w:val="0"/>
        </w:numPr>
        <w:tabs>
          <w:tab w:val="clear" w:pos="720"/>
        </w:tabs>
        <w:bidi w:val="0"/>
        <w:rPr>
          <w:rFonts w:hint="eastAsia"/>
          <w:color w:val="auto"/>
          <w:highlight w:val="none"/>
          <w:lang w:val="en-US" w:eastAsia="zh-CN"/>
        </w:rPr>
      </w:pPr>
      <w:bookmarkStart w:id="368" w:name="_Toc2118"/>
      <w:r>
        <w:rPr>
          <w:rFonts w:hint="eastAsia"/>
          <w:color w:val="auto"/>
          <w:highlight w:val="none"/>
          <w:lang w:val="en-US" w:eastAsia="zh-CN"/>
        </w:rPr>
        <w:t>3.6.2 清洁生产水平评定</w:t>
      </w:r>
      <w:bookmarkEnd w:id="368"/>
    </w:p>
    <w:p w14:paraId="59A47D85">
      <w:pPr>
        <w:pStyle w:val="1089"/>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i w:val="0"/>
          <w:color w:val="auto"/>
          <w:highlight w:val="none"/>
          <w:vertAlign w:val="baseline"/>
          <w:lang w:val="en-US" w:eastAsia="zh-CN"/>
        </w:rPr>
        <w:t>根据《涂装行业清洁生产评价指标体系》，对企业清洁生产水平的评价，是以其清洁生产综合评价指数为依据的，对达到一定综合评价指数的企业，分别评定为清洁生产领先企业、清洁生产先进企业或清洁生产一般企业。根据目前我国涂装行业的实际情况，不同等级的清洁生产企业的综合评价指数列于表</w:t>
      </w:r>
      <w:r>
        <w:rPr>
          <w:rFonts w:hint="default" w:ascii="Times New Roman" w:hAnsi="Times New Roman" w:eastAsia="宋体" w:cs="Times New Roman"/>
          <w:color w:val="auto"/>
          <w:highlight w:val="none"/>
          <w:lang w:val="en-US" w:eastAsia="zh-CN"/>
        </w:rPr>
        <w:t>3.6-4。</w:t>
      </w:r>
    </w:p>
    <w:p w14:paraId="7896E484">
      <w:pPr>
        <w:pStyle w:val="1319"/>
        <w:ind w:firstLine="480"/>
        <w:rPr>
          <w:color w:val="auto"/>
          <w:highlight w:val="none"/>
        </w:rPr>
        <w:sectPr>
          <w:pgSz w:w="11906" w:h="16838"/>
          <w:pgMar w:top="1440" w:right="1418" w:bottom="1440" w:left="1418" w:header="964" w:footer="964" w:gutter="0"/>
          <w:pgBorders w:offsetFrom="page">
            <w:top w:val="none" w:sz="0" w:space="0"/>
            <w:left w:val="none" w:sz="0" w:space="0"/>
            <w:bottom w:val="none" w:sz="0" w:space="0"/>
            <w:right w:val="none" w:sz="0" w:space="0"/>
          </w:pgBorders>
          <w:pgNumType w:fmt="decimal"/>
          <w:cols w:space="720" w:num="1"/>
          <w:docGrid w:linePitch="326" w:charSpace="0"/>
        </w:sectPr>
      </w:pPr>
    </w:p>
    <w:p w14:paraId="31F904D7">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表3.6-1  喷涂（涂覆）评价指标项目、权重及基准值</w:t>
      </w:r>
    </w:p>
    <w:tbl>
      <w:tblPr>
        <w:tblStyle w:val="80"/>
        <w:tblW w:w="20980"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
        <w:gridCol w:w="840"/>
        <w:gridCol w:w="689"/>
        <w:gridCol w:w="467"/>
        <w:gridCol w:w="1116"/>
        <w:gridCol w:w="1584"/>
        <w:gridCol w:w="832"/>
        <w:gridCol w:w="3917"/>
        <w:gridCol w:w="1908"/>
        <w:gridCol w:w="3229"/>
        <w:gridCol w:w="3106"/>
        <w:gridCol w:w="868"/>
        <w:gridCol w:w="717"/>
        <w:gridCol w:w="858"/>
      </w:tblGrid>
      <w:tr w14:paraId="690DB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1689" w:type="dxa"/>
            <w:gridSpan w:val="2"/>
            <w:tcBorders>
              <w:tl2br w:val="nil"/>
              <w:tr2bl w:val="nil"/>
            </w:tcBorders>
            <w:noWrap w:val="0"/>
            <w:vAlign w:val="center"/>
          </w:tcPr>
          <w:p w14:paraId="78754F7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一级指标</w:t>
            </w:r>
          </w:p>
        </w:tc>
        <w:tc>
          <w:tcPr>
            <w:tcW w:w="13742" w:type="dxa"/>
            <w:gridSpan w:val="8"/>
            <w:tcBorders>
              <w:tl2br w:val="nil"/>
              <w:tr2bl w:val="nil"/>
            </w:tcBorders>
            <w:noWrap w:val="0"/>
            <w:vAlign w:val="center"/>
          </w:tcPr>
          <w:p w14:paraId="003587A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二级指标</w:t>
            </w:r>
          </w:p>
        </w:tc>
        <w:tc>
          <w:tcPr>
            <w:tcW w:w="3106" w:type="dxa"/>
            <w:vMerge w:val="restart"/>
            <w:tcBorders>
              <w:tl2br w:val="nil"/>
              <w:tr2bl w:val="nil"/>
            </w:tcBorders>
            <w:noWrap w:val="0"/>
            <w:vAlign w:val="center"/>
          </w:tcPr>
          <w:p w14:paraId="0F9F816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现状分析</w:t>
            </w:r>
          </w:p>
        </w:tc>
        <w:tc>
          <w:tcPr>
            <w:tcW w:w="2443" w:type="dxa"/>
            <w:gridSpan w:val="3"/>
            <w:tcBorders>
              <w:tl2br w:val="nil"/>
              <w:tr2bl w:val="nil"/>
            </w:tcBorders>
            <w:noWrap w:val="0"/>
            <w:vAlign w:val="center"/>
          </w:tcPr>
          <w:p w14:paraId="69F19A4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得分</w:t>
            </w:r>
          </w:p>
        </w:tc>
      </w:tr>
      <w:tr w14:paraId="666D8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tcBorders>
              <w:tl2br w:val="nil"/>
              <w:tr2bl w:val="nil"/>
            </w:tcBorders>
            <w:noWrap w:val="0"/>
            <w:vAlign w:val="center"/>
          </w:tcPr>
          <w:p w14:paraId="2F1E473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指标项</w:t>
            </w:r>
          </w:p>
        </w:tc>
        <w:tc>
          <w:tcPr>
            <w:tcW w:w="840" w:type="dxa"/>
            <w:tcBorders>
              <w:tl2br w:val="nil"/>
              <w:tr2bl w:val="nil"/>
            </w:tcBorders>
            <w:noWrap w:val="0"/>
            <w:vAlign w:val="center"/>
          </w:tcPr>
          <w:p w14:paraId="4142EEB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权重值</w:t>
            </w:r>
          </w:p>
        </w:tc>
        <w:tc>
          <w:tcPr>
            <w:tcW w:w="689" w:type="dxa"/>
            <w:tcBorders>
              <w:tl2br w:val="nil"/>
              <w:tr2bl w:val="nil"/>
            </w:tcBorders>
            <w:noWrap w:val="0"/>
            <w:vAlign w:val="center"/>
          </w:tcPr>
          <w:p w14:paraId="13B1BB2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序号</w:t>
            </w:r>
          </w:p>
        </w:tc>
        <w:tc>
          <w:tcPr>
            <w:tcW w:w="3167" w:type="dxa"/>
            <w:gridSpan w:val="3"/>
            <w:tcBorders>
              <w:tl2br w:val="nil"/>
              <w:tr2bl w:val="nil"/>
            </w:tcBorders>
            <w:noWrap w:val="0"/>
            <w:vAlign w:val="center"/>
          </w:tcPr>
          <w:p w14:paraId="2A1E638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二级指标</w:t>
            </w:r>
          </w:p>
        </w:tc>
        <w:tc>
          <w:tcPr>
            <w:tcW w:w="832" w:type="dxa"/>
            <w:tcBorders>
              <w:tl2br w:val="nil"/>
              <w:tr2bl w:val="nil"/>
            </w:tcBorders>
            <w:noWrap w:val="0"/>
            <w:vAlign w:val="center"/>
          </w:tcPr>
          <w:p w14:paraId="34F6763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分权</w:t>
            </w:r>
          </w:p>
          <w:p w14:paraId="765955D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重值</w:t>
            </w:r>
          </w:p>
        </w:tc>
        <w:tc>
          <w:tcPr>
            <w:tcW w:w="3917" w:type="dxa"/>
            <w:tcBorders>
              <w:tl2br w:val="nil"/>
              <w:tr2bl w:val="nil"/>
            </w:tcBorders>
            <w:noWrap w:val="0"/>
            <w:vAlign w:val="center"/>
          </w:tcPr>
          <w:p w14:paraId="0610215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Ⅰ级基准值</w:t>
            </w:r>
          </w:p>
        </w:tc>
        <w:tc>
          <w:tcPr>
            <w:tcW w:w="1908" w:type="dxa"/>
            <w:tcBorders>
              <w:tl2br w:val="nil"/>
              <w:tr2bl w:val="nil"/>
            </w:tcBorders>
            <w:noWrap w:val="0"/>
            <w:vAlign w:val="center"/>
          </w:tcPr>
          <w:p w14:paraId="2F8DC31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Ⅱ级基准值</w:t>
            </w:r>
          </w:p>
        </w:tc>
        <w:tc>
          <w:tcPr>
            <w:tcW w:w="3229" w:type="dxa"/>
            <w:tcBorders>
              <w:tl2br w:val="nil"/>
              <w:tr2bl w:val="nil"/>
            </w:tcBorders>
            <w:noWrap w:val="0"/>
            <w:vAlign w:val="center"/>
          </w:tcPr>
          <w:p w14:paraId="4EA6861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Ⅲ级基准值</w:t>
            </w:r>
          </w:p>
        </w:tc>
        <w:tc>
          <w:tcPr>
            <w:tcW w:w="3106" w:type="dxa"/>
            <w:vMerge w:val="continue"/>
            <w:tcBorders>
              <w:tl2br w:val="nil"/>
              <w:tr2bl w:val="nil"/>
            </w:tcBorders>
            <w:noWrap w:val="0"/>
            <w:vAlign w:val="center"/>
          </w:tcPr>
          <w:p w14:paraId="2E2E089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p>
        </w:tc>
        <w:tc>
          <w:tcPr>
            <w:tcW w:w="868" w:type="dxa"/>
            <w:tcBorders>
              <w:tl2br w:val="nil"/>
              <w:tr2bl w:val="nil"/>
            </w:tcBorders>
            <w:noWrap w:val="0"/>
            <w:vAlign w:val="center"/>
          </w:tcPr>
          <w:p w14:paraId="17597A6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Ⅰ级</w:t>
            </w:r>
          </w:p>
        </w:tc>
        <w:tc>
          <w:tcPr>
            <w:tcW w:w="717" w:type="dxa"/>
            <w:tcBorders>
              <w:tl2br w:val="nil"/>
              <w:tr2bl w:val="nil"/>
            </w:tcBorders>
            <w:noWrap w:val="0"/>
            <w:vAlign w:val="center"/>
          </w:tcPr>
          <w:p w14:paraId="51DC4E8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Ⅱ级</w:t>
            </w:r>
          </w:p>
        </w:tc>
        <w:tc>
          <w:tcPr>
            <w:tcW w:w="858" w:type="dxa"/>
            <w:tcBorders>
              <w:tl2br w:val="nil"/>
              <w:tr2bl w:val="nil"/>
            </w:tcBorders>
            <w:noWrap w:val="0"/>
            <w:vAlign w:val="center"/>
          </w:tcPr>
          <w:p w14:paraId="3D64DE6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Ⅲ级</w:t>
            </w:r>
          </w:p>
        </w:tc>
      </w:tr>
      <w:tr w14:paraId="4F15A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restart"/>
            <w:tcBorders>
              <w:tl2br w:val="nil"/>
              <w:tr2bl w:val="nil"/>
            </w:tcBorders>
            <w:noWrap w:val="0"/>
            <w:vAlign w:val="center"/>
          </w:tcPr>
          <w:p w14:paraId="14B01B8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生产工艺及装备</w:t>
            </w:r>
          </w:p>
        </w:tc>
        <w:tc>
          <w:tcPr>
            <w:tcW w:w="840" w:type="dxa"/>
            <w:vMerge w:val="restart"/>
            <w:tcBorders>
              <w:tl2br w:val="nil"/>
              <w:tr2bl w:val="nil"/>
            </w:tcBorders>
            <w:noWrap w:val="0"/>
            <w:vAlign w:val="center"/>
          </w:tcPr>
          <w:p w14:paraId="154394A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0.6</w:t>
            </w:r>
          </w:p>
        </w:tc>
        <w:tc>
          <w:tcPr>
            <w:tcW w:w="689" w:type="dxa"/>
            <w:tcBorders>
              <w:tl2br w:val="nil"/>
              <w:tr2bl w:val="nil"/>
            </w:tcBorders>
            <w:noWrap w:val="0"/>
            <w:vAlign w:val="center"/>
          </w:tcPr>
          <w:p w14:paraId="69581EE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w:t>
            </w:r>
          </w:p>
        </w:tc>
        <w:tc>
          <w:tcPr>
            <w:tcW w:w="467" w:type="dxa"/>
            <w:vMerge w:val="restart"/>
            <w:tcBorders>
              <w:tl2br w:val="nil"/>
              <w:tr2bl w:val="nil"/>
            </w:tcBorders>
            <w:noWrap w:val="0"/>
            <w:vAlign w:val="center"/>
          </w:tcPr>
          <w:p w14:paraId="17A6DC4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底漆</w:t>
            </w:r>
          </w:p>
        </w:tc>
        <w:tc>
          <w:tcPr>
            <w:tcW w:w="2700" w:type="dxa"/>
            <w:gridSpan w:val="2"/>
            <w:vMerge w:val="restart"/>
            <w:tcBorders>
              <w:tl2br w:val="nil"/>
              <w:tr2bl w:val="nil"/>
            </w:tcBorders>
            <w:noWrap w:val="0"/>
            <w:vAlign w:val="center"/>
          </w:tcPr>
          <w:p w14:paraId="4F94EF9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电泳漆</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br w:type="textWrapping"/>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自泳漆</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br w:type="textWrapping"/>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喷漆（涂覆）</w:t>
            </w:r>
          </w:p>
        </w:tc>
        <w:tc>
          <w:tcPr>
            <w:tcW w:w="832" w:type="dxa"/>
            <w:tcBorders>
              <w:tl2br w:val="nil"/>
              <w:tr2bl w:val="nil"/>
            </w:tcBorders>
            <w:noWrap w:val="0"/>
            <w:vAlign w:val="center"/>
          </w:tcPr>
          <w:p w14:paraId="68E1FD0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0.12</w:t>
            </w:r>
          </w:p>
        </w:tc>
        <w:tc>
          <w:tcPr>
            <w:tcW w:w="3917" w:type="dxa"/>
            <w:tcBorders>
              <w:tl2br w:val="nil"/>
              <w:tr2bl w:val="nil"/>
            </w:tcBorders>
            <w:noWrap w:val="0"/>
            <w:vAlign w:val="center"/>
          </w:tcPr>
          <w:p w14:paraId="3EFBFE4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应满足以下条件之一：①电泳漆工艺；②自泳漆工艺；③使用水性漆喷涂；④使用粉末涂料</w:t>
            </w:r>
          </w:p>
        </w:tc>
        <w:tc>
          <w:tcPr>
            <w:tcW w:w="5137" w:type="dxa"/>
            <w:gridSpan w:val="2"/>
            <w:tcBorders>
              <w:tl2br w:val="nil"/>
              <w:tr2bl w:val="nil"/>
            </w:tcBorders>
            <w:noWrap w:val="0"/>
            <w:vAlign w:val="center"/>
          </w:tcPr>
          <w:p w14:paraId="03E9ABB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节水b、技术应用</w:t>
            </w:r>
          </w:p>
        </w:tc>
        <w:tc>
          <w:tcPr>
            <w:tcW w:w="3106" w:type="dxa"/>
            <w:tcBorders>
              <w:tl2br w:val="nil"/>
              <w:tr2bl w:val="nil"/>
            </w:tcBorders>
            <w:noWrap w:val="0"/>
            <w:vAlign w:val="center"/>
          </w:tcPr>
          <w:p w14:paraId="3909788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喷漆室有循环系统、除渣措施</w:t>
            </w:r>
          </w:p>
        </w:tc>
        <w:tc>
          <w:tcPr>
            <w:tcW w:w="868" w:type="dxa"/>
            <w:tcBorders>
              <w:tl2br w:val="nil"/>
              <w:tr2bl w:val="nil"/>
            </w:tcBorders>
            <w:noWrap w:val="0"/>
            <w:vAlign w:val="center"/>
          </w:tcPr>
          <w:p w14:paraId="6F4CFCD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3D02671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0.072</w:t>
            </w:r>
          </w:p>
        </w:tc>
        <w:tc>
          <w:tcPr>
            <w:tcW w:w="858" w:type="dxa"/>
            <w:tcBorders>
              <w:tl2br w:val="nil"/>
              <w:tr2bl w:val="nil"/>
            </w:tcBorders>
            <w:noWrap w:val="0"/>
            <w:vAlign w:val="center"/>
          </w:tcPr>
          <w:p w14:paraId="329A0FE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0.072</w:t>
            </w:r>
          </w:p>
        </w:tc>
      </w:tr>
      <w:tr w14:paraId="03DB9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0242146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0CF24AC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0EB06E2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w:t>
            </w:r>
          </w:p>
        </w:tc>
        <w:tc>
          <w:tcPr>
            <w:tcW w:w="467" w:type="dxa"/>
            <w:vMerge w:val="continue"/>
            <w:tcBorders>
              <w:tl2br w:val="nil"/>
              <w:tr2bl w:val="nil"/>
            </w:tcBorders>
            <w:noWrap w:val="0"/>
            <w:vAlign w:val="center"/>
          </w:tcPr>
          <w:p w14:paraId="7DC81CC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vMerge w:val="continue"/>
            <w:tcBorders>
              <w:tl2br w:val="nil"/>
              <w:tr2bl w:val="nil"/>
            </w:tcBorders>
            <w:noWrap w:val="0"/>
            <w:vAlign w:val="center"/>
          </w:tcPr>
          <w:p w14:paraId="479207E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32" w:type="dxa"/>
            <w:tcBorders>
              <w:tl2br w:val="nil"/>
              <w:tr2bl w:val="nil"/>
            </w:tcBorders>
            <w:noWrap w:val="0"/>
            <w:vAlign w:val="center"/>
          </w:tcPr>
          <w:p w14:paraId="623434F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0.11</w:t>
            </w:r>
          </w:p>
        </w:tc>
        <w:tc>
          <w:tcPr>
            <w:tcW w:w="3917" w:type="dxa"/>
            <w:tcBorders>
              <w:tl2br w:val="nil"/>
              <w:tr2bl w:val="nil"/>
            </w:tcBorders>
            <w:noWrap w:val="0"/>
            <w:vAlign w:val="center"/>
          </w:tcPr>
          <w:p w14:paraId="7295981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节能技术应用c；电泳漆、自泳漆设置备用槽；喷漆设置漆雾处理</w:t>
            </w:r>
          </w:p>
        </w:tc>
        <w:tc>
          <w:tcPr>
            <w:tcW w:w="5137" w:type="dxa"/>
            <w:gridSpan w:val="2"/>
            <w:tcBorders>
              <w:tl2br w:val="nil"/>
              <w:tr2bl w:val="nil"/>
            </w:tcBorders>
            <w:noWrap w:val="0"/>
            <w:vAlign w:val="center"/>
          </w:tcPr>
          <w:p w14:paraId="01D1D88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节能技术应用c；喷漆设置漆雾处理</w:t>
            </w:r>
          </w:p>
        </w:tc>
        <w:tc>
          <w:tcPr>
            <w:tcW w:w="3106" w:type="dxa"/>
            <w:tcBorders>
              <w:tl2br w:val="nil"/>
              <w:tr2bl w:val="nil"/>
            </w:tcBorders>
            <w:noWrap w:val="0"/>
            <w:vAlign w:val="center"/>
          </w:tcPr>
          <w:p w14:paraId="2DA3455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项目喷漆房设有</w:t>
            </w:r>
            <w:r>
              <w:rPr>
                <w:rFonts w:hint="eastAsia" w:ascii="Times New Roman Regular" w:hAnsi="Times New Roman Regular" w:cs="Times New Roman Regular"/>
                <w:i w:val="0"/>
                <w:iCs w:val="0"/>
                <w:color w:val="auto"/>
                <w:kern w:val="0"/>
                <w:sz w:val="16"/>
                <w:szCs w:val="16"/>
                <w:highlight w:val="none"/>
                <w:u w:val="none"/>
                <w:lang w:val="en-US" w:eastAsia="zh-CN" w:bidi="ar"/>
              </w:rPr>
              <w:t>干式纸盒过滤+过滤棉过滤</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进行漆雾处理，且生产区密闭，</w:t>
            </w:r>
            <w:r>
              <w:rPr>
                <w:rFonts w:hint="eastAsia" w:ascii="Times New Roman Regular" w:hAnsi="Times New Roman Regular" w:cs="Times New Roman Regular"/>
                <w:i w:val="0"/>
                <w:iCs w:val="0"/>
                <w:color w:val="auto"/>
                <w:kern w:val="0"/>
                <w:sz w:val="16"/>
                <w:szCs w:val="16"/>
                <w:highlight w:val="none"/>
                <w:u w:val="none"/>
                <w:lang w:val="en-US" w:eastAsia="zh-CN" w:bidi="ar"/>
              </w:rPr>
              <w:t>喷漆</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废气采用负压收集后</w:t>
            </w:r>
            <w:r>
              <w:rPr>
                <w:rFonts w:hint="eastAsia" w:ascii="Times New Roman Regular" w:hAnsi="Times New Roman Regular" w:cs="Times New Roman Regular"/>
                <w:i w:val="0"/>
                <w:iCs w:val="0"/>
                <w:color w:val="auto"/>
                <w:kern w:val="0"/>
                <w:sz w:val="16"/>
                <w:szCs w:val="16"/>
                <w:highlight w:val="none"/>
                <w:u w:val="none"/>
                <w:lang w:val="en-US" w:eastAsia="zh-CN" w:bidi="ar"/>
              </w:rPr>
              <w:t>由</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干式纸盒</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过滤棉过滤+RTO蓄热式焚烧炉吸附装置处理</w:t>
            </w:r>
          </w:p>
        </w:tc>
        <w:tc>
          <w:tcPr>
            <w:tcW w:w="868" w:type="dxa"/>
            <w:tcBorders>
              <w:tl2br w:val="nil"/>
              <w:tr2bl w:val="nil"/>
            </w:tcBorders>
            <w:noWrap w:val="0"/>
            <w:vAlign w:val="center"/>
          </w:tcPr>
          <w:p w14:paraId="603DA65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717" w:type="dxa"/>
            <w:tcBorders>
              <w:tl2br w:val="nil"/>
              <w:tr2bl w:val="nil"/>
            </w:tcBorders>
            <w:noWrap w:val="0"/>
            <w:vAlign w:val="center"/>
          </w:tcPr>
          <w:p w14:paraId="2B3F648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858" w:type="dxa"/>
            <w:tcBorders>
              <w:tl2br w:val="nil"/>
              <w:tr2bl w:val="nil"/>
            </w:tcBorders>
            <w:noWrap w:val="0"/>
            <w:vAlign w:val="center"/>
          </w:tcPr>
          <w:p w14:paraId="4E09AB4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r>
      <w:tr w14:paraId="4CB21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1D881D3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66A645A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5167E43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3</w:t>
            </w:r>
          </w:p>
        </w:tc>
        <w:tc>
          <w:tcPr>
            <w:tcW w:w="467" w:type="dxa"/>
            <w:vMerge w:val="continue"/>
            <w:tcBorders>
              <w:tl2br w:val="nil"/>
              <w:tr2bl w:val="nil"/>
            </w:tcBorders>
            <w:noWrap w:val="0"/>
            <w:vAlign w:val="center"/>
          </w:tcPr>
          <w:p w14:paraId="2F019FE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tcBorders>
              <w:tl2br w:val="nil"/>
              <w:tr2bl w:val="nil"/>
            </w:tcBorders>
            <w:noWrap w:val="0"/>
            <w:vAlign w:val="center"/>
          </w:tcPr>
          <w:p w14:paraId="6ACFE73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烘干</w:t>
            </w:r>
          </w:p>
        </w:tc>
        <w:tc>
          <w:tcPr>
            <w:tcW w:w="832" w:type="dxa"/>
            <w:tcBorders>
              <w:tl2br w:val="nil"/>
              <w:tr2bl w:val="nil"/>
            </w:tcBorders>
            <w:noWrap w:val="0"/>
            <w:vAlign w:val="center"/>
          </w:tcPr>
          <w:p w14:paraId="4FC6628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0.04</w:t>
            </w:r>
          </w:p>
        </w:tc>
        <w:tc>
          <w:tcPr>
            <w:tcW w:w="5825" w:type="dxa"/>
            <w:gridSpan w:val="2"/>
            <w:tcBorders>
              <w:tl2br w:val="nil"/>
              <w:tr2bl w:val="nil"/>
            </w:tcBorders>
            <w:noWrap w:val="0"/>
            <w:vAlign w:val="center"/>
          </w:tcPr>
          <w:p w14:paraId="70C1C26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节能技术应用c；加热装置多级调节j，使用清洁能源</w:t>
            </w:r>
          </w:p>
        </w:tc>
        <w:tc>
          <w:tcPr>
            <w:tcW w:w="3229" w:type="dxa"/>
            <w:tcBorders>
              <w:tl2br w:val="nil"/>
              <w:tr2bl w:val="nil"/>
            </w:tcBorders>
            <w:noWrap w:val="0"/>
            <w:vAlign w:val="center"/>
          </w:tcPr>
          <w:p w14:paraId="4F36C0E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加热装置多级调节j，使用清洁能源</w:t>
            </w:r>
          </w:p>
        </w:tc>
        <w:tc>
          <w:tcPr>
            <w:tcW w:w="3106" w:type="dxa"/>
            <w:tcBorders>
              <w:tl2br w:val="nil"/>
              <w:tr2bl w:val="nil"/>
            </w:tcBorders>
            <w:noWrap w:val="0"/>
            <w:vAlign w:val="center"/>
          </w:tcPr>
          <w:p w14:paraId="294E624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项目采用应用变频电机，可按需调节能耗；喷漆室采用循环风技术；烘干室采用桥式防止热气外溢</w:t>
            </w:r>
          </w:p>
        </w:tc>
        <w:tc>
          <w:tcPr>
            <w:tcW w:w="868" w:type="dxa"/>
            <w:tcBorders>
              <w:tl2br w:val="nil"/>
              <w:tr2bl w:val="nil"/>
            </w:tcBorders>
            <w:noWrap w:val="0"/>
            <w:vAlign w:val="center"/>
          </w:tcPr>
          <w:p w14:paraId="70D49A0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c>
          <w:tcPr>
            <w:tcW w:w="717" w:type="dxa"/>
            <w:tcBorders>
              <w:tl2br w:val="nil"/>
              <w:tr2bl w:val="nil"/>
            </w:tcBorders>
            <w:noWrap w:val="0"/>
            <w:vAlign w:val="center"/>
          </w:tcPr>
          <w:p w14:paraId="7594BAC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c>
          <w:tcPr>
            <w:tcW w:w="858" w:type="dxa"/>
            <w:tcBorders>
              <w:tl2br w:val="nil"/>
              <w:tr2bl w:val="nil"/>
            </w:tcBorders>
            <w:noWrap w:val="0"/>
            <w:vAlign w:val="center"/>
          </w:tcPr>
          <w:p w14:paraId="16DCE1D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r>
      <w:tr w14:paraId="66E1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0B307D1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3669C3D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45AA6E2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4</w:t>
            </w:r>
          </w:p>
        </w:tc>
        <w:tc>
          <w:tcPr>
            <w:tcW w:w="467" w:type="dxa"/>
            <w:vMerge w:val="restart"/>
            <w:tcBorders>
              <w:tl2br w:val="nil"/>
              <w:tr2bl w:val="nil"/>
            </w:tcBorders>
            <w:noWrap w:val="0"/>
            <w:vAlign w:val="center"/>
          </w:tcPr>
          <w:p w14:paraId="5ED03D1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中漆、面漆</w:t>
            </w:r>
          </w:p>
        </w:tc>
        <w:tc>
          <w:tcPr>
            <w:tcW w:w="2700" w:type="dxa"/>
            <w:gridSpan w:val="2"/>
            <w:tcBorders>
              <w:tl2br w:val="nil"/>
              <w:tr2bl w:val="nil"/>
            </w:tcBorders>
            <w:noWrap w:val="0"/>
            <w:vAlign w:val="center"/>
          </w:tcPr>
          <w:p w14:paraId="45F1385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漆雾处理</w:t>
            </w:r>
          </w:p>
        </w:tc>
        <w:tc>
          <w:tcPr>
            <w:tcW w:w="832" w:type="dxa"/>
            <w:tcBorders>
              <w:tl2br w:val="nil"/>
              <w:tr2bl w:val="nil"/>
            </w:tcBorders>
            <w:noWrap w:val="0"/>
            <w:vAlign w:val="center"/>
          </w:tcPr>
          <w:p w14:paraId="53BFEE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0.09</w:t>
            </w:r>
          </w:p>
        </w:tc>
        <w:tc>
          <w:tcPr>
            <w:tcW w:w="3917" w:type="dxa"/>
            <w:tcBorders>
              <w:tl2br w:val="nil"/>
              <w:tr2bl w:val="nil"/>
            </w:tcBorders>
            <w:noWrap w:val="0"/>
            <w:vAlign w:val="center"/>
          </w:tcPr>
          <w:p w14:paraId="7C2DF07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有自动漆雾处理系统，漆雾处理效率≥95%</w:t>
            </w:r>
          </w:p>
        </w:tc>
        <w:tc>
          <w:tcPr>
            <w:tcW w:w="1908" w:type="dxa"/>
            <w:tcBorders>
              <w:tl2br w:val="nil"/>
              <w:tr2bl w:val="nil"/>
            </w:tcBorders>
            <w:noWrap w:val="0"/>
            <w:vAlign w:val="center"/>
          </w:tcPr>
          <w:p w14:paraId="3219FA7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有自动漆雾处理系统，漆雾处理效率≥85%</w:t>
            </w:r>
          </w:p>
        </w:tc>
        <w:tc>
          <w:tcPr>
            <w:tcW w:w="3229" w:type="dxa"/>
            <w:tcBorders>
              <w:tl2br w:val="nil"/>
              <w:tr2bl w:val="nil"/>
            </w:tcBorders>
            <w:noWrap w:val="0"/>
            <w:vAlign w:val="center"/>
          </w:tcPr>
          <w:p w14:paraId="4A2DC6B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有自动漆雾处理系统，漆雾处理效率≥80%</w:t>
            </w:r>
          </w:p>
        </w:tc>
        <w:tc>
          <w:tcPr>
            <w:tcW w:w="3106" w:type="dxa"/>
            <w:tcBorders>
              <w:tl2br w:val="nil"/>
              <w:tr2bl w:val="nil"/>
            </w:tcBorders>
            <w:noWrap w:val="0"/>
            <w:vAlign w:val="center"/>
          </w:tcPr>
          <w:p w14:paraId="6E5AAF0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设有自动除漆雾处理系统（干式纸盒</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过滤棉过滤捕集装置），漆雾处理效率≥</w:t>
            </w:r>
            <w:r>
              <w:rPr>
                <w:rFonts w:hint="eastAsia" w:ascii="Times New Roman Regular" w:hAnsi="Times New Roman Regular" w:cs="Times New Roman Regular"/>
                <w:i w:val="0"/>
                <w:iCs w:val="0"/>
                <w:color w:val="auto"/>
                <w:kern w:val="0"/>
                <w:sz w:val="16"/>
                <w:szCs w:val="16"/>
                <w:highlight w:val="none"/>
                <w:u w:val="none"/>
                <w:lang w:val="en-US" w:eastAsia="zh-CN" w:bidi="ar"/>
              </w:rPr>
              <w:t>9</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5%</w:t>
            </w:r>
          </w:p>
        </w:tc>
        <w:tc>
          <w:tcPr>
            <w:tcW w:w="868" w:type="dxa"/>
            <w:tcBorders>
              <w:tl2br w:val="nil"/>
              <w:tr2bl w:val="nil"/>
            </w:tcBorders>
            <w:noWrap w:val="0"/>
            <w:vAlign w:val="center"/>
          </w:tcPr>
          <w:p w14:paraId="13F4F31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0.054</w:t>
            </w:r>
          </w:p>
        </w:tc>
        <w:tc>
          <w:tcPr>
            <w:tcW w:w="717" w:type="dxa"/>
            <w:tcBorders>
              <w:tl2br w:val="nil"/>
              <w:tr2bl w:val="nil"/>
            </w:tcBorders>
            <w:noWrap w:val="0"/>
            <w:vAlign w:val="center"/>
          </w:tcPr>
          <w:p w14:paraId="6B0C3FA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0.054</w:t>
            </w:r>
          </w:p>
        </w:tc>
        <w:tc>
          <w:tcPr>
            <w:tcW w:w="858" w:type="dxa"/>
            <w:tcBorders>
              <w:tl2br w:val="nil"/>
              <w:tr2bl w:val="nil"/>
            </w:tcBorders>
            <w:noWrap w:val="0"/>
            <w:vAlign w:val="center"/>
          </w:tcPr>
          <w:p w14:paraId="1112661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0.054</w:t>
            </w:r>
          </w:p>
        </w:tc>
      </w:tr>
      <w:tr w14:paraId="0912E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789B8C7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7B96582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vMerge w:val="restart"/>
            <w:tcBorders>
              <w:tl2br w:val="nil"/>
              <w:tr2bl w:val="nil"/>
            </w:tcBorders>
            <w:noWrap w:val="0"/>
            <w:vAlign w:val="center"/>
          </w:tcPr>
          <w:p w14:paraId="236C19A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5</w:t>
            </w:r>
          </w:p>
        </w:tc>
        <w:tc>
          <w:tcPr>
            <w:tcW w:w="467" w:type="dxa"/>
            <w:vMerge w:val="continue"/>
            <w:tcBorders>
              <w:tl2br w:val="nil"/>
              <w:tr2bl w:val="nil"/>
            </w:tcBorders>
            <w:noWrap w:val="0"/>
            <w:vAlign w:val="center"/>
          </w:tcPr>
          <w:p w14:paraId="69C0C35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vMerge w:val="restart"/>
            <w:tcBorders>
              <w:tl2br w:val="nil"/>
              <w:tr2bl w:val="nil"/>
            </w:tcBorders>
            <w:noWrap w:val="0"/>
            <w:vAlign w:val="center"/>
          </w:tcPr>
          <w:p w14:paraId="4971D6C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喷漆（涂覆）（包括流平）</w:t>
            </w:r>
          </w:p>
        </w:tc>
        <w:tc>
          <w:tcPr>
            <w:tcW w:w="832" w:type="dxa"/>
            <w:tcBorders>
              <w:tl2br w:val="nil"/>
              <w:tr2bl w:val="nil"/>
            </w:tcBorders>
            <w:noWrap w:val="0"/>
            <w:vAlign w:val="center"/>
          </w:tcPr>
          <w:p w14:paraId="3FB8D65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0.15</w:t>
            </w:r>
          </w:p>
        </w:tc>
        <w:tc>
          <w:tcPr>
            <w:tcW w:w="3917" w:type="dxa"/>
            <w:tcBorders>
              <w:tl2br w:val="nil"/>
              <w:tr2bl w:val="nil"/>
            </w:tcBorders>
            <w:noWrap w:val="0"/>
            <w:vAlign w:val="center"/>
          </w:tcPr>
          <w:p w14:paraId="7670F91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应满足以下条件之一：①使用水性漆；②使用光固化（UV）漆；③使用粉末涂料；④免中涂工艺</w:t>
            </w:r>
          </w:p>
        </w:tc>
        <w:tc>
          <w:tcPr>
            <w:tcW w:w="5137" w:type="dxa"/>
            <w:gridSpan w:val="2"/>
            <w:tcBorders>
              <w:tl2br w:val="nil"/>
              <w:tr2bl w:val="nil"/>
            </w:tcBorders>
            <w:noWrap w:val="0"/>
            <w:vAlign w:val="center"/>
          </w:tcPr>
          <w:p w14:paraId="3BC5387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节水b、节能c技术应用</w:t>
            </w:r>
          </w:p>
        </w:tc>
        <w:tc>
          <w:tcPr>
            <w:tcW w:w="3106" w:type="dxa"/>
            <w:tcBorders>
              <w:tl2br w:val="nil"/>
              <w:tr2bl w:val="nil"/>
            </w:tcBorders>
            <w:noWrap w:val="0"/>
            <w:vAlign w:val="center"/>
          </w:tcPr>
          <w:p w14:paraId="6DC85C1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喷漆室有循环系统、除渣措施</w:t>
            </w:r>
          </w:p>
        </w:tc>
        <w:tc>
          <w:tcPr>
            <w:tcW w:w="868" w:type="dxa"/>
            <w:tcBorders>
              <w:tl2br w:val="nil"/>
              <w:tr2bl w:val="nil"/>
            </w:tcBorders>
            <w:noWrap w:val="0"/>
            <w:vAlign w:val="center"/>
          </w:tcPr>
          <w:p w14:paraId="01F4024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0423AF6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0.09</w:t>
            </w:r>
          </w:p>
        </w:tc>
        <w:tc>
          <w:tcPr>
            <w:tcW w:w="858" w:type="dxa"/>
            <w:tcBorders>
              <w:tl2br w:val="nil"/>
              <w:tr2bl w:val="nil"/>
            </w:tcBorders>
            <w:noWrap w:val="0"/>
            <w:vAlign w:val="center"/>
          </w:tcPr>
          <w:p w14:paraId="3D5F4A8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0.09</w:t>
            </w:r>
          </w:p>
        </w:tc>
      </w:tr>
      <w:tr w14:paraId="1556B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7D8A296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4B2EFAC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vMerge w:val="continue"/>
            <w:tcBorders>
              <w:tl2br w:val="nil"/>
              <w:tr2bl w:val="nil"/>
            </w:tcBorders>
            <w:noWrap w:val="0"/>
            <w:vAlign w:val="center"/>
          </w:tcPr>
          <w:p w14:paraId="35240FB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467" w:type="dxa"/>
            <w:vMerge w:val="continue"/>
            <w:tcBorders>
              <w:tl2br w:val="nil"/>
              <w:tr2bl w:val="nil"/>
            </w:tcBorders>
            <w:noWrap w:val="0"/>
            <w:vAlign w:val="center"/>
          </w:tcPr>
          <w:p w14:paraId="353FD9F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vMerge w:val="continue"/>
            <w:tcBorders>
              <w:tl2br w:val="nil"/>
              <w:tr2bl w:val="nil"/>
            </w:tcBorders>
            <w:noWrap w:val="0"/>
            <w:vAlign w:val="center"/>
          </w:tcPr>
          <w:p w14:paraId="254F343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32" w:type="dxa"/>
            <w:tcBorders>
              <w:tl2br w:val="nil"/>
              <w:tr2bl w:val="nil"/>
            </w:tcBorders>
            <w:noWrap w:val="0"/>
            <w:vAlign w:val="center"/>
          </w:tcPr>
          <w:p w14:paraId="3CC467A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0.06</w:t>
            </w:r>
          </w:p>
        </w:tc>
        <w:tc>
          <w:tcPr>
            <w:tcW w:w="9054" w:type="dxa"/>
            <w:gridSpan w:val="3"/>
            <w:tcBorders>
              <w:tl2br w:val="nil"/>
              <w:tr2bl w:val="nil"/>
            </w:tcBorders>
            <w:noWrap w:val="0"/>
            <w:vAlign w:val="center"/>
          </w:tcPr>
          <w:p w14:paraId="3C56F60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废溶剂收集、处理e</w:t>
            </w:r>
          </w:p>
        </w:tc>
        <w:tc>
          <w:tcPr>
            <w:tcW w:w="3106" w:type="dxa"/>
            <w:tcBorders>
              <w:tl2br w:val="nil"/>
              <w:tr2bl w:val="nil"/>
            </w:tcBorders>
            <w:noWrap w:val="0"/>
            <w:vAlign w:val="center"/>
          </w:tcPr>
          <w:p w14:paraId="79EC619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设有废溶剂收集设施</w:t>
            </w:r>
          </w:p>
        </w:tc>
        <w:tc>
          <w:tcPr>
            <w:tcW w:w="868" w:type="dxa"/>
            <w:tcBorders>
              <w:tl2br w:val="nil"/>
              <w:tr2bl w:val="nil"/>
            </w:tcBorders>
            <w:noWrap w:val="0"/>
            <w:vAlign w:val="center"/>
          </w:tcPr>
          <w:p w14:paraId="0E32891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0.036</w:t>
            </w:r>
          </w:p>
        </w:tc>
        <w:tc>
          <w:tcPr>
            <w:tcW w:w="717" w:type="dxa"/>
            <w:tcBorders>
              <w:tl2br w:val="nil"/>
              <w:tr2bl w:val="nil"/>
            </w:tcBorders>
            <w:noWrap w:val="0"/>
            <w:vAlign w:val="center"/>
          </w:tcPr>
          <w:p w14:paraId="6D993C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0.036</w:t>
            </w:r>
          </w:p>
        </w:tc>
        <w:tc>
          <w:tcPr>
            <w:tcW w:w="858" w:type="dxa"/>
            <w:tcBorders>
              <w:tl2br w:val="nil"/>
              <w:tr2bl w:val="nil"/>
            </w:tcBorders>
            <w:noWrap w:val="0"/>
            <w:vAlign w:val="center"/>
          </w:tcPr>
          <w:p w14:paraId="0A98615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0.036</w:t>
            </w:r>
          </w:p>
        </w:tc>
      </w:tr>
      <w:tr w14:paraId="1CF3C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2E95BB3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0111AA6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0E43C23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6</w:t>
            </w:r>
          </w:p>
        </w:tc>
        <w:tc>
          <w:tcPr>
            <w:tcW w:w="467" w:type="dxa"/>
            <w:vMerge w:val="continue"/>
            <w:tcBorders>
              <w:tl2br w:val="nil"/>
              <w:tr2bl w:val="nil"/>
            </w:tcBorders>
            <w:noWrap w:val="0"/>
            <w:vAlign w:val="center"/>
          </w:tcPr>
          <w:p w14:paraId="06C7115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tcBorders>
              <w:tl2br w:val="nil"/>
              <w:tr2bl w:val="nil"/>
            </w:tcBorders>
            <w:noWrap w:val="0"/>
            <w:vAlign w:val="center"/>
          </w:tcPr>
          <w:p w14:paraId="3A9B000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烘干室</w:t>
            </w:r>
          </w:p>
        </w:tc>
        <w:tc>
          <w:tcPr>
            <w:tcW w:w="832" w:type="dxa"/>
            <w:tcBorders>
              <w:tl2br w:val="nil"/>
              <w:tr2bl w:val="nil"/>
            </w:tcBorders>
            <w:noWrap w:val="0"/>
            <w:vAlign w:val="center"/>
          </w:tcPr>
          <w:p w14:paraId="7B99371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0.04</w:t>
            </w:r>
          </w:p>
        </w:tc>
        <w:tc>
          <w:tcPr>
            <w:tcW w:w="5825" w:type="dxa"/>
            <w:gridSpan w:val="2"/>
            <w:tcBorders>
              <w:tl2br w:val="nil"/>
              <w:tr2bl w:val="nil"/>
            </w:tcBorders>
            <w:noWrap w:val="0"/>
            <w:vAlign w:val="center"/>
          </w:tcPr>
          <w:p w14:paraId="0196AB8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节能技术应用c；加热装置多级调节j，使用清洁能源</w:t>
            </w:r>
          </w:p>
        </w:tc>
        <w:tc>
          <w:tcPr>
            <w:tcW w:w="3229" w:type="dxa"/>
            <w:tcBorders>
              <w:tl2br w:val="nil"/>
              <w:tr2bl w:val="nil"/>
            </w:tcBorders>
            <w:noWrap w:val="0"/>
            <w:vAlign w:val="center"/>
          </w:tcPr>
          <w:p w14:paraId="72E6C95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加热装置多级调节j，使用清洁能源</w:t>
            </w:r>
          </w:p>
        </w:tc>
        <w:tc>
          <w:tcPr>
            <w:tcW w:w="3106" w:type="dxa"/>
            <w:tcBorders>
              <w:tl2br w:val="nil"/>
              <w:tr2bl w:val="nil"/>
            </w:tcBorders>
            <w:noWrap w:val="0"/>
            <w:vAlign w:val="center"/>
          </w:tcPr>
          <w:p w14:paraId="134E053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采用电为能源，项目采用应用变频电机，可按需调节能耗</w:t>
            </w:r>
          </w:p>
        </w:tc>
        <w:tc>
          <w:tcPr>
            <w:tcW w:w="868" w:type="dxa"/>
            <w:tcBorders>
              <w:tl2br w:val="nil"/>
              <w:tr2bl w:val="nil"/>
            </w:tcBorders>
            <w:noWrap w:val="0"/>
            <w:vAlign w:val="center"/>
          </w:tcPr>
          <w:p w14:paraId="7BBBFC7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c>
          <w:tcPr>
            <w:tcW w:w="717" w:type="dxa"/>
            <w:tcBorders>
              <w:tl2br w:val="nil"/>
              <w:tr2bl w:val="nil"/>
            </w:tcBorders>
            <w:noWrap w:val="0"/>
            <w:vAlign w:val="center"/>
          </w:tcPr>
          <w:p w14:paraId="46B2132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c>
          <w:tcPr>
            <w:tcW w:w="858" w:type="dxa"/>
            <w:tcBorders>
              <w:tl2br w:val="nil"/>
              <w:tr2bl w:val="nil"/>
            </w:tcBorders>
            <w:noWrap w:val="0"/>
            <w:vAlign w:val="center"/>
          </w:tcPr>
          <w:p w14:paraId="5E04F93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0.024</w:t>
            </w:r>
          </w:p>
        </w:tc>
      </w:tr>
      <w:tr w14:paraId="6163E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5FEA11F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6B105C6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4FC8F9F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7</w:t>
            </w:r>
          </w:p>
        </w:tc>
        <w:tc>
          <w:tcPr>
            <w:tcW w:w="467" w:type="dxa"/>
            <w:vMerge w:val="restart"/>
            <w:tcBorders>
              <w:tl2br w:val="nil"/>
              <w:tr2bl w:val="nil"/>
            </w:tcBorders>
            <w:noWrap w:val="0"/>
            <w:vAlign w:val="center"/>
          </w:tcPr>
          <w:p w14:paraId="74F9EAA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废气处理设施</w:t>
            </w:r>
          </w:p>
        </w:tc>
        <w:tc>
          <w:tcPr>
            <w:tcW w:w="2700" w:type="dxa"/>
            <w:gridSpan w:val="2"/>
            <w:tcBorders>
              <w:tl2br w:val="nil"/>
              <w:tr2bl w:val="nil"/>
            </w:tcBorders>
            <w:noWrap w:val="0"/>
            <w:vAlign w:val="center"/>
          </w:tcPr>
          <w:p w14:paraId="1618A28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喷漆废气</w:t>
            </w:r>
          </w:p>
        </w:tc>
        <w:tc>
          <w:tcPr>
            <w:tcW w:w="832" w:type="dxa"/>
            <w:tcBorders>
              <w:tl2br w:val="nil"/>
              <w:tr2bl w:val="nil"/>
            </w:tcBorders>
            <w:noWrap w:val="0"/>
            <w:vAlign w:val="center"/>
          </w:tcPr>
          <w:p w14:paraId="0F3E2E0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0.11</w:t>
            </w:r>
          </w:p>
        </w:tc>
        <w:tc>
          <w:tcPr>
            <w:tcW w:w="5825" w:type="dxa"/>
            <w:gridSpan w:val="2"/>
            <w:tcBorders>
              <w:tl2br w:val="nil"/>
              <w:tr2bl w:val="nil"/>
            </w:tcBorders>
            <w:noWrap w:val="0"/>
            <w:vAlign w:val="center"/>
          </w:tcPr>
          <w:p w14:paraId="60A9DAA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溶剂工艺段有VOCs处理设施，处理效率≥85%；有VOCs处理设备运行监控装置</w:t>
            </w:r>
          </w:p>
        </w:tc>
        <w:tc>
          <w:tcPr>
            <w:tcW w:w="3229" w:type="dxa"/>
            <w:tcBorders>
              <w:tl2br w:val="nil"/>
              <w:tr2bl w:val="nil"/>
            </w:tcBorders>
            <w:noWrap w:val="0"/>
            <w:vAlign w:val="center"/>
          </w:tcPr>
          <w:p w14:paraId="2DE0097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溶剂型喷漆有VOCs处理设施，处理效率≥75%；有VOCs处理设备运行监控装置</w:t>
            </w:r>
          </w:p>
        </w:tc>
        <w:tc>
          <w:tcPr>
            <w:tcW w:w="3106" w:type="dxa"/>
            <w:tcBorders>
              <w:tl2br w:val="nil"/>
              <w:tr2bl w:val="nil"/>
            </w:tcBorders>
            <w:noWrap w:val="0"/>
            <w:vAlign w:val="center"/>
          </w:tcPr>
          <w:p w14:paraId="1E9409D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喷漆房密闭，废气采用负压收集后采用</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干式纸盒</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过滤棉过滤+RTO蓄热式焚烧炉</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装置处理，处理效率可达98%，并设有</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VOCs处理设备运行监控装置</w:t>
            </w:r>
          </w:p>
        </w:tc>
        <w:tc>
          <w:tcPr>
            <w:tcW w:w="868" w:type="dxa"/>
            <w:tcBorders>
              <w:tl2br w:val="nil"/>
              <w:tr2bl w:val="nil"/>
            </w:tcBorders>
            <w:noWrap w:val="0"/>
            <w:vAlign w:val="center"/>
          </w:tcPr>
          <w:p w14:paraId="632D4D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717" w:type="dxa"/>
            <w:tcBorders>
              <w:tl2br w:val="nil"/>
              <w:tr2bl w:val="nil"/>
            </w:tcBorders>
            <w:noWrap w:val="0"/>
            <w:vAlign w:val="center"/>
          </w:tcPr>
          <w:p w14:paraId="09804C4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858" w:type="dxa"/>
            <w:tcBorders>
              <w:tl2br w:val="nil"/>
              <w:tr2bl w:val="nil"/>
            </w:tcBorders>
            <w:noWrap w:val="0"/>
            <w:vAlign w:val="center"/>
          </w:tcPr>
          <w:p w14:paraId="5AAC4AB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0.066</w:t>
            </w:r>
          </w:p>
        </w:tc>
      </w:tr>
      <w:tr w14:paraId="14B2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1A0F974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176B73D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11B1B97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8</w:t>
            </w:r>
          </w:p>
        </w:tc>
        <w:tc>
          <w:tcPr>
            <w:tcW w:w="467" w:type="dxa"/>
            <w:vMerge w:val="continue"/>
            <w:tcBorders>
              <w:tl2br w:val="nil"/>
              <w:tr2bl w:val="nil"/>
            </w:tcBorders>
            <w:noWrap w:val="0"/>
            <w:vAlign w:val="center"/>
          </w:tcPr>
          <w:p w14:paraId="3A40F0A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tcBorders>
              <w:tl2br w:val="nil"/>
              <w:tr2bl w:val="nil"/>
            </w:tcBorders>
            <w:noWrap w:val="0"/>
            <w:vAlign w:val="center"/>
          </w:tcPr>
          <w:p w14:paraId="6D71984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涂层烘干废气</w:t>
            </w:r>
          </w:p>
        </w:tc>
        <w:tc>
          <w:tcPr>
            <w:tcW w:w="832" w:type="dxa"/>
            <w:tcBorders>
              <w:tl2br w:val="nil"/>
              <w:tr2bl w:val="nil"/>
            </w:tcBorders>
            <w:noWrap w:val="0"/>
            <w:vAlign w:val="center"/>
          </w:tcPr>
          <w:p w14:paraId="54D55F7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0.11</w:t>
            </w:r>
          </w:p>
        </w:tc>
        <w:tc>
          <w:tcPr>
            <w:tcW w:w="3917" w:type="dxa"/>
            <w:tcBorders>
              <w:tl2br w:val="nil"/>
              <w:tr2bl w:val="nil"/>
            </w:tcBorders>
            <w:noWrap w:val="0"/>
            <w:vAlign w:val="center"/>
          </w:tcPr>
          <w:p w14:paraId="7A0D8A2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有VOCs处理设施，处理效率≥98%；有VOCs处理设备运行监控装置</w:t>
            </w:r>
          </w:p>
        </w:tc>
        <w:tc>
          <w:tcPr>
            <w:tcW w:w="1908" w:type="dxa"/>
            <w:tcBorders>
              <w:tl2br w:val="nil"/>
              <w:tr2bl w:val="nil"/>
            </w:tcBorders>
            <w:noWrap w:val="0"/>
            <w:vAlign w:val="center"/>
          </w:tcPr>
          <w:p w14:paraId="1B24229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有VOCs处理设施，处理效率≥95%；有VOCs处理设备运行监控装置</w:t>
            </w:r>
          </w:p>
        </w:tc>
        <w:tc>
          <w:tcPr>
            <w:tcW w:w="3229" w:type="dxa"/>
            <w:tcBorders>
              <w:tl2br w:val="nil"/>
              <w:tr2bl w:val="nil"/>
            </w:tcBorders>
            <w:noWrap w:val="0"/>
            <w:vAlign w:val="center"/>
          </w:tcPr>
          <w:p w14:paraId="3A27035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有VOCs处理设施，处理效率≥90%；有VOCs处理设备运行监控装置</w:t>
            </w:r>
          </w:p>
        </w:tc>
        <w:tc>
          <w:tcPr>
            <w:tcW w:w="3106" w:type="dxa"/>
            <w:tcBorders>
              <w:tl2br w:val="nil"/>
              <w:tr2bl w:val="nil"/>
            </w:tcBorders>
            <w:noWrap w:val="0"/>
            <w:vAlign w:val="center"/>
          </w:tcPr>
          <w:p w14:paraId="22C54DC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烘干废气收集后采用</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干式纸盒</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过滤棉过滤+RTO蓄热式焚烧炉</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装置处理，并</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VOCs处理设备运行监控装置</w:t>
            </w:r>
          </w:p>
        </w:tc>
        <w:tc>
          <w:tcPr>
            <w:tcW w:w="868" w:type="dxa"/>
            <w:tcBorders>
              <w:tl2br w:val="nil"/>
              <w:tr2bl w:val="nil"/>
            </w:tcBorders>
            <w:noWrap w:val="0"/>
            <w:vAlign w:val="center"/>
          </w:tcPr>
          <w:p w14:paraId="5BE3F15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717" w:type="dxa"/>
            <w:tcBorders>
              <w:tl2br w:val="nil"/>
              <w:tr2bl w:val="nil"/>
            </w:tcBorders>
            <w:noWrap w:val="0"/>
            <w:vAlign w:val="center"/>
          </w:tcPr>
          <w:p w14:paraId="10D6A36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c>
          <w:tcPr>
            <w:tcW w:w="858" w:type="dxa"/>
            <w:tcBorders>
              <w:tl2br w:val="nil"/>
              <w:tr2bl w:val="nil"/>
            </w:tcBorders>
            <w:noWrap w:val="0"/>
            <w:vAlign w:val="center"/>
          </w:tcPr>
          <w:p w14:paraId="66A6FA3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0.066</w:t>
            </w:r>
          </w:p>
        </w:tc>
      </w:tr>
      <w:tr w14:paraId="5F45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4B33BC2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37E6D33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4A973E5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9</w:t>
            </w:r>
          </w:p>
        </w:tc>
        <w:tc>
          <w:tcPr>
            <w:tcW w:w="467" w:type="dxa"/>
            <w:vMerge w:val="restart"/>
            <w:tcBorders>
              <w:tl2br w:val="nil"/>
              <w:tr2bl w:val="nil"/>
            </w:tcBorders>
            <w:noWrap w:val="0"/>
            <w:vAlign w:val="center"/>
          </w:tcPr>
          <w:p w14:paraId="72E4FE9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原辅材料</w:t>
            </w:r>
          </w:p>
        </w:tc>
        <w:tc>
          <w:tcPr>
            <w:tcW w:w="2700" w:type="dxa"/>
            <w:gridSpan w:val="2"/>
            <w:tcBorders>
              <w:tl2br w:val="nil"/>
              <w:tr2bl w:val="nil"/>
            </w:tcBorders>
            <w:noWrap w:val="0"/>
            <w:vAlign w:val="center"/>
          </w:tcPr>
          <w:p w14:paraId="57D954F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底漆</w:t>
            </w:r>
          </w:p>
        </w:tc>
        <w:tc>
          <w:tcPr>
            <w:tcW w:w="832" w:type="dxa"/>
            <w:tcBorders>
              <w:tl2br w:val="nil"/>
              <w:tr2bl w:val="nil"/>
            </w:tcBorders>
            <w:noWrap w:val="0"/>
            <w:vAlign w:val="center"/>
          </w:tcPr>
          <w:p w14:paraId="2A54CB0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3917" w:type="dxa"/>
            <w:tcBorders>
              <w:tl2br w:val="nil"/>
              <w:tr2bl w:val="nil"/>
            </w:tcBorders>
            <w:noWrap w:val="0"/>
            <w:vAlign w:val="center"/>
          </w:tcPr>
          <w:p w14:paraId="2F076F9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VOCs≤30%</w:t>
            </w:r>
          </w:p>
        </w:tc>
        <w:tc>
          <w:tcPr>
            <w:tcW w:w="1908" w:type="dxa"/>
            <w:tcBorders>
              <w:tl2br w:val="nil"/>
              <w:tr2bl w:val="nil"/>
            </w:tcBorders>
            <w:noWrap w:val="0"/>
            <w:vAlign w:val="center"/>
          </w:tcPr>
          <w:p w14:paraId="051721B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VOCs≤35%</w:t>
            </w:r>
          </w:p>
        </w:tc>
        <w:tc>
          <w:tcPr>
            <w:tcW w:w="3229" w:type="dxa"/>
            <w:tcBorders>
              <w:tl2br w:val="nil"/>
              <w:tr2bl w:val="nil"/>
            </w:tcBorders>
            <w:noWrap w:val="0"/>
            <w:vAlign w:val="center"/>
          </w:tcPr>
          <w:p w14:paraId="0F7AF1D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VOCs≤45%</w:t>
            </w:r>
          </w:p>
        </w:tc>
        <w:tc>
          <w:tcPr>
            <w:tcW w:w="3106" w:type="dxa"/>
            <w:tcBorders>
              <w:tl2br w:val="nil"/>
              <w:tr2bl w:val="nil"/>
            </w:tcBorders>
            <w:noWrap w:val="0"/>
            <w:vAlign w:val="center"/>
          </w:tcPr>
          <w:p w14:paraId="1B1CBF6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40</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w:t>
            </w:r>
          </w:p>
        </w:tc>
        <w:tc>
          <w:tcPr>
            <w:tcW w:w="868" w:type="dxa"/>
            <w:tcBorders>
              <w:tl2br w:val="nil"/>
              <w:tr2bl w:val="nil"/>
            </w:tcBorders>
            <w:noWrap w:val="0"/>
            <w:vAlign w:val="center"/>
          </w:tcPr>
          <w:p w14:paraId="3486A55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2DDD4E0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w:t>
            </w:r>
          </w:p>
        </w:tc>
        <w:tc>
          <w:tcPr>
            <w:tcW w:w="858" w:type="dxa"/>
            <w:tcBorders>
              <w:tl2br w:val="nil"/>
              <w:tr2bl w:val="nil"/>
            </w:tcBorders>
            <w:noWrap w:val="0"/>
            <w:vAlign w:val="center"/>
          </w:tcPr>
          <w:p w14:paraId="2045B6C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r>
      <w:tr w14:paraId="2232E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0A3BA11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5EDFAC2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275E455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10</w:t>
            </w:r>
          </w:p>
        </w:tc>
        <w:tc>
          <w:tcPr>
            <w:tcW w:w="467" w:type="dxa"/>
            <w:vMerge w:val="continue"/>
            <w:tcBorders>
              <w:tl2br w:val="nil"/>
              <w:tr2bl w:val="nil"/>
            </w:tcBorders>
            <w:noWrap w:val="0"/>
            <w:vAlign w:val="center"/>
          </w:tcPr>
          <w:p w14:paraId="00B5727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tcBorders>
              <w:tl2br w:val="nil"/>
              <w:tr2bl w:val="nil"/>
            </w:tcBorders>
            <w:noWrap w:val="0"/>
            <w:vAlign w:val="center"/>
          </w:tcPr>
          <w:p w14:paraId="4F5252D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中漆</w:t>
            </w:r>
          </w:p>
        </w:tc>
        <w:tc>
          <w:tcPr>
            <w:tcW w:w="832" w:type="dxa"/>
            <w:tcBorders>
              <w:tl2br w:val="nil"/>
              <w:tr2bl w:val="nil"/>
            </w:tcBorders>
            <w:noWrap w:val="0"/>
            <w:vAlign w:val="center"/>
          </w:tcPr>
          <w:p w14:paraId="0A4BBCC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3917" w:type="dxa"/>
            <w:tcBorders>
              <w:tl2br w:val="nil"/>
              <w:tr2bl w:val="nil"/>
            </w:tcBorders>
            <w:noWrap w:val="0"/>
            <w:vAlign w:val="center"/>
          </w:tcPr>
          <w:p w14:paraId="73741CF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VOCs≤30%</w:t>
            </w:r>
          </w:p>
        </w:tc>
        <w:tc>
          <w:tcPr>
            <w:tcW w:w="1908" w:type="dxa"/>
            <w:tcBorders>
              <w:tl2br w:val="nil"/>
              <w:tr2bl w:val="nil"/>
            </w:tcBorders>
            <w:noWrap w:val="0"/>
            <w:vAlign w:val="center"/>
          </w:tcPr>
          <w:p w14:paraId="69A9E98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VOCs≤40%</w:t>
            </w:r>
          </w:p>
        </w:tc>
        <w:tc>
          <w:tcPr>
            <w:tcW w:w="3229" w:type="dxa"/>
            <w:tcBorders>
              <w:tl2br w:val="nil"/>
              <w:tr2bl w:val="nil"/>
            </w:tcBorders>
            <w:noWrap w:val="0"/>
            <w:vAlign w:val="center"/>
          </w:tcPr>
          <w:p w14:paraId="59BD04A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VOCs≤55%</w:t>
            </w:r>
          </w:p>
        </w:tc>
        <w:tc>
          <w:tcPr>
            <w:tcW w:w="3106" w:type="dxa"/>
            <w:tcBorders>
              <w:tl2br w:val="nil"/>
              <w:tr2bl w:val="nil"/>
            </w:tcBorders>
            <w:noWrap w:val="0"/>
            <w:vAlign w:val="center"/>
          </w:tcPr>
          <w:p w14:paraId="71F8AC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50%</w:t>
            </w:r>
          </w:p>
        </w:tc>
        <w:tc>
          <w:tcPr>
            <w:tcW w:w="868" w:type="dxa"/>
            <w:tcBorders>
              <w:tl2br w:val="nil"/>
              <w:tr2bl w:val="nil"/>
            </w:tcBorders>
            <w:noWrap w:val="0"/>
            <w:vAlign w:val="center"/>
          </w:tcPr>
          <w:p w14:paraId="3A09D88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15263C8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w:t>
            </w:r>
          </w:p>
        </w:tc>
        <w:tc>
          <w:tcPr>
            <w:tcW w:w="858" w:type="dxa"/>
            <w:tcBorders>
              <w:tl2br w:val="nil"/>
              <w:tr2bl w:val="nil"/>
            </w:tcBorders>
            <w:noWrap w:val="0"/>
            <w:vAlign w:val="center"/>
          </w:tcPr>
          <w:p w14:paraId="52CE4CD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r>
      <w:tr w14:paraId="63215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707A50E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722DAE3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4AA8D99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11</w:t>
            </w:r>
          </w:p>
        </w:tc>
        <w:tc>
          <w:tcPr>
            <w:tcW w:w="467" w:type="dxa"/>
            <w:vMerge w:val="continue"/>
            <w:tcBorders>
              <w:tl2br w:val="nil"/>
              <w:tr2bl w:val="nil"/>
            </w:tcBorders>
            <w:noWrap w:val="0"/>
            <w:vAlign w:val="center"/>
          </w:tcPr>
          <w:p w14:paraId="047235E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700" w:type="dxa"/>
            <w:gridSpan w:val="2"/>
            <w:tcBorders>
              <w:tl2br w:val="nil"/>
              <w:tr2bl w:val="nil"/>
            </w:tcBorders>
            <w:noWrap w:val="0"/>
            <w:vAlign w:val="center"/>
          </w:tcPr>
          <w:p w14:paraId="6963749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面漆</w:t>
            </w:r>
          </w:p>
        </w:tc>
        <w:tc>
          <w:tcPr>
            <w:tcW w:w="832" w:type="dxa"/>
            <w:tcBorders>
              <w:tl2br w:val="nil"/>
              <w:tr2bl w:val="nil"/>
            </w:tcBorders>
            <w:noWrap w:val="0"/>
            <w:vAlign w:val="center"/>
          </w:tcPr>
          <w:p w14:paraId="0451F27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3917" w:type="dxa"/>
            <w:tcBorders>
              <w:tl2br w:val="nil"/>
              <w:tr2bl w:val="nil"/>
            </w:tcBorders>
            <w:noWrap w:val="0"/>
            <w:vAlign w:val="center"/>
          </w:tcPr>
          <w:p w14:paraId="743D47B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VOCs≤50%</w:t>
            </w:r>
          </w:p>
        </w:tc>
        <w:tc>
          <w:tcPr>
            <w:tcW w:w="1908" w:type="dxa"/>
            <w:tcBorders>
              <w:tl2br w:val="nil"/>
              <w:tr2bl w:val="nil"/>
            </w:tcBorders>
            <w:noWrap w:val="0"/>
            <w:vAlign w:val="center"/>
          </w:tcPr>
          <w:p w14:paraId="0910AFC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VOCs≤60%</w:t>
            </w:r>
          </w:p>
        </w:tc>
        <w:tc>
          <w:tcPr>
            <w:tcW w:w="3229" w:type="dxa"/>
            <w:tcBorders>
              <w:tl2br w:val="nil"/>
              <w:tr2bl w:val="nil"/>
            </w:tcBorders>
            <w:noWrap w:val="0"/>
            <w:vAlign w:val="center"/>
          </w:tcPr>
          <w:p w14:paraId="02FA652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VOCs≤70%</w:t>
            </w:r>
          </w:p>
        </w:tc>
        <w:tc>
          <w:tcPr>
            <w:tcW w:w="3106" w:type="dxa"/>
            <w:tcBorders>
              <w:tl2br w:val="nil"/>
              <w:tr2bl w:val="nil"/>
            </w:tcBorders>
            <w:noWrap w:val="0"/>
            <w:vAlign w:val="center"/>
          </w:tcPr>
          <w:p w14:paraId="16FEB95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4</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5%</w:t>
            </w:r>
          </w:p>
        </w:tc>
        <w:tc>
          <w:tcPr>
            <w:tcW w:w="868" w:type="dxa"/>
            <w:tcBorders>
              <w:tl2br w:val="nil"/>
              <w:tr2bl w:val="nil"/>
            </w:tcBorders>
            <w:noWrap w:val="0"/>
            <w:vAlign w:val="center"/>
          </w:tcPr>
          <w:p w14:paraId="5761F1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c>
          <w:tcPr>
            <w:tcW w:w="717" w:type="dxa"/>
            <w:tcBorders>
              <w:tl2br w:val="nil"/>
              <w:tr2bl w:val="nil"/>
            </w:tcBorders>
            <w:noWrap w:val="0"/>
            <w:vAlign w:val="center"/>
          </w:tcPr>
          <w:p w14:paraId="515D21C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c>
          <w:tcPr>
            <w:tcW w:w="858" w:type="dxa"/>
            <w:tcBorders>
              <w:tl2br w:val="nil"/>
              <w:tr2bl w:val="nil"/>
            </w:tcBorders>
            <w:noWrap w:val="0"/>
            <w:vAlign w:val="center"/>
          </w:tcPr>
          <w:p w14:paraId="7481755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r>
      <w:tr w14:paraId="46AFD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258F6DD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290DADB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681CB9B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12</w:t>
            </w:r>
          </w:p>
        </w:tc>
        <w:tc>
          <w:tcPr>
            <w:tcW w:w="467" w:type="dxa"/>
            <w:vMerge w:val="continue"/>
            <w:tcBorders>
              <w:tl2br w:val="nil"/>
              <w:tr2bl w:val="nil"/>
            </w:tcBorders>
            <w:noWrap w:val="0"/>
            <w:vAlign w:val="center"/>
          </w:tcPr>
          <w:p w14:paraId="4822420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1116" w:type="dxa"/>
            <w:tcBorders>
              <w:tl2br w:val="nil"/>
              <w:tr2bl w:val="nil"/>
            </w:tcBorders>
            <w:noWrap w:val="0"/>
            <w:vAlign w:val="center"/>
          </w:tcPr>
          <w:p w14:paraId="0F636C4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喷枪清洗液</w:t>
            </w:r>
          </w:p>
        </w:tc>
        <w:tc>
          <w:tcPr>
            <w:tcW w:w="1584" w:type="dxa"/>
            <w:tcBorders>
              <w:tl2br w:val="nil"/>
              <w:tr2bl w:val="nil"/>
            </w:tcBorders>
            <w:noWrap w:val="0"/>
            <w:vAlign w:val="center"/>
          </w:tcPr>
          <w:p w14:paraId="40A4DBC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水性漆</w:t>
            </w:r>
          </w:p>
        </w:tc>
        <w:tc>
          <w:tcPr>
            <w:tcW w:w="832" w:type="dxa"/>
            <w:tcBorders>
              <w:tl2br w:val="nil"/>
              <w:tr2bl w:val="nil"/>
            </w:tcBorders>
            <w:noWrap w:val="0"/>
            <w:vAlign w:val="center"/>
          </w:tcPr>
          <w:p w14:paraId="17732FB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0.02</w:t>
            </w:r>
          </w:p>
        </w:tc>
        <w:tc>
          <w:tcPr>
            <w:tcW w:w="3917" w:type="dxa"/>
            <w:tcBorders>
              <w:tl2br w:val="nil"/>
              <w:tr2bl w:val="nil"/>
            </w:tcBorders>
            <w:noWrap w:val="0"/>
            <w:vAlign w:val="center"/>
          </w:tcPr>
          <w:p w14:paraId="2681A0C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VOCs含量≤5%</w:t>
            </w:r>
          </w:p>
        </w:tc>
        <w:tc>
          <w:tcPr>
            <w:tcW w:w="1908" w:type="dxa"/>
            <w:tcBorders>
              <w:tl2br w:val="nil"/>
              <w:tr2bl w:val="nil"/>
            </w:tcBorders>
            <w:noWrap w:val="0"/>
            <w:vAlign w:val="center"/>
          </w:tcPr>
          <w:p w14:paraId="658CEAE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VOCs含量≤20%</w:t>
            </w:r>
          </w:p>
        </w:tc>
        <w:tc>
          <w:tcPr>
            <w:tcW w:w="3229" w:type="dxa"/>
            <w:tcBorders>
              <w:tl2br w:val="nil"/>
              <w:tr2bl w:val="nil"/>
            </w:tcBorders>
            <w:noWrap w:val="0"/>
            <w:vAlign w:val="center"/>
          </w:tcPr>
          <w:p w14:paraId="1B1AC54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VOCs含量≤30%</w:t>
            </w:r>
          </w:p>
        </w:tc>
        <w:tc>
          <w:tcPr>
            <w:tcW w:w="3106" w:type="dxa"/>
            <w:tcBorders>
              <w:tl2br w:val="nil"/>
              <w:tr2bl w:val="nil"/>
            </w:tcBorders>
            <w:noWrap w:val="0"/>
            <w:vAlign w:val="center"/>
          </w:tcPr>
          <w:p w14:paraId="13887A5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不涉及</w:t>
            </w:r>
          </w:p>
        </w:tc>
        <w:tc>
          <w:tcPr>
            <w:tcW w:w="868" w:type="dxa"/>
            <w:tcBorders>
              <w:tl2br w:val="nil"/>
              <w:tr2bl w:val="nil"/>
            </w:tcBorders>
            <w:noWrap w:val="0"/>
            <w:vAlign w:val="center"/>
          </w:tcPr>
          <w:p w14:paraId="25E1D60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0.012</w:t>
            </w:r>
          </w:p>
        </w:tc>
        <w:tc>
          <w:tcPr>
            <w:tcW w:w="717" w:type="dxa"/>
            <w:tcBorders>
              <w:tl2br w:val="nil"/>
              <w:tr2bl w:val="nil"/>
            </w:tcBorders>
            <w:noWrap w:val="0"/>
            <w:vAlign w:val="center"/>
          </w:tcPr>
          <w:p w14:paraId="180B543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0.012</w:t>
            </w:r>
          </w:p>
        </w:tc>
        <w:tc>
          <w:tcPr>
            <w:tcW w:w="858" w:type="dxa"/>
            <w:tcBorders>
              <w:tl2br w:val="nil"/>
              <w:tr2bl w:val="nil"/>
            </w:tcBorders>
            <w:noWrap w:val="0"/>
            <w:vAlign w:val="center"/>
          </w:tcPr>
          <w:p w14:paraId="5688DE2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0.012</w:t>
            </w:r>
          </w:p>
        </w:tc>
      </w:tr>
      <w:tr w14:paraId="68455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restart"/>
            <w:tcBorders>
              <w:tl2br w:val="nil"/>
              <w:tr2bl w:val="nil"/>
            </w:tcBorders>
            <w:noWrap w:val="0"/>
            <w:vAlign w:val="center"/>
          </w:tcPr>
          <w:p w14:paraId="0DD632D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资源与能源消耗</w:t>
            </w:r>
          </w:p>
        </w:tc>
        <w:tc>
          <w:tcPr>
            <w:tcW w:w="840" w:type="dxa"/>
            <w:vMerge w:val="restart"/>
            <w:tcBorders>
              <w:tl2br w:val="nil"/>
              <w:tr2bl w:val="nil"/>
            </w:tcBorders>
            <w:noWrap w:val="0"/>
            <w:vAlign w:val="center"/>
          </w:tcPr>
          <w:p w14:paraId="0CA935C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689" w:type="dxa"/>
            <w:vMerge w:val="restart"/>
            <w:tcBorders>
              <w:tl2br w:val="nil"/>
              <w:tr2bl w:val="nil"/>
            </w:tcBorders>
            <w:noWrap w:val="0"/>
            <w:vAlign w:val="center"/>
          </w:tcPr>
          <w:p w14:paraId="23DCCF7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13</w:t>
            </w:r>
          </w:p>
        </w:tc>
        <w:tc>
          <w:tcPr>
            <w:tcW w:w="3167" w:type="dxa"/>
            <w:gridSpan w:val="3"/>
            <w:tcBorders>
              <w:tl2br w:val="nil"/>
              <w:tr2bl w:val="nil"/>
            </w:tcBorders>
            <w:noWrap w:val="0"/>
            <w:vAlign w:val="center"/>
          </w:tcPr>
          <w:p w14:paraId="64324A6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单位面积取水量*</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l/m</w:t>
            </w:r>
            <w:r>
              <w:rPr>
                <w:rFonts w:hint="default" w:ascii="Times New Roman Regular" w:hAnsi="Times New Roman Regular" w:eastAsia="宋体" w:cs="Times New Roman Regular"/>
                <w:i w:val="0"/>
                <w:iCs w:val="0"/>
                <w:color w:val="auto"/>
                <w:kern w:val="0"/>
                <w:sz w:val="16"/>
                <w:szCs w:val="16"/>
                <w:highlight w:val="none"/>
                <w:u w:val="none"/>
                <w:vertAlign w:val="superscript"/>
                <w:lang w:val="en-US" w:eastAsia="zh-CN" w:bidi="ar"/>
              </w:rPr>
              <w:t>2</w:t>
            </w:r>
          </w:p>
        </w:tc>
        <w:tc>
          <w:tcPr>
            <w:tcW w:w="832" w:type="dxa"/>
            <w:tcBorders>
              <w:tl2br w:val="nil"/>
              <w:tr2bl w:val="nil"/>
            </w:tcBorders>
            <w:noWrap w:val="0"/>
            <w:vAlign w:val="center"/>
          </w:tcPr>
          <w:p w14:paraId="04B6200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w:t>
            </w:r>
          </w:p>
        </w:tc>
        <w:tc>
          <w:tcPr>
            <w:tcW w:w="3917" w:type="dxa"/>
            <w:tcBorders>
              <w:tl2br w:val="nil"/>
              <w:tr2bl w:val="nil"/>
            </w:tcBorders>
            <w:noWrap w:val="0"/>
            <w:vAlign w:val="top"/>
          </w:tcPr>
          <w:p w14:paraId="39C24B0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≤2.5</w:t>
            </w:r>
          </w:p>
        </w:tc>
        <w:tc>
          <w:tcPr>
            <w:tcW w:w="1908" w:type="dxa"/>
            <w:tcBorders>
              <w:tl2br w:val="nil"/>
              <w:tr2bl w:val="nil"/>
            </w:tcBorders>
            <w:noWrap w:val="0"/>
            <w:vAlign w:val="top"/>
          </w:tcPr>
          <w:p w14:paraId="5AF8295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≤3.2</w:t>
            </w:r>
          </w:p>
        </w:tc>
        <w:tc>
          <w:tcPr>
            <w:tcW w:w="3229" w:type="dxa"/>
            <w:tcBorders>
              <w:tl2br w:val="nil"/>
              <w:tr2bl w:val="nil"/>
            </w:tcBorders>
            <w:noWrap w:val="0"/>
            <w:vAlign w:val="top"/>
          </w:tcPr>
          <w:p w14:paraId="39E7343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≤5</w:t>
            </w:r>
          </w:p>
        </w:tc>
        <w:tc>
          <w:tcPr>
            <w:tcW w:w="3106" w:type="dxa"/>
            <w:tcBorders>
              <w:tl2br w:val="nil"/>
              <w:tr2bl w:val="nil"/>
            </w:tcBorders>
            <w:noWrap w:val="0"/>
            <w:vAlign w:val="center"/>
          </w:tcPr>
          <w:p w14:paraId="580AC08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2.83</w:t>
            </w:r>
          </w:p>
        </w:tc>
        <w:tc>
          <w:tcPr>
            <w:tcW w:w="868" w:type="dxa"/>
            <w:tcBorders>
              <w:tl2br w:val="nil"/>
              <w:tr2bl w:val="nil"/>
            </w:tcBorders>
            <w:noWrap w:val="0"/>
            <w:vAlign w:val="center"/>
          </w:tcPr>
          <w:p w14:paraId="6DC7546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560ED4E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c>
          <w:tcPr>
            <w:tcW w:w="858" w:type="dxa"/>
            <w:tcBorders>
              <w:tl2br w:val="nil"/>
              <w:tr2bl w:val="nil"/>
            </w:tcBorders>
            <w:noWrap w:val="0"/>
            <w:vAlign w:val="center"/>
          </w:tcPr>
          <w:p w14:paraId="48EB507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0.03</w:t>
            </w:r>
          </w:p>
        </w:tc>
      </w:tr>
      <w:tr w14:paraId="07933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32373C6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4D42206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vMerge w:val="continue"/>
            <w:tcBorders>
              <w:tl2br w:val="nil"/>
              <w:tr2bl w:val="nil"/>
            </w:tcBorders>
            <w:noWrap w:val="0"/>
            <w:vAlign w:val="center"/>
          </w:tcPr>
          <w:p w14:paraId="003489F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67" w:type="dxa"/>
            <w:gridSpan w:val="3"/>
            <w:tcBorders>
              <w:tl2br w:val="nil"/>
              <w:tr2bl w:val="nil"/>
            </w:tcBorders>
            <w:noWrap w:val="0"/>
            <w:vAlign w:val="center"/>
          </w:tcPr>
          <w:p w14:paraId="511BE48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单位面积综合耗能*</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kgce/m</w:t>
            </w:r>
            <w:r>
              <w:rPr>
                <w:rFonts w:hint="default" w:ascii="Times New Roman Regular" w:hAnsi="Times New Roman Regular" w:eastAsia="宋体" w:cs="Times New Roman Regular"/>
                <w:i w:val="0"/>
                <w:iCs w:val="0"/>
                <w:color w:val="auto"/>
                <w:kern w:val="0"/>
                <w:sz w:val="16"/>
                <w:szCs w:val="16"/>
                <w:highlight w:val="none"/>
                <w:u w:val="none"/>
                <w:vertAlign w:val="superscript"/>
                <w:lang w:val="en-US" w:eastAsia="zh-CN" w:bidi="ar"/>
              </w:rPr>
              <w:t>2</w:t>
            </w:r>
          </w:p>
        </w:tc>
        <w:tc>
          <w:tcPr>
            <w:tcW w:w="832" w:type="dxa"/>
            <w:vMerge w:val="restart"/>
            <w:tcBorders>
              <w:tl2br w:val="nil"/>
              <w:tr2bl w:val="nil"/>
            </w:tcBorders>
            <w:noWrap w:val="0"/>
            <w:vAlign w:val="center"/>
          </w:tcPr>
          <w:p w14:paraId="260EF66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0.7</w:t>
            </w:r>
          </w:p>
        </w:tc>
        <w:tc>
          <w:tcPr>
            <w:tcW w:w="3917" w:type="dxa"/>
            <w:tcBorders>
              <w:tl2br w:val="nil"/>
              <w:tr2bl w:val="nil"/>
            </w:tcBorders>
            <w:noWrap w:val="0"/>
            <w:vAlign w:val="center"/>
          </w:tcPr>
          <w:p w14:paraId="1393A03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≤1.26</w:t>
            </w:r>
          </w:p>
        </w:tc>
        <w:tc>
          <w:tcPr>
            <w:tcW w:w="1908" w:type="dxa"/>
            <w:tcBorders>
              <w:tl2br w:val="nil"/>
              <w:tr2bl w:val="nil"/>
            </w:tcBorders>
            <w:noWrap w:val="0"/>
            <w:vAlign w:val="center"/>
          </w:tcPr>
          <w:p w14:paraId="1A89404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≤1.32</w:t>
            </w:r>
          </w:p>
        </w:tc>
        <w:tc>
          <w:tcPr>
            <w:tcW w:w="3229" w:type="dxa"/>
            <w:tcBorders>
              <w:tl2br w:val="nil"/>
              <w:tr2bl w:val="nil"/>
            </w:tcBorders>
            <w:noWrap w:val="0"/>
            <w:vAlign w:val="center"/>
          </w:tcPr>
          <w:p w14:paraId="0A31EC7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≤1.43</w:t>
            </w:r>
          </w:p>
        </w:tc>
        <w:tc>
          <w:tcPr>
            <w:tcW w:w="3106" w:type="dxa"/>
            <w:tcBorders>
              <w:tl2br w:val="nil"/>
              <w:tr2bl w:val="nil"/>
            </w:tcBorders>
            <w:noWrap w:val="0"/>
            <w:vAlign w:val="center"/>
          </w:tcPr>
          <w:p w14:paraId="5459B29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1.31</w:t>
            </w:r>
          </w:p>
        </w:tc>
        <w:tc>
          <w:tcPr>
            <w:tcW w:w="868" w:type="dxa"/>
            <w:tcBorders>
              <w:tl2br w:val="nil"/>
              <w:tr2bl w:val="nil"/>
            </w:tcBorders>
            <w:noWrap w:val="0"/>
            <w:vAlign w:val="center"/>
          </w:tcPr>
          <w:p w14:paraId="5D12D6B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w:t>
            </w:r>
          </w:p>
        </w:tc>
        <w:tc>
          <w:tcPr>
            <w:tcW w:w="717" w:type="dxa"/>
            <w:tcBorders>
              <w:tl2br w:val="nil"/>
              <w:tr2bl w:val="nil"/>
            </w:tcBorders>
            <w:noWrap w:val="0"/>
            <w:vAlign w:val="center"/>
          </w:tcPr>
          <w:p w14:paraId="490F2E4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0.07</w:t>
            </w:r>
          </w:p>
        </w:tc>
        <w:tc>
          <w:tcPr>
            <w:tcW w:w="858" w:type="dxa"/>
            <w:tcBorders>
              <w:tl2br w:val="nil"/>
              <w:tr2bl w:val="nil"/>
            </w:tcBorders>
            <w:noWrap w:val="0"/>
            <w:vAlign w:val="center"/>
          </w:tcPr>
          <w:p w14:paraId="72E512D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0.07</w:t>
            </w:r>
          </w:p>
        </w:tc>
      </w:tr>
      <w:tr w14:paraId="2874C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1835BC7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1EED7AC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vMerge w:val="continue"/>
            <w:tcBorders>
              <w:tl2br w:val="nil"/>
              <w:tr2bl w:val="nil"/>
            </w:tcBorders>
            <w:noWrap w:val="0"/>
            <w:vAlign w:val="center"/>
          </w:tcPr>
          <w:p w14:paraId="7481DD8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67" w:type="dxa"/>
            <w:gridSpan w:val="3"/>
            <w:tcBorders>
              <w:tl2br w:val="nil"/>
              <w:tr2bl w:val="nil"/>
            </w:tcBorders>
            <w:noWrap w:val="0"/>
            <w:vAlign w:val="center"/>
          </w:tcPr>
          <w:p w14:paraId="6FA62FE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单位重量综合耗能*</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kgce/kg</w:t>
            </w:r>
          </w:p>
        </w:tc>
        <w:tc>
          <w:tcPr>
            <w:tcW w:w="832" w:type="dxa"/>
            <w:vMerge w:val="continue"/>
            <w:tcBorders>
              <w:tl2br w:val="nil"/>
              <w:tr2bl w:val="nil"/>
            </w:tcBorders>
            <w:noWrap w:val="0"/>
            <w:vAlign w:val="center"/>
          </w:tcPr>
          <w:p w14:paraId="5761105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917" w:type="dxa"/>
            <w:tcBorders>
              <w:tl2br w:val="nil"/>
              <w:tr2bl w:val="nil"/>
            </w:tcBorders>
            <w:noWrap w:val="0"/>
            <w:vAlign w:val="center"/>
          </w:tcPr>
          <w:p w14:paraId="5D2B15A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≤0.23</w:t>
            </w:r>
          </w:p>
        </w:tc>
        <w:tc>
          <w:tcPr>
            <w:tcW w:w="1908" w:type="dxa"/>
            <w:tcBorders>
              <w:tl2br w:val="nil"/>
              <w:tr2bl w:val="nil"/>
            </w:tcBorders>
            <w:noWrap w:val="0"/>
            <w:vAlign w:val="center"/>
          </w:tcPr>
          <w:p w14:paraId="06DE2A3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≤0.26</w:t>
            </w:r>
          </w:p>
        </w:tc>
        <w:tc>
          <w:tcPr>
            <w:tcW w:w="3229" w:type="dxa"/>
            <w:tcBorders>
              <w:tl2br w:val="nil"/>
              <w:tr2bl w:val="nil"/>
            </w:tcBorders>
            <w:noWrap w:val="0"/>
            <w:vAlign w:val="center"/>
          </w:tcPr>
          <w:p w14:paraId="67C6BAF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≤0.31</w:t>
            </w:r>
          </w:p>
        </w:tc>
        <w:tc>
          <w:tcPr>
            <w:tcW w:w="3106" w:type="dxa"/>
            <w:tcBorders>
              <w:tl2br w:val="nil"/>
              <w:tr2bl w:val="nil"/>
            </w:tcBorders>
            <w:noWrap w:val="0"/>
            <w:vAlign w:val="center"/>
          </w:tcPr>
          <w:p w14:paraId="09F43B6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不适用</w:t>
            </w:r>
          </w:p>
        </w:tc>
        <w:tc>
          <w:tcPr>
            <w:tcW w:w="868" w:type="dxa"/>
            <w:tcBorders>
              <w:tl2br w:val="nil"/>
              <w:tr2bl w:val="nil"/>
            </w:tcBorders>
            <w:noWrap w:val="0"/>
            <w:vAlign w:val="center"/>
          </w:tcPr>
          <w:p w14:paraId="6E4B5AA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不适用</w:t>
            </w:r>
          </w:p>
        </w:tc>
        <w:tc>
          <w:tcPr>
            <w:tcW w:w="717" w:type="dxa"/>
            <w:tcBorders>
              <w:tl2br w:val="nil"/>
              <w:tr2bl w:val="nil"/>
            </w:tcBorders>
            <w:noWrap w:val="0"/>
            <w:vAlign w:val="center"/>
          </w:tcPr>
          <w:p w14:paraId="7F82212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不适用</w:t>
            </w:r>
          </w:p>
        </w:tc>
        <w:tc>
          <w:tcPr>
            <w:tcW w:w="858" w:type="dxa"/>
            <w:tcBorders>
              <w:tl2br w:val="nil"/>
              <w:tr2bl w:val="nil"/>
            </w:tcBorders>
            <w:noWrap w:val="0"/>
            <w:vAlign w:val="center"/>
          </w:tcPr>
          <w:p w14:paraId="2FBEAD2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不适用</w:t>
            </w:r>
          </w:p>
        </w:tc>
      </w:tr>
      <w:tr w14:paraId="2EB00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restart"/>
            <w:tcBorders>
              <w:tl2br w:val="nil"/>
              <w:tr2bl w:val="nil"/>
            </w:tcBorders>
            <w:noWrap w:val="0"/>
            <w:vAlign w:val="center"/>
          </w:tcPr>
          <w:p w14:paraId="5199071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污染物产生指标</w:t>
            </w:r>
          </w:p>
        </w:tc>
        <w:tc>
          <w:tcPr>
            <w:tcW w:w="840" w:type="dxa"/>
            <w:vMerge w:val="restart"/>
            <w:tcBorders>
              <w:tl2br w:val="nil"/>
              <w:tr2bl w:val="nil"/>
            </w:tcBorders>
            <w:noWrap w:val="0"/>
            <w:vAlign w:val="center"/>
          </w:tcPr>
          <w:p w14:paraId="53A71E7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w:t>
            </w:r>
          </w:p>
        </w:tc>
        <w:tc>
          <w:tcPr>
            <w:tcW w:w="689" w:type="dxa"/>
            <w:vMerge w:val="restart"/>
            <w:tcBorders>
              <w:tl2br w:val="nil"/>
              <w:tr2bl w:val="nil"/>
            </w:tcBorders>
            <w:noWrap w:val="0"/>
            <w:vAlign w:val="center"/>
          </w:tcPr>
          <w:p w14:paraId="60249A8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14</w:t>
            </w:r>
          </w:p>
        </w:tc>
        <w:tc>
          <w:tcPr>
            <w:tcW w:w="1583" w:type="dxa"/>
            <w:gridSpan w:val="2"/>
            <w:vMerge w:val="restart"/>
            <w:tcBorders>
              <w:tl2br w:val="nil"/>
              <w:tr2bl w:val="nil"/>
            </w:tcBorders>
            <w:noWrap w:val="0"/>
            <w:vAlign w:val="center"/>
          </w:tcPr>
          <w:p w14:paraId="4FD8660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单位面积VOCs产生量*</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g/m</w:t>
            </w:r>
            <w:r>
              <w:rPr>
                <w:rFonts w:hint="default" w:ascii="Times New Roman Regular" w:hAnsi="Times New Roman Regular" w:eastAsia="宋体" w:cs="Times New Roman Regular"/>
                <w:i w:val="0"/>
                <w:iCs w:val="0"/>
                <w:color w:val="auto"/>
                <w:kern w:val="0"/>
                <w:sz w:val="16"/>
                <w:szCs w:val="16"/>
                <w:highlight w:val="none"/>
                <w:u w:val="none"/>
                <w:vertAlign w:val="superscript"/>
                <w:lang w:val="en-US" w:eastAsia="zh-CN" w:bidi="ar"/>
              </w:rPr>
              <w:t>2</w:t>
            </w:r>
          </w:p>
        </w:tc>
        <w:tc>
          <w:tcPr>
            <w:tcW w:w="1584" w:type="dxa"/>
            <w:tcBorders>
              <w:tl2br w:val="nil"/>
              <w:tr2bl w:val="nil"/>
            </w:tcBorders>
            <w:noWrap w:val="0"/>
            <w:vAlign w:val="center"/>
          </w:tcPr>
          <w:p w14:paraId="15E42CC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客车、大型机械</w:t>
            </w:r>
          </w:p>
        </w:tc>
        <w:tc>
          <w:tcPr>
            <w:tcW w:w="832" w:type="dxa"/>
            <w:vMerge w:val="restart"/>
            <w:tcBorders>
              <w:tl2br w:val="nil"/>
              <w:tr2bl w:val="nil"/>
            </w:tcBorders>
            <w:noWrap w:val="0"/>
            <w:vAlign w:val="center"/>
          </w:tcPr>
          <w:p w14:paraId="499DAD6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0.35</w:t>
            </w:r>
          </w:p>
        </w:tc>
        <w:tc>
          <w:tcPr>
            <w:tcW w:w="3917" w:type="dxa"/>
            <w:tcBorders>
              <w:tl2br w:val="nil"/>
              <w:tr2bl w:val="nil"/>
            </w:tcBorders>
            <w:noWrap w:val="0"/>
            <w:vAlign w:val="center"/>
          </w:tcPr>
          <w:p w14:paraId="4A6BE3D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≤150</w:t>
            </w:r>
          </w:p>
        </w:tc>
        <w:tc>
          <w:tcPr>
            <w:tcW w:w="1908" w:type="dxa"/>
            <w:tcBorders>
              <w:tl2br w:val="nil"/>
              <w:tr2bl w:val="nil"/>
            </w:tcBorders>
            <w:noWrap w:val="0"/>
            <w:vAlign w:val="center"/>
          </w:tcPr>
          <w:p w14:paraId="658F0B0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≤210</w:t>
            </w:r>
          </w:p>
        </w:tc>
        <w:tc>
          <w:tcPr>
            <w:tcW w:w="3229" w:type="dxa"/>
            <w:tcBorders>
              <w:tl2br w:val="nil"/>
              <w:tr2bl w:val="nil"/>
            </w:tcBorders>
            <w:noWrap w:val="0"/>
            <w:vAlign w:val="center"/>
          </w:tcPr>
          <w:p w14:paraId="6BD2CC6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≤280</w:t>
            </w:r>
          </w:p>
        </w:tc>
        <w:tc>
          <w:tcPr>
            <w:tcW w:w="3106" w:type="dxa"/>
            <w:tcBorders>
              <w:tl2br w:val="nil"/>
              <w:tr2bl w:val="nil"/>
            </w:tcBorders>
            <w:noWrap w:val="0"/>
            <w:vAlign w:val="center"/>
          </w:tcPr>
          <w:p w14:paraId="6A8D33F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不涉及此工序</w:t>
            </w:r>
          </w:p>
        </w:tc>
        <w:tc>
          <w:tcPr>
            <w:tcW w:w="868" w:type="dxa"/>
            <w:tcBorders>
              <w:tl2br w:val="nil"/>
              <w:tr2bl w:val="nil"/>
            </w:tcBorders>
            <w:noWrap w:val="0"/>
            <w:vAlign w:val="center"/>
          </w:tcPr>
          <w:p w14:paraId="35185E1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不涉及</w:t>
            </w:r>
          </w:p>
        </w:tc>
        <w:tc>
          <w:tcPr>
            <w:tcW w:w="717" w:type="dxa"/>
            <w:tcBorders>
              <w:tl2br w:val="nil"/>
              <w:tr2bl w:val="nil"/>
            </w:tcBorders>
            <w:noWrap w:val="0"/>
            <w:vAlign w:val="center"/>
          </w:tcPr>
          <w:p w14:paraId="01A7A4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不涉及</w:t>
            </w:r>
          </w:p>
        </w:tc>
        <w:tc>
          <w:tcPr>
            <w:tcW w:w="858" w:type="dxa"/>
            <w:tcBorders>
              <w:tl2br w:val="nil"/>
              <w:tr2bl w:val="nil"/>
            </w:tcBorders>
            <w:noWrap w:val="0"/>
            <w:vAlign w:val="center"/>
          </w:tcPr>
          <w:p w14:paraId="4E5CC01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不涉及</w:t>
            </w:r>
          </w:p>
        </w:tc>
      </w:tr>
      <w:tr w14:paraId="4CA9D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486BCD7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726685F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vMerge w:val="continue"/>
            <w:tcBorders>
              <w:tl2br w:val="nil"/>
              <w:tr2bl w:val="nil"/>
            </w:tcBorders>
            <w:noWrap w:val="0"/>
            <w:vAlign w:val="center"/>
          </w:tcPr>
          <w:p w14:paraId="7DEB04B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1583" w:type="dxa"/>
            <w:gridSpan w:val="2"/>
            <w:vMerge w:val="continue"/>
            <w:tcBorders>
              <w:tl2br w:val="nil"/>
              <w:tr2bl w:val="nil"/>
            </w:tcBorders>
            <w:noWrap w:val="0"/>
            <w:vAlign w:val="center"/>
          </w:tcPr>
          <w:p w14:paraId="086F93E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1584" w:type="dxa"/>
            <w:tcBorders>
              <w:tl2br w:val="nil"/>
              <w:tr2bl w:val="nil"/>
            </w:tcBorders>
            <w:noWrap w:val="0"/>
            <w:vAlign w:val="center"/>
          </w:tcPr>
          <w:p w14:paraId="2CD56CB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其他</w:t>
            </w:r>
          </w:p>
        </w:tc>
        <w:tc>
          <w:tcPr>
            <w:tcW w:w="832" w:type="dxa"/>
            <w:vMerge w:val="continue"/>
            <w:tcBorders>
              <w:tl2br w:val="nil"/>
              <w:tr2bl w:val="nil"/>
            </w:tcBorders>
            <w:noWrap w:val="0"/>
            <w:vAlign w:val="center"/>
          </w:tcPr>
          <w:p w14:paraId="4A4897E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917" w:type="dxa"/>
            <w:tcBorders>
              <w:tl2br w:val="nil"/>
              <w:tr2bl w:val="nil"/>
            </w:tcBorders>
            <w:noWrap w:val="0"/>
            <w:vAlign w:val="center"/>
          </w:tcPr>
          <w:p w14:paraId="56EF2D7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≤60</w:t>
            </w:r>
          </w:p>
        </w:tc>
        <w:tc>
          <w:tcPr>
            <w:tcW w:w="1908" w:type="dxa"/>
            <w:tcBorders>
              <w:tl2br w:val="nil"/>
              <w:tr2bl w:val="nil"/>
            </w:tcBorders>
            <w:noWrap w:val="0"/>
            <w:vAlign w:val="center"/>
          </w:tcPr>
          <w:p w14:paraId="50B5B8C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≤80</w:t>
            </w:r>
          </w:p>
        </w:tc>
        <w:tc>
          <w:tcPr>
            <w:tcW w:w="3229" w:type="dxa"/>
            <w:tcBorders>
              <w:tl2br w:val="nil"/>
              <w:tr2bl w:val="nil"/>
            </w:tcBorders>
            <w:noWrap w:val="0"/>
            <w:vAlign w:val="center"/>
          </w:tcPr>
          <w:p w14:paraId="7382BAD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≤100</w:t>
            </w:r>
          </w:p>
        </w:tc>
        <w:tc>
          <w:tcPr>
            <w:tcW w:w="3106" w:type="dxa"/>
            <w:tcBorders>
              <w:tl2br w:val="nil"/>
              <w:tr2bl w:val="nil"/>
            </w:tcBorders>
            <w:noWrap w:val="0"/>
            <w:vAlign w:val="center"/>
          </w:tcPr>
          <w:p w14:paraId="2BA52DA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23.66</w:t>
            </w:r>
          </w:p>
        </w:tc>
        <w:tc>
          <w:tcPr>
            <w:tcW w:w="868" w:type="dxa"/>
            <w:tcBorders>
              <w:tl2br w:val="nil"/>
              <w:tr2bl w:val="nil"/>
            </w:tcBorders>
            <w:noWrap w:val="0"/>
            <w:vAlign w:val="center"/>
          </w:tcPr>
          <w:p w14:paraId="202F94B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c>
          <w:tcPr>
            <w:tcW w:w="717" w:type="dxa"/>
            <w:tcBorders>
              <w:tl2br w:val="nil"/>
              <w:tr2bl w:val="nil"/>
            </w:tcBorders>
            <w:noWrap w:val="0"/>
            <w:vAlign w:val="center"/>
          </w:tcPr>
          <w:p w14:paraId="028EDCD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c>
          <w:tcPr>
            <w:tcW w:w="858" w:type="dxa"/>
            <w:tcBorders>
              <w:tl2br w:val="nil"/>
              <w:tr2bl w:val="nil"/>
            </w:tcBorders>
            <w:noWrap w:val="0"/>
            <w:vAlign w:val="center"/>
          </w:tcPr>
          <w:p w14:paraId="4884FAE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r>
      <w:tr w14:paraId="625F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10FDA5B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0E2DBEB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54F6CC6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15</w:t>
            </w:r>
          </w:p>
        </w:tc>
        <w:tc>
          <w:tcPr>
            <w:tcW w:w="3167" w:type="dxa"/>
            <w:gridSpan w:val="3"/>
            <w:tcBorders>
              <w:tl2br w:val="nil"/>
              <w:tr2bl w:val="nil"/>
            </w:tcBorders>
            <w:noWrap w:val="0"/>
            <w:vAlign w:val="center"/>
          </w:tcPr>
          <w:p w14:paraId="0E29175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单位面积CODcr产生量*g/m</w:t>
            </w:r>
            <w:r>
              <w:rPr>
                <w:rFonts w:hint="default" w:ascii="Times New Roman Regular" w:hAnsi="Times New Roman Regular" w:eastAsia="宋体" w:cs="Times New Roman Regular"/>
                <w:i w:val="0"/>
                <w:iCs w:val="0"/>
                <w:color w:val="auto"/>
                <w:kern w:val="0"/>
                <w:sz w:val="16"/>
                <w:szCs w:val="16"/>
                <w:highlight w:val="none"/>
                <w:u w:val="none"/>
                <w:vertAlign w:val="superscript"/>
                <w:lang w:val="en-US" w:eastAsia="zh-CN" w:bidi="ar"/>
              </w:rPr>
              <w:t>2</w:t>
            </w:r>
          </w:p>
        </w:tc>
        <w:tc>
          <w:tcPr>
            <w:tcW w:w="832" w:type="dxa"/>
            <w:tcBorders>
              <w:tl2br w:val="nil"/>
              <w:tr2bl w:val="nil"/>
            </w:tcBorders>
            <w:noWrap w:val="0"/>
            <w:vAlign w:val="center"/>
          </w:tcPr>
          <w:p w14:paraId="30F5A47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0.35</w:t>
            </w:r>
          </w:p>
        </w:tc>
        <w:tc>
          <w:tcPr>
            <w:tcW w:w="3917" w:type="dxa"/>
            <w:tcBorders>
              <w:tl2br w:val="nil"/>
              <w:tr2bl w:val="nil"/>
            </w:tcBorders>
            <w:noWrap w:val="0"/>
            <w:vAlign w:val="center"/>
          </w:tcPr>
          <w:p w14:paraId="4644011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w:t>
            </w:r>
          </w:p>
        </w:tc>
        <w:tc>
          <w:tcPr>
            <w:tcW w:w="1908" w:type="dxa"/>
            <w:tcBorders>
              <w:tl2br w:val="nil"/>
              <w:tr2bl w:val="nil"/>
            </w:tcBorders>
            <w:noWrap w:val="0"/>
            <w:vAlign w:val="center"/>
          </w:tcPr>
          <w:p w14:paraId="26C4DE2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≤2.5</w:t>
            </w:r>
          </w:p>
        </w:tc>
        <w:tc>
          <w:tcPr>
            <w:tcW w:w="3229" w:type="dxa"/>
            <w:tcBorders>
              <w:tl2br w:val="nil"/>
              <w:tr2bl w:val="nil"/>
            </w:tcBorders>
            <w:noWrap w:val="0"/>
            <w:vAlign w:val="center"/>
          </w:tcPr>
          <w:p w14:paraId="685E475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≤3.5</w:t>
            </w:r>
          </w:p>
        </w:tc>
        <w:tc>
          <w:tcPr>
            <w:tcW w:w="3106" w:type="dxa"/>
            <w:tcBorders>
              <w:tl2br w:val="nil"/>
              <w:tr2bl w:val="nil"/>
            </w:tcBorders>
            <w:noWrap w:val="0"/>
            <w:vAlign w:val="center"/>
          </w:tcPr>
          <w:p w14:paraId="7BBA284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0.13</w:t>
            </w:r>
          </w:p>
        </w:tc>
        <w:tc>
          <w:tcPr>
            <w:tcW w:w="868" w:type="dxa"/>
            <w:tcBorders>
              <w:tl2br w:val="nil"/>
              <w:tr2bl w:val="nil"/>
            </w:tcBorders>
            <w:noWrap w:val="0"/>
            <w:vAlign w:val="center"/>
          </w:tcPr>
          <w:p w14:paraId="2ACF248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c>
          <w:tcPr>
            <w:tcW w:w="717" w:type="dxa"/>
            <w:tcBorders>
              <w:tl2br w:val="nil"/>
              <w:tr2bl w:val="nil"/>
            </w:tcBorders>
            <w:noWrap w:val="0"/>
            <w:vAlign w:val="center"/>
          </w:tcPr>
          <w:p w14:paraId="3146E95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c>
          <w:tcPr>
            <w:tcW w:w="858" w:type="dxa"/>
            <w:tcBorders>
              <w:tl2br w:val="nil"/>
              <w:tr2bl w:val="nil"/>
            </w:tcBorders>
            <w:noWrap w:val="0"/>
            <w:vAlign w:val="center"/>
          </w:tcPr>
          <w:p w14:paraId="74B7758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0.105</w:t>
            </w:r>
          </w:p>
        </w:tc>
      </w:tr>
      <w:tr w14:paraId="70D56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849" w:type="dxa"/>
            <w:vMerge w:val="continue"/>
            <w:tcBorders>
              <w:tl2br w:val="nil"/>
              <w:tr2bl w:val="nil"/>
            </w:tcBorders>
            <w:noWrap w:val="0"/>
            <w:vAlign w:val="center"/>
          </w:tcPr>
          <w:p w14:paraId="68C2939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840" w:type="dxa"/>
            <w:vMerge w:val="continue"/>
            <w:tcBorders>
              <w:tl2br w:val="nil"/>
              <w:tr2bl w:val="nil"/>
            </w:tcBorders>
            <w:noWrap w:val="0"/>
            <w:vAlign w:val="center"/>
          </w:tcPr>
          <w:p w14:paraId="652A83D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689" w:type="dxa"/>
            <w:tcBorders>
              <w:tl2br w:val="nil"/>
              <w:tr2bl w:val="nil"/>
            </w:tcBorders>
            <w:noWrap w:val="0"/>
            <w:vAlign w:val="center"/>
          </w:tcPr>
          <w:p w14:paraId="69168A9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16</w:t>
            </w:r>
          </w:p>
        </w:tc>
        <w:tc>
          <w:tcPr>
            <w:tcW w:w="3167" w:type="dxa"/>
            <w:gridSpan w:val="3"/>
            <w:tcBorders>
              <w:tl2br w:val="nil"/>
              <w:tr2bl w:val="nil"/>
            </w:tcBorders>
            <w:noWrap w:val="0"/>
            <w:vAlign w:val="center"/>
          </w:tcPr>
          <w:p w14:paraId="11250D7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单位面积的危险废物产生量*</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g/m</w:t>
            </w:r>
            <w:r>
              <w:rPr>
                <w:rFonts w:hint="default" w:ascii="Times New Roman Regular" w:hAnsi="Times New Roman Regular" w:eastAsia="宋体" w:cs="Times New Roman Regular"/>
                <w:i w:val="0"/>
                <w:iCs w:val="0"/>
                <w:color w:val="auto"/>
                <w:kern w:val="0"/>
                <w:sz w:val="16"/>
                <w:szCs w:val="16"/>
                <w:highlight w:val="none"/>
                <w:u w:val="none"/>
                <w:vertAlign w:val="superscript"/>
                <w:lang w:val="en-US" w:eastAsia="zh-CN" w:bidi="ar"/>
              </w:rPr>
              <w:t>2</w:t>
            </w:r>
          </w:p>
        </w:tc>
        <w:tc>
          <w:tcPr>
            <w:tcW w:w="832" w:type="dxa"/>
            <w:tcBorders>
              <w:tl2br w:val="nil"/>
              <w:tr2bl w:val="nil"/>
            </w:tcBorders>
            <w:noWrap w:val="0"/>
            <w:vAlign w:val="center"/>
          </w:tcPr>
          <w:p w14:paraId="3EA150B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0.30</w:t>
            </w:r>
          </w:p>
        </w:tc>
        <w:tc>
          <w:tcPr>
            <w:tcW w:w="3917" w:type="dxa"/>
            <w:tcBorders>
              <w:tl2br w:val="nil"/>
              <w:tr2bl w:val="nil"/>
            </w:tcBorders>
            <w:noWrap w:val="0"/>
            <w:vAlign w:val="center"/>
          </w:tcPr>
          <w:p w14:paraId="3487126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≤90</w:t>
            </w:r>
          </w:p>
        </w:tc>
        <w:tc>
          <w:tcPr>
            <w:tcW w:w="1908" w:type="dxa"/>
            <w:tcBorders>
              <w:tl2br w:val="nil"/>
              <w:tr2bl w:val="nil"/>
            </w:tcBorders>
            <w:noWrap w:val="0"/>
            <w:vAlign w:val="center"/>
          </w:tcPr>
          <w:p w14:paraId="65A95FB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≤110</w:t>
            </w:r>
          </w:p>
        </w:tc>
        <w:tc>
          <w:tcPr>
            <w:tcW w:w="3229" w:type="dxa"/>
            <w:tcBorders>
              <w:tl2br w:val="nil"/>
              <w:tr2bl w:val="nil"/>
            </w:tcBorders>
            <w:noWrap w:val="0"/>
            <w:vAlign w:val="center"/>
          </w:tcPr>
          <w:p w14:paraId="406E72F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≤160</w:t>
            </w:r>
          </w:p>
        </w:tc>
        <w:tc>
          <w:tcPr>
            <w:tcW w:w="3106" w:type="dxa"/>
            <w:tcBorders>
              <w:tl2br w:val="nil"/>
              <w:tr2bl w:val="nil"/>
            </w:tcBorders>
            <w:noWrap w:val="0"/>
            <w:vAlign w:val="center"/>
          </w:tcPr>
          <w:p w14:paraId="3AF914F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17.93</w:t>
            </w:r>
          </w:p>
        </w:tc>
        <w:tc>
          <w:tcPr>
            <w:tcW w:w="868" w:type="dxa"/>
            <w:tcBorders>
              <w:tl2br w:val="nil"/>
              <w:tr2bl w:val="nil"/>
            </w:tcBorders>
            <w:noWrap w:val="0"/>
            <w:vAlign w:val="center"/>
          </w:tcPr>
          <w:p w14:paraId="6638EC5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0.09</w:t>
            </w:r>
          </w:p>
        </w:tc>
        <w:tc>
          <w:tcPr>
            <w:tcW w:w="717" w:type="dxa"/>
            <w:tcBorders>
              <w:tl2br w:val="nil"/>
              <w:tr2bl w:val="nil"/>
            </w:tcBorders>
            <w:noWrap w:val="0"/>
            <w:vAlign w:val="center"/>
          </w:tcPr>
          <w:p w14:paraId="14F94F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0.09</w:t>
            </w:r>
          </w:p>
        </w:tc>
        <w:tc>
          <w:tcPr>
            <w:tcW w:w="858" w:type="dxa"/>
            <w:tcBorders>
              <w:tl2br w:val="nil"/>
              <w:tr2bl w:val="nil"/>
            </w:tcBorders>
            <w:noWrap w:val="0"/>
            <w:vAlign w:val="center"/>
          </w:tcPr>
          <w:p w14:paraId="00CD936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0.09</w:t>
            </w:r>
          </w:p>
        </w:tc>
      </w:tr>
      <w:tr w14:paraId="069DA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18537" w:type="dxa"/>
            <w:gridSpan w:val="11"/>
            <w:tcBorders>
              <w:tl2br w:val="nil"/>
              <w:tr2bl w:val="nil"/>
            </w:tcBorders>
            <w:noWrap w:val="0"/>
            <w:vAlign w:val="center"/>
          </w:tcPr>
          <w:p w14:paraId="095F40B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合计</w:t>
            </w:r>
          </w:p>
        </w:tc>
        <w:tc>
          <w:tcPr>
            <w:tcW w:w="868" w:type="dxa"/>
            <w:tcBorders>
              <w:tl2br w:val="nil"/>
              <w:tr2bl w:val="nil"/>
            </w:tcBorders>
            <w:noWrap w:val="0"/>
            <w:vAlign w:val="center"/>
          </w:tcPr>
          <w:p w14:paraId="4981CF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0.678</w:t>
            </w:r>
          </w:p>
        </w:tc>
        <w:tc>
          <w:tcPr>
            <w:tcW w:w="717" w:type="dxa"/>
            <w:tcBorders>
              <w:tl2br w:val="nil"/>
              <w:tr2bl w:val="nil"/>
            </w:tcBorders>
            <w:noWrap w:val="0"/>
            <w:vAlign w:val="center"/>
          </w:tcPr>
          <w:p w14:paraId="2160305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0.94</w:t>
            </w:r>
          </w:p>
        </w:tc>
        <w:tc>
          <w:tcPr>
            <w:tcW w:w="858" w:type="dxa"/>
            <w:tcBorders>
              <w:tl2br w:val="nil"/>
              <w:tr2bl w:val="nil"/>
            </w:tcBorders>
            <w:noWrap w:val="0"/>
            <w:vAlign w:val="center"/>
          </w:tcPr>
          <w:p w14:paraId="2CE7050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w:t>
            </w:r>
          </w:p>
        </w:tc>
      </w:tr>
      <w:tr w14:paraId="4BA46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20980" w:type="dxa"/>
            <w:gridSpan w:val="14"/>
            <w:tcBorders>
              <w:tl2br w:val="nil"/>
              <w:tr2bl w:val="nil"/>
            </w:tcBorders>
            <w:noWrap w:val="0"/>
            <w:vAlign w:val="center"/>
          </w:tcPr>
          <w:p w14:paraId="298B7C54">
            <w:pPr>
              <w:keepNext w:val="0"/>
              <w:keepLines w:val="0"/>
              <w:suppressLineNumbers w:val="0"/>
              <w:spacing w:before="28" w:beforeAutospacing="0" w:after="0" w:afterAutospacing="0" w:line="240" w:lineRule="auto"/>
              <w:ind w:left="0" w:right="0" w:firstLine="381"/>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 xml:space="preserve">注 1：资源和能源消耗指标、污染物产生指标，按照实际处理面积进行计算。 </w:t>
            </w:r>
          </w:p>
          <w:p w14:paraId="2214AAAD">
            <w:pPr>
              <w:keepNext w:val="0"/>
              <w:keepLines w:val="0"/>
              <w:suppressLineNumbers w:val="0"/>
              <w:spacing w:before="28" w:beforeAutospacing="0" w:after="0" w:afterAutospacing="0" w:line="240" w:lineRule="auto"/>
              <w:ind w:left="0" w:right="0" w:firstLine="381"/>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 xml:space="preserve">注 2：资源和能源消耗指标分为两种考核方式：单位面积综合能耗、单位重量综合能耗；当涂装产品壁厚≥3mm，可选用单位重量综合能耗作为考核指标。 </w:t>
            </w:r>
          </w:p>
          <w:p w14:paraId="42FD0112">
            <w:pPr>
              <w:keepNext w:val="0"/>
              <w:keepLines w:val="0"/>
              <w:suppressLineNumbers w:val="0"/>
              <w:spacing w:before="28" w:beforeAutospacing="0" w:after="0" w:afterAutospacing="0" w:line="240" w:lineRule="auto"/>
              <w:ind w:left="0" w:right="0" w:firstLine="381"/>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 xml:space="preserve">注 3：单位面积 VOCs 产生量是指处理设施处理进口前的含量。 </w:t>
            </w:r>
          </w:p>
        </w:tc>
      </w:tr>
      <w:tr w14:paraId="7D085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20980" w:type="dxa"/>
            <w:gridSpan w:val="14"/>
            <w:tcBorders>
              <w:tl2br w:val="nil"/>
              <w:tr2bl w:val="nil"/>
            </w:tcBorders>
            <w:noWrap w:val="0"/>
            <w:vAlign w:val="center"/>
          </w:tcPr>
          <w:p w14:paraId="10E7A5CC">
            <w:pPr>
              <w:keepNext w:val="0"/>
              <w:keepLines w:val="0"/>
              <w:suppressLineNumbers w:val="0"/>
              <w:spacing w:before="28" w:beforeAutospacing="0" w:after="0" w:afterAutospacing="0" w:line="240" w:lineRule="auto"/>
              <w:ind w:left="0" w:right="0" w:firstLine="381"/>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注：带*的指标为限定性指标。</w:t>
            </w:r>
          </w:p>
        </w:tc>
      </w:tr>
    </w:tbl>
    <w:p w14:paraId="7021E13C">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表3.6-2  清洁生产管理评价指标项目、权重及基准值</w:t>
      </w:r>
    </w:p>
    <w:tbl>
      <w:tblPr>
        <w:tblStyle w:val="80"/>
        <w:tblW w:w="4986"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202"/>
        <w:gridCol w:w="1325"/>
        <w:gridCol w:w="1523"/>
        <w:gridCol w:w="2527"/>
        <w:gridCol w:w="2316"/>
        <w:gridCol w:w="1076"/>
        <w:gridCol w:w="6690"/>
        <w:gridCol w:w="1211"/>
        <w:gridCol w:w="949"/>
        <w:gridCol w:w="970"/>
      </w:tblGrid>
      <w:tr w14:paraId="6EF3FE1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tcBorders>
              <w:tl2br w:val="nil"/>
              <w:tr2bl w:val="nil"/>
            </w:tcBorders>
            <w:noWrap w:val="0"/>
            <w:vAlign w:val="center"/>
          </w:tcPr>
          <w:p w14:paraId="737C703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一级指标</w:t>
            </w:r>
          </w:p>
        </w:tc>
        <w:tc>
          <w:tcPr>
            <w:tcW w:w="285" w:type="pct"/>
            <w:tcBorders>
              <w:tl2br w:val="nil"/>
              <w:tr2bl w:val="nil"/>
            </w:tcBorders>
            <w:noWrap w:val="0"/>
            <w:vAlign w:val="center"/>
          </w:tcPr>
          <w:p w14:paraId="6508C5F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一级指标权重</w:t>
            </w:r>
          </w:p>
        </w:tc>
        <w:tc>
          <w:tcPr>
            <w:tcW w:w="314" w:type="pct"/>
            <w:tcBorders>
              <w:tl2br w:val="nil"/>
              <w:tr2bl w:val="nil"/>
            </w:tcBorders>
            <w:noWrap w:val="0"/>
            <w:vAlign w:val="center"/>
          </w:tcPr>
          <w:p w14:paraId="136A2D5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二级指标</w:t>
            </w:r>
          </w:p>
        </w:tc>
        <w:tc>
          <w:tcPr>
            <w:tcW w:w="361" w:type="pct"/>
            <w:tcBorders>
              <w:tl2br w:val="nil"/>
              <w:tr2bl w:val="nil"/>
            </w:tcBorders>
            <w:noWrap w:val="0"/>
            <w:vAlign w:val="center"/>
          </w:tcPr>
          <w:p w14:paraId="3CF7256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二级指标权重</w:t>
            </w:r>
          </w:p>
        </w:tc>
        <w:tc>
          <w:tcPr>
            <w:tcW w:w="599" w:type="pct"/>
            <w:tcBorders>
              <w:tl2br w:val="nil"/>
              <w:tr2bl w:val="nil"/>
            </w:tcBorders>
            <w:noWrap w:val="0"/>
            <w:vAlign w:val="center"/>
          </w:tcPr>
          <w:p w14:paraId="7C1E482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I级基准值</w:t>
            </w:r>
          </w:p>
        </w:tc>
        <w:tc>
          <w:tcPr>
            <w:tcW w:w="549" w:type="pct"/>
            <w:tcBorders>
              <w:tl2br w:val="nil"/>
              <w:tr2bl w:val="nil"/>
            </w:tcBorders>
            <w:noWrap w:val="0"/>
            <w:vAlign w:val="center"/>
          </w:tcPr>
          <w:p w14:paraId="3E877E2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Ⅱ级基准值</w:t>
            </w:r>
          </w:p>
        </w:tc>
        <w:tc>
          <w:tcPr>
            <w:tcW w:w="255" w:type="pct"/>
            <w:tcBorders>
              <w:tl2br w:val="nil"/>
              <w:tr2bl w:val="nil"/>
            </w:tcBorders>
            <w:noWrap w:val="0"/>
            <w:vAlign w:val="center"/>
          </w:tcPr>
          <w:p w14:paraId="3282FF8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Ⅲ级基准值</w:t>
            </w:r>
          </w:p>
        </w:tc>
        <w:tc>
          <w:tcPr>
            <w:tcW w:w="1584" w:type="pct"/>
            <w:tcBorders>
              <w:tl2br w:val="nil"/>
              <w:tr2bl w:val="nil"/>
            </w:tcBorders>
            <w:noWrap w:val="0"/>
            <w:vAlign w:val="center"/>
          </w:tcPr>
          <w:p w14:paraId="13D92D3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企业现状</w:t>
            </w:r>
          </w:p>
        </w:tc>
        <w:tc>
          <w:tcPr>
            <w:tcW w:w="287" w:type="pct"/>
            <w:tcBorders>
              <w:tl2br w:val="nil"/>
              <w:tr2bl w:val="nil"/>
            </w:tcBorders>
            <w:noWrap w:val="0"/>
            <w:vAlign w:val="center"/>
          </w:tcPr>
          <w:p w14:paraId="19FB56C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评价值</w:t>
            </w:r>
          </w:p>
          <w:p w14:paraId="7804DDB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YⅠ</w:t>
            </w:r>
          </w:p>
        </w:tc>
        <w:tc>
          <w:tcPr>
            <w:tcW w:w="225" w:type="pct"/>
            <w:tcBorders>
              <w:tl2br w:val="nil"/>
              <w:tr2bl w:val="nil"/>
            </w:tcBorders>
            <w:noWrap w:val="0"/>
            <w:vAlign w:val="center"/>
          </w:tcPr>
          <w:p w14:paraId="351D932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评价值</w:t>
            </w:r>
          </w:p>
          <w:p w14:paraId="2927989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YⅡ</w:t>
            </w:r>
          </w:p>
        </w:tc>
        <w:tc>
          <w:tcPr>
            <w:tcW w:w="230" w:type="pct"/>
            <w:tcBorders>
              <w:tl2br w:val="nil"/>
              <w:tr2bl w:val="nil"/>
            </w:tcBorders>
            <w:noWrap w:val="0"/>
            <w:vAlign w:val="center"/>
          </w:tcPr>
          <w:p w14:paraId="21138FA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评价值</w:t>
            </w:r>
          </w:p>
          <w:p w14:paraId="69B7895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b/>
                <w:bCs/>
                <w:i w:val="0"/>
                <w:iCs w:val="0"/>
                <w:color w:val="auto"/>
                <w:kern w:val="0"/>
                <w:sz w:val="16"/>
                <w:szCs w:val="16"/>
                <w:highlight w:val="none"/>
                <w:u w:val="none"/>
                <w:lang w:val="en-US" w:eastAsia="zh-CN" w:bidi="ar"/>
              </w:rPr>
              <w:t>YⅢ</w:t>
            </w:r>
          </w:p>
        </w:tc>
      </w:tr>
      <w:tr w14:paraId="4F58D16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restart"/>
            <w:tcBorders>
              <w:tl2br w:val="nil"/>
              <w:tr2bl w:val="nil"/>
            </w:tcBorders>
            <w:noWrap w:val="0"/>
            <w:vAlign w:val="center"/>
          </w:tcPr>
          <w:p w14:paraId="1019626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环境管理指标</w:t>
            </w:r>
          </w:p>
        </w:tc>
        <w:tc>
          <w:tcPr>
            <w:tcW w:w="285" w:type="pct"/>
            <w:vMerge w:val="restart"/>
            <w:tcBorders>
              <w:tl2br w:val="nil"/>
              <w:tr2bl w:val="nil"/>
            </w:tcBorders>
            <w:noWrap w:val="0"/>
            <w:vAlign w:val="center"/>
          </w:tcPr>
          <w:p w14:paraId="76464A3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1</w:t>
            </w:r>
          </w:p>
        </w:tc>
        <w:tc>
          <w:tcPr>
            <w:tcW w:w="314" w:type="pct"/>
            <w:vMerge w:val="restart"/>
            <w:tcBorders>
              <w:tl2br w:val="nil"/>
              <w:tr2bl w:val="nil"/>
            </w:tcBorders>
            <w:noWrap w:val="0"/>
            <w:vAlign w:val="center"/>
          </w:tcPr>
          <w:p w14:paraId="4F8087A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环境管理</w:t>
            </w:r>
          </w:p>
        </w:tc>
        <w:tc>
          <w:tcPr>
            <w:tcW w:w="361" w:type="pct"/>
            <w:tcBorders>
              <w:tl2br w:val="nil"/>
              <w:tr2bl w:val="nil"/>
            </w:tcBorders>
            <w:noWrap w:val="0"/>
            <w:vAlign w:val="center"/>
          </w:tcPr>
          <w:p w14:paraId="7038418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2A965AD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符合国家和地方法律、法规</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污染物排放达到国家和地方排放标准；满足环境影响评价、环保</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三同时</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制度、总量控制和污染许可证管理要求</w:t>
            </w:r>
          </w:p>
        </w:tc>
        <w:tc>
          <w:tcPr>
            <w:tcW w:w="1584" w:type="pct"/>
            <w:tcBorders>
              <w:tl2br w:val="nil"/>
              <w:tr2bl w:val="nil"/>
            </w:tcBorders>
            <w:noWrap w:val="0"/>
            <w:vAlign w:val="center"/>
          </w:tcPr>
          <w:p w14:paraId="7BE3460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符合国家和地方法律、法规</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污染物排放达到国家和地方排放标准；满足环境影响评价、环保</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三同时</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制度、总量控制和污染许可证管理要求</w:t>
            </w:r>
          </w:p>
        </w:tc>
        <w:tc>
          <w:tcPr>
            <w:tcW w:w="287" w:type="pct"/>
            <w:tcBorders>
              <w:tl2br w:val="nil"/>
              <w:tr2bl w:val="nil"/>
            </w:tcBorders>
            <w:noWrap w:val="0"/>
            <w:vAlign w:val="center"/>
          </w:tcPr>
          <w:p w14:paraId="272B098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119D428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2AFAA80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68B933E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53E0D94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3623EB5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42066B2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6C6360F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1B1681C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一般工业固体废物贮存按照GB18599相关规定执行；危险废物（包括生产过程中产生的废漆渣、废溶剂等）的贮存严格按照GB18597相关规定执行</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后续应交持有危险废物经营许可证的单位处置</w:t>
            </w:r>
          </w:p>
        </w:tc>
        <w:tc>
          <w:tcPr>
            <w:tcW w:w="1584" w:type="pct"/>
            <w:tcBorders>
              <w:tl2br w:val="nil"/>
              <w:tr2bl w:val="nil"/>
            </w:tcBorders>
            <w:noWrap w:val="0"/>
            <w:vAlign w:val="center"/>
          </w:tcPr>
          <w:p w14:paraId="1D6D4BC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一般工业固体废物贮存按照GB18599相关规定执行；危险废物（包括生产过程中产生的废漆渣、废溶剂等）的贮存严格按照GB18597相关规定执行</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后续交持有危险废物经营许可证的单位处置</w:t>
            </w:r>
          </w:p>
        </w:tc>
        <w:tc>
          <w:tcPr>
            <w:tcW w:w="287" w:type="pct"/>
            <w:tcBorders>
              <w:tl2br w:val="nil"/>
              <w:tr2bl w:val="nil"/>
            </w:tcBorders>
            <w:noWrap w:val="0"/>
            <w:vAlign w:val="center"/>
          </w:tcPr>
          <w:p w14:paraId="7443FAB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18DEBE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1079685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6EF9884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61AAC1A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6EF7529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63D41D2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396522E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3B5618E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符合国家和地方产业政策、不使用国家和地方明令淘汰或禁止的落后工艺和装备</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禁止使用</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高耗能落后机电设备（产品）淘汰目录</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规定的内容</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禁止使用不符合国家或地方有关有害物质限值标准的涂料</w:t>
            </w:r>
          </w:p>
        </w:tc>
        <w:tc>
          <w:tcPr>
            <w:tcW w:w="1584" w:type="pct"/>
            <w:tcBorders>
              <w:tl2br w:val="nil"/>
              <w:tr2bl w:val="nil"/>
            </w:tcBorders>
            <w:noWrap w:val="0"/>
            <w:vAlign w:val="center"/>
          </w:tcPr>
          <w:p w14:paraId="3107A3A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符合国家和地方产业政策、不使用国家和地方明令淘汰或禁止的落后工艺和装备；不使用不符合国家或地方有关有害物质限值标准的涂料</w:t>
            </w:r>
          </w:p>
        </w:tc>
        <w:tc>
          <w:tcPr>
            <w:tcW w:w="287" w:type="pct"/>
            <w:tcBorders>
              <w:tl2br w:val="nil"/>
              <w:tr2bl w:val="nil"/>
            </w:tcBorders>
            <w:noWrap w:val="0"/>
            <w:vAlign w:val="center"/>
          </w:tcPr>
          <w:p w14:paraId="170EA2A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64A5485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586D9FE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506B67C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20BD08B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3494BDF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4E185D6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0B0C3E0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409248C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禁止在前处理工艺中使用苯；禁止在大面积除油和除旧漆中使用甲苯、二甲苯和汽油</w:t>
            </w:r>
          </w:p>
        </w:tc>
        <w:tc>
          <w:tcPr>
            <w:tcW w:w="1584" w:type="pct"/>
            <w:tcBorders>
              <w:tl2br w:val="nil"/>
              <w:tr2bl w:val="nil"/>
            </w:tcBorders>
            <w:noWrap w:val="0"/>
            <w:vAlign w:val="center"/>
          </w:tcPr>
          <w:p w14:paraId="47BE2DD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前处理工艺中不使用苯、甲苯、二甲苯和汽油</w:t>
            </w:r>
          </w:p>
        </w:tc>
        <w:tc>
          <w:tcPr>
            <w:tcW w:w="287" w:type="pct"/>
            <w:tcBorders>
              <w:tl2br w:val="nil"/>
              <w:tr2bl w:val="nil"/>
            </w:tcBorders>
            <w:noWrap w:val="0"/>
            <w:vAlign w:val="center"/>
          </w:tcPr>
          <w:p w14:paraId="4A774CF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36E2F6F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45625BE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6B5A534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3612E57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23690F2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298D82D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092DC3E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5B1B410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限制使用含二氯乙烷的清洗液；限制使用含铬酸盐的清洗液</w:t>
            </w:r>
          </w:p>
        </w:tc>
        <w:tc>
          <w:tcPr>
            <w:tcW w:w="1584" w:type="pct"/>
            <w:tcBorders>
              <w:tl2br w:val="nil"/>
              <w:tr2bl w:val="nil"/>
            </w:tcBorders>
            <w:noWrap w:val="0"/>
            <w:vAlign w:val="center"/>
          </w:tcPr>
          <w:p w14:paraId="66C30DE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不使用含二氯乙烷、含铬酸盐的清洗液</w:t>
            </w:r>
          </w:p>
        </w:tc>
        <w:tc>
          <w:tcPr>
            <w:tcW w:w="287" w:type="pct"/>
            <w:tcBorders>
              <w:tl2br w:val="nil"/>
              <w:tr2bl w:val="nil"/>
            </w:tcBorders>
            <w:noWrap w:val="0"/>
            <w:vAlign w:val="center"/>
          </w:tcPr>
          <w:p w14:paraId="2257BA9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1A18C52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29406C6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2399A74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2AB1010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6254B8C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2A8772E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38099F1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235DDA0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已建立并有效运行环境管理体系</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符合标准GB/T24001</w:t>
            </w:r>
          </w:p>
        </w:tc>
        <w:tc>
          <w:tcPr>
            <w:tcW w:w="1584" w:type="pct"/>
            <w:tcBorders>
              <w:tl2br w:val="nil"/>
              <w:tr2bl w:val="nil"/>
            </w:tcBorders>
            <w:noWrap w:val="0"/>
            <w:vAlign w:val="center"/>
          </w:tcPr>
          <w:p w14:paraId="1CCC76C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已建立并有效运行环境管理体系</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符合标准GB/T24001</w:t>
            </w:r>
          </w:p>
        </w:tc>
        <w:tc>
          <w:tcPr>
            <w:tcW w:w="287" w:type="pct"/>
            <w:tcBorders>
              <w:tl2br w:val="nil"/>
              <w:tr2bl w:val="nil"/>
            </w:tcBorders>
            <w:noWrap w:val="0"/>
            <w:vAlign w:val="center"/>
          </w:tcPr>
          <w:p w14:paraId="4ECF16A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45028BF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112F50E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72465E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611411E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6D0AB7E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18AED5E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5EED62D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3309ECA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按照国家、地方法律法规及环评文件要求安装废水在线监测仪及其配套设施</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安装VOCs处理设备运行监控装置</w:t>
            </w:r>
          </w:p>
        </w:tc>
        <w:tc>
          <w:tcPr>
            <w:tcW w:w="1584" w:type="pct"/>
            <w:tcBorders>
              <w:tl2br w:val="nil"/>
              <w:tr2bl w:val="nil"/>
            </w:tcBorders>
            <w:noWrap w:val="0"/>
            <w:vAlign w:val="center"/>
          </w:tcPr>
          <w:p w14:paraId="6B09896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未安装废水在线监测仪及其配套设施，未安装VOCs处理设备运行监控装置</w:t>
            </w:r>
          </w:p>
        </w:tc>
        <w:tc>
          <w:tcPr>
            <w:tcW w:w="287" w:type="pct"/>
            <w:tcBorders>
              <w:tl2br w:val="nil"/>
              <w:tr2bl w:val="nil"/>
            </w:tcBorders>
            <w:noWrap w:val="0"/>
            <w:vAlign w:val="center"/>
          </w:tcPr>
          <w:p w14:paraId="21E5095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56265BA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199094E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54E5019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1F6CCE7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52D21CF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29ED440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6F7C14C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184907E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按照《环境信息公开办法（试行）》第十九条公开环境信息</w:t>
            </w:r>
          </w:p>
        </w:tc>
        <w:tc>
          <w:tcPr>
            <w:tcW w:w="1584" w:type="pct"/>
            <w:tcBorders>
              <w:tl2br w:val="nil"/>
              <w:tr2bl w:val="nil"/>
            </w:tcBorders>
            <w:noWrap w:val="0"/>
            <w:vAlign w:val="center"/>
          </w:tcPr>
          <w:p w14:paraId="65D6D69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已公开环境信息</w:t>
            </w:r>
          </w:p>
        </w:tc>
        <w:tc>
          <w:tcPr>
            <w:tcW w:w="287" w:type="pct"/>
            <w:tcBorders>
              <w:tl2br w:val="nil"/>
              <w:tr2bl w:val="nil"/>
            </w:tcBorders>
            <w:noWrap w:val="0"/>
            <w:vAlign w:val="center"/>
          </w:tcPr>
          <w:p w14:paraId="7D77096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394C241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0D6EC92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53B4A2B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46A56E3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0B09EB8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476E293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28BB045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0716FD3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建立绿色物流供应链制度</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对主要零部件供应商提出环保要求</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符合相关法律法规标准要求</w:t>
            </w:r>
          </w:p>
        </w:tc>
        <w:tc>
          <w:tcPr>
            <w:tcW w:w="1584" w:type="pct"/>
            <w:tcBorders>
              <w:tl2br w:val="nil"/>
              <w:tr2bl w:val="nil"/>
            </w:tcBorders>
            <w:noWrap w:val="0"/>
            <w:vAlign w:val="center"/>
          </w:tcPr>
          <w:p w14:paraId="7AC75AD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建立绿色物流供应链制度</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对主要零部件供应商提出环保要求</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符合相关法律法规标准要求</w:t>
            </w:r>
          </w:p>
        </w:tc>
        <w:tc>
          <w:tcPr>
            <w:tcW w:w="287" w:type="pct"/>
            <w:tcBorders>
              <w:tl2br w:val="nil"/>
              <w:tr2bl w:val="nil"/>
            </w:tcBorders>
            <w:noWrap w:val="0"/>
            <w:vAlign w:val="center"/>
          </w:tcPr>
          <w:p w14:paraId="08F5546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0A04F12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1284639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410C792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32F6DAC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433A51E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vMerge w:val="continue"/>
            <w:tcBorders>
              <w:tl2br w:val="nil"/>
              <w:tr2bl w:val="nil"/>
            </w:tcBorders>
            <w:noWrap w:val="0"/>
            <w:vAlign w:val="center"/>
          </w:tcPr>
          <w:p w14:paraId="020729A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61" w:type="pct"/>
            <w:tcBorders>
              <w:tl2br w:val="nil"/>
              <w:tr2bl w:val="nil"/>
            </w:tcBorders>
            <w:noWrap w:val="0"/>
            <w:vAlign w:val="center"/>
          </w:tcPr>
          <w:p w14:paraId="4C576E0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1403" w:type="pct"/>
            <w:gridSpan w:val="3"/>
            <w:tcBorders>
              <w:tl2br w:val="nil"/>
              <w:tr2bl w:val="nil"/>
            </w:tcBorders>
            <w:noWrap w:val="0"/>
            <w:vAlign w:val="center"/>
          </w:tcPr>
          <w:p w14:paraId="17A01F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企业建设项目环境保护</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三同时</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执行情况</w:t>
            </w:r>
          </w:p>
        </w:tc>
        <w:tc>
          <w:tcPr>
            <w:tcW w:w="1584" w:type="pct"/>
            <w:tcBorders>
              <w:tl2br w:val="nil"/>
              <w:tr2bl w:val="nil"/>
            </w:tcBorders>
            <w:noWrap w:val="0"/>
            <w:vAlign w:val="center"/>
          </w:tcPr>
          <w:p w14:paraId="30FDB78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公司严格执行建设项目环境保</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护</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三同时</w:t>
            </w:r>
            <w:r>
              <w:rPr>
                <w:rFonts w:hint="eastAsia" w:ascii="Times New Roman Regular" w:hAnsi="Times New Roman Regular" w:cs="Times New Roman Regular"/>
                <w:i w:val="0"/>
                <w:iCs w:val="0"/>
                <w:color w:val="auto"/>
                <w:kern w:val="0"/>
                <w:sz w:val="16"/>
                <w:szCs w:val="16"/>
                <w:highlight w:val="none"/>
                <w:u w:val="none"/>
                <w:lang w:val="en-US" w:eastAsia="zh-CN" w:bidi="ar"/>
              </w:rPr>
              <w:t>”</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制度</w:t>
            </w:r>
          </w:p>
        </w:tc>
        <w:tc>
          <w:tcPr>
            <w:tcW w:w="287" w:type="pct"/>
            <w:tcBorders>
              <w:tl2br w:val="nil"/>
              <w:tr2bl w:val="nil"/>
            </w:tcBorders>
            <w:noWrap w:val="0"/>
            <w:vAlign w:val="center"/>
          </w:tcPr>
          <w:p w14:paraId="2501640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25" w:type="pct"/>
            <w:tcBorders>
              <w:tl2br w:val="nil"/>
              <w:tr2bl w:val="nil"/>
            </w:tcBorders>
            <w:noWrap w:val="0"/>
            <w:vAlign w:val="center"/>
          </w:tcPr>
          <w:p w14:paraId="3EA7931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c>
          <w:tcPr>
            <w:tcW w:w="230" w:type="pct"/>
            <w:tcBorders>
              <w:tl2br w:val="nil"/>
              <w:tr2bl w:val="nil"/>
            </w:tcBorders>
            <w:noWrap w:val="0"/>
            <w:vAlign w:val="center"/>
          </w:tcPr>
          <w:p w14:paraId="67444B8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0.05</w:t>
            </w:r>
          </w:p>
        </w:tc>
      </w:tr>
      <w:tr w14:paraId="3BC6558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7002B47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42AEDD5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tcBorders>
              <w:tl2br w:val="nil"/>
              <w:tr2bl w:val="nil"/>
            </w:tcBorders>
            <w:noWrap w:val="0"/>
            <w:vAlign w:val="center"/>
          </w:tcPr>
          <w:p w14:paraId="236F12E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组织</w:t>
            </w:r>
          </w:p>
          <w:p w14:paraId="0B6ECF6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机构</w:t>
            </w:r>
          </w:p>
        </w:tc>
        <w:tc>
          <w:tcPr>
            <w:tcW w:w="361" w:type="pct"/>
            <w:tcBorders>
              <w:tl2br w:val="nil"/>
              <w:tr2bl w:val="nil"/>
            </w:tcBorders>
            <w:noWrap w:val="0"/>
            <w:vAlign w:val="center"/>
          </w:tcPr>
          <w:p w14:paraId="2789E11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w:t>
            </w:r>
          </w:p>
        </w:tc>
        <w:tc>
          <w:tcPr>
            <w:tcW w:w="599" w:type="pct"/>
            <w:tcBorders>
              <w:tl2br w:val="nil"/>
              <w:tr2bl w:val="nil"/>
            </w:tcBorders>
            <w:noWrap w:val="0"/>
            <w:vAlign w:val="center"/>
          </w:tcPr>
          <w:p w14:paraId="4ABFC21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设置专门的清洁生产、环境管理、能源管理岗位</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建立一把手负责的环境管理组织机构</w:t>
            </w:r>
          </w:p>
        </w:tc>
        <w:tc>
          <w:tcPr>
            <w:tcW w:w="549" w:type="pct"/>
            <w:tcBorders>
              <w:tl2br w:val="nil"/>
              <w:tr2bl w:val="nil"/>
            </w:tcBorders>
            <w:noWrap w:val="0"/>
            <w:vAlign w:val="center"/>
          </w:tcPr>
          <w:p w14:paraId="659F2B3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设置清洁生产管理岗位</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实行环境、能源管理岗位责任制</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建立环境管理组织机构</w:t>
            </w:r>
          </w:p>
        </w:tc>
        <w:tc>
          <w:tcPr>
            <w:tcW w:w="255" w:type="pct"/>
            <w:tcBorders>
              <w:tl2br w:val="nil"/>
              <w:tr2bl w:val="nil"/>
            </w:tcBorders>
            <w:noWrap w:val="0"/>
            <w:vAlign w:val="center"/>
          </w:tcPr>
          <w:p w14:paraId="0DF5DAE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设置环境管理组织机构</w:t>
            </w:r>
          </w:p>
        </w:tc>
        <w:tc>
          <w:tcPr>
            <w:tcW w:w="1584" w:type="pct"/>
            <w:tcBorders>
              <w:tl2br w:val="nil"/>
              <w:tr2bl w:val="nil"/>
            </w:tcBorders>
            <w:noWrap w:val="0"/>
            <w:vAlign w:val="center"/>
          </w:tcPr>
          <w:p w14:paraId="30C43A1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企业设置环境管理组织机构</w:t>
            </w:r>
          </w:p>
        </w:tc>
        <w:tc>
          <w:tcPr>
            <w:tcW w:w="287" w:type="pct"/>
            <w:tcBorders>
              <w:tl2br w:val="nil"/>
              <w:tr2bl w:val="nil"/>
            </w:tcBorders>
            <w:noWrap w:val="0"/>
            <w:vAlign w:val="center"/>
          </w:tcPr>
          <w:p w14:paraId="7FB0EF8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w:t>
            </w:r>
          </w:p>
        </w:tc>
        <w:tc>
          <w:tcPr>
            <w:tcW w:w="225" w:type="pct"/>
            <w:tcBorders>
              <w:tl2br w:val="nil"/>
              <w:tr2bl w:val="nil"/>
            </w:tcBorders>
            <w:noWrap w:val="0"/>
            <w:vAlign w:val="center"/>
          </w:tcPr>
          <w:p w14:paraId="45C7852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w:t>
            </w:r>
          </w:p>
        </w:tc>
        <w:tc>
          <w:tcPr>
            <w:tcW w:w="230" w:type="pct"/>
            <w:tcBorders>
              <w:tl2br w:val="nil"/>
              <w:tr2bl w:val="nil"/>
            </w:tcBorders>
            <w:noWrap w:val="0"/>
            <w:vAlign w:val="center"/>
          </w:tcPr>
          <w:p w14:paraId="629CF9B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r>
      <w:tr w14:paraId="3F448A2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1198639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6DD36AE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tcBorders>
              <w:tl2br w:val="nil"/>
              <w:tr2bl w:val="nil"/>
            </w:tcBorders>
            <w:noWrap w:val="0"/>
            <w:vAlign w:val="center"/>
          </w:tcPr>
          <w:p w14:paraId="1525833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生产过程</w:t>
            </w:r>
          </w:p>
        </w:tc>
        <w:tc>
          <w:tcPr>
            <w:tcW w:w="361" w:type="pct"/>
            <w:tcBorders>
              <w:tl2br w:val="nil"/>
              <w:tr2bl w:val="nil"/>
            </w:tcBorders>
            <w:noWrap w:val="0"/>
            <w:vAlign w:val="center"/>
          </w:tcPr>
          <w:p w14:paraId="48E6E1D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w:t>
            </w:r>
          </w:p>
        </w:tc>
        <w:tc>
          <w:tcPr>
            <w:tcW w:w="1403" w:type="pct"/>
            <w:gridSpan w:val="3"/>
            <w:tcBorders>
              <w:tl2br w:val="nil"/>
              <w:tr2bl w:val="nil"/>
            </w:tcBorders>
            <w:noWrap w:val="0"/>
            <w:vAlign w:val="center"/>
          </w:tcPr>
          <w:p w14:paraId="3E1B873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磷化废水应当设置排放口进行废水单独收集</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第一类污染物经单独预处理达标后进入污水处理站；按生产情况制定清理计划</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定期清理含粉尘、油漆的设备和管道</w:t>
            </w:r>
          </w:p>
        </w:tc>
        <w:tc>
          <w:tcPr>
            <w:tcW w:w="1584" w:type="pct"/>
            <w:tcBorders>
              <w:tl2br w:val="nil"/>
              <w:tr2bl w:val="nil"/>
            </w:tcBorders>
            <w:noWrap w:val="0"/>
            <w:vAlign w:val="center"/>
          </w:tcPr>
          <w:p w14:paraId="7C0CF5F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cs="Times New Roman Regular"/>
                <w:i w:val="0"/>
                <w:iCs w:val="0"/>
                <w:color w:val="auto"/>
                <w:kern w:val="0"/>
                <w:sz w:val="16"/>
                <w:szCs w:val="16"/>
                <w:highlight w:val="none"/>
                <w:u w:val="none"/>
                <w:lang w:val="en-US" w:eastAsia="zh-CN" w:bidi="ar"/>
              </w:rPr>
              <w:t>项目未涉及磷化废水</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，已</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定期清理含粉尘、油漆的设备和管道</w:t>
            </w:r>
          </w:p>
        </w:tc>
        <w:tc>
          <w:tcPr>
            <w:tcW w:w="287" w:type="pct"/>
            <w:tcBorders>
              <w:tl2br w:val="nil"/>
              <w:tr2bl w:val="nil"/>
            </w:tcBorders>
            <w:noWrap w:val="0"/>
            <w:vAlign w:val="center"/>
          </w:tcPr>
          <w:p w14:paraId="5F79AB2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25" w:type="pct"/>
            <w:tcBorders>
              <w:tl2br w:val="nil"/>
              <w:tr2bl w:val="nil"/>
            </w:tcBorders>
            <w:noWrap w:val="0"/>
            <w:vAlign w:val="center"/>
          </w:tcPr>
          <w:p w14:paraId="75893BA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30" w:type="pct"/>
            <w:tcBorders>
              <w:tl2br w:val="nil"/>
              <w:tr2bl w:val="nil"/>
            </w:tcBorders>
            <w:noWrap w:val="0"/>
            <w:vAlign w:val="center"/>
          </w:tcPr>
          <w:p w14:paraId="36A5FC3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r>
      <w:tr w14:paraId="407B7FC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7F0FDA9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2B1DDF7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tcBorders>
              <w:tl2br w:val="nil"/>
              <w:tr2bl w:val="nil"/>
            </w:tcBorders>
            <w:noWrap w:val="0"/>
            <w:vAlign w:val="center"/>
          </w:tcPr>
          <w:p w14:paraId="475D104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环境应急预案</w:t>
            </w:r>
          </w:p>
        </w:tc>
        <w:tc>
          <w:tcPr>
            <w:tcW w:w="361" w:type="pct"/>
            <w:tcBorders>
              <w:tl2br w:val="nil"/>
              <w:tr2bl w:val="nil"/>
            </w:tcBorders>
            <w:noWrap w:val="0"/>
            <w:vAlign w:val="center"/>
          </w:tcPr>
          <w:p w14:paraId="2301B34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w:t>
            </w:r>
          </w:p>
        </w:tc>
        <w:tc>
          <w:tcPr>
            <w:tcW w:w="1403" w:type="pct"/>
            <w:gridSpan w:val="3"/>
            <w:tcBorders>
              <w:tl2br w:val="nil"/>
              <w:tr2bl w:val="nil"/>
            </w:tcBorders>
            <w:noWrap w:val="0"/>
            <w:vAlign w:val="center"/>
          </w:tcPr>
          <w:p w14:paraId="0CFF3B7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制定企业环境风险专项应急预案、应急设施、物资齐备</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并定期培训和演练</w:t>
            </w:r>
          </w:p>
        </w:tc>
        <w:tc>
          <w:tcPr>
            <w:tcW w:w="1584" w:type="pct"/>
            <w:tcBorders>
              <w:tl2br w:val="nil"/>
              <w:tr2bl w:val="nil"/>
            </w:tcBorders>
            <w:noWrap w:val="0"/>
            <w:vAlign w:val="center"/>
          </w:tcPr>
          <w:p w14:paraId="1AED5A7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已</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制定企业环境风险专项应急预案</w:t>
            </w:r>
          </w:p>
        </w:tc>
        <w:tc>
          <w:tcPr>
            <w:tcW w:w="287" w:type="pct"/>
            <w:tcBorders>
              <w:tl2br w:val="nil"/>
              <w:tr2bl w:val="nil"/>
            </w:tcBorders>
            <w:noWrap w:val="0"/>
            <w:vAlign w:val="center"/>
          </w:tcPr>
          <w:p w14:paraId="28B7CFB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25" w:type="pct"/>
            <w:tcBorders>
              <w:tl2br w:val="nil"/>
              <w:tr2bl w:val="nil"/>
            </w:tcBorders>
            <w:noWrap w:val="0"/>
            <w:vAlign w:val="center"/>
          </w:tcPr>
          <w:p w14:paraId="1A2AEF5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30" w:type="pct"/>
            <w:tcBorders>
              <w:tl2br w:val="nil"/>
              <w:tr2bl w:val="nil"/>
            </w:tcBorders>
            <w:noWrap w:val="0"/>
            <w:vAlign w:val="center"/>
          </w:tcPr>
          <w:p w14:paraId="0951C9F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r>
      <w:tr w14:paraId="2D6EA72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2D64B40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7A00D59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tcBorders>
              <w:tl2br w:val="nil"/>
              <w:tr2bl w:val="nil"/>
            </w:tcBorders>
            <w:noWrap w:val="0"/>
            <w:vAlign w:val="center"/>
          </w:tcPr>
          <w:p w14:paraId="6A693B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能源管理</w:t>
            </w:r>
          </w:p>
        </w:tc>
        <w:tc>
          <w:tcPr>
            <w:tcW w:w="361" w:type="pct"/>
            <w:tcBorders>
              <w:tl2br w:val="nil"/>
              <w:tr2bl w:val="nil"/>
            </w:tcBorders>
            <w:noWrap w:val="0"/>
            <w:vAlign w:val="center"/>
          </w:tcPr>
          <w:p w14:paraId="72CA1DE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w:t>
            </w:r>
          </w:p>
        </w:tc>
        <w:tc>
          <w:tcPr>
            <w:tcW w:w="1403" w:type="pct"/>
            <w:gridSpan w:val="3"/>
            <w:tcBorders>
              <w:tl2br w:val="nil"/>
              <w:tr2bl w:val="nil"/>
            </w:tcBorders>
            <w:noWrap w:val="0"/>
            <w:vAlign w:val="center"/>
          </w:tcPr>
          <w:p w14:paraId="64EA53F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能源管理工作体系化</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进出用能单位已配备能源计量器具</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并符合GB17167配备要求</w:t>
            </w:r>
          </w:p>
        </w:tc>
        <w:tc>
          <w:tcPr>
            <w:tcW w:w="1584" w:type="pct"/>
            <w:tcBorders>
              <w:tl2br w:val="nil"/>
              <w:tr2bl w:val="nil"/>
            </w:tcBorders>
            <w:noWrap w:val="0"/>
            <w:vAlign w:val="center"/>
          </w:tcPr>
          <w:p w14:paraId="6D06CE7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能源管理工作体系化</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进出用能单位已配备能源计量器具</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并符合GB17167配备要求</w:t>
            </w:r>
          </w:p>
        </w:tc>
        <w:tc>
          <w:tcPr>
            <w:tcW w:w="287" w:type="pct"/>
            <w:tcBorders>
              <w:tl2br w:val="nil"/>
              <w:tr2bl w:val="nil"/>
            </w:tcBorders>
            <w:noWrap w:val="0"/>
            <w:vAlign w:val="center"/>
          </w:tcPr>
          <w:p w14:paraId="42D2C68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25" w:type="pct"/>
            <w:tcBorders>
              <w:tl2br w:val="nil"/>
              <w:tr2bl w:val="nil"/>
            </w:tcBorders>
            <w:noWrap w:val="0"/>
            <w:vAlign w:val="center"/>
          </w:tcPr>
          <w:p w14:paraId="06DE62A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30" w:type="pct"/>
            <w:tcBorders>
              <w:tl2br w:val="nil"/>
              <w:tr2bl w:val="nil"/>
            </w:tcBorders>
            <w:noWrap w:val="0"/>
            <w:vAlign w:val="center"/>
          </w:tcPr>
          <w:p w14:paraId="4296F60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r>
      <w:tr w14:paraId="67870B0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08" w:type="pct"/>
            <w:vMerge w:val="continue"/>
            <w:tcBorders>
              <w:tl2br w:val="nil"/>
              <w:tr2bl w:val="nil"/>
            </w:tcBorders>
            <w:noWrap w:val="0"/>
            <w:vAlign w:val="center"/>
          </w:tcPr>
          <w:p w14:paraId="7C2F34F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285" w:type="pct"/>
            <w:vMerge w:val="continue"/>
            <w:tcBorders>
              <w:tl2br w:val="nil"/>
              <w:tr2bl w:val="nil"/>
            </w:tcBorders>
            <w:noWrap w:val="0"/>
            <w:vAlign w:val="center"/>
          </w:tcPr>
          <w:p w14:paraId="150861E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p>
        </w:tc>
        <w:tc>
          <w:tcPr>
            <w:tcW w:w="314" w:type="pct"/>
            <w:tcBorders>
              <w:tl2br w:val="nil"/>
              <w:tr2bl w:val="nil"/>
            </w:tcBorders>
            <w:noWrap w:val="0"/>
            <w:vAlign w:val="center"/>
          </w:tcPr>
          <w:p w14:paraId="70C0DF6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节水管理</w:t>
            </w:r>
          </w:p>
        </w:tc>
        <w:tc>
          <w:tcPr>
            <w:tcW w:w="361" w:type="pct"/>
            <w:tcBorders>
              <w:tl2br w:val="nil"/>
              <w:tr2bl w:val="nil"/>
            </w:tcBorders>
            <w:noWrap w:val="0"/>
            <w:vAlign w:val="center"/>
          </w:tcPr>
          <w:p w14:paraId="098B2D2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0.10</w:t>
            </w:r>
          </w:p>
        </w:tc>
        <w:tc>
          <w:tcPr>
            <w:tcW w:w="1403" w:type="pct"/>
            <w:gridSpan w:val="3"/>
            <w:tcBorders>
              <w:tl2br w:val="nil"/>
              <w:tr2bl w:val="nil"/>
            </w:tcBorders>
            <w:noWrap w:val="0"/>
            <w:vAlign w:val="center"/>
          </w:tcPr>
          <w:p w14:paraId="62D2E4D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进出用能单位已配备能源计量器具</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并符合GB24789配备要求</w:t>
            </w:r>
          </w:p>
        </w:tc>
        <w:tc>
          <w:tcPr>
            <w:tcW w:w="1584" w:type="pct"/>
            <w:tcBorders>
              <w:tl2br w:val="nil"/>
              <w:tr2bl w:val="nil"/>
            </w:tcBorders>
            <w:noWrap w:val="0"/>
            <w:vAlign w:val="center"/>
          </w:tcPr>
          <w:p w14:paraId="5088CDD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进出用能单位已配备能源计量器具</w:t>
            </w: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w:t>
            </w: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并符合GB24789配备要求</w:t>
            </w:r>
          </w:p>
        </w:tc>
        <w:tc>
          <w:tcPr>
            <w:tcW w:w="287" w:type="pct"/>
            <w:tcBorders>
              <w:tl2br w:val="nil"/>
              <w:tr2bl w:val="nil"/>
            </w:tcBorders>
            <w:noWrap w:val="0"/>
            <w:vAlign w:val="center"/>
          </w:tcPr>
          <w:p w14:paraId="22D44F4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25" w:type="pct"/>
            <w:tcBorders>
              <w:tl2br w:val="nil"/>
              <w:tr2bl w:val="nil"/>
            </w:tcBorders>
            <w:noWrap w:val="0"/>
            <w:vAlign w:val="center"/>
          </w:tcPr>
          <w:p w14:paraId="54B1A03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c>
          <w:tcPr>
            <w:tcW w:w="230" w:type="pct"/>
            <w:tcBorders>
              <w:tl2br w:val="nil"/>
              <w:tr2bl w:val="nil"/>
            </w:tcBorders>
            <w:noWrap w:val="0"/>
            <w:vAlign w:val="center"/>
          </w:tcPr>
          <w:p w14:paraId="7A5F4AD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0.1</w:t>
            </w:r>
          </w:p>
        </w:tc>
      </w:tr>
      <w:tr w14:paraId="0EEAD13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57" w:type="pct"/>
            <w:gridSpan w:val="8"/>
            <w:tcBorders>
              <w:tl2br w:val="nil"/>
              <w:tr2bl w:val="nil"/>
            </w:tcBorders>
            <w:noWrap w:val="0"/>
            <w:vAlign w:val="center"/>
          </w:tcPr>
          <w:p w14:paraId="32B0CEC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Regular" w:hAnsi="Times New Roman Regular" w:eastAsia="宋体" w:cs="Times New Roman Regular"/>
                <w:i w:val="0"/>
                <w:iCs w:val="0"/>
                <w:color w:val="auto"/>
                <w:kern w:val="0"/>
                <w:sz w:val="16"/>
                <w:szCs w:val="16"/>
                <w:highlight w:val="none"/>
                <w:u w:val="none"/>
                <w:lang w:val="en-US" w:eastAsia="zh-CN" w:bidi="ar"/>
              </w:rPr>
            </w:pPr>
            <w:r>
              <w:rPr>
                <w:rFonts w:hint="default" w:ascii="Times New Roman Regular" w:hAnsi="Times New Roman Regular" w:eastAsia="宋体" w:cs="Times New Roman Regular"/>
                <w:i w:val="0"/>
                <w:iCs w:val="0"/>
                <w:color w:val="auto"/>
                <w:kern w:val="0"/>
                <w:sz w:val="16"/>
                <w:szCs w:val="16"/>
                <w:highlight w:val="none"/>
                <w:u w:val="none"/>
                <w:lang w:val="en-US" w:eastAsia="zh-CN" w:bidi="ar"/>
              </w:rPr>
              <w:t>合计</w:t>
            </w:r>
          </w:p>
        </w:tc>
        <w:tc>
          <w:tcPr>
            <w:tcW w:w="287" w:type="pct"/>
            <w:tcBorders>
              <w:tl2br w:val="nil"/>
              <w:tr2bl w:val="nil"/>
            </w:tcBorders>
            <w:noWrap w:val="0"/>
            <w:vAlign w:val="center"/>
          </w:tcPr>
          <w:p w14:paraId="1F594C5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0.9</w:t>
            </w:r>
          </w:p>
        </w:tc>
        <w:tc>
          <w:tcPr>
            <w:tcW w:w="225" w:type="pct"/>
            <w:tcBorders>
              <w:tl2br w:val="nil"/>
              <w:tr2bl w:val="nil"/>
            </w:tcBorders>
            <w:noWrap w:val="0"/>
            <w:vAlign w:val="center"/>
          </w:tcPr>
          <w:p w14:paraId="78F02D6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0.9</w:t>
            </w:r>
          </w:p>
        </w:tc>
        <w:tc>
          <w:tcPr>
            <w:tcW w:w="230" w:type="pct"/>
            <w:tcBorders>
              <w:tl2br w:val="nil"/>
              <w:tr2bl w:val="nil"/>
            </w:tcBorders>
            <w:noWrap w:val="0"/>
            <w:vAlign w:val="center"/>
          </w:tcPr>
          <w:p w14:paraId="4F228FE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eastAsia" w:ascii="Times New Roman Regular" w:hAnsi="Times New Roman Regular" w:eastAsia="宋体" w:cs="Times New Roman Regular"/>
                <w:i w:val="0"/>
                <w:iCs w:val="0"/>
                <w:color w:val="auto"/>
                <w:kern w:val="0"/>
                <w:sz w:val="16"/>
                <w:szCs w:val="16"/>
                <w:highlight w:val="none"/>
                <w:u w:val="none"/>
                <w:lang w:val="en-US" w:eastAsia="zh-CN" w:bidi="ar"/>
              </w:rPr>
            </w:pPr>
            <w:r>
              <w:rPr>
                <w:rFonts w:hint="eastAsia" w:ascii="Times New Roman Regular" w:hAnsi="Times New Roman Regular" w:eastAsia="宋体" w:cs="Times New Roman Regular"/>
                <w:i w:val="0"/>
                <w:iCs w:val="0"/>
                <w:color w:val="auto"/>
                <w:kern w:val="0"/>
                <w:sz w:val="16"/>
                <w:szCs w:val="16"/>
                <w:highlight w:val="none"/>
                <w:u w:val="none"/>
                <w:lang w:val="en-US" w:eastAsia="zh-CN" w:bidi="ar"/>
              </w:rPr>
              <w:t>1</w:t>
            </w:r>
          </w:p>
        </w:tc>
      </w:tr>
    </w:tbl>
    <w:p w14:paraId="1AC31F8C">
      <w:pPr>
        <w:spacing w:line="360" w:lineRule="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公司包含多种生产工序，根据《涂装行业清洁生产评价指标体系》表7权重组合表中组合</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本司权重分配比例为：喷漆（涂覆）0.</w:t>
      </w:r>
      <w:r>
        <w:rPr>
          <w:rFonts w:hint="eastAsia" w:ascii="Times New Roman" w:hAnsi="Times New Roman" w:eastAsia="宋体"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CN"/>
        </w:rPr>
        <w:t>、清洁生产管理评价指标0.2。</w:t>
      </w:r>
    </w:p>
    <w:p w14:paraId="5015B189">
      <w:pPr>
        <w:pStyle w:val="8"/>
        <w:bidi w:val="0"/>
        <w:rPr>
          <w:rFonts w:hint="eastAsia"/>
          <w:color w:val="auto"/>
          <w:highlight w:val="none"/>
          <w:lang w:val="en-US" w:eastAsia="zh-CN"/>
        </w:rPr>
      </w:pPr>
      <w:r>
        <w:rPr>
          <w:rFonts w:hint="eastAsia"/>
          <w:color w:val="auto"/>
          <w:highlight w:val="none"/>
          <w:lang w:val="en-US" w:eastAsia="zh-CN"/>
        </w:rPr>
        <w:t>表3</w:t>
      </w:r>
      <w:r>
        <w:rPr>
          <w:rFonts w:hint="default"/>
          <w:color w:val="auto"/>
          <w:highlight w:val="none"/>
          <w:lang w:val="en-US" w:eastAsia="zh-CN"/>
        </w:rPr>
        <w:t>.</w:t>
      </w:r>
      <w:r>
        <w:rPr>
          <w:rFonts w:hint="eastAsia"/>
          <w:color w:val="auto"/>
          <w:highlight w:val="none"/>
          <w:lang w:val="en-US" w:eastAsia="zh-CN"/>
        </w:rPr>
        <w:t>6-3  权重组合折算表</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109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noWrap w:val="0"/>
            <w:vAlign w:val="top"/>
          </w:tcPr>
          <w:p w14:paraId="0D93E330">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评价指标项目</w:t>
            </w:r>
          </w:p>
        </w:tc>
        <w:tc>
          <w:tcPr>
            <w:tcW w:w="2130" w:type="dxa"/>
            <w:noWrap w:val="0"/>
            <w:vAlign w:val="center"/>
          </w:tcPr>
          <w:p w14:paraId="1C6C87E9">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Ⅰ</w:t>
            </w:r>
            <w:r>
              <w:rPr>
                <w:rFonts w:hint="eastAsia" w:ascii="Times New Roman" w:hAnsi="Times New Roman" w:eastAsia="宋体" w:cs="Times New Roman"/>
                <w:color w:val="auto"/>
                <w:highlight w:val="none"/>
                <w:lang w:val="en-US" w:eastAsia="zh-CN"/>
              </w:rPr>
              <w:t>级得分</w:t>
            </w:r>
          </w:p>
        </w:tc>
        <w:tc>
          <w:tcPr>
            <w:tcW w:w="2131" w:type="dxa"/>
            <w:noWrap w:val="0"/>
            <w:vAlign w:val="center"/>
          </w:tcPr>
          <w:p w14:paraId="5E569A8E">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Ⅱ</w:t>
            </w:r>
            <w:r>
              <w:rPr>
                <w:rFonts w:hint="eastAsia" w:ascii="Times New Roman" w:hAnsi="Times New Roman" w:eastAsia="宋体" w:cs="Times New Roman"/>
                <w:color w:val="auto"/>
                <w:highlight w:val="none"/>
                <w:lang w:val="en-US" w:eastAsia="zh-CN"/>
              </w:rPr>
              <w:t>级得分</w:t>
            </w:r>
          </w:p>
        </w:tc>
        <w:tc>
          <w:tcPr>
            <w:tcW w:w="2131" w:type="dxa"/>
            <w:noWrap w:val="0"/>
            <w:vAlign w:val="center"/>
          </w:tcPr>
          <w:p w14:paraId="51BED133">
            <w:pPr>
              <w:pStyle w:val="1358"/>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Ⅲ</w:t>
            </w:r>
            <w:r>
              <w:rPr>
                <w:rFonts w:hint="eastAsia" w:ascii="Times New Roman" w:hAnsi="Times New Roman" w:eastAsia="宋体" w:cs="Times New Roman"/>
                <w:color w:val="auto"/>
                <w:highlight w:val="none"/>
                <w:lang w:val="en-US" w:eastAsia="zh-CN"/>
              </w:rPr>
              <w:t>级得分</w:t>
            </w:r>
          </w:p>
        </w:tc>
      </w:tr>
      <w:tr w14:paraId="529B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noWrap w:val="0"/>
            <w:vAlign w:val="top"/>
          </w:tcPr>
          <w:p w14:paraId="26AD94A5">
            <w:pPr>
              <w:pStyle w:val="1358"/>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喷漆（涂覆）</w:t>
            </w:r>
          </w:p>
        </w:tc>
        <w:tc>
          <w:tcPr>
            <w:tcW w:w="2130" w:type="dxa"/>
            <w:noWrap w:val="0"/>
            <w:vAlign w:val="center"/>
          </w:tcPr>
          <w:p w14:paraId="527F5086">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54.24</w:t>
            </w:r>
          </w:p>
        </w:tc>
        <w:tc>
          <w:tcPr>
            <w:tcW w:w="2131" w:type="dxa"/>
            <w:noWrap w:val="0"/>
            <w:vAlign w:val="center"/>
          </w:tcPr>
          <w:p w14:paraId="44CC68F6">
            <w:pPr>
              <w:pStyle w:val="1358"/>
              <w:ind w:firstLine="0" w:firstLineChars="0"/>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75.2</w:t>
            </w:r>
          </w:p>
        </w:tc>
        <w:tc>
          <w:tcPr>
            <w:tcW w:w="2131" w:type="dxa"/>
            <w:noWrap w:val="0"/>
            <w:vAlign w:val="center"/>
          </w:tcPr>
          <w:p w14:paraId="2AF60867">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80</w:t>
            </w:r>
          </w:p>
        </w:tc>
      </w:tr>
      <w:tr w14:paraId="2953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noWrap w:val="0"/>
            <w:vAlign w:val="top"/>
          </w:tcPr>
          <w:p w14:paraId="0D83D0AD">
            <w:pPr>
              <w:pStyle w:val="1358"/>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清洁生产管理</w:t>
            </w:r>
          </w:p>
        </w:tc>
        <w:tc>
          <w:tcPr>
            <w:tcW w:w="2130" w:type="dxa"/>
            <w:noWrap w:val="0"/>
            <w:vAlign w:val="center"/>
          </w:tcPr>
          <w:p w14:paraId="48B3C538">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w:t>
            </w:r>
          </w:p>
        </w:tc>
        <w:tc>
          <w:tcPr>
            <w:tcW w:w="2131" w:type="dxa"/>
            <w:noWrap w:val="0"/>
            <w:vAlign w:val="center"/>
          </w:tcPr>
          <w:p w14:paraId="33CF4BC7">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w:t>
            </w:r>
          </w:p>
        </w:tc>
        <w:tc>
          <w:tcPr>
            <w:tcW w:w="2131" w:type="dxa"/>
            <w:noWrap w:val="0"/>
            <w:vAlign w:val="center"/>
          </w:tcPr>
          <w:p w14:paraId="2FB866CA">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r>
      <w:tr w14:paraId="69E4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noWrap w:val="0"/>
            <w:vAlign w:val="top"/>
          </w:tcPr>
          <w:p w14:paraId="050C7612">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合计</w:t>
            </w:r>
          </w:p>
        </w:tc>
        <w:tc>
          <w:tcPr>
            <w:tcW w:w="2130" w:type="dxa"/>
            <w:noWrap w:val="0"/>
            <w:vAlign w:val="center"/>
          </w:tcPr>
          <w:p w14:paraId="6829C97D">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72.24</w:t>
            </w:r>
          </w:p>
        </w:tc>
        <w:tc>
          <w:tcPr>
            <w:tcW w:w="2131" w:type="dxa"/>
            <w:noWrap w:val="0"/>
            <w:vAlign w:val="center"/>
          </w:tcPr>
          <w:p w14:paraId="6363FEA1">
            <w:pPr>
              <w:pStyle w:val="1358"/>
              <w:ind w:firstLine="0" w:firstLineChars="0"/>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93.2</w:t>
            </w:r>
          </w:p>
        </w:tc>
        <w:tc>
          <w:tcPr>
            <w:tcW w:w="2131" w:type="dxa"/>
            <w:noWrap w:val="0"/>
            <w:vAlign w:val="center"/>
          </w:tcPr>
          <w:p w14:paraId="4F2F79D0">
            <w:pPr>
              <w:pStyle w:val="1358"/>
              <w:ind w:firstLine="0" w:firstLineChars="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100</w:t>
            </w:r>
          </w:p>
        </w:tc>
      </w:tr>
    </w:tbl>
    <w:p w14:paraId="4CB225CA">
      <w:pPr>
        <w:pStyle w:val="8"/>
        <w:bidi w:val="0"/>
        <w:rPr>
          <w:rFonts w:hint="default"/>
          <w:color w:val="auto"/>
          <w:highlight w:val="none"/>
          <w:lang w:val="en-US" w:eastAsia="zh-CN"/>
        </w:rPr>
      </w:pPr>
      <w:r>
        <w:rPr>
          <w:rFonts w:hint="eastAsia"/>
          <w:color w:val="auto"/>
          <w:highlight w:val="none"/>
          <w:lang w:val="en-US" w:eastAsia="zh-CN"/>
        </w:rPr>
        <w:t>表3.6-4  不同等级清洁生产企业综合评价指数</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9"/>
        <w:gridCol w:w="6217"/>
      </w:tblGrid>
      <w:tr w14:paraId="64BF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69" w:type="dxa"/>
            <w:noWrap w:val="0"/>
            <w:vAlign w:val="center"/>
          </w:tcPr>
          <w:p w14:paraId="21B8AEC0">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企业清洁生产水平</w:t>
            </w:r>
          </w:p>
        </w:tc>
        <w:tc>
          <w:tcPr>
            <w:tcW w:w="6217" w:type="dxa"/>
            <w:noWrap w:val="0"/>
            <w:vAlign w:val="center"/>
          </w:tcPr>
          <w:p w14:paraId="45C1C960">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清洁生产综合评价指数</w:t>
            </w:r>
          </w:p>
        </w:tc>
      </w:tr>
      <w:tr w14:paraId="155A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69" w:type="dxa"/>
            <w:noWrap w:val="0"/>
            <w:vAlign w:val="center"/>
          </w:tcPr>
          <w:p w14:paraId="684D6EDE">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I级（国际清洁生产领先水平）</w:t>
            </w:r>
          </w:p>
        </w:tc>
        <w:tc>
          <w:tcPr>
            <w:tcW w:w="6217" w:type="dxa"/>
            <w:noWrap w:val="0"/>
            <w:vAlign w:val="center"/>
          </w:tcPr>
          <w:p w14:paraId="441389AA">
            <w:pPr>
              <w:pStyle w:val="1358"/>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同时满足：——YI≥85；</w:t>
            </w:r>
          </w:p>
          <w:p w14:paraId="0A839251">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限定性指标全部满足I级基准值要求</w:t>
            </w:r>
          </w:p>
        </w:tc>
      </w:tr>
      <w:tr w14:paraId="53A4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69" w:type="dxa"/>
            <w:noWrap w:val="0"/>
            <w:vAlign w:val="center"/>
          </w:tcPr>
          <w:p w14:paraId="2B2AA748">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II级（国内清洁生产先进水平）</w:t>
            </w:r>
          </w:p>
        </w:tc>
        <w:tc>
          <w:tcPr>
            <w:tcW w:w="6217" w:type="dxa"/>
            <w:noWrap w:val="0"/>
            <w:vAlign w:val="center"/>
          </w:tcPr>
          <w:p w14:paraId="3C1A5900">
            <w:pPr>
              <w:pStyle w:val="1358"/>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同时满足：——YII≥85；</w:t>
            </w:r>
          </w:p>
          <w:p w14:paraId="2FC0FB28">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限定性指标全部满足II级基准值要求及以上</w:t>
            </w:r>
          </w:p>
        </w:tc>
      </w:tr>
      <w:tr w14:paraId="5D3D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69" w:type="dxa"/>
            <w:noWrap w:val="0"/>
            <w:vAlign w:val="center"/>
          </w:tcPr>
          <w:p w14:paraId="70AE7E98">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III级（国内清洁生产基本水平）</w:t>
            </w:r>
          </w:p>
        </w:tc>
        <w:tc>
          <w:tcPr>
            <w:tcW w:w="6217" w:type="dxa"/>
            <w:noWrap w:val="0"/>
            <w:vAlign w:val="center"/>
          </w:tcPr>
          <w:p w14:paraId="36B5C27C">
            <w:pPr>
              <w:pStyle w:val="1358"/>
              <w:jc w:val="left"/>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同时满足：——YIII=100；</w:t>
            </w:r>
          </w:p>
        </w:tc>
      </w:tr>
    </w:tbl>
    <w:p w14:paraId="64671233">
      <w:pPr>
        <w:pStyle w:val="1319"/>
        <w:ind w:left="0" w:leftChars="0" w:firstLine="0" w:firstLineChars="0"/>
        <w:rPr>
          <w:color w:val="auto"/>
          <w:highlight w:val="none"/>
        </w:rPr>
        <w:sectPr>
          <w:pgSz w:w="23811" w:h="16838" w:orient="landscape"/>
          <w:pgMar w:top="1418" w:right="1440" w:bottom="1418" w:left="1440" w:header="964" w:footer="964" w:gutter="0"/>
          <w:pgBorders w:offsetFrom="page">
            <w:top w:val="none" w:sz="0" w:space="0"/>
            <w:left w:val="none" w:sz="0" w:space="0"/>
            <w:bottom w:val="none" w:sz="0" w:space="0"/>
            <w:right w:val="none" w:sz="0" w:space="0"/>
          </w:pgBorders>
          <w:pgNumType w:fmt="decimal"/>
          <w:cols w:space="720" w:num="1"/>
          <w:docGrid w:linePitch="326" w:charSpace="0"/>
        </w:sectPr>
      </w:pPr>
      <w:r>
        <w:rPr>
          <w:rFonts w:hint="default" w:ascii="Times New Roman" w:hAnsi="Times New Roman" w:eastAsia="宋体" w:cs="Times New Roman"/>
          <w:color w:val="auto"/>
          <w:kern w:val="0"/>
          <w:sz w:val="24"/>
          <w:szCs w:val="24"/>
          <w:highlight w:val="none"/>
          <w:lang w:eastAsia="zh-CN"/>
        </w:rPr>
        <w:t>通过</w:t>
      </w:r>
      <w:r>
        <w:rPr>
          <w:rFonts w:hint="default" w:ascii="Times New Roman" w:hAnsi="Times New Roman" w:eastAsia="宋体" w:cs="Times New Roman"/>
          <w:color w:val="auto"/>
          <w:kern w:val="0"/>
          <w:sz w:val="24"/>
          <w:szCs w:val="24"/>
          <w:highlight w:val="none"/>
        </w:rPr>
        <w:t>计算</w:t>
      </w:r>
      <w:r>
        <w:rPr>
          <w:rFonts w:hint="default" w:ascii="Times New Roman" w:hAnsi="Times New Roman" w:cs="Times New Roman"/>
          <w:color w:val="auto"/>
          <w:kern w:val="0"/>
          <w:sz w:val="24"/>
          <w:szCs w:val="24"/>
          <w:highlight w:val="none"/>
        </w:rPr>
        <w:t>企业清洁生产综合评价指数，</w:t>
      </w:r>
      <w:r>
        <w:rPr>
          <w:rFonts w:hint="eastAsia" w:ascii="Times New Roman" w:hAnsi="Times New Roman" w:cs="Times New Roman"/>
          <w:color w:val="auto"/>
          <w:kern w:val="0"/>
          <w:sz w:val="24"/>
          <w:szCs w:val="24"/>
          <w:highlight w:val="none"/>
          <w:lang w:val="en-US" w:eastAsia="zh-CN"/>
        </w:rPr>
        <w:t>企业</w:t>
      </w:r>
      <w:r>
        <w:rPr>
          <w:rFonts w:hint="default" w:ascii="Times New Roman" w:hAnsi="Times New Roman" w:eastAsia="宋体" w:cs="Times New Roman"/>
          <w:color w:val="auto"/>
          <w:highlight w:val="none"/>
          <w:lang w:val="en-US" w:eastAsia="zh-CN"/>
        </w:rPr>
        <w:t>Ⅲ</w:t>
      </w:r>
      <w:r>
        <w:rPr>
          <w:rFonts w:hint="eastAsia" w:ascii="Times New Roman" w:hAnsi="Times New Roman" w:eastAsia="宋体" w:cs="Times New Roman"/>
          <w:color w:val="auto"/>
          <w:highlight w:val="none"/>
          <w:lang w:val="en-US" w:eastAsia="zh-CN"/>
        </w:rPr>
        <w:t>级得分=100，同时满足II级得分=9</w:t>
      </w:r>
      <w:r>
        <w:rPr>
          <w:rFonts w:hint="eastAsia" w:cs="Times New Roman"/>
          <w:color w:val="auto"/>
          <w:highlight w:val="none"/>
          <w:lang w:val="en-US" w:eastAsia="zh-CN"/>
        </w:rPr>
        <w:t>3.2</w:t>
      </w:r>
      <w:r>
        <w:rPr>
          <w:rFonts w:hint="eastAsia" w:ascii="Times New Roman" w:hAnsi="Times New Roman" w:eastAsia="宋体" w:cs="Times New Roman"/>
          <w:color w:val="auto"/>
          <w:highlight w:val="none"/>
          <w:lang w:val="en-US" w:eastAsia="zh-CN"/>
        </w:rPr>
        <w:t>，故企业</w:t>
      </w:r>
      <w:r>
        <w:rPr>
          <w:rFonts w:hint="eastAsia" w:ascii="Times New Roman" w:hAnsi="Times New Roman" w:cs="Times New Roman"/>
          <w:color w:val="auto"/>
          <w:kern w:val="0"/>
          <w:sz w:val="24"/>
          <w:szCs w:val="24"/>
          <w:highlight w:val="none"/>
          <w:lang w:val="en-US" w:eastAsia="zh-CN"/>
        </w:rPr>
        <w:t>达到国内清洁生产先进水平。</w:t>
      </w:r>
    </w:p>
    <w:bookmarkEnd w:id="365"/>
    <w:bookmarkEnd w:id="366"/>
    <w:p w14:paraId="6EAB3649">
      <w:pPr>
        <w:pStyle w:val="2"/>
        <w:numPr>
          <w:ilvl w:val="0"/>
          <w:numId w:val="0"/>
        </w:numPr>
        <w:bidi w:val="0"/>
        <w:ind w:leftChars="0"/>
        <w:rPr>
          <w:color w:val="auto"/>
          <w:highlight w:val="none"/>
          <w:lang w:val="en-US" w:eastAsia="zh-CN"/>
        </w:rPr>
      </w:pPr>
      <w:bookmarkStart w:id="369" w:name="_Toc18955"/>
      <w:r>
        <w:rPr>
          <w:color w:val="auto"/>
          <w:highlight w:val="none"/>
          <w:lang w:val="en-US" w:eastAsia="zh-CN"/>
        </w:rPr>
        <w:t>4</w:t>
      </w:r>
      <w:r>
        <w:rPr>
          <w:rFonts w:hint="eastAsia"/>
          <w:color w:val="auto"/>
          <w:highlight w:val="none"/>
          <w:lang w:val="en-US" w:eastAsia="zh-CN"/>
        </w:rPr>
        <w:t xml:space="preserve"> </w:t>
      </w:r>
      <w:r>
        <w:rPr>
          <w:color w:val="auto"/>
          <w:highlight w:val="none"/>
          <w:lang w:val="en-US" w:eastAsia="zh-CN"/>
        </w:rPr>
        <w:t>环境现状调查与评价</w:t>
      </w:r>
      <w:bookmarkEnd w:id="318"/>
      <w:bookmarkEnd w:id="369"/>
    </w:p>
    <w:p w14:paraId="7C9097BE">
      <w:pPr>
        <w:pStyle w:val="3"/>
        <w:numPr>
          <w:ilvl w:val="1"/>
          <w:numId w:val="0"/>
        </w:numPr>
        <w:bidi w:val="0"/>
        <w:rPr>
          <w:color w:val="auto"/>
          <w:highlight w:val="none"/>
          <w:lang w:val="en-US" w:eastAsia="zh-CN"/>
        </w:rPr>
      </w:pPr>
      <w:bookmarkStart w:id="370" w:name="_Toc482774806"/>
      <w:bookmarkStart w:id="371" w:name="_Toc479338097"/>
      <w:bookmarkStart w:id="372" w:name="_Toc514864082"/>
      <w:bookmarkStart w:id="373" w:name="_Toc517780123"/>
      <w:bookmarkStart w:id="374" w:name="_Toc447011657"/>
      <w:bookmarkStart w:id="375" w:name="_Toc447010353"/>
      <w:bookmarkStart w:id="376" w:name="_Toc482668911"/>
      <w:bookmarkStart w:id="377" w:name="_Toc449085999"/>
      <w:bookmarkStart w:id="378" w:name="_Toc514988764"/>
      <w:bookmarkStart w:id="379" w:name="_Toc477341517"/>
      <w:bookmarkStart w:id="380" w:name="_Toc25530"/>
      <w:bookmarkStart w:id="381" w:name="_Toc476239499"/>
      <w:bookmarkStart w:id="382" w:name="_Toc20570"/>
      <w:bookmarkStart w:id="383" w:name="_Toc275269686"/>
      <w:bookmarkStart w:id="384" w:name="_Toc322356134"/>
      <w:bookmarkStart w:id="385" w:name="_Toc1492"/>
      <w:bookmarkStart w:id="386" w:name="_Toc28773"/>
      <w:r>
        <w:rPr>
          <w:color w:val="auto"/>
          <w:highlight w:val="none"/>
          <w:lang w:val="en-US" w:eastAsia="zh-CN"/>
        </w:rPr>
        <w:t>4.1</w:t>
      </w:r>
      <w:r>
        <w:rPr>
          <w:rFonts w:hint="eastAsia"/>
          <w:color w:val="auto"/>
          <w:highlight w:val="none"/>
          <w:lang w:val="en-US" w:eastAsia="zh-CN"/>
        </w:rPr>
        <w:t xml:space="preserve"> </w:t>
      </w:r>
      <w:r>
        <w:rPr>
          <w:color w:val="auto"/>
          <w:highlight w:val="none"/>
          <w:lang w:val="en-US" w:eastAsia="zh-CN"/>
        </w:rPr>
        <w:t>自然环境</w:t>
      </w:r>
      <w:bookmarkEnd w:id="370"/>
      <w:bookmarkEnd w:id="371"/>
      <w:bookmarkEnd w:id="372"/>
      <w:bookmarkEnd w:id="373"/>
      <w:bookmarkEnd w:id="374"/>
      <w:bookmarkEnd w:id="375"/>
      <w:bookmarkEnd w:id="376"/>
      <w:bookmarkEnd w:id="377"/>
      <w:bookmarkEnd w:id="378"/>
      <w:bookmarkEnd w:id="379"/>
      <w:r>
        <w:rPr>
          <w:color w:val="auto"/>
          <w:highlight w:val="none"/>
          <w:lang w:val="en-US" w:eastAsia="zh-CN"/>
        </w:rPr>
        <w:t>状况</w:t>
      </w:r>
      <w:bookmarkEnd w:id="380"/>
      <w:bookmarkEnd w:id="381"/>
      <w:bookmarkEnd w:id="382"/>
      <w:bookmarkEnd w:id="383"/>
      <w:bookmarkEnd w:id="384"/>
      <w:bookmarkEnd w:id="385"/>
      <w:bookmarkEnd w:id="386"/>
    </w:p>
    <w:p w14:paraId="5C5D47A1">
      <w:pPr>
        <w:pStyle w:val="4"/>
        <w:numPr>
          <w:ilvl w:val="2"/>
          <w:numId w:val="0"/>
        </w:numPr>
        <w:tabs>
          <w:tab w:val="clear" w:pos="720"/>
        </w:tabs>
        <w:bidi w:val="0"/>
        <w:rPr>
          <w:color w:val="auto"/>
          <w:highlight w:val="none"/>
          <w:lang w:val="en-US" w:eastAsia="zh-CN"/>
        </w:rPr>
      </w:pPr>
      <w:bookmarkStart w:id="387" w:name="_Toc1096"/>
      <w:r>
        <w:rPr>
          <w:color w:val="auto"/>
          <w:highlight w:val="none"/>
          <w:lang w:val="en-US" w:eastAsia="zh-CN"/>
        </w:rPr>
        <w:t>4.1.1</w:t>
      </w:r>
      <w:r>
        <w:rPr>
          <w:rFonts w:hint="eastAsia"/>
          <w:color w:val="auto"/>
          <w:highlight w:val="none"/>
          <w:lang w:val="en-US" w:eastAsia="zh-CN"/>
        </w:rPr>
        <w:t xml:space="preserve"> </w:t>
      </w:r>
      <w:r>
        <w:rPr>
          <w:color w:val="auto"/>
          <w:highlight w:val="none"/>
          <w:lang w:val="en-US" w:eastAsia="zh-CN"/>
        </w:rPr>
        <w:t>地理位置及周边概况</w:t>
      </w:r>
      <w:bookmarkEnd w:id="387"/>
    </w:p>
    <w:p w14:paraId="5681CED9">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闽侯县地处福建省东南沿海，省会福州市西南侧，鸿尾乡位于闽侯县西部，闽江下游南岸，东与竹岐乡相连，西邻闽清，南至岩石大帽山与永泰、闽清交界，北邻闽江，与白沙镇相望。全境东西南北群山屏障，中部穆源溪由西向东注入闽江，形成狭长的河谷型半山区。全乡面积157平方公里，拥有耕地2.33万亩，山地145388亩。现辖青马、埕头、古洋、南下、源口、奎石、超乾、官路、汉头、大模、南坑、桥头、溪元、大坑、大罕、南元、安樟、岩石、里头等20个行政村，总人口35168人。</w:t>
      </w:r>
    </w:p>
    <w:p w14:paraId="52DD1448">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青口镇地处闽侯县东南端，位于福州至福清工业走廊中心地段，距离县城中心37.5千米，距离福州市中心25千米。东西南三面群山环抱，北临乌龙江，境内有青潭溪、大义溪、梅溪三条溪流汇聚陶江，另有324国道、螺洲大桥、东绕城高速、沈海高速、福银高速等多条路桥搭建起青口对外沟通交流的纽带。全镇行政区域面积127平方公里，辖38个行政村、2个社区，共180个自然村。</w:t>
      </w:r>
    </w:p>
    <w:p w14:paraId="3505F03D">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福州日源汽车零部件有限公司厂址位于福建省闽侯县青口镇祥宏南路1366号，项目厂区周边均为厂房，项目</w:t>
      </w:r>
      <w:r>
        <w:rPr>
          <w:rFonts w:hint="eastAsia" w:cs="Times New Roman"/>
          <w:bCs/>
          <w:color w:val="auto"/>
          <w:kern w:val="2"/>
          <w:sz w:val="24"/>
          <w:szCs w:val="24"/>
          <w:highlight w:val="none"/>
          <w:lang w:val="en-US" w:eastAsia="zh-CN" w:bidi="ar-SA"/>
        </w:rPr>
        <w:t>西</w:t>
      </w:r>
      <w:r>
        <w:rPr>
          <w:rFonts w:hint="eastAsia" w:ascii="Times New Roman" w:hAnsi="Times New Roman" w:eastAsia="宋体" w:cs="Times New Roman"/>
          <w:bCs/>
          <w:color w:val="auto"/>
          <w:kern w:val="2"/>
          <w:sz w:val="24"/>
          <w:szCs w:val="24"/>
          <w:highlight w:val="none"/>
          <w:lang w:val="en-US" w:eastAsia="zh-CN" w:bidi="ar-SA"/>
        </w:rPr>
        <w:t>面紧邻</w:t>
      </w:r>
      <w:r>
        <w:rPr>
          <w:rFonts w:hint="eastAsia" w:cs="Times New Roman"/>
          <w:bCs/>
          <w:color w:val="auto"/>
          <w:kern w:val="2"/>
          <w:sz w:val="24"/>
          <w:szCs w:val="24"/>
          <w:highlight w:val="none"/>
          <w:lang w:val="en-US" w:eastAsia="zh-CN" w:bidi="ar-SA"/>
        </w:rPr>
        <w:t>东长</w:t>
      </w:r>
      <w:r>
        <w:rPr>
          <w:rFonts w:hint="eastAsia" w:ascii="Times New Roman" w:hAnsi="Times New Roman" w:eastAsia="宋体" w:cs="Times New Roman"/>
          <w:bCs/>
          <w:color w:val="auto"/>
          <w:kern w:val="2"/>
          <w:sz w:val="24"/>
          <w:szCs w:val="24"/>
          <w:highlight w:val="none"/>
          <w:lang w:val="en-US" w:eastAsia="zh-CN" w:bidi="ar-SA"/>
        </w:rPr>
        <w:t>路，路对面为颖明</w:t>
      </w:r>
      <w:r>
        <w:rPr>
          <w:rFonts w:hint="eastAsia" w:cs="Times New Roman"/>
          <w:bCs/>
          <w:color w:val="auto"/>
          <w:kern w:val="2"/>
          <w:sz w:val="24"/>
          <w:szCs w:val="24"/>
          <w:highlight w:val="none"/>
          <w:lang w:val="en-US" w:eastAsia="zh-CN" w:bidi="ar-SA"/>
        </w:rPr>
        <w:t>（</w:t>
      </w:r>
      <w:r>
        <w:rPr>
          <w:rFonts w:hint="eastAsia" w:ascii="Times New Roman" w:hAnsi="Times New Roman" w:eastAsia="宋体" w:cs="Times New Roman"/>
          <w:bCs/>
          <w:color w:val="auto"/>
          <w:kern w:val="2"/>
          <w:sz w:val="24"/>
          <w:szCs w:val="24"/>
          <w:highlight w:val="none"/>
          <w:lang w:val="en-US" w:eastAsia="zh-CN" w:bidi="ar-SA"/>
        </w:rPr>
        <w:t>福州</w:t>
      </w:r>
      <w:r>
        <w:rPr>
          <w:rFonts w:hint="eastAsia" w:cs="Times New Roman"/>
          <w:bCs/>
          <w:color w:val="auto"/>
          <w:kern w:val="2"/>
          <w:sz w:val="24"/>
          <w:szCs w:val="24"/>
          <w:highlight w:val="none"/>
          <w:lang w:val="en-US" w:eastAsia="zh-CN" w:bidi="ar-SA"/>
        </w:rPr>
        <w:t>）</w:t>
      </w:r>
      <w:r>
        <w:rPr>
          <w:rFonts w:hint="eastAsia" w:ascii="Times New Roman" w:hAnsi="Times New Roman" w:eastAsia="宋体" w:cs="Times New Roman"/>
          <w:bCs/>
          <w:color w:val="auto"/>
          <w:kern w:val="2"/>
          <w:sz w:val="24"/>
          <w:szCs w:val="24"/>
          <w:highlight w:val="none"/>
          <w:lang w:val="en-US" w:eastAsia="zh-CN" w:bidi="ar-SA"/>
        </w:rPr>
        <w:t>标准件企业有限公司厂房，项目</w:t>
      </w:r>
      <w:r>
        <w:rPr>
          <w:rFonts w:hint="eastAsia" w:cs="Times New Roman"/>
          <w:bCs/>
          <w:color w:val="auto"/>
          <w:kern w:val="2"/>
          <w:sz w:val="24"/>
          <w:szCs w:val="24"/>
          <w:highlight w:val="none"/>
          <w:lang w:val="en-US" w:eastAsia="zh-CN" w:bidi="ar-SA"/>
        </w:rPr>
        <w:t>东</w:t>
      </w:r>
      <w:r>
        <w:rPr>
          <w:rFonts w:hint="eastAsia" w:ascii="Times New Roman" w:hAnsi="Times New Roman" w:eastAsia="宋体" w:cs="Times New Roman"/>
          <w:bCs/>
          <w:color w:val="auto"/>
          <w:kern w:val="2"/>
          <w:sz w:val="24"/>
          <w:szCs w:val="24"/>
          <w:highlight w:val="none"/>
          <w:lang w:val="en-US" w:eastAsia="zh-CN" w:bidi="ar-SA"/>
        </w:rPr>
        <w:t>南侧大门口紧邻</w:t>
      </w:r>
      <w:r>
        <w:rPr>
          <w:rFonts w:hint="eastAsia" w:cs="Times New Roman"/>
          <w:bCs/>
          <w:color w:val="auto"/>
          <w:kern w:val="2"/>
          <w:sz w:val="24"/>
          <w:szCs w:val="24"/>
          <w:highlight w:val="none"/>
          <w:lang w:val="en-US" w:eastAsia="zh-CN" w:bidi="ar-SA"/>
        </w:rPr>
        <w:t>祥宏南</w:t>
      </w:r>
      <w:r>
        <w:rPr>
          <w:rFonts w:hint="eastAsia" w:ascii="Times New Roman" w:hAnsi="Times New Roman" w:eastAsia="宋体" w:cs="Times New Roman"/>
          <w:bCs/>
          <w:color w:val="auto"/>
          <w:kern w:val="2"/>
          <w:sz w:val="24"/>
          <w:szCs w:val="24"/>
          <w:highlight w:val="none"/>
          <w:lang w:val="en-US" w:eastAsia="zh-CN" w:bidi="ar-SA"/>
        </w:rPr>
        <w:t>路，路对面为</w:t>
      </w:r>
      <w:r>
        <w:rPr>
          <w:rFonts w:hint="eastAsia" w:cs="Times New Roman"/>
          <w:bCs/>
          <w:color w:val="auto"/>
          <w:kern w:val="2"/>
          <w:sz w:val="24"/>
          <w:szCs w:val="24"/>
          <w:highlight w:val="none"/>
          <w:lang w:val="en-US" w:eastAsia="zh-CN" w:bidi="ar-SA"/>
        </w:rPr>
        <w:t>大义家具</w:t>
      </w:r>
      <w:r>
        <w:rPr>
          <w:rFonts w:hint="eastAsia" w:ascii="Times New Roman" w:hAnsi="Times New Roman" w:eastAsia="宋体" w:cs="Times New Roman"/>
          <w:bCs/>
          <w:color w:val="auto"/>
          <w:kern w:val="2"/>
          <w:sz w:val="24"/>
          <w:szCs w:val="24"/>
          <w:highlight w:val="none"/>
          <w:lang w:val="en-US" w:eastAsia="zh-CN" w:bidi="ar-SA"/>
        </w:rPr>
        <w:t>，项目西侧为福州鑫旺物流服务有限公司厂房，项目北侧为</w:t>
      </w:r>
      <w:r>
        <w:rPr>
          <w:rFonts w:hint="eastAsia" w:cs="Times New Roman"/>
          <w:bCs/>
          <w:color w:val="auto"/>
          <w:kern w:val="2"/>
          <w:sz w:val="24"/>
          <w:szCs w:val="24"/>
          <w:highlight w:val="none"/>
          <w:lang w:val="en-US" w:eastAsia="zh-CN" w:bidi="ar-SA"/>
        </w:rPr>
        <w:t>福州庆合汽车配件有限公司</w:t>
      </w:r>
      <w:r>
        <w:rPr>
          <w:rFonts w:hint="eastAsia" w:ascii="Times New Roman" w:hAnsi="Times New Roman" w:eastAsia="宋体" w:cs="Times New Roman"/>
          <w:bCs/>
          <w:color w:val="auto"/>
          <w:kern w:val="2"/>
          <w:sz w:val="24"/>
          <w:szCs w:val="24"/>
          <w:highlight w:val="none"/>
          <w:lang w:val="en-US" w:eastAsia="zh-CN" w:bidi="ar-SA"/>
        </w:rPr>
        <w:t>。与项目厂界最近的敏感目标位于项目</w:t>
      </w:r>
      <w:r>
        <w:rPr>
          <w:rFonts w:hint="eastAsia" w:cs="Times New Roman"/>
          <w:bCs/>
          <w:color w:val="auto"/>
          <w:kern w:val="2"/>
          <w:sz w:val="24"/>
          <w:szCs w:val="24"/>
          <w:highlight w:val="none"/>
          <w:lang w:val="en-US" w:eastAsia="zh-CN" w:bidi="ar-SA"/>
        </w:rPr>
        <w:t>西南</w:t>
      </w:r>
      <w:r>
        <w:rPr>
          <w:rFonts w:hint="eastAsia" w:ascii="Times New Roman" w:hAnsi="Times New Roman" w:eastAsia="宋体" w:cs="Times New Roman"/>
          <w:bCs/>
          <w:color w:val="auto"/>
          <w:kern w:val="2"/>
          <w:sz w:val="24"/>
          <w:szCs w:val="24"/>
          <w:highlight w:val="none"/>
          <w:lang w:val="en-US" w:eastAsia="zh-CN" w:bidi="ar-SA"/>
        </w:rPr>
        <w:t>侧的</w:t>
      </w:r>
      <w:r>
        <w:rPr>
          <w:rFonts w:hint="eastAsia" w:cs="Times New Roman"/>
          <w:bCs/>
          <w:color w:val="auto"/>
          <w:kern w:val="2"/>
          <w:sz w:val="24"/>
          <w:szCs w:val="24"/>
          <w:highlight w:val="none"/>
          <w:lang w:val="en-US" w:eastAsia="zh-CN" w:bidi="ar-SA"/>
        </w:rPr>
        <w:t>大义前街新村</w:t>
      </w:r>
      <w:r>
        <w:rPr>
          <w:rFonts w:hint="eastAsia" w:ascii="Times New Roman" w:hAnsi="Times New Roman" w:eastAsia="宋体" w:cs="Times New Roman"/>
          <w:bCs/>
          <w:color w:val="auto"/>
          <w:kern w:val="2"/>
          <w:sz w:val="24"/>
          <w:szCs w:val="24"/>
          <w:highlight w:val="none"/>
          <w:lang w:val="en-US" w:eastAsia="zh-CN" w:bidi="ar-SA"/>
        </w:rPr>
        <w:t>，距离约2</w:t>
      </w:r>
      <w:r>
        <w:rPr>
          <w:rFonts w:hint="eastAsia" w:cs="Times New Roman"/>
          <w:bCs/>
          <w:color w:val="auto"/>
          <w:kern w:val="2"/>
          <w:sz w:val="24"/>
          <w:szCs w:val="24"/>
          <w:highlight w:val="none"/>
          <w:lang w:val="en-US" w:eastAsia="zh-CN" w:bidi="ar-SA"/>
        </w:rPr>
        <w:t>81</w:t>
      </w:r>
      <w:r>
        <w:rPr>
          <w:rFonts w:hint="eastAsia" w:ascii="Times New Roman" w:hAnsi="Times New Roman" w:eastAsia="宋体" w:cs="Times New Roman"/>
          <w:bCs/>
          <w:color w:val="auto"/>
          <w:kern w:val="2"/>
          <w:sz w:val="24"/>
          <w:szCs w:val="24"/>
          <w:highlight w:val="none"/>
          <w:lang w:val="en-US" w:eastAsia="zh-CN" w:bidi="ar-SA"/>
        </w:rPr>
        <w:t>m。项目地理位置优越，交通便捷，</w:t>
      </w:r>
      <w:r>
        <w:rPr>
          <w:rFonts w:ascii="Times New Roman" w:hAnsi="Times New Roman" w:eastAsia="宋体" w:cs="Times New Roman"/>
          <w:bCs/>
          <w:color w:val="auto"/>
          <w:kern w:val="2"/>
          <w:sz w:val="24"/>
          <w:szCs w:val="24"/>
          <w:highlight w:val="none"/>
          <w:lang w:val="en-US" w:eastAsia="zh-CN" w:bidi="ar-SA"/>
        </w:rPr>
        <w:t>项目地理位置图见</w:t>
      </w:r>
      <w:r>
        <w:rPr>
          <w:rFonts w:hint="eastAsia" w:ascii="Times New Roman" w:hAnsi="Times New Roman" w:eastAsia="宋体" w:cs="Times New Roman"/>
          <w:bCs/>
          <w:color w:val="auto"/>
          <w:kern w:val="2"/>
          <w:sz w:val="24"/>
          <w:szCs w:val="24"/>
          <w:highlight w:val="none"/>
          <w:lang w:val="en-US" w:eastAsia="zh-CN" w:bidi="ar-SA"/>
        </w:rPr>
        <w:t>附图1</w:t>
      </w:r>
      <w:r>
        <w:rPr>
          <w:rFonts w:ascii="Times New Roman" w:hAnsi="Times New Roman" w:eastAsia="宋体" w:cs="Times New Roman"/>
          <w:bCs/>
          <w:color w:val="auto"/>
          <w:kern w:val="2"/>
          <w:sz w:val="24"/>
          <w:szCs w:val="24"/>
          <w:highlight w:val="none"/>
          <w:lang w:val="en-US" w:eastAsia="zh-CN" w:bidi="ar-SA"/>
        </w:rPr>
        <w:t>，</w:t>
      </w:r>
      <w:r>
        <w:rPr>
          <w:rFonts w:hint="eastAsia" w:cs="Times New Roman"/>
          <w:bCs/>
          <w:color w:val="auto"/>
          <w:kern w:val="2"/>
          <w:sz w:val="24"/>
          <w:szCs w:val="24"/>
          <w:highlight w:val="none"/>
          <w:lang w:val="en-US" w:eastAsia="zh-CN" w:bidi="ar-SA"/>
        </w:rPr>
        <w:t>环境敏感目标分布图</w:t>
      </w:r>
      <w:r>
        <w:rPr>
          <w:rFonts w:ascii="Times New Roman" w:hAnsi="Times New Roman" w:eastAsia="宋体" w:cs="Times New Roman"/>
          <w:bCs/>
          <w:color w:val="auto"/>
          <w:kern w:val="2"/>
          <w:sz w:val="24"/>
          <w:szCs w:val="24"/>
          <w:highlight w:val="none"/>
          <w:lang w:val="en-US" w:eastAsia="zh-CN" w:bidi="ar-SA"/>
        </w:rPr>
        <w:t>见</w:t>
      </w:r>
      <w:r>
        <w:rPr>
          <w:rFonts w:hint="eastAsia" w:ascii="Times New Roman" w:hAnsi="Times New Roman" w:eastAsia="宋体" w:cs="Times New Roman"/>
          <w:bCs/>
          <w:color w:val="auto"/>
          <w:kern w:val="2"/>
          <w:sz w:val="24"/>
          <w:szCs w:val="24"/>
          <w:highlight w:val="none"/>
          <w:lang w:val="en-US" w:eastAsia="zh-CN" w:bidi="ar-SA"/>
        </w:rPr>
        <w:t>附图2</w:t>
      </w:r>
      <w:r>
        <w:rPr>
          <w:rFonts w:ascii="Times New Roman" w:hAnsi="Times New Roman" w:eastAsia="宋体" w:cs="Times New Roman"/>
          <w:bCs/>
          <w:color w:val="auto"/>
          <w:kern w:val="2"/>
          <w:sz w:val="24"/>
          <w:szCs w:val="24"/>
          <w:highlight w:val="none"/>
          <w:lang w:val="en-US" w:eastAsia="zh-CN" w:bidi="ar-SA"/>
        </w:rPr>
        <w:t>，周边环境现状图见</w:t>
      </w:r>
      <w:r>
        <w:rPr>
          <w:rFonts w:hint="eastAsia" w:cs="Times New Roman"/>
          <w:bCs/>
          <w:color w:val="auto"/>
          <w:kern w:val="2"/>
          <w:sz w:val="24"/>
          <w:szCs w:val="24"/>
          <w:highlight w:val="none"/>
          <w:lang w:val="en-US" w:eastAsia="zh-CN" w:bidi="ar-SA"/>
        </w:rPr>
        <w:t>附</w:t>
      </w:r>
      <w:r>
        <w:rPr>
          <w:rFonts w:ascii="Times New Roman" w:hAnsi="Times New Roman" w:eastAsia="宋体" w:cs="Times New Roman"/>
          <w:bCs/>
          <w:color w:val="auto"/>
          <w:kern w:val="2"/>
          <w:sz w:val="24"/>
          <w:szCs w:val="24"/>
          <w:highlight w:val="none"/>
          <w:lang w:val="en-US" w:eastAsia="zh-CN" w:bidi="ar-SA"/>
        </w:rPr>
        <w:t>图</w:t>
      </w:r>
      <w:r>
        <w:rPr>
          <w:rFonts w:hint="eastAsia" w:cs="Times New Roman"/>
          <w:bCs/>
          <w:color w:val="auto"/>
          <w:kern w:val="2"/>
          <w:sz w:val="24"/>
          <w:szCs w:val="24"/>
          <w:highlight w:val="none"/>
          <w:lang w:val="en-US" w:eastAsia="zh-CN" w:bidi="ar-SA"/>
        </w:rPr>
        <w:t>11</w:t>
      </w:r>
      <w:r>
        <w:rPr>
          <w:rFonts w:ascii="Times New Roman" w:hAnsi="Times New Roman" w:eastAsia="宋体" w:cs="Times New Roman"/>
          <w:bCs/>
          <w:color w:val="auto"/>
          <w:kern w:val="2"/>
          <w:sz w:val="24"/>
          <w:szCs w:val="24"/>
          <w:highlight w:val="none"/>
          <w:lang w:val="en-US" w:eastAsia="zh-CN" w:bidi="ar-SA"/>
        </w:rPr>
        <w:t>。</w:t>
      </w:r>
    </w:p>
    <w:p w14:paraId="4592DB05">
      <w:pPr>
        <w:pStyle w:val="4"/>
        <w:numPr>
          <w:ilvl w:val="2"/>
          <w:numId w:val="0"/>
        </w:numPr>
        <w:tabs>
          <w:tab w:val="clear" w:pos="720"/>
        </w:tabs>
        <w:bidi w:val="0"/>
        <w:rPr>
          <w:color w:val="auto"/>
          <w:highlight w:val="none"/>
          <w:lang w:val="en-US" w:eastAsia="zh-CN"/>
        </w:rPr>
      </w:pPr>
      <w:bookmarkStart w:id="388" w:name="_Toc5623"/>
      <w:r>
        <w:rPr>
          <w:color w:val="auto"/>
          <w:highlight w:val="none"/>
          <w:lang w:val="en-US" w:eastAsia="zh-CN"/>
        </w:rPr>
        <w:t>4.1.2</w:t>
      </w:r>
      <w:r>
        <w:rPr>
          <w:rFonts w:hint="eastAsia"/>
          <w:color w:val="auto"/>
          <w:highlight w:val="none"/>
          <w:lang w:val="en-US" w:eastAsia="zh-CN"/>
        </w:rPr>
        <w:t xml:space="preserve"> </w:t>
      </w:r>
      <w:r>
        <w:rPr>
          <w:color w:val="auto"/>
          <w:highlight w:val="none"/>
          <w:lang w:val="en-US" w:eastAsia="zh-CN"/>
        </w:rPr>
        <w:t>地形地貌</w:t>
      </w:r>
      <w:bookmarkEnd w:id="388"/>
    </w:p>
    <w:p w14:paraId="165DCAE9">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县山脉多呈东北至西南走向，群山连绵，山峦重叠，气势雄伟，主要分布在县境北部和西南部。北部山地属鹫峰山东伸支脉，由闽清、古田入境，蜿蜒廷坪、大湖，然后折向西南，直抵洋里、白沙等乡镇，海拔大部分在800米以上。南部隶属福州盆地，沿闽江两岸的尚干、祥谦、上街、南屿、南通、荆溪等乡镇均为冲积、海积平原。在高山深谷之间，普遍形成V形河谷，由于沟壑纵横交错，因而大小盆谷点缀其间。</w:t>
      </w:r>
    </w:p>
    <w:p w14:paraId="4812FB37">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境内地层发育不全，属于新华夏系第二复式隆起带东部边缘，是燕山早期和晚期侵入活动的产物。尤其燕山晚期活动规模较大，岩石类型也较为复杂，从基性、中基性到中酸性、酸性岩类均有出现，以中酸性岩类为主。脉岩亦较发育，燕山早期3次侵入岩在境内均有出露，燕山晚期4次侵入活动在境内表现较为强烈，分布亦较广。中生界上侏罗系，自上而下分成长林组，南园组、小溪组和下白垩统石帽山群火山岩系，还有新生界第四系更新统和全新统地层出露。</w:t>
      </w:r>
    </w:p>
    <w:p w14:paraId="3FC5E556">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南部山地属戴云山北延山麓，自德化、永泰入境，分别绵延于鸿尾、竹岐、上街、南屿、南通、尚干、祥谦、青口等乡镇，在西南部与永泰接壤，形似一堵与永泰相隔的天然屏障。著名的山峰大帽山，在鸿尾乡境内，海拔1237.7米。</w:t>
      </w:r>
    </w:p>
    <w:p w14:paraId="6FAD55D9">
      <w:pPr>
        <w:pStyle w:val="4"/>
        <w:numPr>
          <w:ilvl w:val="2"/>
          <w:numId w:val="0"/>
        </w:numPr>
        <w:tabs>
          <w:tab w:val="clear" w:pos="720"/>
        </w:tabs>
        <w:bidi w:val="0"/>
        <w:rPr>
          <w:color w:val="auto"/>
          <w:highlight w:val="none"/>
          <w:lang w:val="en-US" w:eastAsia="zh-CN"/>
        </w:rPr>
      </w:pPr>
      <w:bookmarkStart w:id="389" w:name="_Toc4691"/>
      <w:r>
        <w:rPr>
          <w:color w:val="auto"/>
          <w:highlight w:val="none"/>
          <w:lang w:val="en-US" w:eastAsia="zh-CN"/>
        </w:rPr>
        <w:t>4.1.3</w:t>
      </w:r>
      <w:r>
        <w:rPr>
          <w:rFonts w:hint="eastAsia"/>
          <w:color w:val="auto"/>
          <w:highlight w:val="none"/>
          <w:lang w:val="en-US" w:eastAsia="zh-CN"/>
        </w:rPr>
        <w:t xml:space="preserve"> </w:t>
      </w:r>
      <w:r>
        <w:rPr>
          <w:color w:val="auto"/>
          <w:highlight w:val="none"/>
          <w:lang w:val="en-US" w:eastAsia="zh-CN"/>
        </w:rPr>
        <w:t>气候气象</w:t>
      </w:r>
      <w:bookmarkEnd w:id="389"/>
    </w:p>
    <w:p w14:paraId="301F4788">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闽侯县境内属于中亚热带季风气候区，闽江沿岸的低海拔地区，具有南亚热带气候特征。地处福建东南部，带有海洋性气候，夏长无酷暑，冬短无严寒，气候温和境内年平均气温14.8</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～19.5</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。由于垂直温差显著，气温随海拔的增加而递减，递减率-0.46</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～-0.53</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/百米。北部山区的大湖、廷坪、洋里，海拔多在500米以上，年平均气温16</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～17</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；中部的闽江两岸丘陵河谷的鸿尾、白沙、竹岐、荆溪，海拔在500米以下，年平均气温17</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～20</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；东南部河口平原的祥谦、青口、尚干、南通、南屿、闽江、上街、甘蔗，海拔在5～100米的平原、低丘地带，年平均气温在19.5</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～20</w:t>
      </w:r>
      <w:r>
        <w:rPr>
          <w:rFonts w:hint="default"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w:t>
      </w:r>
    </w:p>
    <w:p w14:paraId="5DFA9B52">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闽侯县雨量充沛，降水</w:t>
      </w:r>
      <w:r>
        <w:rPr>
          <w:rFonts w:hint="eastAsia" w:cs="Times New Roman"/>
          <w:color w:val="auto"/>
          <w:sz w:val="24"/>
          <w:szCs w:val="22"/>
          <w:highlight w:val="none"/>
          <w:lang w:val="en-US" w:eastAsia="zh-CN" w:bidi="ar-SA"/>
        </w:rPr>
        <w:t>在一</w:t>
      </w:r>
      <w:r>
        <w:rPr>
          <w:rFonts w:hint="eastAsia" w:ascii="Times New Roman" w:hAnsi="Times New Roman" w:eastAsia="宋体" w:cs="Times New Roman"/>
          <w:color w:val="auto"/>
          <w:sz w:val="24"/>
          <w:szCs w:val="22"/>
          <w:highlight w:val="none"/>
          <w:lang w:val="en-US" w:eastAsia="zh-CN" w:bidi="ar-SA"/>
        </w:rPr>
        <w:t>年内可分为四个时期：3~4月的春雨期，5~6月的梅雨期，7~9月的台风雨期及10月～翌年2月的少雨期。梅雨是造成闽江流域大范围降雨的天气因素，这期间雨量可占全年雨量36%-40%，4~9月为汛期，降水量可占全年的70%~77%，闽江下游一带年均降雨量约1200～1600mm。闽侯县日照充足，无霜期长。</w:t>
      </w:r>
    </w:p>
    <w:p w14:paraId="5A7624A7">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闽侯属季风气候，风向季节变化明显，冬季多偏北风，夏季多偏东南风。海拔高低悬殊，存在着明显的垂直气候差异，形成沿江两岸温热少雨，南北山地寒冷多雨的垂直层次性农业气候。</w:t>
      </w:r>
    </w:p>
    <w:p w14:paraId="1F2E7882">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根据闽侯气象站长期的气象观测资料，1998—2017年气象数据统计，闽侯县多年平均气温为20.5℃</w:t>
      </w:r>
      <w:r>
        <w:rPr>
          <w:rFonts w:hint="eastAsia"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累年极端最高气温为38.9℃，累年极端最低气温为0.9℃。多年平均气压为1008.6hPa</w:t>
      </w:r>
      <w:r>
        <w:rPr>
          <w:rFonts w:hint="eastAsia"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多年平均水汽压为19.5hPa；多年平均</w:t>
      </w:r>
      <w:r>
        <w:rPr>
          <w:rFonts w:hint="eastAsia" w:ascii="Times New Roman" w:hAnsi="Times New Roman" w:eastAsia="宋体" w:cs="Times New Roman"/>
          <w:color w:val="auto"/>
          <w:sz w:val="24"/>
          <w:szCs w:val="22"/>
          <w:highlight w:val="none"/>
          <w:lang w:val="en-US" w:eastAsia="zh-CN" w:bidi="ar-SA"/>
        </w:rPr>
        <w:t>相对湿度为76.4%；多年平均降雨量1461.9mm；多年平均雷暴日数为38d，多年平均冰雹日数为0.1d；多年平均大风日数4.7d，多年实测极大风速8.1m/s、相应风向WNW，多年平均风速为2.6m/s；多年主导风向为SE、风向频率、10.7%。</w:t>
      </w:r>
    </w:p>
    <w:p w14:paraId="583AA25B">
      <w:pPr>
        <w:pStyle w:val="4"/>
        <w:numPr>
          <w:ilvl w:val="2"/>
          <w:numId w:val="0"/>
        </w:numPr>
        <w:tabs>
          <w:tab w:val="clear" w:pos="720"/>
        </w:tabs>
        <w:bidi w:val="0"/>
        <w:rPr>
          <w:color w:val="auto"/>
          <w:highlight w:val="none"/>
          <w:lang w:val="en-US" w:eastAsia="zh-CN"/>
        </w:rPr>
      </w:pPr>
      <w:bookmarkStart w:id="390" w:name="_Toc31924"/>
      <w:r>
        <w:rPr>
          <w:color w:val="auto"/>
          <w:highlight w:val="none"/>
          <w:lang w:val="en-US" w:eastAsia="zh-CN"/>
        </w:rPr>
        <w:t>4.1.4</w:t>
      </w:r>
      <w:r>
        <w:rPr>
          <w:rFonts w:hint="eastAsia"/>
          <w:color w:val="auto"/>
          <w:highlight w:val="none"/>
          <w:lang w:val="en-US" w:eastAsia="zh-CN"/>
        </w:rPr>
        <w:t xml:space="preserve"> </w:t>
      </w:r>
      <w:r>
        <w:rPr>
          <w:color w:val="auto"/>
          <w:highlight w:val="none"/>
          <w:lang w:val="en-US" w:eastAsia="zh-CN"/>
        </w:rPr>
        <w:t>水文概况</w:t>
      </w:r>
      <w:bookmarkEnd w:id="390"/>
    </w:p>
    <w:p w14:paraId="5140F761">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bookmarkStart w:id="391" w:name="_Toc529434199"/>
      <w:bookmarkStart w:id="392" w:name="_Toc523646214"/>
      <w:r>
        <w:rPr>
          <w:rFonts w:hint="eastAsia" w:ascii="Times New Roman" w:hAnsi="Times New Roman" w:eastAsia="宋体" w:cs="Times New Roman"/>
          <w:color w:val="auto"/>
          <w:sz w:val="24"/>
          <w:szCs w:val="22"/>
          <w:highlight w:val="none"/>
          <w:lang w:val="en-US" w:eastAsia="zh-CN" w:bidi="ar-SA"/>
        </w:rPr>
        <w:t>闽江在福州地区的闽江河长从安仁溪口至连江长门村143km。从淮安村以后闽江干流分为南港和北港，南港绕南台岛南侧经洪塘、上街，在江口处纳入支流大棒溪（流域面积4843km²）后，再经螺洲和乌龙江大桥至马尾；北港绕南台岛北侧，穿过福州市区，经解放大桥、魁岐等地，至马尾又与南港汇合，南港长34.38km，北港长31.99km。</w:t>
      </w:r>
    </w:p>
    <w:p w14:paraId="0D8ECDB7">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根据闽江下游竹岐水文站实测资料，多年平均年径流量为561亿m³，加上大樟溪及其他小支流水后，闽江口多年平均入海径流量为620亿m³，径流年内分配四季差别明显，春季径流量占35.6%，夏季占40.2%，秋季占14.2%，冬季占10.0%。4～6月份丰水期占47.9%，其中最大月份6月占20.1%，最小月份1月占2.6%。</w:t>
      </w:r>
    </w:p>
    <w:p w14:paraId="52E76E2A">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除闽江干流外，闽侯县境内还有大樟溪，大目溪等17条主要河流，全长307.5km，流域面积达1556.1km²。其中，发源于本县径流出县境的有黄浦溪、文山岗溪、社安溪、菜峰溪、尚格溪、洋里溪等6条；注入闽江的则有大樟溪、大目溪、小目溪、梧溪、十八重溪、中房溪、双龙溪、十漱溪和穆源溪（源里溪）等。鸿尾境内水网密布，水系发达，水量丰富，闽江、穆源（源里）、溪流经乡境，为农田灌溉和人民生活提供良好条件。其特点河流的上段落差大、水流急、水资源丰富，中下游河床平缓。现鸿尾乡给水来自鸿尾乡榜上自来水厂，水源分别来源于榜上水库。</w:t>
      </w:r>
    </w:p>
    <w:p w14:paraId="07648FD6">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本项目附近主要水系为陶江，陶江又称濑江、濑水，发源于青口镇联丰村相思岭。陶江东通峡江（乌龙江），西连南港，由南向北纵贯注入南闽江，是南闽江乌龙江的支流，全长49公里。陶江从源头到乌龙江流经的区域，过去分为七个村级区划，称为</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七里</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，因以尚干为中心，俗称为</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尚干七里</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。陶江纵贯</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尚干七里</w:t>
      </w:r>
      <w:r>
        <w:rPr>
          <w:rFonts w:hint="eastAsia"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南北，支流遍布全境，是七里人的母亲河。陶江纳境内河浦，它为境内农田灌溉、交通航运，淡水养殖，工业用水、居民生活发挥了巨大作用。</w:t>
      </w:r>
    </w:p>
    <w:p w14:paraId="75DA34A4">
      <w:pPr>
        <w:pStyle w:val="4"/>
        <w:numPr>
          <w:ilvl w:val="2"/>
          <w:numId w:val="0"/>
        </w:numPr>
        <w:tabs>
          <w:tab w:val="clear" w:pos="720"/>
        </w:tabs>
        <w:bidi w:val="0"/>
        <w:rPr>
          <w:color w:val="auto"/>
          <w:highlight w:val="none"/>
          <w:lang w:val="en-US" w:eastAsia="zh-CN"/>
        </w:rPr>
      </w:pPr>
      <w:bookmarkStart w:id="393" w:name="_Toc1061"/>
      <w:r>
        <w:rPr>
          <w:color w:val="auto"/>
          <w:highlight w:val="none"/>
          <w:lang w:val="en-US" w:eastAsia="zh-CN"/>
        </w:rPr>
        <w:t>4.1.5</w:t>
      </w:r>
      <w:r>
        <w:rPr>
          <w:rFonts w:hint="eastAsia"/>
          <w:color w:val="auto"/>
          <w:highlight w:val="none"/>
          <w:lang w:val="en-US" w:eastAsia="zh-CN"/>
        </w:rPr>
        <w:t xml:space="preserve"> </w:t>
      </w:r>
      <w:r>
        <w:rPr>
          <w:color w:val="auto"/>
          <w:highlight w:val="none"/>
          <w:lang w:val="en-US" w:eastAsia="zh-CN"/>
        </w:rPr>
        <w:t>土壤</w:t>
      </w:r>
      <w:bookmarkEnd w:id="391"/>
      <w:bookmarkEnd w:id="392"/>
      <w:r>
        <w:rPr>
          <w:color w:val="auto"/>
          <w:highlight w:val="none"/>
          <w:lang w:val="en-US" w:eastAsia="zh-CN"/>
        </w:rPr>
        <w:t>植被</w:t>
      </w:r>
      <w:bookmarkEnd w:id="393"/>
    </w:p>
    <w:p w14:paraId="6C3EDE19">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bookmarkStart w:id="394" w:name="_Toc366254987"/>
      <w:bookmarkStart w:id="395" w:name="_Toc359708679"/>
      <w:bookmarkStart w:id="396" w:name="_Toc373835706"/>
      <w:bookmarkStart w:id="397" w:name="_Toc359708304"/>
      <w:bookmarkStart w:id="398" w:name="_Toc362276154"/>
      <w:bookmarkStart w:id="399" w:name="_Toc359709215"/>
      <w:r>
        <w:rPr>
          <w:rFonts w:hint="eastAsia" w:ascii="Times New Roman" w:hAnsi="Times New Roman" w:eastAsia="宋体" w:cs="Times New Roman"/>
          <w:color w:val="auto"/>
          <w:sz w:val="24"/>
          <w:szCs w:val="22"/>
          <w:highlight w:val="none"/>
          <w:lang w:val="en-US" w:eastAsia="zh-CN" w:bidi="ar-SA"/>
        </w:rPr>
        <w:t>（1）土壤特征</w:t>
      </w:r>
    </w:p>
    <w:p w14:paraId="5B8C05F7">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闽侯县内土壤有5个土类，主要有红壤、潮土、风沙土、盐土和水稻土等。砖红壤性土壤和红壤主要分布在西部的丘陵和山地，水稻土主要分布在滨江平原。</w:t>
      </w:r>
    </w:p>
    <w:p w14:paraId="7235F158">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（2）植物特征</w:t>
      </w:r>
    </w:p>
    <w:p w14:paraId="5D78685F">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闽侯县植被属南亚热带海洋性季风雨林区。天然植被主要分布在低丘和小山包上、田间道旁、河道池塘边，小山丘上的植被主要有以马尾松、木麻黄、相思树等构成的植物群落；田间道旁、河道池塘边的野生次生植被主要以草本为主，主要种群有类芦、白茅、小蓬草、铺地黍、狗尾草、胜红葡，其次还有白藤、龙葵鬼针草、千斤拔等；在溪源江两岸，多处还分布有毛竹丛、龙眼树丛等植被。人工植被包括耕地和果园地中种植的农作物和果树等，耕地中植被有水稻、甘蔗、茉莉花、蔬菜（主要有白菜、空心菜、苦瓜等）、草莓及花卉（白玉兰、水竹等）、人工草（马尼拉草）等；果园地种植的果树有橄榄、龙眼、荔枝、柑橘、枇杷等，另外还有零星种植的芭蕉、番石榴、毛竹、松树等植物。</w:t>
      </w:r>
    </w:p>
    <w:p w14:paraId="220681C2">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现场调查未发现受保护的珍稀或濒危野生植物物种和保护物种分布。</w:t>
      </w:r>
    </w:p>
    <w:p w14:paraId="750A45BD">
      <w:pPr>
        <w:pStyle w:val="3"/>
        <w:numPr>
          <w:ilvl w:val="1"/>
          <w:numId w:val="0"/>
        </w:numPr>
        <w:bidi w:val="0"/>
        <w:rPr>
          <w:color w:val="auto"/>
          <w:highlight w:val="none"/>
          <w:lang w:val="en-US" w:eastAsia="zh-CN"/>
        </w:rPr>
      </w:pPr>
      <w:bookmarkStart w:id="400" w:name="_Toc11082"/>
      <w:bookmarkStart w:id="401" w:name="_Toc4910"/>
      <w:r>
        <w:rPr>
          <w:color w:val="auto"/>
          <w:highlight w:val="none"/>
          <w:lang w:val="en-US" w:eastAsia="zh-CN"/>
        </w:rPr>
        <w:t>4.</w:t>
      </w:r>
      <w:r>
        <w:rPr>
          <w:rFonts w:hint="eastAsia"/>
          <w:color w:val="auto"/>
          <w:highlight w:val="none"/>
          <w:lang w:val="en-US" w:eastAsia="zh-CN"/>
        </w:rPr>
        <w:t xml:space="preserve">2 </w:t>
      </w:r>
      <w:r>
        <w:rPr>
          <w:color w:val="auto"/>
          <w:highlight w:val="none"/>
          <w:lang w:val="en-US" w:eastAsia="zh-CN"/>
        </w:rPr>
        <w:t>环境质量现状调查与评价</w:t>
      </w:r>
      <w:bookmarkEnd w:id="394"/>
      <w:bookmarkEnd w:id="395"/>
      <w:bookmarkEnd w:id="396"/>
      <w:bookmarkEnd w:id="397"/>
      <w:bookmarkEnd w:id="398"/>
      <w:bookmarkEnd w:id="399"/>
      <w:bookmarkEnd w:id="400"/>
      <w:bookmarkEnd w:id="401"/>
    </w:p>
    <w:p w14:paraId="41B59B17">
      <w:pPr>
        <w:ind w:firstLine="480"/>
        <w:rPr>
          <w:color w:val="auto"/>
          <w:highlight w:val="none"/>
        </w:rPr>
        <w:sectPr>
          <w:pgSz w:w="11907" w:h="16840"/>
          <w:pgMar w:top="1440" w:right="1797" w:bottom="1440" w:left="1797" w:header="737" w:footer="624" w:gutter="0"/>
          <w:pgBorders w:offsetFrom="page">
            <w:top w:val="none" w:sz="0" w:space="0"/>
            <w:left w:val="none" w:sz="0" w:space="0"/>
            <w:bottom w:val="none" w:sz="0" w:space="0"/>
            <w:right w:val="none" w:sz="0" w:space="0"/>
          </w:pgBorders>
          <w:pgNumType w:fmt="decimal"/>
          <w:cols w:space="720" w:num="1"/>
          <w:docGrid w:linePitch="326" w:charSpace="0"/>
        </w:sectPr>
      </w:pPr>
      <w:r>
        <w:rPr>
          <w:rFonts w:ascii="Times New Roman" w:hAnsi="Times New Roman" w:eastAsia="宋体" w:cs="Times New Roman"/>
          <w:color w:val="auto"/>
          <w:sz w:val="24"/>
          <w:szCs w:val="22"/>
          <w:highlight w:val="none"/>
          <w:lang w:val="en-US" w:eastAsia="zh-CN" w:bidi="ar-SA"/>
        </w:rPr>
        <w:t>环境质量现状调查点位布置图见图4.</w:t>
      </w:r>
      <w:r>
        <w:rPr>
          <w:rFonts w:hint="eastAsia" w:ascii="Times New Roman" w:hAnsi="Times New Roman" w:eastAsia="宋体" w:cs="Times New Roman"/>
          <w:color w:val="auto"/>
          <w:sz w:val="24"/>
          <w:szCs w:val="22"/>
          <w:highlight w:val="none"/>
          <w:lang w:val="en-US" w:eastAsia="zh-CN" w:bidi="ar-SA"/>
        </w:rPr>
        <w:t>2</w:t>
      </w:r>
      <w:r>
        <w:rPr>
          <w:rFonts w:ascii="Times New Roman" w:hAnsi="Times New Roman" w:eastAsia="宋体" w:cs="Times New Roman"/>
          <w:color w:val="auto"/>
          <w:sz w:val="24"/>
          <w:szCs w:val="22"/>
          <w:highlight w:val="none"/>
          <w:lang w:val="en-US" w:eastAsia="zh-CN" w:bidi="ar-SA"/>
        </w:rPr>
        <w:t>-1。</w:t>
      </w:r>
    </w:p>
    <w:p w14:paraId="4B5032B1">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color w:val="auto"/>
          <w:highlight w:val="none"/>
        </w:rPr>
        <w:drawing>
          <wp:inline distT="0" distB="0" distL="114300" distR="114300">
            <wp:extent cx="7636510" cy="4888230"/>
            <wp:effectExtent l="9525" t="9525" r="12065" b="17145"/>
            <wp:docPr id="1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5"/>
                    <pic:cNvPicPr>
                      <a:picLocks noChangeAspect="1"/>
                    </pic:cNvPicPr>
                  </pic:nvPicPr>
                  <pic:blipFill>
                    <a:blip r:embed="rId45"/>
                    <a:stretch>
                      <a:fillRect/>
                    </a:stretch>
                  </pic:blipFill>
                  <pic:spPr>
                    <a:xfrm>
                      <a:off x="0" y="0"/>
                      <a:ext cx="7636510" cy="488823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3A97553B">
      <w:pPr>
        <w:pStyle w:val="8"/>
        <w:bidi w:val="0"/>
        <w:rPr>
          <w:rFonts w:hint="default" w:ascii="Times New Roman" w:hAnsi="Times New Roman" w:cs="Times New Roman"/>
          <w:color w:val="auto"/>
          <w:highlight w:val="none"/>
        </w:rPr>
        <w:sectPr>
          <w:pgSz w:w="16840" w:h="11907" w:orient="landscape"/>
          <w:pgMar w:top="1797" w:right="1440" w:bottom="1797" w:left="1440" w:header="737" w:footer="624" w:gutter="0"/>
          <w:pgBorders w:offsetFrom="page">
            <w:top w:val="none" w:sz="0" w:space="0"/>
            <w:left w:val="none" w:sz="0" w:space="0"/>
            <w:bottom w:val="none" w:sz="0" w:space="0"/>
            <w:right w:val="none" w:sz="0" w:space="0"/>
          </w:pgBorders>
          <w:pgNumType w:fmt="decimal"/>
          <w:cols w:space="720" w:num="1"/>
          <w:docGrid w:linePitch="326" w:charSpace="0"/>
        </w:sectPr>
      </w:pP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2576" behindDoc="0" locked="0" layoutInCell="1" allowOverlap="1">
                <wp:simplePos x="0" y="0"/>
                <wp:positionH relativeFrom="column">
                  <wp:posOffset>7280910</wp:posOffset>
                </wp:positionH>
                <wp:positionV relativeFrom="paragraph">
                  <wp:posOffset>4450715</wp:posOffset>
                </wp:positionV>
                <wp:extent cx="180975" cy="171450"/>
                <wp:effectExtent l="4445" t="4445" r="5080" b="14605"/>
                <wp:wrapNone/>
                <wp:docPr id="142" name="矩形 142"/>
                <wp:cNvGraphicFramePr/>
                <a:graphic xmlns:a="http://schemas.openxmlformats.org/drawingml/2006/main">
                  <a:graphicData uri="http://schemas.microsoft.com/office/word/2010/wordprocessingShape">
                    <wps:wsp>
                      <wps:cNvSpPr/>
                      <wps:spPr>
                        <a:xfrm>
                          <a:off x="0" y="0"/>
                          <a:ext cx="180975" cy="171450"/>
                        </a:xfrm>
                        <a:prstGeom prst="rect">
                          <a:avLst/>
                        </a:prstGeom>
                        <a:solidFill>
                          <a:srgbClr val="FFFFFF"/>
                        </a:solidFill>
                        <a:ln w="9525" cap="flat" cmpd="sng">
                          <a:solidFill>
                            <a:srgbClr val="FF0000"/>
                          </a:solidFill>
                          <a:prstDash val="solid"/>
                          <a:miter/>
                          <a:headEnd type="none" w="med" len="med"/>
                          <a:tailEnd type="triangle" w="med" len="med"/>
                        </a:ln>
                      </wps:spPr>
                      <wps:bodyPr upright="1"/>
                    </wps:wsp>
                  </a:graphicData>
                </a:graphic>
              </wp:anchor>
            </w:drawing>
          </mc:Choice>
          <mc:Fallback>
            <w:pict>
              <v:rect id="_x0000_s1026" o:spid="_x0000_s1026" o:spt="1" style="position:absolute;left:0pt;margin-left:573.3pt;margin-top:350.45pt;height:13.5pt;width:14.25pt;z-index:251672576;mso-width-relative:page;mso-height-relative:page;" fillcolor="#FFFFFF" filled="t" stroked="t" coordsize="21600,21600" o:gfxdata="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v9BXI2wAAAA0BAAAPAAAAAAAAAAEAIAAAACIA&#10;AABkcnMvZG93bnJldi54bWxQSwECFAAUAAAACACHTuJAl9aHBwYCAAAlBAAADgAAAAAAAAABACAA&#10;AAAqAQAAZHJzL2Uyb0RvYy54bWxQSwUGAAAAAAYABgBZAQAAogUAAAAA&#10;">
                <v:fill on="t" focussize="0,0"/>
                <v:stroke color="#FF0000" joinstyle="miter" endarrow="block"/>
                <v:imagedata o:title=""/>
                <o:lock v:ext="edit" aspectratio="f"/>
              </v:rect>
            </w:pict>
          </mc:Fallback>
        </mc:AlternateContent>
      </w: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1552" behindDoc="0" locked="0" layoutInCell="1" allowOverlap="1">
                <wp:simplePos x="0" y="0"/>
                <wp:positionH relativeFrom="column">
                  <wp:posOffset>7128510</wp:posOffset>
                </wp:positionH>
                <wp:positionV relativeFrom="paragraph">
                  <wp:posOffset>4194175</wp:posOffset>
                </wp:positionV>
                <wp:extent cx="1666875" cy="495300"/>
                <wp:effectExtent l="0" t="0" r="9525" b="0"/>
                <wp:wrapNone/>
                <wp:docPr id="145" name="文本框 145"/>
                <wp:cNvGraphicFramePr/>
                <a:graphic xmlns:a="http://schemas.openxmlformats.org/drawingml/2006/main">
                  <a:graphicData uri="http://schemas.microsoft.com/office/word/2010/wordprocessingShape">
                    <wps:wsp>
                      <wps:cNvSpPr txBox="1"/>
                      <wps:spPr>
                        <a:xfrm>
                          <a:off x="0" y="0"/>
                          <a:ext cx="1666875" cy="495300"/>
                        </a:xfrm>
                        <a:prstGeom prst="rect">
                          <a:avLst/>
                        </a:prstGeom>
                        <a:solidFill>
                          <a:srgbClr val="FFFFFF"/>
                        </a:solidFill>
                        <a:ln>
                          <a:noFill/>
                        </a:ln>
                      </wps:spPr>
                      <wps:txbx>
                        <w:txbxContent>
                          <w:p w14:paraId="5FCF0DD4">
                            <w:pPr>
                              <w:spacing w:line="240" w:lineRule="auto"/>
                              <w:ind w:left="0" w:leftChars="0" w:firstLine="960" w:firstLineChars="40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图例</w:t>
                            </w:r>
                          </w:p>
                          <w:p w14:paraId="652F8FAE">
                            <w:pPr>
                              <w:spacing w:line="240" w:lineRule="auto"/>
                              <w:jc w:val="both"/>
                              <w:rPr>
                                <w:rFonts w:hint="default" w:ascii="Times New Roman" w:hAnsi="Times New Roman" w:eastAsia="宋体" w:cs="Times New Roman"/>
                                <w:lang w:val="en-US" w:eastAsia="zh-CN"/>
                              </w:rPr>
                            </w:pPr>
                            <w:r>
                              <w:rPr>
                                <w:rFonts w:hint="eastAsia" w:ascii="Times New Roman" w:hAnsi="Times New Roman" w:eastAsia="宋体" w:cs="Times New Roman"/>
                                <w:b/>
                                <w:bCs/>
                                <w:color w:val="FF0000"/>
                                <w:lang w:val="en-US" w:eastAsia="zh-CN"/>
                              </w:rPr>
                              <w:t>：本项目所在地</w:t>
                            </w:r>
                          </w:p>
                        </w:txbxContent>
                      </wps:txbx>
                      <wps:bodyPr upright="1"/>
                    </wps:wsp>
                  </a:graphicData>
                </a:graphic>
              </wp:anchor>
            </w:drawing>
          </mc:Choice>
          <mc:Fallback>
            <w:pict>
              <v:shape id="_x0000_s1026" o:spid="_x0000_s1026" o:spt="202" type="#_x0000_t202" style="position:absolute;left:0pt;margin-left:561.3pt;margin-top:330.25pt;height:39pt;width:131.25pt;z-index:251671552;mso-width-relative:page;mso-height-relative:page;" fillcolor="#FFFFFF" filled="t" stroked="f" coordsize="21600,21600" o:gfxdata="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X2PIvZAAAADQEAAA8AAAAAAAAAAQAgAAAAIgAAAGRycy9kb3du&#10;cmV2LnhtbFBLAQIUABQAAAAIAIdO4kB73NcJxQEAAHsDAAAOAAAAAAAAAAEAIAAAACgBAABkcnMv&#10;ZTJvRG9jLnhtbFBLBQYAAAAABgAGAFkBAABfBQAAAAA=&#10;">
                <v:fill on="t" focussize="0,0"/>
                <v:stroke on="f"/>
                <v:imagedata o:title=""/>
                <o:lock v:ext="edit" aspectratio="f"/>
                <v:textbox>
                  <w:txbxContent>
                    <w:p w14:paraId="5FCF0DD4">
                      <w:pPr>
                        <w:spacing w:line="240" w:lineRule="auto"/>
                        <w:ind w:left="0" w:leftChars="0" w:firstLine="960" w:firstLineChars="40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图例</w:t>
                      </w:r>
                    </w:p>
                    <w:p w14:paraId="652F8FAE">
                      <w:pPr>
                        <w:spacing w:line="240" w:lineRule="auto"/>
                        <w:jc w:val="both"/>
                        <w:rPr>
                          <w:rFonts w:hint="default" w:ascii="Times New Roman" w:hAnsi="Times New Roman" w:eastAsia="宋体" w:cs="Times New Roman"/>
                          <w:lang w:val="en-US" w:eastAsia="zh-CN"/>
                        </w:rPr>
                      </w:pPr>
                      <w:r>
                        <w:rPr>
                          <w:rFonts w:hint="eastAsia" w:ascii="Times New Roman" w:hAnsi="Times New Roman" w:eastAsia="宋体" w:cs="Times New Roman"/>
                          <w:b/>
                          <w:bCs/>
                          <w:color w:val="FF0000"/>
                          <w:lang w:val="en-US" w:eastAsia="zh-CN"/>
                        </w:rPr>
                        <w:t>：本项目所在地</w:t>
                      </w:r>
                    </w:p>
                  </w:txbxContent>
                </v:textbox>
              </v:shape>
            </w:pict>
          </mc:Fallback>
        </mc:AlternateContent>
      </w:r>
      <w:r>
        <w:rPr>
          <w:rFonts w:hint="default" w:ascii="Times New Roman" w:hAnsi="Times New Roman" w:cs="Times New Roman"/>
          <w:color w:val="auto"/>
          <w:highlight w:val="none"/>
          <w:lang w:val="en-US" w:eastAsia="zh-CN"/>
        </w:rPr>
        <w:t>图4.2-1  环境质</w:t>
      </w:r>
      <w:r>
        <w:rPr>
          <w:color w:val="auto"/>
          <w:sz w:val="24"/>
          <w:highlight w:val="none"/>
        </w:rPr>
        <mc:AlternateContent>
          <mc:Choice Requires="wps">
            <w:drawing>
              <wp:anchor distT="0" distB="0" distL="114300" distR="114300" simplePos="0" relativeHeight="251694080" behindDoc="0" locked="0" layoutInCell="1" allowOverlap="1">
                <wp:simplePos x="0" y="0"/>
                <wp:positionH relativeFrom="column">
                  <wp:posOffset>3571875</wp:posOffset>
                </wp:positionH>
                <wp:positionV relativeFrom="paragraph">
                  <wp:posOffset>-3020695</wp:posOffset>
                </wp:positionV>
                <wp:extent cx="1085850" cy="276225"/>
                <wp:effectExtent l="259080" t="4445" r="7620" b="595630"/>
                <wp:wrapNone/>
                <wp:docPr id="10" name="矩形标注 10"/>
                <wp:cNvGraphicFramePr/>
                <a:graphic xmlns:a="http://schemas.openxmlformats.org/drawingml/2006/main">
                  <a:graphicData uri="http://schemas.microsoft.com/office/word/2010/wordprocessingShape">
                    <wps:wsp>
                      <wps:cNvSpPr/>
                      <wps:spPr>
                        <a:xfrm>
                          <a:off x="0" y="0"/>
                          <a:ext cx="1085850" cy="276225"/>
                        </a:xfrm>
                        <a:prstGeom prst="wedgeRectCallout">
                          <a:avLst>
                            <a:gd name="adj1" fmla="val -73450"/>
                            <a:gd name="adj2" fmla="val 262413"/>
                          </a:avLst>
                        </a:prstGeom>
                        <a:solidFill>
                          <a:schemeClr val="bg1"/>
                        </a:solid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D9F39FD">
                            <w:pPr>
                              <w:ind w:left="0" w:leftChars="0" w:firstLine="0" w:firstLineChars="0"/>
                              <w:jc w:val="both"/>
                              <w:rPr>
                                <w:rFonts w:hint="default" w:eastAsia="宋体"/>
                                <w:b/>
                                <w:bCs/>
                                <w:color w:val="FF0000"/>
                                <w:lang w:val="en-US" w:eastAsia="zh-CN"/>
                              </w:rPr>
                            </w:pPr>
                            <w:r>
                              <w:rPr>
                                <w:rFonts w:hint="eastAsia"/>
                                <w:b/>
                                <w:bCs/>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81.25pt;margin-top:-237.85pt;height:21.75pt;width:85.5pt;z-index:251694080;v-text-anchor:middle;mso-width-relative:page;mso-height-relative:page;" fillcolor="#FFFFFF [3212]" filled="t" stroked="t" coordsize="21600,21600" o:gfxdata="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2py3F94AAAANAQAADwAAAAAAAAABACAAAAAiAAAAZHJzL2Rvd25y&#10;ZXYueG1sUEsBAhQAFAAAAAgAh07iQNUZttGjAgAATgUAAA4AAAAAAAAAAQAgAAAALQEAAGRycy9l&#10;Mm9Eb2MueG1sUEsFBgAAAAAGAAYAWQEAAEIGAAAAAA==&#10;" adj="-5065,67481">
                <v:fill on="t" focussize="0,0"/>
                <v:stroke color="#000000 [3213]" joinstyle="round"/>
                <v:imagedata o:title=""/>
                <o:lock v:ext="edit" aspectratio="f"/>
                <v:textbox>
                  <w:txbxContent>
                    <w:p w14:paraId="6D9F39FD">
                      <w:pPr>
                        <w:ind w:left="0" w:leftChars="0" w:firstLine="0" w:firstLineChars="0"/>
                        <w:jc w:val="both"/>
                        <w:rPr>
                          <w:rFonts w:hint="default" w:eastAsia="宋体"/>
                          <w:b/>
                          <w:bCs/>
                          <w:color w:val="FF0000"/>
                          <w:lang w:val="en-US" w:eastAsia="zh-CN"/>
                        </w:rPr>
                      </w:pPr>
                      <w:r>
                        <w:rPr>
                          <w:rFonts w:hint="eastAsia"/>
                          <w:b/>
                          <w:bCs/>
                          <w:color w:val="FF0000"/>
                          <w:lang w:val="en-US" w:eastAsia="zh-CN"/>
                        </w:rPr>
                        <w:t>本项目位置</w:t>
                      </w:r>
                    </w:p>
                  </w:txbxContent>
                </v:textbox>
              </v:shape>
            </w:pict>
          </mc:Fallback>
        </mc:AlternateContent>
      </w:r>
      <w:r>
        <w:rPr>
          <w:rFonts w:hint="default" w:ascii="Times New Roman" w:hAnsi="Times New Roman" w:cs="Times New Roman"/>
          <w:color w:val="auto"/>
          <w:highlight w:val="none"/>
          <w:lang w:val="en-US" w:eastAsia="zh-CN"/>
        </w:rPr>
        <w:t>量现状监测布点图（1）</w:t>
      </w:r>
    </w:p>
    <w:p w14:paraId="06F84D7A">
      <w:pPr>
        <w:widowControl/>
        <w:adjustRightInd w:val="0"/>
        <w:snapToGrid w:val="0"/>
        <w:spacing w:line="240" w:lineRule="auto"/>
        <w:ind w:firstLine="0" w:firstLineChars="0"/>
        <w:jc w:val="center"/>
        <w:rPr>
          <w:color w:val="auto"/>
          <w:highlight w:val="none"/>
        </w:rPr>
      </w:pPr>
      <w:r>
        <w:rPr>
          <w:color w:val="auto"/>
          <w:highlight w:val="none"/>
        </w:rPr>
        <w:drawing>
          <wp:inline distT="0" distB="0" distL="114300" distR="114300">
            <wp:extent cx="8496935" cy="4989195"/>
            <wp:effectExtent l="0" t="0" r="18415" b="190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6"/>
                    <a:stretch>
                      <a:fillRect/>
                    </a:stretch>
                  </pic:blipFill>
                  <pic:spPr>
                    <a:xfrm>
                      <a:off x="0" y="0"/>
                      <a:ext cx="8496935" cy="4989195"/>
                    </a:xfrm>
                    <a:prstGeom prst="rect">
                      <a:avLst/>
                    </a:prstGeom>
                    <a:noFill/>
                    <a:ln>
                      <a:noFill/>
                    </a:ln>
                  </pic:spPr>
                </pic:pic>
              </a:graphicData>
            </a:graphic>
          </wp:inline>
        </w:drawing>
      </w:r>
    </w:p>
    <w:p w14:paraId="269547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6"/>
        <w:rPr>
          <w:b/>
          <w:bCs/>
          <w:color w:val="auto"/>
          <w:highlight w:val="none"/>
          <w:lang w:val="en-US" w:eastAsia="zh-CN"/>
        </w:rPr>
      </w:pPr>
      <w:r>
        <w:rPr>
          <w:b/>
          <w:bCs/>
          <w:color w:val="auto"/>
          <w:highlight w:val="none"/>
          <w:lang w:val="en-US" w:eastAsia="zh-CN"/>
        </w:rPr>
        <w:t>图4.</w:t>
      </w:r>
      <w:r>
        <w:rPr>
          <w:rFonts w:hint="eastAsia"/>
          <w:b/>
          <w:bCs/>
          <w:color w:val="auto"/>
          <w:highlight w:val="none"/>
          <w:lang w:val="en-US" w:eastAsia="zh-CN"/>
        </w:rPr>
        <w:t>2</w:t>
      </w:r>
      <w:r>
        <w:rPr>
          <w:b/>
          <w:bCs/>
          <w:color w:val="auto"/>
          <w:highlight w:val="none"/>
          <w:lang w:val="en-US" w:eastAsia="zh-CN"/>
        </w:rPr>
        <w:t>-</w:t>
      </w:r>
      <w:r>
        <w:rPr>
          <w:rFonts w:hint="eastAsia"/>
          <w:b/>
          <w:bCs/>
          <w:color w:val="auto"/>
          <w:highlight w:val="none"/>
          <w:lang w:val="en-US" w:eastAsia="zh-CN"/>
        </w:rPr>
        <w:t xml:space="preserve">2 </w:t>
      </w:r>
      <w:r>
        <w:rPr>
          <w:b/>
          <w:bCs/>
          <w:color w:val="auto"/>
          <w:highlight w:val="none"/>
          <w:lang w:val="en-US" w:eastAsia="zh-CN"/>
        </w:rPr>
        <w:t xml:space="preserve"> 环境质量现状监测布点图（</w:t>
      </w:r>
      <w:r>
        <w:rPr>
          <w:rFonts w:hint="eastAsia"/>
          <w:b/>
          <w:bCs/>
          <w:color w:val="auto"/>
          <w:highlight w:val="none"/>
          <w:lang w:val="en-US" w:eastAsia="zh-CN"/>
        </w:rPr>
        <w:t>2</w:t>
      </w:r>
      <w:r>
        <w:rPr>
          <w:b/>
          <w:bCs/>
          <w:color w:val="auto"/>
          <w:highlight w:val="none"/>
          <w:lang w:val="en-US" w:eastAsia="zh-CN"/>
        </w:rPr>
        <w:t>）</w:t>
      </w:r>
    </w:p>
    <w:p w14:paraId="2072F43F">
      <w:pPr>
        <w:widowControl/>
        <w:adjustRightInd w:val="0"/>
        <w:snapToGrid w:val="0"/>
        <w:spacing w:line="240" w:lineRule="auto"/>
        <w:ind w:firstLine="0" w:firstLineChars="0"/>
        <w:jc w:val="center"/>
        <w:rPr>
          <w:rFonts w:ascii="Times New Roman" w:hAnsi="Times New Roman" w:eastAsia="黑体" w:cs="Times New Roman"/>
          <w:color w:val="auto"/>
          <w:kern w:val="0"/>
          <w:sz w:val="24"/>
          <w:szCs w:val="24"/>
          <w:highlight w:val="none"/>
          <w:lang w:val="en-US" w:eastAsia="zh-CN" w:bidi="ar-SA"/>
        </w:rPr>
      </w:pPr>
      <w:r>
        <w:rPr>
          <w:color w:val="auto"/>
          <w:highlight w:val="none"/>
        </w:rPr>
        <w:drawing>
          <wp:anchor distT="0" distB="0" distL="114300" distR="114300" simplePos="0" relativeHeight="251674624" behindDoc="0" locked="0" layoutInCell="1" allowOverlap="1">
            <wp:simplePos x="0" y="0"/>
            <wp:positionH relativeFrom="column">
              <wp:posOffset>6870700</wp:posOffset>
            </wp:positionH>
            <wp:positionV relativeFrom="paragraph">
              <wp:posOffset>3905250</wp:posOffset>
            </wp:positionV>
            <wp:extent cx="1343025" cy="790575"/>
            <wp:effectExtent l="0" t="0" r="0" b="0"/>
            <wp:wrapNone/>
            <wp:docPr id="1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8"/>
                    <pic:cNvPicPr>
                      <a:picLocks noChangeAspect="1"/>
                    </pic:cNvPicPr>
                  </pic:nvPicPr>
                  <pic:blipFill>
                    <a:blip r:embed="rId47"/>
                    <a:stretch>
                      <a:fillRect/>
                    </a:stretch>
                  </pic:blipFill>
                  <pic:spPr>
                    <a:xfrm>
                      <a:off x="0" y="0"/>
                      <a:ext cx="1343025" cy="790575"/>
                    </a:xfrm>
                    <a:prstGeom prst="rect">
                      <a:avLst/>
                    </a:prstGeom>
                    <a:noFill/>
                    <a:ln>
                      <a:noFill/>
                    </a:ln>
                  </pic:spPr>
                </pic:pic>
              </a:graphicData>
            </a:graphic>
          </wp:anchor>
        </w:drawing>
      </w:r>
      <w:r>
        <w:rPr>
          <w:color w:val="auto"/>
          <w:highlight w:val="none"/>
        </w:rPr>
        <w:drawing>
          <wp:inline distT="0" distB="0" distL="114300" distR="114300">
            <wp:extent cx="8464550" cy="4989195"/>
            <wp:effectExtent l="0" t="0" r="12700" b="1905"/>
            <wp:docPr id="1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5"/>
                    <pic:cNvPicPr>
                      <a:picLocks noChangeAspect="1"/>
                    </pic:cNvPicPr>
                  </pic:nvPicPr>
                  <pic:blipFill>
                    <a:blip r:embed="rId48"/>
                    <a:stretch>
                      <a:fillRect/>
                    </a:stretch>
                  </pic:blipFill>
                  <pic:spPr>
                    <a:xfrm>
                      <a:off x="0" y="0"/>
                      <a:ext cx="8464550" cy="4989195"/>
                    </a:xfrm>
                    <a:prstGeom prst="rect">
                      <a:avLst/>
                    </a:prstGeom>
                    <a:noFill/>
                    <a:ln>
                      <a:noFill/>
                    </a:ln>
                  </pic:spPr>
                </pic:pic>
              </a:graphicData>
            </a:graphic>
          </wp:inline>
        </w:drawing>
      </w:r>
    </w:p>
    <w:p w14:paraId="5FB9DBEF">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图4.2-3  环境质量现状监测布点图（3）</w:t>
      </w:r>
    </w:p>
    <w:p w14:paraId="597C11F2">
      <w:pPr>
        <w:rPr>
          <w:rFonts w:ascii="Times New Roman" w:hAnsi="Times New Roman" w:cs="Times New Roman"/>
          <w:color w:val="auto"/>
          <w:highlight w:val="none"/>
        </w:rPr>
        <w:sectPr>
          <w:pgSz w:w="16840" w:h="11907" w:orient="landscape"/>
          <w:pgMar w:top="1797" w:right="1440" w:bottom="1797" w:left="1440" w:header="737" w:footer="624" w:gutter="0"/>
          <w:pgBorders w:offsetFrom="page">
            <w:top w:val="none" w:sz="0" w:space="0"/>
            <w:left w:val="none" w:sz="0" w:space="0"/>
            <w:bottom w:val="none" w:sz="0" w:space="0"/>
            <w:right w:val="none" w:sz="0" w:space="0"/>
          </w:pgBorders>
          <w:pgNumType w:fmt="decimal"/>
          <w:cols w:space="720" w:num="1"/>
          <w:docGrid w:linePitch="326" w:charSpace="0"/>
        </w:sectPr>
      </w:pPr>
    </w:p>
    <w:p w14:paraId="6CF9CF3F">
      <w:pPr>
        <w:pStyle w:val="4"/>
        <w:numPr>
          <w:ilvl w:val="2"/>
          <w:numId w:val="0"/>
        </w:numPr>
        <w:tabs>
          <w:tab w:val="clear" w:pos="720"/>
        </w:tabs>
        <w:bidi w:val="0"/>
        <w:rPr>
          <w:color w:val="auto"/>
          <w:highlight w:val="none"/>
          <w:lang w:val="en-US" w:eastAsia="zh-CN"/>
        </w:rPr>
      </w:pPr>
      <w:bookmarkStart w:id="402" w:name="_Toc2528"/>
      <w:r>
        <w:rPr>
          <w:rFonts w:hint="eastAsia"/>
          <w:color w:val="auto"/>
          <w:highlight w:val="none"/>
          <w:lang w:val="en-US" w:eastAsia="zh-CN"/>
        </w:rPr>
        <w:t>4.2</w:t>
      </w:r>
      <w:r>
        <w:rPr>
          <w:color w:val="auto"/>
          <w:highlight w:val="none"/>
          <w:lang w:val="en-US" w:eastAsia="zh-CN"/>
        </w:rPr>
        <w:t>.1</w:t>
      </w:r>
      <w:r>
        <w:rPr>
          <w:rFonts w:hint="eastAsia"/>
          <w:color w:val="auto"/>
          <w:highlight w:val="none"/>
          <w:lang w:val="en-US" w:eastAsia="zh-CN"/>
        </w:rPr>
        <w:t xml:space="preserve"> </w:t>
      </w:r>
      <w:r>
        <w:rPr>
          <w:color w:val="auto"/>
          <w:highlight w:val="none"/>
          <w:lang w:val="en-US" w:eastAsia="zh-CN"/>
        </w:rPr>
        <w:t>地表水环境质量现状调查与评价</w:t>
      </w:r>
      <w:bookmarkEnd w:id="402"/>
    </w:p>
    <w:p w14:paraId="2BD4FDDB">
      <w:pPr>
        <w:pStyle w:val="5"/>
        <w:numPr>
          <w:ilvl w:val="3"/>
          <w:numId w:val="0"/>
        </w:numPr>
        <w:bidi w:val="0"/>
        <w:ind w:leftChars="0"/>
        <w:rPr>
          <w:color w:val="auto"/>
          <w:highlight w:val="none"/>
          <w:lang w:val="en-US" w:eastAsia="zh-CN"/>
        </w:rPr>
      </w:pPr>
      <w:r>
        <w:rPr>
          <w:rFonts w:hint="eastAsia"/>
          <w:color w:val="auto"/>
          <w:highlight w:val="none"/>
          <w:lang w:val="en-US" w:eastAsia="zh-CN"/>
        </w:rPr>
        <w:t>4.2</w:t>
      </w:r>
      <w:r>
        <w:rPr>
          <w:color w:val="auto"/>
          <w:highlight w:val="none"/>
          <w:lang w:val="en-US" w:eastAsia="zh-CN"/>
        </w:rPr>
        <w:t>.1.1</w:t>
      </w:r>
      <w:r>
        <w:rPr>
          <w:rFonts w:hint="eastAsia"/>
          <w:color w:val="auto"/>
          <w:highlight w:val="none"/>
          <w:lang w:val="en-US" w:eastAsia="zh-CN"/>
        </w:rPr>
        <w:t xml:space="preserve"> </w:t>
      </w:r>
      <w:r>
        <w:rPr>
          <w:color w:val="auto"/>
          <w:highlight w:val="none"/>
          <w:lang w:val="en-US" w:eastAsia="zh-CN"/>
        </w:rPr>
        <w:t>地表水环境质量现状调查</w:t>
      </w:r>
    </w:p>
    <w:p w14:paraId="427F1B7A">
      <w:pPr>
        <w:keepNext w:val="0"/>
        <w:keepLines w:val="0"/>
        <w:pageBreakBefore w:val="0"/>
        <w:widowControl/>
        <w:kinsoku/>
        <w:wordWrap w:val="0"/>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32"/>
          <w:highlight w:val="none"/>
          <w:lang w:val="en-US" w:eastAsia="zh-CN" w:bidi="ar-SA"/>
        </w:rPr>
      </w:pPr>
      <w:bookmarkStart w:id="403" w:name="_Toc474854505"/>
      <w:r>
        <w:rPr>
          <w:rFonts w:hint="eastAsia" w:ascii="Times New Roman" w:hAnsi="Times New Roman" w:eastAsia="宋体" w:cs="Times New Roman"/>
          <w:color w:val="auto"/>
          <w:kern w:val="0"/>
          <w:sz w:val="24"/>
          <w:szCs w:val="32"/>
          <w:highlight w:val="none"/>
          <w:lang w:val="en-US" w:eastAsia="zh-CN" w:bidi="ar-SA"/>
        </w:rPr>
        <w:t>本项目位于闽侯县青口镇，周边水体为陶江（属于闽江流域福州段），执行《地表水环境质量标准》（GB3838-2002）</w:t>
      </w:r>
      <w:r>
        <w:rPr>
          <w:rFonts w:hint="default" w:ascii="Times New Roman" w:hAnsi="Times New Roman" w:eastAsia="宋体" w:cs="Times New Roman"/>
          <w:color w:val="auto"/>
          <w:kern w:val="0"/>
          <w:sz w:val="24"/>
          <w:szCs w:val="32"/>
          <w:highlight w:val="none"/>
          <w:lang w:val="en-US" w:eastAsia="zh-CN" w:bidi="ar-SA"/>
        </w:rPr>
        <w:t>Ⅲ</w:t>
      </w:r>
      <w:r>
        <w:rPr>
          <w:rFonts w:hint="eastAsia" w:ascii="Times New Roman" w:hAnsi="Times New Roman" w:eastAsia="宋体" w:cs="Times New Roman"/>
          <w:color w:val="auto"/>
          <w:kern w:val="0"/>
          <w:sz w:val="24"/>
          <w:szCs w:val="32"/>
          <w:highlight w:val="none"/>
          <w:lang w:val="en-US" w:eastAsia="zh-CN" w:bidi="ar-SA"/>
        </w:rPr>
        <w:t>类标准，</w:t>
      </w:r>
      <w:r>
        <w:rPr>
          <w:rFonts w:ascii="Times New Roman" w:hAnsi="Times New Roman" w:eastAsia="宋体" w:cs="Times New Roman"/>
          <w:color w:val="auto"/>
          <w:kern w:val="0"/>
          <w:sz w:val="24"/>
          <w:szCs w:val="32"/>
          <w:highlight w:val="none"/>
          <w:lang w:val="en-US" w:eastAsia="zh-CN" w:bidi="ar-SA"/>
        </w:rPr>
        <w:t>为了解周边地表水的环境质量现状</w:t>
      </w:r>
      <w:r>
        <w:rPr>
          <w:rFonts w:hint="eastAsia" w:ascii="Times New Roman" w:hAnsi="Times New Roman" w:eastAsia="宋体" w:cs="Times New Roman"/>
          <w:color w:val="auto"/>
          <w:kern w:val="0"/>
          <w:sz w:val="24"/>
          <w:szCs w:val="32"/>
          <w:highlight w:val="none"/>
          <w:lang w:val="en-US" w:eastAsia="zh-CN" w:bidi="ar-SA"/>
        </w:rPr>
        <w:t>，评价根据福州市生态环境局发布的《2025年福州市环境状况公报》（网址：https://www.fuzhou.gov.cn/zgfzzt/shbj/xxgk/gzdt/202608/t20260821_5362215.htm）</w:t>
      </w:r>
      <w:r>
        <w:rPr>
          <w:rFonts w:hint="eastAsia" w:cs="Times New Roman"/>
          <w:color w:val="auto"/>
          <w:kern w:val="0"/>
          <w:sz w:val="24"/>
          <w:szCs w:val="32"/>
          <w:highlight w:val="none"/>
          <w:lang w:val="en-US" w:eastAsia="zh-CN" w:bidi="ar-SA"/>
        </w:rPr>
        <w:t>。</w:t>
      </w:r>
      <w:r>
        <w:rPr>
          <w:rFonts w:hint="eastAsia" w:ascii="Times New Roman" w:hAnsi="Times New Roman" w:eastAsia="宋体" w:cs="Times New Roman"/>
          <w:color w:val="auto"/>
          <w:kern w:val="0"/>
          <w:sz w:val="24"/>
          <w:szCs w:val="32"/>
          <w:highlight w:val="none"/>
          <w:lang w:val="en-US" w:eastAsia="zh-CN" w:bidi="ar-SA"/>
        </w:rPr>
        <w:t>2025年，福州市主要流域总体水质状况为优。</w:t>
      </w:r>
      <w:r>
        <w:rPr>
          <w:rFonts w:hint="default" w:ascii="Times New Roman" w:hAnsi="Times New Roman" w:eastAsia="宋体" w:cs="Times New Roman"/>
          <w:color w:val="auto"/>
          <w:kern w:val="0"/>
          <w:sz w:val="24"/>
          <w:szCs w:val="32"/>
          <w:highlight w:val="none"/>
          <w:lang w:val="en-US" w:eastAsia="zh-CN" w:bidi="ar-SA"/>
        </w:rPr>
        <w:t>Ⅰ～Ⅲ</w:t>
      </w:r>
      <w:r>
        <w:rPr>
          <w:rFonts w:hint="eastAsia" w:ascii="Times New Roman" w:hAnsi="Times New Roman" w:eastAsia="宋体" w:cs="Times New Roman"/>
          <w:color w:val="auto"/>
          <w:kern w:val="0"/>
          <w:sz w:val="24"/>
          <w:szCs w:val="32"/>
          <w:highlight w:val="none"/>
          <w:lang w:val="en-US" w:eastAsia="zh-CN" w:bidi="ar-SA"/>
        </w:rPr>
        <w:t>类水质比例为100%，同比持平，其中</w:t>
      </w:r>
      <w:r>
        <w:rPr>
          <w:rFonts w:hint="default" w:ascii="Times New Roman" w:hAnsi="Times New Roman" w:eastAsia="宋体" w:cs="Times New Roman"/>
          <w:color w:val="auto"/>
          <w:kern w:val="0"/>
          <w:sz w:val="24"/>
          <w:szCs w:val="32"/>
          <w:highlight w:val="none"/>
          <w:lang w:val="en-US" w:eastAsia="zh-CN" w:bidi="ar-SA"/>
        </w:rPr>
        <w:t>Ⅰ～Ⅱ</w:t>
      </w:r>
      <w:r>
        <w:rPr>
          <w:rFonts w:hint="eastAsia" w:ascii="Times New Roman" w:hAnsi="Times New Roman" w:eastAsia="宋体" w:cs="Times New Roman"/>
          <w:color w:val="auto"/>
          <w:kern w:val="0"/>
          <w:sz w:val="24"/>
          <w:szCs w:val="32"/>
          <w:highlight w:val="none"/>
          <w:lang w:val="en-US" w:eastAsia="zh-CN" w:bidi="ar-SA"/>
        </w:rPr>
        <w:t>类水质比例为77.8%，同比上升11.1个百分点，无</w:t>
      </w:r>
      <w:r>
        <w:rPr>
          <w:rFonts w:hint="default" w:ascii="Times New Roman" w:hAnsi="Times New Roman" w:eastAsia="宋体" w:cs="Times New Roman"/>
          <w:color w:val="auto"/>
          <w:kern w:val="0"/>
          <w:sz w:val="24"/>
          <w:szCs w:val="32"/>
          <w:highlight w:val="none"/>
          <w:lang w:val="en-US" w:eastAsia="zh-CN" w:bidi="ar-SA"/>
        </w:rPr>
        <w:t>Ⅳ</w:t>
      </w:r>
      <w:r>
        <w:rPr>
          <w:rFonts w:hint="eastAsia" w:ascii="Times New Roman" w:hAnsi="Times New Roman" w:eastAsia="宋体" w:cs="Times New Roman"/>
          <w:color w:val="auto"/>
          <w:kern w:val="0"/>
          <w:sz w:val="24"/>
          <w:szCs w:val="32"/>
          <w:highlight w:val="none"/>
          <w:lang w:val="en-US" w:eastAsia="zh-CN" w:bidi="ar-SA"/>
        </w:rPr>
        <w:t>类、</w:t>
      </w:r>
      <w:r>
        <w:rPr>
          <w:rFonts w:hint="default" w:ascii="Times New Roman" w:hAnsi="Times New Roman" w:eastAsia="宋体" w:cs="Times New Roman"/>
          <w:color w:val="auto"/>
          <w:kern w:val="0"/>
          <w:sz w:val="24"/>
          <w:szCs w:val="32"/>
          <w:highlight w:val="none"/>
          <w:lang w:val="en-US" w:eastAsia="zh-CN" w:bidi="ar-SA"/>
        </w:rPr>
        <w:t>Ⅴ</w:t>
      </w:r>
      <w:r>
        <w:rPr>
          <w:rFonts w:hint="eastAsia" w:ascii="Times New Roman" w:hAnsi="Times New Roman" w:eastAsia="宋体" w:cs="Times New Roman"/>
          <w:color w:val="auto"/>
          <w:kern w:val="0"/>
          <w:sz w:val="24"/>
          <w:szCs w:val="32"/>
          <w:highlight w:val="none"/>
          <w:lang w:val="en-US" w:eastAsia="zh-CN" w:bidi="ar-SA"/>
        </w:rPr>
        <w:t>类、劣</w:t>
      </w:r>
      <w:r>
        <w:rPr>
          <w:rFonts w:hint="default" w:ascii="Times New Roman" w:hAnsi="Times New Roman" w:eastAsia="宋体" w:cs="Times New Roman"/>
          <w:color w:val="auto"/>
          <w:kern w:val="0"/>
          <w:sz w:val="24"/>
          <w:szCs w:val="32"/>
          <w:highlight w:val="none"/>
          <w:lang w:val="en-US" w:eastAsia="zh-CN" w:bidi="ar-SA"/>
        </w:rPr>
        <w:t>Ⅴ</w:t>
      </w:r>
      <w:r>
        <w:rPr>
          <w:rFonts w:hint="eastAsia" w:ascii="Times New Roman" w:hAnsi="Times New Roman" w:eastAsia="宋体" w:cs="Times New Roman"/>
          <w:color w:val="auto"/>
          <w:kern w:val="0"/>
          <w:sz w:val="24"/>
          <w:szCs w:val="32"/>
          <w:highlight w:val="none"/>
          <w:lang w:val="en-US" w:eastAsia="zh-CN" w:bidi="ar-SA"/>
        </w:rPr>
        <w:t>类断面。闽江流域福州段总体水质状况为优，</w:t>
      </w:r>
      <w:r>
        <w:rPr>
          <w:rFonts w:hint="default" w:ascii="Times New Roman" w:hAnsi="Times New Roman" w:eastAsia="宋体" w:cs="Times New Roman"/>
          <w:color w:val="auto"/>
          <w:kern w:val="0"/>
          <w:sz w:val="24"/>
          <w:szCs w:val="32"/>
          <w:highlight w:val="none"/>
          <w:lang w:val="en-US" w:eastAsia="zh-CN" w:bidi="ar-SA"/>
        </w:rPr>
        <w:t>Ⅰ～Ⅲ</w:t>
      </w:r>
      <w:r>
        <w:rPr>
          <w:rFonts w:hint="eastAsia" w:ascii="Times New Roman" w:hAnsi="Times New Roman" w:eastAsia="宋体" w:cs="Times New Roman"/>
          <w:color w:val="auto"/>
          <w:kern w:val="0"/>
          <w:sz w:val="24"/>
          <w:szCs w:val="32"/>
          <w:highlight w:val="none"/>
          <w:lang w:val="en-US" w:eastAsia="zh-CN" w:bidi="ar-SA"/>
        </w:rPr>
        <w:t>类水质比例为100%，同比持平；</w:t>
      </w:r>
      <w:r>
        <w:rPr>
          <w:rFonts w:hint="default" w:ascii="Times New Roman" w:hAnsi="Times New Roman" w:eastAsia="宋体" w:cs="Times New Roman"/>
          <w:color w:val="auto"/>
          <w:kern w:val="0"/>
          <w:sz w:val="24"/>
          <w:szCs w:val="32"/>
          <w:highlight w:val="none"/>
          <w:lang w:val="en-US" w:eastAsia="zh-CN" w:bidi="ar-SA"/>
        </w:rPr>
        <w:t>Ⅰ～Ⅱ</w:t>
      </w:r>
      <w:r>
        <w:rPr>
          <w:rFonts w:hint="eastAsia" w:ascii="Times New Roman" w:hAnsi="Times New Roman" w:eastAsia="宋体" w:cs="Times New Roman"/>
          <w:color w:val="auto"/>
          <w:kern w:val="0"/>
          <w:sz w:val="24"/>
          <w:szCs w:val="32"/>
          <w:highlight w:val="none"/>
          <w:lang w:val="en-US" w:eastAsia="zh-CN" w:bidi="ar-SA"/>
        </w:rPr>
        <w:t>类水质比例为93.8%，同比上升12.5个百分点。</w:t>
      </w:r>
    </w:p>
    <w:p w14:paraId="237C8466">
      <w:pPr>
        <w:keepNext w:val="0"/>
        <w:keepLines w:val="0"/>
        <w:pageBreakBefore w:val="0"/>
        <w:widowControl/>
        <w:kinsoku/>
        <w:wordWrap w:val="0"/>
        <w:overflowPunct/>
        <w:topLinePunct w:val="0"/>
        <w:autoSpaceDE/>
        <w:autoSpaceDN/>
        <w:bidi w:val="0"/>
        <w:adjustRightInd w:val="0"/>
        <w:snapToGrid w:val="0"/>
        <w:spacing w:line="360" w:lineRule="auto"/>
        <w:ind w:left="0" w:leftChars="0" w:firstLine="480" w:firstLineChars="200"/>
        <w:jc w:val="center"/>
        <w:textAlignment w:val="auto"/>
        <w:rPr>
          <w:color w:val="auto"/>
          <w:highlight w:val="none"/>
        </w:rPr>
      </w:pPr>
      <w:r>
        <w:rPr>
          <w:rFonts w:hint="eastAsia" w:ascii="Times New Roman" w:hAnsi="Times New Roman" w:eastAsia="宋体" w:cs="Times New Roman"/>
          <w:color w:val="auto"/>
          <w:kern w:val="0"/>
          <w:sz w:val="24"/>
          <w:szCs w:val="32"/>
          <w:highlight w:val="none"/>
          <w:lang w:val="en-US" w:eastAsia="zh-CN" w:bidi="ar-SA"/>
        </w:rPr>
        <w:t>由此可知闽江水质可达到《地表水环境质量标准》（GB3838-2002）</w:t>
      </w:r>
      <w:r>
        <w:rPr>
          <w:rFonts w:hint="default" w:ascii="Times New Roman" w:hAnsi="Times New Roman" w:eastAsia="宋体" w:cs="Times New Roman"/>
          <w:color w:val="auto"/>
          <w:kern w:val="0"/>
          <w:sz w:val="24"/>
          <w:szCs w:val="32"/>
          <w:highlight w:val="none"/>
          <w:lang w:val="en-US" w:eastAsia="zh-CN" w:bidi="ar-SA"/>
        </w:rPr>
        <w:t>Ⅲ</w:t>
      </w:r>
      <w:r>
        <w:rPr>
          <w:rFonts w:hint="eastAsia" w:ascii="Times New Roman" w:hAnsi="Times New Roman" w:eastAsia="宋体" w:cs="Times New Roman"/>
          <w:color w:val="auto"/>
          <w:kern w:val="0"/>
          <w:sz w:val="24"/>
          <w:szCs w:val="32"/>
          <w:highlight w:val="none"/>
          <w:lang w:val="en-US" w:eastAsia="zh-CN" w:bidi="ar-SA"/>
        </w:rPr>
        <w:t>类水标准，陶江水质可达到《地表水环境质量标准》（GB3838-2002）</w:t>
      </w:r>
      <w:r>
        <w:rPr>
          <w:rFonts w:hint="default" w:ascii="Times New Roman" w:hAnsi="Times New Roman" w:eastAsia="宋体" w:cs="Times New Roman"/>
          <w:color w:val="auto"/>
          <w:kern w:val="0"/>
          <w:sz w:val="24"/>
          <w:szCs w:val="32"/>
          <w:highlight w:val="none"/>
          <w:lang w:val="en-US" w:eastAsia="zh-CN" w:bidi="ar-SA"/>
        </w:rPr>
        <w:t>Ⅲ</w:t>
      </w:r>
      <w:r>
        <w:rPr>
          <w:rFonts w:hint="eastAsia" w:ascii="Times New Roman" w:hAnsi="Times New Roman" w:eastAsia="宋体" w:cs="Times New Roman"/>
          <w:color w:val="auto"/>
          <w:kern w:val="0"/>
          <w:sz w:val="24"/>
          <w:szCs w:val="32"/>
          <w:highlight w:val="none"/>
          <w:lang w:val="en-US" w:eastAsia="zh-CN" w:bidi="ar-SA"/>
        </w:rPr>
        <w:t>类水标准。</w:t>
      </w:r>
      <w:r>
        <w:rPr>
          <w:color w:val="auto"/>
          <w:highlight w:val="none"/>
        </w:rPr>
        <w:drawing>
          <wp:inline distT="0" distB="0" distL="114300" distR="114300">
            <wp:extent cx="4767580" cy="3504565"/>
            <wp:effectExtent l="0" t="0" r="13970" b="635"/>
            <wp:docPr id="1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5"/>
                    <pic:cNvPicPr>
                      <a:picLocks noChangeAspect="1"/>
                    </pic:cNvPicPr>
                  </pic:nvPicPr>
                  <pic:blipFill>
                    <a:blip r:embed="rId49">
                      <a:lum bright="-6000"/>
                    </a:blip>
                    <a:stretch>
                      <a:fillRect/>
                    </a:stretch>
                  </pic:blipFill>
                  <pic:spPr>
                    <a:xfrm>
                      <a:off x="0" y="0"/>
                      <a:ext cx="4767580" cy="3504565"/>
                    </a:xfrm>
                    <a:prstGeom prst="rect">
                      <a:avLst/>
                    </a:prstGeom>
                    <a:noFill/>
                    <a:ln>
                      <a:noFill/>
                    </a:ln>
                  </pic:spPr>
                </pic:pic>
              </a:graphicData>
            </a:graphic>
          </wp:inline>
        </w:drawing>
      </w:r>
    </w:p>
    <w:p w14:paraId="70D3AE84">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图4.2-4  福州市环境状况公报（2025年）截图</w:t>
      </w:r>
    </w:p>
    <w:p w14:paraId="063F9D8D">
      <w:pPr>
        <w:widowControl/>
        <w:adjustRightInd w:val="0"/>
        <w:snapToGrid w:val="0"/>
        <w:spacing w:line="360" w:lineRule="auto"/>
        <w:ind w:firstLine="480" w:firstLineChars="200"/>
        <w:jc w:val="left"/>
        <w:rPr>
          <w:rFonts w:hint="eastAsia" w:ascii="Times New Roman" w:hAnsi="Times New Roman" w:eastAsia="宋体" w:cs="Times New Roman"/>
          <w:color w:val="auto"/>
          <w:kern w:val="0"/>
          <w:sz w:val="24"/>
          <w:szCs w:val="32"/>
          <w:highlight w:val="none"/>
          <w:lang w:val="en-US" w:eastAsia="zh-CN" w:bidi="ar-SA"/>
        </w:rPr>
      </w:pPr>
    </w:p>
    <w:p w14:paraId="1ED0F0EA">
      <w:pPr>
        <w:widowControl/>
        <w:adjustRightInd w:val="0"/>
        <w:snapToGrid w:val="0"/>
        <w:spacing w:line="360" w:lineRule="auto"/>
        <w:ind w:left="0" w:leftChars="0" w:firstLine="0" w:firstLineChars="0"/>
        <w:jc w:val="left"/>
        <w:rPr>
          <w:rFonts w:hint="eastAsia" w:ascii="Times New Roman" w:hAnsi="Times New Roman" w:eastAsia="宋体" w:cs="Times New Roman"/>
          <w:color w:val="auto"/>
          <w:kern w:val="0"/>
          <w:sz w:val="24"/>
          <w:szCs w:val="32"/>
          <w:highlight w:val="none"/>
          <w:lang w:val="en-US" w:eastAsia="zh-CN" w:bidi="ar-SA"/>
        </w:rPr>
      </w:pPr>
      <w:r>
        <w:rPr>
          <w:color w:val="auto"/>
          <w:highlight w:val="none"/>
        </w:rPr>
        <w:drawing>
          <wp:inline distT="0" distB="0" distL="114300" distR="114300">
            <wp:extent cx="4959985" cy="5321300"/>
            <wp:effectExtent l="0" t="0" r="12065" b="12700"/>
            <wp:docPr id="15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6"/>
                    <pic:cNvPicPr>
                      <a:picLocks noChangeAspect="1"/>
                    </pic:cNvPicPr>
                  </pic:nvPicPr>
                  <pic:blipFill>
                    <a:blip r:embed="rId50"/>
                    <a:stretch>
                      <a:fillRect/>
                    </a:stretch>
                  </pic:blipFill>
                  <pic:spPr>
                    <a:xfrm>
                      <a:off x="0" y="0"/>
                      <a:ext cx="4959985" cy="5321300"/>
                    </a:xfrm>
                    <a:prstGeom prst="rect">
                      <a:avLst/>
                    </a:prstGeom>
                    <a:noFill/>
                    <a:ln>
                      <a:noFill/>
                    </a:ln>
                  </pic:spPr>
                </pic:pic>
              </a:graphicData>
            </a:graphic>
          </wp:inline>
        </w:drawing>
      </w:r>
    </w:p>
    <w:p w14:paraId="14F98AAE">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图4.2-5  福州市闽江流域水质状况（2025年）截图</w:t>
      </w:r>
    </w:p>
    <w:bookmarkEnd w:id="403"/>
    <w:p w14:paraId="7D519F5D">
      <w:pPr>
        <w:pStyle w:val="4"/>
        <w:numPr>
          <w:ilvl w:val="2"/>
          <w:numId w:val="0"/>
        </w:numPr>
        <w:tabs>
          <w:tab w:val="clear" w:pos="720"/>
        </w:tabs>
        <w:bidi w:val="0"/>
        <w:rPr>
          <w:color w:val="auto"/>
          <w:highlight w:val="none"/>
          <w:lang w:val="en-US" w:eastAsia="zh-CN"/>
        </w:rPr>
      </w:pPr>
      <w:bookmarkStart w:id="404" w:name="_Toc504561230"/>
      <w:bookmarkStart w:id="405" w:name="_Toc345493856"/>
      <w:bookmarkStart w:id="406" w:name="_Toc306369390"/>
      <w:bookmarkStart w:id="407" w:name="_Toc523646225"/>
      <w:bookmarkStart w:id="408" w:name="_Toc488336410"/>
      <w:bookmarkStart w:id="409" w:name="_Toc3257"/>
      <w:bookmarkStart w:id="410" w:name="_Toc486143321"/>
      <w:bookmarkStart w:id="411" w:name="_Toc500940465"/>
      <w:bookmarkStart w:id="412" w:name="_Toc375041286"/>
      <w:bookmarkStart w:id="413" w:name="_Toc377541061"/>
      <w:bookmarkStart w:id="414" w:name="_Toc529434210"/>
      <w:r>
        <w:rPr>
          <w:rFonts w:hint="eastAsia"/>
          <w:color w:val="auto"/>
          <w:highlight w:val="none"/>
          <w:lang w:val="en-US" w:eastAsia="zh-CN"/>
        </w:rPr>
        <w:t>4.2</w:t>
      </w:r>
      <w:r>
        <w:rPr>
          <w:color w:val="auto"/>
          <w:highlight w:val="none"/>
          <w:lang w:val="en-US" w:eastAsia="zh-CN"/>
        </w:rPr>
        <w:t>.2</w:t>
      </w:r>
      <w:r>
        <w:rPr>
          <w:rFonts w:hint="eastAsia"/>
          <w:color w:val="auto"/>
          <w:highlight w:val="none"/>
          <w:lang w:val="en-US" w:eastAsia="zh-CN"/>
        </w:rPr>
        <w:t xml:space="preserve"> </w:t>
      </w:r>
      <w:r>
        <w:rPr>
          <w:color w:val="auto"/>
          <w:highlight w:val="none"/>
          <w:lang w:val="en-US" w:eastAsia="zh-CN"/>
        </w:rPr>
        <w:t>地下水环境质量现状调查与评价</w:t>
      </w:r>
      <w:bookmarkEnd w:id="404"/>
      <w:bookmarkEnd w:id="405"/>
      <w:bookmarkEnd w:id="406"/>
      <w:bookmarkEnd w:id="407"/>
      <w:bookmarkEnd w:id="408"/>
      <w:bookmarkEnd w:id="409"/>
      <w:bookmarkEnd w:id="410"/>
      <w:bookmarkEnd w:id="411"/>
      <w:bookmarkEnd w:id="412"/>
      <w:bookmarkEnd w:id="413"/>
      <w:bookmarkEnd w:id="414"/>
    </w:p>
    <w:p w14:paraId="421D2C97">
      <w:pPr>
        <w:pStyle w:val="5"/>
        <w:numPr>
          <w:ilvl w:val="3"/>
          <w:numId w:val="0"/>
        </w:numPr>
        <w:bidi w:val="0"/>
        <w:ind w:leftChars="0"/>
        <w:rPr>
          <w:color w:val="auto"/>
          <w:highlight w:val="none"/>
          <w:lang w:val="en-US" w:eastAsia="zh-CN"/>
        </w:rPr>
      </w:pPr>
      <w:bookmarkStart w:id="415" w:name="_Toc377541062"/>
      <w:bookmarkStart w:id="416" w:name="_Toc375041287"/>
      <w:r>
        <w:rPr>
          <w:rFonts w:hint="eastAsia"/>
          <w:color w:val="auto"/>
          <w:highlight w:val="none"/>
          <w:lang w:val="en-US" w:eastAsia="zh-CN"/>
        </w:rPr>
        <w:t>4.2</w:t>
      </w:r>
      <w:r>
        <w:rPr>
          <w:color w:val="auto"/>
          <w:highlight w:val="none"/>
          <w:lang w:val="en-US" w:eastAsia="zh-CN"/>
        </w:rPr>
        <w:t>.2.1</w:t>
      </w:r>
      <w:r>
        <w:rPr>
          <w:rFonts w:hint="eastAsia"/>
          <w:color w:val="auto"/>
          <w:highlight w:val="none"/>
          <w:lang w:val="en-US" w:eastAsia="zh-CN"/>
        </w:rPr>
        <w:t xml:space="preserve"> </w:t>
      </w:r>
      <w:r>
        <w:rPr>
          <w:color w:val="auto"/>
          <w:highlight w:val="none"/>
          <w:lang w:val="en-US" w:eastAsia="zh-CN"/>
        </w:rPr>
        <w:t>地下水环境质量现状调查</w:t>
      </w:r>
      <w:bookmarkEnd w:id="415"/>
      <w:bookmarkEnd w:id="416"/>
    </w:p>
    <w:p w14:paraId="570BA5F5">
      <w:pPr>
        <w:widowControl/>
        <w:adjustRightInd w:val="0"/>
        <w:snapToGrid w:val="0"/>
        <w:spacing w:line="360" w:lineRule="auto"/>
        <w:ind w:firstLine="480" w:firstLineChars="200"/>
        <w:jc w:val="both"/>
        <w:rPr>
          <w:rFonts w:hint="eastAsia" w:eastAsia="宋体"/>
          <w:color w:val="auto"/>
          <w:highlight w:val="none"/>
          <w:lang w:eastAsia="zh-CN"/>
        </w:rPr>
      </w:pPr>
      <w:bookmarkStart w:id="417" w:name="_Toc523646226"/>
      <w:bookmarkStart w:id="418" w:name="_Toc504561231"/>
      <w:bookmarkStart w:id="419" w:name="_Toc486143322"/>
      <w:bookmarkStart w:id="420" w:name="_Toc488336411"/>
      <w:bookmarkStart w:id="421" w:name="_Toc529434211"/>
      <w:bookmarkStart w:id="422" w:name="_Toc377541064"/>
      <w:bookmarkStart w:id="423" w:name="_Toc500940466"/>
      <w:r>
        <w:rPr>
          <w:rFonts w:hint="eastAsia" w:ascii="Times New Roman" w:hAnsi="Times New Roman" w:eastAsia="宋体" w:cs="Times New Roman"/>
          <w:color w:val="auto"/>
          <w:kern w:val="0"/>
          <w:sz w:val="24"/>
          <w:szCs w:val="32"/>
          <w:highlight w:val="none"/>
          <w:lang w:val="en-US" w:eastAsia="zh-CN" w:bidi="ar-SA"/>
        </w:rPr>
        <w:t>为</w:t>
      </w:r>
      <w:r>
        <w:rPr>
          <w:rFonts w:hint="eastAsia" w:cs="Times New Roman"/>
          <w:color w:val="auto"/>
          <w:kern w:val="0"/>
          <w:sz w:val="24"/>
          <w:szCs w:val="32"/>
          <w:highlight w:val="none"/>
          <w:lang w:val="en-US" w:eastAsia="zh-CN" w:bidi="ar-SA"/>
        </w:rPr>
        <w:t>了解</w:t>
      </w:r>
      <w:r>
        <w:rPr>
          <w:rFonts w:hint="eastAsia" w:ascii="Times New Roman" w:hAnsi="Times New Roman" w:eastAsia="宋体" w:cs="Times New Roman"/>
          <w:color w:val="auto"/>
          <w:kern w:val="0"/>
          <w:sz w:val="24"/>
          <w:szCs w:val="32"/>
          <w:highlight w:val="none"/>
          <w:lang w:val="en-US" w:eastAsia="zh-CN" w:bidi="ar-SA"/>
        </w:rPr>
        <w:t>本项目所在区域地下水环境质量现状，</w:t>
      </w:r>
      <w:r>
        <w:rPr>
          <w:rFonts w:hint="eastAsia"/>
          <w:color w:val="auto"/>
          <w:highlight w:val="none"/>
          <w:lang w:val="en-US" w:eastAsia="zh-CN"/>
        </w:rPr>
        <w:t>本次评价采用历史监测资料与补充监测相结合的方式开展调查与分析。其中，宏三村地下水水质监测结果引用福建华远检测有限公司2025年6月13日出具的检测报告（报告编号：HYJC250515008</w:t>
      </w:r>
      <w:r>
        <w:rPr>
          <w:rFonts w:hint="eastAsia" w:ascii="Times New Roman" w:hAnsi="Times New Roman" w:eastAsia="宋体" w:cs="Times New Roman"/>
          <w:color w:val="auto"/>
          <w:kern w:val="0"/>
          <w:sz w:val="24"/>
          <w:szCs w:val="32"/>
          <w:highlight w:val="none"/>
          <w:lang w:val="en-US" w:eastAsia="zh-CN" w:bidi="ar-SA"/>
        </w:rPr>
        <w:t>）</w:t>
      </w:r>
      <w:r>
        <w:rPr>
          <w:rFonts w:hint="eastAsia" w:cs="Times New Roman"/>
          <w:color w:val="auto"/>
          <w:kern w:val="0"/>
          <w:sz w:val="24"/>
          <w:szCs w:val="32"/>
          <w:highlight w:val="none"/>
          <w:lang w:val="en-US" w:eastAsia="zh-CN" w:bidi="ar-SA"/>
        </w:rPr>
        <w:t>（检测报告详见附件7）</w:t>
      </w:r>
      <w:r>
        <w:rPr>
          <w:rFonts w:hint="eastAsia" w:ascii="Times New Roman" w:hAnsi="Times New Roman" w:eastAsia="宋体" w:cs="Times New Roman"/>
          <w:color w:val="auto"/>
          <w:kern w:val="0"/>
          <w:sz w:val="24"/>
          <w:szCs w:val="32"/>
          <w:highlight w:val="none"/>
          <w:lang w:val="en-US" w:eastAsia="zh-CN" w:bidi="ar-SA"/>
        </w:rPr>
        <w:t>；其余监测项目采用福建九五检测技术服务有限公司的</w:t>
      </w:r>
      <w:r>
        <w:rPr>
          <w:rFonts w:hint="eastAsia" w:cs="Times New Roman"/>
          <w:color w:val="auto"/>
          <w:kern w:val="0"/>
          <w:sz w:val="24"/>
          <w:szCs w:val="32"/>
          <w:highlight w:val="none"/>
          <w:lang w:val="en-US" w:eastAsia="zh-CN" w:bidi="ar-SA"/>
        </w:rPr>
        <w:t>现状</w:t>
      </w:r>
      <w:r>
        <w:rPr>
          <w:rFonts w:hint="eastAsia" w:ascii="Times New Roman" w:hAnsi="Times New Roman" w:eastAsia="宋体" w:cs="Times New Roman"/>
          <w:color w:val="auto"/>
          <w:kern w:val="0"/>
          <w:sz w:val="24"/>
          <w:szCs w:val="32"/>
          <w:highlight w:val="none"/>
          <w:lang w:val="en-US" w:eastAsia="zh-CN" w:bidi="ar-SA"/>
        </w:rPr>
        <w:t>监测数据进行分析。</w:t>
      </w:r>
    </w:p>
    <w:p w14:paraId="27B0C739">
      <w:pPr>
        <w:widowControl/>
        <w:adjustRightInd w:val="0"/>
        <w:snapToGrid w:val="0"/>
        <w:spacing w:line="360" w:lineRule="auto"/>
        <w:ind w:firstLine="480" w:firstLineChars="200"/>
        <w:jc w:val="left"/>
        <w:rPr>
          <w:rFonts w:ascii="Times New Roman" w:hAnsi="Times New Roman" w:eastAsia="宋体" w:cs="Times New Roman"/>
          <w:color w:val="auto"/>
          <w:kern w:val="0"/>
          <w:sz w:val="24"/>
          <w:szCs w:val="32"/>
          <w:highlight w:val="none"/>
          <w:lang w:val="en-US" w:eastAsia="zh-CN" w:bidi="ar-SA"/>
        </w:rPr>
      </w:pPr>
      <w:r>
        <w:rPr>
          <w:rFonts w:ascii="Times New Roman" w:hAnsi="Times New Roman" w:eastAsia="宋体" w:cs="Times New Roman"/>
          <w:color w:val="auto"/>
          <w:kern w:val="0"/>
          <w:sz w:val="24"/>
          <w:szCs w:val="32"/>
          <w:highlight w:val="none"/>
          <w:lang w:val="en-US" w:eastAsia="zh-CN" w:bidi="ar-SA"/>
        </w:rPr>
        <w:t>（1）监测点位</w:t>
      </w:r>
    </w:p>
    <w:p w14:paraId="67390126">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监测点位主要为</w:t>
      </w:r>
      <w:r>
        <w:rPr>
          <w:rFonts w:hint="eastAsia" w:ascii="Times New Roman" w:hAnsi="Times New Roman" w:eastAsia="宋体" w:cs="Times New Roman"/>
          <w:color w:val="auto"/>
          <w:sz w:val="24"/>
          <w:szCs w:val="22"/>
          <w:highlight w:val="none"/>
          <w:lang w:val="en-US" w:eastAsia="zh-CN" w:bidi="ar-SA"/>
        </w:rPr>
        <w:t>建设项目场地上游及下游影响区、可能受建设项目影响区</w:t>
      </w:r>
      <w:r>
        <w:rPr>
          <w:rFonts w:ascii="Times New Roman" w:hAnsi="Times New Roman" w:eastAsia="宋体" w:cs="Times New Roman"/>
          <w:color w:val="auto"/>
          <w:sz w:val="24"/>
          <w:szCs w:val="22"/>
          <w:highlight w:val="none"/>
          <w:lang w:val="en-US" w:eastAsia="zh-CN" w:bidi="ar-SA"/>
        </w:rPr>
        <w:t>，取水位置见表</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-5和图</w:t>
      </w:r>
      <w:r>
        <w:rPr>
          <w:rFonts w:hint="eastAsia" w:ascii="Times New Roman" w:hAnsi="Times New Roman" w:eastAsia="宋体" w:cs="Times New Roman"/>
          <w:color w:val="auto"/>
          <w:sz w:val="24"/>
          <w:szCs w:val="22"/>
          <w:highlight w:val="none"/>
          <w:lang w:val="en-US" w:eastAsia="zh-CN" w:bidi="ar-SA"/>
        </w:rPr>
        <w:t>4.</w:t>
      </w:r>
      <w:r>
        <w:rPr>
          <w:rFonts w:hint="eastAsia" w:cs="Times New Roman"/>
          <w:color w:val="auto"/>
          <w:sz w:val="24"/>
          <w:szCs w:val="22"/>
          <w:highlight w:val="none"/>
          <w:lang w:val="en-US" w:eastAsia="zh-CN" w:bidi="ar-SA"/>
        </w:rPr>
        <w:t>2</w:t>
      </w:r>
      <w:r>
        <w:rPr>
          <w:rFonts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6</w:t>
      </w:r>
      <w:r>
        <w:rPr>
          <w:rFonts w:ascii="Times New Roman" w:hAnsi="Times New Roman" w:eastAsia="宋体" w:cs="Times New Roman"/>
          <w:color w:val="auto"/>
          <w:sz w:val="24"/>
          <w:szCs w:val="22"/>
          <w:highlight w:val="none"/>
          <w:lang w:val="en-US" w:eastAsia="zh-CN" w:bidi="ar-SA"/>
        </w:rPr>
        <w:t>。</w:t>
      </w:r>
    </w:p>
    <w:p w14:paraId="3FA37B36">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表4.2-5  地下水水质监测点位一览表</w:t>
      </w:r>
    </w:p>
    <w:tbl>
      <w:tblPr>
        <w:tblStyle w:val="80"/>
        <w:tblW w:w="459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679"/>
        <w:gridCol w:w="1005"/>
        <w:gridCol w:w="4804"/>
        <w:gridCol w:w="1242"/>
      </w:tblGrid>
      <w:tr w14:paraId="42003C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39" w:type="pct"/>
            <w:tcBorders>
              <w:tl2br w:val="nil"/>
              <w:tr2bl w:val="nil"/>
            </w:tcBorders>
            <w:noWrap w:val="0"/>
            <w:vAlign w:val="center"/>
          </w:tcPr>
          <w:p w14:paraId="6F2ABC7B">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bookmarkStart w:id="424" w:name="_Toc360353256" w:colFirst="1" w:colLast="2"/>
            <w:bookmarkStart w:id="425" w:name="_Toc361647192" w:colFirst="1" w:colLast="2"/>
            <w:r>
              <w:rPr>
                <w:rFonts w:ascii="Times New Roman" w:hAnsi="Times New Roman" w:eastAsia="宋体" w:cs="Times New Roman"/>
                <w:color w:val="auto"/>
                <w:kern w:val="2"/>
                <w:sz w:val="21"/>
                <w:szCs w:val="24"/>
                <w:highlight w:val="none"/>
                <w:lang w:val="en-US" w:eastAsia="zh-CN" w:bidi="ar-SA"/>
              </w:rPr>
              <w:t>点位</w:t>
            </w:r>
          </w:p>
        </w:tc>
        <w:tc>
          <w:tcPr>
            <w:tcW w:w="650" w:type="pct"/>
            <w:tcBorders>
              <w:tl2br w:val="nil"/>
              <w:tr2bl w:val="nil"/>
            </w:tcBorders>
            <w:noWrap w:val="0"/>
            <w:vAlign w:val="center"/>
          </w:tcPr>
          <w:p w14:paraId="2E81671B">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位置</w:t>
            </w:r>
          </w:p>
        </w:tc>
        <w:tc>
          <w:tcPr>
            <w:tcW w:w="3106" w:type="pct"/>
            <w:tcBorders>
              <w:tl2br w:val="nil"/>
              <w:tr2bl w:val="nil"/>
            </w:tcBorders>
            <w:noWrap w:val="0"/>
            <w:vAlign w:val="center"/>
          </w:tcPr>
          <w:p w14:paraId="6B9181D7">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监测项目</w:t>
            </w:r>
          </w:p>
        </w:tc>
        <w:tc>
          <w:tcPr>
            <w:tcW w:w="803" w:type="pct"/>
            <w:tcBorders>
              <w:tl2br w:val="nil"/>
              <w:tr2bl w:val="nil"/>
            </w:tcBorders>
            <w:noWrap w:val="0"/>
            <w:vAlign w:val="center"/>
          </w:tcPr>
          <w:p w14:paraId="15743528">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监测时间</w:t>
            </w:r>
          </w:p>
        </w:tc>
      </w:tr>
      <w:bookmarkEnd w:id="424"/>
      <w:bookmarkEnd w:id="425"/>
      <w:tr w14:paraId="34989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39" w:type="pct"/>
            <w:tcBorders>
              <w:tl2br w:val="nil"/>
              <w:tr2bl w:val="nil"/>
            </w:tcBorders>
            <w:noWrap w:val="0"/>
            <w:vAlign w:val="center"/>
          </w:tcPr>
          <w:p w14:paraId="285ABB31">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D1</w:t>
            </w:r>
          </w:p>
        </w:tc>
        <w:tc>
          <w:tcPr>
            <w:tcW w:w="650" w:type="pct"/>
            <w:tcBorders>
              <w:tl2br w:val="nil"/>
              <w:tr2bl w:val="nil"/>
            </w:tcBorders>
            <w:noWrap w:val="0"/>
            <w:vAlign w:val="center"/>
          </w:tcPr>
          <w:p w14:paraId="07A661D2">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溪东村（上游）</w:t>
            </w:r>
          </w:p>
        </w:tc>
        <w:tc>
          <w:tcPr>
            <w:tcW w:w="3106" w:type="pct"/>
            <w:vMerge w:val="restart"/>
            <w:tcBorders>
              <w:tl2br w:val="nil"/>
              <w:tr2bl w:val="nil"/>
            </w:tcBorders>
            <w:noWrap w:val="0"/>
            <w:vAlign w:val="center"/>
          </w:tcPr>
          <w:p w14:paraId="72D6258B">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地下水水位、</w:t>
            </w:r>
            <w:r>
              <w:rPr>
                <w:rFonts w:hint="default" w:ascii="Times New Roman" w:hAnsi="Times New Roman" w:eastAsia="宋体" w:cs="Times New Roman"/>
                <w:color w:val="auto"/>
                <w:kern w:val="0"/>
                <w:sz w:val="21"/>
                <w:szCs w:val="21"/>
                <w:highlight w:val="none"/>
                <w:lang w:val="en-US" w:eastAsia="zh-CN" w:bidi="ar"/>
              </w:rPr>
              <w:t>K</w:t>
            </w:r>
            <w:r>
              <w:rPr>
                <w:rFonts w:hint="eastAsia"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Na</w:t>
            </w:r>
            <w:r>
              <w:rPr>
                <w:rFonts w:hint="eastAsia"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Ca</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Mg</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CO</w:t>
            </w:r>
            <w:r>
              <w:rPr>
                <w:rFonts w:hint="eastAsia" w:ascii="Times New Roman" w:hAnsi="Times New Roman" w:eastAsia="宋体" w:cs="Times New Roman"/>
                <w:color w:val="auto"/>
                <w:kern w:val="0"/>
                <w:sz w:val="21"/>
                <w:szCs w:val="21"/>
                <w:highlight w:val="none"/>
                <w:vertAlign w:val="subscript"/>
                <w:lang w:val="en-US" w:eastAsia="zh-CN" w:bidi="ar"/>
              </w:rPr>
              <w:t>3</w:t>
            </w:r>
            <w:r>
              <w:rPr>
                <w:rFonts w:hint="eastAsia"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HCO</w:t>
            </w:r>
            <w:r>
              <w:rPr>
                <w:rFonts w:hint="default" w:ascii="Times New Roman" w:hAnsi="Times New Roman" w:eastAsia="宋体" w:cs="Times New Roman"/>
                <w:color w:val="auto"/>
                <w:kern w:val="0"/>
                <w:sz w:val="21"/>
                <w:szCs w:val="21"/>
                <w:highlight w:val="none"/>
                <w:vertAlign w:val="subscript"/>
                <w:lang w:val="en-US" w:eastAsia="zh-CN" w:bidi="ar"/>
              </w:rPr>
              <w:t>3</w:t>
            </w:r>
            <w:r>
              <w:rPr>
                <w:rFonts w:hint="default" w:ascii="Times New Roman" w:hAnsi="Times New Roman" w:eastAsia="宋体" w:cs="Times New Roman"/>
                <w:color w:val="auto"/>
                <w:kern w:val="0"/>
                <w:sz w:val="21"/>
                <w:szCs w:val="21"/>
                <w:highlight w:val="none"/>
                <w:vertAlign w:val="superscript"/>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Cl-</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SO</w:t>
            </w:r>
            <w:r>
              <w:rPr>
                <w:rFonts w:hint="default" w:ascii="Times New Roman" w:hAnsi="Times New Roman" w:eastAsia="宋体" w:cs="Times New Roman"/>
                <w:color w:val="auto"/>
                <w:kern w:val="0"/>
                <w:sz w:val="21"/>
                <w:szCs w:val="21"/>
                <w:highlight w:val="none"/>
                <w:vertAlign w:val="subscript"/>
                <w:lang w:val="en-US" w:eastAsia="zh-CN" w:bidi="ar"/>
              </w:rPr>
              <w:t>4</w:t>
            </w:r>
            <w:r>
              <w:rPr>
                <w:rFonts w:hint="default" w:ascii="Times New Roman" w:hAnsi="Times New Roman" w:eastAsia="宋体" w:cs="Times New Roman"/>
                <w:color w:val="auto"/>
                <w:kern w:val="0"/>
                <w:sz w:val="21"/>
                <w:szCs w:val="21"/>
                <w:highlight w:val="none"/>
                <w:vertAlign w:val="superscript"/>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pH、高锰酸盐指数、溶解性总固体、铁、锰、铜、铅、硝酸盐、亚硝酸盐、氨氮、总硬度、氟化物、硫酸盐、氯化物、挥发性酚类、铬（六价）</w:t>
            </w:r>
            <w:r>
              <w:rPr>
                <w:rFonts w:hint="eastAsia" w:ascii="Times New Roman" w:hAnsi="Times New Roman" w:eastAsia="宋体" w:cs="Times New Roman"/>
                <w:color w:val="auto"/>
                <w:kern w:val="0"/>
                <w:sz w:val="21"/>
                <w:szCs w:val="21"/>
                <w:highlight w:val="none"/>
                <w:lang w:val="en-US" w:eastAsia="zh-CN" w:bidi="ar"/>
              </w:rPr>
              <w:t>、苯、二甲苯、</w:t>
            </w:r>
            <w:r>
              <w:rPr>
                <w:rFonts w:hint="eastAsia" w:ascii="Times New Roman" w:hAnsi="Times New Roman" w:eastAsia="宋体" w:cs="Times New Roman"/>
                <w:color w:val="auto"/>
                <w:kern w:val="0"/>
                <w:sz w:val="21"/>
                <w:szCs w:val="21"/>
                <w:highlight w:val="none"/>
                <w:lang w:val="en-US" w:eastAsia="zh-CN"/>
              </w:rPr>
              <w:t>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6</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9</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803" w:type="pct"/>
            <w:vMerge w:val="restart"/>
            <w:tcBorders>
              <w:tl2br w:val="nil"/>
              <w:tr2bl w:val="nil"/>
            </w:tcBorders>
            <w:noWrap w:val="0"/>
            <w:vAlign w:val="center"/>
          </w:tcPr>
          <w:p w14:paraId="4DC1F18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w:t>
            </w:r>
            <w:r>
              <w:rPr>
                <w:rFonts w:hint="eastAsia"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年</w:t>
            </w:r>
          </w:p>
          <w:p w14:paraId="2CD3057A">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月2</w:t>
            </w:r>
            <w:r>
              <w:rPr>
                <w:rFonts w:hint="eastAsia" w:cs="Times New Roman"/>
                <w:color w:val="auto"/>
                <w:kern w:val="2"/>
                <w:sz w:val="21"/>
                <w:szCs w:val="24"/>
                <w:highlight w:val="none"/>
                <w:lang w:val="en-US" w:eastAsia="zh-CN" w:bidi="ar-SA"/>
              </w:rPr>
              <w:t>4</w:t>
            </w:r>
            <w:r>
              <w:rPr>
                <w:rFonts w:hint="eastAsia" w:ascii="Times New Roman" w:hAnsi="Times New Roman" w:eastAsia="宋体" w:cs="Times New Roman"/>
                <w:color w:val="auto"/>
                <w:kern w:val="2"/>
                <w:sz w:val="21"/>
                <w:szCs w:val="24"/>
                <w:highlight w:val="none"/>
                <w:lang w:val="en-US" w:eastAsia="zh-CN" w:bidi="ar-SA"/>
              </w:rPr>
              <w:t>日</w:t>
            </w:r>
          </w:p>
        </w:tc>
      </w:tr>
      <w:tr w14:paraId="53A00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39" w:type="pct"/>
            <w:tcBorders>
              <w:tl2br w:val="nil"/>
              <w:tr2bl w:val="nil"/>
            </w:tcBorders>
            <w:noWrap w:val="0"/>
            <w:vAlign w:val="center"/>
          </w:tcPr>
          <w:p w14:paraId="25B51BA6">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D2</w:t>
            </w:r>
          </w:p>
        </w:tc>
        <w:tc>
          <w:tcPr>
            <w:tcW w:w="650" w:type="pct"/>
            <w:tcBorders>
              <w:tl2br w:val="nil"/>
              <w:tr2bl w:val="nil"/>
            </w:tcBorders>
            <w:noWrap w:val="0"/>
            <w:vAlign w:val="center"/>
          </w:tcPr>
          <w:p w14:paraId="585FA63F">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大埕村</w:t>
            </w:r>
          </w:p>
        </w:tc>
        <w:tc>
          <w:tcPr>
            <w:tcW w:w="3106" w:type="pct"/>
            <w:vMerge w:val="continue"/>
            <w:tcBorders>
              <w:tl2br w:val="nil"/>
              <w:tr2bl w:val="nil"/>
            </w:tcBorders>
            <w:noWrap w:val="0"/>
            <w:vAlign w:val="center"/>
          </w:tcPr>
          <w:p w14:paraId="7630A4B1">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p>
        </w:tc>
        <w:tc>
          <w:tcPr>
            <w:tcW w:w="803" w:type="pct"/>
            <w:vMerge w:val="continue"/>
            <w:tcBorders>
              <w:tl2br w:val="nil"/>
              <w:tr2bl w:val="nil"/>
            </w:tcBorders>
            <w:noWrap w:val="0"/>
            <w:vAlign w:val="center"/>
          </w:tcPr>
          <w:p w14:paraId="53BEC971">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p>
        </w:tc>
      </w:tr>
      <w:tr w14:paraId="63402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39" w:type="pct"/>
            <w:tcBorders>
              <w:tl2br w:val="nil"/>
              <w:tr2bl w:val="nil"/>
            </w:tcBorders>
            <w:noWrap w:val="0"/>
            <w:vAlign w:val="center"/>
          </w:tcPr>
          <w:p w14:paraId="757A65DA">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D3</w:t>
            </w:r>
          </w:p>
        </w:tc>
        <w:tc>
          <w:tcPr>
            <w:tcW w:w="650" w:type="pct"/>
            <w:tcBorders>
              <w:tl2br w:val="nil"/>
              <w:tr2bl w:val="nil"/>
            </w:tcBorders>
            <w:noWrap w:val="0"/>
            <w:vAlign w:val="center"/>
          </w:tcPr>
          <w:p w14:paraId="70854B7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宏三村（下游）</w:t>
            </w:r>
          </w:p>
        </w:tc>
        <w:tc>
          <w:tcPr>
            <w:tcW w:w="3106" w:type="pct"/>
            <w:tcBorders>
              <w:tl2br w:val="nil"/>
              <w:tr2bl w:val="nil"/>
            </w:tcBorders>
            <w:noWrap w:val="0"/>
            <w:vAlign w:val="center"/>
          </w:tcPr>
          <w:p w14:paraId="65B2C492">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苯、二甲苯、</w:t>
            </w:r>
            <w:r>
              <w:rPr>
                <w:rFonts w:hint="eastAsia" w:ascii="Times New Roman" w:hAnsi="Times New Roman" w:eastAsia="宋体" w:cs="Times New Roman"/>
                <w:color w:val="auto"/>
                <w:kern w:val="0"/>
                <w:sz w:val="21"/>
                <w:szCs w:val="21"/>
                <w:highlight w:val="none"/>
                <w:lang w:val="en-US" w:eastAsia="zh-CN"/>
              </w:rPr>
              <w:t>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6</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9</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803" w:type="pct"/>
            <w:vMerge w:val="continue"/>
            <w:tcBorders>
              <w:tl2br w:val="nil"/>
              <w:tr2bl w:val="nil"/>
            </w:tcBorders>
            <w:noWrap w:val="0"/>
            <w:vAlign w:val="center"/>
          </w:tcPr>
          <w:p w14:paraId="3058E90E">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p>
        </w:tc>
      </w:tr>
    </w:tbl>
    <w:p w14:paraId="609693B4">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（2）布点合理性分析</w:t>
      </w:r>
    </w:p>
    <w:p w14:paraId="433FC2EE">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根据《环境影响评价技术导则 地下水环境》（HJ610-2016），三级评价项目潜水含水层水质监测点应不少于3个，可能受建设项目影响且具有饮用水开发利用价值的含水层1-2个，建设项目场地上游及下游影响区的地下水水质监测点各不得少于1个。</w:t>
      </w:r>
    </w:p>
    <w:p w14:paraId="124D02C4">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4585970</wp:posOffset>
                </wp:positionH>
                <wp:positionV relativeFrom="paragraph">
                  <wp:posOffset>585470</wp:posOffset>
                </wp:positionV>
                <wp:extent cx="695960" cy="838200"/>
                <wp:effectExtent l="4445" t="4445" r="23495" b="14605"/>
                <wp:wrapNone/>
                <wp:docPr id="184" name="文本框 184"/>
                <wp:cNvGraphicFramePr/>
                <a:graphic xmlns:a="http://schemas.openxmlformats.org/drawingml/2006/main">
                  <a:graphicData uri="http://schemas.microsoft.com/office/word/2010/wordprocessingShape">
                    <wps:wsp>
                      <wps:cNvSpPr txBox="1"/>
                      <wps:spPr>
                        <a:xfrm>
                          <a:off x="0" y="0"/>
                          <a:ext cx="695960" cy="838200"/>
                        </a:xfrm>
                        <a:prstGeom prst="rect">
                          <a:avLst/>
                        </a:prstGeom>
                        <a:solidFill>
                          <a:srgbClr val="FFFFFF"/>
                        </a:solidFill>
                        <a:ln w="9525" cap="flat" cmpd="sng">
                          <a:solidFill>
                            <a:srgbClr val="000001"/>
                          </a:solidFill>
                          <a:prstDash val="dashDot"/>
                          <a:miter/>
                          <a:headEnd type="none" w="med" len="med"/>
                          <a:tailEnd type="triangle" w="med" len="med"/>
                        </a:ln>
                      </wps:spPr>
                      <wps:txbx>
                        <w:txbxContent>
                          <w:p w14:paraId="2A54B061">
                            <w:pPr>
                              <w:ind w:left="0" w:leftChars="0" w:firstLine="0" w:firstLineChars="0"/>
                              <w:rPr>
                                <w:rFonts w:ascii="Times New Roman" w:hAnsi="Times New Roman" w:eastAsia="宋体" w:cs="Times New Roman"/>
                              </w:rPr>
                            </w:pPr>
                            <w:r>
                              <w:rPr>
                                <w:rFonts w:ascii="Times New Roman" w:hAnsi="Times New Roman" w:eastAsia="宋体" w:cs="Times New Roman"/>
                              </w:rPr>
                              <w:drawing>
                                <wp:inline distT="0" distB="0" distL="114300" distR="114300">
                                  <wp:extent cx="572135" cy="753745"/>
                                  <wp:effectExtent l="0" t="0" r="18415" b="8255"/>
                                  <wp:docPr id="2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
                                          <pic:cNvPicPr>
                                            <a:picLocks noChangeAspect="1"/>
                                          </pic:cNvPicPr>
                                        </pic:nvPicPr>
                                        <pic:blipFill>
                                          <a:blip r:embed="rId51"/>
                                          <a:srcRect/>
                                          <a:stretch>
                                            <a:fillRect/>
                                          </a:stretch>
                                        </pic:blipFill>
                                        <pic:spPr>
                                          <a:xfrm>
                                            <a:off x="0" y="0"/>
                                            <a:ext cx="572135" cy="753745"/>
                                          </a:xfrm>
                                          <a:prstGeom prst="rect">
                                            <a:avLst/>
                                          </a:prstGeom>
                                          <a:noFill/>
                                          <a:ln>
                                            <a:noFill/>
                                          </a:ln>
                                        </pic:spPr>
                                      </pic:pic>
                                    </a:graphicData>
                                  </a:graphic>
                                </wp:inline>
                              </w:drawing>
                            </w:r>
                          </w:p>
                          <w:p w14:paraId="15BCACDF">
                            <w:pPr>
                              <w:ind w:left="0" w:leftChars="0" w:firstLine="0" w:firstLineChars="0"/>
                              <w:rPr>
                                <w:rFonts w:ascii="Times New Roman" w:hAnsi="Times New Roman" w:eastAsia="宋体" w:cs="Times New Roman"/>
                              </w:rPr>
                            </w:pPr>
                          </w:p>
                        </w:txbxContent>
                      </wps:txbx>
                      <wps:bodyPr upright="1"/>
                    </wps:wsp>
                  </a:graphicData>
                </a:graphic>
              </wp:anchor>
            </w:drawing>
          </mc:Choice>
          <mc:Fallback>
            <w:pict>
              <v:shape id="_x0000_s1026" o:spid="_x0000_s1026" o:spt="202" type="#_x0000_t202" style="position:absolute;left:0pt;margin-left:361.1pt;margin-top:46.1pt;height:66pt;width:54.8pt;z-index:251673600;mso-width-relative:page;mso-height-relative:page;" fillcolor="#FFFFFF" filled="t" stroked="t" coordsize="21600,21600" o:gfxdata="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j9cs2AAAAAoBAAAP&#10;AAAAAAAAAAEAIAAAACIAAABkcnMvZG93bnJldi54bWxQSwECFAAUAAAACACHTuJABsklORgCAAA/&#10;BAAADgAAAAAAAAABACAAAAAnAQAAZHJzL2Uyb0RvYy54bWxQSwUGAAAAAAYABgBZAQAAsQUAAAAA&#10;">
                <v:fill on="t" focussize="0,0"/>
                <v:stroke color="#000001" joinstyle="miter" dashstyle="dashDot" endarrow="block"/>
                <v:imagedata o:title=""/>
                <o:lock v:ext="edit" aspectratio="f"/>
                <v:textbox>
                  <w:txbxContent>
                    <w:p w14:paraId="2A54B061">
                      <w:pPr>
                        <w:ind w:left="0" w:leftChars="0" w:firstLine="0" w:firstLineChars="0"/>
                        <w:rPr>
                          <w:rFonts w:ascii="Times New Roman" w:hAnsi="Times New Roman" w:eastAsia="宋体" w:cs="Times New Roman"/>
                        </w:rPr>
                      </w:pPr>
                      <w:r>
                        <w:rPr>
                          <w:rFonts w:ascii="Times New Roman" w:hAnsi="Times New Roman" w:eastAsia="宋体" w:cs="Times New Roman"/>
                        </w:rPr>
                        <w:drawing>
                          <wp:inline distT="0" distB="0" distL="114300" distR="114300">
                            <wp:extent cx="572135" cy="753745"/>
                            <wp:effectExtent l="0" t="0" r="18415" b="8255"/>
                            <wp:docPr id="2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
                                    <pic:cNvPicPr>
                                      <a:picLocks noChangeAspect="1"/>
                                    </pic:cNvPicPr>
                                  </pic:nvPicPr>
                                  <pic:blipFill>
                                    <a:blip r:embed="rId51"/>
                                    <a:srcRect/>
                                    <a:stretch>
                                      <a:fillRect/>
                                    </a:stretch>
                                  </pic:blipFill>
                                  <pic:spPr>
                                    <a:xfrm>
                                      <a:off x="0" y="0"/>
                                      <a:ext cx="572135" cy="753745"/>
                                    </a:xfrm>
                                    <a:prstGeom prst="rect">
                                      <a:avLst/>
                                    </a:prstGeom>
                                    <a:noFill/>
                                    <a:ln>
                                      <a:noFill/>
                                    </a:ln>
                                  </pic:spPr>
                                </pic:pic>
                              </a:graphicData>
                            </a:graphic>
                          </wp:inline>
                        </w:drawing>
                      </w:r>
                    </w:p>
                    <w:p w14:paraId="15BCACDF">
                      <w:pPr>
                        <w:ind w:left="0" w:leftChars="0" w:firstLine="0" w:firstLineChars="0"/>
                        <w:rPr>
                          <w:rFonts w:ascii="Times New Roman" w:hAnsi="Times New Roman" w:eastAsia="宋体" w:cs="Times New Roman"/>
                        </w:rPr>
                      </w:pPr>
                    </w:p>
                  </w:txbxContent>
                </v:textbox>
              </v:shape>
            </w:pict>
          </mc:Fallback>
        </mc:AlternateContent>
      </w:r>
      <w:r>
        <w:rPr>
          <w:rFonts w:ascii="Times New Roman" w:hAnsi="Times New Roman" w:eastAsia="宋体" w:cs="Times New Roman"/>
          <w:bCs/>
          <w:color w:val="auto"/>
          <w:kern w:val="2"/>
          <w:sz w:val="24"/>
          <w:szCs w:val="24"/>
          <w:highlight w:val="none"/>
          <w:lang w:val="en-US" w:eastAsia="zh-CN" w:bidi="ar-SA"/>
        </w:rPr>
        <w:t>本项目共布设3个地下水水质监测点，</w:t>
      </w:r>
      <w:r>
        <w:rPr>
          <w:rFonts w:hint="eastAsia" w:ascii="Times New Roman" w:hAnsi="Times New Roman" w:eastAsia="宋体" w:cs="Times New Roman"/>
          <w:bCs/>
          <w:color w:val="auto"/>
          <w:kern w:val="2"/>
          <w:sz w:val="24"/>
          <w:szCs w:val="24"/>
          <w:highlight w:val="none"/>
          <w:lang w:val="en-US" w:eastAsia="zh-CN" w:bidi="ar-SA"/>
        </w:rPr>
        <w:t>经查阅项目周边水文地质资料，设置</w:t>
      </w:r>
      <w:r>
        <w:rPr>
          <w:rFonts w:ascii="Times New Roman" w:hAnsi="Times New Roman" w:eastAsia="宋体" w:cs="Times New Roman"/>
          <w:bCs/>
          <w:color w:val="auto"/>
          <w:kern w:val="2"/>
          <w:sz w:val="24"/>
          <w:szCs w:val="24"/>
          <w:highlight w:val="none"/>
          <w:lang w:val="en-US" w:eastAsia="zh-CN" w:bidi="ar-SA"/>
        </w:rPr>
        <w:t>D</w:t>
      </w:r>
      <w:r>
        <w:rPr>
          <w:rFonts w:hint="eastAsia" w:ascii="Times New Roman" w:hAnsi="Times New Roman" w:eastAsia="宋体" w:cs="Times New Roman"/>
          <w:bCs/>
          <w:color w:val="auto"/>
          <w:kern w:val="2"/>
          <w:sz w:val="24"/>
          <w:szCs w:val="24"/>
          <w:highlight w:val="none"/>
          <w:lang w:val="en-US" w:eastAsia="zh-CN" w:bidi="ar-SA"/>
        </w:rPr>
        <w:t>1</w:t>
      </w:r>
      <w:r>
        <w:rPr>
          <w:rFonts w:ascii="Times New Roman" w:hAnsi="Times New Roman" w:eastAsia="宋体" w:cs="Times New Roman"/>
          <w:bCs/>
          <w:color w:val="auto"/>
          <w:kern w:val="2"/>
          <w:sz w:val="24"/>
          <w:szCs w:val="24"/>
          <w:highlight w:val="none"/>
          <w:lang w:val="en-US" w:eastAsia="zh-CN" w:bidi="ar-SA"/>
        </w:rPr>
        <w:t>、D</w:t>
      </w:r>
      <w:r>
        <w:rPr>
          <w:rFonts w:hint="eastAsia" w:cs="Times New Roman"/>
          <w:bCs/>
          <w:color w:val="auto"/>
          <w:kern w:val="2"/>
          <w:sz w:val="24"/>
          <w:szCs w:val="24"/>
          <w:highlight w:val="none"/>
          <w:lang w:val="en-US" w:eastAsia="zh-CN" w:bidi="ar-SA"/>
        </w:rPr>
        <w:t>3</w:t>
      </w:r>
      <w:r>
        <w:rPr>
          <w:rFonts w:ascii="Times New Roman" w:hAnsi="Times New Roman" w:eastAsia="宋体" w:cs="Times New Roman"/>
          <w:bCs/>
          <w:color w:val="auto"/>
          <w:kern w:val="2"/>
          <w:sz w:val="24"/>
          <w:szCs w:val="24"/>
          <w:highlight w:val="none"/>
          <w:lang w:val="en-US" w:eastAsia="zh-CN" w:bidi="ar-SA"/>
        </w:rPr>
        <w:t>为建设项目场地上游及下游影响区；D</w:t>
      </w:r>
      <w:r>
        <w:rPr>
          <w:rFonts w:hint="eastAsia" w:cs="Times New Roman"/>
          <w:bCs/>
          <w:color w:val="auto"/>
          <w:kern w:val="2"/>
          <w:sz w:val="24"/>
          <w:szCs w:val="24"/>
          <w:highlight w:val="none"/>
          <w:lang w:val="en-US" w:eastAsia="zh-CN" w:bidi="ar-SA"/>
        </w:rPr>
        <w:t>2</w:t>
      </w:r>
      <w:r>
        <w:rPr>
          <w:rFonts w:ascii="Times New Roman" w:hAnsi="Times New Roman" w:eastAsia="宋体" w:cs="Times New Roman"/>
          <w:bCs/>
          <w:color w:val="auto"/>
          <w:kern w:val="2"/>
          <w:sz w:val="24"/>
          <w:szCs w:val="24"/>
          <w:highlight w:val="none"/>
          <w:lang w:val="en-US" w:eastAsia="zh-CN" w:bidi="ar-SA"/>
        </w:rPr>
        <w:t>为可能受建设项目影响区。</w:t>
      </w:r>
    </w:p>
    <w:p w14:paraId="3E21B101">
      <w:pPr>
        <w:widowControl/>
        <w:adjustRightInd w:val="0"/>
        <w:snapToGrid w:val="0"/>
        <w:spacing w:line="240" w:lineRule="auto"/>
        <w:ind w:firstLine="0" w:firstLineChars="0"/>
        <w:jc w:val="center"/>
        <w:rPr>
          <w:rFonts w:hint="default" w:ascii="Times New Roman" w:hAnsi="Times New Roman" w:eastAsia="黑体" w:cs="Times New Roman"/>
          <w:color w:val="auto"/>
          <w:kern w:val="0"/>
          <w:sz w:val="24"/>
          <w:szCs w:val="24"/>
          <w:highlight w:val="none"/>
          <w:lang w:val="en-US" w:eastAsia="zh-CN" w:bidi="ar-SA"/>
        </w:rPr>
      </w:pPr>
      <w:r>
        <w:rPr>
          <w:rFonts w:hint="default" w:ascii="Times New Roman" w:hAnsi="Times New Roman" w:eastAsia="黑体" w:cs="Times New Roman"/>
          <w:color w:val="auto"/>
          <w:kern w:val="0"/>
          <w:sz w:val="24"/>
          <w:szCs w:val="24"/>
          <w:highlight w:val="none"/>
          <w:lang w:val="en-US" w:eastAsia="zh-CN" w:bidi="ar-SA"/>
        </w:rPr>
        <w:drawing>
          <wp:inline distT="0" distB="0" distL="114300" distR="114300">
            <wp:extent cx="5438140" cy="4599940"/>
            <wp:effectExtent l="0" t="0" r="10160" b="10160"/>
            <wp:docPr id="229" name="图片 229" descr="地下水流向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地下水流向图_01"/>
                    <pic:cNvPicPr>
                      <a:picLocks noChangeAspect="1"/>
                    </pic:cNvPicPr>
                  </pic:nvPicPr>
                  <pic:blipFill>
                    <a:blip r:embed="rId52"/>
                    <a:srcRect l="7238" t="13807" r="32637" b="14884"/>
                    <a:stretch>
                      <a:fillRect/>
                    </a:stretch>
                  </pic:blipFill>
                  <pic:spPr>
                    <a:xfrm>
                      <a:off x="0" y="0"/>
                      <a:ext cx="5438140" cy="4599940"/>
                    </a:xfrm>
                    <a:prstGeom prst="rect">
                      <a:avLst/>
                    </a:prstGeom>
                  </pic:spPr>
                </pic:pic>
              </a:graphicData>
            </a:graphic>
          </wp:inline>
        </w:drawing>
      </w:r>
    </w:p>
    <w:p w14:paraId="2D7BDA2E">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图4.2-6  项目周边地下水流向图</w:t>
      </w:r>
    </w:p>
    <w:p w14:paraId="6D6B8A66">
      <w:pPr>
        <w:widowControl/>
        <w:adjustRightInd w:val="0"/>
        <w:snapToGrid w:val="0"/>
        <w:spacing w:line="240" w:lineRule="auto"/>
        <w:ind w:firstLine="0" w:firstLineChars="0"/>
        <w:jc w:val="center"/>
        <w:rPr>
          <w:rFonts w:hint="default" w:ascii="Times New Roman" w:hAnsi="Times New Roman" w:eastAsia="黑体" w:cs="Times New Roman"/>
          <w:color w:val="auto"/>
          <w:kern w:val="0"/>
          <w:sz w:val="24"/>
          <w:szCs w:val="24"/>
          <w:highlight w:val="none"/>
          <w:lang w:val="en-US" w:eastAsia="zh-CN" w:bidi="ar-SA"/>
        </w:rPr>
      </w:pPr>
    </w:p>
    <w:p w14:paraId="22963921">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（3）监测项目及分析方法</w:t>
      </w:r>
    </w:p>
    <w:p w14:paraId="239DDA93">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地下水监测项目及分析方法见表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w:t>
      </w:r>
      <w:r>
        <w:rPr>
          <w:rFonts w:hint="eastAsia" w:cs="Times New Roman"/>
          <w:bCs/>
          <w:color w:val="auto"/>
          <w:kern w:val="2"/>
          <w:sz w:val="24"/>
          <w:szCs w:val="24"/>
          <w:highlight w:val="none"/>
          <w:lang w:val="en-US" w:eastAsia="zh-CN" w:bidi="ar-SA"/>
        </w:rPr>
        <w:t>7</w:t>
      </w:r>
      <w:r>
        <w:rPr>
          <w:rFonts w:ascii="Times New Roman" w:hAnsi="Times New Roman" w:eastAsia="宋体" w:cs="Times New Roman"/>
          <w:bCs/>
          <w:color w:val="auto"/>
          <w:kern w:val="2"/>
          <w:sz w:val="24"/>
          <w:szCs w:val="24"/>
          <w:highlight w:val="none"/>
          <w:lang w:val="en-US" w:eastAsia="zh-CN" w:bidi="ar-SA"/>
        </w:rPr>
        <w:t>。</w:t>
      </w:r>
    </w:p>
    <w:p w14:paraId="65766FE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表4.2-7  地下水监测项目及分析方法</w:t>
      </w:r>
    </w:p>
    <w:tbl>
      <w:tblPr>
        <w:tblStyle w:val="80"/>
        <w:tblW w:w="86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8"/>
        <w:gridCol w:w="1266"/>
        <w:gridCol w:w="3420"/>
        <w:gridCol w:w="2132"/>
        <w:gridCol w:w="1418"/>
      </w:tblGrid>
      <w:tr w14:paraId="119ED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blHeader/>
          <w:jc w:val="center"/>
        </w:trPr>
        <w:tc>
          <w:tcPr>
            <w:tcW w:w="1674" w:type="dxa"/>
            <w:gridSpan w:val="2"/>
            <w:tcBorders>
              <w:tl2br w:val="nil"/>
              <w:tr2bl w:val="nil"/>
            </w:tcBorders>
            <w:noWrap w:val="0"/>
            <w:vAlign w:val="center"/>
          </w:tcPr>
          <w:p w14:paraId="625C7F7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w:t>
            </w:r>
          </w:p>
        </w:tc>
        <w:tc>
          <w:tcPr>
            <w:tcW w:w="3420" w:type="dxa"/>
            <w:tcBorders>
              <w:tl2br w:val="nil"/>
              <w:tr2bl w:val="nil"/>
            </w:tcBorders>
            <w:noWrap w:val="0"/>
            <w:vAlign w:val="center"/>
          </w:tcPr>
          <w:p w14:paraId="08F2462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分析方法</w:t>
            </w:r>
          </w:p>
        </w:tc>
        <w:tc>
          <w:tcPr>
            <w:tcW w:w="2132" w:type="dxa"/>
            <w:tcBorders>
              <w:tl2br w:val="nil"/>
              <w:tr2bl w:val="nil"/>
            </w:tcBorders>
            <w:noWrap w:val="0"/>
            <w:vAlign w:val="center"/>
          </w:tcPr>
          <w:p w14:paraId="64F73D9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仪器名称型号</w:t>
            </w:r>
          </w:p>
          <w:p w14:paraId="69AE5EC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及管理编号</w:t>
            </w:r>
          </w:p>
        </w:tc>
        <w:tc>
          <w:tcPr>
            <w:tcW w:w="1418" w:type="dxa"/>
            <w:tcBorders>
              <w:tl2br w:val="nil"/>
              <w:tr2bl w:val="nil"/>
            </w:tcBorders>
            <w:noWrap w:val="0"/>
            <w:vAlign w:val="center"/>
          </w:tcPr>
          <w:p w14:paraId="61640B9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检出限</w:t>
            </w:r>
          </w:p>
        </w:tc>
      </w:tr>
      <w:tr w14:paraId="4464FD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57707C3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pH值</w:t>
            </w:r>
          </w:p>
        </w:tc>
        <w:tc>
          <w:tcPr>
            <w:tcW w:w="3420" w:type="dxa"/>
            <w:tcBorders>
              <w:tl2br w:val="nil"/>
              <w:tr2bl w:val="nil"/>
            </w:tcBorders>
            <w:noWrap w:val="0"/>
            <w:vAlign w:val="center"/>
          </w:tcPr>
          <w:p w14:paraId="6969144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《水质pH值的测定电极法》</w:t>
            </w:r>
          </w:p>
          <w:p w14:paraId="16BC3DD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（HJ 1147-2020）</w:t>
            </w:r>
          </w:p>
        </w:tc>
        <w:tc>
          <w:tcPr>
            <w:tcW w:w="2132" w:type="dxa"/>
            <w:tcBorders>
              <w:tl2br w:val="nil"/>
              <w:tr2bl w:val="nil"/>
            </w:tcBorders>
            <w:noWrap w:val="0"/>
            <w:vAlign w:val="center"/>
          </w:tcPr>
          <w:p w14:paraId="16D6B53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PHB-4型便携式pH计（JW-S-</w:t>
            </w:r>
            <w:r>
              <w:rPr>
                <w:rFonts w:hint="eastAsia" w:ascii="Times New Roman" w:hAnsi="Times New Roman" w:eastAsia="宋体" w:cs="Times New Roman"/>
                <w:color w:val="auto"/>
                <w:kern w:val="0"/>
                <w:sz w:val="21"/>
                <w:szCs w:val="21"/>
                <w:highlight w:val="none"/>
                <w:lang w:val="en-US" w:eastAsia="zh-CN" w:bidi="ar"/>
              </w:rPr>
              <w:t>403</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1EB77BD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7C011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6D062AF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高锰酸盐指数</w:t>
            </w:r>
          </w:p>
          <w:p w14:paraId="138D703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（以O2计）</w:t>
            </w:r>
          </w:p>
        </w:tc>
        <w:tc>
          <w:tcPr>
            <w:tcW w:w="3420" w:type="dxa"/>
            <w:tcBorders>
              <w:tl2br w:val="nil"/>
              <w:tr2bl w:val="nil"/>
            </w:tcBorders>
            <w:noWrap w:val="0"/>
            <w:vAlign w:val="center"/>
          </w:tcPr>
          <w:p w14:paraId="788EF7D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《水质高锰酸盐指数的测定草酸钠还原酸性滴定法》</w:t>
            </w:r>
          </w:p>
          <w:p w14:paraId="4B9FDBD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（HJ 1445-2026）</w:t>
            </w:r>
          </w:p>
        </w:tc>
        <w:tc>
          <w:tcPr>
            <w:tcW w:w="2132" w:type="dxa"/>
            <w:tcBorders>
              <w:tl2br w:val="nil"/>
              <w:tr2bl w:val="nil"/>
            </w:tcBorders>
            <w:noWrap w:val="0"/>
            <w:vAlign w:val="center"/>
          </w:tcPr>
          <w:p w14:paraId="75AA485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酸式</w:t>
            </w:r>
            <w:r>
              <w:rPr>
                <w:rFonts w:hint="default" w:ascii="Times New Roman" w:hAnsi="Times New Roman" w:eastAsia="宋体" w:cs="Times New Roman"/>
                <w:color w:val="auto"/>
                <w:kern w:val="0"/>
                <w:sz w:val="21"/>
                <w:szCs w:val="21"/>
                <w:highlight w:val="none"/>
                <w:lang w:val="en-US" w:eastAsia="zh-CN" w:bidi="ar"/>
              </w:rPr>
              <w:t>滴定管（JW-</w:t>
            </w:r>
            <w:r>
              <w:rPr>
                <w:rFonts w:hint="eastAsia" w:ascii="Times New Roman" w:hAnsi="Times New Roman" w:eastAsia="宋体" w:cs="Times New Roman"/>
                <w:color w:val="auto"/>
                <w:kern w:val="0"/>
                <w:sz w:val="21"/>
                <w:szCs w:val="21"/>
                <w:highlight w:val="none"/>
                <w:lang w:val="en-US" w:eastAsia="zh-CN" w:bidi="ar"/>
              </w:rPr>
              <w:t>G</w:t>
            </w: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04</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3787478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w:t>
            </w:r>
            <w:r>
              <w:rPr>
                <w:rFonts w:hint="eastAsia" w:ascii="Times New Roman" w:hAnsi="Times New Roman" w:eastAsia="宋体" w:cs="Times New Roman"/>
                <w:color w:val="auto"/>
                <w:kern w:val="0"/>
                <w:sz w:val="21"/>
                <w:szCs w:val="21"/>
                <w:highlight w:val="none"/>
                <w:lang w:val="en-US" w:eastAsia="zh-CN" w:bidi="ar"/>
              </w:rPr>
              <w:t>4</w:t>
            </w:r>
            <w:r>
              <w:rPr>
                <w:rFonts w:hint="default" w:ascii="Times New Roman" w:hAnsi="Times New Roman" w:eastAsia="宋体" w:cs="Times New Roman"/>
                <w:color w:val="auto"/>
                <w:kern w:val="0"/>
                <w:sz w:val="21"/>
                <w:szCs w:val="21"/>
                <w:highlight w:val="none"/>
                <w:lang w:val="en-US" w:eastAsia="zh-CN" w:bidi="ar"/>
              </w:rPr>
              <w:t>mg/L</w:t>
            </w:r>
          </w:p>
        </w:tc>
      </w:tr>
      <w:tr w14:paraId="34BC2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0F6BFC0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氨氮</w:t>
            </w:r>
          </w:p>
        </w:tc>
        <w:tc>
          <w:tcPr>
            <w:tcW w:w="3420" w:type="dxa"/>
            <w:tcBorders>
              <w:tl2br w:val="nil"/>
              <w:tr2bl w:val="nil"/>
            </w:tcBorders>
            <w:noWrap w:val="0"/>
            <w:vAlign w:val="center"/>
          </w:tcPr>
          <w:p w14:paraId="75BCB82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《水质氨氮的测定纳氏试剂分光光度法》（HJ 535-2009）</w:t>
            </w:r>
          </w:p>
        </w:tc>
        <w:tc>
          <w:tcPr>
            <w:tcW w:w="2132" w:type="dxa"/>
            <w:tcBorders>
              <w:tl2br w:val="nil"/>
              <w:tr2bl w:val="nil"/>
            </w:tcBorders>
            <w:noWrap w:val="0"/>
            <w:vAlign w:val="center"/>
          </w:tcPr>
          <w:p w14:paraId="2A24E31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721G型</w:t>
            </w:r>
          </w:p>
          <w:p w14:paraId="5FADC5E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可见分光光度计（JW-S-64）</w:t>
            </w:r>
          </w:p>
        </w:tc>
        <w:tc>
          <w:tcPr>
            <w:tcW w:w="1418" w:type="dxa"/>
            <w:tcBorders>
              <w:tl2br w:val="nil"/>
              <w:tr2bl w:val="nil"/>
            </w:tcBorders>
            <w:noWrap w:val="0"/>
            <w:vAlign w:val="center"/>
          </w:tcPr>
          <w:p w14:paraId="24C9ED3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0.025mg/L</w:t>
            </w:r>
          </w:p>
        </w:tc>
      </w:tr>
      <w:tr w14:paraId="748C4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553E293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总硬度</w:t>
            </w:r>
          </w:p>
        </w:tc>
        <w:tc>
          <w:tcPr>
            <w:tcW w:w="3420" w:type="dxa"/>
            <w:tcBorders>
              <w:tl2br w:val="nil"/>
              <w:tr2bl w:val="nil"/>
            </w:tcBorders>
            <w:noWrap w:val="0"/>
            <w:vAlign w:val="center"/>
          </w:tcPr>
          <w:p w14:paraId="2353062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《水质钙和镁总量的测定EDTA滴定法》</w:t>
            </w:r>
          </w:p>
          <w:p w14:paraId="67EA0B3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（GB/T 7477-1987）</w:t>
            </w:r>
          </w:p>
        </w:tc>
        <w:tc>
          <w:tcPr>
            <w:tcW w:w="2132" w:type="dxa"/>
            <w:tcBorders>
              <w:tl2br w:val="nil"/>
              <w:tr2bl w:val="nil"/>
            </w:tcBorders>
            <w:noWrap w:val="0"/>
            <w:vAlign w:val="center"/>
          </w:tcPr>
          <w:p w14:paraId="254AF45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酸碱两用</w:t>
            </w:r>
            <w:r>
              <w:rPr>
                <w:rFonts w:hint="default" w:ascii="Times New Roman" w:hAnsi="Times New Roman" w:eastAsia="宋体" w:cs="Times New Roman"/>
                <w:color w:val="auto"/>
                <w:kern w:val="0"/>
                <w:sz w:val="21"/>
                <w:szCs w:val="21"/>
                <w:highlight w:val="none"/>
                <w:lang w:val="en-US" w:eastAsia="zh-CN" w:bidi="ar"/>
              </w:rPr>
              <w:t>滴定管（JW-</w:t>
            </w:r>
            <w:r>
              <w:rPr>
                <w:rFonts w:hint="eastAsia" w:ascii="Times New Roman" w:hAnsi="Times New Roman" w:eastAsia="宋体" w:cs="Times New Roman"/>
                <w:color w:val="auto"/>
                <w:kern w:val="0"/>
                <w:sz w:val="21"/>
                <w:szCs w:val="21"/>
                <w:highlight w:val="none"/>
                <w:lang w:val="en-US" w:eastAsia="zh-CN" w:bidi="ar"/>
              </w:rPr>
              <w:t>G</w:t>
            </w: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05</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337CD94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5.0mg/L</w:t>
            </w:r>
          </w:p>
        </w:tc>
      </w:tr>
      <w:tr w14:paraId="569B31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2A36F4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溶解性总固体</w:t>
            </w:r>
          </w:p>
        </w:tc>
        <w:tc>
          <w:tcPr>
            <w:tcW w:w="3420" w:type="dxa"/>
            <w:tcBorders>
              <w:tl2br w:val="nil"/>
              <w:tr2bl w:val="nil"/>
            </w:tcBorders>
            <w:noWrap w:val="0"/>
            <w:vAlign w:val="center"/>
          </w:tcPr>
          <w:p w14:paraId="27AB6C1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《地下水质分析方法第9部分：溶解性固体总量的测定重量法》（DZ/T 0064.9-2021）</w:t>
            </w:r>
          </w:p>
        </w:tc>
        <w:tc>
          <w:tcPr>
            <w:tcW w:w="2132" w:type="dxa"/>
            <w:tcBorders>
              <w:tl2br w:val="nil"/>
              <w:tr2bl w:val="nil"/>
            </w:tcBorders>
            <w:noWrap w:val="0"/>
            <w:vAlign w:val="center"/>
          </w:tcPr>
          <w:p w14:paraId="388DE61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BSA224S-CW型万分之一天平（JW-S-250）</w:t>
            </w:r>
          </w:p>
        </w:tc>
        <w:tc>
          <w:tcPr>
            <w:tcW w:w="1418" w:type="dxa"/>
            <w:tcBorders>
              <w:tl2br w:val="nil"/>
              <w:tr2bl w:val="nil"/>
            </w:tcBorders>
            <w:noWrap w:val="0"/>
            <w:vAlign w:val="center"/>
          </w:tcPr>
          <w:p w14:paraId="62159E2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mg/L</w:t>
            </w:r>
          </w:p>
        </w:tc>
      </w:tr>
      <w:tr w14:paraId="6A0DD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71C2C3F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六价铬</w:t>
            </w:r>
          </w:p>
        </w:tc>
        <w:tc>
          <w:tcPr>
            <w:tcW w:w="3420" w:type="dxa"/>
            <w:tcBorders>
              <w:tl2br w:val="nil"/>
              <w:tr2bl w:val="nil"/>
            </w:tcBorders>
            <w:noWrap w:val="0"/>
            <w:vAlign w:val="center"/>
          </w:tcPr>
          <w:p w14:paraId="69BCB5E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地下水质分析方法第17部分：总铬和六价铬量的测定</w:t>
            </w:r>
          </w:p>
          <w:p w14:paraId="0B3D468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二苯碳酰二肼分光光度法</w:t>
            </w:r>
            <w:r>
              <w:rPr>
                <w:rFonts w:hint="default" w:ascii="Times New Roman" w:hAnsi="Times New Roman" w:eastAsia="宋体" w:cs="Times New Roman"/>
                <w:color w:val="auto"/>
                <w:kern w:val="0"/>
                <w:sz w:val="21"/>
                <w:szCs w:val="21"/>
                <w:highlight w:val="none"/>
                <w:lang w:val="en-US" w:eastAsia="zh-CN" w:bidi="ar"/>
              </w:rPr>
              <w:t>》</w:t>
            </w:r>
          </w:p>
          <w:p w14:paraId="1210F1F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DZ/T 0064.17-2021</w:t>
            </w:r>
            <w:r>
              <w:rPr>
                <w:rFonts w:hint="default" w:ascii="Times New Roman" w:hAnsi="Times New Roman" w:eastAsia="宋体" w:cs="Times New Roman"/>
                <w:color w:val="auto"/>
                <w:kern w:val="0"/>
                <w:sz w:val="21"/>
                <w:szCs w:val="21"/>
                <w:highlight w:val="none"/>
                <w:lang w:val="en-US" w:eastAsia="zh-CN" w:bidi="ar"/>
              </w:rPr>
              <w:t>）</w:t>
            </w:r>
          </w:p>
        </w:tc>
        <w:tc>
          <w:tcPr>
            <w:tcW w:w="2132" w:type="dxa"/>
            <w:tcBorders>
              <w:tl2br w:val="nil"/>
              <w:tr2bl w:val="nil"/>
            </w:tcBorders>
            <w:noWrap w:val="0"/>
            <w:vAlign w:val="center"/>
          </w:tcPr>
          <w:p w14:paraId="7CD3566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721G型</w:t>
            </w:r>
          </w:p>
          <w:p w14:paraId="552D9FA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可见分光光度计</w:t>
            </w:r>
            <w:r>
              <w:rPr>
                <w:rFonts w:hint="default" w:ascii="Times New Roman" w:hAnsi="Times New Roman" w:eastAsia="宋体" w:cs="Times New Roman"/>
                <w:color w:val="auto"/>
                <w:kern w:val="0"/>
                <w:sz w:val="21"/>
                <w:szCs w:val="21"/>
                <w:highlight w:val="none"/>
                <w:lang w:val="en-US" w:eastAsia="zh-CN" w:bidi="ar"/>
              </w:rPr>
              <w:t>（JW-S-64）</w:t>
            </w:r>
          </w:p>
        </w:tc>
        <w:tc>
          <w:tcPr>
            <w:tcW w:w="1418" w:type="dxa"/>
            <w:tcBorders>
              <w:tl2br w:val="nil"/>
              <w:tr2bl w:val="nil"/>
            </w:tcBorders>
            <w:noWrap w:val="0"/>
            <w:vAlign w:val="center"/>
          </w:tcPr>
          <w:p w14:paraId="6206067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①</w:t>
            </w:r>
            <w:r>
              <w:rPr>
                <w:rFonts w:hint="eastAsia" w:ascii="Times New Roman" w:hAnsi="Times New Roman" w:eastAsia="宋体" w:cs="Times New Roman"/>
                <w:color w:val="auto"/>
                <w:kern w:val="0"/>
                <w:sz w:val="21"/>
                <w:szCs w:val="21"/>
                <w:highlight w:val="none"/>
                <w:lang w:val="en-US" w:eastAsia="zh-CN" w:bidi="ar"/>
              </w:rPr>
              <w:t>0.004mg/L</w:t>
            </w:r>
          </w:p>
        </w:tc>
      </w:tr>
      <w:tr w14:paraId="71992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382B5FA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挥发性酚类</w:t>
            </w:r>
          </w:p>
          <w:p w14:paraId="7BCBA17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（以苯酚计）</w:t>
            </w:r>
          </w:p>
        </w:tc>
        <w:tc>
          <w:tcPr>
            <w:tcW w:w="3420" w:type="dxa"/>
            <w:tcBorders>
              <w:tl2br w:val="nil"/>
              <w:tr2bl w:val="nil"/>
            </w:tcBorders>
            <w:noWrap w:val="0"/>
            <w:vAlign w:val="center"/>
          </w:tcPr>
          <w:p w14:paraId="2CEA7DB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《水质挥发酚的测定4-氨基安替比林分光光度法》萃取法</w:t>
            </w:r>
          </w:p>
          <w:p w14:paraId="41AB895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（HJ 503-2009）</w:t>
            </w:r>
          </w:p>
        </w:tc>
        <w:tc>
          <w:tcPr>
            <w:tcW w:w="2132" w:type="dxa"/>
            <w:tcBorders>
              <w:tl2br w:val="nil"/>
              <w:tr2bl w:val="nil"/>
            </w:tcBorders>
            <w:noWrap w:val="0"/>
            <w:vAlign w:val="center"/>
          </w:tcPr>
          <w:p w14:paraId="5032053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P1型紫外可见</w:t>
            </w:r>
          </w:p>
          <w:p w14:paraId="0D9C4E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分光光度计（JW-S-254）</w:t>
            </w:r>
          </w:p>
        </w:tc>
        <w:tc>
          <w:tcPr>
            <w:tcW w:w="1418" w:type="dxa"/>
            <w:tcBorders>
              <w:tl2br w:val="nil"/>
              <w:tr2bl w:val="nil"/>
            </w:tcBorders>
            <w:noWrap w:val="0"/>
            <w:vAlign w:val="center"/>
          </w:tcPr>
          <w:p w14:paraId="366B84F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0.0003mg/L</w:t>
            </w:r>
          </w:p>
        </w:tc>
      </w:tr>
      <w:tr w14:paraId="0CCEC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0E8DD1F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钠</w:t>
            </w:r>
          </w:p>
        </w:tc>
        <w:tc>
          <w:tcPr>
            <w:tcW w:w="3420" w:type="dxa"/>
            <w:vMerge w:val="restart"/>
            <w:tcBorders>
              <w:tl2br w:val="nil"/>
              <w:tr2bl w:val="nil"/>
            </w:tcBorders>
            <w:noWrap w:val="0"/>
            <w:vAlign w:val="center"/>
          </w:tcPr>
          <w:p w14:paraId="50150B9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《水质钾和钠的测定火焰原子吸收分光光度法》</w:t>
            </w:r>
          </w:p>
          <w:p w14:paraId="4AF7765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（GB/T 11904-1989）</w:t>
            </w:r>
          </w:p>
        </w:tc>
        <w:tc>
          <w:tcPr>
            <w:tcW w:w="2132" w:type="dxa"/>
            <w:vMerge w:val="restart"/>
            <w:tcBorders>
              <w:tl2br w:val="nil"/>
              <w:tr2bl w:val="nil"/>
            </w:tcBorders>
            <w:noWrap w:val="0"/>
            <w:vAlign w:val="center"/>
          </w:tcPr>
          <w:p w14:paraId="079276E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TAS-990型原子</w:t>
            </w:r>
          </w:p>
          <w:p w14:paraId="3C04B81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吸收分光光度</w:t>
            </w:r>
            <w:r>
              <w:rPr>
                <w:rFonts w:hint="eastAsia" w:ascii="Times New Roman" w:hAnsi="Times New Roman" w:eastAsia="宋体" w:cs="Times New Roman"/>
                <w:color w:val="auto"/>
                <w:kern w:val="0"/>
                <w:sz w:val="21"/>
                <w:szCs w:val="21"/>
                <w:highlight w:val="none"/>
                <w:lang w:val="en-US" w:eastAsia="zh-CN" w:bidi="ar"/>
              </w:rPr>
              <w:t>计</w:t>
            </w:r>
            <w:r>
              <w:rPr>
                <w:rFonts w:hint="default" w:ascii="Times New Roman" w:hAnsi="Times New Roman" w:eastAsia="宋体" w:cs="Times New Roman"/>
                <w:color w:val="auto"/>
                <w:kern w:val="0"/>
                <w:sz w:val="21"/>
                <w:szCs w:val="21"/>
                <w:highlight w:val="none"/>
                <w:lang w:val="en-US" w:eastAsia="zh-CN" w:bidi="ar"/>
              </w:rPr>
              <w:t>（JW-S-01）</w:t>
            </w:r>
          </w:p>
        </w:tc>
        <w:tc>
          <w:tcPr>
            <w:tcW w:w="1418" w:type="dxa"/>
            <w:tcBorders>
              <w:tl2br w:val="nil"/>
              <w:tr2bl w:val="nil"/>
            </w:tcBorders>
            <w:noWrap w:val="0"/>
            <w:vAlign w:val="center"/>
          </w:tcPr>
          <w:p w14:paraId="4C61180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0.01mg/L</w:t>
            </w:r>
          </w:p>
        </w:tc>
      </w:tr>
      <w:tr w14:paraId="7AD47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42C93AF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钾</w:t>
            </w:r>
          </w:p>
        </w:tc>
        <w:tc>
          <w:tcPr>
            <w:tcW w:w="3420" w:type="dxa"/>
            <w:vMerge w:val="continue"/>
            <w:tcBorders>
              <w:tl2br w:val="nil"/>
              <w:tr2bl w:val="nil"/>
            </w:tcBorders>
            <w:noWrap w:val="0"/>
            <w:vAlign w:val="center"/>
          </w:tcPr>
          <w:p w14:paraId="08510AD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0656696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59C9DDC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0.05mg/L</w:t>
            </w:r>
          </w:p>
        </w:tc>
      </w:tr>
      <w:tr w14:paraId="44291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6264815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钙</w:t>
            </w:r>
          </w:p>
        </w:tc>
        <w:tc>
          <w:tcPr>
            <w:tcW w:w="3420" w:type="dxa"/>
            <w:vMerge w:val="restart"/>
            <w:tcBorders>
              <w:tl2br w:val="nil"/>
              <w:tr2bl w:val="nil"/>
            </w:tcBorders>
            <w:noWrap w:val="0"/>
            <w:vAlign w:val="center"/>
          </w:tcPr>
          <w:p w14:paraId="46E765C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《水质钙和镁的测定原子吸收分光光度法》</w:t>
            </w:r>
          </w:p>
          <w:p w14:paraId="034E41C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（GB/T 11905-1989）</w:t>
            </w:r>
          </w:p>
        </w:tc>
        <w:tc>
          <w:tcPr>
            <w:tcW w:w="2132" w:type="dxa"/>
            <w:vMerge w:val="restart"/>
            <w:tcBorders>
              <w:tl2br w:val="nil"/>
              <w:tr2bl w:val="nil"/>
            </w:tcBorders>
            <w:noWrap w:val="0"/>
            <w:vAlign w:val="center"/>
          </w:tcPr>
          <w:p w14:paraId="63321F4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TAS-990型原子</w:t>
            </w:r>
          </w:p>
          <w:p w14:paraId="39D5E0E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吸收分光光度</w:t>
            </w:r>
            <w:r>
              <w:rPr>
                <w:rFonts w:hint="eastAsia" w:ascii="Times New Roman" w:hAnsi="Times New Roman" w:eastAsia="宋体" w:cs="Times New Roman"/>
                <w:color w:val="auto"/>
                <w:kern w:val="0"/>
                <w:sz w:val="21"/>
                <w:szCs w:val="21"/>
                <w:highlight w:val="none"/>
                <w:lang w:val="en-US" w:eastAsia="zh-CN" w:bidi="ar"/>
              </w:rPr>
              <w:t>计</w:t>
            </w:r>
            <w:r>
              <w:rPr>
                <w:rFonts w:hint="default" w:ascii="Times New Roman" w:hAnsi="Times New Roman" w:eastAsia="宋体" w:cs="Times New Roman"/>
                <w:color w:val="auto"/>
                <w:kern w:val="0"/>
                <w:sz w:val="21"/>
                <w:szCs w:val="21"/>
                <w:highlight w:val="none"/>
                <w:lang w:val="en-US" w:eastAsia="zh-CN" w:bidi="ar"/>
              </w:rPr>
              <w:t>（JW-S-01）</w:t>
            </w:r>
          </w:p>
        </w:tc>
        <w:tc>
          <w:tcPr>
            <w:tcW w:w="1418" w:type="dxa"/>
            <w:tcBorders>
              <w:tl2br w:val="nil"/>
              <w:tr2bl w:val="nil"/>
            </w:tcBorders>
            <w:noWrap w:val="0"/>
            <w:vAlign w:val="center"/>
          </w:tcPr>
          <w:p w14:paraId="2F611F3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0.02mg/L</w:t>
            </w:r>
          </w:p>
        </w:tc>
      </w:tr>
      <w:tr w14:paraId="4D0D6F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674" w:type="dxa"/>
            <w:gridSpan w:val="2"/>
            <w:tcBorders>
              <w:tl2br w:val="nil"/>
              <w:tr2bl w:val="nil"/>
            </w:tcBorders>
            <w:noWrap w:val="0"/>
            <w:vAlign w:val="center"/>
          </w:tcPr>
          <w:p w14:paraId="40F2947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镁</w:t>
            </w:r>
          </w:p>
        </w:tc>
        <w:tc>
          <w:tcPr>
            <w:tcW w:w="3420" w:type="dxa"/>
            <w:vMerge w:val="continue"/>
            <w:tcBorders>
              <w:tl2br w:val="nil"/>
              <w:tr2bl w:val="nil"/>
            </w:tcBorders>
            <w:noWrap w:val="0"/>
            <w:vAlign w:val="center"/>
          </w:tcPr>
          <w:p w14:paraId="08382E7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7BAA131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5EF0498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0.002mg/L</w:t>
            </w:r>
          </w:p>
        </w:tc>
      </w:tr>
      <w:tr w14:paraId="0108B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3541381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氟化物</w:t>
            </w:r>
          </w:p>
        </w:tc>
        <w:tc>
          <w:tcPr>
            <w:tcW w:w="3420" w:type="dxa"/>
            <w:vMerge w:val="restart"/>
            <w:tcBorders>
              <w:tl2br w:val="nil"/>
              <w:tr2bl w:val="nil"/>
            </w:tcBorders>
            <w:noWrap w:val="0"/>
            <w:vAlign w:val="center"/>
          </w:tcPr>
          <w:p w14:paraId="79966B7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《水质无机阴离子（F-、Cl-、NO2-、Br-、NO3-、PO43-、SO32-、SO42-）的测定离子色谱法》（HJ 84-2016）</w:t>
            </w:r>
          </w:p>
        </w:tc>
        <w:tc>
          <w:tcPr>
            <w:tcW w:w="2132" w:type="dxa"/>
            <w:vMerge w:val="restart"/>
            <w:tcBorders>
              <w:tl2br w:val="nil"/>
              <w:tr2bl w:val="nil"/>
            </w:tcBorders>
            <w:noWrap w:val="0"/>
            <w:vAlign w:val="center"/>
          </w:tcPr>
          <w:p w14:paraId="629EAA6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IC6100型离子色谱仪</w:t>
            </w:r>
            <w:r>
              <w:rPr>
                <w:rFonts w:hint="eastAsia" w:ascii="Times New Roman" w:hAnsi="Times New Roman" w:eastAsia="宋体" w:cs="Times New Roman"/>
                <w:color w:val="auto"/>
                <w:kern w:val="0"/>
                <w:sz w:val="21"/>
                <w:szCs w:val="21"/>
                <w:highlight w:val="none"/>
                <w:lang w:val="en-US" w:eastAsia="zh-CN" w:bidi="ar"/>
              </w:rPr>
              <w:t>（JW-S-223）</w:t>
            </w:r>
          </w:p>
        </w:tc>
        <w:tc>
          <w:tcPr>
            <w:tcW w:w="1418" w:type="dxa"/>
            <w:tcBorders>
              <w:tl2br w:val="nil"/>
              <w:tr2bl w:val="nil"/>
            </w:tcBorders>
            <w:noWrap w:val="0"/>
            <w:vAlign w:val="center"/>
          </w:tcPr>
          <w:p w14:paraId="7736672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06</w:t>
            </w:r>
            <w:r>
              <w:rPr>
                <w:rFonts w:hint="default" w:ascii="Times New Roman" w:hAnsi="Times New Roman" w:eastAsia="宋体" w:cs="Times New Roman"/>
                <w:color w:val="auto"/>
                <w:kern w:val="0"/>
                <w:sz w:val="21"/>
                <w:szCs w:val="21"/>
                <w:highlight w:val="none"/>
                <w:lang w:val="en-US" w:eastAsia="zh-CN" w:bidi="ar"/>
              </w:rPr>
              <w:t>mg/L</w:t>
            </w:r>
          </w:p>
        </w:tc>
      </w:tr>
      <w:tr w14:paraId="11D23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2F7C9ED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氯化物</w:t>
            </w:r>
          </w:p>
        </w:tc>
        <w:tc>
          <w:tcPr>
            <w:tcW w:w="3420" w:type="dxa"/>
            <w:vMerge w:val="continue"/>
            <w:tcBorders>
              <w:tl2br w:val="nil"/>
              <w:tr2bl w:val="nil"/>
            </w:tcBorders>
            <w:noWrap w:val="0"/>
            <w:vAlign w:val="center"/>
          </w:tcPr>
          <w:p w14:paraId="182509D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0F02636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541F9B4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07</w:t>
            </w:r>
            <w:r>
              <w:rPr>
                <w:rFonts w:hint="default" w:ascii="Times New Roman" w:hAnsi="Times New Roman" w:eastAsia="宋体" w:cs="Times New Roman"/>
                <w:color w:val="auto"/>
                <w:kern w:val="0"/>
                <w:sz w:val="21"/>
                <w:szCs w:val="21"/>
                <w:highlight w:val="none"/>
                <w:lang w:val="en-US" w:eastAsia="zh-CN" w:bidi="ar"/>
              </w:rPr>
              <w:t>mg/L</w:t>
            </w:r>
          </w:p>
        </w:tc>
      </w:tr>
      <w:tr w14:paraId="023CB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38677DC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硝酸盐</w:t>
            </w:r>
          </w:p>
          <w:p w14:paraId="1A11C1A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（以N计）</w:t>
            </w:r>
          </w:p>
        </w:tc>
        <w:tc>
          <w:tcPr>
            <w:tcW w:w="3420" w:type="dxa"/>
            <w:vMerge w:val="continue"/>
            <w:tcBorders>
              <w:tl2br w:val="nil"/>
              <w:tr2bl w:val="nil"/>
            </w:tcBorders>
            <w:noWrap w:val="0"/>
            <w:vAlign w:val="center"/>
          </w:tcPr>
          <w:p w14:paraId="15B9855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3CD3520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653ED50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03</w:t>
            </w:r>
            <w:r>
              <w:rPr>
                <w:rFonts w:hint="default" w:ascii="Times New Roman" w:hAnsi="Times New Roman" w:eastAsia="宋体" w:cs="Times New Roman"/>
                <w:color w:val="auto"/>
                <w:kern w:val="0"/>
                <w:sz w:val="21"/>
                <w:szCs w:val="21"/>
                <w:highlight w:val="none"/>
                <w:lang w:val="en-US" w:eastAsia="zh-CN" w:bidi="ar"/>
              </w:rPr>
              <w:t>mg/L</w:t>
            </w:r>
          </w:p>
        </w:tc>
      </w:tr>
      <w:tr w14:paraId="1A2EF1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0F14AA5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硫酸盐</w:t>
            </w:r>
          </w:p>
        </w:tc>
        <w:tc>
          <w:tcPr>
            <w:tcW w:w="3420" w:type="dxa"/>
            <w:vMerge w:val="continue"/>
            <w:tcBorders>
              <w:tl2br w:val="nil"/>
              <w:tr2bl w:val="nil"/>
            </w:tcBorders>
            <w:noWrap w:val="0"/>
            <w:vAlign w:val="center"/>
          </w:tcPr>
          <w:p w14:paraId="70BA4C5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479CF76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55A56D3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18</w:t>
            </w:r>
            <w:r>
              <w:rPr>
                <w:rFonts w:hint="default" w:ascii="Times New Roman" w:hAnsi="Times New Roman" w:eastAsia="宋体" w:cs="Times New Roman"/>
                <w:color w:val="auto"/>
                <w:kern w:val="0"/>
                <w:sz w:val="21"/>
                <w:szCs w:val="21"/>
                <w:highlight w:val="none"/>
                <w:lang w:val="en-US" w:eastAsia="zh-CN" w:bidi="ar"/>
              </w:rPr>
              <w:t>mg/L</w:t>
            </w:r>
          </w:p>
        </w:tc>
      </w:tr>
      <w:tr w14:paraId="210A4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7FDA4D8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亚硝酸盐</w:t>
            </w:r>
          </w:p>
          <w:p w14:paraId="7008FA8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（以N计）</w:t>
            </w:r>
          </w:p>
        </w:tc>
        <w:tc>
          <w:tcPr>
            <w:tcW w:w="3420" w:type="dxa"/>
            <w:tcBorders>
              <w:tl2br w:val="nil"/>
              <w:tr2bl w:val="nil"/>
            </w:tcBorders>
            <w:noWrap w:val="0"/>
            <w:vAlign w:val="center"/>
          </w:tcPr>
          <w:p w14:paraId="3CBF8E6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水质亚硝酸盐氮的测定分光光度法</w:t>
            </w:r>
            <w:r>
              <w:rPr>
                <w:rFonts w:hint="eastAsia"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GB/T 7493-1987</w:t>
            </w:r>
            <w:r>
              <w:rPr>
                <w:rFonts w:hint="eastAsia" w:ascii="Times New Roman" w:hAnsi="Times New Roman" w:eastAsia="宋体" w:cs="Times New Roman"/>
                <w:color w:val="auto"/>
                <w:kern w:val="0"/>
                <w:sz w:val="21"/>
                <w:szCs w:val="21"/>
                <w:highlight w:val="none"/>
                <w:lang w:val="en-US" w:eastAsia="zh-CN" w:bidi="ar"/>
              </w:rPr>
              <w:t>）</w:t>
            </w:r>
          </w:p>
        </w:tc>
        <w:tc>
          <w:tcPr>
            <w:tcW w:w="2132" w:type="dxa"/>
            <w:tcBorders>
              <w:tl2br w:val="nil"/>
              <w:tr2bl w:val="nil"/>
            </w:tcBorders>
            <w:noWrap w:val="0"/>
            <w:vAlign w:val="center"/>
          </w:tcPr>
          <w:p w14:paraId="10C1629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721G型</w:t>
            </w:r>
          </w:p>
          <w:p w14:paraId="0FDD7A2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可见分光光度计（JW-S-64）</w:t>
            </w:r>
          </w:p>
        </w:tc>
        <w:tc>
          <w:tcPr>
            <w:tcW w:w="1418" w:type="dxa"/>
            <w:tcBorders>
              <w:tl2br w:val="nil"/>
              <w:tr2bl w:val="nil"/>
            </w:tcBorders>
            <w:noWrap w:val="0"/>
            <w:vAlign w:val="center"/>
          </w:tcPr>
          <w:p w14:paraId="76CBC05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0.003mg/L</w:t>
            </w:r>
          </w:p>
        </w:tc>
      </w:tr>
      <w:tr w14:paraId="45DB4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297EE42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锰</w:t>
            </w:r>
          </w:p>
        </w:tc>
        <w:tc>
          <w:tcPr>
            <w:tcW w:w="3420" w:type="dxa"/>
            <w:vMerge w:val="restart"/>
            <w:tcBorders>
              <w:tl2br w:val="nil"/>
              <w:tr2bl w:val="nil"/>
            </w:tcBorders>
            <w:noWrap w:val="0"/>
            <w:vAlign w:val="center"/>
          </w:tcPr>
          <w:p w14:paraId="41BC1BC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《水质32种元素的测定电感耦合等离子体发射光谱法》（HJ 776-2015）</w:t>
            </w:r>
          </w:p>
        </w:tc>
        <w:tc>
          <w:tcPr>
            <w:tcW w:w="2132" w:type="dxa"/>
            <w:vMerge w:val="restart"/>
            <w:tcBorders>
              <w:tl2br w:val="nil"/>
              <w:tr2bl w:val="nil"/>
            </w:tcBorders>
            <w:noWrap w:val="0"/>
            <w:vAlign w:val="center"/>
          </w:tcPr>
          <w:p w14:paraId="7942146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Avio200型电感耦合等离子体发射光谱仪（JW-S-73）</w:t>
            </w:r>
          </w:p>
        </w:tc>
        <w:tc>
          <w:tcPr>
            <w:tcW w:w="1418" w:type="dxa"/>
            <w:tcBorders>
              <w:tl2br w:val="nil"/>
              <w:tr2bl w:val="nil"/>
            </w:tcBorders>
            <w:noWrap w:val="0"/>
            <w:vAlign w:val="center"/>
          </w:tcPr>
          <w:p w14:paraId="651A383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0.004mg/L</w:t>
            </w:r>
          </w:p>
        </w:tc>
      </w:tr>
      <w:tr w14:paraId="7E9F66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06F712A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铜</w:t>
            </w:r>
          </w:p>
        </w:tc>
        <w:tc>
          <w:tcPr>
            <w:tcW w:w="3420" w:type="dxa"/>
            <w:vMerge w:val="continue"/>
            <w:tcBorders>
              <w:tl2br w:val="nil"/>
              <w:tr2bl w:val="nil"/>
            </w:tcBorders>
            <w:noWrap w:val="0"/>
            <w:vAlign w:val="center"/>
          </w:tcPr>
          <w:p w14:paraId="5673C08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7083A70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125B87A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0.006mg/L</w:t>
            </w:r>
          </w:p>
        </w:tc>
      </w:tr>
      <w:tr w14:paraId="747C10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2409747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铁</w:t>
            </w:r>
          </w:p>
        </w:tc>
        <w:tc>
          <w:tcPr>
            <w:tcW w:w="3420" w:type="dxa"/>
            <w:vMerge w:val="continue"/>
            <w:tcBorders>
              <w:tl2br w:val="nil"/>
              <w:tr2bl w:val="nil"/>
            </w:tcBorders>
            <w:noWrap w:val="0"/>
            <w:vAlign w:val="center"/>
          </w:tcPr>
          <w:p w14:paraId="19D9FE9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1D6522F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2454F81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0.02</w:t>
            </w:r>
            <w:r>
              <w:rPr>
                <w:rFonts w:hint="default" w:ascii="Times New Roman" w:hAnsi="Times New Roman" w:eastAsia="宋体" w:cs="Times New Roman"/>
                <w:color w:val="auto"/>
                <w:kern w:val="0"/>
                <w:sz w:val="21"/>
                <w:szCs w:val="21"/>
                <w:highlight w:val="none"/>
                <w:lang w:val="en-US" w:eastAsia="zh-CN" w:bidi="ar"/>
              </w:rPr>
              <w:t>mg/L</w:t>
            </w:r>
          </w:p>
        </w:tc>
      </w:tr>
      <w:tr w14:paraId="0B3BA2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19617DF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铅</w:t>
            </w:r>
          </w:p>
        </w:tc>
        <w:tc>
          <w:tcPr>
            <w:tcW w:w="3420" w:type="dxa"/>
            <w:tcBorders>
              <w:tl2br w:val="nil"/>
              <w:tr2bl w:val="nil"/>
            </w:tcBorders>
            <w:noWrap w:val="0"/>
            <w:vAlign w:val="center"/>
          </w:tcPr>
          <w:p w14:paraId="4E03B77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《水质65种元素的测定电感耦合等离子体质谱法》</w:t>
            </w:r>
          </w:p>
          <w:p w14:paraId="33A6DB7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（HJ 700-2014）</w:t>
            </w:r>
          </w:p>
        </w:tc>
        <w:tc>
          <w:tcPr>
            <w:tcW w:w="2132" w:type="dxa"/>
            <w:tcBorders>
              <w:tl2br w:val="nil"/>
              <w:tr2bl w:val="nil"/>
            </w:tcBorders>
            <w:noWrap w:val="0"/>
            <w:vAlign w:val="center"/>
          </w:tcPr>
          <w:p w14:paraId="09F2F15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iCAP-RQ型电感耦合等离子体质谱仪（JW-S-241）</w:t>
            </w:r>
          </w:p>
        </w:tc>
        <w:tc>
          <w:tcPr>
            <w:tcW w:w="1418" w:type="dxa"/>
            <w:tcBorders>
              <w:tl2br w:val="nil"/>
              <w:tr2bl w:val="nil"/>
            </w:tcBorders>
            <w:noWrap w:val="0"/>
            <w:vAlign w:val="center"/>
          </w:tcPr>
          <w:p w14:paraId="6872D34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0.09μg/L</w:t>
            </w:r>
          </w:p>
        </w:tc>
      </w:tr>
      <w:tr w14:paraId="1E1B9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2F8F9A7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碳酸盐</w:t>
            </w:r>
          </w:p>
        </w:tc>
        <w:tc>
          <w:tcPr>
            <w:tcW w:w="3420" w:type="dxa"/>
            <w:vMerge w:val="restart"/>
            <w:tcBorders>
              <w:tl2br w:val="nil"/>
              <w:tr2bl w:val="nil"/>
            </w:tcBorders>
            <w:noWrap w:val="0"/>
            <w:vAlign w:val="center"/>
          </w:tcPr>
          <w:p w14:paraId="0634359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《地下水质分析方法第49部分：碳酸根、重碳酸根和氢氧根离子的测定滴定法》</w:t>
            </w:r>
          </w:p>
          <w:p w14:paraId="0E03506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（DZ/T</w:t>
            </w:r>
            <w:r>
              <w:rPr>
                <w:rFonts w:hint="eastAsia" w:ascii="Times New Roman" w:hAnsi="Times New Roman" w:eastAsia="宋体" w:cs="Times New Roman"/>
                <w:color w:val="auto"/>
                <w:kern w:val="0"/>
                <w:sz w:val="21"/>
                <w:szCs w:val="21"/>
                <w:highlight w:val="none"/>
                <w:lang w:val="en-US" w:eastAsia="zh-CN" w:bidi="ar"/>
              </w:rPr>
              <w:t xml:space="preserve"> </w:t>
            </w:r>
            <w:r>
              <w:rPr>
                <w:rFonts w:hint="default" w:ascii="Times New Roman" w:hAnsi="Times New Roman" w:eastAsia="宋体" w:cs="Times New Roman"/>
                <w:color w:val="auto"/>
                <w:kern w:val="0"/>
                <w:sz w:val="21"/>
                <w:szCs w:val="21"/>
                <w:highlight w:val="none"/>
                <w:lang w:val="en-US" w:eastAsia="zh-CN" w:bidi="ar"/>
              </w:rPr>
              <w:t>0064.49-2021）</w:t>
            </w:r>
          </w:p>
        </w:tc>
        <w:tc>
          <w:tcPr>
            <w:tcW w:w="2132" w:type="dxa"/>
            <w:vMerge w:val="restart"/>
            <w:tcBorders>
              <w:tl2br w:val="nil"/>
              <w:tr2bl w:val="nil"/>
            </w:tcBorders>
            <w:noWrap w:val="0"/>
            <w:vAlign w:val="center"/>
          </w:tcPr>
          <w:p w14:paraId="629866A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酸碱两用</w:t>
            </w:r>
            <w:r>
              <w:rPr>
                <w:rFonts w:hint="default" w:ascii="Times New Roman" w:hAnsi="Times New Roman" w:eastAsia="宋体" w:cs="Times New Roman"/>
                <w:color w:val="auto"/>
                <w:kern w:val="0"/>
                <w:sz w:val="21"/>
                <w:szCs w:val="21"/>
                <w:highlight w:val="none"/>
                <w:lang w:val="en-US" w:eastAsia="zh-CN" w:bidi="ar"/>
              </w:rPr>
              <w:t>滴定管（JW-</w:t>
            </w:r>
            <w:r>
              <w:rPr>
                <w:rFonts w:hint="eastAsia" w:ascii="Times New Roman" w:hAnsi="Times New Roman" w:eastAsia="宋体" w:cs="Times New Roman"/>
                <w:color w:val="auto"/>
                <w:kern w:val="0"/>
                <w:sz w:val="21"/>
                <w:szCs w:val="21"/>
                <w:highlight w:val="none"/>
                <w:lang w:val="en-US" w:eastAsia="zh-CN" w:bidi="ar"/>
              </w:rPr>
              <w:t>G</w:t>
            </w: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05</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371EB41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①</w:t>
            </w:r>
            <w:r>
              <w:rPr>
                <w:rFonts w:hint="eastAsia" w:ascii="Times New Roman" w:hAnsi="Times New Roman" w:eastAsia="宋体"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mg/L</w:t>
            </w:r>
          </w:p>
        </w:tc>
      </w:tr>
      <w:tr w14:paraId="5A024E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7207B97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重碳酸盐</w:t>
            </w:r>
          </w:p>
        </w:tc>
        <w:tc>
          <w:tcPr>
            <w:tcW w:w="3420" w:type="dxa"/>
            <w:vMerge w:val="continue"/>
            <w:tcBorders>
              <w:tl2br w:val="nil"/>
              <w:tr2bl w:val="nil"/>
            </w:tcBorders>
            <w:noWrap w:val="0"/>
            <w:vAlign w:val="center"/>
          </w:tcPr>
          <w:p w14:paraId="74D47AE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5983A81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06342F5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①</w:t>
            </w:r>
            <w:r>
              <w:rPr>
                <w:rFonts w:hint="eastAsia" w:ascii="Times New Roman" w:hAnsi="Times New Roman" w:eastAsia="宋体"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mg/L</w:t>
            </w:r>
          </w:p>
        </w:tc>
      </w:tr>
      <w:tr w14:paraId="4933A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21E86C6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苯</w:t>
            </w:r>
          </w:p>
        </w:tc>
        <w:tc>
          <w:tcPr>
            <w:tcW w:w="3420" w:type="dxa"/>
            <w:vMerge w:val="restart"/>
            <w:tcBorders>
              <w:tl2br w:val="nil"/>
              <w:tr2bl w:val="nil"/>
            </w:tcBorders>
            <w:noWrap w:val="0"/>
            <w:vAlign w:val="center"/>
          </w:tcPr>
          <w:p w14:paraId="43468EF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水质</w:t>
            </w:r>
            <w:r>
              <w:rPr>
                <w:rFonts w:hint="default" w:ascii="Times New Roman" w:hAnsi="Times New Roman" w:eastAsia="宋体" w:cs="Times New Roman"/>
                <w:color w:val="auto"/>
                <w:kern w:val="0"/>
                <w:sz w:val="21"/>
                <w:szCs w:val="21"/>
                <w:highlight w:val="none"/>
                <w:lang w:val="en-US" w:eastAsia="zh-CN" w:bidi="ar"/>
              </w:rPr>
              <w:t>挥发性有机物</w:t>
            </w:r>
            <w:r>
              <w:rPr>
                <w:rFonts w:hint="eastAsia" w:ascii="Times New Roman" w:hAnsi="Times New Roman" w:eastAsia="宋体" w:cs="Times New Roman"/>
                <w:color w:val="auto"/>
                <w:kern w:val="0"/>
                <w:sz w:val="21"/>
                <w:szCs w:val="21"/>
                <w:highlight w:val="none"/>
                <w:lang w:val="en-US" w:eastAsia="zh-CN" w:bidi="ar"/>
              </w:rPr>
              <w:t>的测定</w:t>
            </w:r>
            <w:r>
              <w:rPr>
                <w:rFonts w:hint="default" w:ascii="Times New Roman" w:hAnsi="Times New Roman" w:eastAsia="宋体" w:cs="Times New Roman"/>
                <w:color w:val="auto"/>
                <w:kern w:val="0"/>
                <w:sz w:val="21"/>
                <w:szCs w:val="21"/>
                <w:highlight w:val="none"/>
                <w:lang w:val="en-US" w:eastAsia="zh-CN" w:bidi="ar"/>
              </w:rPr>
              <w:t>吹扫捕集/气相色谱-质谱</w:t>
            </w:r>
            <w:r>
              <w:rPr>
                <w:rFonts w:hint="eastAsia" w:ascii="Times New Roman" w:hAnsi="Times New Roman" w:eastAsia="宋体" w:cs="Times New Roman"/>
                <w:color w:val="auto"/>
                <w:kern w:val="0"/>
                <w:sz w:val="21"/>
                <w:szCs w:val="21"/>
                <w:highlight w:val="none"/>
                <w:lang w:val="en-US" w:eastAsia="zh-CN" w:bidi="ar"/>
              </w:rPr>
              <w:t>法</w:t>
            </w:r>
            <w:r>
              <w:rPr>
                <w:rFonts w:hint="default" w:ascii="Times New Roman" w:hAnsi="Times New Roman" w:eastAsia="宋体" w:cs="Times New Roman"/>
                <w:color w:val="auto"/>
                <w:kern w:val="0"/>
                <w:sz w:val="21"/>
                <w:szCs w:val="21"/>
                <w:highlight w:val="none"/>
                <w:lang w:val="en-US" w:eastAsia="zh-CN" w:bidi="ar"/>
              </w:rPr>
              <w:t>》</w:t>
            </w:r>
          </w:p>
          <w:p w14:paraId="3F28E6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 xml:space="preserve">HJ </w:t>
            </w:r>
            <w:r>
              <w:rPr>
                <w:rFonts w:hint="default" w:ascii="Times New Roman" w:hAnsi="Times New Roman" w:eastAsia="宋体" w:cs="Times New Roman"/>
                <w:color w:val="auto"/>
                <w:kern w:val="0"/>
                <w:sz w:val="21"/>
                <w:szCs w:val="21"/>
                <w:highlight w:val="none"/>
                <w:lang w:val="en-US" w:eastAsia="zh-CN" w:bidi="ar"/>
              </w:rPr>
              <w:t>639</w:t>
            </w:r>
            <w:r>
              <w:rPr>
                <w:rFonts w:hint="eastAsia" w:ascii="Times New Roman" w:hAnsi="Times New Roman" w:eastAsia="宋体" w:cs="Times New Roman"/>
                <w:color w:val="auto"/>
                <w:kern w:val="0"/>
                <w:sz w:val="21"/>
                <w:szCs w:val="21"/>
                <w:highlight w:val="none"/>
                <w:lang w:val="en-US" w:eastAsia="zh-CN" w:bidi="ar"/>
              </w:rPr>
              <w:t>-201</w:t>
            </w:r>
            <w:r>
              <w:rPr>
                <w:rFonts w:hint="default" w:ascii="Times New Roman" w:hAnsi="Times New Roman" w:eastAsia="宋体" w:cs="Times New Roman"/>
                <w:color w:val="auto"/>
                <w:kern w:val="0"/>
                <w:sz w:val="21"/>
                <w:szCs w:val="21"/>
                <w:highlight w:val="none"/>
                <w:lang w:val="en-US" w:eastAsia="zh-CN" w:bidi="ar"/>
              </w:rPr>
              <w:t>2）</w:t>
            </w:r>
          </w:p>
        </w:tc>
        <w:tc>
          <w:tcPr>
            <w:tcW w:w="2132" w:type="dxa"/>
            <w:vMerge w:val="restart"/>
            <w:tcBorders>
              <w:tl2br w:val="nil"/>
              <w:tr2bl w:val="nil"/>
            </w:tcBorders>
            <w:noWrap w:val="0"/>
            <w:vAlign w:val="center"/>
          </w:tcPr>
          <w:p w14:paraId="63CEAC4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8860GC+5977C MSD型气相色谱质谱联用仪（JW-S-</w:t>
            </w:r>
            <w:r>
              <w:rPr>
                <w:rFonts w:hint="eastAsia" w:ascii="Times New Roman" w:hAnsi="Times New Roman" w:eastAsia="宋体" w:cs="Times New Roman"/>
                <w:color w:val="auto"/>
                <w:kern w:val="0"/>
                <w:sz w:val="21"/>
                <w:szCs w:val="21"/>
                <w:highlight w:val="none"/>
                <w:lang w:val="en-US" w:eastAsia="zh-CN" w:bidi="ar"/>
              </w:rPr>
              <w:t>474</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2B9EE7A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w:t>
            </w:r>
            <w:r>
              <w:rPr>
                <w:rFonts w:hint="eastAsia" w:ascii="Times New Roman" w:hAnsi="Times New Roman" w:eastAsia="宋体" w:cs="Times New Roman"/>
                <w:color w:val="auto"/>
                <w:kern w:val="0"/>
                <w:sz w:val="21"/>
                <w:szCs w:val="21"/>
                <w:highlight w:val="none"/>
                <w:lang w:val="en-US" w:eastAsia="zh-CN" w:bidi="ar"/>
              </w:rPr>
              <w:t>μg/L</w:t>
            </w:r>
          </w:p>
        </w:tc>
      </w:tr>
      <w:tr w14:paraId="7F7B2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8" w:type="dxa"/>
            <w:vMerge w:val="restart"/>
            <w:tcBorders>
              <w:tl2br w:val="nil"/>
              <w:tr2bl w:val="nil"/>
            </w:tcBorders>
            <w:noWrap w:val="0"/>
            <w:vAlign w:val="center"/>
          </w:tcPr>
          <w:p w14:paraId="3A61921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二甲苯</w:t>
            </w:r>
          </w:p>
        </w:tc>
        <w:tc>
          <w:tcPr>
            <w:tcW w:w="1266" w:type="dxa"/>
            <w:tcBorders>
              <w:tl2br w:val="nil"/>
              <w:tr2bl w:val="nil"/>
            </w:tcBorders>
            <w:noWrap w:val="0"/>
            <w:vAlign w:val="center"/>
          </w:tcPr>
          <w:p w14:paraId="1E7C8D3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间,对-</w:t>
            </w:r>
          </w:p>
          <w:p w14:paraId="24ABD6B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二甲苯</w:t>
            </w:r>
          </w:p>
        </w:tc>
        <w:tc>
          <w:tcPr>
            <w:tcW w:w="3420" w:type="dxa"/>
            <w:vMerge w:val="continue"/>
            <w:tcBorders>
              <w:tl2br w:val="nil"/>
              <w:tr2bl w:val="nil"/>
            </w:tcBorders>
            <w:noWrap w:val="0"/>
            <w:vAlign w:val="center"/>
          </w:tcPr>
          <w:p w14:paraId="4F90512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398F438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0EA5AE7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2.2μg/L</w:t>
            </w:r>
          </w:p>
        </w:tc>
      </w:tr>
      <w:tr w14:paraId="508A7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08" w:type="dxa"/>
            <w:vMerge w:val="continue"/>
            <w:tcBorders>
              <w:tl2br w:val="nil"/>
              <w:tr2bl w:val="nil"/>
            </w:tcBorders>
            <w:noWrap w:val="0"/>
            <w:vAlign w:val="center"/>
          </w:tcPr>
          <w:p w14:paraId="7A00B72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266" w:type="dxa"/>
            <w:tcBorders>
              <w:tl2br w:val="nil"/>
              <w:tr2bl w:val="nil"/>
            </w:tcBorders>
            <w:noWrap w:val="0"/>
            <w:vAlign w:val="center"/>
          </w:tcPr>
          <w:p w14:paraId="1873B45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邻-</w:t>
            </w:r>
            <w:r>
              <w:rPr>
                <w:rFonts w:hint="default" w:ascii="Times New Roman" w:hAnsi="Times New Roman" w:eastAsia="宋体" w:cs="Times New Roman"/>
                <w:color w:val="auto"/>
                <w:kern w:val="0"/>
                <w:sz w:val="21"/>
                <w:szCs w:val="21"/>
                <w:highlight w:val="none"/>
                <w:lang w:val="en-US" w:eastAsia="zh-CN" w:bidi="ar"/>
              </w:rPr>
              <w:t>二甲苯</w:t>
            </w:r>
          </w:p>
        </w:tc>
        <w:tc>
          <w:tcPr>
            <w:tcW w:w="3420" w:type="dxa"/>
            <w:vMerge w:val="continue"/>
            <w:tcBorders>
              <w:tl2br w:val="nil"/>
              <w:tr2bl w:val="nil"/>
            </w:tcBorders>
            <w:noWrap w:val="0"/>
            <w:vAlign w:val="center"/>
          </w:tcPr>
          <w:p w14:paraId="0862901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2132" w:type="dxa"/>
            <w:vMerge w:val="continue"/>
            <w:tcBorders>
              <w:tl2br w:val="nil"/>
              <w:tr2bl w:val="nil"/>
            </w:tcBorders>
            <w:noWrap w:val="0"/>
            <w:vAlign w:val="center"/>
          </w:tcPr>
          <w:p w14:paraId="59F7E9C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1418" w:type="dxa"/>
            <w:tcBorders>
              <w:tl2br w:val="nil"/>
              <w:tr2bl w:val="nil"/>
            </w:tcBorders>
            <w:noWrap w:val="0"/>
            <w:vAlign w:val="center"/>
          </w:tcPr>
          <w:p w14:paraId="7ACF847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1.4μg/L</w:t>
            </w:r>
          </w:p>
        </w:tc>
      </w:tr>
      <w:tr w14:paraId="66C56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0E201A3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挥发性石油烃（C6-C9）</w:t>
            </w:r>
          </w:p>
        </w:tc>
        <w:tc>
          <w:tcPr>
            <w:tcW w:w="3420" w:type="dxa"/>
            <w:tcBorders>
              <w:tl2br w:val="nil"/>
              <w:tr2bl w:val="nil"/>
            </w:tcBorders>
            <w:noWrap w:val="0"/>
            <w:vAlign w:val="center"/>
          </w:tcPr>
          <w:p w14:paraId="2E3187C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《水质挥发性石油烃（C6-C9）的测定吹扫捕集/气相色谱法》（HJ 893-2017）</w:t>
            </w:r>
          </w:p>
        </w:tc>
        <w:tc>
          <w:tcPr>
            <w:tcW w:w="2132" w:type="dxa"/>
            <w:tcBorders>
              <w:tl2br w:val="nil"/>
              <w:tr2bl w:val="nil"/>
            </w:tcBorders>
            <w:noWrap w:val="0"/>
            <w:vAlign w:val="center"/>
          </w:tcPr>
          <w:p w14:paraId="595E86F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8860GC型</w:t>
            </w:r>
            <w:r>
              <w:rPr>
                <w:rFonts w:hint="default" w:ascii="Times New Roman" w:hAnsi="Times New Roman" w:eastAsia="宋体" w:cs="Times New Roman"/>
                <w:color w:val="auto"/>
                <w:kern w:val="0"/>
                <w:sz w:val="21"/>
                <w:szCs w:val="21"/>
                <w:highlight w:val="none"/>
                <w:lang w:val="en-US" w:eastAsia="zh-CN" w:bidi="ar"/>
              </w:rPr>
              <w:br w:type="textWrapping"/>
            </w:r>
            <w:r>
              <w:rPr>
                <w:rFonts w:hint="default" w:ascii="Times New Roman" w:hAnsi="Times New Roman" w:eastAsia="宋体" w:cs="Times New Roman"/>
                <w:color w:val="auto"/>
                <w:kern w:val="0"/>
                <w:sz w:val="21"/>
                <w:szCs w:val="21"/>
                <w:highlight w:val="none"/>
                <w:lang w:val="en-US" w:eastAsia="zh-CN" w:bidi="ar"/>
              </w:rPr>
              <w:t>气相色谱仪（JW-S-</w:t>
            </w:r>
            <w:r>
              <w:rPr>
                <w:rFonts w:hint="eastAsia" w:ascii="Times New Roman" w:hAnsi="Times New Roman" w:eastAsia="宋体" w:cs="Times New Roman"/>
                <w:color w:val="auto"/>
                <w:kern w:val="0"/>
                <w:sz w:val="21"/>
                <w:szCs w:val="21"/>
                <w:highlight w:val="none"/>
                <w:lang w:val="en-US" w:eastAsia="zh-CN" w:bidi="ar"/>
              </w:rPr>
              <w:t>474</w:t>
            </w:r>
            <w:r>
              <w:rPr>
                <w:rFonts w:hint="default" w:ascii="Times New Roman" w:hAnsi="Times New Roman" w:eastAsia="宋体" w:cs="Times New Roman"/>
                <w:color w:val="auto"/>
                <w:kern w:val="0"/>
                <w:sz w:val="21"/>
                <w:szCs w:val="21"/>
                <w:highlight w:val="none"/>
                <w:lang w:val="en-US" w:eastAsia="zh-CN" w:bidi="ar"/>
              </w:rPr>
              <w:t>）</w:t>
            </w:r>
          </w:p>
        </w:tc>
        <w:tc>
          <w:tcPr>
            <w:tcW w:w="1418" w:type="dxa"/>
            <w:tcBorders>
              <w:tl2br w:val="nil"/>
              <w:tr2bl w:val="nil"/>
            </w:tcBorders>
            <w:noWrap w:val="0"/>
            <w:vAlign w:val="center"/>
          </w:tcPr>
          <w:p w14:paraId="1C8EDF6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0.02</w:t>
            </w:r>
            <w:r>
              <w:rPr>
                <w:rFonts w:hint="default" w:ascii="Times New Roman" w:hAnsi="Times New Roman" w:eastAsia="宋体" w:cs="Times New Roman"/>
                <w:color w:val="auto"/>
                <w:kern w:val="0"/>
                <w:sz w:val="21"/>
                <w:szCs w:val="21"/>
                <w:highlight w:val="none"/>
                <w:lang w:val="en-US" w:eastAsia="zh-CN" w:bidi="ar"/>
              </w:rPr>
              <w:t>mg/L</w:t>
            </w:r>
          </w:p>
        </w:tc>
      </w:tr>
      <w:tr w14:paraId="2CB10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74" w:type="dxa"/>
            <w:gridSpan w:val="2"/>
            <w:tcBorders>
              <w:tl2br w:val="nil"/>
              <w:tr2bl w:val="nil"/>
            </w:tcBorders>
            <w:noWrap w:val="0"/>
            <w:vAlign w:val="center"/>
          </w:tcPr>
          <w:p w14:paraId="18DB382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石油烃（C10-C40）</w:t>
            </w:r>
          </w:p>
        </w:tc>
        <w:tc>
          <w:tcPr>
            <w:tcW w:w="3420" w:type="dxa"/>
            <w:tcBorders>
              <w:tl2br w:val="nil"/>
              <w:tr2bl w:val="nil"/>
            </w:tcBorders>
            <w:noWrap w:val="0"/>
            <w:vAlign w:val="center"/>
          </w:tcPr>
          <w:p w14:paraId="50B20BA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《水质可萃取性石油烃（C10-C40）的测定气相色谱法》（HJ 894-2017）</w:t>
            </w:r>
          </w:p>
        </w:tc>
        <w:tc>
          <w:tcPr>
            <w:tcW w:w="2132" w:type="dxa"/>
            <w:tcBorders>
              <w:tl2br w:val="nil"/>
              <w:tr2bl w:val="nil"/>
            </w:tcBorders>
            <w:noWrap w:val="0"/>
            <w:vAlign w:val="center"/>
          </w:tcPr>
          <w:p w14:paraId="3F03F72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GC-2010PRO型</w:t>
            </w:r>
          </w:p>
          <w:p w14:paraId="5E43927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气相色谱仪</w:t>
            </w:r>
            <w:r>
              <w:rPr>
                <w:rFonts w:hint="default" w:ascii="Times New Roman" w:hAnsi="Times New Roman" w:eastAsia="宋体" w:cs="Times New Roman"/>
                <w:color w:val="auto"/>
                <w:kern w:val="0"/>
                <w:sz w:val="21"/>
                <w:szCs w:val="21"/>
                <w:highlight w:val="none"/>
                <w:lang w:val="en-US" w:eastAsia="zh-CN" w:bidi="ar"/>
              </w:rPr>
              <w:t>（JW-S-182）</w:t>
            </w:r>
          </w:p>
        </w:tc>
        <w:tc>
          <w:tcPr>
            <w:tcW w:w="1418" w:type="dxa"/>
            <w:tcBorders>
              <w:tl2br w:val="nil"/>
              <w:tr2bl w:val="nil"/>
            </w:tcBorders>
            <w:noWrap w:val="0"/>
            <w:vAlign w:val="center"/>
          </w:tcPr>
          <w:p w14:paraId="7F18533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0.01</w:t>
            </w:r>
            <w:r>
              <w:rPr>
                <w:rFonts w:hint="default" w:ascii="Times New Roman" w:hAnsi="Times New Roman" w:eastAsia="宋体" w:cs="Times New Roman"/>
                <w:color w:val="auto"/>
                <w:kern w:val="0"/>
                <w:sz w:val="21"/>
                <w:szCs w:val="21"/>
                <w:highlight w:val="none"/>
                <w:lang w:val="en-US" w:eastAsia="zh-CN" w:bidi="ar"/>
              </w:rPr>
              <w:t>mg/L</w:t>
            </w:r>
          </w:p>
        </w:tc>
      </w:tr>
      <w:tr w14:paraId="45632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644" w:type="dxa"/>
            <w:gridSpan w:val="5"/>
            <w:tcBorders>
              <w:tl2br w:val="nil"/>
              <w:tr2bl w:val="nil"/>
            </w:tcBorders>
            <w:noWrap w:val="0"/>
            <w:vAlign w:val="center"/>
          </w:tcPr>
          <w:p w14:paraId="764EC28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检出限列中①:表示定量限，其余表示方法检出限</w:t>
            </w:r>
            <w:r>
              <w:rPr>
                <w:rFonts w:hint="eastAsia" w:ascii="Times New Roman" w:hAnsi="Times New Roman" w:eastAsia="宋体" w:cs="Times New Roman"/>
                <w:color w:val="auto"/>
                <w:kern w:val="0"/>
                <w:sz w:val="21"/>
                <w:szCs w:val="21"/>
                <w:highlight w:val="none"/>
                <w:lang w:val="en-US" w:eastAsia="zh-CN" w:bidi="ar"/>
              </w:rPr>
              <w:t>；</w:t>
            </w:r>
          </w:p>
          <w:p w14:paraId="51320F2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以上仪器设备均为福建九五检测技术服务有限公司所有</w:t>
            </w:r>
            <w:r>
              <w:rPr>
                <w:rFonts w:hint="eastAsia" w:ascii="Times New Roman" w:hAnsi="Times New Roman" w:eastAsia="宋体" w:cs="Times New Roman"/>
                <w:color w:val="auto"/>
                <w:kern w:val="0"/>
                <w:sz w:val="21"/>
                <w:szCs w:val="21"/>
                <w:highlight w:val="none"/>
                <w:lang w:val="en-US" w:eastAsia="zh-CN" w:bidi="ar"/>
              </w:rPr>
              <w:t>。</w:t>
            </w:r>
          </w:p>
        </w:tc>
      </w:tr>
    </w:tbl>
    <w:p w14:paraId="500612CC">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（4）监测结果</w:t>
      </w:r>
      <w:r>
        <w:rPr>
          <w:rFonts w:ascii="Times New Roman" w:hAnsi="Times New Roman" w:eastAsia="宋体" w:cs="Times New Roman"/>
          <w:color w:val="auto"/>
          <w:sz w:val="24"/>
          <w:szCs w:val="22"/>
          <w:highlight w:val="none"/>
          <w:lang w:val="en-US" w:eastAsia="zh-CN" w:bidi="ar-SA"/>
        </w:rPr>
        <w:tab/>
      </w:r>
    </w:p>
    <w:p w14:paraId="4656BBD4">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地下水环境质量现状监测结果见表</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8</w:t>
      </w:r>
      <w:r>
        <w:rPr>
          <w:rFonts w:ascii="Times New Roman" w:hAnsi="Times New Roman" w:eastAsia="宋体" w:cs="Times New Roman"/>
          <w:color w:val="auto"/>
          <w:sz w:val="24"/>
          <w:szCs w:val="22"/>
          <w:highlight w:val="none"/>
          <w:lang w:val="en-US" w:eastAsia="zh-CN" w:bidi="ar-SA"/>
        </w:rPr>
        <w:t>。</w:t>
      </w:r>
    </w:p>
    <w:p w14:paraId="56B878A1">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表4.2-8  地下水环境质量监测结果一览表</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031"/>
        <w:gridCol w:w="1639"/>
        <w:gridCol w:w="1639"/>
        <w:gridCol w:w="1653"/>
        <w:gridCol w:w="977"/>
        <w:gridCol w:w="975"/>
      </w:tblGrid>
      <w:tr w14:paraId="30079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55" w:type="pct"/>
            <w:vMerge w:val="restart"/>
            <w:tcBorders>
              <w:tl2br w:val="nil"/>
              <w:tr2bl w:val="nil"/>
            </w:tcBorders>
            <w:noWrap w:val="0"/>
            <w:vAlign w:val="center"/>
          </w:tcPr>
          <w:p w14:paraId="3C858D7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检测项目</w:t>
            </w:r>
          </w:p>
        </w:tc>
        <w:tc>
          <w:tcPr>
            <w:tcW w:w="604" w:type="pct"/>
            <w:tcBorders>
              <w:tl2br w:val="nil"/>
              <w:tr2bl w:val="nil"/>
            </w:tcBorders>
            <w:noWrap w:val="0"/>
            <w:vAlign w:val="center"/>
          </w:tcPr>
          <w:p w14:paraId="2D7A454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采样日期</w:t>
            </w:r>
          </w:p>
        </w:tc>
        <w:tc>
          <w:tcPr>
            <w:tcW w:w="2894" w:type="pct"/>
            <w:gridSpan w:val="3"/>
            <w:tcBorders>
              <w:tl2br w:val="nil"/>
              <w:tr2bl w:val="nil"/>
            </w:tcBorders>
            <w:noWrap w:val="0"/>
            <w:vAlign w:val="center"/>
          </w:tcPr>
          <w:p w14:paraId="617664F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2026</w:t>
            </w:r>
            <w:r>
              <w:rPr>
                <w:rFonts w:hint="default" w:ascii="Times New Roman" w:hAnsi="Times New Roman" w:eastAsia="宋体" w:cs="Times New Roman"/>
                <w:color w:val="auto"/>
                <w:kern w:val="0"/>
                <w:sz w:val="21"/>
                <w:szCs w:val="21"/>
                <w:highlight w:val="none"/>
                <w:lang w:val="en-US" w:eastAsia="zh-CN" w:bidi="ar"/>
              </w:rPr>
              <w:t>年</w:t>
            </w:r>
            <w:r>
              <w:rPr>
                <w:rFonts w:hint="eastAsia" w:ascii="Times New Roman" w:hAnsi="Times New Roman" w:eastAsia="宋体" w:cs="Times New Roman"/>
                <w:color w:val="auto"/>
                <w:kern w:val="0"/>
                <w:sz w:val="21"/>
                <w:szCs w:val="21"/>
                <w:highlight w:val="none"/>
                <w:lang w:val="en-US" w:eastAsia="zh-CN" w:bidi="ar"/>
              </w:rPr>
              <w:t>09月24</w:t>
            </w:r>
            <w:r>
              <w:rPr>
                <w:rFonts w:hint="default" w:ascii="Times New Roman" w:hAnsi="Times New Roman" w:eastAsia="宋体" w:cs="Times New Roman"/>
                <w:color w:val="auto"/>
                <w:kern w:val="0"/>
                <w:sz w:val="21"/>
                <w:szCs w:val="21"/>
                <w:highlight w:val="none"/>
                <w:lang w:val="en-US" w:eastAsia="zh-CN" w:bidi="ar"/>
              </w:rPr>
              <w:t>日</w:t>
            </w:r>
          </w:p>
        </w:tc>
        <w:tc>
          <w:tcPr>
            <w:tcW w:w="573" w:type="pct"/>
            <w:tcBorders>
              <w:tl2br w:val="nil"/>
              <w:tr2bl w:val="nil"/>
            </w:tcBorders>
            <w:noWrap w:val="0"/>
            <w:vAlign w:val="center"/>
          </w:tcPr>
          <w:p w14:paraId="240A613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2025年05月29日</w:t>
            </w:r>
          </w:p>
        </w:tc>
        <w:tc>
          <w:tcPr>
            <w:tcW w:w="572" w:type="pct"/>
            <w:vMerge w:val="restart"/>
            <w:tcBorders>
              <w:tl2br w:val="nil"/>
              <w:tr2bl w:val="nil"/>
            </w:tcBorders>
            <w:noWrap w:val="0"/>
            <w:vAlign w:val="center"/>
          </w:tcPr>
          <w:p w14:paraId="33E5071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单位</w:t>
            </w:r>
          </w:p>
        </w:tc>
      </w:tr>
      <w:tr w14:paraId="6C860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55" w:type="pct"/>
            <w:vMerge w:val="continue"/>
            <w:tcBorders>
              <w:tl2br w:val="nil"/>
              <w:tr2bl w:val="nil"/>
            </w:tcBorders>
            <w:noWrap w:val="0"/>
            <w:vAlign w:val="center"/>
          </w:tcPr>
          <w:p w14:paraId="74ABEF8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604" w:type="pct"/>
            <w:tcBorders>
              <w:tl2br w:val="nil"/>
              <w:tr2bl w:val="nil"/>
            </w:tcBorders>
            <w:noWrap w:val="0"/>
            <w:vAlign w:val="center"/>
          </w:tcPr>
          <w:p w14:paraId="0BCD0B5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检测点位</w:t>
            </w:r>
          </w:p>
        </w:tc>
        <w:tc>
          <w:tcPr>
            <w:tcW w:w="962" w:type="pct"/>
            <w:tcBorders>
              <w:tl2br w:val="nil"/>
              <w:tr2bl w:val="nil"/>
            </w:tcBorders>
            <w:noWrap w:val="0"/>
            <w:vAlign w:val="center"/>
          </w:tcPr>
          <w:p w14:paraId="6FF51C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D1溪东村（上游）</w:t>
            </w:r>
          </w:p>
        </w:tc>
        <w:tc>
          <w:tcPr>
            <w:tcW w:w="962" w:type="pct"/>
            <w:tcBorders>
              <w:tl2br w:val="nil"/>
              <w:tr2bl w:val="nil"/>
            </w:tcBorders>
            <w:noWrap w:val="0"/>
            <w:vAlign w:val="center"/>
          </w:tcPr>
          <w:p w14:paraId="4A22C21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D2大埕村</w:t>
            </w:r>
          </w:p>
        </w:tc>
        <w:tc>
          <w:tcPr>
            <w:tcW w:w="969" w:type="pct"/>
            <w:tcBorders>
              <w:tl2br w:val="nil"/>
              <w:tr2bl w:val="nil"/>
            </w:tcBorders>
            <w:noWrap w:val="0"/>
            <w:vAlign w:val="center"/>
          </w:tcPr>
          <w:p w14:paraId="1BFA4D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D</w:t>
            </w:r>
            <w:r>
              <w:rPr>
                <w:rFonts w:hint="eastAsia" w:ascii="Times New Roman" w:hAnsi="Times New Roman" w:eastAsia="宋体"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val="en-US" w:eastAsia="zh-CN" w:bidi="ar"/>
              </w:rPr>
              <w:t>宏三村（下游）</w:t>
            </w:r>
          </w:p>
        </w:tc>
        <w:tc>
          <w:tcPr>
            <w:tcW w:w="573" w:type="pct"/>
            <w:tcBorders>
              <w:tl2br w:val="nil"/>
              <w:tr2bl w:val="nil"/>
            </w:tcBorders>
            <w:noWrap w:val="0"/>
            <w:vAlign w:val="center"/>
          </w:tcPr>
          <w:p w14:paraId="6B6E0C1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宏三村</w:t>
            </w:r>
          </w:p>
        </w:tc>
        <w:tc>
          <w:tcPr>
            <w:tcW w:w="572" w:type="pct"/>
            <w:vMerge w:val="continue"/>
            <w:tcBorders>
              <w:tl2br w:val="nil"/>
              <w:tr2bl w:val="nil"/>
            </w:tcBorders>
            <w:noWrap w:val="0"/>
            <w:vAlign w:val="center"/>
          </w:tcPr>
          <w:p w14:paraId="37D8C2E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3E4C2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55" w:type="pct"/>
            <w:vMerge w:val="continue"/>
            <w:tcBorders>
              <w:tl2br w:val="nil"/>
              <w:tr2bl w:val="nil"/>
            </w:tcBorders>
            <w:noWrap w:val="0"/>
            <w:vAlign w:val="center"/>
          </w:tcPr>
          <w:p w14:paraId="6F4F0EB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604" w:type="pct"/>
            <w:tcBorders>
              <w:tl2br w:val="nil"/>
              <w:tr2bl w:val="nil"/>
            </w:tcBorders>
            <w:noWrap w:val="0"/>
            <w:vAlign w:val="center"/>
          </w:tcPr>
          <w:p w14:paraId="7156D87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经度</w:t>
            </w:r>
            <w:r>
              <w:rPr>
                <w:rFonts w:hint="eastAsia" w:ascii="Times New Roman" w:hAnsi="Times New Roman" w:eastAsia="宋体" w:cs="Times New Roman"/>
                <w:color w:val="auto"/>
                <w:kern w:val="0"/>
                <w:sz w:val="21"/>
                <w:szCs w:val="21"/>
                <w:highlight w:val="none"/>
                <w:lang w:val="en-US" w:eastAsia="zh-CN" w:bidi="ar"/>
              </w:rPr>
              <w:t>（E）</w:t>
            </w:r>
          </w:p>
        </w:tc>
        <w:tc>
          <w:tcPr>
            <w:tcW w:w="962" w:type="pct"/>
            <w:tcBorders>
              <w:tl2br w:val="nil"/>
              <w:tr2bl w:val="nil"/>
            </w:tcBorders>
            <w:noWrap w:val="0"/>
            <w:vAlign w:val="center"/>
          </w:tcPr>
          <w:p w14:paraId="705AA06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119.352008</w:t>
            </w:r>
            <w:r>
              <w:rPr>
                <w:rFonts w:hint="default" w:ascii="Times New Roman" w:hAnsi="Times New Roman" w:eastAsia="宋体" w:cs="Times New Roman"/>
                <w:color w:val="auto"/>
                <w:kern w:val="0"/>
                <w:sz w:val="21"/>
                <w:szCs w:val="21"/>
                <w:highlight w:val="none"/>
                <w:lang w:val="en-US" w:eastAsia="zh-CN" w:bidi="ar"/>
              </w:rPr>
              <w:t>°</w:t>
            </w:r>
          </w:p>
        </w:tc>
        <w:tc>
          <w:tcPr>
            <w:tcW w:w="962" w:type="pct"/>
            <w:tcBorders>
              <w:tl2br w:val="nil"/>
              <w:tr2bl w:val="nil"/>
            </w:tcBorders>
            <w:noWrap w:val="0"/>
            <w:vAlign w:val="center"/>
          </w:tcPr>
          <w:p w14:paraId="490DDB8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119.338477</w:t>
            </w:r>
            <w:r>
              <w:rPr>
                <w:rFonts w:hint="default" w:ascii="Times New Roman" w:hAnsi="Times New Roman" w:eastAsia="宋体" w:cs="Times New Roman"/>
                <w:color w:val="auto"/>
                <w:kern w:val="0"/>
                <w:sz w:val="21"/>
                <w:szCs w:val="21"/>
                <w:highlight w:val="none"/>
                <w:lang w:val="en-US" w:eastAsia="zh-CN" w:bidi="ar"/>
              </w:rPr>
              <w:t>°</w:t>
            </w:r>
          </w:p>
        </w:tc>
        <w:tc>
          <w:tcPr>
            <w:tcW w:w="969" w:type="pct"/>
            <w:tcBorders>
              <w:tl2br w:val="nil"/>
              <w:tr2bl w:val="nil"/>
            </w:tcBorders>
            <w:noWrap w:val="0"/>
            <w:vAlign w:val="center"/>
          </w:tcPr>
          <w:p w14:paraId="1687177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119.355678</w:t>
            </w:r>
            <w:r>
              <w:rPr>
                <w:rFonts w:hint="default"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74A8F91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vMerge w:val="continue"/>
            <w:tcBorders>
              <w:tl2br w:val="nil"/>
              <w:tr2bl w:val="nil"/>
            </w:tcBorders>
            <w:noWrap w:val="0"/>
            <w:vAlign w:val="center"/>
          </w:tcPr>
          <w:p w14:paraId="17EF724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284D67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55" w:type="pct"/>
            <w:vMerge w:val="continue"/>
            <w:tcBorders>
              <w:tl2br w:val="nil"/>
              <w:tr2bl w:val="nil"/>
            </w:tcBorders>
            <w:noWrap w:val="0"/>
            <w:vAlign w:val="center"/>
          </w:tcPr>
          <w:p w14:paraId="7A0010C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c>
          <w:tcPr>
            <w:tcW w:w="604" w:type="pct"/>
            <w:tcBorders>
              <w:tl2br w:val="nil"/>
              <w:tr2bl w:val="nil"/>
            </w:tcBorders>
            <w:noWrap w:val="0"/>
            <w:vAlign w:val="center"/>
          </w:tcPr>
          <w:p w14:paraId="692C1D7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纬度</w:t>
            </w:r>
            <w:r>
              <w:rPr>
                <w:rFonts w:hint="eastAsia" w:ascii="Times New Roman" w:hAnsi="Times New Roman" w:eastAsia="宋体" w:cs="Times New Roman"/>
                <w:color w:val="auto"/>
                <w:kern w:val="0"/>
                <w:sz w:val="21"/>
                <w:szCs w:val="21"/>
                <w:highlight w:val="none"/>
                <w:lang w:val="en-US" w:eastAsia="zh-CN" w:bidi="ar"/>
              </w:rPr>
              <w:t>（N）</w:t>
            </w:r>
          </w:p>
        </w:tc>
        <w:tc>
          <w:tcPr>
            <w:tcW w:w="962" w:type="pct"/>
            <w:tcBorders>
              <w:tl2br w:val="nil"/>
              <w:tr2bl w:val="nil"/>
            </w:tcBorders>
            <w:noWrap w:val="0"/>
            <w:vAlign w:val="center"/>
          </w:tcPr>
          <w:p w14:paraId="446DEBE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25.877095</w:t>
            </w:r>
            <w:r>
              <w:rPr>
                <w:rFonts w:hint="default" w:ascii="Times New Roman" w:hAnsi="Times New Roman" w:eastAsia="宋体" w:cs="Times New Roman"/>
                <w:color w:val="auto"/>
                <w:kern w:val="0"/>
                <w:sz w:val="21"/>
                <w:szCs w:val="21"/>
                <w:highlight w:val="none"/>
                <w:lang w:val="en-US" w:eastAsia="zh-CN" w:bidi="ar"/>
              </w:rPr>
              <w:t>°</w:t>
            </w:r>
          </w:p>
        </w:tc>
        <w:tc>
          <w:tcPr>
            <w:tcW w:w="962" w:type="pct"/>
            <w:tcBorders>
              <w:tl2br w:val="nil"/>
              <w:tr2bl w:val="nil"/>
            </w:tcBorders>
            <w:noWrap w:val="0"/>
            <w:vAlign w:val="center"/>
          </w:tcPr>
          <w:p w14:paraId="2EEF72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25.877763</w:t>
            </w:r>
            <w:r>
              <w:rPr>
                <w:rFonts w:hint="default" w:ascii="Times New Roman" w:hAnsi="Times New Roman" w:eastAsia="宋体" w:cs="Times New Roman"/>
                <w:color w:val="auto"/>
                <w:kern w:val="0"/>
                <w:sz w:val="21"/>
                <w:szCs w:val="21"/>
                <w:highlight w:val="none"/>
                <w:lang w:val="en-US" w:eastAsia="zh-CN" w:bidi="ar"/>
              </w:rPr>
              <w:t>°</w:t>
            </w:r>
          </w:p>
        </w:tc>
        <w:tc>
          <w:tcPr>
            <w:tcW w:w="969" w:type="pct"/>
            <w:tcBorders>
              <w:tl2br w:val="nil"/>
              <w:tr2bl w:val="nil"/>
            </w:tcBorders>
            <w:noWrap w:val="0"/>
            <w:vAlign w:val="center"/>
          </w:tcPr>
          <w:p w14:paraId="524DC34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25.890171</w:t>
            </w:r>
            <w:r>
              <w:rPr>
                <w:rFonts w:hint="default"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268DE6D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vMerge w:val="continue"/>
            <w:tcBorders>
              <w:tl2br w:val="nil"/>
              <w:tr2bl w:val="nil"/>
            </w:tcBorders>
            <w:noWrap w:val="0"/>
            <w:vAlign w:val="center"/>
          </w:tcPr>
          <w:p w14:paraId="2FB8B16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0D0B7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180CBC9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样品性状</w:t>
            </w:r>
          </w:p>
        </w:tc>
        <w:tc>
          <w:tcPr>
            <w:tcW w:w="962" w:type="pct"/>
            <w:tcBorders>
              <w:tl2br w:val="nil"/>
              <w:tr2bl w:val="nil"/>
            </w:tcBorders>
            <w:noWrap w:val="0"/>
            <w:vAlign w:val="center"/>
          </w:tcPr>
          <w:p w14:paraId="2D48ED3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无</w:t>
            </w:r>
            <w:r>
              <w:rPr>
                <w:rFonts w:hint="default" w:ascii="Times New Roman" w:hAnsi="Times New Roman" w:eastAsia="宋体" w:cs="Times New Roman"/>
                <w:color w:val="auto"/>
                <w:kern w:val="0"/>
                <w:sz w:val="21"/>
                <w:szCs w:val="21"/>
                <w:highlight w:val="none"/>
                <w:lang w:val="en-US" w:eastAsia="zh-CN" w:bidi="ar"/>
              </w:rPr>
              <w:t>色、无味、</w:t>
            </w:r>
            <w:r>
              <w:rPr>
                <w:rFonts w:hint="eastAsia" w:ascii="Times New Roman" w:hAnsi="Times New Roman" w:eastAsia="宋体" w:cs="Times New Roman"/>
                <w:color w:val="auto"/>
                <w:kern w:val="0"/>
                <w:sz w:val="21"/>
                <w:szCs w:val="21"/>
                <w:highlight w:val="none"/>
                <w:lang w:val="en-US" w:eastAsia="zh-CN" w:bidi="ar"/>
              </w:rPr>
              <w:t>澄清</w:t>
            </w:r>
          </w:p>
        </w:tc>
        <w:tc>
          <w:tcPr>
            <w:tcW w:w="962" w:type="pct"/>
            <w:tcBorders>
              <w:tl2br w:val="nil"/>
              <w:tr2bl w:val="nil"/>
            </w:tcBorders>
            <w:noWrap w:val="0"/>
            <w:vAlign w:val="center"/>
          </w:tcPr>
          <w:p w14:paraId="6A6DC02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无</w:t>
            </w:r>
            <w:r>
              <w:rPr>
                <w:rFonts w:hint="default" w:ascii="Times New Roman" w:hAnsi="Times New Roman" w:eastAsia="宋体" w:cs="Times New Roman"/>
                <w:color w:val="auto"/>
                <w:kern w:val="0"/>
                <w:sz w:val="21"/>
                <w:szCs w:val="21"/>
                <w:highlight w:val="none"/>
                <w:lang w:val="en-US" w:eastAsia="zh-CN" w:bidi="ar"/>
              </w:rPr>
              <w:t>色、无味、</w:t>
            </w:r>
            <w:r>
              <w:rPr>
                <w:rFonts w:hint="eastAsia" w:ascii="Times New Roman" w:hAnsi="Times New Roman" w:eastAsia="宋体" w:cs="Times New Roman"/>
                <w:color w:val="auto"/>
                <w:kern w:val="0"/>
                <w:sz w:val="21"/>
                <w:szCs w:val="21"/>
                <w:highlight w:val="none"/>
                <w:lang w:val="en-US" w:eastAsia="zh-CN" w:bidi="ar"/>
              </w:rPr>
              <w:t>澄清</w:t>
            </w:r>
          </w:p>
        </w:tc>
        <w:tc>
          <w:tcPr>
            <w:tcW w:w="969" w:type="pct"/>
            <w:tcBorders>
              <w:tl2br w:val="nil"/>
              <w:tr2bl w:val="nil"/>
            </w:tcBorders>
            <w:noWrap w:val="0"/>
            <w:vAlign w:val="center"/>
          </w:tcPr>
          <w:p w14:paraId="364B8B8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无</w:t>
            </w:r>
            <w:r>
              <w:rPr>
                <w:rFonts w:hint="default" w:ascii="Times New Roman" w:hAnsi="Times New Roman" w:eastAsia="宋体" w:cs="Times New Roman"/>
                <w:color w:val="auto"/>
                <w:kern w:val="0"/>
                <w:sz w:val="21"/>
                <w:szCs w:val="21"/>
                <w:highlight w:val="none"/>
                <w:lang w:val="en-US" w:eastAsia="zh-CN" w:bidi="ar"/>
              </w:rPr>
              <w:t>色、无味、</w:t>
            </w:r>
            <w:r>
              <w:rPr>
                <w:rFonts w:hint="eastAsia" w:ascii="Times New Roman" w:hAnsi="Times New Roman" w:eastAsia="宋体" w:cs="Times New Roman"/>
                <w:color w:val="auto"/>
                <w:kern w:val="0"/>
                <w:sz w:val="21"/>
                <w:szCs w:val="21"/>
                <w:highlight w:val="none"/>
                <w:lang w:val="en-US" w:eastAsia="zh-CN" w:bidi="ar"/>
              </w:rPr>
              <w:t>澄清</w:t>
            </w:r>
          </w:p>
        </w:tc>
        <w:tc>
          <w:tcPr>
            <w:tcW w:w="573" w:type="pct"/>
            <w:tcBorders>
              <w:tl2br w:val="nil"/>
              <w:tr2bl w:val="nil"/>
            </w:tcBorders>
            <w:noWrap w:val="0"/>
            <w:vAlign w:val="center"/>
          </w:tcPr>
          <w:p w14:paraId="53D86C8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tcBorders>
              <w:tl2br w:val="nil"/>
              <w:tr2bl w:val="nil"/>
            </w:tcBorders>
            <w:noWrap w:val="0"/>
            <w:vAlign w:val="center"/>
          </w:tcPr>
          <w:p w14:paraId="29803FD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r w14:paraId="163ED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55DDF5F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pH值</w:t>
            </w:r>
          </w:p>
        </w:tc>
        <w:tc>
          <w:tcPr>
            <w:tcW w:w="962" w:type="pct"/>
            <w:tcBorders>
              <w:tl2br w:val="nil"/>
              <w:tr2bl w:val="nil"/>
            </w:tcBorders>
            <w:noWrap w:val="0"/>
            <w:vAlign w:val="center"/>
          </w:tcPr>
          <w:p w14:paraId="25C0312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7.2</w:t>
            </w:r>
          </w:p>
        </w:tc>
        <w:tc>
          <w:tcPr>
            <w:tcW w:w="962" w:type="pct"/>
            <w:tcBorders>
              <w:tl2br w:val="nil"/>
              <w:tr2bl w:val="nil"/>
            </w:tcBorders>
            <w:noWrap w:val="0"/>
            <w:vAlign w:val="center"/>
          </w:tcPr>
          <w:p w14:paraId="281103D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7.0</w:t>
            </w:r>
          </w:p>
        </w:tc>
        <w:tc>
          <w:tcPr>
            <w:tcW w:w="969" w:type="pct"/>
            <w:tcBorders>
              <w:tl2br w:val="nil"/>
              <w:tr2bl w:val="nil"/>
            </w:tcBorders>
            <w:noWrap w:val="0"/>
            <w:vAlign w:val="center"/>
          </w:tcPr>
          <w:p w14:paraId="0A8A264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130B00A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6.8</w:t>
            </w:r>
          </w:p>
        </w:tc>
        <w:tc>
          <w:tcPr>
            <w:tcW w:w="572" w:type="pct"/>
            <w:tcBorders>
              <w:tl2br w:val="nil"/>
              <w:tr2bl w:val="nil"/>
            </w:tcBorders>
            <w:noWrap w:val="0"/>
            <w:vAlign w:val="center"/>
          </w:tcPr>
          <w:p w14:paraId="3C567F5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无量纲</w:t>
            </w:r>
          </w:p>
        </w:tc>
      </w:tr>
      <w:tr w14:paraId="73057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5BC698D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高锰酸盐指数</w:t>
            </w:r>
          </w:p>
          <w:p w14:paraId="7C95927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（以O2计）</w:t>
            </w:r>
          </w:p>
        </w:tc>
        <w:tc>
          <w:tcPr>
            <w:tcW w:w="962" w:type="pct"/>
            <w:tcBorders>
              <w:tl2br w:val="nil"/>
              <w:tr2bl w:val="nil"/>
            </w:tcBorders>
            <w:noWrap w:val="0"/>
            <w:vAlign w:val="center"/>
          </w:tcPr>
          <w:p w14:paraId="5CD5D98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2.4</w:t>
            </w:r>
          </w:p>
        </w:tc>
        <w:tc>
          <w:tcPr>
            <w:tcW w:w="962" w:type="pct"/>
            <w:tcBorders>
              <w:tl2br w:val="nil"/>
              <w:tr2bl w:val="nil"/>
            </w:tcBorders>
            <w:noWrap w:val="0"/>
            <w:vAlign w:val="center"/>
          </w:tcPr>
          <w:p w14:paraId="7516784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1.2</w:t>
            </w:r>
          </w:p>
        </w:tc>
        <w:tc>
          <w:tcPr>
            <w:tcW w:w="969" w:type="pct"/>
            <w:tcBorders>
              <w:tl2br w:val="nil"/>
              <w:tr2bl w:val="nil"/>
            </w:tcBorders>
            <w:noWrap w:val="0"/>
            <w:vAlign w:val="center"/>
          </w:tcPr>
          <w:p w14:paraId="74D0CDE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754D55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0.6</w:t>
            </w:r>
          </w:p>
        </w:tc>
        <w:tc>
          <w:tcPr>
            <w:tcW w:w="572" w:type="pct"/>
            <w:tcBorders>
              <w:tl2br w:val="nil"/>
              <w:tr2bl w:val="nil"/>
            </w:tcBorders>
            <w:noWrap w:val="0"/>
            <w:vAlign w:val="center"/>
          </w:tcPr>
          <w:p w14:paraId="51A0B46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12895A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73EE691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氨氮</w:t>
            </w:r>
          </w:p>
        </w:tc>
        <w:tc>
          <w:tcPr>
            <w:tcW w:w="962" w:type="pct"/>
            <w:tcBorders>
              <w:tl2br w:val="nil"/>
              <w:tr2bl w:val="nil"/>
            </w:tcBorders>
            <w:noWrap w:val="0"/>
            <w:vAlign w:val="center"/>
          </w:tcPr>
          <w:p w14:paraId="23B8CE7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0.028</w:t>
            </w:r>
          </w:p>
        </w:tc>
        <w:tc>
          <w:tcPr>
            <w:tcW w:w="962" w:type="pct"/>
            <w:tcBorders>
              <w:tl2br w:val="nil"/>
              <w:tr2bl w:val="nil"/>
            </w:tcBorders>
            <w:noWrap w:val="0"/>
            <w:vAlign w:val="center"/>
          </w:tcPr>
          <w:p w14:paraId="2A882AF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0.029</w:t>
            </w:r>
          </w:p>
        </w:tc>
        <w:tc>
          <w:tcPr>
            <w:tcW w:w="969" w:type="pct"/>
            <w:tcBorders>
              <w:tl2br w:val="nil"/>
              <w:tr2bl w:val="nil"/>
            </w:tcBorders>
            <w:noWrap w:val="0"/>
            <w:vAlign w:val="center"/>
          </w:tcPr>
          <w:p w14:paraId="2885E1E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596543B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0.204</w:t>
            </w:r>
          </w:p>
        </w:tc>
        <w:tc>
          <w:tcPr>
            <w:tcW w:w="572" w:type="pct"/>
            <w:tcBorders>
              <w:tl2br w:val="nil"/>
              <w:tr2bl w:val="nil"/>
            </w:tcBorders>
            <w:noWrap w:val="0"/>
            <w:vAlign w:val="center"/>
          </w:tcPr>
          <w:p w14:paraId="652121A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00823D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50CF62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26" w:name="OLE_LINK1" w:colFirst="1" w:colLast="5"/>
            <w:r>
              <w:rPr>
                <w:rFonts w:hint="default" w:ascii="Times New Roman" w:hAnsi="Times New Roman" w:eastAsia="宋体" w:cs="Times New Roman"/>
                <w:color w:val="auto"/>
                <w:kern w:val="0"/>
                <w:sz w:val="21"/>
                <w:szCs w:val="21"/>
                <w:highlight w:val="none"/>
                <w:lang w:val="en-US" w:eastAsia="zh-CN" w:bidi="ar"/>
              </w:rPr>
              <w:t>总硬度</w:t>
            </w:r>
          </w:p>
        </w:tc>
        <w:tc>
          <w:tcPr>
            <w:tcW w:w="962" w:type="pct"/>
            <w:tcBorders>
              <w:tl2br w:val="nil"/>
              <w:tr2bl w:val="nil"/>
            </w:tcBorders>
            <w:noWrap w:val="0"/>
            <w:vAlign w:val="center"/>
          </w:tcPr>
          <w:p w14:paraId="5A78AF1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122</w:t>
            </w:r>
          </w:p>
        </w:tc>
        <w:tc>
          <w:tcPr>
            <w:tcW w:w="962" w:type="pct"/>
            <w:tcBorders>
              <w:tl2br w:val="nil"/>
              <w:tr2bl w:val="nil"/>
            </w:tcBorders>
            <w:noWrap w:val="0"/>
            <w:vAlign w:val="center"/>
          </w:tcPr>
          <w:p w14:paraId="3D6C2E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31.7</w:t>
            </w:r>
          </w:p>
        </w:tc>
        <w:tc>
          <w:tcPr>
            <w:tcW w:w="969" w:type="pct"/>
            <w:tcBorders>
              <w:tl2br w:val="nil"/>
              <w:tr2bl w:val="nil"/>
            </w:tcBorders>
            <w:noWrap w:val="0"/>
            <w:vAlign w:val="center"/>
          </w:tcPr>
          <w:p w14:paraId="6A3FBEB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466DD96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95.8</w:t>
            </w:r>
          </w:p>
        </w:tc>
        <w:tc>
          <w:tcPr>
            <w:tcW w:w="572" w:type="pct"/>
            <w:tcBorders>
              <w:tl2br w:val="nil"/>
              <w:tr2bl w:val="nil"/>
            </w:tcBorders>
            <w:noWrap w:val="0"/>
            <w:vAlign w:val="center"/>
          </w:tcPr>
          <w:p w14:paraId="398E010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26"/>
      <w:tr w14:paraId="0DA29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0C27912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溶解性总固体</w:t>
            </w:r>
          </w:p>
        </w:tc>
        <w:tc>
          <w:tcPr>
            <w:tcW w:w="962" w:type="pct"/>
            <w:tcBorders>
              <w:tl2br w:val="nil"/>
              <w:tr2bl w:val="nil"/>
            </w:tcBorders>
            <w:noWrap w:val="0"/>
            <w:vAlign w:val="center"/>
          </w:tcPr>
          <w:p w14:paraId="7321BBF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241</w:t>
            </w:r>
          </w:p>
        </w:tc>
        <w:tc>
          <w:tcPr>
            <w:tcW w:w="962" w:type="pct"/>
            <w:tcBorders>
              <w:tl2br w:val="nil"/>
              <w:tr2bl w:val="nil"/>
            </w:tcBorders>
            <w:noWrap w:val="0"/>
            <w:vAlign w:val="center"/>
          </w:tcPr>
          <w:p w14:paraId="2D59F4A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76</w:t>
            </w:r>
          </w:p>
        </w:tc>
        <w:tc>
          <w:tcPr>
            <w:tcW w:w="969" w:type="pct"/>
            <w:tcBorders>
              <w:tl2br w:val="nil"/>
              <w:tr2bl w:val="nil"/>
            </w:tcBorders>
            <w:noWrap w:val="0"/>
            <w:vAlign w:val="center"/>
          </w:tcPr>
          <w:p w14:paraId="54DFFE6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199CC9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267</w:t>
            </w:r>
          </w:p>
        </w:tc>
        <w:tc>
          <w:tcPr>
            <w:tcW w:w="572" w:type="pct"/>
            <w:tcBorders>
              <w:tl2br w:val="nil"/>
              <w:tr2bl w:val="nil"/>
            </w:tcBorders>
            <w:noWrap w:val="0"/>
            <w:vAlign w:val="center"/>
          </w:tcPr>
          <w:p w14:paraId="4FD46D2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0121F0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63890B0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27" w:name="OLE_LINK10" w:colFirst="1" w:colLast="3"/>
            <w:r>
              <w:rPr>
                <w:rFonts w:hint="default" w:ascii="Times New Roman" w:hAnsi="Times New Roman" w:eastAsia="宋体" w:cs="Times New Roman"/>
                <w:color w:val="auto"/>
                <w:kern w:val="0"/>
                <w:sz w:val="21"/>
                <w:szCs w:val="21"/>
                <w:highlight w:val="none"/>
                <w:lang w:val="en-US" w:eastAsia="zh-CN" w:bidi="ar"/>
              </w:rPr>
              <w:t>六价铬</w:t>
            </w:r>
          </w:p>
        </w:tc>
        <w:tc>
          <w:tcPr>
            <w:tcW w:w="962" w:type="pct"/>
            <w:tcBorders>
              <w:tl2br w:val="nil"/>
              <w:tr2bl w:val="nil"/>
            </w:tcBorders>
            <w:noWrap w:val="0"/>
            <w:vAlign w:val="center"/>
          </w:tcPr>
          <w:p w14:paraId="7291F72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&lt;0.004</w:t>
            </w:r>
          </w:p>
        </w:tc>
        <w:tc>
          <w:tcPr>
            <w:tcW w:w="962" w:type="pct"/>
            <w:tcBorders>
              <w:tl2br w:val="nil"/>
              <w:tr2bl w:val="nil"/>
            </w:tcBorders>
            <w:noWrap w:val="0"/>
            <w:vAlign w:val="center"/>
          </w:tcPr>
          <w:p w14:paraId="302EF79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&lt;0.004</w:t>
            </w:r>
          </w:p>
        </w:tc>
        <w:tc>
          <w:tcPr>
            <w:tcW w:w="969" w:type="pct"/>
            <w:tcBorders>
              <w:tl2br w:val="nil"/>
              <w:tr2bl w:val="nil"/>
            </w:tcBorders>
            <w:noWrap w:val="0"/>
            <w:vAlign w:val="center"/>
          </w:tcPr>
          <w:p w14:paraId="5AC0CDD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5DE9A22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&lt;0.004</w:t>
            </w:r>
          </w:p>
        </w:tc>
        <w:tc>
          <w:tcPr>
            <w:tcW w:w="572" w:type="pct"/>
            <w:tcBorders>
              <w:tl2br w:val="nil"/>
              <w:tr2bl w:val="nil"/>
            </w:tcBorders>
            <w:noWrap w:val="0"/>
            <w:vAlign w:val="center"/>
          </w:tcPr>
          <w:p w14:paraId="7E6A97D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27"/>
      <w:tr w14:paraId="3F897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15721F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挥发性酚类</w:t>
            </w:r>
          </w:p>
          <w:p w14:paraId="2919A9D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（以苯酚计）</w:t>
            </w:r>
          </w:p>
        </w:tc>
        <w:tc>
          <w:tcPr>
            <w:tcW w:w="962" w:type="pct"/>
            <w:tcBorders>
              <w:tl2br w:val="nil"/>
              <w:tr2bl w:val="nil"/>
            </w:tcBorders>
            <w:noWrap w:val="0"/>
            <w:vAlign w:val="center"/>
          </w:tcPr>
          <w:p w14:paraId="16E1300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&lt;0.0003</w:t>
            </w:r>
          </w:p>
        </w:tc>
        <w:tc>
          <w:tcPr>
            <w:tcW w:w="962" w:type="pct"/>
            <w:tcBorders>
              <w:tl2br w:val="nil"/>
              <w:tr2bl w:val="nil"/>
            </w:tcBorders>
            <w:noWrap w:val="0"/>
            <w:vAlign w:val="center"/>
          </w:tcPr>
          <w:p w14:paraId="14D666A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&lt;0.0003</w:t>
            </w:r>
          </w:p>
        </w:tc>
        <w:tc>
          <w:tcPr>
            <w:tcW w:w="969" w:type="pct"/>
            <w:tcBorders>
              <w:tl2br w:val="nil"/>
              <w:tr2bl w:val="nil"/>
            </w:tcBorders>
            <w:noWrap w:val="0"/>
            <w:vAlign w:val="center"/>
          </w:tcPr>
          <w:p w14:paraId="0217D5F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62EC2E9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&lt;0.0003</w:t>
            </w:r>
          </w:p>
        </w:tc>
        <w:tc>
          <w:tcPr>
            <w:tcW w:w="572" w:type="pct"/>
            <w:tcBorders>
              <w:tl2br w:val="nil"/>
              <w:tr2bl w:val="nil"/>
            </w:tcBorders>
            <w:noWrap w:val="0"/>
            <w:vAlign w:val="center"/>
          </w:tcPr>
          <w:p w14:paraId="4D59F07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75C7A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6F1E57D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钠</w:t>
            </w:r>
          </w:p>
        </w:tc>
        <w:tc>
          <w:tcPr>
            <w:tcW w:w="962" w:type="pct"/>
            <w:tcBorders>
              <w:tl2br w:val="nil"/>
              <w:tr2bl w:val="nil"/>
            </w:tcBorders>
            <w:noWrap w:val="0"/>
            <w:vAlign w:val="center"/>
          </w:tcPr>
          <w:p w14:paraId="175451E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40.7</w:t>
            </w:r>
          </w:p>
        </w:tc>
        <w:tc>
          <w:tcPr>
            <w:tcW w:w="962" w:type="pct"/>
            <w:tcBorders>
              <w:tl2br w:val="nil"/>
              <w:tr2bl w:val="nil"/>
            </w:tcBorders>
            <w:noWrap w:val="0"/>
            <w:vAlign w:val="center"/>
          </w:tcPr>
          <w:p w14:paraId="7D04430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17.9</w:t>
            </w:r>
          </w:p>
        </w:tc>
        <w:tc>
          <w:tcPr>
            <w:tcW w:w="969" w:type="pct"/>
            <w:tcBorders>
              <w:tl2br w:val="nil"/>
              <w:tr2bl w:val="nil"/>
            </w:tcBorders>
            <w:noWrap w:val="0"/>
            <w:vAlign w:val="center"/>
          </w:tcPr>
          <w:p w14:paraId="5ADF7B0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1339748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29.2</w:t>
            </w:r>
          </w:p>
        </w:tc>
        <w:tc>
          <w:tcPr>
            <w:tcW w:w="572" w:type="pct"/>
            <w:tcBorders>
              <w:tl2br w:val="nil"/>
              <w:tr2bl w:val="nil"/>
            </w:tcBorders>
            <w:noWrap w:val="0"/>
            <w:vAlign w:val="center"/>
          </w:tcPr>
          <w:p w14:paraId="1E4E588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15651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4B3C07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28" w:name="OLE_LINK2" w:colFirst="1" w:colLast="3"/>
            <w:r>
              <w:rPr>
                <w:rFonts w:hint="default" w:ascii="Times New Roman" w:hAnsi="Times New Roman" w:eastAsia="宋体" w:cs="Times New Roman"/>
                <w:color w:val="auto"/>
                <w:kern w:val="0"/>
                <w:sz w:val="21"/>
                <w:szCs w:val="21"/>
                <w:highlight w:val="none"/>
                <w:lang w:val="en-US" w:eastAsia="zh-CN" w:bidi="ar"/>
              </w:rPr>
              <w:t>钾</w:t>
            </w:r>
          </w:p>
        </w:tc>
        <w:tc>
          <w:tcPr>
            <w:tcW w:w="962" w:type="pct"/>
            <w:tcBorders>
              <w:tl2br w:val="nil"/>
              <w:tr2bl w:val="nil"/>
            </w:tcBorders>
            <w:noWrap w:val="0"/>
            <w:vAlign w:val="center"/>
          </w:tcPr>
          <w:p w14:paraId="6FA964D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8.26</w:t>
            </w:r>
          </w:p>
        </w:tc>
        <w:tc>
          <w:tcPr>
            <w:tcW w:w="962" w:type="pct"/>
            <w:tcBorders>
              <w:tl2br w:val="nil"/>
              <w:tr2bl w:val="nil"/>
            </w:tcBorders>
            <w:noWrap w:val="0"/>
            <w:vAlign w:val="center"/>
          </w:tcPr>
          <w:p w14:paraId="0AE76DA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3.03</w:t>
            </w:r>
          </w:p>
        </w:tc>
        <w:tc>
          <w:tcPr>
            <w:tcW w:w="969" w:type="pct"/>
            <w:tcBorders>
              <w:tl2br w:val="nil"/>
              <w:tr2bl w:val="nil"/>
            </w:tcBorders>
            <w:noWrap w:val="0"/>
            <w:vAlign w:val="center"/>
          </w:tcPr>
          <w:p w14:paraId="09BE301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4DAC3DA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13.5</w:t>
            </w:r>
          </w:p>
        </w:tc>
        <w:tc>
          <w:tcPr>
            <w:tcW w:w="572" w:type="pct"/>
            <w:tcBorders>
              <w:tl2br w:val="nil"/>
              <w:tr2bl w:val="nil"/>
            </w:tcBorders>
            <w:noWrap w:val="0"/>
            <w:vAlign w:val="center"/>
          </w:tcPr>
          <w:p w14:paraId="5E3EFB6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28"/>
      <w:tr w14:paraId="2DD79E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7ABCB97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29" w:name="OLE_LINK3" w:colFirst="1" w:colLast="3"/>
            <w:r>
              <w:rPr>
                <w:rFonts w:hint="default" w:ascii="Times New Roman" w:hAnsi="Times New Roman" w:eastAsia="宋体" w:cs="Times New Roman"/>
                <w:color w:val="auto"/>
                <w:kern w:val="0"/>
                <w:sz w:val="21"/>
                <w:szCs w:val="21"/>
                <w:highlight w:val="none"/>
                <w:lang w:val="en-US" w:eastAsia="zh-CN" w:bidi="ar"/>
              </w:rPr>
              <w:t>钙</w:t>
            </w:r>
          </w:p>
        </w:tc>
        <w:tc>
          <w:tcPr>
            <w:tcW w:w="962" w:type="pct"/>
            <w:tcBorders>
              <w:tl2br w:val="nil"/>
              <w:tr2bl w:val="nil"/>
            </w:tcBorders>
            <w:noWrap w:val="0"/>
            <w:vAlign w:val="center"/>
          </w:tcPr>
          <w:p w14:paraId="48D1C81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27.6</w:t>
            </w:r>
          </w:p>
        </w:tc>
        <w:tc>
          <w:tcPr>
            <w:tcW w:w="962" w:type="pct"/>
            <w:tcBorders>
              <w:tl2br w:val="nil"/>
              <w:tr2bl w:val="nil"/>
            </w:tcBorders>
            <w:noWrap w:val="0"/>
            <w:vAlign w:val="center"/>
          </w:tcPr>
          <w:p w14:paraId="2CBC15A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9.12</w:t>
            </w:r>
          </w:p>
        </w:tc>
        <w:tc>
          <w:tcPr>
            <w:tcW w:w="969" w:type="pct"/>
            <w:tcBorders>
              <w:tl2br w:val="nil"/>
              <w:tr2bl w:val="nil"/>
            </w:tcBorders>
            <w:noWrap w:val="0"/>
            <w:vAlign w:val="center"/>
          </w:tcPr>
          <w:p w14:paraId="3AB8302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6B5A594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26.4</w:t>
            </w:r>
          </w:p>
        </w:tc>
        <w:tc>
          <w:tcPr>
            <w:tcW w:w="572" w:type="pct"/>
            <w:tcBorders>
              <w:tl2br w:val="nil"/>
              <w:tr2bl w:val="nil"/>
            </w:tcBorders>
            <w:noWrap w:val="0"/>
            <w:vAlign w:val="center"/>
          </w:tcPr>
          <w:p w14:paraId="6E5C7E7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29"/>
      <w:tr w14:paraId="0D9F9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6E10005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30" w:name="OLE_LINK4" w:colFirst="1" w:colLast="3"/>
            <w:r>
              <w:rPr>
                <w:rFonts w:hint="default" w:ascii="Times New Roman" w:hAnsi="Times New Roman" w:eastAsia="宋体" w:cs="Times New Roman"/>
                <w:color w:val="auto"/>
                <w:kern w:val="0"/>
                <w:sz w:val="21"/>
                <w:szCs w:val="21"/>
                <w:highlight w:val="none"/>
                <w:lang w:val="en-US" w:eastAsia="zh-CN" w:bidi="ar"/>
              </w:rPr>
              <w:t>镁</w:t>
            </w:r>
          </w:p>
        </w:tc>
        <w:tc>
          <w:tcPr>
            <w:tcW w:w="962" w:type="pct"/>
            <w:tcBorders>
              <w:tl2br w:val="nil"/>
              <w:tr2bl w:val="nil"/>
            </w:tcBorders>
            <w:noWrap w:val="0"/>
            <w:vAlign w:val="center"/>
          </w:tcPr>
          <w:p w14:paraId="6674ED8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10.1</w:t>
            </w:r>
          </w:p>
        </w:tc>
        <w:tc>
          <w:tcPr>
            <w:tcW w:w="962" w:type="pct"/>
            <w:tcBorders>
              <w:tl2br w:val="nil"/>
              <w:tr2bl w:val="nil"/>
            </w:tcBorders>
            <w:noWrap w:val="0"/>
            <w:vAlign w:val="center"/>
          </w:tcPr>
          <w:p w14:paraId="51137D0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1.35</w:t>
            </w:r>
          </w:p>
        </w:tc>
        <w:tc>
          <w:tcPr>
            <w:tcW w:w="969" w:type="pct"/>
            <w:tcBorders>
              <w:tl2br w:val="nil"/>
              <w:tr2bl w:val="nil"/>
            </w:tcBorders>
            <w:noWrap w:val="0"/>
            <w:vAlign w:val="center"/>
          </w:tcPr>
          <w:p w14:paraId="12CCEE8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438984E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7.15</w:t>
            </w:r>
          </w:p>
        </w:tc>
        <w:tc>
          <w:tcPr>
            <w:tcW w:w="572" w:type="pct"/>
            <w:tcBorders>
              <w:tl2br w:val="nil"/>
              <w:tr2bl w:val="nil"/>
            </w:tcBorders>
            <w:noWrap w:val="0"/>
            <w:vAlign w:val="center"/>
          </w:tcPr>
          <w:p w14:paraId="4018798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30"/>
      <w:tr w14:paraId="6039E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7F45EDA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31" w:name="OLE_LINK5" w:colFirst="1" w:colLast="3"/>
            <w:bookmarkStart w:id="432" w:name="OLE_LINK6" w:colFirst="1" w:colLast="3"/>
            <w:r>
              <w:rPr>
                <w:rFonts w:hint="default" w:ascii="Times New Roman" w:hAnsi="Times New Roman" w:eastAsia="宋体" w:cs="Times New Roman"/>
                <w:color w:val="auto"/>
                <w:kern w:val="0"/>
                <w:sz w:val="21"/>
                <w:szCs w:val="21"/>
                <w:highlight w:val="none"/>
                <w:lang w:val="en-US" w:eastAsia="zh-CN" w:bidi="ar"/>
              </w:rPr>
              <w:t>氟化物</w:t>
            </w:r>
          </w:p>
        </w:tc>
        <w:tc>
          <w:tcPr>
            <w:tcW w:w="962" w:type="pct"/>
            <w:tcBorders>
              <w:tl2br w:val="nil"/>
              <w:tr2bl w:val="nil"/>
            </w:tcBorders>
            <w:noWrap w:val="0"/>
            <w:vAlign w:val="center"/>
          </w:tcPr>
          <w:p w14:paraId="6187705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0.349</w:t>
            </w:r>
          </w:p>
        </w:tc>
        <w:tc>
          <w:tcPr>
            <w:tcW w:w="962" w:type="pct"/>
            <w:tcBorders>
              <w:tl2br w:val="nil"/>
              <w:tr2bl w:val="nil"/>
            </w:tcBorders>
            <w:noWrap w:val="0"/>
            <w:vAlign w:val="center"/>
          </w:tcPr>
          <w:p w14:paraId="717504A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0.242</w:t>
            </w:r>
          </w:p>
        </w:tc>
        <w:tc>
          <w:tcPr>
            <w:tcW w:w="969" w:type="pct"/>
            <w:tcBorders>
              <w:tl2br w:val="nil"/>
              <w:tr2bl w:val="nil"/>
            </w:tcBorders>
            <w:noWrap w:val="0"/>
            <w:vAlign w:val="center"/>
          </w:tcPr>
          <w:p w14:paraId="3EA6294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CFB977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0.196</w:t>
            </w:r>
          </w:p>
        </w:tc>
        <w:tc>
          <w:tcPr>
            <w:tcW w:w="572" w:type="pct"/>
            <w:tcBorders>
              <w:tl2br w:val="nil"/>
              <w:tr2bl w:val="nil"/>
            </w:tcBorders>
            <w:noWrap w:val="0"/>
            <w:vAlign w:val="center"/>
          </w:tcPr>
          <w:p w14:paraId="3D20356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31"/>
      <w:tr w14:paraId="3050CA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547AE2F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氯化物</w:t>
            </w:r>
          </w:p>
        </w:tc>
        <w:tc>
          <w:tcPr>
            <w:tcW w:w="962" w:type="pct"/>
            <w:tcBorders>
              <w:tl2br w:val="nil"/>
              <w:tr2bl w:val="nil"/>
            </w:tcBorders>
            <w:noWrap w:val="0"/>
            <w:vAlign w:val="center"/>
          </w:tcPr>
          <w:p w14:paraId="73F0FEA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25.3</w:t>
            </w:r>
          </w:p>
        </w:tc>
        <w:tc>
          <w:tcPr>
            <w:tcW w:w="962" w:type="pct"/>
            <w:tcBorders>
              <w:tl2br w:val="nil"/>
              <w:tr2bl w:val="nil"/>
            </w:tcBorders>
            <w:noWrap w:val="0"/>
            <w:vAlign w:val="center"/>
          </w:tcPr>
          <w:p w14:paraId="7AFB011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7.32</w:t>
            </w:r>
          </w:p>
        </w:tc>
        <w:tc>
          <w:tcPr>
            <w:tcW w:w="969" w:type="pct"/>
            <w:tcBorders>
              <w:tl2br w:val="nil"/>
              <w:tr2bl w:val="nil"/>
            </w:tcBorders>
            <w:noWrap w:val="0"/>
            <w:vAlign w:val="center"/>
          </w:tcPr>
          <w:p w14:paraId="36DB7E9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667EEEE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19.5</w:t>
            </w:r>
          </w:p>
        </w:tc>
        <w:tc>
          <w:tcPr>
            <w:tcW w:w="572" w:type="pct"/>
            <w:tcBorders>
              <w:tl2br w:val="nil"/>
              <w:tr2bl w:val="nil"/>
            </w:tcBorders>
            <w:noWrap w:val="0"/>
            <w:vAlign w:val="center"/>
          </w:tcPr>
          <w:p w14:paraId="4EEDD74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32"/>
      <w:tr w14:paraId="21497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20D9C6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33" w:name="OLE_LINK7" w:colFirst="1" w:colLast="3"/>
            <w:r>
              <w:rPr>
                <w:rFonts w:hint="default" w:ascii="Times New Roman" w:hAnsi="Times New Roman" w:eastAsia="宋体" w:cs="Times New Roman"/>
                <w:color w:val="auto"/>
                <w:kern w:val="0"/>
                <w:sz w:val="21"/>
                <w:szCs w:val="21"/>
                <w:highlight w:val="none"/>
                <w:lang w:val="en-US" w:eastAsia="zh-CN" w:bidi="ar"/>
              </w:rPr>
              <w:t>硝酸盐（以N计）</w:t>
            </w:r>
          </w:p>
        </w:tc>
        <w:tc>
          <w:tcPr>
            <w:tcW w:w="962" w:type="pct"/>
            <w:tcBorders>
              <w:tl2br w:val="nil"/>
              <w:tr2bl w:val="nil"/>
            </w:tcBorders>
            <w:noWrap w:val="0"/>
            <w:vAlign w:val="center"/>
          </w:tcPr>
          <w:p w14:paraId="3402A4F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19.5</w:t>
            </w:r>
          </w:p>
        </w:tc>
        <w:tc>
          <w:tcPr>
            <w:tcW w:w="962" w:type="pct"/>
            <w:tcBorders>
              <w:tl2br w:val="nil"/>
              <w:tr2bl w:val="nil"/>
            </w:tcBorders>
            <w:noWrap w:val="0"/>
            <w:vAlign w:val="center"/>
          </w:tcPr>
          <w:p w14:paraId="2110CAE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1.40</w:t>
            </w:r>
          </w:p>
        </w:tc>
        <w:tc>
          <w:tcPr>
            <w:tcW w:w="969" w:type="pct"/>
            <w:tcBorders>
              <w:tl2br w:val="nil"/>
              <w:tr2bl w:val="nil"/>
            </w:tcBorders>
            <w:noWrap w:val="0"/>
            <w:vAlign w:val="center"/>
          </w:tcPr>
          <w:p w14:paraId="0484FA5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1822EB5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4.38</w:t>
            </w:r>
          </w:p>
        </w:tc>
        <w:tc>
          <w:tcPr>
            <w:tcW w:w="572" w:type="pct"/>
            <w:tcBorders>
              <w:tl2br w:val="nil"/>
              <w:tr2bl w:val="nil"/>
            </w:tcBorders>
            <w:noWrap w:val="0"/>
            <w:vAlign w:val="center"/>
          </w:tcPr>
          <w:p w14:paraId="6F3A98B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33"/>
      <w:tr w14:paraId="51FE4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59DB5BC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bookmarkStart w:id="434" w:name="OLE_LINK8" w:colFirst="1" w:colLast="3"/>
            <w:r>
              <w:rPr>
                <w:rFonts w:hint="default" w:ascii="Times New Roman" w:hAnsi="Times New Roman" w:eastAsia="宋体" w:cs="Times New Roman"/>
                <w:color w:val="auto"/>
                <w:kern w:val="0"/>
                <w:sz w:val="21"/>
                <w:szCs w:val="21"/>
                <w:highlight w:val="none"/>
                <w:lang w:val="en-US" w:eastAsia="zh-CN" w:bidi="ar"/>
              </w:rPr>
              <w:t>硫酸盐</w:t>
            </w:r>
          </w:p>
        </w:tc>
        <w:tc>
          <w:tcPr>
            <w:tcW w:w="962" w:type="pct"/>
            <w:tcBorders>
              <w:tl2br w:val="nil"/>
              <w:tr2bl w:val="nil"/>
            </w:tcBorders>
            <w:noWrap w:val="0"/>
            <w:vAlign w:val="center"/>
          </w:tcPr>
          <w:p w14:paraId="1F405F2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23.6</w:t>
            </w:r>
          </w:p>
        </w:tc>
        <w:tc>
          <w:tcPr>
            <w:tcW w:w="962" w:type="pct"/>
            <w:tcBorders>
              <w:tl2br w:val="nil"/>
              <w:tr2bl w:val="nil"/>
            </w:tcBorders>
            <w:noWrap w:val="0"/>
            <w:vAlign w:val="center"/>
          </w:tcPr>
          <w:p w14:paraId="67AECBF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2.73</w:t>
            </w:r>
          </w:p>
        </w:tc>
        <w:tc>
          <w:tcPr>
            <w:tcW w:w="969" w:type="pct"/>
            <w:tcBorders>
              <w:tl2br w:val="nil"/>
              <w:tr2bl w:val="nil"/>
            </w:tcBorders>
            <w:noWrap w:val="0"/>
            <w:vAlign w:val="center"/>
          </w:tcPr>
          <w:p w14:paraId="40B59D8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3820D6E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20.0</w:t>
            </w:r>
          </w:p>
        </w:tc>
        <w:tc>
          <w:tcPr>
            <w:tcW w:w="572" w:type="pct"/>
            <w:tcBorders>
              <w:tl2br w:val="nil"/>
              <w:tr2bl w:val="nil"/>
            </w:tcBorders>
            <w:noWrap w:val="0"/>
            <w:vAlign w:val="center"/>
          </w:tcPr>
          <w:p w14:paraId="53157D7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bookmarkEnd w:id="434"/>
      <w:tr w14:paraId="69676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13BB6B2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亚硝酸盐（以N计）</w:t>
            </w:r>
          </w:p>
        </w:tc>
        <w:tc>
          <w:tcPr>
            <w:tcW w:w="962" w:type="pct"/>
            <w:tcBorders>
              <w:tl2br w:val="nil"/>
              <w:tr2bl w:val="nil"/>
            </w:tcBorders>
            <w:noWrap w:val="0"/>
            <w:vAlign w:val="center"/>
          </w:tcPr>
          <w:p w14:paraId="3190BFE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&lt;0.003</w:t>
            </w:r>
          </w:p>
        </w:tc>
        <w:tc>
          <w:tcPr>
            <w:tcW w:w="962" w:type="pct"/>
            <w:tcBorders>
              <w:tl2br w:val="nil"/>
              <w:tr2bl w:val="nil"/>
            </w:tcBorders>
            <w:noWrap w:val="0"/>
            <w:vAlign w:val="center"/>
          </w:tcPr>
          <w:p w14:paraId="5F805D1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&lt;0.003</w:t>
            </w:r>
          </w:p>
        </w:tc>
        <w:tc>
          <w:tcPr>
            <w:tcW w:w="969" w:type="pct"/>
            <w:tcBorders>
              <w:tl2br w:val="nil"/>
              <w:tr2bl w:val="nil"/>
            </w:tcBorders>
            <w:noWrap w:val="0"/>
            <w:vAlign w:val="center"/>
          </w:tcPr>
          <w:p w14:paraId="4D7C910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22F066A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0.005</w:t>
            </w:r>
          </w:p>
        </w:tc>
        <w:tc>
          <w:tcPr>
            <w:tcW w:w="572" w:type="pct"/>
            <w:tcBorders>
              <w:tl2br w:val="nil"/>
              <w:tr2bl w:val="nil"/>
            </w:tcBorders>
            <w:noWrap w:val="0"/>
            <w:vAlign w:val="center"/>
          </w:tcPr>
          <w:p w14:paraId="45B60A2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093B0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74AA26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锰</w:t>
            </w:r>
          </w:p>
        </w:tc>
        <w:tc>
          <w:tcPr>
            <w:tcW w:w="962" w:type="pct"/>
            <w:tcBorders>
              <w:tl2br w:val="nil"/>
              <w:tr2bl w:val="nil"/>
            </w:tcBorders>
            <w:noWrap w:val="0"/>
            <w:vAlign w:val="center"/>
          </w:tcPr>
          <w:p w14:paraId="744DAE9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0.009</w:t>
            </w:r>
          </w:p>
        </w:tc>
        <w:tc>
          <w:tcPr>
            <w:tcW w:w="962" w:type="pct"/>
            <w:tcBorders>
              <w:tl2br w:val="nil"/>
              <w:tr2bl w:val="nil"/>
            </w:tcBorders>
            <w:noWrap w:val="0"/>
            <w:vAlign w:val="center"/>
          </w:tcPr>
          <w:p w14:paraId="0A7D483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0.018</w:t>
            </w:r>
          </w:p>
        </w:tc>
        <w:tc>
          <w:tcPr>
            <w:tcW w:w="969" w:type="pct"/>
            <w:tcBorders>
              <w:tl2br w:val="nil"/>
              <w:tr2bl w:val="nil"/>
            </w:tcBorders>
            <w:noWrap w:val="0"/>
            <w:vAlign w:val="center"/>
          </w:tcPr>
          <w:p w14:paraId="261723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1DBF412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0.02</w:t>
            </w:r>
          </w:p>
        </w:tc>
        <w:tc>
          <w:tcPr>
            <w:tcW w:w="572" w:type="pct"/>
            <w:tcBorders>
              <w:tl2br w:val="nil"/>
              <w:tr2bl w:val="nil"/>
            </w:tcBorders>
            <w:noWrap w:val="0"/>
            <w:vAlign w:val="center"/>
          </w:tcPr>
          <w:p w14:paraId="3CA73F0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729D3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31CAA8C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铜</w:t>
            </w:r>
          </w:p>
        </w:tc>
        <w:tc>
          <w:tcPr>
            <w:tcW w:w="962" w:type="pct"/>
            <w:tcBorders>
              <w:tl2br w:val="nil"/>
              <w:tr2bl w:val="nil"/>
            </w:tcBorders>
            <w:noWrap w:val="0"/>
            <w:vAlign w:val="center"/>
          </w:tcPr>
          <w:p w14:paraId="2C0A649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0.008</w:t>
            </w:r>
          </w:p>
        </w:tc>
        <w:tc>
          <w:tcPr>
            <w:tcW w:w="962" w:type="pct"/>
            <w:tcBorders>
              <w:tl2br w:val="nil"/>
              <w:tr2bl w:val="nil"/>
            </w:tcBorders>
            <w:noWrap w:val="0"/>
            <w:vAlign w:val="center"/>
          </w:tcPr>
          <w:p w14:paraId="79EF170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0.006</w:t>
            </w:r>
          </w:p>
        </w:tc>
        <w:tc>
          <w:tcPr>
            <w:tcW w:w="969" w:type="pct"/>
            <w:tcBorders>
              <w:tl2br w:val="nil"/>
              <w:tr2bl w:val="nil"/>
            </w:tcBorders>
            <w:noWrap w:val="0"/>
            <w:vAlign w:val="center"/>
          </w:tcPr>
          <w:p w14:paraId="0BF2D8D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DA3415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0.05</w:t>
            </w:r>
          </w:p>
        </w:tc>
        <w:tc>
          <w:tcPr>
            <w:tcW w:w="572" w:type="pct"/>
            <w:tcBorders>
              <w:tl2br w:val="nil"/>
              <w:tr2bl w:val="nil"/>
            </w:tcBorders>
            <w:noWrap w:val="0"/>
            <w:vAlign w:val="center"/>
          </w:tcPr>
          <w:p w14:paraId="31C2060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34C7B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72C0C7FB">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铁</w:t>
            </w:r>
          </w:p>
        </w:tc>
        <w:tc>
          <w:tcPr>
            <w:tcW w:w="962" w:type="pct"/>
            <w:tcBorders>
              <w:tl2br w:val="nil"/>
              <w:tr2bl w:val="nil"/>
            </w:tcBorders>
            <w:noWrap w:val="0"/>
            <w:vAlign w:val="center"/>
          </w:tcPr>
          <w:p w14:paraId="3DFF12A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0.02</w:t>
            </w:r>
          </w:p>
        </w:tc>
        <w:tc>
          <w:tcPr>
            <w:tcW w:w="962" w:type="pct"/>
            <w:tcBorders>
              <w:tl2br w:val="nil"/>
              <w:tr2bl w:val="nil"/>
            </w:tcBorders>
            <w:noWrap w:val="0"/>
            <w:vAlign w:val="center"/>
          </w:tcPr>
          <w:p w14:paraId="209E977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0.02</w:t>
            </w:r>
          </w:p>
        </w:tc>
        <w:tc>
          <w:tcPr>
            <w:tcW w:w="969" w:type="pct"/>
            <w:tcBorders>
              <w:tl2br w:val="nil"/>
              <w:tr2bl w:val="nil"/>
            </w:tcBorders>
            <w:noWrap w:val="0"/>
            <w:vAlign w:val="center"/>
          </w:tcPr>
          <w:p w14:paraId="7EC4112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27482A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0.03</w:t>
            </w:r>
          </w:p>
        </w:tc>
        <w:tc>
          <w:tcPr>
            <w:tcW w:w="572" w:type="pct"/>
            <w:tcBorders>
              <w:tl2br w:val="nil"/>
              <w:tr2bl w:val="nil"/>
            </w:tcBorders>
            <w:noWrap w:val="0"/>
            <w:vAlign w:val="center"/>
          </w:tcPr>
          <w:p w14:paraId="6091F82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39516C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DF79D4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铅</w:t>
            </w:r>
          </w:p>
        </w:tc>
        <w:tc>
          <w:tcPr>
            <w:tcW w:w="962" w:type="pct"/>
            <w:tcBorders>
              <w:tl2br w:val="nil"/>
              <w:tr2bl w:val="nil"/>
            </w:tcBorders>
            <w:noWrap w:val="0"/>
            <w:vAlign w:val="center"/>
          </w:tcPr>
          <w:p w14:paraId="64E04DE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3.9</w:t>
            </w:r>
            <w:r>
              <w:rPr>
                <w:rFonts w:hint="default" w:ascii="Times New Roman" w:hAnsi="Times New Roman" w:eastAsia="宋体" w:cs="Times New Roman"/>
                <w:color w:val="auto"/>
                <w:kern w:val="0"/>
                <w:sz w:val="21"/>
                <w:szCs w:val="21"/>
                <w:highlight w:val="none"/>
                <w:lang w:val="en-US" w:eastAsia="zh-CN" w:bidi="ar"/>
              </w:rPr>
              <w:t>×10</w:t>
            </w:r>
            <w:r>
              <w:rPr>
                <w:rFonts w:hint="eastAsia" w:ascii="Times New Roman" w:hAnsi="Times New Roman" w:eastAsia="宋体" w:cs="Times New Roman"/>
                <w:color w:val="auto"/>
                <w:kern w:val="0"/>
                <w:sz w:val="21"/>
                <w:szCs w:val="21"/>
                <w:highlight w:val="none"/>
                <w:vertAlign w:val="superscript"/>
                <w:lang w:val="en-US" w:eastAsia="zh-CN" w:bidi="ar"/>
              </w:rPr>
              <w:t>-4</w:t>
            </w:r>
          </w:p>
        </w:tc>
        <w:tc>
          <w:tcPr>
            <w:tcW w:w="962" w:type="pct"/>
            <w:tcBorders>
              <w:tl2br w:val="nil"/>
              <w:tr2bl w:val="nil"/>
            </w:tcBorders>
            <w:noWrap w:val="0"/>
            <w:vAlign w:val="center"/>
          </w:tcPr>
          <w:p w14:paraId="35B076E6">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1.1</w:t>
            </w:r>
            <w:r>
              <w:rPr>
                <w:rFonts w:hint="default" w:ascii="Times New Roman" w:hAnsi="Times New Roman" w:eastAsia="宋体" w:cs="Times New Roman"/>
                <w:color w:val="auto"/>
                <w:kern w:val="0"/>
                <w:sz w:val="21"/>
                <w:szCs w:val="21"/>
                <w:highlight w:val="none"/>
                <w:lang w:val="en-US" w:eastAsia="zh-CN" w:bidi="ar"/>
              </w:rPr>
              <w:t>×10</w:t>
            </w:r>
            <w:r>
              <w:rPr>
                <w:rFonts w:hint="eastAsia" w:ascii="Times New Roman" w:hAnsi="Times New Roman" w:eastAsia="宋体" w:cs="Times New Roman"/>
                <w:color w:val="auto"/>
                <w:kern w:val="0"/>
                <w:sz w:val="21"/>
                <w:szCs w:val="21"/>
                <w:highlight w:val="none"/>
                <w:vertAlign w:val="superscript"/>
                <w:lang w:val="en-US" w:eastAsia="zh-CN" w:bidi="ar"/>
              </w:rPr>
              <w:t>-4</w:t>
            </w:r>
          </w:p>
        </w:tc>
        <w:tc>
          <w:tcPr>
            <w:tcW w:w="969" w:type="pct"/>
            <w:tcBorders>
              <w:tl2br w:val="nil"/>
              <w:tr2bl w:val="nil"/>
            </w:tcBorders>
            <w:noWrap w:val="0"/>
            <w:vAlign w:val="center"/>
          </w:tcPr>
          <w:p w14:paraId="2130119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0A9CC25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&lt;</w:t>
            </w:r>
            <w:r>
              <w:rPr>
                <w:rFonts w:hint="eastAsia" w:ascii="Times New Roman" w:hAnsi="Times New Roman" w:eastAsia="宋体" w:cs="Times New Roman"/>
                <w:color w:val="auto"/>
                <w:kern w:val="0"/>
                <w:sz w:val="21"/>
                <w:szCs w:val="21"/>
                <w:highlight w:val="none"/>
                <w:lang w:val="en-US" w:eastAsia="zh-CN" w:bidi="ar"/>
              </w:rPr>
              <w:t>0.0025</w:t>
            </w:r>
          </w:p>
        </w:tc>
        <w:tc>
          <w:tcPr>
            <w:tcW w:w="572" w:type="pct"/>
            <w:tcBorders>
              <w:tl2br w:val="nil"/>
              <w:tr2bl w:val="nil"/>
            </w:tcBorders>
            <w:noWrap w:val="0"/>
            <w:vAlign w:val="center"/>
          </w:tcPr>
          <w:p w14:paraId="4383063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5E439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1993365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碳酸盐</w:t>
            </w:r>
          </w:p>
        </w:tc>
        <w:tc>
          <w:tcPr>
            <w:tcW w:w="962" w:type="pct"/>
            <w:tcBorders>
              <w:tl2br w:val="nil"/>
              <w:tr2bl w:val="nil"/>
            </w:tcBorders>
            <w:noWrap w:val="0"/>
            <w:vAlign w:val="center"/>
          </w:tcPr>
          <w:p w14:paraId="3A12F55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&lt;5</w:t>
            </w:r>
          </w:p>
        </w:tc>
        <w:tc>
          <w:tcPr>
            <w:tcW w:w="962" w:type="pct"/>
            <w:tcBorders>
              <w:tl2br w:val="nil"/>
              <w:tr2bl w:val="nil"/>
            </w:tcBorders>
            <w:noWrap w:val="0"/>
            <w:vAlign w:val="center"/>
          </w:tcPr>
          <w:p w14:paraId="70DBFAA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&lt;5</w:t>
            </w:r>
          </w:p>
        </w:tc>
        <w:tc>
          <w:tcPr>
            <w:tcW w:w="969" w:type="pct"/>
            <w:tcBorders>
              <w:tl2br w:val="nil"/>
              <w:tr2bl w:val="nil"/>
            </w:tcBorders>
            <w:noWrap w:val="0"/>
            <w:vAlign w:val="center"/>
          </w:tcPr>
          <w:p w14:paraId="6C72ED2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31E8D4D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未检出</w:t>
            </w:r>
          </w:p>
        </w:tc>
        <w:tc>
          <w:tcPr>
            <w:tcW w:w="572" w:type="pct"/>
            <w:tcBorders>
              <w:tl2br w:val="nil"/>
              <w:tr2bl w:val="nil"/>
            </w:tcBorders>
            <w:noWrap w:val="0"/>
            <w:vAlign w:val="center"/>
          </w:tcPr>
          <w:p w14:paraId="1DCAE229">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075D0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5354DB2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重碳酸盐</w:t>
            </w:r>
          </w:p>
        </w:tc>
        <w:tc>
          <w:tcPr>
            <w:tcW w:w="962" w:type="pct"/>
            <w:tcBorders>
              <w:tl2br w:val="nil"/>
              <w:tr2bl w:val="nil"/>
            </w:tcBorders>
            <w:noWrap w:val="0"/>
            <w:vAlign w:val="center"/>
          </w:tcPr>
          <w:p w14:paraId="702F181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152</w:t>
            </w:r>
          </w:p>
        </w:tc>
        <w:tc>
          <w:tcPr>
            <w:tcW w:w="962" w:type="pct"/>
            <w:tcBorders>
              <w:tl2br w:val="nil"/>
              <w:tr2bl w:val="nil"/>
            </w:tcBorders>
            <w:noWrap w:val="0"/>
            <w:vAlign w:val="center"/>
          </w:tcPr>
          <w:p w14:paraId="74D33F5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58</w:t>
            </w:r>
          </w:p>
        </w:tc>
        <w:tc>
          <w:tcPr>
            <w:tcW w:w="969" w:type="pct"/>
            <w:tcBorders>
              <w:tl2br w:val="nil"/>
              <w:tr2bl w:val="nil"/>
            </w:tcBorders>
            <w:noWrap w:val="0"/>
            <w:vAlign w:val="center"/>
          </w:tcPr>
          <w:p w14:paraId="5163DE8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573" w:type="pct"/>
            <w:tcBorders>
              <w:tl2br w:val="nil"/>
              <w:tr2bl w:val="nil"/>
            </w:tcBorders>
            <w:noWrap w:val="0"/>
            <w:vAlign w:val="center"/>
          </w:tcPr>
          <w:p w14:paraId="40BBE1A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104</w:t>
            </w:r>
          </w:p>
        </w:tc>
        <w:tc>
          <w:tcPr>
            <w:tcW w:w="572" w:type="pct"/>
            <w:tcBorders>
              <w:tl2br w:val="nil"/>
              <w:tr2bl w:val="nil"/>
            </w:tcBorders>
            <w:noWrap w:val="0"/>
            <w:vAlign w:val="center"/>
          </w:tcPr>
          <w:p w14:paraId="1FD733A5">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6E774D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07B558EE">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苯</w:t>
            </w:r>
          </w:p>
        </w:tc>
        <w:tc>
          <w:tcPr>
            <w:tcW w:w="962" w:type="pct"/>
            <w:tcBorders>
              <w:tl2br w:val="nil"/>
              <w:tr2bl w:val="nil"/>
            </w:tcBorders>
            <w:noWrap w:val="0"/>
            <w:vAlign w:val="center"/>
          </w:tcPr>
          <w:p w14:paraId="7598830D">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962" w:type="pct"/>
            <w:tcBorders>
              <w:tl2br w:val="nil"/>
              <w:tr2bl w:val="nil"/>
            </w:tcBorders>
            <w:noWrap w:val="0"/>
            <w:vAlign w:val="center"/>
          </w:tcPr>
          <w:p w14:paraId="7DE2065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969" w:type="pct"/>
            <w:tcBorders>
              <w:tl2br w:val="nil"/>
              <w:tr2bl w:val="nil"/>
            </w:tcBorders>
            <w:noWrap w:val="0"/>
            <w:vAlign w:val="center"/>
          </w:tcPr>
          <w:p w14:paraId="28963ED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573" w:type="pct"/>
            <w:tcBorders>
              <w:tl2br w:val="nil"/>
              <w:tr2bl w:val="nil"/>
            </w:tcBorders>
            <w:noWrap w:val="0"/>
            <w:vAlign w:val="center"/>
          </w:tcPr>
          <w:p w14:paraId="42B54BF0">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tcBorders>
              <w:tl2br w:val="nil"/>
              <w:tr2bl w:val="nil"/>
            </w:tcBorders>
            <w:noWrap w:val="0"/>
            <w:vAlign w:val="center"/>
          </w:tcPr>
          <w:p w14:paraId="5934E2B8">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µg/L</w:t>
            </w:r>
          </w:p>
        </w:tc>
      </w:tr>
      <w:tr w14:paraId="5304F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A9506B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二甲苯</w:t>
            </w:r>
            <w:r>
              <w:rPr>
                <w:rFonts w:hint="eastAsia" w:ascii="Times New Roman" w:hAnsi="Times New Roman" w:eastAsia="宋体" w:cs="Times New Roman"/>
                <w:color w:val="auto"/>
                <w:kern w:val="0"/>
                <w:sz w:val="21"/>
                <w:szCs w:val="21"/>
                <w:highlight w:val="none"/>
                <w:lang w:val="en-US" w:eastAsia="zh-CN" w:bidi="ar"/>
              </w:rPr>
              <w:t>（总量）</w:t>
            </w:r>
          </w:p>
        </w:tc>
        <w:tc>
          <w:tcPr>
            <w:tcW w:w="962" w:type="pct"/>
            <w:tcBorders>
              <w:tl2br w:val="nil"/>
              <w:tr2bl w:val="nil"/>
            </w:tcBorders>
            <w:noWrap w:val="0"/>
            <w:vAlign w:val="center"/>
          </w:tcPr>
          <w:p w14:paraId="4B708A9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962" w:type="pct"/>
            <w:tcBorders>
              <w:tl2br w:val="nil"/>
              <w:tr2bl w:val="nil"/>
            </w:tcBorders>
            <w:noWrap w:val="0"/>
            <w:vAlign w:val="center"/>
          </w:tcPr>
          <w:p w14:paraId="6C4CF63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969" w:type="pct"/>
            <w:tcBorders>
              <w:tl2br w:val="nil"/>
              <w:tr2bl w:val="nil"/>
            </w:tcBorders>
            <w:noWrap w:val="0"/>
            <w:vAlign w:val="center"/>
          </w:tcPr>
          <w:p w14:paraId="3FD3C67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&lt;1.4</w:t>
            </w:r>
          </w:p>
        </w:tc>
        <w:tc>
          <w:tcPr>
            <w:tcW w:w="573" w:type="pct"/>
            <w:tcBorders>
              <w:tl2br w:val="nil"/>
              <w:tr2bl w:val="nil"/>
            </w:tcBorders>
            <w:noWrap w:val="0"/>
            <w:vAlign w:val="center"/>
          </w:tcPr>
          <w:p w14:paraId="42DC9EC7">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tcBorders>
              <w:tl2br w:val="nil"/>
              <w:tr2bl w:val="nil"/>
            </w:tcBorders>
            <w:noWrap w:val="0"/>
            <w:vAlign w:val="center"/>
          </w:tcPr>
          <w:p w14:paraId="55E692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µg/L</w:t>
            </w:r>
          </w:p>
        </w:tc>
      </w:tr>
      <w:tr w14:paraId="02149D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60F9BEA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挥发性石油烃（C6-C9）</w:t>
            </w:r>
          </w:p>
        </w:tc>
        <w:tc>
          <w:tcPr>
            <w:tcW w:w="962" w:type="pct"/>
            <w:tcBorders>
              <w:tl2br w:val="nil"/>
              <w:tr2bl w:val="nil"/>
            </w:tcBorders>
            <w:noWrap w:val="0"/>
            <w:vAlign w:val="center"/>
          </w:tcPr>
          <w:p w14:paraId="6710E9A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&lt;0.02</w:t>
            </w:r>
          </w:p>
        </w:tc>
        <w:tc>
          <w:tcPr>
            <w:tcW w:w="962" w:type="pct"/>
            <w:tcBorders>
              <w:tl2br w:val="nil"/>
              <w:tr2bl w:val="nil"/>
            </w:tcBorders>
            <w:noWrap w:val="0"/>
            <w:vAlign w:val="center"/>
          </w:tcPr>
          <w:p w14:paraId="0402A04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&lt;0.02</w:t>
            </w:r>
          </w:p>
        </w:tc>
        <w:tc>
          <w:tcPr>
            <w:tcW w:w="969" w:type="pct"/>
            <w:tcBorders>
              <w:tl2br w:val="nil"/>
              <w:tr2bl w:val="nil"/>
            </w:tcBorders>
            <w:noWrap w:val="0"/>
            <w:vAlign w:val="center"/>
          </w:tcPr>
          <w:p w14:paraId="5D0BF3F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&lt;0.02</w:t>
            </w:r>
          </w:p>
        </w:tc>
        <w:tc>
          <w:tcPr>
            <w:tcW w:w="573" w:type="pct"/>
            <w:tcBorders>
              <w:tl2br w:val="nil"/>
              <w:tr2bl w:val="nil"/>
            </w:tcBorders>
            <w:noWrap w:val="0"/>
            <w:vAlign w:val="center"/>
          </w:tcPr>
          <w:p w14:paraId="44D5139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tcBorders>
              <w:tl2br w:val="nil"/>
              <w:tr2bl w:val="nil"/>
            </w:tcBorders>
            <w:noWrap w:val="0"/>
            <w:vAlign w:val="center"/>
          </w:tcPr>
          <w:p w14:paraId="776C4CE4">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5D89A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09434CD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石油烃（C10-C40）</w:t>
            </w:r>
          </w:p>
        </w:tc>
        <w:tc>
          <w:tcPr>
            <w:tcW w:w="962" w:type="pct"/>
            <w:tcBorders>
              <w:tl2br w:val="nil"/>
              <w:tr2bl w:val="nil"/>
            </w:tcBorders>
            <w:noWrap w:val="0"/>
            <w:vAlign w:val="center"/>
          </w:tcPr>
          <w:p w14:paraId="4D7E0AE1">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0.12</w:t>
            </w:r>
          </w:p>
        </w:tc>
        <w:tc>
          <w:tcPr>
            <w:tcW w:w="962" w:type="pct"/>
            <w:tcBorders>
              <w:tl2br w:val="nil"/>
              <w:tr2bl w:val="nil"/>
            </w:tcBorders>
            <w:noWrap w:val="0"/>
            <w:vAlign w:val="center"/>
          </w:tcPr>
          <w:p w14:paraId="31869203">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0.16</w:t>
            </w:r>
          </w:p>
        </w:tc>
        <w:tc>
          <w:tcPr>
            <w:tcW w:w="969" w:type="pct"/>
            <w:tcBorders>
              <w:tl2br w:val="nil"/>
              <w:tr2bl w:val="nil"/>
            </w:tcBorders>
            <w:noWrap w:val="0"/>
            <w:vAlign w:val="center"/>
          </w:tcPr>
          <w:p w14:paraId="02FECEE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0.17</w:t>
            </w:r>
          </w:p>
        </w:tc>
        <w:tc>
          <w:tcPr>
            <w:tcW w:w="573" w:type="pct"/>
            <w:tcBorders>
              <w:tl2br w:val="nil"/>
              <w:tr2bl w:val="nil"/>
            </w:tcBorders>
            <w:noWrap w:val="0"/>
            <w:vAlign w:val="center"/>
          </w:tcPr>
          <w:p w14:paraId="534A662F">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p>
        </w:tc>
        <w:tc>
          <w:tcPr>
            <w:tcW w:w="572" w:type="pct"/>
            <w:tcBorders>
              <w:tl2br w:val="nil"/>
              <w:tr2bl w:val="nil"/>
            </w:tcBorders>
            <w:noWrap w:val="0"/>
            <w:vAlign w:val="center"/>
          </w:tcPr>
          <w:p w14:paraId="218B0E6A">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mg/L</w:t>
            </w:r>
          </w:p>
        </w:tc>
      </w:tr>
      <w:tr w14:paraId="3ABBE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gridSpan w:val="2"/>
            <w:tcBorders>
              <w:tl2br w:val="nil"/>
              <w:tr2bl w:val="nil"/>
            </w:tcBorders>
            <w:noWrap w:val="0"/>
            <w:vAlign w:val="center"/>
          </w:tcPr>
          <w:p w14:paraId="437C4B42">
            <w:pPr>
              <w:widowControl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备注</w:t>
            </w:r>
          </w:p>
        </w:tc>
        <w:tc>
          <w:tcPr>
            <w:tcW w:w="4039" w:type="pct"/>
            <w:gridSpan w:val="5"/>
            <w:tcBorders>
              <w:tl2br w:val="nil"/>
              <w:tr2bl w:val="nil"/>
            </w:tcBorders>
            <w:noWrap w:val="0"/>
            <w:vAlign w:val="center"/>
          </w:tcPr>
          <w:p w14:paraId="5B97BA3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表示该项目未检测；</w:t>
            </w:r>
          </w:p>
          <w:p w14:paraId="4974EA3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2、D2水位：0.72m；D4水位：2.85m；D5水位：1.53m；D6水位：4.55m。</w:t>
            </w:r>
          </w:p>
        </w:tc>
      </w:tr>
    </w:tbl>
    <w:p w14:paraId="48615D82">
      <w:pPr>
        <w:pStyle w:val="5"/>
        <w:numPr>
          <w:ilvl w:val="3"/>
          <w:numId w:val="0"/>
        </w:numPr>
        <w:bidi w:val="0"/>
        <w:ind w:leftChars="0"/>
        <w:rPr>
          <w:color w:val="auto"/>
          <w:highlight w:val="none"/>
          <w:lang w:val="en-US" w:eastAsia="zh-CN"/>
        </w:rPr>
      </w:pPr>
      <w:bookmarkStart w:id="435" w:name="_Toc375041288"/>
      <w:bookmarkStart w:id="436" w:name="_Toc377541063"/>
      <w:r>
        <w:rPr>
          <w:rFonts w:hint="eastAsia"/>
          <w:color w:val="auto"/>
          <w:highlight w:val="none"/>
          <w:lang w:val="en-US" w:eastAsia="zh-CN"/>
        </w:rPr>
        <w:t>4.2</w:t>
      </w:r>
      <w:r>
        <w:rPr>
          <w:color w:val="auto"/>
          <w:highlight w:val="none"/>
          <w:lang w:val="en-US" w:eastAsia="zh-CN"/>
        </w:rPr>
        <w:t>.2.2</w:t>
      </w:r>
      <w:r>
        <w:rPr>
          <w:rFonts w:hint="eastAsia"/>
          <w:color w:val="auto"/>
          <w:highlight w:val="none"/>
          <w:lang w:val="en-US" w:eastAsia="zh-CN"/>
        </w:rPr>
        <w:t xml:space="preserve"> </w:t>
      </w:r>
      <w:r>
        <w:rPr>
          <w:color w:val="auto"/>
          <w:highlight w:val="none"/>
          <w:lang w:val="en-US" w:eastAsia="zh-CN"/>
        </w:rPr>
        <w:t>地下水环境质量现状评价</w:t>
      </w:r>
      <w:bookmarkEnd w:id="435"/>
      <w:bookmarkEnd w:id="436"/>
    </w:p>
    <w:p w14:paraId="01D99F6F">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（1）评价标准</w:t>
      </w:r>
    </w:p>
    <w:p w14:paraId="5F1BFF9F">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区域地下水环境执行《地下水质量标准》（GB/T14848-2017）中的</w:t>
      </w:r>
      <w:r>
        <w:rPr>
          <w:rFonts w:hint="default" w:ascii="Times New Roman" w:hAnsi="Times New Roman" w:eastAsia="微软雅黑" w:cs="Times New Roman"/>
          <w:color w:val="auto"/>
          <w:sz w:val="24"/>
          <w:szCs w:val="22"/>
          <w:highlight w:val="none"/>
          <w:lang w:val="en-US" w:eastAsia="zh-CN" w:bidi="ar-SA"/>
        </w:rPr>
        <w:t>Ⅳ</w:t>
      </w:r>
      <w:r>
        <w:rPr>
          <w:rFonts w:ascii="Times New Roman" w:hAnsi="Times New Roman" w:eastAsia="宋体" w:cs="Times New Roman"/>
          <w:color w:val="auto"/>
          <w:sz w:val="24"/>
          <w:szCs w:val="22"/>
          <w:highlight w:val="none"/>
          <w:lang w:val="en-US" w:eastAsia="zh-CN" w:bidi="ar-SA"/>
        </w:rPr>
        <w:t>类标准。</w:t>
      </w:r>
    </w:p>
    <w:p w14:paraId="4405F145">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（2）评价方法</w:t>
      </w:r>
    </w:p>
    <w:p w14:paraId="0D0AF151">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采用标准指数法进行评价，分别计算每一种污染物的标准指数Si，水质参数的标准指数＞1，表明该水质参数超过了规定的水质标准。</w:t>
      </w:r>
    </w:p>
    <w:p w14:paraId="27542410">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①对于评价标准为定值的水质因子，标准指数计算公式如下：</w:t>
      </w:r>
    </w:p>
    <w:p w14:paraId="25A0FDCC">
      <w:pPr>
        <w:widowControl w:val="0"/>
        <w:adjustRightInd w:val="0"/>
        <w:snapToGrid w:val="0"/>
        <w:spacing w:line="360" w:lineRule="auto"/>
        <w:ind w:firstLine="480" w:firstLineChars="200"/>
        <w:jc w:val="center"/>
        <w:rPr>
          <w:rFonts w:hint="eastAsia"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object>
          <v:shape id="_x0000_i1025" o:spt="75" type="#_x0000_t75" style="height:35.25pt;width:41.25pt;" o:ole="t" filled="f" o:preferrelative="t" stroked="f" coordsize="21600,21600">
            <v:path/>
            <v:fill on="f" focussize="0,0"/>
            <v:stroke on="f"/>
            <v:imagedata r:id="rId54" o:title=""/>
            <o:lock v:ext="edit" aspectratio="t"/>
            <w10:wrap type="none"/>
            <w10:anchorlock/>
          </v:shape>
          <o:OLEObject Type="Embed" ProgID="Equation.3" ShapeID="_x0000_i1025" DrawAspect="Content" ObjectID="_1468075725" r:id="rId53">
            <o:LockedField>false</o:LockedField>
          </o:OLEObject>
        </w:object>
      </w:r>
    </w:p>
    <w:p w14:paraId="23FB8E7C">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式中：</w:t>
      </w:r>
    </w:p>
    <w:p w14:paraId="59A0A6C9">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Si—第i种污染物的污染指数；</w:t>
      </w:r>
    </w:p>
    <w:p w14:paraId="06BCCA0C">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Ci—第i种污染物的实测平均值，mg/L；</w:t>
      </w:r>
    </w:p>
    <w:p w14:paraId="23552F3C">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Cs—第i种污染物的标准值，mg/L。</w:t>
      </w:r>
    </w:p>
    <w:p w14:paraId="1A2A7BD7">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②pH的标准指数为：</w:t>
      </w:r>
    </w:p>
    <w:p w14:paraId="7A803959">
      <w:pPr>
        <w:widowControl w:val="0"/>
        <w:adjustRightInd w:val="0"/>
        <w:snapToGrid w:val="0"/>
        <w:spacing w:line="360" w:lineRule="auto"/>
        <w:ind w:firstLine="480" w:firstLineChars="200"/>
        <w:jc w:val="center"/>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object>
          <v:shape id="_x0000_i1026" o:spt="75" type="#_x0000_t75" style="height:36pt;width:96pt;" o:ole="t" filled="f" o:preferrelative="t" stroked="f" coordsize="21600,21600">
            <v:path/>
            <v:fill on="f" focussize="0,0"/>
            <v:stroke on="f"/>
            <v:imagedata r:id="rId56" o:title=""/>
            <o:lock v:ext="edit" aspectratio="t"/>
            <w10:wrap type="none"/>
            <w10:anchorlock/>
          </v:shape>
          <o:OLEObject Type="Embed" ProgID="Equation.3" ShapeID="_x0000_i1026" DrawAspect="Content" ObjectID="_1468075726" r:id="rId55">
            <o:LockedField>false</o:LockedField>
          </o:OLEObject>
        </w:object>
      </w:r>
      <w:r>
        <w:rPr>
          <w:rFonts w:ascii="Times New Roman" w:hAnsi="Times New Roman" w:eastAsia="宋体" w:cs="Times New Roman"/>
          <w:color w:val="auto"/>
          <w:sz w:val="24"/>
          <w:szCs w:val="22"/>
          <w:highlight w:val="none"/>
          <w:lang w:val="en-US" w:eastAsia="zh-CN" w:bidi="ar-SA"/>
        </w:rPr>
        <w:t>，pH</w:t>
      </w:r>
      <w:r>
        <w:rPr>
          <w:rFonts w:ascii="Times New Roman" w:hAnsi="Times New Roman" w:eastAsia="宋体" w:cs="Times New Roman"/>
          <w:color w:val="auto"/>
          <w:sz w:val="24"/>
          <w:szCs w:val="22"/>
          <w:highlight w:val="none"/>
          <w:vertAlign w:val="subscript"/>
          <w:lang w:val="en-US" w:eastAsia="zh-CN" w:bidi="ar-SA"/>
        </w:rPr>
        <w:t>j</w:t>
      </w:r>
      <w:r>
        <w:rPr>
          <w:rFonts w:ascii="Times New Roman" w:hAnsi="Times New Roman" w:eastAsia="宋体" w:cs="Times New Roman"/>
          <w:color w:val="auto"/>
          <w:sz w:val="24"/>
          <w:szCs w:val="22"/>
          <w:highlight w:val="none"/>
          <w:lang w:val="en-US" w:eastAsia="zh-CN" w:bidi="ar-SA"/>
        </w:rPr>
        <w:t>≤7.0；</w:t>
      </w:r>
    </w:p>
    <w:p w14:paraId="091A8704">
      <w:pPr>
        <w:widowControl w:val="0"/>
        <w:adjustRightInd w:val="0"/>
        <w:snapToGrid w:val="0"/>
        <w:spacing w:line="360" w:lineRule="auto"/>
        <w:ind w:firstLine="480" w:firstLineChars="200"/>
        <w:jc w:val="center"/>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object>
          <v:shape id="_x0000_i1027" o:spt="75" type="#_x0000_t75" style="height:36.75pt;width:96pt;" o:ole="t" filled="f" o:preferrelative="t" stroked="f" coordsize="21600,21600">
            <v:path/>
            <v:fill on="f" focussize="0,0"/>
            <v:stroke on="f"/>
            <v:imagedata r:id="rId58" o:title=""/>
            <o:lock v:ext="edit" aspectratio="t"/>
            <w10:wrap type="none"/>
            <w10:anchorlock/>
          </v:shape>
          <o:OLEObject Type="Embed" ProgID="Equation.3" ShapeID="_x0000_i1027" DrawAspect="Content" ObjectID="_1468075727" r:id="rId57">
            <o:LockedField>false</o:LockedField>
          </o:OLEObject>
        </w:object>
      </w:r>
      <w:r>
        <w:rPr>
          <w:rFonts w:ascii="Times New Roman" w:hAnsi="Times New Roman" w:eastAsia="宋体" w:cs="Times New Roman"/>
          <w:color w:val="auto"/>
          <w:sz w:val="24"/>
          <w:szCs w:val="22"/>
          <w:highlight w:val="none"/>
          <w:lang w:val="en-US" w:eastAsia="zh-CN" w:bidi="ar-SA"/>
        </w:rPr>
        <w:t>，pH</w:t>
      </w:r>
      <w:r>
        <w:rPr>
          <w:rFonts w:ascii="Times New Roman" w:hAnsi="Times New Roman" w:eastAsia="宋体" w:cs="Times New Roman"/>
          <w:color w:val="auto"/>
          <w:sz w:val="24"/>
          <w:szCs w:val="22"/>
          <w:highlight w:val="none"/>
          <w:vertAlign w:val="subscript"/>
          <w:lang w:val="en-US" w:eastAsia="zh-CN" w:bidi="ar-SA"/>
        </w:rPr>
        <w:t>j</w:t>
      </w:r>
      <w:r>
        <w:rPr>
          <w:rFonts w:ascii="Times New Roman" w:hAnsi="Times New Roman" w:eastAsia="宋体" w:cs="Times New Roman"/>
          <w:color w:val="auto"/>
          <w:sz w:val="24"/>
          <w:szCs w:val="22"/>
          <w:highlight w:val="none"/>
          <w:lang w:val="en-US" w:eastAsia="zh-CN" w:bidi="ar-SA"/>
        </w:rPr>
        <w:t>＞7.0。</w:t>
      </w:r>
    </w:p>
    <w:p w14:paraId="0028D3AC">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式中：</w:t>
      </w:r>
    </w:p>
    <w:p w14:paraId="708169AE">
      <w:pPr>
        <w:widowControl w:val="0"/>
        <w:adjustRightInd w:val="0"/>
        <w:snapToGrid w:val="0"/>
        <w:spacing w:line="360" w:lineRule="auto"/>
        <w:ind w:firstLine="480" w:firstLine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pHsd—评价标准中规定的pH值下限，无量纲；</w:t>
      </w:r>
    </w:p>
    <w:p w14:paraId="093B292B">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pHsg—评价标准中规定的pH值上限，无量纲。</w:t>
      </w:r>
    </w:p>
    <w:p w14:paraId="5B6468D7">
      <w:pPr>
        <w:widowControl w:val="0"/>
        <w:numPr>
          <w:ilvl w:val="0"/>
          <w:numId w:val="16"/>
        </w:numPr>
        <w:adjustRightInd w:val="0"/>
        <w:snapToGrid w:val="0"/>
        <w:spacing w:line="360" w:lineRule="auto"/>
        <w:ind w:left="0" w:leftChars="0"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评价结果分析</w:t>
      </w:r>
    </w:p>
    <w:p w14:paraId="645F3E68">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表4.2-9  地下水环境质量评价结果一览表</w:t>
      </w:r>
    </w:p>
    <w:tbl>
      <w:tblPr>
        <w:tblStyle w:val="80"/>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80" w:type="dxa"/>
          <w:left w:w="120" w:type="dxa"/>
          <w:bottom w:w="80" w:type="dxa"/>
          <w:right w:w="120" w:type="dxa"/>
        </w:tblCellMar>
      </w:tblPr>
      <w:tblGrid>
        <w:gridCol w:w="940"/>
        <w:gridCol w:w="875"/>
        <w:gridCol w:w="1278"/>
        <w:gridCol w:w="965"/>
        <w:gridCol w:w="1278"/>
        <w:gridCol w:w="965"/>
        <w:gridCol w:w="1279"/>
        <w:gridCol w:w="966"/>
      </w:tblGrid>
      <w:tr w14:paraId="3254F9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tblHeader/>
          <w:jc w:val="center"/>
        </w:trPr>
        <w:tc>
          <w:tcPr>
            <w:tcW w:w="614" w:type="pct"/>
            <w:vMerge w:val="restart"/>
            <w:tcBorders>
              <w:tl2br w:val="nil"/>
              <w:tr2bl w:val="nil"/>
            </w:tcBorders>
            <w:vAlign w:val="center"/>
          </w:tcPr>
          <w:p w14:paraId="0358A7E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bCs/>
                <w:color w:val="auto"/>
                <w:kern w:val="0"/>
                <w:sz w:val="21"/>
                <w:szCs w:val="21"/>
                <w:highlight w:val="none"/>
              </w:rPr>
              <w:t>评价因子</w:t>
            </w:r>
          </w:p>
        </w:tc>
        <w:tc>
          <w:tcPr>
            <w:tcW w:w="496" w:type="pct"/>
            <w:vMerge w:val="restart"/>
            <w:tcBorders>
              <w:tl2br w:val="nil"/>
              <w:tr2bl w:val="nil"/>
            </w:tcBorders>
            <w:vAlign w:val="center"/>
          </w:tcPr>
          <w:p w14:paraId="2A95F0B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hint="eastAsia" w:ascii="Times New Roman" w:hAnsi="Times New Roman" w:eastAsia="宋体" w:cs="Times New Roman"/>
                <w:b/>
                <w:bCs/>
                <w:color w:val="auto"/>
                <w:kern w:val="0"/>
                <w:sz w:val="21"/>
                <w:szCs w:val="21"/>
                <w:highlight w:val="none"/>
              </w:rPr>
              <w:t>Ⅳ</w:t>
            </w:r>
            <w:r>
              <w:rPr>
                <w:rFonts w:ascii="Times New Roman" w:hAnsi="Times New Roman" w:eastAsia="宋体" w:cs="Times New Roman"/>
                <w:b/>
                <w:bCs/>
                <w:color w:val="auto"/>
                <w:kern w:val="0"/>
                <w:sz w:val="21"/>
                <w:szCs w:val="21"/>
                <w:highlight w:val="none"/>
              </w:rPr>
              <w:t>类标准限值</w:t>
            </w:r>
          </w:p>
        </w:tc>
        <w:tc>
          <w:tcPr>
            <w:tcW w:w="1290" w:type="pct"/>
            <w:gridSpan w:val="2"/>
            <w:tcBorders>
              <w:tl2br w:val="nil"/>
              <w:tr2bl w:val="nil"/>
            </w:tcBorders>
            <w:vAlign w:val="center"/>
          </w:tcPr>
          <w:p w14:paraId="52F8185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bCs/>
                <w:color w:val="auto"/>
                <w:kern w:val="0"/>
                <w:sz w:val="21"/>
                <w:szCs w:val="21"/>
                <w:highlight w:val="none"/>
              </w:rPr>
              <w:t>D1</w:t>
            </w:r>
            <w:r>
              <w:rPr>
                <w:rFonts w:hint="eastAsia" w:ascii="Times New Roman" w:hAnsi="Times New Roman" w:eastAsia="宋体" w:cs="Times New Roman"/>
                <w:b/>
                <w:bCs/>
                <w:color w:val="auto"/>
                <w:kern w:val="0"/>
                <w:sz w:val="21"/>
                <w:szCs w:val="21"/>
                <w:highlight w:val="none"/>
              </w:rPr>
              <w:t>溪东村（上游）</w:t>
            </w:r>
          </w:p>
        </w:tc>
        <w:tc>
          <w:tcPr>
            <w:tcW w:w="1290" w:type="pct"/>
            <w:gridSpan w:val="2"/>
            <w:tcBorders>
              <w:tl2br w:val="nil"/>
              <w:tr2bl w:val="nil"/>
            </w:tcBorders>
            <w:vAlign w:val="center"/>
          </w:tcPr>
          <w:p w14:paraId="6A24985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bCs/>
                <w:color w:val="auto"/>
                <w:kern w:val="0"/>
                <w:sz w:val="21"/>
                <w:szCs w:val="21"/>
                <w:highlight w:val="none"/>
              </w:rPr>
              <w:t>D2</w:t>
            </w:r>
            <w:r>
              <w:rPr>
                <w:rFonts w:hint="eastAsia" w:ascii="Times New Roman" w:hAnsi="Times New Roman" w:eastAsia="宋体" w:cs="Times New Roman"/>
                <w:b/>
                <w:bCs/>
                <w:color w:val="auto"/>
                <w:kern w:val="0"/>
                <w:sz w:val="21"/>
                <w:szCs w:val="21"/>
                <w:highlight w:val="none"/>
              </w:rPr>
              <w:t>大埕村</w:t>
            </w:r>
          </w:p>
        </w:tc>
        <w:tc>
          <w:tcPr>
            <w:tcW w:w="1308" w:type="pct"/>
            <w:gridSpan w:val="2"/>
            <w:tcBorders>
              <w:tl2br w:val="nil"/>
              <w:tr2bl w:val="nil"/>
            </w:tcBorders>
            <w:vAlign w:val="center"/>
          </w:tcPr>
          <w:p w14:paraId="0EE7A38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bCs/>
                <w:color w:val="auto"/>
                <w:kern w:val="0"/>
                <w:sz w:val="21"/>
                <w:szCs w:val="21"/>
                <w:highlight w:val="none"/>
              </w:rPr>
              <w:t>D3</w:t>
            </w:r>
            <w:r>
              <w:rPr>
                <w:rFonts w:hint="eastAsia" w:ascii="Times New Roman" w:hAnsi="Times New Roman" w:eastAsia="宋体" w:cs="Times New Roman"/>
                <w:b/>
                <w:bCs/>
                <w:color w:val="auto"/>
                <w:kern w:val="0"/>
                <w:sz w:val="21"/>
                <w:szCs w:val="21"/>
                <w:highlight w:val="none"/>
              </w:rPr>
              <w:t>宏三村（下游）</w:t>
            </w:r>
          </w:p>
        </w:tc>
      </w:tr>
      <w:tr w14:paraId="26EE4C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tblHeader/>
          <w:jc w:val="center"/>
        </w:trPr>
        <w:tc>
          <w:tcPr>
            <w:tcW w:w="614" w:type="pct"/>
            <w:vMerge w:val="continue"/>
            <w:tcBorders>
              <w:tl2br w:val="nil"/>
              <w:tr2bl w:val="nil"/>
            </w:tcBorders>
            <w:vAlign w:val="center"/>
          </w:tcPr>
          <w:p w14:paraId="155E037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p>
        </w:tc>
        <w:tc>
          <w:tcPr>
            <w:tcW w:w="496" w:type="pct"/>
            <w:vMerge w:val="continue"/>
            <w:tcBorders>
              <w:tl2br w:val="nil"/>
              <w:tr2bl w:val="nil"/>
            </w:tcBorders>
            <w:vAlign w:val="center"/>
          </w:tcPr>
          <w:p w14:paraId="200DC9C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p>
        </w:tc>
        <w:tc>
          <w:tcPr>
            <w:tcW w:w="812" w:type="pct"/>
            <w:tcBorders>
              <w:tl2br w:val="nil"/>
              <w:tr2bl w:val="nil"/>
            </w:tcBorders>
            <w:vAlign w:val="center"/>
          </w:tcPr>
          <w:p w14:paraId="46CD8C7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实测浓度</w:t>
            </w:r>
          </w:p>
        </w:tc>
        <w:tc>
          <w:tcPr>
            <w:tcW w:w="478" w:type="pct"/>
            <w:tcBorders>
              <w:tl2br w:val="nil"/>
              <w:tr2bl w:val="nil"/>
            </w:tcBorders>
            <w:vAlign w:val="center"/>
          </w:tcPr>
          <w:p w14:paraId="372F7E1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Si</w:t>
            </w:r>
          </w:p>
        </w:tc>
        <w:tc>
          <w:tcPr>
            <w:tcW w:w="812" w:type="pct"/>
            <w:tcBorders>
              <w:tl2br w:val="nil"/>
              <w:tr2bl w:val="nil"/>
            </w:tcBorders>
            <w:vAlign w:val="center"/>
          </w:tcPr>
          <w:p w14:paraId="09E4803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实测浓度</w:t>
            </w:r>
          </w:p>
        </w:tc>
        <w:tc>
          <w:tcPr>
            <w:tcW w:w="478" w:type="pct"/>
            <w:tcBorders>
              <w:tl2br w:val="nil"/>
              <w:tr2bl w:val="nil"/>
            </w:tcBorders>
            <w:vAlign w:val="center"/>
          </w:tcPr>
          <w:p w14:paraId="3B8F27F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Si</w:t>
            </w:r>
          </w:p>
        </w:tc>
        <w:tc>
          <w:tcPr>
            <w:tcW w:w="812" w:type="pct"/>
            <w:tcBorders>
              <w:tl2br w:val="nil"/>
              <w:tr2bl w:val="nil"/>
            </w:tcBorders>
            <w:vAlign w:val="center"/>
          </w:tcPr>
          <w:p w14:paraId="1358673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实测浓度</w:t>
            </w:r>
          </w:p>
        </w:tc>
        <w:tc>
          <w:tcPr>
            <w:tcW w:w="496" w:type="pct"/>
            <w:tcBorders>
              <w:tl2br w:val="nil"/>
              <w:tr2bl w:val="nil"/>
            </w:tcBorders>
            <w:vAlign w:val="center"/>
          </w:tcPr>
          <w:p w14:paraId="65EF19A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b/>
                <w:bCs/>
                <w:color w:val="auto"/>
                <w:kern w:val="0"/>
                <w:sz w:val="21"/>
                <w:szCs w:val="21"/>
                <w:highlight w:val="none"/>
              </w:rPr>
            </w:pPr>
            <w:r>
              <w:rPr>
                <w:rFonts w:ascii="Times New Roman" w:hAnsi="Times New Roman" w:eastAsia="宋体" w:cs="Times New Roman"/>
                <w:b/>
                <w:bCs/>
                <w:color w:val="auto"/>
                <w:kern w:val="0"/>
                <w:sz w:val="21"/>
                <w:szCs w:val="21"/>
                <w:highlight w:val="none"/>
              </w:rPr>
              <w:t>Si</w:t>
            </w:r>
          </w:p>
        </w:tc>
      </w:tr>
      <w:tr w14:paraId="56FA54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6CC2E2B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pH（无量纲）</w:t>
            </w:r>
          </w:p>
        </w:tc>
        <w:tc>
          <w:tcPr>
            <w:tcW w:w="496" w:type="pct"/>
            <w:tcBorders>
              <w:tl2br w:val="nil"/>
              <w:tr2bl w:val="nil"/>
            </w:tcBorders>
            <w:vAlign w:val="center"/>
          </w:tcPr>
          <w:p w14:paraId="608FB3E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5.5≤pH＜6.5</w:t>
            </w:r>
            <w:r>
              <w:rPr>
                <w:rFonts w:ascii="Times New Roman" w:hAnsi="Times New Roman" w:eastAsia="宋体" w:cs="Times New Roman"/>
                <w:b w:val="0"/>
                <w:bCs w:val="0"/>
                <w:i w:val="0"/>
                <w:iCs w:val="0"/>
                <w:strike w:val="0"/>
                <w:color w:val="auto"/>
                <w:kern w:val="0"/>
                <w:sz w:val="21"/>
                <w:szCs w:val="21"/>
                <w:highlight w:val="none"/>
                <w:lang w:eastAsia="zh-CN"/>
              </w:rPr>
              <w:br w:type="textWrapping"/>
            </w:r>
            <w:r>
              <w:rPr>
                <w:rFonts w:ascii="Times New Roman" w:hAnsi="Times New Roman" w:eastAsia="宋体" w:cs="Times New Roman"/>
                <w:b w:val="0"/>
                <w:bCs w:val="0"/>
                <w:i w:val="0"/>
                <w:iCs w:val="0"/>
                <w:strike w:val="0"/>
                <w:color w:val="auto"/>
                <w:kern w:val="0"/>
                <w:sz w:val="21"/>
                <w:szCs w:val="21"/>
                <w:highlight w:val="none"/>
                <w:lang w:eastAsia="zh-CN"/>
              </w:rPr>
              <w:t>8.5＜pH≤9.0</w:t>
            </w:r>
          </w:p>
        </w:tc>
        <w:tc>
          <w:tcPr>
            <w:tcW w:w="812" w:type="pct"/>
            <w:tcBorders>
              <w:tl2br w:val="nil"/>
              <w:tr2bl w:val="nil"/>
            </w:tcBorders>
            <w:vAlign w:val="center"/>
          </w:tcPr>
          <w:p w14:paraId="5FC2FB4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7.2</w:t>
            </w:r>
          </w:p>
        </w:tc>
        <w:tc>
          <w:tcPr>
            <w:tcW w:w="478" w:type="pct"/>
            <w:tcBorders>
              <w:tl2br w:val="nil"/>
              <w:tr2bl w:val="nil"/>
            </w:tcBorders>
            <w:vAlign w:val="center"/>
          </w:tcPr>
          <w:p w14:paraId="0D10290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w:t>
            </w:r>
          </w:p>
        </w:tc>
        <w:tc>
          <w:tcPr>
            <w:tcW w:w="812" w:type="pct"/>
            <w:tcBorders>
              <w:tl2br w:val="nil"/>
              <w:tr2bl w:val="nil"/>
            </w:tcBorders>
            <w:vAlign w:val="center"/>
          </w:tcPr>
          <w:p w14:paraId="6421B81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7.0</w:t>
            </w:r>
          </w:p>
        </w:tc>
        <w:tc>
          <w:tcPr>
            <w:tcW w:w="478" w:type="pct"/>
            <w:tcBorders>
              <w:tl2br w:val="nil"/>
              <w:tr2bl w:val="nil"/>
            </w:tcBorders>
            <w:vAlign w:val="center"/>
          </w:tcPr>
          <w:p w14:paraId="3AB7F9E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w:t>
            </w:r>
          </w:p>
        </w:tc>
        <w:tc>
          <w:tcPr>
            <w:tcW w:w="812" w:type="pct"/>
            <w:tcBorders>
              <w:tl2br w:val="nil"/>
              <w:tr2bl w:val="nil"/>
            </w:tcBorders>
            <w:vAlign w:val="center"/>
          </w:tcPr>
          <w:p w14:paraId="7882115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6.8</w:t>
            </w:r>
          </w:p>
        </w:tc>
        <w:tc>
          <w:tcPr>
            <w:tcW w:w="496" w:type="pct"/>
            <w:tcBorders>
              <w:tl2br w:val="nil"/>
              <w:tr2bl w:val="nil"/>
            </w:tcBorders>
            <w:vAlign w:val="center"/>
          </w:tcPr>
          <w:p w14:paraId="3A8F45D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0.1333</w:t>
            </w:r>
          </w:p>
        </w:tc>
      </w:tr>
      <w:tr w14:paraId="1CED74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01FE7EB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总硬度（以CaCO₃计）</w:t>
            </w:r>
          </w:p>
        </w:tc>
        <w:tc>
          <w:tcPr>
            <w:tcW w:w="496" w:type="pct"/>
            <w:tcBorders>
              <w:tl2br w:val="nil"/>
              <w:tr2bl w:val="nil"/>
            </w:tcBorders>
            <w:vAlign w:val="center"/>
          </w:tcPr>
          <w:p w14:paraId="4FA5DE5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≤650</w:t>
            </w:r>
          </w:p>
        </w:tc>
        <w:tc>
          <w:tcPr>
            <w:tcW w:w="812" w:type="pct"/>
            <w:tcBorders>
              <w:tl2br w:val="nil"/>
              <w:tr2bl w:val="nil"/>
            </w:tcBorders>
            <w:vAlign w:val="center"/>
          </w:tcPr>
          <w:p w14:paraId="574183D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122</w:t>
            </w:r>
          </w:p>
        </w:tc>
        <w:tc>
          <w:tcPr>
            <w:tcW w:w="478" w:type="pct"/>
            <w:tcBorders>
              <w:tl2br w:val="nil"/>
              <w:tr2bl w:val="nil"/>
            </w:tcBorders>
            <w:vAlign w:val="center"/>
          </w:tcPr>
          <w:p w14:paraId="624F0AA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0.1877</w:t>
            </w:r>
          </w:p>
        </w:tc>
        <w:tc>
          <w:tcPr>
            <w:tcW w:w="812" w:type="pct"/>
            <w:tcBorders>
              <w:tl2br w:val="nil"/>
              <w:tr2bl w:val="nil"/>
            </w:tcBorders>
            <w:vAlign w:val="center"/>
          </w:tcPr>
          <w:p w14:paraId="2B211B7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31.7</w:t>
            </w:r>
          </w:p>
        </w:tc>
        <w:tc>
          <w:tcPr>
            <w:tcW w:w="478" w:type="pct"/>
            <w:tcBorders>
              <w:tl2br w:val="nil"/>
              <w:tr2bl w:val="nil"/>
            </w:tcBorders>
            <w:vAlign w:val="center"/>
          </w:tcPr>
          <w:p w14:paraId="5E5C58E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0.0488</w:t>
            </w:r>
          </w:p>
        </w:tc>
        <w:tc>
          <w:tcPr>
            <w:tcW w:w="812" w:type="pct"/>
            <w:tcBorders>
              <w:tl2br w:val="nil"/>
              <w:tr2bl w:val="nil"/>
            </w:tcBorders>
            <w:vAlign w:val="center"/>
          </w:tcPr>
          <w:p w14:paraId="57939FE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95.8</w:t>
            </w:r>
          </w:p>
        </w:tc>
        <w:tc>
          <w:tcPr>
            <w:tcW w:w="496" w:type="pct"/>
            <w:tcBorders>
              <w:tl2br w:val="nil"/>
              <w:tr2bl w:val="nil"/>
            </w:tcBorders>
            <w:vAlign w:val="center"/>
          </w:tcPr>
          <w:p w14:paraId="10DF235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0.1474</w:t>
            </w:r>
          </w:p>
        </w:tc>
      </w:tr>
      <w:tr w14:paraId="2453D2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6192EAA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溶解性总固体</w:t>
            </w:r>
          </w:p>
        </w:tc>
        <w:tc>
          <w:tcPr>
            <w:tcW w:w="496" w:type="pct"/>
            <w:tcBorders>
              <w:tl2br w:val="nil"/>
              <w:tr2bl w:val="nil"/>
            </w:tcBorders>
            <w:vAlign w:val="center"/>
          </w:tcPr>
          <w:p w14:paraId="563161A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≤2000</w:t>
            </w:r>
          </w:p>
        </w:tc>
        <w:tc>
          <w:tcPr>
            <w:tcW w:w="812" w:type="pct"/>
            <w:tcBorders>
              <w:tl2br w:val="nil"/>
              <w:tr2bl w:val="nil"/>
            </w:tcBorders>
            <w:vAlign w:val="center"/>
          </w:tcPr>
          <w:p w14:paraId="3B8E556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241</w:t>
            </w:r>
          </w:p>
        </w:tc>
        <w:tc>
          <w:tcPr>
            <w:tcW w:w="478" w:type="pct"/>
            <w:tcBorders>
              <w:tl2br w:val="nil"/>
              <w:tr2bl w:val="nil"/>
            </w:tcBorders>
            <w:vAlign w:val="center"/>
          </w:tcPr>
          <w:p w14:paraId="24D4FE6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0.1205</w:t>
            </w:r>
          </w:p>
        </w:tc>
        <w:tc>
          <w:tcPr>
            <w:tcW w:w="812" w:type="pct"/>
            <w:tcBorders>
              <w:tl2br w:val="nil"/>
              <w:tr2bl w:val="nil"/>
            </w:tcBorders>
            <w:vAlign w:val="center"/>
          </w:tcPr>
          <w:p w14:paraId="590AEEB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76</w:t>
            </w:r>
          </w:p>
        </w:tc>
        <w:tc>
          <w:tcPr>
            <w:tcW w:w="478" w:type="pct"/>
            <w:tcBorders>
              <w:tl2br w:val="nil"/>
              <w:tr2bl w:val="nil"/>
            </w:tcBorders>
            <w:vAlign w:val="center"/>
          </w:tcPr>
          <w:p w14:paraId="0CCA65D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0.038</w:t>
            </w:r>
          </w:p>
        </w:tc>
        <w:tc>
          <w:tcPr>
            <w:tcW w:w="812" w:type="pct"/>
            <w:tcBorders>
              <w:tl2br w:val="nil"/>
              <w:tr2bl w:val="nil"/>
            </w:tcBorders>
            <w:vAlign w:val="center"/>
          </w:tcPr>
          <w:p w14:paraId="5DA6377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267</w:t>
            </w:r>
          </w:p>
        </w:tc>
        <w:tc>
          <w:tcPr>
            <w:tcW w:w="496" w:type="pct"/>
            <w:tcBorders>
              <w:tl2br w:val="nil"/>
              <w:tr2bl w:val="nil"/>
            </w:tcBorders>
            <w:vAlign w:val="center"/>
          </w:tcPr>
          <w:p w14:paraId="2882CA9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0.1335</w:t>
            </w:r>
          </w:p>
        </w:tc>
      </w:tr>
      <w:tr w14:paraId="50B3BB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68E0E12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高锰酸盐指数（以O₂计）</w:t>
            </w:r>
          </w:p>
        </w:tc>
        <w:tc>
          <w:tcPr>
            <w:tcW w:w="496" w:type="pct"/>
            <w:tcBorders>
              <w:tl2br w:val="nil"/>
              <w:tr2bl w:val="nil"/>
            </w:tcBorders>
            <w:vAlign w:val="center"/>
          </w:tcPr>
          <w:p w14:paraId="1367C26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≤10.0</w:t>
            </w:r>
          </w:p>
        </w:tc>
        <w:tc>
          <w:tcPr>
            <w:tcW w:w="812" w:type="pct"/>
            <w:tcBorders>
              <w:tl2br w:val="nil"/>
              <w:tr2bl w:val="nil"/>
            </w:tcBorders>
            <w:vAlign w:val="center"/>
          </w:tcPr>
          <w:p w14:paraId="36C86B2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2.4</w:t>
            </w:r>
          </w:p>
        </w:tc>
        <w:tc>
          <w:tcPr>
            <w:tcW w:w="478" w:type="pct"/>
            <w:tcBorders>
              <w:tl2br w:val="nil"/>
              <w:tr2bl w:val="nil"/>
            </w:tcBorders>
            <w:vAlign w:val="center"/>
          </w:tcPr>
          <w:p w14:paraId="31B61D7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0.24</w:t>
            </w:r>
          </w:p>
        </w:tc>
        <w:tc>
          <w:tcPr>
            <w:tcW w:w="812" w:type="pct"/>
            <w:tcBorders>
              <w:tl2br w:val="nil"/>
              <w:tr2bl w:val="nil"/>
            </w:tcBorders>
            <w:vAlign w:val="center"/>
          </w:tcPr>
          <w:p w14:paraId="14B89DA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1.2</w:t>
            </w:r>
          </w:p>
        </w:tc>
        <w:tc>
          <w:tcPr>
            <w:tcW w:w="478" w:type="pct"/>
            <w:tcBorders>
              <w:tl2br w:val="nil"/>
              <w:tr2bl w:val="nil"/>
            </w:tcBorders>
            <w:vAlign w:val="center"/>
          </w:tcPr>
          <w:p w14:paraId="14D2BE0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0.12</w:t>
            </w:r>
          </w:p>
        </w:tc>
        <w:tc>
          <w:tcPr>
            <w:tcW w:w="812" w:type="pct"/>
            <w:tcBorders>
              <w:tl2br w:val="nil"/>
              <w:tr2bl w:val="nil"/>
            </w:tcBorders>
            <w:vAlign w:val="center"/>
          </w:tcPr>
          <w:p w14:paraId="11279BD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0.6</w:t>
            </w:r>
          </w:p>
        </w:tc>
        <w:tc>
          <w:tcPr>
            <w:tcW w:w="496" w:type="pct"/>
            <w:tcBorders>
              <w:tl2br w:val="nil"/>
              <w:tr2bl w:val="nil"/>
            </w:tcBorders>
            <w:vAlign w:val="center"/>
          </w:tcPr>
          <w:p w14:paraId="35ADBC1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0.06</w:t>
            </w:r>
          </w:p>
        </w:tc>
      </w:tr>
      <w:tr w14:paraId="26170A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1DF6CBD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氨氮（以N计）</w:t>
            </w:r>
          </w:p>
        </w:tc>
        <w:tc>
          <w:tcPr>
            <w:tcW w:w="496" w:type="pct"/>
            <w:tcBorders>
              <w:tl2br w:val="nil"/>
              <w:tr2bl w:val="nil"/>
            </w:tcBorders>
            <w:vAlign w:val="center"/>
          </w:tcPr>
          <w:p w14:paraId="1C7CFEA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≤1.50</w:t>
            </w:r>
          </w:p>
        </w:tc>
        <w:tc>
          <w:tcPr>
            <w:tcW w:w="812" w:type="pct"/>
            <w:tcBorders>
              <w:tl2br w:val="nil"/>
              <w:tr2bl w:val="nil"/>
            </w:tcBorders>
            <w:vAlign w:val="center"/>
          </w:tcPr>
          <w:p w14:paraId="61AAF58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0.028</w:t>
            </w:r>
          </w:p>
        </w:tc>
        <w:tc>
          <w:tcPr>
            <w:tcW w:w="478" w:type="pct"/>
            <w:tcBorders>
              <w:tl2br w:val="nil"/>
              <w:tr2bl w:val="nil"/>
            </w:tcBorders>
            <w:vAlign w:val="center"/>
          </w:tcPr>
          <w:p w14:paraId="2D24076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0.0187</w:t>
            </w:r>
          </w:p>
        </w:tc>
        <w:tc>
          <w:tcPr>
            <w:tcW w:w="812" w:type="pct"/>
            <w:tcBorders>
              <w:tl2br w:val="nil"/>
              <w:tr2bl w:val="nil"/>
            </w:tcBorders>
            <w:vAlign w:val="center"/>
          </w:tcPr>
          <w:p w14:paraId="5B8D6AA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0.029</w:t>
            </w:r>
          </w:p>
        </w:tc>
        <w:tc>
          <w:tcPr>
            <w:tcW w:w="478" w:type="pct"/>
            <w:tcBorders>
              <w:tl2br w:val="nil"/>
              <w:tr2bl w:val="nil"/>
            </w:tcBorders>
            <w:vAlign w:val="center"/>
          </w:tcPr>
          <w:p w14:paraId="7283B50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0.0193</w:t>
            </w:r>
          </w:p>
        </w:tc>
        <w:tc>
          <w:tcPr>
            <w:tcW w:w="812" w:type="pct"/>
            <w:tcBorders>
              <w:tl2br w:val="nil"/>
              <w:tr2bl w:val="nil"/>
            </w:tcBorders>
            <w:vAlign w:val="center"/>
          </w:tcPr>
          <w:p w14:paraId="6ED29A9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0.204</w:t>
            </w:r>
          </w:p>
        </w:tc>
        <w:tc>
          <w:tcPr>
            <w:tcW w:w="496" w:type="pct"/>
            <w:tcBorders>
              <w:tl2br w:val="nil"/>
              <w:tr2bl w:val="nil"/>
            </w:tcBorders>
            <w:vAlign w:val="center"/>
          </w:tcPr>
          <w:p w14:paraId="25D1F4F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0.136</w:t>
            </w:r>
          </w:p>
        </w:tc>
      </w:tr>
      <w:tr w14:paraId="3E26E6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7248498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硝酸盐（以N计）</w:t>
            </w:r>
          </w:p>
        </w:tc>
        <w:tc>
          <w:tcPr>
            <w:tcW w:w="496" w:type="pct"/>
            <w:tcBorders>
              <w:tl2br w:val="nil"/>
              <w:tr2bl w:val="nil"/>
            </w:tcBorders>
            <w:vAlign w:val="center"/>
          </w:tcPr>
          <w:p w14:paraId="3E0709D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≤30.0</w:t>
            </w:r>
          </w:p>
        </w:tc>
        <w:tc>
          <w:tcPr>
            <w:tcW w:w="812" w:type="pct"/>
            <w:tcBorders>
              <w:tl2br w:val="nil"/>
              <w:tr2bl w:val="nil"/>
            </w:tcBorders>
            <w:vAlign w:val="center"/>
          </w:tcPr>
          <w:p w14:paraId="25DB147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19.5</w:t>
            </w:r>
          </w:p>
        </w:tc>
        <w:tc>
          <w:tcPr>
            <w:tcW w:w="478" w:type="pct"/>
            <w:tcBorders>
              <w:tl2br w:val="nil"/>
              <w:tr2bl w:val="nil"/>
            </w:tcBorders>
            <w:vAlign w:val="center"/>
          </w:tcPr>
          <w:p w14:paraId="74C25F8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0.65</w:t>
            </w:r>
          </w:p>
        </w:tc>
        <w:tc>
          <w:tcPr>
            <w:tcW w:w="812" w:type="pct"/>
            <w:tcBorders>
              <w:tl2br w:val="nil"/>
              <w:tr2bl w:val="nil"/>
            </w:tcBorders>
            <w:vAlign w:val="center"/>
          </w:tcPr>
          <w:p w14:paraId="2CF7956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1.40</w:t>
            </w:r>
          </w:p>
        </w:tc>
        <w:tc>
          <w:tcPr>
            <w:tcW w:w="478" w:type="pct"/>
            <w:tcBorders>
              <w:tl2br w:val="nil"/>
              <w:tr2bl w:val="nil"/>
            </w:tcBorders>
            <w:vAlign w:val="center"/>
          </w:tcPr>
          <w:p w14:paraId="6ECCD2B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0.0467</w:t>
            </w:r>
          </w:p>
        </w:tc>
        <w:tc>
          <w:tcPr>
            <w:tcW w:w="812" w:type="pct"/>
            <w:tcBorders>
              <w:tl2br w:val="nil"/>
              <w:tr2bl w:val="nil"/>
            </w:tcBorders>
            <w:vAlign w:val="center"/>
          </w:tcPr>
          <w:p w14:paraId="6FD2BE6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4.38</w:t>
            </w:r>
          </w:p>
        </w:tc>
        <w:tc>
          <w:tcPr>
            <w:tcW w:w="496" w:type="pct"/>
            <w:tcBorders>
              <w:tl2br w:val="nil"/>
              <w:tr2bl w:val="nil"/>
            </w:tcBorders>
            <w:vAlign w:val="center"/>
          </w:tcPr>
          <w:p w14:paraId="3EC7198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0.146</w:t>
            </w:r>
          </w:p>
        </w:tc>
      </w:tr>
      <w:tr w14:paraId="3DAC69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11C9617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亚硝酸盐（以N计）</w:t>
            </w:r>
          </w:p>
        </w:tc>
        <w:tc>
          <w:tcPr>
            <w:tcW w:w="496" w:type="pct"/>
            <w:tcBorders>
              <w:tl2br w:val="nil"/>
              <w:tr2bl w:val="nil"/>
            </w:tcBorders>
            <w:vAlign w:val="center"/>
          </w:tcPr>
          <w:p w14:paraId="01C4094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≤4.80</w:t>
            </w:r>
          </w:p>
        </w:tc>
        <w:tc>
          <w:tcPr>
            <w:tcW w:w="812" w:type="pct"/>
            <w:tcBorders>
              <w:tl2br w:val="nil"/>
              <w:tr2bl w:val="nil"/>
            </w:tcBorders>
            <w:vAlign w:val="center"/>
          </w:tcPr>
          <w:p w14:paraId="36FDAB8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＜0.003</w:t>
            </w:r>
          </w:p>
        </w:tc>
        <w:tc>
          <w:tcPr>
            <w:tcW w:w="478" w:type="pct"/>
            <w:tcBorders>
              <w:tl2br w:val="nil"/>
              <w:tr2bl w:val="nil"/>
            </w:tcBorders>
            <w:vAlign w:val="center"/>
          </w:tcPr>
          <w:p w14:paraId="43F9B51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3.1×10⁻⁴</w:t>
            </w:r>
          </w:p>
        </w:tc>
        <w:tc>
          <w:tcPr>
            <w:tcW w:w="812" w:type="pct"/>
            <w:tcBorders>
              <w:tl2br w:val="nil"/>
              <w:tr2bl w:val="nil"/>
            </w:tcBorders>
            <w:vAlign w:val="center"/>
          </w:tcPr>
          <w:p w14:paraId="40DCCAA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＜0.003</w:t>
            </w:r>
          </w:p>
        </w:tc>
        <w:tc>
          <w:tcPr>
            <w:tcW w:w="478" w:type="pct"/>
            <w:tcBorders>
              <w:tl2br w:val="nil"/>
              <w:tr2bl w:val="nil"/>
            </w:tcBorders>
            <w:vAlign w:val="center"/>
          </w:tcPr>
          <w:p w14:paraId="6385BEE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3.1×10⁻⁴</w:t>
            </w:r>
          </w:p>
        </w:tc>
        <w:tc>
          <w:tcPr>
            <w:tcW w:w="812" w:type="pct"/>
            <w:tcBorders>
              <w:tl2br w:val="nil"/>
              <w:tr2bl w:val="nil"/>
            </w:tcBorders>
            <w:vAlign w:val="center"/>
          </w:tcPr>
          <w:p w14:paraId="575203C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w:t>
            </w:r>
          </w:p>
        </w:tc>
        <w:tc>
          <w:tcPr>
            <w:tcW w:w="496" w:type="pct"/>
            <w:tcBorders>
              <w:tl2br w:val="nil"/>
              <w:tr2bl w:val="nil"/>
            </w:tcBorders>
            <w:vAlign w:val="center"/>
          </w:tcPr>
          <w:p w14:paraId="1ECC032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0.001</w:t>
            </w:r>
          </w:p>
        </w:tc>
      </w:tr>
      <w:tr w14:paraId="765414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73F6AF0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硫酸盐</w:t>
            </w:r>
          </w:p>
        </w:tc>
        <w:tc>
          <w:tcPr>
            <w:tcW w:w="496" w:type="pct"/>
            <w:tcBorders>
              <w:tl2br w:val="nil"/>
              <w:tr2bl w:val="nil"/>
            </w:tcBorders>
            <w:vAlign w:val="center"/>
          </w:tcPr>
          <w:p w14:paraId="199FBDD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≤350</w:t>
            </w:r>
          </w:p>
        </w:tc>
        <w:tc>
          <w:tcPr>
            <w:tcW w:w="812" w:type="pct"/>
            <w:tcBorders>
              <w:tl2br w:val="nil"/>
              <w:tr2bl w:val="nil"/>
            </w:tcBorders>
            <w:vAlign w:val="center"/>
          </w:tcPr>
          <w:p w14:paraId="420A194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23.6</w:t>
            </w:r>
          </w:p>
        </w:tc>
        <w:tc>
          <w:tcPr>
            <w:tcW w:w="478" w:type="pct"/>
            <w:tcBorders>
              <w:tl2br w:val="nil"/>
              <w:tr2bl w:val="nil"/>
            </w:tcBorders>
            <w:vAlign w:val="center"/>
          </w:tcPr>
          <w:p w14:paraId="252196B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0.0674</w:t>
            </w:r>
          </w:p>
        </w:tc>
        <w:tc>
          <w:tcPr>
            <w:tcW w:w="812" w:type="pct"/>
            <w:tcBorders>
              <w:tl2br w:val="nil"/>
              <w:tr2bl w:val="nil"/>
            </w:tcBorders>
            <w:vAlign w:val="center"/>
          </w:tcPr>
          <w:p w14:paraId="4B4FDFA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2.73</w:t>
            </w:r>
          </w:p>
        </w:tc>
        <w:tc>
          <w:tcPr>
            <w:tcW w:w="478" w:type="pct"/>
            <w:tcBorders>
              <w:tl2br w:val="nil"/>
              <w:tr2bl w:val="nil"/>
            </w:tcBorders>
            <w:vAlign w:val="center"/>
          </w:tcPr>
          <w:p w14:paraId="5D8A4C9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0.0078</w:t>
            </w:r>
          </w:p>
        </w:tc>
        <w:tc>
          <w:tcPr>
            <w:tcW w:w="812" w:type="pct"/>
            <w:tcBorders>
              <w:tl2br w:val="nil"/>
              <w:tr2bl w:val="nil"/>
            </w:tcBorders>
            <w:vAlign w:val="center"/>
          </w:tcPr>
          <w:p w14:paraId="425D6FC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20.0</w:t>
            </w:r>
          </w:p>
        </w:tc>
        <w:tc>
          <w:tcPr>
            <w:tcW w:w="496" w:type="pct"/>
            <w:tcBorders>
              <w:tl2br w:val="nil"/>
              <w:tr2bl w:val="nil"/>
            </w:tcBorders>
            <w:vAlign w:val="center"/>
          </w:tcPr>
          <w:p w14:paraId="23BD4BE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0.0571</w:t>
            </w:r>
          </w:p>
        </w:tc>
      </w:tr>
      <w:tr w14:paraId="75E5C3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4428F6F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氯化物</w:t>
            </w:r>
          </w:p>
        </w:tc>
        <w:tc>
          <w:tcPr>
            <w:tcW w:w="496" w:type="pct"/>
            <w:tcBorders>
              <w:tl2br w:val="nil"/>
              <w:tr2bl w:val="nil"/>
            </w:tcBorders>
            <w:vAlign w:val="center"/>
          </w:tcPr>
          <w:p w14:paraId="6D958F1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≤350</w:t>
            </w:r>
          </w:p>
        </w:tc>
        <w:tc>
          <w:tcPr>
            <w:tcW w:w="812" w:type="pct"/>
            <w:tcBorders>
              <w:tl2br w:val="nil"/>
              <w:tr2bl w:val="nil"/>
            </w:tcBorders>
            <w:vAlign w:val="center"/>
          </w:tcPr>
          <w:p w14:paraId="0A93C40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25.3</w:t>
            </w:r>
          </w:p>
        </w:tc>
        <w:tc>
          <w:tcPr>
            <w:tcW w:w="478" w:type="pct"/>
            <w:tcBorders>
              <w:tl2br w:val="nil"/>
              <w:tr2bl w:val="nil"/>
            </w:tcBorders>
            <w:vAlign w:val="center"/>
          </w:tcPr>
          <w:p w14:paraId="602D758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0.0723</w:t>
            </w:r>
          </w:p>
        </w:tc>
        <w:tc>
          <w:tcPr>
            <w:tcW w:w="812" w:type="pct"/>
            <w:tcBorders>
              <w:tl2br w:val="nil"/>
              <w:tr2bl w:val="nil"/>
            </w:tcBorders>
            <w:vAlign w:val="center"/>
          </w:tcPr>
          <w:p w14:paraId="2A823F0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7.32</w:t>
            </w:r>
          </w:p>
        </w:tc>
        <w:tc>
          <w:tcPr>
            <w:tcW w:w="478" w:type="pct"/>
            <w:tcBorders>
              <w:tl2br w:val="nil"/>
              <w:tr2bl w:val="nil"/>
            </w:tcBorders>
            <w:vAlign w:val="center"/>
          </w:tcPr>
          <w:p w14:paraId="6D53451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0.0209</w:t>
            </w:r>
          </w:p>
        </w:tc>
        <w:tc>
          <w:tcPr>
            <w:tcW w:w="812" w:type="pct"/>
            <w:tcBorders>
              <w:tl2br w:val="nil"/>
              <w:tr2bl w:val="nil"/>
            </w:tcBorders>
            <w:vAlign w:val="center"/>
          </w:tcPr>
          <w:p w14:paraId="7E7035E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19.5</w:t>
            </w:r>
          </w:p>
        </w:tc>
        <w:tc>
          <w:tcPr>
            <w:tcW w:w="496" w:type="pct"/>
            <w:tcBorders>
              <w:tl2br w:val="nil"/>
              <w:tr2bl w:val="nil"/>
            </w:tcBorders>
            <w:vAlign w:val="center"/>
          </w:tcPr>
          <w:p w14:paraId="58540DD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0.0557</w:t>
            </w:r>
          </w:p>
        </w:tc>
      </w:tr>
      <w:tr w14:paraId="1FED88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0C2B60B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氟化物</w:t>
            </w:r>
          </w:p>
        </w:tc>
        <w:tc>
          <w:tcPr>
            <w:tcW w:w="496" w:type="pct"/>
            <w:tcBorders>
              <w:tl2br w:val="nil"/>
              <w:tr2bl w:val="nil"/>
            </w:tcBorders>
            <w:vAlign w:val="center"/>
          </w:tcPr>
          <w:p w14:paraId="740C502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≤2.0</w:t>
            </w:r>
          </w:p>
        </w:tc>
        <w:tc>
          <w:tcPr>
            <w:tcW w:w="812" w:type="pct"/>
            <w:tcBorders>
              <w:tl2br w:val="nil"/>
              <w:tr2bl w:val="nil"/>
            </w:tcBorders>
            <w:vAlign w:val="center"/>
          </w:tcPr>
          <w:p w14:paraId="4F9E0AD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0.349</w:t>
            </w:r>
          </w:p>
        </w:tc>
        <w:tc>
          <w:tcPr>
            <w:tcW w:w="478" w:type="pct"/>
            <w:tcBorders>
              <w:tl2br w:val="nil"/>
              <w:tr2bl w:val="nil"/>
            </w:tcBorders>
            <w:vAlign w:val="center"/>
          </w:tcPr>
          <w:p w14:paraId="43337FD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0.1745</w:t>
            </w:r>
          </w:p>
        </w:tc>
        <w:tc>
          <w:tcPr>
            <w:tcW w:w="812" w:type="pct"/>
            <w:tcBorders>
              <w:tl2br w:val="nil"/>
              <w:tr2bl w:val="nil"/>
            </w:tcBorders>
            <w:vAlign w:val="center"/>
          </w:tcPr>
          <w:p w14:paraId="1F0DF3C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0.242</w:t>
            </w:r>
          </w:p>
        </w:tc>
        <w:tc>
          <w:tcPr>
            <w:tcW w:w="478" w:type="pct"/>
            <w:tcBorders>
              <w:tl2br w:val="nil"/>
              <w:tr2bl w:val="nil"/>
            </w:tcBorders>
            <w:vAlign w:val="center"/>
          </w:tcPr>
          <w:p w14:paraId="1B997FC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0.121</w:t>
            </w:r>
          </w:p>
        </w:tc>
        <w:tc>
          <w:tcPr>
            <w:tcW w:w="812" w:type="pct"/>
            <w:tcBorders>
              <w:tl2br w:val="nil"/>
              <w:tr2bl w:val="nil"/>
            </w:tcBorders>
            <w:vAlign w:val="center"/>
          </w:tcPr>
          <w:p w14:paraId="5077810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0.196</w:t>
            </w:r>
          </w:p>
        </w:tc>
        <w:tc>
          <w:tcPr>
            <w:tcW w:w="496" w:type="pct"/>
            <w:tcBorders>
              <w:tl2br w:val="nil"/>
              <w:tr2bl w:val="nil"/>
            </w:tcBorders>
            <w:vAlign w:val="center"/>
          </w:tcPr>
          <w:p w14:paraId="562585A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0.098</w:t>
            </w:r>
          </w:p>
        </w:tc>
      </w:tr>
      <w:tr w14:paraId="323B86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71DBF94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挥发性酚类（以苯酚计）</w:t>
            </w:r>
          </w:p>
        </w:tc>
        <w:tc>
          <w:tcPr>
            <w:tcW w:w="496" w:type="pct"/>
            <w:tcBorders>
              <w:tl2br w:val="nil"/>
              <w:tr2bl w:val="nil"/>
            </w:tcBorders>
            <w:vAlign w:val="center"/>
          </w:tcPr>
          <w:p w14:paraId="3E65D6C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w:t>
            </w:r>
          </w:p>
        </w:tc>
        <w:tc>
          <w:tcPr>
            <w:tcW w:w="812" w:type="pct"/>
            <w:tcBorders>
              <w:tl2br w:val="nil"/>
              <w:tr2bl w:val="nil"/>
            </w:tcBorders>
            <w:vAlign w:val="center"/>
          </w:tcPr>
          <w:p w14:paraId="79D4396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＜0.0003</w:t>
            </w:r>
          </w:p>
        </w:tc>
        <w:tc>
          <w:tcPr>
            <w:tcW w:w="478" w:type="pct"/>
            <w:tcBorders>
              <w:tl2br w:val="nil"/>
              <w:tr2bl w:val="nil"/>
            </w:tcBorders>
            <w:vAlign w:val="center"/>
          </w:tcPr>
          <w:p w14:paraId="3CF8984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0.015</w:t>
            </w:r>
          </w:p>
        </w:tc>
        <w:tc>
          <w:tcPr>
            <w:tcW w:w="812" w:type="pct"/>
            <w:tcBorders>
              <w:tl2br w:val="nil"/>
              <w:tr2bl w:val="nil"/>
            </w:tcBorders>
            <w:vAlign w:val="center"/>
          </w:tcPr>
          <w:p w14:paraId="36F35C4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＜0.0003</w:t>
            </w:r>
          </w:p>
        </w:tc>
        <w:tc>
          <w:tcPr>
            <w:tcW w:w="478" w:type="pct"/>
            <w:tcBorders>
              <w:tl2br w:val="nil"/>
              <w:tr2bl w:val="nil"/>
            </w:tcBorders>
            <w:vAlign w:val="center"/>
          </w:tcPr>
          <w:p w14:paraId="4E02E93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0.015</w:t>
            </w:r>
          </w:p>
        </w:tc>
        <w:tc>
          <w:tcPr>
            <w:tcW w:w="812" w:type="pct"/>
            <w:tcBorders>
              <w:tl2br w:val="nil"/>
              <w:tr2bl w:val="nil"/>
            </w:tcBorders>
            <w:vAlign w:val="center"/>
          </w:tcPr>
          <w:p w14:paraId="2F35FFA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＜0.0003</w:t>
            </w:r>
          </w:p>
        </w:tc>
        <w:tc>
          <w:tcPr>
            <w:tcW w:w="496" w:type="pct"/>
            <w:tcBorders>
              <w:tl2br w:val="nil"/>
              <w:tr2bl w:val="nil"/>
            </w:tcBorders>
            <w:vAlign w:val="center"/>
          </w:tcPr>
          <w:p w14:paraId="0070902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0.015</w:t>
            </w:r>
          </w:p>
        </w:tc>
      </w:tr>
      <w:tr w14:paraId="10011D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53421F6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六价铬</w:t>
            </w:r>
          </w:p>
        </w:tc>
        <w:tc>
          <w:tcPr>
            <w:tcW w:w="496" w:type="pct"/>
            <w:tcBorders>
              <w:tl2br w:val="nil"/>
              <w:tr2bl w:val="nil"/>
            </w:tcBorders>
            <w:vAlign w:val="center"/>
          </w:tcPr>
          <w:p w14:paraId="25C6671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≤0.10</w:t>
            </w:r>
          </w:p>
        </w:tc>
        <w:tc>
          <w:tcPr>
            <w:tcW w:w="812" w:type="pct"/>
            <w:tcBorders>
              <w:tl2br w:val="nil"/>
              <w:tr2bl w:val="nil"/>
            </w:tcBorders>
            <w:vAlign w:val="center"/>
          </w:tcPr>
          <w:p w14:paraId="19EF152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＜0.004</w:t>
            </w:r>
          </w:p>
        </w:tc>
        <w:tc>
          <w:tcPr>
            <w:tcW w:w="478" w:type="pct"/>
            <w:tcBorders>
              <w:tl2br w:val="nil"/>
              <w:tr2bl w:val="nil"/>
            </w:tcBorders>
            <w:vAlign w:val="center"/>
          </w:tcPr>
          <w:p w14:paraId="2E5A177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c>
          <w:tcPr>
            <w:tcW w:w="812" w:type="pct"/>
            <w:tcBorders>
              <w:tl2br w:val="nil"/>
              <w:tr2bl w:val="nil"/>
            </w:tcBorders>
            <w:vAlign w:val="center"/>
          </w:tcPr>
          <w:p w14:paraId="60ECE03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＜0.004</w:t>
            </w:r>
          </w:p>
        </w:tc>
        <w:tc>
          <w:tcPr>
            <w:tcW w:w="478" w:type="pct"/>
            <w:tcBorders>
              <w:tl2br w:val="nil"/>
              <w:tr2bl w:val="nil"/>
            </w:tcBorders>
            <w:vAlign w:val="center"/>
          </w:tcPr>
          <w:p w14:paraId="2AC8465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c>
          <w:tcPr>
            <w:tcW w:w="812" w:type="pct"/>
            <w:tcBorders>
              <w:tl2br w:val="nil"/>
              <w:tr2bl w:val="nil"/>
            </w:tcBorders>
            <w:vAlign w:val="center"/>
          </w:tcPr>
          <w:p w14:paraId="5AB016F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＜0.004</w:t>
            </w:r>
          </w:p>
        </w:tc>
        <w:tc>
          <w:tcPr>
            <w:tcW w:w="496" w:type="pct"/>
            <w:tcBorders>
              <w:tl2br w:val="nil"/>
              <w:tr2bl w:val="nil"/>
            </w:tcBorders>
            <w:vAlign w:val="center"/>
          </w:tcPr>
          <w:p w14:paraId="3FD07A5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r>
      <w:tr w14:paraId="4975C7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40DB93F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铅</w:t>
            </w:r>
          </w:p>
        </w:tc>
        <w:tc>
          <w:tcPr>
            <w:tcW w:w="496" w:type="pct"/>
            <w:tcBorders>
              <w:tl2br w:val="nil"/>
              <w:tr2bl w:val="nil"/>
            </w:tcBorders>
            <w:vAlign w:val="center"/>
          </w:tcPr>
          <w:p w14:paraId="75EA44E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≤0.10</w:t>
            </w:r>
          </w:p>
        </w:tc>
        <w:tc>
          <w:tcPr>
            <w:tcW w:w="812" w:type="pct"/>
            <w:tcBorders>
              <w:tl2br w:val="nil"/>
              <w:tr2bl w:val="nil"/>
            </w:tcBorders>
            <w:vAlign w:val="center"/>
          </w:tcPr>
          <w:p w14:paraId="7AB1FD0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3.9×10⁻⁴</w:t>
            </w:r>
          </w:p>
        </w:tc>
        <w:tc>
          <w:tcPr>
            <w:tcW w:w="478" w:type="pct"/>
            <w:tcBorders>
              <w:tl2br w:val="nil"/>
              <w:tr2bl w:val="nil"/>
            </w:tcBorders>
            <w:vAlign w:val="center"/>
          </w:tcPr>
          <w:p w14:paraId="614E70D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0.0039</w:t>
            </w:r>
          </w:p>
        </w:tc>
        <w:tc>
          <w:tcPr>
            <w:tcW w:w="812" w:type="pct"/>
            <w:tcBorders>
              <w:tl2br w:val="nil"/>
              <w:tr2bl w:val="nil"/>
            </w:tcBorders>
            <w:vAlign w:val="center"/>
          </w:tcPr>
          <w:p w14:paraId="4B595D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1.1×10⁻⁴</w:t>
            </w:r>
          </w:p>
        </w:tc>
        <w:tc>
          <w:tcPr>
            <w:tcW w:w="478" w:type="pct"/>
            <w:tcBorders>
              <w:tl2br w:val="nil"/>
              <w:tr2bl w:val="nil"/>
            </w:tcBorders>
            <w:vAlign w:val="center"/>
          </w:tcPr>
          <w:p w14:paraId="39D2C10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0.0011</w:t>
            </w:r>
          </w:p>
        </w:tc>
        <w:tc>
          <w:tcPr>
            <w:tcW w:w="812" w:type="pct"/>
            <w:tcBorders>
              <w:tl2br w:val="nil"/>
              <w:tr2bl w:val="nil"/>
            </w:tcBorders>
            <w:vAlign w:val="center"/>
          </w:tcPr>
          <w:p w14:paraId="529018E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＜0.0025</w:t>
            </w:r>
          </w:p>
        </w:tc>
        <w:tc>
          <w:tcPr>
            <w:tcW w:w="496" w:type="pct"/>
            <w:tcBorders>
              <w:tl2br w:val="nil"/>
              <w:tr2bl w:val="nil"/>
            </w:tcBorders>
            <w:vAlign w:val="center"/>
          </w:tcPr>
          <w:p w14:paraId="7E878A6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0.0125</w:t>
            </w:r>
          </w:p>
        </w:tc>
      </w:tr>
      <w:tr w14:paraId="0B9588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27F1855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铁</w:t>
            </w:r>
          </w:p>
        </w:tc>
        <w:tc>
          <w:tcPr>
            <w:tcW w:w="496" w:type="pct"/>
            <w:tcBorders>
              <w:tl2br w:val="nil"/>
              <w:tr2bl w:val="nil"/>
            </w:tcBorders>
            <w:vAlign w:val="center"/>
          </w:tcPr>
          <w:p w14:paraId="067B818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≤2.0</w:t>
            </w:r>
          </w:p>
        </w:tc>
        <w:tc>
          <w:tcPr>
            <w:tcW w:w="812" w:type="pct"/>
            <w:tcBorders>
              <w:tl2br w:val="nil"/>
              <w:tr2bl w:val="nil"/>
            </w:tcBorders>
            <w:vAlign w:val="center"/>
          </w:tcPr>
          <w:p w14:paraId="31D3D2B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c>
          <w:tcPr>
            <w:tcW w:w="478" w:type="pct"/>
            <w:tcBorders>
              <w:tl2br w:val="nil"/>
              <w:tr2bl w:val="nil"/>
            </w:tcBorders>
            <w:vAlign w:val="center"/>
          </w:tcPr>
          <w:p w14:paraId="7FA7A9A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w:t>
            </w:r>
          </w:p>
        </w:tc>
        <w:tc>
          <w:tcPr>
            <w:tcW w:w="812" w:type="pct"/>
            <w:tcBorders>
              <w:tl2br w:val="nil"/>
              <w:tr2bl w:val="nil"/>
            </w:tcBorders>
            <w:vAlign w:val="center"/>
          </w:tcPr>
          <w:p w14:paraId="5E7540C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c>
          <w:tcPr>
            <w:tcW w:w="478" w:type="pct"/>
            <w:tcBorders>
              <w:tl2br w:val="nil"/>
              <w:tr2bl w:val="nil"/>
            </w:tcBorders>
            <w:vAlign w:val="center"/>
          </w:tcPr>
          <w:p w14:paraId="55B3133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w:t>
            </w:r>
          </w:p>
        </w:tc>
        <w:tc>
          <w:tcPr>
            <w:tcW w:w="812" w:type="pct"/>
            <w:tcBorders>
              <w:tl2br w:val="nil"/>
              <w:tr2bl w:val="nil"/>
            </w:tcBorders>
            <w:vAlign w:val="center"/>
          </w:tcPr>
          <w:p w14:paraId="41CA457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＜0.03</w:t>
            </w:r>
          </w:p>
        </w:tc>
        <w:tc>
          <w:tcPr>
            <w:tcW w:w="496" w:type="pct"/>
            <w:tcBorders>
              <w:tl2br w:val="nil"/>
              <w:tr2bl w:val="nil"/>
            </w:tcBorders>
            <w:vAlign w:val="center"/>
          </w:tcPr>
          <w:p w14:paraId="1792230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0.0075</w:t>
            </w:r>
          </w:p>
        </w:tc>
      </w:tr>
      <w:tr w14:paraId="111359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47CB6FB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锰</w:t>
            </w:r>
          </w:p>
        </w:tc>
        <w:tc>
          <w:tcPr>
            <w:tcW w:w="496" w:type="pct"/>
            <w:tcBorders>
              <w:tl2br w:val="nil"/>
              <w:tr2bl w:val="nil"/>
            </w:tcBorders>
            <w:vAlign w:val="center"/>
          </w:tcPr>
          <w:p w14:paraId="6D9FA53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≤1.50</w:t>
            </w:r>
          </w:p>
        </w:tc>
        <w:tc>
          <w:tcPr>
            <w:tcW w:w="812" w:type="pct"/>
            <w:tcBorders>
              <w:tl2br w:val="nil"/>
              <w:tr2bl w:val="nil"/>
            </w:tcBorders>
            <w:vAlign w:val="center"/>
          </w:tcPr>
          <w:p w14:paraId="2D2BB95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0.009</w:t>
            </w:r>
          </w:p>
        </w:tc>
        <w:tc>
          <w:tcPr>
            <w:tcW w:w="478" w:type="pct"/>
            <w:tcBorders>
              <w:tl2br w:val="nil"/>
              <w:tr2bl w:val="nil"/>
            </w:tcBorders>
            <w:vAlign w:val="center"/>
          </w:tcPr>
          <w:p w14:paraId="6546F1F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0.006</w:t>
            </w:r>
          </w:p>
        </w:tc>
        <w:tc>
          <w:tcPr>
            <w:tcW w:w="812" w:type="pct"/>
            <w:tcBorders>
              <w:tl2br w:val="nil"/>
              <w:tr2bl w:val="nil"/>
            </w:tcBorders>
            <w:vAlign w:val="center"/>
          </w:tcPr>
          <w:p w14:paraId="272C9A4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0.018</w:t>
            </w:r>
          </w:p>
        </w:tc>
        <w:tc>
          <w:tcPr>
            <w:tcW w:w="478" w:type="pct"/>
            <w:tcBorders>
              <w:tl2br w:val="nil"/>
              <w:tr2bl w:val="nil"/>
            </w:tcBorders>
            <w:vAlign w:val="center"/>
          </w:tcPr>
          <w:p w14:paraId="49A7C6B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0.012</w:t>
            </w:r>
          </w:p>
        </w:tc>
        <w:tc>
          <w:tcPr>
            <w:tcW w:w="812" w:type="pct"/>
            <w:tcBorders>
              <w:tl2br w:val="nil"/>
              <w:tr2bl w:val="nil"/>
            </w:tcBorders>
            <w:vAlign w:val="center"/>
          </w:tcPr>
          <w:p w14:paraId="7436FC5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0.02</w:t>
            </w:r>
          </w:p>
        </w:tc>
        <w:tc>
          <w:tcPr>
            <w:tcW w:w="496" w:type="pct"/>
            <w:tcBorders>
              <w:tl2br w:val="nil"/>
              <w:tr2bl w:val="nil"/>
            </w:tcBorders>
            <w:vAlign w:val="center"/>
          </w:tcPr>
          <w:p w14:paraId="2DF6ADD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0.0133</w:t>
            </w:r>
          </w:p>
        </w:tc>
      </w:tr>
      <w:tr w14:paraId="114B5B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5BBC5DC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铜</w:t>
            </w:r>
          </w:p>
        </w:tc>
        <w:tc>
          <w:tcPr>
            <w:tcW w:w="496" w:type="pct"/>
            <w:tcBorders>
              <w:tl2br w:val="nil"/>
              <w:tr2bl w:val="nil"/>
            </w:tcBorders>
            <w:vAlign w:val="center"/>
          </w:tcPr>
          <w:p w14:paraId="69D4D94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≤1.50</w:t>
            </w:r>
          </w:p>
        </w:tc>
        <w:tc>
          <w:tcPr>
            <w:tcW w:w="812" w:type="pct"/>
            <w:tcBorders>
              <w:tl2br w:val="nil"/>
              <w:tr2bl w:val="nil"/>
            </w:tcBorders>
            <w:vAlign w:val="center"/>
          </w:tcPr>
          <w:p w14:paraId="561A530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0.008</w:t>
            </w:r>
          </w:p>
        </w:tc>
        <w:tc>
          <w:tcPr>
            <w:tcW w:w="478" w:type="pct"/>
            <w:tcBorders>
              <w:tl2br w:val="nil"/>
              <w:tr2bl w:val="nil"/>
            </w:tcBorders>
            <w:vAlign w:val="center"/>
          </w:tcPr>
          <w:p w14:paraId="1D7C967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0.0053</w:t>
            </w:r>
          </w:p>
        </w:tc>
        <w:tc>
          <w:tcPr>
            <w:tcW w:w="812" w:type="pct"/>
            <w:tcBorders>
              <w:tl2br w:val="nil"/>
              <w:tr2bl w:val="nil"/>
            </w:tcBorders>
            <w:vAlign w:val="center"/>
          </w:tcPr>
          <w:p w14:paraId="17ED2EC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＜0.006</w:t>
            </w:r>
          </w:p>
        </w:tc>
        <w:tc>
          <w:tcPr>
            <w:tcW w:w="478" w:type="pct"/>
            <w:tcBorders>
              <w:tl2br w:val="nil"/>
              <w:tr2bl w:val="nil"/>
            </w:tcBorders>
            <w:vAlign w:val="center"/>
          </w:tcPr>
          <w:p w14:paraId="1D330AD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0.002</w:t>
            </w:r>
          </w:p>
        </w:tc>
        <w:tc>
          <w:tcPr>
            <w:tcW w:w="812" w:type="pct"/>
            <w:tcBorders>
              <w:tl2br w:val="nil"/>
              <w:tr2bl w:val="nil"/>
            </w:tcBorders>
            <w:vAlign w:val="center"/>
          </w:tcPr>
          <w:p w14:paraId="4100E4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＜0.05</w:t>
            </w:r>
          </w:p>
        </w:tc>
        <w:tc>
          <w:tcPr>
            <w:tcW w:w="496" w:type="pct"/>
            <w:tcBorders>
              <w:tl2br w:val="nil"/>
              <w:tr2bl w:val="nil"/>
            </w:tcBorders>
            <w:vAlign w:val="center"/>
          </w:tcPr>
          <w:p w14:paraId="53580D0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0.0167</w:t>
            </w:r>
          </w:p>
        </w:tc>
      </w:tr>
      <w:tr w14:paraId="75FB8F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69CE029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钠</w:t>
            </w:r>
          </w:p>
        </w:tc>
        <w:tc>
          <w:tcPr>
            <w:tcW w:w="496" w:type="pct"/>
            <w:tcBorders>
              <w:tl2br w:val="nil"/>
              <w:tr2bl w:val="nil"/>
            </w:tcBorders>
            <w:vAlign w:val="center"/>
          </w:tcPr>
          <w:p w14:paraId="47D6EF2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≤400</w:t>
            </w:r>
          </w:p>
        </w:tc>
        <w:tc>
          <w:tcPr>
            <w:tcW w:w="812" w:type="pct"/>
            <w:tcBorders>
              <w:tl2br w:val="nil"/>
              <w:tr2bl w:val="nil"/>
            </w:tcBorders>
            <w:vAlign w:val="center"/>
          </w:tcPr>
          <w:p w14:paraId="7E5DBF3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40.7</w:t>
            </w:r>
          </w:p>
        </w:tc>
        <w:tc>
          <w:tcPr>
            <w:tcW w:w="478" w:type="pct"/>
            <w:tcBorders>
              <w:tl2br w:val="nil"/>
              <w:tr2bl w:val="nil"/>
            </w:tcBorders>
            <w:vAlign w:val="center"/>
          </w:tcPr>
          <w:p w14:paraId="2737E21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0.1018</w:t>
            </w:r>
          </w:p>
        </w:tc>
        <w:tc>
          <w:tcPr>
            <w:tcW w:w="812" w:type="pct"/>
            <w:tcBorders>
              <w:tl2br w:val="nil"/>
              <w:tr2bl w:val="nil"/>
            </w:tcBorders>
            <w:vAlign w:val="center"/>
          </w:tcPr>
          <w:p w14:paraId="5CE17A8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17.9</w:t>
            </w:r>
          </w:p>
        </w:tc>
        <w:tc>
          <w:tcPr>
            <w:tcW w:w="478" w:type="pct"/>
            <w:tcBorders>
              <w:tl2br w:val="nil"/>
              <w:tr2bl w:val="nil"/>
            </w:tcBorders>
            <w:vAlign w:val="center"/>
          </w:tcPr>
          <w:p w14:paraId="07088CB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0.0447</w:t>
            </w:r>
          </w:p>
        </w:tc>
        <w:tc>
          <w:tcPr>
            <w:tcW w:w="812" w:type="pct"/>
            <w:tcBorders>
              <w:tl2br w:val="nil"/>
              <w:tr2bl w:val="nil"/>
            </w:tcBorders>
            <w:vAlign w:val="center"/>
          </w:tcPr>
          <w:p w14:paraId="5E2C8D1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29.2</w:t>
            </w:r>
          </w:p>
        </w:tc>
        <w:tc>
          <w:tcPr>
            <w:tcW w:w="496" w:type="pct"/>
            <w:tcBorders>
              <w:tl2br w:val="nil"/>
              <w:tr2bl w:val="nil"/>
            </w:tcBorders>
            <w:vAlign w:val="center"/>
          </w:tcPr>
          <w:p w14:paraId="5538F4C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0.073</w:t>
            </w:r>
          </w:p>
        </w:tc>
      </w:tr>
      <w:tr w14:paraId="4F3119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7B13EA7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苯</w:t>
            </w:r>
            <w:r>
              <w:rPr>
                <w:rFonts w:ascii="Times New Roman" w:hAnsi="Times New Roman" w:eastAsia="宋体" w:cs="Times New Roman"/>
                <w:b w:val="0"/>
                <w:bCs w:val="0"/>
                <w:i w:val="0"/>
                <w:iCs w:val="0"/>
                <w:strike w:val="0"/>
                <w:color w:val="auto"/>
                <w:kern w:val="0"/>
                <w:sz w:val="21"/>
                <w:szCs w:val="21"/>
                <w:highlight w:val="none"/>
                <w:lang w:eastAsia="zh-CN"/>
              </w:rPr>
              <w:t>(μg/L)</w:t>
            </w:r>
          </w:p>
        </w:tc>
        <w:tc>
          <w:tcPr>
            <w:tcW w:w="496" w:type="pct"/>
            <w:tcBorders>
              <w:tl2br w:val="nil"/>
              <w:tr2bl w:val="nil"/>
            </w:tcBorders>
            <w:vAlign w:val="center"/>
          </w:tcPr>
          <w:p w14:paraId="09751C3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≤120</w:t>
            </w:r>
          </w:p>
        </w:tc>
        <w:tc>
          <w:tcPr>
            <w:tcW w:w="812" w:type="pct"/>
            <w:tcBorders>
              <w:tl2br w:val="nil"/>
              <w:tr2bl w:val="nil"/>
            </w:tcBorders>
            <w:vAlign w:val="center"/>
          </w:tcPr>
          <w:p w14:paraId="4F9F50E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78" w:type="pct"/>
            <w:tcBorders>
              <w:tl2br w:val="nil"/>
              <w:tr2bl w:val="nil"/>
            </w:tcBorders>
            <w:vAlign w:val="center"/>
          </w:tcPr>
          <w:p w14:paraId="4DEF5EC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0.0058</w:t>
            </w:r>
          </w:p>
        </w:tc>
        <w:tc>
          <w:tcPr>
            <w:tcW w:w="812" w:type="pct"/>
            <w:tcBorders>
              <w:tl2br w:val="nil"/>
              <w:tr2bl w:val="nil"/>
            </w:tcBorders>
            <w:vAlign w:val="center"/>
          </w:tcPr>
          <w:p w14:paraId="7AECDC3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78" w:type="pct"/>
            <w:tcBorders>
              <w:tl2br w:val="nil"/>
              <w:tr2bl w:val="nil"/>
            </w:tcBorders>
            <w:vAlign w:val="center"/>
          </w:tcPr>
          <w:p w14:paraId="0FA0FD2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0.0058</w:t>
            </w:r>
          </w:p>
        </w:tc>
        <w:tc>
          <w:tcPr>
            <w:tcW w:w="812" w:type="pct"/>
            <w:tcBorders>
              <w:tl2br w:val="nil"/>
              <w:tr2bl w:val="nil"/>
            </w:tcBorders>
            <w:vAlign w:val="center"/>
          </w:tcPr>
          <w:p w14:paraId="14A4983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96" w:type="pct"/>
            <w:tcBorders>
              <w:tl2br w:val="nil"/>
              <w:tr2bl w:val="nil"/>
            </w:tcBorders>
            <w:vAlign w:val="center"/>
          </w:tcPr>
          <w:p w14:paraId="052DF04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0.0058</w:t>
            </w:r>
          </w:p>
        </w:tc>
      </w:tr>
      <w:tr w14:paraId="6EE91B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80" w:type="dxa"/>
            <w:left w:w="120" w:type="dxa"/>
            <w:bottom w:w="80" w:type="dxa"/>
            <w:right w:w="120" w:type="dxa"/>
          </w:tblCellMar>
        </w:tblPrEx>
        <w:trPr>
          <w:cantSplit/>
          <w:trHeight w:val="340" w:hRule="atLeast"/>
          <w:jc w:val="center"/>
        </w:trPr>
        <w:tc>
          <w:tcPr>
            <w:tcW w:w="614" w:type="pct"/>
            <w:tcBorders>
              <w:tl2br w:val="nil"/>
              <w:tr2bl w:val="nil"/>
            </w:tcBorders>
            <w:vAlign w:val="center"/>
          </w:tcPr>
          <w:p w14:paraId="526B5E3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rPr>
              <w:t>二甲苯（总量）</w:t>
            </w:r>
            <w:r>
              <w:rPr>
                <w:rFonts w:ascii="Times New Roman" w:hAnsi="Times New Roman" w:eastAsia="宋体" w:cs="Times New Roman"/>
                <w:b w:val="0"/>
                <w:bCs w:val="0"/>
                <w:i w:val="0"/>
                <w:iCs w:val="0"/>
                <w:strike w:val="0"/>
                <w:color w:val="auto"/>
                <w:kern w:val="0"/>
                <w:sz w:val="21"/>
                <w:szCs w:val="21"/>
                <w:highlight w:val="none"/>
                <w:lang w:eastAsia="zh-CN"/>
              </w:rPr>
              <w:t>(μg/L)</w:t>
            </w:r>
          </w:p>
        </w:tc>
        <w:tc>
          <w:tcPr>
            <w:tcW w:w="496" w:type="pct"/>
            <w:tcBorders>
              <w:tl2br w:val="nil"/>
              <w:tr2bl w:val="nil"/>
            </w:tcBorders>
            <w:vAlign w:val="center"/>
          </w:tcPr>
          <w:p w14:paraId="3F7632A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≤1000</w:t>
            </w:r>
          </w:p>
        </w:tc>
        <w:tc>
          <w:tcPr>
            <w:tcW w:w="812" w:type="pct"/>
            <w:tcBorders>
              <w:tl2br w:val="nil"/>
              <w:tr2bl w:val="nil"/>
            </w:tcBorders>
            <w:vAlign w:val="center"/>
          </w:tcPr>
          <w:p w14:paraId="0FF8220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78" w:type="pct"/>
            <w:tcBorders>
              <w:tl2br w:val="nil"/>
              <w:tr2bl w:val="nil"/>
            </w:tcBorders>
            <w:vAlign w:val="center"/>
          </w:tcPr>
          <w:p w14:paraId="0F47F1F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7.0×10⁻⁴</w:t>
            </w:r>
          </w:p>
        </w:tc>
        <w:tc>
          <w:tcPr>
            <w:tcW w:w="812" w:type="pct"/>
            <w:tcBorders>
              <w:tl2br w:val="nil"/>
              <w:tr2bl w:val="nil"/>
            </w:tcBorders>
            <w:vAlign w:val="center"/>
          </w:tcPr>
          <w:p w14:paraId="7AAB9A5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78" w:type="pct"/>
            <w:tcBorders>
              <w:tl2br w:val="nil"/>
              <w:tr2bl w:val="nil"/>
            </w:tcBorders>
            <w:vAlign w:val="center"/>
          </w:tcPr>
          <w:p w14:paraId="765A8C3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7.0×10⁻⁴</w:t>
            </w:r>
          </w:p>
        </w:tc>
        <w:tc>
          <w:tcPr>
            <w:tcW w:w="812" w:type="pct"/>
            <w:tcBorders>
              <w:tl2br w:val="nil"/>
              <w:tr2bl w:val="nil"/>
            </w:tcBorders>
            <w:vAlign w:val="center"/>
          </w:tcPr>
          <w:p w14:paraId="3E2DA34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＜1.4</w:t>
            </w:r>
          </w:p>
        </w:tc>
        <w:tc>
          <w:tcPr>
            <w:tcW w:w="496" w:type="pct"/>
            <w:tcBorders>
              <w:tl2br w:val="nil"/>
              <w:tr2bl w:val="nil"/>
            </w:tcBorders>
            <w:vAlign w:val="center"/>
          </w:tcPr>
          <w:p w14:paraId="4A8E628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eastAsia="宋体" w:cs="Times New Roman"/>
                <w:color w:val="auto"/>
                <w:kern w:val="0"/>
                <w:highlight w:val="none"/>
              </w:rPr>
            </w:pPr>
            <w:r>
              <w:rPr>
                <w:rFonts w:ascii="Times New Roman" w:hAnsi="Times New Roman" w:eastAsia="宋体" w:cs="Times New Roman"/>
                <w:b w:val="0"/>
                <w:bCs w:val="0"/>
                <w:i w:val="0"/>
                <w:iCs w:val="0"/>
                <w:strike w:val="0"/>
                <w:color w:val="auto"/>
                <w:kern w:val="0"/>
                <w:sz w:val="21"/>
                <w:szCs w:val="21"/>
                <w:highlight w:val="none"/>
                <w:lang w:eastAsia="zh-CN"/>
              </w:rPr>
              <w:t>7.0×10⁻⁴</w:t>
            </w:r>
          </w:p>
        </w:tc>
      </w:tr>
    </w:tbl>
    <w:p w14:paraId="5445C342">
      <w:pPr>
        <w:keepNext w:val="0"/>
        <w:keepLines w:val="0"/>
        <w:widowControl/>
        <w:suppressLineNumbers w:val="0"/>
        <w:jc w:val="left"/>
        <w:rPr>
          <w:rFonts w:ascii="Times New Roman" w:hAnsi="Times New Roman" w:eastAsia="宋体" w:cs="Times New Roman"/>
          <w:color w:val="auto"/>
          <w:highlight w:val="none"/>
        </w:rPr>
      </w:pPr>
      <w:r>
        <w:rPr>
          <w:rFonts w:hint="eastAsia" w:ascii="宋体" w:hAnsi="宋体" w:eastAsia="宋体" w:cs="宋体"/>
          <w:color w:val="auto"/>
          <w:kern w:val="0"/>
          <w:sz w:val="20"/>
          <w:szCs w:val="20"/>
          <w:highlight w:val="none"/>
          <w:lang w:val="en-US" w:eastAsia="zh-CN" w:bidi="ar"/>
        </w:rPr>
        <w:t>注：低于检出限以检出限一半计</w:t>
      </w:r>
      <w:r>
        <w:rPr>
          <w:rFonts w:hint="eastAsia" w:ascii="宋体" w:hAnsi="宋体" w:cs="宋体"/>
          <w:color w:val="auto"/>
          <w:kern w:val="0"/>
          <w:sz w:val="20"/>
          <w:szCs w:val="20"/>
          <w:highlight w:val="none"/>
          <w:lang w:val="en-US" w:eastAsia="zh-CN" w:bidi="ar"/>
        </w:rPr>
        <w:t>；</w:t>
      </w:r>
      <w:r>
        <w:rPr>
          <w:rFonts w:hint="eastAsia" w:ascii="Times New Roman" w:hAnsi="Times New Roman" w:eastAsia="宋体" w:cs="宋体"/>
          <w:color w:val="auto"/>
          <w:kern w:val="0"/>
          <w:sz w:val="20"/>
          <w:szCs w:val="20"/>
          <w:highlight w:val="none"/>
          <w:lang w:val="en-US" w:eastAsia="zh-CN" w:bidi="ar"/>
        </w:rPr>
        <w:t>D3宏三村（下游</w:t>
      </w:r>
      <w:r>
        <w:rPr>
          <w:rFonts w:hint="eastAsia" w:ascii="Times New Roman" w:hAnsi="Times New Roman" w:cs="宋体"/>
          <w:color w:val="auto"/>
          <w:kern w:val="0"/>
          <w:sz w:val="20"/>
          <w:szCs w:val="20"/>
          <w:highlight w:val="none"/>
          <w:lang w:val="en-US" w:eastAsia="zh-CN" w:bidi="ar"/>
        </w:rPr>
        <w:t>）的</w:t>
      </w:r>
      <w:r>
        <w:rPr>
          <w:rFonts w:hint="eastAsia" w:ascii="Times New Roman" w:hAnsi="Times New Roman" w:eastAsia="宋体" w:cs="宋体"/>
          <w:color w:val="auto"/>
          <w:kern w:val="0"/>
          <w:sz w:val="20"/>
          <w:szCs w:val="20"/>
          <w:highlight w:val="none"/>
          <w:lang w:val="en-US" w:eastAsia="zh-CN" w:bidi="ar"/>
        </w:rPr>
        <w:t>苯、二甲苯为2026年监测，其余</w:t>
      </w:r>
      <w:r>
        <w:rPr>
          <w:rFonts w:hint="eastAsia" w:ascii="Times New Roman" w:hAnsi="Times New Roman" w:cs="宋体"/>
          <w:color w:val="auto"/>
          <w:kern w:val="0"/>
          <w:sz w:val="20"/>
          <w:szCs w:val="20"/>
          <w:highlight w:val="none"/>
          <w:lang w:val="en-US" w:eastAsia="zh-CN" w:bidi="ar"/>
        </w:rPr>
        <w:t>因子</w:t>
      </w:r>
      <w:r>
        <w:rPr>
          <w:rFonts w:hint="eastAsia" w:ascii="Times New Roman" w:hAnsi="Times New Roman" w:eastAsia="宋体" w:cs="宋体"/>
          <w:color w:val="auto"/>
          <w:kern w:val="0"/>
          <w:sz w:val="20"/>
          <w:szCs w:val="20"/>
          <w:highlight w:val="none"/>
          <w:lang w:val="en-US" w:eastAsia="zh-CN" w:bidi="ar"/>
        </w:rPr>
        <w:t>引用2025年5月29日华远检测报告HYJC250515008）</w:t>
      </w:r>
    </w:p>
    <w:p w14:paraId="1E7E3700">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监测结果表明，区域地下水环境质量现状可以满足《地下水质量标准》（GB/T14848-2017）</w:t>
      </w:r>
      <w:r>
        <w:rPr>
          <w:rFonts w:hint="default" w:ascii="Times New Roman" w:hAnsi="Times New Roman" w:eastAsia="微软雅黑" w:cs="Times New Roman"/>
          <w:color w:val="auto"/>
          <w:sz w:val="24"/>
          <w:szCs w:val="22"/>
          <w:highlight w:val="none"/>
          <w:lang w:val="en-US" w:eastAsia="zh-CN" w:bidi="ar-SA"/>
        </w:rPr>
        <w:t>Ⅳ</w:t>
      </w:r>
      <w:r>
        <w:rPr>
          <w:rFonts w:ascii="Times New Roman" w:hAnsi="Times New Roman" w:eastAsia="宋体" w:cs="Times New Roman"/>
          <w:color w:val="auto"/>
          <w:sz w:val="24"/>
          <w:szCs w:val="22"/>
          <w:highlight w:val="none"/>
          <w:lang w:val="en-US" w:eastAsia="zh-CN" w:bidi="ar-SA"/>
        </w:rPr>
        <w:t>类标准，区域地下水环境质量现状较好。</w:t>
      </w:r>
    </w:p>
    <w:p w14:paraId="2F996A0D">
      <w:pPr>
        <w:pStyle w:val="4"/>
        <w:numPr>
          <w:ilvl w:val="2"/>
          <w:numId w:val="0"/>
        </w:numPr>
        <w:tabs>
          <w:tab w:val="clear" w:pos="720"/>
        </w:tabs>
        <w:bidi w:val="0"/>
        <w:rPr>
          <w:color w:val="auto"/>
          <w:highlight w:val="none"/>
          <w:lang w:val="en-US" w:eastAsia="zh-CN"/>
        </w:rPr>
      </w:pPr>
      <w:bookmarkStart w:id="437" w:name="_Toc6221"/>
      <w:r>
        <w:rPr>
          <w:rFonts w:hint="eastAsia"/>
          <w:color w:val="auto"/>
          <w:highlight w:val="none"/>
          <w:lang w:val="en-US" w:eastAsia="zh-CN"/>
        </w:rPr>
        <w:t>4.2</w:t>
      </w:r>
      <w:r>
        <w:rPr>
          <w:color w:val="auto"/>
          <w:highlight w:val="none"/>
          <w:lang w:val="en-US" w:eastAsia="zh-CN"/>
        </w:rPr>
        <w:t>.3</w:t>
      </w:r>
      <w:r>
        <w:rPr>
          <w:rFonts w:hint="eastAsia"/>
          <w:color w:val="auto"/>
          <w:highlight w:val="none"/>
          <w:lang w:val="en-US" w:eastAsia="zh-CN"/>
        </w:rPr>
        <w:t xml:space="preserve"> </w:t>
      </w:r>
      <w:r>
        <w:rPr>
          <w:color w:val="auto"/>
          <w:highlight w:val="none"/>
          <w:lang w:val="en-US" w:eastAsia="zh-CN"/>
        </w:rPr>
        <w:t>环境空气质量现状调查与评价</w:t>
      </w:r>
      <w:bookmarkEnd w:id="417"/>
      <w:bookmarkEnd w:id="418"/>
      <w:bookmarkEnd w:id="419"/>
      <w:bookmarkEnd w:id="420"/>
      <w:bookmarkEnd w:id="421"/>
      <w:bookmarkEnd w:id="422"/>
      <w:bookmarkEnd w:id="423"/>
      <w:bookmarkEnd w:id="437"/>
    </w:p>
    <w:p w14:paraId="245CAFFE">
      <w:pPr>
        <w:widowControl w:val="0"/>
        <w:spacing w:line="360" w:lineRule="auto"/>
        <w:ind w:firstLine="480" w:firstLineChars="200"/>
        <w:jc w:val="both"/>
        <w:rPr>
          <w:rFonts w:hint="eastAsia" w:ascii="Times New Roman" w:hAnsi="Times New Roman" w:eastAsia="宋体" w:cs="Times New Roman"/>
          <w:color w:val="auto"/>
          <w:kern w:val="0"/>
          <w:sz w:val="24"/>
          <w:szCs w:val="28"/>
          <w:highlight w:val="none"/>
          <w:lang w:val="en-US" w:eastAsia="zh-CN" w:bidi="ar-SA"/>
        </w:rPr>
      </w:pPr>
      <w:bookmarkStart w:id="438" w:name="_Toc330218352"/>
      <w:bookmarkStart w:id="439" w:name="_Toc5617"/>
      <w:bookmarkStart w:id="440" w:name="_Toc377541065"/>
      <w:bookmarkStart w:id="441" w:name="_Toc248758543"/>
      <w:bookmarkStart w:id="442" w:name="_Toc288038017"/>
      <w:r>
        <w:rPr>
          <w:rFonts w:hint="eastAsia" w:ascii="Times New Roman" w:hAnsi="Times New Roman" w:eastAsia="宋体" w:cs="Times New Roman"/>
          <w:color w:val="auto"/>
          <w:kern w:val="0"/>
          <w:sz w:val="24"/>
          <w:szCs w:val="28"/>
          <w:highlight w:val="none"/>
          <w:lang w:val="en-US" w:eastAsia="zh-CN" w:bidi="ar-SA"/>
        </w:rPr>
        <w:t>本项目大气环境影响评价工作等级为二级，根据《环境影响评价技术导则大气环境》（HJ2.2-2018）要求，二级评价项目环境空气质量现状调查内容应包含项目所在区域环境质量达标情况并调查评价范围内有环境质量标准的评价因子的环境质量监测数据或进行补充监测。本项目大气评价范围内环境空气功能区划均为二类区，因此本评价仅调查项目所在区域及大气评价范围内大气环境质量达标情况和项目所在区域污染物环境质量现状。</w:t>
      </w:r>
    </w:p>
    <w:p w14:paraId="45CE2F5A">
      <w:pPr>
        <w:pStyle w:val="5"/>
        <w:numPr>
          <w:ilvl w:val="3"/>
          <w:numId w:val="0"/>
        </w:numPr>
        <w:bidi w:val="0"/>
        <w:ind w:leftChars="0"/>
        <w:rPr>
          <w:rFonts w:ascii="Times New Roman" w:hAnsi="Times New Roman" w:eastAsia="黑体" w:cs="Times New Roman"/>
          <w:color w:val="auto"/>
          <w:kern w:val="2"/>
          <w:szCs w:val="28"/>
          <w:highlight w:val="none"/>
          <w:lang w:val="en-US" w:eastAsia="zh-CN" w:bidi="ar-SA"/>
        </w:rPr>
      </w:pPr>
      <w:r>
        <w:rPr>
          <w:rFonts w:hint="eastAsia"/>
          <w:color w:val="auto"/>
          <w:highlight w:val="none"/>
          <w:lang w:val="en-US" w:eastAsia="zh-CN"/>
        </w:rPr>
        <w:t>4.2</w:t>
      </w:r>
      <w:r>
        <w:rPr>
          <w:color w:val="auto"/>
          <w:highlight w:val="none"/>
          <w:lang w:val="en-US" w:eastAsia="zh-CN"/>
        </w:rPr>
        <w:t>.3.1</w:t>
      </w:r>
      <w:r>
        <w:rPr>
          <w:rFonts w:hint="eastAsia"/>
          <w:color w:val="auto"/>
          <w:highlight w:val="none"/>
          <w:lang w:val="en-US" w:eastAsia="zh-CN"/>
        </w:rPr>
        <w:t xml:space="preserve"> </w:t>
      </w:r>
      <w:r>
        <w:rPr>
          <w:color w:val="auto"/>
          <w:highlight w:val="none"/>
          <w:lang w:val="en-US" w:eastAsia="zh-CN"/>
        </w:rPr>
        <w:t>区域环境空气质量达标分析</w:t>
      </w:r>
    </w:p>
    <w:p w14:paraId="600339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highlight w:val="none"/>
          <w:lang w:val="en-US" w:eastAsia="zh-CN"/>
        </w:rPr>
      </w:pPr>
      <w:r>
        <w:rPr>
          <w:rFonts w:hint="default" w:cs="Times New Roman"/>
          <w:color w:val="auto"/>
          <w:highlight w:val="none"/>
          <w:lang w:val="en-US" w:eastAsia="zh-CN"/>
        </w:rPr>
        <w:t>根据福建省生态环境厅发布的关于2025年12月福建省城市环境空气质量通报显示：2025年1-12月，福州市优良天数比例为97.5%，综合指数为2.40。城市环境空气质量达标情况评价指标为SO</w:t>
      </w:r>
      <w:r>
        <w:rPr>
          <w:rFonts w:hint="default" w:cs="Times New Roman"/>
          <w:color w:val="auto"/>
          <w:highlight w:val="none"/>
          <w:vertAlign w:val="subscript"/>
          <w:lang w:val="en-US" w:eastAsia="zh-CN"/>
        </w:rPr>
        <w:t>2</w:t>
      </w:r>
      <w:r>
        <w:rPr>
          <w:rFonts w:hint="default" w:cs="Times New Roman"/>
          <w:color w:val="auto"/>
          <w:highlight w:val="none"/>
          <w:lang w:val="en-US" w:eastAsia="zh-CN"/>
        </w:rPr>
        <w:t>、NO</w:t>
      </w:r>
      <w:r>
        <w:rPr>
          <w:rFonts w:hint="default" w:cs="Times New Roman"/>
          <w:color w:val="auto"/>
          <w:highlight w:val="none"/>
          <w:vertAlign w:val="subscript"/>
          <w:lang w:val="en-US" w:eastAsia="zh-CN"/>
        </w:rPr>
        <w:t>2</w:t>
      </w:r>
      <w:r>
        <w:rPr>
          <w:rFonts w:hint="default" w:cs="Times New Roman"/>
          <w:color w:val="auto"/>
          <w:highlight w:val="none"/>
          <w:lang w:val="en-US" w:eastAsia="zh-CN"/>
        </w:rPr>
        <w:t>、PM</w:t>
      </w:r>
      <w:r>
        <w:rPr>
          <w:rFonts w:hint="default" w:cs="Times New Roman"/>
          <w:color w:val="auto"/>
          <w:highlight w:val="none"/>
          <w:vertAlign w:val="subscript"/>
          <w:lang w:val="en-US" w:eastAsia="zh-CN"/>
        </w:rPr>
        <w:t xml:space="preserve"> 10</w:t>
      </w:r>
      <w:r>
        <w:rPr>
          <w:rFonts w:hint="default" w:cs="Times New Roman"/>
          <w:color w:val="auto"/>
          <w:highlight w:val="none"/>
          <w:lang w:val="en-US" w:eastAsia="zh-CN"/>
        </w:rPr>
        <w:t>、PM</w:t>
      </w:r>
      <w:r>
        <w:rPr>
          <w:rFonts w:hint="default" w:cs="Times New Roman"/>
          <w:color w:val="auto"/>
          <w:highlight w:val="none"/>
          <w:vertAlign w:val="subscript"/>
          <w:lang w:val="en-US" w:eastAsia="zh-CN"/>
        </w:rPr>
        <w:t>2.5</w:t>
      </w:r>
      <w:r>
        <w:rPr>
          <w:rFonts w:hint="default" w:cs="Times New Roman"/>
          <w:color w:val="auto"/>
          <w:highlight w:val="none"/>
          <w:lang w:val="en-US" w:eastAsia="zh-CN"/>
        </w:rPr>
        <w:t>、CO和O</w:t>
      </w:r>
      <w:r>
        <w:rPr>
          <w:rFonts w:hint="default" w:cs="Times New Roman"/>
          <w:color w:val="auto"/>
          <w:highlight w:val="none"/>
          <w:vertAlign w:val="subscript"/>
          <w:lang w:val="en-US" w:eastAsia="zh-CN"/>
        </w:rPr>
        <w:t>3</w:t>
      </w:r>
      <w:r>
        <w:rPr>
          <w:rFonts w:hint="default" w:cs="Times New Roman"/>
          <w:color w:val="auto"/>
          <w:highlight w:val="none"/>
          <w:lang w:val="en-US" w:eastAsia="zh-CN"/>
        </w:rPr>
        <w:t>，六项污染物全部达标即为城市环境空气质量达标，福州市城区环境空气质量总体达到二级标准。</w:t>
      </w:r>
    </w:p>
    <w:p w14:paraId="13FDEA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highlight w:val="none"/>
          <w:lang w:val="en-US" w:eastAsia="zh-CN"/>
        </w:rPr>
      </w:pPr>
      <w:r>
        <w:rPr>
          <w:rFonts w:hint="default" w:cs="Times New Roman"/>
          <w:color w:val="auto"/>
          <w:highlight w:val="none"/>
          <w:lang w:val="en-US" w:eastAsia="zh-CN"/>
        </w:rPr>
        <w:t>经查询闽侯县人民政府网的闽侯县环境监测站公益性常规监测数据统计情况（详见</w:t>
      </w:r>
      <w:r>
        <w:rPr>
          <w:rFonts w:hint="eastAsia" w:cs="Times New Roman"/>
          <w:color w:val="auto"/>
          <w:highlight w:val="none"/>
          <w:lang w:val="en-US" w:eastAsia="zh-CN"/>
        </w:rPr>
        <w:t>：</w:t>
      </w:r>
      <w:r>
        <w:rPr>
          <w:rFonts w:hint="default" w:cs="Times New Roman"/>
          <w:color w:val="auto"/>
          <w:highlight w:val="none"/>
          <w:lang w:val="en-US" w:eastAsia="zh-CN"/>
        </w:rPr>
        <w:t>https://www.minhou.gov.cn/xjwz/zwgk/zdlyxxgk/hjxx/kqzlzsaqi/）。据县环境监测站公益性常规监测数据统计，2025年1月份~12月份，闽侯县县城环境空气质量优，达到规定的相应功能区标准。闽侯县2025年1月份~12月份的空气质量SO</w:t>
      </w:r>
      <w:r>
        <w:rPr>
          <w:rFonts w:hint="default" w:cs="Times New Roman"/>
          <w:color w:val="auto"/>
          <w:highlight w:val="none"/>
          <w:vertAlign w:val="subscript"/>
          <w:lang w:val="en-US" w:eastAsia="zh-CN"/>
        </w:rPr>
        <w:t>2</w:t>
      </w:r>
      <w:r>
        <w:rPr>
          <w:rFonts w:hint="default" w:cs="Times New Roman"/>
          <w:color w:val="auto"/>
          <w:highlight w:val="none"/>
          <w:lang w:val="en-US" w:eastAsia="zh-CN"/>
        </w:rPr>
        <w:t>、NO</w:t>
      </w:r>
      <w:r>
        <w:rPr>
          <w:rFonts w:hint="default" w:cs="Times New Roman"/>
          <w:color w:val="auto"/>
          <w:highlight w:val="none"/>
          <w:vertAlign w:val="subscript"/>
          <w:lang w:val="en-US" w:eastAsia="zh-CN"/>
        </w:rPr>
        <w:t>2</w:t>
      </w:r>
      <w:r>
        <w:rPr>
          <w:rFonts w:hint="default" w:cs="Times New Roman"/>
          <w:color w:val="auto"/>
          <w:highlight w:val="none"/>
          <w:lang w:val="en-US" w:eastAsia="zh-CN"/>
        </w:rPr>
        <w:t>、PM</w:t>
      </w:r>
      <w:r>
        <w:rPr>
          <w:rFonts w:hint="default" w:cs="Times New Roman"/>
          <w:color w:val="auto"/>
          <w:highlight w:val="none"/>
          <w:vertAlign w:val="subscript"/>
          <w:lang w:val="en-US" w:eastAsia="zh-CN"/>
        </w:rPr>
        <w:t xml:space="preserve"> 10</w:t>
      </w:r>
      <w:r>
        <w:rPr>
          <w:rFonts w:hint="default" w:cs="Times New Roman"/>
          <w:color w:val="auto"/>
          <w:highlight w:val="none"/>
          <w:lang w:val="en-US" w:eastAsia="zh-CN"/>
        </w:rPr>
        <w:t>、CO、O</w:t>
      </w:r>
      <w:r>
        <w:rPr>
          <w:rFonts w:hint="default" w:cs="Times New Roman"/>
          <w:color w:val="auto"/>
          <w:highlight w:val="none"/>
          <w:vertAlign w:val="subscript"/>
          <w:lang w:val="en-US" w:eastAsia="zh-CN"/>
        </w:rPr>
        <w:t>3</w:t>
      </w:r>
      <w:r>
        <w:rPr>
          <w:rFonts w:hint="default" w:cs="Times New Roman"/>
          <w:color w:val="auto"/>
          <w:highlight w:val="none"/>
          <w:lang w:val="en-US" w:eastAsia="zh-CN"/>
        </w:rPr>
        <w:t>、PM</w:t>
      </w:r>
      <w:r>
        <w:rPr>
          <w:rFonts w:hint="default" w:cs="Times New Roman"/>
          <w:color w:val="auto"/>
          <w:highlight w:val="none"/>
          <w:vertAlign w:val="subscript"/>
          <w:lang w:val="en-US" w:eastAsia="zh-CN"/>
        </w:rPr>
        <w:t>2.5</w:t>
      </w:r>
      <w:r>
        <w:rPr>
          <w:rFonts w:hint="default" w:cs="Times New Roman"/>
          <w:color w:val="auto"/>
          <w:highlight w:val="none"/>
          <w:lang w:val="en-US" w:eastAsia="zh-CN"/>
        </w:rPr>
        <w:t>等6项污染物浓度指标的24小时均值（其中O</w:t>
      </w:r>
      <w:r>
        <w:rPr>
          <w:rFonts w:hint="default" w:cs="Times New Roman"/>
          <w:color w:val="auto"/>
          <w:highlight w:val="none"/>
          <w:vertAlign w:val="subscript"/>
          <w:lang w:val="en-US" w:eastAsia="zh-CN"/>
        </w:rPr>
        <w:t>3</w:t>
      </w:r>
      <w:r>
        <w:rPr>
          <w:rFonts w:hint="default" w:cs="Times New Roman"/>
          <w:color w:val="auto"/>
          <w:highlight w:val="none"/>
          <w:lang w:val="en-US" w:eastAsia="zh-CN"/>
        </w:rPr>
        <w:t>为日最大8小时平均）达到国家环境空气质量标准（GB3095-20</w:t>
      </w:r>
      <w:r>
        <w:rPr>
          <w:rFonts w:hint="eastAsia" w:cs="Times New Roman"/>
          <w:color w:val="auto"/>
          <w:highlight w:val="none"/>
          <w:lang w:val="en-US" w:eastAsia="zh-CN"/>
        </w:rPr>
        <w:t>26</w:t>
      </w:r>
      <w:r>
        <w:rPr>
          <w:rFonts w:hint="default" w:cs="Times New Roman"/>
          <w:color w:val="auto"/>
          <w:highlight w:val="none"/>
          <w:lang w:val="en-US" w:eastAsia="zh-CN"/>
        </w:rPr>
        <w:t>）一级水平。</w:t>
      </w:r>
    </w:p>
    <w:p w14:paraId="442870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highlight w:val="none"/>
          <w:lang w:val="en-US" w:eastAsia="zh-CN"/>
        </w:rPr>
      </w:pPr>
      <w:r>
        <w:rPr>
          <w:rFonts w:hint="default" w:cs="Times New Roman"/>
          <w:color w:val="auto"/>
          <w:highlight w:val="none"/>
          <w:lang w:val="en-US" w:eastAsia="zh-CN"/>
        </w:rPr>
        <w:t>综上，闽侯县环境空气质量整体达到一级标准，属于达标区域。</w:t>
      </w:r>
    </w:p>
    <w:p w14:paraId="692085C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imes New Roman" w:hAnsi="Times New Roman" w:eastAsia="宋体" w:cs="宋体"/>
          <w:color w:val="auto"/>
          <w:kern w:val="0"/>
          <w:sz w:val="24"/>
          <w:szCs w:val="20"/>
          <w:highlight w:val="none"/>
          <w:lang w:val="en-US" w:eastAsia="zh-CN" w:bidi="ar-SA"/>
        </w:rPr>
      </w:pPr>
      <w:r>
        <w:rPr>
          <w:color w:val="auto"/>
          <w:highlight w:val="none"/>
        </w:rPr>
        <w:drawing>
          <wp:inline distT="0" distB="0" distL="114300" distR="114300">
            <wp:extent cx="5266690" cy="3926205"/>
            <wp:effectExtent l="0" t="0" r="10160" b="17145"/>
            <wp:docPr id="25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7"/>
                    <pic:cNvPicPr>
                      <a:picLocks noChangeAspect="1"/>
                    </pic:cNvPicPr>
                  </pic:nvPicPr>
                  <pic:blipFill>
                    <a:blip r:embed="rId59"/>
                    <a:stretch>
                      <a:fillRect/>
                    </a:stretch>
                  </pic:blipFill>
                  <pic:spPr>
                    <a:xfrm>
                      <a:off x="0" y="0"/>
                      <a:ext cx="5266690" cy="3926205"/>
                    </a:xfrm>
                    <a:prstGeom prst="rect">
                      <a:avLst/>
                    </a:prstGeom>
                    <a:noFill/>
                    <a:ln>
                      <a:noFill/>
                    </a:ln>
                  </pic:spPr>
                </pic:pic>
              </a:graphicData>
            </a:graphic>
          </wp:inline>
        </w:drawing>
      </w:r>
    </w:p>
    <w:p w14:paraId="2F83412E">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图4.2-7  福建省生态环境厅网站截图</w:t>
      </w:r>
    </w:p>
    <w:p w14:paraId="11D0EFD1">
      <w:pPr>
        <w:pStyle w:val="5"/>
        <w:numPr>
          <w:ilvl w:val="3"/>
          <w:numId w:val="0"/>
        </w:numPr>
        <w:bidi w:val="0"/>
        <w:ind w:leftChars="0"/>
        <w:rPr>
          <w:color w:val="auto"/>
          <w:highlight w:val="none"/>
          <w:lang w:val="en-US" w:eastAsia="zh-CN"/>
        </w:rPr>
      </w:pPr>
      <w:r>
        <w:rPr>
          <w:rFonts w:hint="eastAsia"/>
          <w:color w:val="auto"/>
          <w:highlight w:val="none"/>
          <w:lang w:val="en-US" w:eastAsia="zh-CN"/>
        </w:rPr>
        <w:t>4.2</w:t>
      </w:r>
      <w:r>
        <w:rPr>
          <w:color w:val="auto"/>
          <w:highlight w:val="none"/>
          <w:lang w:val="en-US" w:eastAsia="zh-CN"/>
        </w:rPr>
        <w:t>.3.2</w:t>
      </w:r>
      <w:r>
        <w:rPr>
          <w:rFonts w:hint="eastAsia"/>
          <w:color w:val="auto"/>
          <w:highlight w:val="none"/>
          <w:lang w:val="en-US" w:eastAsia="zh-CN"/>
        </w:rPr>
        <w:t xml:space="preserve"> 现状</w:t>
      </w:r>
      <w:r>
        <w:rPr>
          <w:color w:val="auto"/>
          <w:highlight w:val="none"/>
          <w:lang w:val="en-US" w:eastAsia="zh-CN"/>
        </w:rPr>
        <w:t>监测</w:t>
      </w:r>
      <w:bookmarkEnd w:id="438"/>
      <w:bookmarkEnd w:id="439"/>
      <w:bookmarkEnd w:id="440"/>
      <w:bookmarkEnd w:id="441"/>
      <w:bookmarkEnd w:id="442"/>
    </w:p>
    <w:p w14:paraId="0FB7B338">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bookmarkStart w:id="443" w:name="_Toc145302898"/>
      <w:bookmarkStart w:id="444" w:name="_Toc248758544"/>
      <w:bookmarkStart w:id="445" w:name="_Toc330218353"/>
      <w:bookmarkStart w:id="446" w:name="_Toc17607"/>
      <w:bookmarkStart w:id="447" w:name="_Toc288038018"/>
      <w:r>
        <w:rPr>
          <w:rFonts w:ascii="Times New Roman" w:hAnsi="Times New Roman" w:eastAsia="宋体" w:cs="Times New Roman"/>
          <w:color w:val="auto"/>
          <w:sz w:val="24"/>
          <w:szCs w:val="22"/>
          <w:highlight w:val="none"/>
          <w:lang w:val="en-US" w:eastAsia="zh-CN" w:bidi="ar-SA"/>
        </w:rPr>
        <w:t>（1）监测点位</w:t>
      </w:r>
    </w:p>
    <w:p w14:paraId="316ACDE5">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本次评价根据敏感点分布、全年主导风向等原则，共布设</w:t>
      </w:r>
      <w:r>
        <w:rPr>
          <w:rFonts w:hint="eastAsia" w:ascii="Times New Roman" w:hAnsi="Times New Roman" w:eastAsia="宋体" w:cs="Times New Roman"/>
          <w:color w:val="auto"/>
          <w:sz w:val="24"/>
          <w:szCs w:val="22"/>
          <w:highlight w:val="none"/>
          <w:lang w:val="en-US" w:eastAsia="zh-CN" w:bidi="ar-SA"/>
        </w:rPr>
        <w:t>1</w:t>
      </w:r>
      <w:r>
        <w:rPr>
          <w:rFonts w:ascii="Times New Roman" w:hAnsi="Times New Roman" w:eastAsia="宋体" w:cs="Times New Roman"/>
          <w:color w:val="auto"/>
          <w:sz w:val="24"/>
          <w:szCs w:val="22"/>
          <w:highlight w:val="none"/>
          <w:lang w:val="en-US" w:eastAsia="zh-CN" w:bidi="ar-SA"/>
        </w:rPr>
        <w:t>个大气采样点，具体监测位置及监测因子见表</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10</w:t>
      </w:r>
      <w:r>
        <w:rPr>
          <w:rFonts w:ascii="Times New Roman" w:hAnsi="Times New Roman" w:eastAsia="宋体" w:cs="Times New Roman"/>
          <w:color w:val="auto"/>
          <w:sz w:val="24"/>
          <w:szCs w:val="22"/>
          <w:highlight w:val="none"/>
          <w:lang w:val="en-US" w:eastAsia="zh-CN" w:bidi="ar-SA"/>
        </w:rPr>
        <w:t>、图</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-1。</w:t>
      </w:r>
    </w:p>
    <w:p w14:paraId="3E767494">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表4.2-10  环境空气监测点位一览表</w:t>
      </w:r>
    </w:p>
    <w:tbl>
      <w:tblPr>
        <w:tblStyle w:val="81"/>
        <w:tblW w:w="86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778"/>
        <w:gridCol w:w="3720"/>
        <w:gridCol w:w="2491"/>
      </w:tblGrid>
      <w:tr w14:paraId="5E501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tcBorders>
              <w:tl2br w:val="nil"/>
              <w:tr2bl w:val="nil"/>
            </w:tcBorders>
            <w:noWrap w:val="0"/>
            <w:vAlign w:val="center"/>
          </w:tcPr>
          <w:p w14:paraId="336733D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序号</w:t>
            </w:r>
          </w:p>
        </w:tc>
        <w:tc>
          <w:tcPr>
            <w:tcW w:w="1778" w:type="dxa"/>
            <w:tcBorders>
              <w:tl2br w:val="nil"/>
              <w:tr2bl w:val="nil"/>
            </w:tcBorders>
            <w:noWrap w:val="0"/>
            <w:vAlign w:val="center"/>
          </w:tcPr>
          <w:p w14:paraId="05E5309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监测点位名称</w:t>
            </w:r>
          </w:p>
        </w:tc>
        <w:tc>
          <w:tcPr>
            <w:tcW w:w="3720" w:type="dxa"/>
            <w:tcBorders>
              <w:tl2br w:val="nil"/>
              <w:tr2bl w:val="nil"/>
            </w:tcBorders>
            <w:noWrap w:val="0"/>
            <w:vAlign w:val="center"/>
          </w:tcPr>
          <w:p w14:paraId="7261A5E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检测项目</w:t>
            </w:r>
          </w:p>
        </w:tc>
        <w:tc>
          <w:tcPr>
            <w:tcW w:w="2491" w:type="dxa"/>
            <w:tcBorders>
              <w:tl2br w:val="nil"/>
              <w:tr2bl w:val="nil"/>
            </w:tcBorders>
            <w:noWrap w:val="0"/>
            <w:vAlign w:val="center"/>
          </w:tcPr>
          <w:p w14:paraId="7E1A3AC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监测频次</w:t>
            </w:r>
          </w:p>
        </w:tc>
      </w:tr>
      <w:tr w14:paraId="79B68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Merge w:val="restart"/>
            <w:tcBorders>
              <w:tl2br w:val="nil"/>
              <w:tr2bl w:val="nil"/>
            </w:tcBorders>
            <w:noWrap w:val="0"/>
            <w:vAlign w:val="center"/>
          </w:tcPr>
          <w:p w14:paraId="5751130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G</w:t>
            </w:r>
            <w:r>
              <w:rPr>
                <w:rFonts w:hint="default" w:ascii="Times New Roman" w:hAnsi="Times New Roman" w:eastAsia="宋体" w:cs="Times New Roman"/>
                <w:color w:val="auto"/>
                <w:kern w:val="2"/>
                <w:sz w:val="21"/>
                <w:szCs w:val="24"/>
                <w:highlight w:val="none"/>
                <w:lang w:val="en-US" w:eastAsia="zh-CN" w:bidi="ar-SA"/>
              </w:rPr>
              <w:t>1</w:t>
            </w:r>
          </w:p>
        </w:tc>
        <w:tc>
          <w:tcPr>
            <w:tcW w:w="1778" w:type="dxa"/>
            <w:vMerge w:val="restart"/>
            <w:tcBorders>
              <w:tl2br w:val="nil"/>
              <w:tr2bl w:val="nil"/>
            </w:tcBorders>
            <w:noWrap w:val="0"/>
            <w:vAlign w:val="center"/>
          </w:tcPr>
          <w:p w14:paraId="60D6DBA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船尾村</w:t>
            </w:r>
          </w:p>
        </w:tc>
        <w:tc>
          <w:tcPr>
            <w:tcW w:w="3720" w:type="dxa"/>
            <w:tcBorders>
              <w:tl2br w:val="nil"/>
              <w:tr2bl w:val="nil"/>
            </w:tcBorders>
            <w:noWrap w:val="0"/>
            <w:vAlign w:val="center"/>
          </w:tcPr>
          <w:p w14:paraId="3A4CB55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TSP</w:t>
            </w:r>
          </w:p>
        </w:tc>
        <w:tc>
          <w:tcPr>
            <w:tcW w:w="2491" w:type="dxa"/>
            <w:tcBorders>
              <w:tl2br w:val="nil"/>
              <w:tr2bl w:val="nil"/>
            </w:tcBorders>
            <w:noWrap w:val="0"/>
            <w:vAlign w:val="center"/>
          </w:tcPr>
          <w:p w14:paraId="4634F3F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共7天</w:t>
            </w:r>
            <w:r>
              <w:rPr>
                <w:rFonts w:hint="eastAsia" w:ascii="Times New Roman" w:hAnsi="Times New Roman" w:eastAsia="宋体" w:cs="Times New Roman"/>
                <w:color w:val="auto"/>
                <w:kern w:val="2"/>
                <w:sz w:val="21"/>
                <w:szCs w:val="24"/>
                <w:highlight w:val="none"/>
                <w:lang w:val="en-US" w:eastAsia="zh-CN" w:bidi="ar-SA"/>
              </w:rPr>
              <w:t>，日均值</w:t>
            </w:r>
          </w:p>
        </w:tc>
      </w:tr>
      <w:tr w14:paraId="413C7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Merge w:val="continue"/>
            <w:tcBorders>
              <w:tl2br w:val="nil"/>
              <w:tr2bl w:val="nil"/>
            </w:tcBorders>
            <w:noWrap w:val="0"/>
            <w:vAlign w:val="center"/>
          </w:tcPr>
          <w:p w14:paraId="3A3010E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778" w:type="dxa"/>
            <w:vMerge w:val="continue"/>
            <w:tcBorders>
              <w:tl2br w:val="nil"/>
              <w:tr2bl w:val="nil"/>
            </w:tcBorders>
            <w:noWrap w:val="0"/>
            <w:vAlign w:val="center"/>
          </w:tcPr>
          <w:p w14:paraId="734C13A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3720" w:type="dxa"/>
            <w:tcBorders>
              <w:tl2br w:val="nil"/>
              <w:tr2bl w:val="nil"/>
            </w:tcBorders>
            <w:noWrap w:val="0"/>
            <w:vAlign w:val="center"/>
          </w:tcPr>
          <w:p w14:paraId="033AC7B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非甲烷总烃</w:t>
            </w:r>
            <w:r>
              <w:rPr>
                <w:rFonts w:hint="eastAsia"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二甲苯、臭气浓度</w:t>
            </w:r>
            <w:r>
              <w:rPr>
                <w:rFonts w:hint="eastAsia" w:cs="Times New Roman"/>
                <w:color w:val="auto"/>
                <w:kern w:val="2"/>
                <w:sz w:val="21"/>
                <w:szCs w:val="24"/>
                <w:highlight w:val="none"/>
                <w:lang w:val="en-US" w:eastAsia="zh-CN" w:bidi="ar-SA"/>
              </w:rPr>
              <w:t>、挥发性有机物</w:t>
            </w:r>
            <w:r>
              <w:rPr>
                <w:rFonts w:hint="eastAsia" w:ascii="Times New Roman" w:hAnsi="Times New Roman" w:eastAsia="宋体" w:cs="Times New Roman"/>
                <w:color w:val="auto"/>
                <w:kern w:val="2"/>
                <w:sz w:val="21"/>
                <w:szCs w:val="24"/>
                <w:highlight w:val="none"/>
                <w:lang w:val="en-US" w:eastAsia="zh-CN" w:bidi="ar-SA"/>
              </w:rPr>
              <w:t>、乙酸丁酯</w:t>
            </w:r>
          </w:p>
        </w:tc>
        <w:tc>
          <w:tcPr>
            <w:tcW w:w="2491" w:type="dxa"/>
            <w:tcBorders>
              <w:tl2br w:val="nil"/>
              <w:tr2bl w:val="nil"/>
            </w:tcBorders>
            <w:noWrap w:val="0"/>
            <w:vAlign w:val="center"/>
          </w:tcPr>
          <w:p w14:paraId="3CCE77D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共7天</w:t>
            </w:r>
            <w:r>
              <w:rPr>
                <w:rFonts w:hint="eastAsia" w:ascii="Times New Roman" w:hAnsi="Times New Roman" w:eastAsia="宋体" w:cs="Times New Roman"/>
                <w:color w:val="auto"/>
                <w:kern w:val="2"/>
                <w:sz w:val="21"/>
                <w:szCs w:val="24"/>
                <w:highlight w:val="none"/>
                <w:lang w:val="en-US" w:eastAsia="zh-CN" w:bidi="ar-SA"/>
              </w:rPr>
              <w:t>，1小时均值</w:t>
            </w:r>
          </w:p>
        </w:tc>
      </w:tr>
    </w:tbl>
    <w:p w14:paraId="3A313DAE">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（2）布点合理性分析</w:t>
      </w:r>
    </w:p>
    <w:p w14:paraId="51EC5223">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根据《</w:t>
      </w:r>
      <w:r>
        <w:rPr>
          <w:rFonts w:hint="eastAsia" w:cs="Times New Roman"/>
          <w:color w:val="auto"/>
          <w:sz w:val="24"/>
          <w:szCs w:val="22"/>
          <w:highlight w:val="none"/>
          <w:lang w:val="en-US" w:eastAsia="zh-CN" w:bidi="ar-SA"/>
        </w:rPr>
        <w:t>环境影响评价技术导则 大气环境</w:t>
      </w:r>
      <w:r>
        <w:rPr>
          <w:rFonts w:ascii="Times New Roman" w:hAnsi="Times New Roman" w:eastAsia="宋体" w:cs="Times New Roman"/>
          <w:color w:val="auto"/>
          <w:sz w:val="24"/>
          <w:szCs w:val="22"/>
          <w:highlight w:val="none"/>
          <w:lang w:val="en-US" w:eastAsia="zh-CN" w:bidi="ar-SA"/>
        </w:rPr>
        <w:t>》（HJ2.2-2018），监测布点应在厂址及主导风向下风向5km范围内设置1~2个监测点。</w:t>
      </w:r>
    </w:p>
    <w:p w14:paraId="3056F951">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本项目布设的大气监测点位——</w:t>
      </w:r>
      <w:r>
        <w:rPr>
          <w:rFonts w:hint="eastAsia" w:ascii="Times New Roman" w:hAnsi="Times New Roman" w:eastAsia="宋体" w:cs="Times New Roman"/>
          <w:color w:val="auto"/>
          <w:sz w:val="24"/>
          <w:szCs w:val="22"/>
          <w:highlight w:val="none"/>
          <w:lang w:val="en-US" w:eastAsia="zh-CN" w:bidi="ar-SA"/>
        </w:rPr>
        <w:t>船尾村，</w:t>
      </w:r>
      <w:r>
        <w:rPr>
          <w:rFonts w:ascii="Times New Roman" w:hAnsi="Times New Roman" w:eastAsia="宋体" w:cs="Times New Roman"/>
          <w:color w:val="auto"/>
          <w:sz w:val="24"/>
          <w:szCs w:val="22"/>
          <w:highlight w:val="none"/>
          <w:lang w:val="en-US" w:eastAsia="zh-CN" w:bidi="ar-SA"/>
        </w:rPr>
        <w:t>位于</w:t>
      </w:r>
      <w:r>
        <w:rPr>
          <w:rFonts w:hint="eastAsia" w:ascii="Times New Roman" w:hAnsi="Times New Roman" w:eastAsia="宋体" w:cs="Times New Roman"/>
          <w:color w:val="auto"/>
          <w:sz w:val="24"/>
          <w:szCs w:val="22"/>
          <w:highlight w:val="none"/>
          <w:lang w:val="en-US" w:eastAsia="zh-CN" w:bidi="ar-SA"/>
        </w:rPr>
        <w:t>闽侯县</w:t>
      </w:r>
      <w:r>
        <w:rPr>
          <w:rFonts w:ascii="Times New Roman" w:hAnsi="Times New Roman" w:eastAsia="宋体" w:cs="Times New Roman"/>
          <w:color w:val="auto"/>
          <w:sz w:val="24"/>
          <w:szCs w:val="22"/>
          <w:highlight w:val="none"/>
          <w:lang w:val="en-US" w:eastAsia="zh-CN" w:bidi="ar-SA"/>
        </w:rPr>
        <w:t>主导风向下风向5km范围内，</w:t>
      </w:r>
      <w:r>
        <w:rPr>
          <w:rFonts w:hint="eastAsia" w:ascii="Times New Roman" w:hAnsi="Times New Roman" w:eastAsia="宋体" w:cs="Times New Roman"/>
          <w:color w:val="auto"/>
          <w:sz w:val="24"/>
          <w:szCs w:val="22"/>
          <w:highlight w:val="none"/>
          <w:lang w:val="en-US" w:eastAsia="zh-CN" w:bidi="ar-SA"/>
        </w:rPr>
        <w:t>距离本项目厂界</w:t>
      </w:r>
      <w:r>
        <w:rPr>
          <w:rFonts w:hint="eastAsia" w:cs="Times New Roman"/>
          <w:color w:val="auto"/>
          <w:sz w:val="24"/>
          <w:szCs w:val="22"/>
          <w:highlight w:val="none"/>
          <w:lang w:val="en-US" w:eastAsia="zh-CN" w:bidi="ar-SA"/>
        </w:rPr>
        <w:t>454</w:t>
      </w:r>
      <w:r>
        <w:rPr>
          <w:rFonts w:hint="eastAsia" w:ascii="Times New Roman" w:hAnsi="Times New Roman" w:eastAsia="宋体" w:cs="Times New Roman"/>
          <w:color w:val="auto"/>
          <w:sz w:val="24"/>
          <w:szCs w:val="22"/>
          <w:highlight w:val="none"/>
          <w:lang w:val="en-US" w:eastAsia="zh-CN" w:bidi="ar-SA"/>
        </w:rPr>
        <w:t>m</w:t>
      </w:r>
      <w:r>
        <w:rPr>
          <w:rFonts w:ascii="Times New Roman" w:hAnsi="Times New Roman" w:eastAsia="宋体" w:cs="Times New Roman"/>
          <w:color w:val="auto"/>
          <w:sz w:val="24"/>
          <w:szCs w:val="22"/>
          <w:highlight w:val="none"/>
          <w:lang w:val="en-US" w:eastAsia="zh-CN" w:bidi="ar-SA"/>
        </w:rPr>
        <w:t>，符合布点要求。</w:t>
      </w:r>
    </w:p>
    <w:p w14:paraId="2AC5DCE9">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（3）监测项目及分析方法</w:t>
      </w:r>
    </w:p>
    <w:p w14:paraId="2B1AAACF">
      <w:pPr>
        <w:widowControl w:val="0"/>
        <w:adjustRightInd w:val="0"/>
        <w:snapToGrid w:val="0"/>
        <w:spacing w:line="360" w:lineRule="auto"/>
        <w:ind w:firstLine="480" w:firstLineChars="200"/>
        <w:jc w:val="both"/>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监测方法按照《环境空气质量手工监测技术规范》和《空气和废气监测分析方法》进行环境空气质量监测，分析方法按《环境空气质量标准》（GB3095-2026）中的有关规定执行，分析方法见下表：</w:t>
      </w:r>
    </w:p>
    <w:p w14:paraId="08084D6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表4.2-11  大气环境质量现状监测项目及分析方法一览表</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426"/>
        <w:gridCol w:w="1442"/>
        <w:gridCol w:w="2592"/>
        <w:gridCol w:w="1856"/>
        <w:gridCol w:w="1354"/>
      </w:tblGrid>
      <w:tr w14:paraId="29F12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blHeader/>
          <w:jc w:val="center"/>
        </w:trPr>
        <w:tc>
          <w:tcPr>
            <w:tcW w:w="498" w:type="pct"/>
            <w:tcBorders>
              <w:tl2br w:val="nil"/>
              <w:tr2bl w:val="nil"/>
            </w:tcBorders>
            <w:noWrap w:val="0"/>
            <w:vAlign w:val="center"/>
          </w:tcPr>
          <w:p w14:paraId="0C6034E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类别</w:t>
            </w:r>
          </w:p>
        </w:tc>
        <w:tc>
          <w:tcPr>
            <w:tcW w:w="1096" w:type="pct"/>
            <w:gridSpan w:val="2"/>
            <w:tcBorders>
              <w:tl2br w:val="nil"/>
              <w:tr2bl w:val="nil"/>
            </w:tcBorders>
            <w:noWrap w:val="0"/>
            <w:vAlign w:val="center"/>
          </w:tcPr>
          <w:p w14:paraId="2CE09C7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项目</w:t>
            </w:r>
          </w:p>
        </w:tc>
        <w:tc>
          <w:tcPr>
            <w:tcW w:w="1521" w:type="pct"/>
            <w:tcBorders>
              <w:tl2br w:val="nil"/>
              <w:tr2bl w:val="nil"/>
            </w:tcBorders>
            <w:noWrap w:val="0"/>
            <w:vAlign w:val="center"/>
          </w:tcPr>
          <w:p w14:paraId="723820A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分析方法</w:t>
            </w:r>
          </w:p>
        </w:tc>
        <w:tc>
          <w:tcPr>
            <w:tcW w:w="1089" w:type="pct"/>
            <w:tcBorders>
              <w:tl2br w:val="nil"/>
              <w:tr2bl w:val="nil"/>
            </w:tcBorders>
            <w:noWrap w:val="0"/>
            <w:vAlign w:val="center"/>
          </w:tcPr>
          <w:p w14:paraId="0CA92C6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仪器名称型号</w:t>
            </w:r>
          </w:p>
          <w:p w14:paraId="2F7502D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及管理编号</w:t>
            </w:r>
          </w:p>
        </w:tc>
        <w:tc>
          <w:tcPr>
            <w:tcW w:w="794" w:type="pct"/>
            <w:tcBorders>
              <w:tl2br w:val="nil"/>
              <w:tr2bl w:val="nil"/>
            </w:tcBorders>
            <w:noWrap w:val="0"/>
            <w:vAlign w:val="center"/>
          </w:tcPr>
          <w:p w14:paraId="5144AFD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检出限</w:t>
            </w:r>
          </w:p>
        </w:tc>
      </w:tr>
      <w:tr w14:paraId="6D8570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98" w:type="pct"/>
            <w:tcBorders>
              <w:tl2br w:val="nil"/>
              <w:tr2bl w:val="nil"/>
            </w:tcBorders>
            <w:noWrap w:val="0"/>
            <w:vAlign w:val="center"/>
          </w:tcPr>
          <w:p w14:paraId="5FCCC67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w:t>
            </w:r>
          </w:p>
          <w:p w14:paraId="7CE1314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空气</w:t>
            </w:r>
          </w:p>
          <w:p w14:paraId="00F8CC1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和</w:t>
            </w:r>
          </w:p>
          <w:p w14:paraId="7F48B34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废气</w:t>
            </w:r>
          </w:p>
        </w:tc>
        <w:tc>
          <w:tcPr>
            <w:tcW w:w="1096" w:type="pct"/>
            <w:gridSpan w:val="2"/>
            <w:tcBorders>
              <w:tl2br w:val="nil"/>
              <w:tr2bl w:val="nil"/>
            </w:tcBorders>
            <w:noWrap w:val="0"/>
            <w:vAlign w:val="center"/>
          </w:tcPr>
          <w:p w14:paraId="5521CDB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非甲烷总烃</w:t>
            </w:r>
          </w:p>
        </w:tc>
        <w:tc>
          <w:tcPr>
            <w:tcW w:w="1521" w:type="pct"/>
            <w:tcBorders>
              <w:tl2br w:val="nil"/>
              <w:tr2bl w:val="nil"/>
            </w:tcBorders>
            <w:noWrap w:val="0"/>
            <w:vAlign w:val="center"/>
          </w:tcPr>
          <w:p w14:paraId="7C65CF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《环境空气总烃、甲烷和非甲烷总烃的测定直接进样-气相色谱法》（HJ 604-2017）</w:t>
            </w:r>
          </w:p>
        </w:tc>
        <w:tc>
          <w:tcPr>
            <w:tcW w:w="1089" w:type="pct"/>
            <w:tcBorders>
              <w:tl2br w:val="nil"/>
              <w:tr2bl w:val="nil"/>
            </w:tcBorders>
            <w:noWrap w:val="0"/>
            <w:vAlign w:val="center"/>
          </w:tcPr>
          <w:p w14:paraId="47BD4FC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A</w:t>
            </w:r>
            <w:r>
              <w:rPr>
                <w:rFonts w:hint="eastAsia" w:ascii="Times New Roman" w:hAnsi="Times New Roman" w:eastAsia="宋体" w:cs="Times New Roman"/>
                <w:color w:val="auto"/>
                <w:kern w:val="2"/>
                <w:sz w:val="21"/>
                <w:szCs w:val="24"/>
                <w:highlight w:val="none"/>
                <w:lang w:val="en-US" w:eastAsia="zh-CN" w:bidi="ar-SA"/>
              </w:rPr>
              <w:t>60型</w:t>
            </w:r>
          </w:p>
          <w:p w14:paraId="0E310F4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气相色谱仪</w:t>
            </w:r>
            <w:r>
              <w:rPr>
                <w:rFonts w:hint="eastAsia" w:ascii="Times New Roman" w:hAnsi="Times New Roman" w:eastAsia="宋体" w:cs="Times New Roman"/>
                <w:color w:val="auto"/>
                <w:kern w:val="2"/>
                <w:sz w:val="21"/>
                <w:szCs w:val="24"/>
                <w:highlight w:val="none"/>
                <w:lang w:val="en-US" w:eastAsia="zh-CN" w:bidi="ar-SA"/>
              </w:rPr>
              <w:t>（JW-S-335）</w:t>
            </w:r>
          </w:p>
        </w:tc>
        <w:tc>
          <w:tcPr>
            <w:tcW w:w="794" w:type="pct"/>
            <w:tcBorders>
              <w:tl2br w:val="nil"/>
              <w:tr2bl w:val="nil"/>
            </w:tcBorders>
            <w:noWrap w:val="0"/>
            <w:vAlign w:val="center"/>
          </w:tcPr>
          <w:p w14:paraId="63FEE6E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0.07mg/m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E2AC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restart"/>
            <w:tcBorders>
              <w:tl2br w:val="nil"/>
              <w:tr2bl w:val="nil"/>
            </w:tcBorders>
            <w:noWrap w:val="0"/>
            <w:vAlign w:val="center"/>
          </w:tcPr>
          <w:p w14:paraId="65CCCDB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w:t>
            </w:r>
          </w:p>
          <w:p w14:paraId="1A1B395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空气</w:t>
            </w:r>
          </w:p>
          <w:p w14:paraId="44F3F72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和</w:t>
            </w:r>
          </w:p>
          <w:p w14:paraId="3DC22FA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废气</w:t>
            </w:r>
          </w:p>
        </w:tc>
        <w:tc>
          <w:tcPr>
            <w:tcW w:w="250" w:type="pct"/>
            <w:vMerge w:val="restart"/>
            <w:tcBorders>
              <w:tl2br w:val="nil"/>
              <w:tr2bl w:val="nil"/>
            </w:tcBorders>
            <w:noWrap w:val="0"/>
            <w:vAlign w:val="center"/>
          </w:tcPr>
          <w:p w14:paraId="11F1F06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二甲苯</w:t>
            </w:r>
          </w:p>
        </w:tc>
        <w:tc>
          <w:tcPr>
            <w:tcW w:w="846" w:type="pct"/>
            <w:tcBorders>
              <w:tl2br w:val="nil"/>
              <w:tr2bl w:val="nil"/>
            </w:tcBorders>
            <w:noWrap w:val="0"/>
            <w:vAlign w:val="center"/>
          </w:tcPr>
          <w:p w14:paraId="36B4828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对二甲苯</w:t>
            </w:r>
          </w:p>
        </w:tc>
        <w:tc>
          <w:tcPr>
            <w:tcW w:w="1521" w:type="pct"/>
            <w:vMerge w:val="restart"/>
            <w:tcBorders>
              <w:tl2br w:val="nil"/>
              <w:tr2bl w:val="nil"/>
            </w:tcBorders>
            <w:noWrap w:val="0"/>
            <w:vAlign w:val="center"/>
          </w:tcPr>
          <w:p w14:paraId="22B04BA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《环境空气苯系物的测定活性炭吸附/二硫化碳解吸-气相色谱法》（HJ 584-2010）</w:t>
            </w:r>
          </w:p>
        </w:tc>
        <w:tc>
          <w:tcPr>
            <w:tcW w:w="1089" w:type="pct"/>
            <w:vMerge w:val="restart"/>
            <w:tcBorders>
              <w:tl2br w:val="nil"/>
              <w:tr2bl w:val="nil"/>
            </w:tcBorders>
            <w:noWrap w:val="0"/>
            <w:vAlign w:val="center"/>
          </w:tcPr>
          <w:p w14:paraId="6617943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A91PLUS型</w:t>
            </w:r>
          </w:p>
          <w:p w14:paraId="2E29BFB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气相色谱仪</w:t>
            </w:r>
            <w:r>
              <w:rPr>
                <w:rFonts w:hint="eastAsia" w:ascii="Times New Roman" w:hAnsi="Times New Roman" w:eastAsia="宋体" w:cs="Times New Roman"/>
                <w:color w:val="auto"/>
                <w:kern w:val="2"/>
                <w:sz w:val="21"/>
                <w:szCs w:val="24"/>
                <w:highlight w:val="none"/>
                <w:lang w:val="en-US" w:eastAsia="zh-CN" w:bidi="ar-SA"/>
              </w:rPr>
              <w:t>（JW-S-209）</w:t>
            </w:r>
          </w:p>
        </w:tc>
        <w:tc>
          <w:tcPr>
            <w:tcW w:w="794" w:type="pct"/>
            <w:tcBorders>
              <w:tl2br w:val="nil"/>
              <w:tr2bl w:val="nil"/>
            </w:tcBorders>
            <w:noWrap w:val="0"/>
            <w:vAlign w:val="center"/>
          </w:tcPr>
          <w:p w14:paraId="4CA9C60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0.0015</w:t>
            </w:r>
            <w:r>
              <w:rPr>
                <w:rFonts w:hint="default" w:ascii="Times New Roman" w:hAnsi="Times New Roman" w:eastAsia="宋体" w:cs="Times New Roman"/>
                <w:color w:val="auto"/>
                <w:kern w:val="2"/>
                <w:sz w:val="21"/>
                <w:szCs w:val="24"/>
                <w:highlight w:val="none"/>
                <w:lang w:val="en-US" w:eastAsia="zh-CN" w:bidi="ar-SA"/>
              </w:rPr>
              <w:t>mg/m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735B7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3ECAF10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3DC2525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216219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间二甲苯</w:t>
            </w:r>
          </w:p>
        </w:tc>
        <w:tc>
          <w:tcPr>
            <w:tcW w:w="1521" w:type="pct"/>
            <w:vMerge w:val="continue"/>
            <w:tcBorders>
              <w:tl2br w:val="nil"/>
              <w:tr2bl w:val="nil"/>
            </w:tcBorders>
            <w:noWrap w:val="0"/>
            <w:vAlign w:val="center"/>
          </w:tcPr>
          <w:p w14:paraId="2EBA570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7709E48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BB7996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0.0015</w:t>
            </w:r>
            <w:r>
              <w:rPr>
                <w:rFonts w:hint="default" w:ascii="Times New Roman" w:hAnsi="Times New Roman" w:eastAsia="宋体" w:cs="Times New Roman"/>
                <w:color w:val="auto"/>
                <w:kern w:val="2"/>
                <w:sz w:val="21"/>
                <w:szCs w:val="24"/>
                <w:highlight w:val="none"/>
                <w:lang w:val="en-US" w:eastAsia="zh-CN" w:bidi="ar-SA"/>
              </w:rPr>
              <w:t>mg/m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543CF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782BC48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7406DAA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4D4A981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邻二甲苯</w:t>
            </w:r>
          </w:p>
        </w:tc>
        <w:tc>
          <w:tcPr>
            <w:tcW w:w="1521" w:type="pct"/>
            <w:vMerge w:val="continue"/>
            <w:tcBorders>
              <w:tl2br w:val="nil"/>
              <w:tr2bl w:val="nil"/>
            </w:tcBorders>
            <w:noWrap w:val="0"/>
            <w:vAlign w:val="center"/>
          </w:tcPr>
          <w:p w14:paraId="459C2F7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4F6992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0A787B6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0.0015</w:t>
            </w:r>
            <w:r>
              <w:rPr>
                <w:rFonts w:hint="default" w:ascii="Times New Roman" w:hAnsi="Times New Roman" w:eastAsia="宋体" w:cs="Times New Roman"/>
                <w:color w:val="auto"/>
                <w:kern w:val="2"/>
                <w:sz w:val="21"/>
                <w:szCs w:val="24"/>
                <w:highlight w:val="none"/>
                <w:lang w:val="en-US" w:eastAsia="zh-CN" w:bidi="ar-SA"/>
              </w:rPr>
              <w:t>mg/m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44038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633D979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096" w:type="pct"/>
            <w:gridSpan w:val="2"/>
            <w:tcBorders>
              <w:tl2br w:val="nil"/>
              <w:tr2bl w:val="nil"/>
            </w:tcBorders>
            <w:noWrap w:val="0"/>
            <w:vAlign w:val="center"/>
          </w:tcPr>
          <w:p w14:paraId="5636F01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臭气浓度</w:t>
            </w:r>
          </w:p>
        </w:tc>
        <w:tc>
          <w:tcPr>
            <w:tcW w:w="1521" w:type="pct"/>
            <w:tcBorders>
              <w:tl2br w:val="nil"/>
              <w:tr2bl w:val="nil"/>
            </w:tcBorders>
            <w:noWrap w:val="0"/>
            <w:vAlign w:val="center"/>
          </w:tcPr>
          <w:p w14:paraId="5685D0C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《环境空气和废气臭气的测定三点比较式臭袋法》</w:t>
            </w:r>
          </w:p>
          <w:p w14:paraId="038F0F4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（HJ 1262-2022）</w:t>
            </w:r>
          </w:p>
        </w:tc>
        <w:tc>
          <w:tcPr>
            <w:tcW w:w="1089" w:type="pct"/>
            <w:tcBorders>
              <w:tl2br w:val="nil"/>
              <w:tr2bl w:val="nil"/>
            </w:tcBorders>
            <w:noWrap w:val="0"/>
            <w:vAlign w:val="center"/>
          </w:tcPr>
          <w:p w14:paraId="527B275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w:t>
            </w:r>
          </w:p>
        </w:tc>
        <w:tc>
          <w:tcPr>
            <w:tcW w:w="794" w:type="pct"/>
            <w:tcBorders>
              <w:tl2br w:val="nil"/>
              <w:tr2bl w:val="nil"/>
            </w:tcBorders>
            <w:noWrap w:val="0"/>
            <w:vAlign w:val="center"/>
          </w:tcPr>
          <w:p w14:paraId="6A6DD73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10（无量纲）</w:t>
            </w:r>
          </w:p>
        </w:tc>
      </w:tr>
      <w:tr w14:paraId="6C24BB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2B94BA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096" w:type="pct"/>
            <w:gridSpan w:val="2"/>
            <w:tcBorders>
              <w:tl2br w:val="nil"/>
              <w:tr2bl w:val="nil"/>
            </w:tcBorders>
            <w:noWrap w:val="0"/>
            <w:vAlign w:val="center"/>
          </w:tcPr>
          <w:p w14:paraId="725006B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总悬浮颗粒物（</w:t>
            </w:r>
            <w:r>
              <w:rPr>
                <w:rFonts w:hint="default" w:ascii="Times New Roman" w:hAnsi="Times New Roman" w:eastAsia="宋体" w:cs="Times New Roman"/>
                <w:color w:val="auto"/>
                <w:kern w:val="2"/>
                <w:sz w:val="21"/>
                <w:szCs w:val="24"/>
                <w:highlight w:val="none"/>
                <w:lang w:val="en-US" w:eastAsia="zh-CN" w:bidi="ar-SA"/>
              </w:rPr>
              <w:t>TSP</w:t>
            </w:r>
            <w:r>
              <w:rPr>
                <w:rFonts w:hint="eastAsia" w:ascii="Times New Roman" w:hAnsi="Times New Roman" w:eastAsia="宋体" w:cs="Times New Roman"/>
                <w:color w:val="auto"/>
                <w:kern w:val="2"/>
                <w:sz w:val="21"/>
                <w:szCs w:val="24"/>
                <w:highlight w:val="none"/>
                <w:lang w:val="en-US" w:eastAsia="zh-CN" w:bidi="ar-SA"/>
              </w:rPr>
              <w:t>）</w:t>
            </w:r>
          </w:p>
        </w:tc>
        <w:tc>
          <w:tcPr>
            <w:tcW w:w="1521" w:type="pct"/>
            <w:tcBorders>
              <w:tl2br w:val="nil"/>
              <w:tr2bl w:val="nil"/>
            </w:tcBorders>
            <w:noWrap w:val="0"/>
            <w:vAlign w:val="center"/>
          </w:tcPr>
          <w:p w14:paraId="2FACA69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highlight w:val="none"/>
                <w:lang w:val="en-US" w:eastAsia="zh-CN" w:bidi="ar-SA"/>
              </w:rPr>
              <w:t>环境空气总悬浮颗粒物的测定重量法</w:t>
            </w:r>
            <w:r>
              <w:rPr>
                <w:rFonts w:hint="eastAsia"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highlight w:val="none"/>
                <w:lang w:val="en-US" w:eastAsia="zh-CN" w:bidi="ar-SA"/>
              </w:rPr>
              <w:t>HJ</w:t>
            </w:r>
            <w:r>
              <w:rPr>
                <w:rFonts w:hint="eastAsia" w:ascii="Times New Roman" w:hAnsi="Times New Roman" w:eastAsia="宋体" w:cs="Times New Roman"/>
                <w:color w:val="auto"/>
                <w:kern w:val="2"/>
                <w:sz w:val="21"/>
                <w:szCs w:val="24"/>
                <w:highlight w:val="none"/>
                <w:lang w:val="en-US" w:eastAsia="zh-CN" w:bidi="ar-SA"/>
              </w:rPr>
              <w:t xml:space="preserve"> </w:t>
            </w:r>
            <w:r>
              <w:rPr>
                <w:rFonts w:hint="default" w:ascii="Times New Roman" w:hAnsi="Times New Roman" w:eastAsia="宋体" w:cs="Times New Roman"/>
                <w:color w:val="auto"/>
                <w:kern w:val="2"/>
                <w:sz w:val="21"/>
                <w:szCs w:val="24"/>
                <w:highlight w:val="none"/>
                <w:lang w:val="en-US" w:eastAsia="zh-CN" w:bidi="ar-SA"/>
              </w:rPr>
              <w:t>1263-2022</w:t>
            </w:r>
            <w:r>
              <w:rPr>
                <w:rFonts w:hint="eastAsia" w:ascii="Times New Roman" w:hAnsi="Times New Roman" w:eastAsia="宋体" w:cs="Times New Roman"/>
                <w:color w:val="auto"/>
                <w:kern w:val="2"/>
                <w:sz w:val="21"/>
                <w:szCs w:val="24"/>
                <w:highlight w:val="none"/>
                <w:lang w:val="en-US" w:eastAsia="zh-CN" w:bidi="ar-SA"/>
              </w:rPr>
              <w:t>）</w:t>
            </w:r>
          </w:p>
        </w:tc>
        <w:tc>
          <w:tcPr>
            <w:tcW w:w="1089" w:type="pct"/>
            <w:tcBorders>
              <w:tl2br w:val="nil"/>
              <w:tr2bl w:val="nil"/>
            </w:tcBorders>
            <w:noWrap w:val="0"/>
            <w:vAlign w:val="center"/>
          </w:tcPr>
          <w:p w14:paraId="216217D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ME55型</w:t>
            </w:r>
          </w:p>
          <w:p w14:paraId="4D1A6B8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十万分之一天平</w:t>
            </w:r>
            <w:r>
              <w:rPr>
                <w:rFonts w:hint="eastAsia" w:ascii="Times New Roman" w:hAnsi="Times New Roman" w:eastAsia="宋体" w:cs="Times New Roman"/>
                <w:color w:val="auto"/>
                <w:kern w:val="2"/>
                <w:sz w:val="21"/>
                <w:szCs w:val="24"/>
                <w:highlight w:val="none"/>
                <w:lang w:val="en-US" w:eastAsia="zh-CN" w:bidi="ar-SA"/>
              </w:rPr>
              <w:t>（JW-S-94）</w:t>
            </w:r>
          </w:p>
        </w:tc>
        <w:tc>
          <w:tcPr>
            <w:tcW w:w="794" w:type="pct"/>
            <w:tcBorders>
              <w:tl2br w:val="nil"/>
              <w:tr2bl w:val="nil"/>
            </w:tcBorders>
            <w:noWrap w:val="0"/>
            <w:vAlign w:val="center"/>
          </w:tcPr>
          <w:p w14:paraId="3837314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w:t>
            </w:r>
            <w:r>
              <w:rPr>
                <w:rFonts w:hint="default" w:ascii="Times New Roman" w:hAnsi="Times New Roman" w:eastAsia="宋体" w:cs="Times New Roman"/>
                <w:color w:val="auto"/>
                <w:kern w:val="2"/>
                <w:sz w:val="21"/>
                <w:szCs w:val="24"/>
                <w:highlight w:val="none"/>
                <w:lang w:val="en-US" w:eastAsia="zh-CN" w:bidi="ar-SA"/>
              </w:rPr>
              <w:t>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112BF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A3CA1E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restart"/>
            <w:tcBorders>
              <w:tl2br w:val="nil"/>
              <w:tr2bl w:val="nil"/>
            </w:tcBorders>
            <w:noWrap w:val="0"/>
            <w:vAlign w:val="center"/>
          </w:tcPr>
          <w:p w14:paraId="3243CC5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挥发性有机物</w:t>
            </w:r>
          </w:p>
        </w:tc>
        <w:tc>
          <w:tcPr>
            <w:tcW w:w="846" w:type="pct"/>
            <w:tcBorders>
              <w:tl2br w:val="nil"/>
              <w:tr2bl w:val="nil"/>
            </w:tcBorders>
            <w:noWrap w:val="0"/>
            <w:vAlign w:val="center"/>
          </w:tcPr>
          <w:p w14:paraId="64838E1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w:t>
            </w:r>
            <w:r>
              <w:rPr>
                <w:rFonts w:hint="eastAsia" w:ascii="Times New Roman" w:hAnsi="Times New Roman" w:eastAsia="宋体" w:cs="Times New Roman"/>
                <w:color w:val="auto"/>
                <w:kern w:val="2"/>
                <w:sz w:val="21"/>
                <w:szCs w:val="24"/>
                <w:highlight w:val="none"/>
                <w:lang w:val="en-US" w:eastAsia="zh-CN" w:bidi="ar-SA"/>
              </w:rPr>
              <w:t>二氯乙烯</w:t>
            </w:r>
          </w:p>
        </w:tc>
        <w:tc>
          <w:tcPr>
            <w:tcW w:w="1521" w:type="pct"/>
            <w:vMerge w:val="restart"/>
            <w:tcBorders>
              <w:tl2br w:val="nil"/>
              <w:tr2bl w:val="nil"/>
            </w:tcBorders>
            <w:noWrap w:val="0"/>
            <w:vAlign w:val="center"/>
          </w:tcPr>
          <w:p w14:paraId="237FB9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《环境空气挥发性有机物的测定吸附管采样-热脱附/气相色谱-质谱法》（HJ 644-2013）</w:t>
            </w:r>
          </w:p>
        </w:tc>
        <w:tc>
          <w:tcPr>
            <w:tcW w:w="1089" w:type="pct"/>
            <w:vMerge w:val="restart"/>
            <w:tcBorders>
              <w:tl2br w:val="nil"/>
              <w:tr2bl w:val="nil"/>
            </w:tcBorders>
            <w:noWrap w:val="0"/>
            <w:vAlign w:val="center"/>
          </w:tcPr>
          <w:p w14:paraId="242F6D6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SCION 436-GC SQ型气相色谱质谱联用仪（JW-S-194）</w:t>
            </w:r>
          </w:p>
        </w:tc>
        <w:tc>
          <w:tcPr>
            <w:tcW w:w="794" w:type="pct"/>
            <w:tcBorders>
              <w:tl2br w:val="nil"/>
              <w:tr2bl w:val="nil"/>
            </w:tcBorders>
            <w:noWrap w:val="0"/>
            <w:vAlign w:val="center"/>
          </w:tcPr>
          <w:p w14:paraId="6A33CFD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0.3μg/m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3492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D7C9DB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42B0F1C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7844822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1,1,2-</w:t>
            </w:r>
            <w:r>
              <w:rPr>
                <w:rFonts w:hint="eastAsia" w:ascii="Times New Roman" w:hAnsi="Times New Roman" w:eastAsia="宋体" w:cs="Times New Roman"/>
                <w:color w:val="auto"/>
                <w:kern w:val="2"/>
                <w:sz w:val="21"/>
                <w:szCs w:val="24"/>
                <w:highlight w:val="none"/>
                <w:lang w:val="en-US" w:eastAsia="zh-CN" w:bidi="ar-SA"/>
              </w:rPr>
              <w:t>三氯</w:t>
            </w:r>
            <w:r>
              <w:rPr>
                <w:rFonts w:hint="default" w:ascii="Times New Roman" w:hAnsi="Times New Roman" w:eastAsia="宋体" w:cs="Times New Roman"/>
                <w:color w:val="auto"/>
                <w:kern w:val="2"/>
                <w:sz w:val="21"/>
                <w:szCs w:val="24"/>
                <w:highlight w:val="none"/>
                <w:lang w:val="en-US" w:eastAsia="zh-CN" w:bidi="ar-SA"/>
              </w:rPr>
              <w:t>-1,2,2-</w:t>
            </w:r>
            <w:r>
              <w:rPr>
                <w:rFonts w:hint="eastAsia" w:ascii="Times New Roman" w:hAnsi="Times New Roman" w:eastAsia="宋体" w:cs="Times New Roman"/>
                <w:color w:val="auto"/>
                <w:kern w:val="2"/>
                <w:sz w:val="21"/>
                <w:szCs w:val="24"/>
                <w:highlight w:val="none"/>
                <w:lang w:val="en-US" w:eastAsia="zh-CN" w:bidi="ar-SA"/>
              </w:rPr>
              <w:t>三氟乙烷</w:t>
            </w:r>
          </w:p>
        </w:tc>
        <w:tc>
          <w:tcPr>
            <w:tcW w:w="1521" w:type="pct"/>
            <w:vMerge w:val="continue"/>
            <w:tcBorders>
              <w:tl2br w:val="nil"/>
              <w:tr2bl w:val="nil"/>
            </w:tcBorders>
            <w:noWrap w:val="0"/>
            <w:vAlign w:val="center"/>
          </w:tcPr>
          <w:p w14:paraId="0832944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14FEFA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A4CB92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0.5μg/m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4DBE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5DFEBEE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256AF5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F5CC4C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氯丙烯</w:t>
            </w:r>
          </w:p>
        </w:tc>
        <w:tc>
          <w:tcPr>
            <w:tcW w:w="1521" w:type="pct"/>
            <w:vMerge w:val="continue"/>
            <w:tcBorders>
              <w:tl2br w:val="nil"/>
              <w:tr2bl w:val="nil"/>
            </w:tcBorders>
            <w:noWrap w:val="0"/>
            <w:vAlign w:val="center"/>
          </w:tcPr>
          <w:p w14:paraId="061E3C1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4C35222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C50569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0.3μg/m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73D8AE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2D1B792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50F8CC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56297DF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二氯甲烷</w:t>
            </w:r>
          </w:p>
        </w:tc>
        <w:tc>
          <w:tcPr>
            <w:tcW w:w="1521" w:type="pct"/>
            <w:vMerge w:val="continue"/>
            <w:tcBorders>
              <w:tl2br w:val="nil"/>
              <w:tr2bl w:val="nil"/>
            </w:tcBorders>
            <w:noWrap w:val="0"/>
            <w:vAlign w:val="center"/>
          </w:tcPr>
          <w:p w14:paraId="5BE8261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60CACED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967146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1.0μg/m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21532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33EFF95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39858BB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29F7743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w:t>
            </w:r>
            <w:r>
              <w:rPr>
                <w:rFonts w:hint="eastAsia" w:ascii="Times New Roman" w:hAnsi="Times New Roman" w:eastAsia="宋体" w:cs="Times New Roman"/>
                <w:color w:val="auto"/>
                <w:kern w:val="2"/>
                <w:sz w:val="21"/>
                <w:szCs w:val="24"/>
                <w:highlight w:val="none"/>
                <w:lang w:val="en-US" w:eastAsia="zh-CN" w:bidi="ar-SA"/>
              </w:rPr>
              <w:t>二氯乙烷</w:t>
            </w:r>
          </w:p>
        </w:tc>
        <w:tc>
          <w:tcPr>
            <w:tcW w:w="1521" w:type="pct"/>
            <w:vMerge w:val="continue"/>
            <w:tcBorders>
              <w:tl2br w:val="nil"/>
              <w:tr2bl w:val="nil"/>
            </w:tcBorders>
            <w:noWrap w:val="0"/>
            <w:vAlign w:val="center"/>
          </w:tcPr>
          <w:p w14:paraId="12DE2AE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121A8EE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4E770A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4018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5C5A9A1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0FF35FB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0C6224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顺式-1,2-</w:t>
            </w:r>
          </w:p>
          <w:p w14:paraId="66FFC5B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二氯乙烯</w:t>
            </w:r>
          </w:p>
        </w:tc>
        <w:tc>
          <w:tcPr>
            <w:tcW w:w="1521" w:type="pct"/>
            <w:vMerge w:val="continue"/>
            <w:tcBorders>
              <w:tl2br w:val="nil"/>
              <w:tr2bl w:val="nil"/>
            </w:tcBorders>
            <w:noWrap w:val="0"/>
            <w:vAlign w:val="center"/>
          </w:tcPr>
          <w:p w14:paraId="34DB158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808EF3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4F1A824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0.5μg/m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53695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1A5DF3D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1A5383B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7A45BCB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三氯甲烷</w:t>
            </w:r>
          </w:p>
        </w:tc>
        <w:tc>
          <w:tcPr>
            <w:tcW w:w="1521" w:type="pct"/>
            <w:vMerge w:val="continue"/>
            <w:tcBorders>
              <w:tl2br w:val="nil"/>
              <w:tr2bl w:val="nil"/>
            </w:tcBorders>
            <w:noWrap w:val="0"/>
            <w:vAlign w:val="center"/>
          </w:tcPr>
          <w:p w14:paraId="6857D48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14AB8B8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06019AF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2115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CD0BFA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0AF042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6148BB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1,1,1-</w:t>
            </w:r>
            <w:r>
              <w:rPr>
                <w:rFonts w:hint="eastAsia" w:ascii="Times New Roman" w:hAnsi="Times New Roman" w:eastAsia="宋体" w:cs="Times New Roman"/>
                <w:color w:val="auto"/>
                <w:kern w:val="2"/>
                <w:sz w:val="21"/>
                <w:szCs w:val="24"/>
                <w:highlight w:val="none"/>
                <w:lang w:val="en-US" w:eastAsia="zh-CN" w:bidi="ar-SA"/>
              </w:rPr>
              <w:t>三氯乙烷</w:t>
            </w:r>
          </w:p>
        </w:tc>
        <w:tc>
          <w:tcPr>
            <w:tcW w:w="1521" w:type="pct"/>
            <w:vMerge w:val="continue"/>
            <w:tcBorders>
              <w:tl2br w:val="nil"/>
              <w:tr2bl w:val="nil"/>
            </w:tcBorders>
            <w:noWrap w:val="0"/>
            <w:vAlign w:val="center"/>
          </w:tcPr>
          <w:p w14:paraId="43C3327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688848B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63E52E6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DD33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CA0A36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77885B5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50A8BE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四氯化碳</w:t>
            </w:r>
          </w:p>
        </w:tc>
        <w:tc>
          <w:tcPr>
            <w:tcW w:w="1521" w:type="pct"/>
            <w:vMerge w:val="continue"/>
            <w:tcBorders>
              <w:tl2br w:val="nil"/>
              <w:tr2bl w:val="nil"/>
            </w:tcBorders>
            <w:noWrap w:val="0"/>
            <w:vAlign w:val="center"/>
          </w:tcPr>
          <w:p w14:paraId="3671F26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3C5767D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6B02ED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5D55C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1A882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3F1461D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BD82B4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w:t>
            </w:r>
          </w:p>
          <w:p w14:paraId="41776A2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二氯乙烷</w:t>
            </w:r>
          </w:p>
        </w:tc>
        <w:tc>
          <w:tcPr>
            <w:tcW w:w="1521" w:type="pct"/>
            <w:vMerge w:val="continue"/>
            <w:tcBorders>
              <w:tl2br w:val="nil"/>
              <w:tr2bl w:val="nil"/>
            </w:tcBorders>
            <w:noWrap w:val="0"/>
            <w:vAlign w:val="center"/>
          </w:tcPr>
          <w:p w14:paraId="697CD8B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153E590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4B2BC83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0.8μg/m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15AC78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720E4A2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00D2D8F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45379A4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苯</w:t>
            </w:r>
          </w:p>
        </w:tc>
        <w:tc>
          <w:tcPr>
            <w:tcW w:w="1521" w:type="pct"/>
            <w:vMerge w:val="continue"/>
            <w:tcBorders>
              <w:tl2br w:val="nil"/>
              <w:tr2bl w:val="nil"/>
            </w:tcBorders>
            <w:noWrap w:val="0"/>
            <w:vAlign w:val="center"/>
          </w:tcPr>
          <w:p w14:paraId="476BE44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34C1E3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8D1FE0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496694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7545BB8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4A346AE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217B8FF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三氯乙烯</w:t>
            </w:r>
          </w:p>
        </w:tc>
        <w:tc>
          <w:tcPr>
            <w:tcW w:w="1521" w:type="pct"/>
            <w:vMerge w:val="continue"/>
            <w:tcBorders>
              <w:tl2br w:val="nil"/>
              <w:tr2bl w:val="nil"/>
            </w:tcBorders>
            <w:noWrap w:val="0"/>
            <w:vAlign w:val="center"/>
          </w:tcPr>
          <w:p w14:paraId="53E71CA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A96C34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BC8F29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0.5μg/m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F2D8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52FF77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58231C2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52B99BA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w:t>
            </w:r>
            <w:r>
              <w:rPr>
                <w:rFonts w:hint="eastAsia" w:ascii="Times New Roman" w:hAnsi="Times New Roman" w:eastAsia="宋体" w:cs="Times New Roman"/>
                <w:color w:val="auto"/>
                <w:kern w:val="2"/>
                <w:sz w:val="21"/>
                <w:szCs w:val="24"/>
                <w:highlight w:val="none"/>
                <w:lang w:val="en-US" w:eastAsia="zh-CN" w:bidi="ar-SA"/>
              </w:rPr>
              <w:t>二氯丙烷</w:t>
            </w:r>
          </w:p>
        </w:tc>
        <w:tc>
          <w:tcPr>
            <w:tcW w:w="1521" w:type="pct"/>
            <w:vMerge w:val="continue"/>
            <w:tcBorders>
              <w:tl2br w:val="nil"/>
              <w:tr2bl w:val="nil"/>
            </w:tcBorders>
            <w:noWrap w:val="0"/>
            <w:vAlign w:val="center"/>
          </w:tcPr>
          <w:p w14:paraId="1203D1C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3981A09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6E7DD0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7143B2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674A62D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BA58EE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F6BCD7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顺式-1,3-</w:t>
            </w:r>
          </w:p>
          <w:p w14:paraId="79AE3A8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二氯丙烯</w:t>
            </w:r>
          </w:p>
        </w:tc>
        <w:tc>
          <w:tcPr>
            <w:tcW w:w="1521" w:type="pct"/>
            <w:vMerge w:val="continue"/>
            <w:tcBorders>
              <w:tl2br w:val="nil"/>
              <w:tr2bl w:val="nil"/>
            </w:tcBorders>
            <w:noWrap w:val="0"/>
            <w:vAlign w:val="center"/>
          </w:tcPr>
          <w:p w14:paraId="119E046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6CABF01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6473D05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0.5μg/m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4A148E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333231B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560DAFA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242CAB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甲苯</w:t>
            </w:r>
          </w:p>
        </w:tc>
        <w:tc>
          <w:tcPr>
            <w:tcW w:w="1521" w:type="pct"/>
            <w:vMerge w:val="continue"/>
            <w:tcBorders>
              <w:tl2br w:val="nil"/>
              <w:tr2bl w:val="nil"/>
            </w:tcBorders>
            <w:noWrap w:val="0"/>
            <w:vAlign w:val="center"/>
          </w:tcPr>
          <w:p w14:paraId="0964F6E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732E3D7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FF8B4F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73D0F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64035A9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70C8840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26D6C38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反式-1,3-</w:t>
            </w:r>
          </w:p>
          <w:p w14:paraId="5AE78C0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二氯丙烯</w:t>
            </w:r>
          </w:p>
        </w:tc>
        <w:tc>
          <w:tcPr>
            <w:tcW w:w="1521" w:type="pct"/>
            <w:vMerge w:val="continue"/>
            <w:tcBorders>
              <w:tl2br w:val="nil"/>
              <w:tr2bl w:val="nil"/>
            </w:tcBorders>
            <w:noWrap w:val="0"/>
            <w:vAlign w:val="center"/>
          </w:tcPr>
          <w:p w14:paraId="7AABB0E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009A336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20891E2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0.5μg/m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7067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restart"/>
            <w:tcBorders>
              <w:tl2br w:val="nil"/>
              <w:tr2bl w:val="nil"/>
            </w:tcBorders>
            <w:noWrap w:val="0"/>
            <w:vAlign w:val="center"/>
          </w:tcPr>
          <w:p w14:paraId="3047D26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w:t>
            </w:r>
          </w:p>
          <w:p w14:paraId="569F447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空气</w:t>
            </w:r>
          </w:p>
          <w:p w14:paraId="40EF33A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和</w:t>
            </w:r>
          </w:p>
          <w:p w14:paraId="29D77EC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废气</w:t>
            </w:r>
          </w:p>
        </w:tc>
        <w:tc>
          <w:tcPr>
            <w:tcW w:w="250" w:type="pct"/>
            <w:vMerge w:val="restart"/>
            <w:tcBorders>
              <w:tl2br w:val="nil"/>
              <w:tr2bl w:val="nil"/>
            </w:tcBorders>
            <w:noWrap w:val="0"/>
            <w:vAlign w:val="center"/>
          </w:tcPr>
          <w:p w14:paraId="1E4B4DE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挥发性有机物</w:t>
            </w:r>
          </w:p>
        </w:tc>
        <w:tc>
          <w:tcPr>
            <w:tcW w:w="846" w:type="pct"/>
            <w:tcBorders>
              <w:tl2br w:val="nil"/>
              <w:tr2bl w:val="nil"/>
            </w:tcBorders>
            <w:noWrap w:val="0"/>
            <w:vAlign w:val="center"/>
          </w:tcPr>
          <w:p w14:paraId="29B5BEA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1,1,2-</w:t>
            </w:r>
          </w:p>
          <w:p w14:paraId="532EDF3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三氯乙烷</w:t>
            </w:r>
          </w:p>
        </w:tc>
        <w:tc>
          <w:tcPr>
            <w:tcW w:w="1521" w:type="pct"/>
            <w:vMerge w:val="restart"/>
            <w:tcBorders>
              <w:tl2br w:val="nil"/>
              <w:tr2bl w:val="nil"/>
            </w:tcBorders>
            <w:noWrap w:val="0"/>
            <w:vAlign w:val="center"/>
          </w:tcPr>
          <w:p w14:paraId="605B292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《环境空气挥发性有机物的测定吸附管采样-热脱附/气相色谱-质谱法》（HJ 644-2013）</w:t>
            </w:r>
          </w:p>
        </w:tc>
        <w:tc>
          <w:tcPr>
            <w:tcW w:w="1089" w:type="pct"/>
            <w:vMerge w:val="restart"/>
            <w:tcBorders>
              <w:tl2br w:val="nil"/>
              <w:tr2bl w:val="nil"/>
            </w:tcBorders>
            <w:noWrap w:val="0"/>
            <w:vAlign w:val="center"/>
          </w:tcPr>
          <w:p w14:paraId="1C92A81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SCION 436-GC SQ型气相色谱质谱联用仪（JW-S-194）</w:t>
            </w:r>
          </w:p>
        </w:tc>
        <w:tc>
          <w:tcPr>
            <w:tcW w:w="794" w:type="pct"/>
            <w:tcBorders>
              <w:tl2br w:val="nil"/>
              <w:tr2bl w:val="nil"/>
            </w:tcBorders>
            <w:noWrap w:val="0"/>
            <w:vAlign w:val="center"/>
          </w:tcPr>
          <w:p w14:paraId="33984B6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4A800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2C5D2FF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5A5EACD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11C43F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四氯乙烯</w:t>
            </w:r>
          </w:p>
        </w:tc>
        <w:tc>
          <w:tcPr>
            <w:tcW w:w="1521" w:type="pct"/>
            <w:vMerge w:val="continue"/>
            <w:tcBorders>
              <w:tl2br w:val="nil"/>
              <w:tr2bl w:val="nil"/>
            </w:tcBorders>
            <w:noWrap w:val="0"/>
            <w:vAlign w:val="center"/>
          </w:tcPr>
          <w:p w14:paraId="4816733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1EBD021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381473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22E2E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1188312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051A272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4816216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w:t>
            </w:r>
          </w:p>
          <w:p w14:paraId="76424F9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二溴乙烷</w:t>
            </w:r>
          </w:p>
        </w:tc>
        <w:tc>
          <w:tcPr>
            <w:tcW w:w="1521" w:type="pct"/>
            <w:vMerge w:val="continue"/>
            <w:tcBorders>
              <w:tl2br w:val="nil"/>
              <w:tr2bl w:val="nil"/>
            </w:tcBorders>
            <w:noWrap w:val="0"/>
            <w:vAlign w:val="center"/>
          </w:tcPr>
          <w:p w14:paraId="041B282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9E63D5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A44DC3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37461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5EAC68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4DEE7C2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D9E46E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氯苯</w:t>
            </w:r>
          </w:p>
        </w:tc>
        <w:tc>
          <w:tcPr>
            <w:tcW w:w="1521" w:type="pct"/>
            <w:vMerge w:val="continue"/>
            <w:tcBorders>
              <w:tl2br w:val="nil"/>
              <w:tr2bl w:val="nil"/>
            </w:tcBorders>
            <w:noWrap w:val="0"/>
            <w:vAlign w:val="center"/>
          </w:tcPr>
          <w:p w14:paraId="3CBA0C1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68DD1A4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10BCB2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0.3μg/m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26538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7331B67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1388EA7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9B0DFF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乙苯</w:t>
            </w:r>
          </w:p>
        </w:tc>
        <w:tc>
          <w:tcPr>
            <w:tcW w:w="1521" w:type="pct"/>
            <w:vMerge w:val="continue"/>
            <w:tcBorders>
              <w:tl2br w:val="nil"/>
              <w:tr2bl w:val="nil"/>
            </w:tcBorders>
            <w:noWrap w:val="0"/>
            <w:vAlign w:val="center"/>
          </w:tcPr>
          <w:p w14:paraId="0F86642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4BDE83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4196E2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0.3μg/m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135E2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AC5237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1721F2A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70E521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间,</w:t>
            </w:r>
            <w:r>
              <w:rPr>
                <w:rFonts w:hint="eastAsia" w:ascii="Times New Roman" w:hAnsi="Times New Roman" w:eastAsia="宋体" w:cs="Times New Roman"/>
                <w:color w:val="auto"/>
                <w:kern w:val="2"/>
                <w:sz w:val="21"/>
                <w:szCs w:val="24"/>
                <w:highlight w:val="none"/>
                <w:lang w:val="en-US" w:eastAsia="zh-CN" w:bidi="ar-SA"/>
              </w:rPr>
              <w:t>对</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二甲苯</w:t>
            </w:r>
          </w:p>
        </w:tc>
        <w:tc>
          <w:tcPr>
            <w:tcW w:w="1521" w:type="pct"/>
            <w:vMerge w:val="continue"/>
            <w:tcBorders>
              <w:tl2br w:val="nil"/>
              <w:tr2bl w:val="nil"/>
            </w:tcBorders>
            <w:noWrap w:val="0"/>
            <w:vAlign w:val="center"/>
          </w:tcPr>
          <w:p w14:paraId="190FF77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78C7A50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6FEF9DC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605B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5CA687A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0E125AF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4905AB2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邻-</w:t>
            </w:r>
            <w:r>
              <w:rPr>
                <w:rFonts w:hint="eastAsia" w:ascii="Times New Roman" w:hAnsi="Times New Roman" w:eastAsia="宋体" w:cs="Times New Roman"/>
                <w:color w:val="auto"/>
                <w:kern w:val="2"/>
                <w:sz w:val="21"/>
                <w:szCs w:val="24"/>
                <w:highlight w:val="none"/>
                <w:lang w:val="en-US" w:eastAsia="zh-CN" w:bidi="ar-SA"/>
              </w:rPr>
              <w:t>二甲苯</w:t>
            </w:r>
          </w:p>
        </w:tc>
        <w:tc>
          <w:tcPr>
            <w:tcW w:w="1521" w:type="pct"/>
            <w:vMerge w:val="continue"/>
            <w:tcBorders>
              <w:tl2br w:val="nil"/>
              <w:tr2bl w:val="nil"/>
            </w:tcBorders>
            <w:noWrap w:val="0"/>
            <w:vAlign w:val="center"/>
          </w:tcPr>
          <w:p w14:paraId="7504730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868681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7E2331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565C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783114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051A91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B0E2EE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苯乙烯</w:t>
            </w:r>
          </w:p>
        </w:tc>
        <w:tc>
          <w:tcPr>
            <w:tcW w:w="1521" w:type="pct"/>
            <w:vMerge w:val="continue"/>
            <w:tcBorders>
              <w:tl2br w:val="nil"/>
              <w:tr2bl w:val="nil"/>
            </w:tcBorders>
            <w:noWrap w:val="0"/>
            <w:vAlign w:val="center"/>
          </w:tcPr>
          <w:p w14:paraId="61A11CE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49065F0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0C3B3AB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AF9F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345A998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7877681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25A5A4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1,1,2,2-</w:t>
            </w:r>
          </w:p>
          <w:p w14:paraId="69265B9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四氯乙烷</w:t>
            </w:r>
          </w:p>
        </w:tc>
        <w:tc>
          <w:tcPr>
            <w:tcW w:w="1521" w:type="pct"/>
            <w:vMerge w:val="continue"/>
            <w:tcBorders>
              <w:tl2br w:val="nil"/>
              <w:tr2bl w:val="nil"/>
            </w:tcBorders>
            <w:noWrap w:val="0"/>
            <w:vAlign w:val="center"/>
          </w:tcPr>
          <w:p w14:paraId="73A9260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6DA137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2C1D765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0.4μg/m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7652E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7F0D85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081AA04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94CFA9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4-</w:t>
            </w:r>
            <w:r>
              <w:rPr>
                <w:rFonts w:hint="eastAsia" w:ascii="Times New Roman" w:hAnsi="Times New Roman" w:eastAsia="宋体" w:cs="Times New Roman"/>
                <w:color w:val="auto"/>
                <w:kern w:val="2"/>
                <w:sz w:val="21"/>
                <w:szCs w:val="24"/>
                <w:highlight w:val="none"/>
                <w:lang w:val="en-US" w:eastAsia="zh-CN" w:bidi="ar-SA"/>
              </w:rPr>
              <w:t>乙基甲苯</w:t>
            </w:r>
          </w:p>
        </w:tc>
        <w:tc>
          <w:tcPr>
            <w:tcW w:w="1521" w:type="pct"/>
            <w:vMerge w:val="continue"/>
            <w:tcBorders>
              <w:tl2br w:val="nil"/>
              <w:tr2bl w:val="nil"/>
            </w:tcBorders>
            <w:noWrap w:val="0"/>
            <w:vAlign w:val="center"/>
          </w:tcPr>
          <w:p w14:paraId="0CC9E0D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568B30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3483FF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0.8μg/m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6874A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6E9B3DF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63E650F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0D74FAB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1,3,5-</w:t>
            </w:r>
            <w:r>
              <w:rPr>
                <w:rFonts w:hint="eastAsia" w:ascii="Times New Roman" w:hAnsi="Times New Roman" w:eastAsia="宋体" w:cs="Times New Roman"/>
                <w:color w:val="auto"/>
                <w:kern w:val="2"/>
                <w:sz w:val="21"/>
                <w:szCs w:val="24"/>
                <w:highlight w:val="none"/>
                <w:lang w:val="en-US" w:eastAsia="zh-CN" w:bidi="ar-SA"/>
              </w:rPr>
              <w:t>三甲基苯</w:t>
            </w:r>
          </w:p>
        </w:tc>
        <w:tc>
          <w:tcPr>
            <w:tcW w:w="1521" w:type="pct"/>
            <w:vMerge w:val="continue"/>
            <w:tcBorders>
              <w:tl2br w:val="nil"/>
              <w:tr2bl w:val="nil"/>
            </w:tcBorders>
            <w:noWrap w:val="0"/>
            <w:vAlign w:val="center"/>
          </w:tcPr>
          <w:p w14:paraId="49830A0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49388CE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1B467EB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0.7μg/m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15A8E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32BABAE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63931F8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AC2A61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1,2,4-</w:t>
            </w:r>
            <w:r>
              <w:rPr>
                <w:rFonts w:hint="eastAsia" w:ascii="Times New Roman" w:hAnsi="Times New Roman" w:eastAsia="宋体" w:cs="Times New Roman"/>
                <w:color w:val="auto"/>
                <w:kern w:val="2"/>
                <w:sz w:val="21"/>
                <w:szCs w:val="24"/>
                <w:highlight w:val="none"/>
                <w:lang w:val="en-US" w:eastAsia="zh-CN" w:bidi="ar-SA"/>
              </w:rPr>
              <w:t>三甲基苯</w:t>
            </w:r>
          </w:p>
        </w:tc>
        <w:tc>
          <w:tcPr>
            <w:tcW w:w="1521" w:type="pct"/>
            <w:vMerge w:val="continue"/>
            <w:tcBorders>
              <w:tl2br w:val="nil"/>
              <w:tr2bl w:val="nil"/>
            </w:tcBorders>
            <w:noWrap w:val="0"/>
            <w:vAlign w:val="center"/>
          </w:tcPr>
          <w:p w14:paraId="561F68D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7F41313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7032301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0.8μg/m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8DE4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626A0F1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4DCEC66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0500AF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1,3-</w:t>
            </w:r>
            <w:r>
              <w:rPr>
                <w:rFonts w:hint="eastAsia" w:ascii="Times New Roman" w:hAnsi="Times New Roman" w:eastAsia="宋体" w:cs="Times New Roman"/>
                <w:color w:val="auto"/>
                <w:kern w:val="2"/>
                <w:sz w:val="21"/>
                <w:szCs w:val="24"/>
                <w:highlight w:val="none"/>
                <w:lang w:val="en-US" w:eastAsia="zh-CN" w:bidi="ar-SA"/>
              </w:rPr>
              <w:t>二氯苯</w:t>
            </w:r>
          </w:p>
        </w:tc>
        <w:tc>
          <w:tcPr>
            <w:tcW w:w="1521" w:type="pct"/>
            <w:vMerge w:val="continue"/>
            <w:tcBorders>
              <w:tl2br w:val="nil"/>
              <w:tr2bl w:val="nil"/>
            </w:tcBorders>
            <w:noWrap w:val="0"/>
            <w:vAlign w:val="center"/>
          </w:tcPr>
          <w:p w14:paraId="638FB3D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6355ADF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711C974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2BCA2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4340711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6EBD74D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48A4868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1,4-</w:t>
            </w:r>
            <w:r>
              <w:rPr>
                <w:rFonts w:hint="eastAsia" w:ascii="Times New Roman" w:hAnsi="Times New Roman" w:eastAsia="宋体" w:cs="Times New Roman"/>
                <w:color w:val="auto"/>
                <w:kern w:val="2"/>
                <w:sz w:val="21"/>
                <w:szCs w:val="24"/>
                <w:highlight w:val="none"/>
                <w:lang w:val="en-US" w:eastAsia="zh-CN" w:bidi="ar-SA"/>
              </w:rPr>
              <w:t>二氯苯</w:t>
            </w:r>
          </w:p>
        </w:tc>
        <w:tc>
          <w:tcPr>
            <w:tcW w:w="1521" w:type="pct"/>
            <w:vMerge w:val="continue"/>
            <w:tcBorders>
              <w:tl2br w:val="nil"/>
              <w:tr2bl w:val="nil"/>
            </w:tcBorders>
            <w:noWrap w:val="0"/>
            <w:vAlign w:val="center"/>
          </w:tcPr>
          <w:p w14:paraId="542D4D6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3FB48AD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025D98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0.7μg/m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0A7726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6D7213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3CC3244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1AE039A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苄基氯</w:t>
            </w:r>
          </w:p>
        </w:tc>
        <w:tc>
          <w:tcPr>
            <w:tcW w:w="1521" w:type="pct"/>
            <w:vMerge w:val="continue"/>
            <w:tcBorders>
              <w:tl2br w:val="nil"/>
              <w:tr2bl w:val="nil"/>
            </w:tcBorders>
            <w:noWrap w:val="0"/>
            <w:vAlign w:val="center"/>
          </w:tcPr>
          <w:p w14:paraId="59FDA36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32AA39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205873E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0.7μg/m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C096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07D302F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3473025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7DCEC53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w:t>
            </w:r>
          </w:p>
          <w:p w14:paraId="6294F50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二氯苯</w:t>
            </w:r>
          </w:p>
        </w:tc>
        <w:tc>
          <w:tcPr>
            <w:tcW w:w="1521" w:type="pct"/>
            <w:vMerge w:val="continue"/>
            <w:tcBorders>
              <w:tl2br w:val="nil"/>
              <w:tr2bl w:val="nil"/>
            </w:tcBorders>
            <w:noWrap w:val="0"/>
            <w:vAlign w:val="center"/>
          </w:tcPr>
          <w:p w14:paraId="4C16D1A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0423C75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545EA08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0.7μg/m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2F8F7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188713D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590B2A1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0633A0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1,2,4-</w:t>
            </w:r>
          </w:p>
          <w:p w14:paraId="3BAD410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三氯苯</w:t>
            </w:r>
          </w:p>
        </w:tc>
        <w:tc>
          <w:tcPr>
            <w:tcW w:w="1521" w:type="pct"/>
            <w:vMerge w:val="continue"/>
            <w:tcBorders>
              <w:tl2br w:val="nil"/>
              <w:tr2bl w:val="nil"/>
            </w:tcBorders>
            <w:noWrap w:val="0"/>
            <w:vAlign w:val="center"/>
          </w:tcPr>
          <w:p w14:paraId="2A6982B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239BE61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3A6314D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0.7μg/m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3330C3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vMerge w:val="continue"/>
            <w:tcBorders>
              <w:tl2br w:val="nil"/>
              <w:tr2bl w:val="nil"/>
            </w:tcBorders>
            <w:noWrap w:val="0"/>
            <w:vAlign w:val="center"/>
          </w:tcPr>
          <w:p w14:paraId="51EAE91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50" w:type="pct"/>
            <w:vMerge w:val="continue"/>
            <w:tcBorders>
              <w:tl2br w:val="nil"/>
              <w:tr2bl w:val="nil"/>
            </w:tcBorders>
            <w:noWrap w:val="0"/>
            <w:vAlign w:val="center"/>
          </w:tcPr>
          <w:p w14:paraId="29CC51D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846" w:type="pct"/>
            <w:tcBorders>
              <w:tl2br w:val="nil"/>
              <w:tr2bl w:val="nil"/>
            </w:tcBorders>
            <w:noWrap w:val="0"/>
            <w:vAlign w:val="center"/>
          </w:tcPr>
          <w:p w14:paraId="3B78C64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六氯丁二烯</w:t>
            </w:r>
          </w:p>
        </w:tc>
        <w:tc>
          <w:tcPr>
            <w:tcW w:w="1521" w:type="pct"/>
            <w:vMerge w:val="continue"/>
            <w:tcBorders>
              <w:tl2br w:val="nil"/>
              <w:tr2bl w:val="nil"/>
            </w:tcBorders>
            <w:noWrap w:val="0"/>
            <w:vAlign w:val="center"/>
          </w:tcPr>
          <w:p w14:paraId="4E9A424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089" w:type="pct"/>
            <w:vMerge w:val="continue"/>
            <w:tcBorders>
              <w:tl2br w:val="nil"/>
              <w:tr2bl w:val="nil"/>
            </w:tcBorders>
            <w:noWrap w:val="0"/>
            <w:vAlign w:val="center"/>
          </w:tcPr>
          <w:p w14:paraId="5476F11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794" w:type="pct"/>
            <w:tcBorders>
              <w:tl2br w:val="nil"/>
              <w:tr2bl w:val="nil"/>
            </w:tcBorders>
            <w:noWrap w:val="0"/>
            <w:vAlign w:val="center"/>
          </w:tcPr>
          <w:p w14:paraId="73CEA13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0.6μg/m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r w14:paraId="12BB4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98" w:type="pct"/>
            <w:tcBorders>
              <w:tl2br w:val="nil"/>
              <w:tr2bl w:val="nil"/>
            </w:tcBorders>
            <w:noWrap w:val="0"/>
            <w:vAlign w:val="center"/>
          </w:tcPr>
          <w:p w14:paraId="4400554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环境空气和废气</w:t>
            </w:r>
          </w:p>
        </w:tc>
        <w:tc>
          <w:tcPr>
            <w:tcW w:w="1096" w:type="pct"/>
            <w:gridSpan w:val="2"/>
            <w:tcBorders>
              <w:tl2br w:val="nil"/>
              <w:tr2bl w:val="nil"/>
            </w:tcBorders>
            <w:noWrap w:val="0"/>
            <w:vAlign w:val="center"/>
          </w:tcPr>
          <w:p w14:paraId="6A3A55E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乙酸丁酯</w:t>
            </w:r>
          </w:p>
        </w:tc>
        <w:tc>
          <w:tcPr>
            <w:tcW w:w="1521" w:type="pct"/>
            <w:tcBorders>
              <w:tl2br w:val="nil"/>
              <w:tr2bl w:val="nil"/>
            </w:tcBorders>
            <w:noWrap w:val="0"/>
            <w:vAlign w:val="center"/>
          </w:tcPr>
          <w:p w14:paraId="4B71017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《固定污染源废气 挥发性有机物的测定 固相吸附-热脱附/气相色谱-质谱法》（HJ 734-2014）</w:t>
            </w:r>
          </w:p>
        </w:tc>
        <w:tc>
          <w:tcPr>
            <w:tcW w:w="1089" w:type="pct"/>
            <w:tcBorders>
              <w:tl2br w:val="nil"/>
              <w:tr2bl w:val="nil"/>
            </w:tcBorders>
            <w:noWrap w:val="0"/>
            <w:vAlign w:val="center"/>
          </w:tcPr>
          <w:p w14:paraId="5711EE3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SCION 436-GC SQ型气相色谱质谱联用仪 （JW-S-194）</w:t>
            </w:r>
          </w:p>
        </w:tc>
        <w:tc>
          <w:tcPr>
            <w:tcW w:w="794" w:type="pct"/>
            <w:tcBorders>
              <w:tl2br w:val="nil"/>
              <w:tr2bl w:val="nil"/>
            </w:tcBorders>
            <w:noWrap w:val="0"/>
            <w:vAlign w:val="center"/>
          </w:tcPr>
          <w:p w14:paraId="20C61B6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0.005</w:t>
            </w:r>
            <w:r>
              <w:rPr>
                <w:rFonts w:hint="default" w:ascii="Times New Roman" w:hAnsi="Times New Roman" w:eastAsia="宋体" w:cs="Times New Roman"/>
                <w:color w:val="auto"/>
                <w:kern w:val="2"/>
                <w:sz w:val="21"/>
                <w:szCs w:val="24"/>
                <w:highlight w:val="none"/>
                <w:lang w:val="en-US" w:eastAsia="zh-CN" w:bidi="ar-SA"/>
              </w:rPr>
              <w:t>mg/m</w:t>
            </w:r>
            <w:r>
              <w:rPr>
                <w:rFonts w:hint="eastAsia" w:ascii="Times New Roman" w:hAnsi="Times New Roman" w:eastAsia="宋体" w:cs="Times New Roman"/>
                <w:color w:val="auto"/>
                <w:kern w:val="2"/>
                <w:sz w:val="21"/>
                <w:szCs w:val="24"/>
                <w:highlight w:val="none"/>
                <w:vertAlign w:val="superscript"/>
                <w:lang w:val="en-US" w:eastAsia="zh-CN" w:bidi="ar-SA"/>
              </w:rPr>
              <w:t>3</w:t>
            </w:r>
          </w:p>
        </w:tc>
      </w:tr>
    </w:tbl>
    <w:p w14:paraId="28AFAECD">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（4）监测结果</w:t>
      </w:r>
    </w:p>
    <w:p w14:paraId="7D6032A4">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环境空气质量现状监测结果见表</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2</w:t>
      </w:r>
      <w:r>
        <w:rPr>
          <w:rFonts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3</w:t>
      </w:r>
      <w:r>
        <w:rPr>
          <w:rFonts w:ascii="Times New Roman" w:hAnsi="Times New Roman" w:eastAsia="宋体" w:cs="Times New Roman"/>
          <w:color w:val="auto"/>
          <w:sz w:val="24"/>
          <w:szCs w:val="22"/>
          <w:highlight w:val="none"/>
          <w:lang w:val="en-US" w:eastAsia="zh-CN" w:bidi="ar-SA"/>
        </w:rPr>
        <w:t>。</w:t>
      </w:r>
    </w:p>
    <w:p w14:paraId="7FB6CF02">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表4.2-12  环境空气质量现状监测结果一览表（小时均值）</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963"/>
        <w:gridCol w:w="1998"/>
        <w:gridCol w:w="994"/>
        <w:gridCol w:w="994"/>
        <w:gridCol w:w="992"/>
        <w:gridCol w:w="2"/>
        <w:gridCol w:w="1008"/>
      </w:tblGrid>
      <w:tr w14:paraId="0B72E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920" w:type="pct"/>
            <w:vMerge w:val="restart"/>
            <w:tcBorders>
              <w:tl2br w:val="nil"/>
              <w:tr2bl w:val="nil"/>
            </w:tcBorders>
            <w:noWrap w:val="0"/>
            <w:vAlign w:val="center"/>
          </w:tcPr>
          <w:p w14:paraId="64249DCB">
            <w:pPr>
              <w:widowControl/>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检测点位</w:t>
            </w:r>
          </w:p>
        </w:tc>
        <w:tc>
          <w:tcPr>
            <w:tcW w:w="565" w:type="pct"/>
            <w:vMerge w:val="restart"/>
            <w:tcBorders>
              <w:tl2br w:val="nil"/>
              <w:tr2bl w:val="nil"/>
            </w:tcBorders>
            <w:noWrap w:val="0"/>
            <w:vAlign w:val="center"/>
          </w:tcPr>
          <w:p w14:paraId="6526CA0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检测项目</w:t>
            </w:r>
          </w:p>
        </w:tc>
        <w:tc>
          <w:tcPr>
            <w:tcW w:w="1172" w:type="pct"/>
            <w:vMerge w:val="restart"/>
            <w:tcBorders>
              <w:tl2br w:val="nil"/>
              <w:tr2bl w:val="nil"/>
            </w:tcBorders>
            <w:noWrap w:val="0"/>
            <w:vAlign w:val="center"/>
          </w:tcPr>
          <w:p w14:paraId="21A2DBC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采样日期</w:t>
            </w:r>
          </w:p>
        </w:tc>
        <w:tc>
          <w:tcPr>
            <w:tcW w:w="2340" w:type="pct"/>
            <w:gridSpan w:val="5"/>
            <w:tcBorders>
              <w:tl2br w:val="nil"/>
              <w:tr2bl w:val="nil"/>
            </w:tcBorders>
            <w:noWrap w:val="0"/>
            <w:vAlign w:val="center"/>
          </w:tcPr>
          <w:p w14:paraId="6E562DA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检测频次及检测结果</w:t>
            </w:r>
            <w:r>
              <w:rPr>
                <w:rFonts w:hint="eastAsia" w:ascii="Times New Roman" w:hAnsi="Times New Roman" w:eastAsia="宋体" w:cs="Times New Roman"/>
                <w:color w:val="auto"/>
                <w:kern w:val="2"/>
                <w:sz w:val="21"/>
                <w:szCs w:val="24"/>
                <w:highlight w:val="none"/>
                <w:lang w:val="en-US" w:eastAsia="zh-CN" w:bidi="ar-SA"/>
              </w:rPr>
              <w:t>（m</w:t>
            </w:r>
            <w:r>
              <w:rPr>
                <w:rFonts w:hint="default" w:ascii="Times New Roman" w:hAnsi="Times New Roman" w:eastAsia="宋体" w:cs="Times New Roman"/>
                <w:color w:val="auto"/>
                <w:kern w:val="2"/>
                <w:sz w:val="21"/>
                <w:szCs w:val="24"/>
                <w:highlight w:val="none"/>
                <w:lang w:val="en-US" w:eastAsia="zh-CN" w:bidi="ar-SA"/>
              </w:rPr>
              <w:t>g/m3</w:t>
            </w:r>
            <w:r>
              <w:rPr>
                <w:rFonts w:hint="eastAsia" w:ascii="Times New Roman" w:hAnsi="Times New Roman" w:eastAsia="宋体" w:cs="Times New Roman"/>
                <w:color w:val="auto"/>
                <w:kern w:val="2"/>
                <w:sz w:val="21"/>
                <w:szCs w:val="24"/>
                <w:highlight w:val="none"/>
                <w:lang w:val="en-US" w:eastAsia="zh-CN" w:bidi="ar-SA"/>
              </w:rPr>
              <w:t>）</w:t>
            </w:r>
          </w:p>
        </w:tc>
      </w:tr>
      <w:tr w14:paraId="4DD22A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920" w:type="pct"/>
            <w:vMerge w:val="continue"/>
            <w:tcBorders>
              <w:tl2br w:val="nil"/>
              <w:tr2bl w:val="nil"/>
            </w:tcBorders>
            <w:noWrap w:val="0"/>
            <w:vAlign w:val="center"/>
          </w:tcPr>
          <w:p w14:paraId="2D6A3F7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184E23A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172" w:type="pct"/>
            <w:vMerge w:val="continue"/>
            <w:tcBorders>
              <w:tl2br w:val="nil"/>
              <w:tr2bl w:val="nil"/>
            </w:tcBorders>
            <w:noWrap w:val="0"/>
            <w:vAlign w:val="center"/>
          </w:tcPr>
          <w:p w14:paraId="7598E25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83" w:type="pct"/>
            <w:tcBorders>
              <w:tl2br w:val="nil"/>
              <w:tr2bl w:val="nil"/>
            </w:tcBorders>
            <w:noWrap w:val="0"/>
            <w:vAlign w:val="center"/>
          </w:tcPr>
          <w:p w14:paraId="679DA94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w:t>
            </w:r>
          </w:p>
        </w:tc>
        <w:tc>
          <w:tcPr>
            <w:tcW w:w="583" w:type="pct"/>
            <w:tcBorders>
              <w:tl2br w:val="nil"/>
              <w:tr2bl w:val="nil"/>
            </w:tcBorders>
            <w:noWrap w:val="0"/>
            <w:vAlign w:val="center"/>
          </w:tcPr>
          <w:p w14:paraId="541E903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w:t>
            </w:r>
          </w:p>
        </w:tc>
        <w:tc>
          <w:tcPr>
            <w:tcW w:w="582" w:type="pct"/>
            <w:tcBorders>
              <w:tl2br w:val="nil"/>
              <w:tr2bl w:val="nil"/>
            </w:tcBorders>
            <w:noWrap w:val="0"/>
            <w:vAlign w:val="center"/>
          </w:tcPr>
          <w:p w14:paraId="233DCD4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w:t>
            </w:r>
          </w:p>
        </w:tc>
        <w:tc>
          <w:tcPr>
            <w:tcW w:w="591" w:type="pct"/>
            <w:gridSpan w:val="2"/>
            <w:tcBorders>
              <w:tl2br w:val="nil"/>
              <w:tr2bl w:val="nil"/>
            </w:tcBorders>
            <w:noWrap w:val="0"/>
            <w:vAlign w:val="center"/>
          </w:tcPr>
          <w:p w14:paraId="3E3F2E1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w:t>
            </w:r>
          </w:p>
        </w:tc>
      </w:tr>
      <w:tr w14:paraId="28967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restart"/>
            <w:tcBorders>
              <w:tl2br w:val="nil"/>
              <w:tr2bl w:val="nil"/>
            </w:tcBorders>
            <w:noWrap w:val="0"/>
            <w:vAlign w:val="center"/>
          </w:tcPr>
          <w:p w14:paraId="75B125D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Q</w:t>
            </w:r>
            <w:r>
              <w:rPr>
                <w:rFonts w:hint="eastAsia" w:ascii="Times New Roman" w:hAnsi="Times New Roman" w:eastAsia="宋体" w:cs="Times New Roman"/>
                <w:color w:val="auto"/>
                <w:kern w:val="2"/>
                <w:sz w:val="21"/>
                <w:szCs w:val="24"/>
                <w:highlight w:val="none"/>
                <w:lang w:val="en-US" w:eastAsia="zh-CN" w:bidi="ar-SA"/>
              </w:rPr>
              <w:t>1船尾村</w:t>
            </w:r>
          </w:p>
          <w:p w14:paraId="79CCDFE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E：</w:t>
            </w:r>
            <w:r>
              <w:rPr>
                <w:rFonts w:hint="eastAsia" w:ascii="Times New Roman" w:hAnsi="Times New Roman" w:eastAsia="宋体" w:cs="Times New Roman"/>
                <w:color w:val="auto"/>
                <w:kern w:val="2"/>
                <w:sz w:val="21"/>
                <w:szCs w:val="24"/>
                <w:highlight w:val="none"/>
                <w:lang w:val="en-US" w:eastAsia="zh-CN" w:bidi="ar-SA"/>
              </w:rPr>
              <w:t>119.342746</w:t>
            </w:r>
            <w:r>
              <w:rPr>
                <w:rFonts w:hint="default" w:ascii="Times New Roman" w:hAnsi="Times New Roman" w:eastAsia="宋体" w:cs="Times New Roman"/>
                <w:color w:val="auto"/>
                <w:kern w:val="2"/>
                <w:sz w:val="21"/>
                <w:szCs w:val="24"/>
                <w:highlight w:val="none"/>
                <w:lang w:val="en-US" w:eastAsia="zh-CN" w:bidi="ar-SA"/>
              </w:rPr>
              <w:t>°</w:t>
            </w:r>
          </w:p>
          <w:p w14:paraId="5DEB145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w:t>
            </w:r>
            <w:r>
              <w:rPr>
                <w:rFonts w:hint="eastAsia" w:ascii="Times New Roman" w:hAnsi="Times New Roman" w:eastAsia="宋体" w:cs="Times New Roman"/>
                <w:color w:val="auto"/>
                <w:kern w:val="2"/>
                <w:sz w:val="21"/>
                <w:szCs w:val="24"/>
                <w:highlight w:val="none"/>
                <w:lang w:val="en-US" w:eastAsia="zh-CN" w:bidi="ar-SA"/>
              </w:rPr>
              <w:t>25.883213</w:t>
            </w:r>
            <w:r>
              <w:rPr>
                <w:rFonts w:hint="default" w:ascii="Times New Roman" w:hAnsi="Times New Roman" w:eastAsia="宋体" w:cs="Times New Roman"/>
                <w:color w:val="auto"/>
                <w:kern w:val="2"/>
                <w:sz w:val="21"/>
                <w:szCs w:val="24"/>
                <w:highlight w:val="none"/>
                <w:lang w:val="en-US" w:eastAsia="zh-CN" w:bidi="ar-SA"/>
              </w:rPr>
              <w:t>°</w:t>
            </w:r>
          </w:p>
        </w:tc>
        <w:tc>
          <w:tcPr>
            <w:tcW w:w="565" w:type="pct"/>
            <w:vMerge w:val="restart"/>
            <w:tcBorders>
              <w:tl2br w:val="nil"/>
              <w:tr2bl w:val="nil"/>
            </w:tcBorders>
            <w:noWrap w:val="0"/>
            <w:vAlign w:val="center"/>
          </w:tcPr>
          <w:p w14:paraId="112A85C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非甲烷</w:t>
            </w:r>
          </w:p>
          <w:p w14:paraId="45ECFA5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总烃</w:t>
            </w:r>
          </w:p>
        </w:tc>
        <w:tc>
          <w:tcPr>
            <w:tcW w:w="1172" w:type="pct"/>
            <w:tcBorders>
              <w:tl2br w:val="nil"/>
              <w:tr2bl w:val="nil"/>
            </w:tcBorders>
            <w:noWrap w:val="0"/>
            <w:vAlign w:val="center"/>
          </w:tcPr>
          <w:p w14:paraId="046D04F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0F75CFD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0.32</w:t>
            </w:r>
          </w:p>
        </w:tc>
        <w:tc>
          <w:tcPr>
            <w:tcW w:w="583" w:type="pct"/>
            <w:tcBorders>
              <w:tl2br w:val="nil"/>
              <w:tr2bl w:val="nil"/>
            </w:tcBorders>
            <w:noWrap w:val="0"/>
            <w:vAlign w:val="center"/>
          </w:tcPr>
          <w:p w14:paraId="269DF6F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0.38</w:t>
            </w:r>
          </w:p>
        </w:tc>
        <w:tc>
          <w:tcPr>
            <w:tcW w:w="582" w:type="pct"/>
            <w:tcBorders>
              <w:tl2br w:val="nil"/>
              <w:tr2bl w:val="nil"/>
            </w:tcBorders>
            <w:noWrap w:val="0"/>
            <w:vAlign w:val="center"/>
          </w:tcPr>
          <w:p w14:paraId="0613A28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0.32</w:t>
            </w:r>
          </w:p>
        </w:tc>
        <w:tc>
          <w:tcPr>
            <w:tcW w:w="591" w:type="pct"/>
            <w:gridSpan w:val="2"/>
            <w:tcBorders>
              <w:tl2br w:val="nil"/>
              <w:tr2bl w:val="nil"/>
            </w:tcBorders>
            <w:noWrap w:val="0"/>
            <w:vAlign w:val="center"/>
          </w:tcPr>
          <w:p w14:paraId="696B12B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0.26</w:t>
            </w:r>
          </w:p>
        </w:tc>
      </w:tr>
      <w:tr w14:paraId="743443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BA8BDA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5F43631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2E914C9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06F44B6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0.28</w:t>
            </w:r>
          </w:p>
        </w:tc>
        <w:tc>
          <w:tcPr>
            <w:tcW w:w="583" w:type="pct"/>
            <w:tcBorders>
              <w:tl2br w:val="nil"/>
              <w:tr2bl w:val="nil"/>
            </w:tcBorders>
            <w:noWrap w:val="0"/>
            <w:vAlign w:val="center"/>
          </w:tcPr>
          <w:p w14:paraId="3833182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2" w:type="pct"/>
            <w:tcBorders>
              <w:tl2br w:val="nil"/>
              <w:tr2bl w:val="nil"/>
            </w:tcBorders>
            <w:noWrap w:val="0"/>
            <w:vAlign w:val="center"/>
          </w:tcPr>
          <w:p w14:paraId="775CC73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91" w:type="pct"/>
            <w:gridSpan w:val="2"/>
            <w:tcBorders>
              <w:tl2br w:val="nil"/>
              <w:tr2bl w:val="nil"/>
            </w:tcBorders>
            <w:noWrap w:val="0"/>
            <w:vAlign w:val="center"/>
          </w:tcPr>
          <w:p w14:paraId="6EE5BE6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0.32</w:t>
            </w:r>
          </w:p>
        </w:tc>
      </w:tr>
      <w:tr w14:paraId="57B19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CD26DE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1C0BC90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925B75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59D7D3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0.29</w:t>
            </w:r>
          </w:p>
        </w:tc>
        <w:tc>
          <w:tcPr>
            <w:tcW w:w="583" w:type="pct"/>
            <w:tcBorders>
              <w:tl2br w:val="nil"/>
              <w:tr2bl w:val="nil"/>
            </w:tcBorders>
            <w:noWrap w:val="0"/>
            <w:vAlign w:val="center"/>
          </w:tcPr>
          <w:p w14:paraId="0F7F8D5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0.33</w:t>
            </w:r>
          </w:p>
        </w:tc>
        <w:tc>
          <w:tcPr>
            <w:tcW w:w="582" w:type="pct"/>
            <w:tcBorders>
              <w:tl2br w:val="nil"/>
              <w:tr2bl w:val="nil"/>
            </w:tcBorders>
            <w:noWrap w:val="0"/>
            <w:vAlign w:val="center"/>
          </w:tcPr>
          <w:p w14:paraId="22A365B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0.22</w:t>
            </w:r>
          </w:p>
        </w:tc>
        <w:tc>
          <w:tcPr>
            <w:tcW w:w="591" w:type="pct"/>
            <w:gridSpan w:val="2"/>
            <w:tcBorders>
              <w:tl2br w:val="nil"/>
              <w:tr2bl w:val="nil"/>
            </w:tcBorders>
            <w:noWrap w:val="0"/>
            <w:vAlign w:val="center"/>
          </w:tcPr>
          <w:p w14:paraId="738C185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0.28</w:t>
            </w:r>
          </w:p>
        </w:tc>
      </w:tr>
      <w:tr w14:paraId="1534F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7903A6F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5F6036F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4C28BE5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778CA4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3" w:type="pct"/>
            <w:tcBorders>
              <w:tl2br w:val="nil"/>
              <w:tr2bl w:val="nil"/>
            </w:tcBorders>
            <w:noWrap w:val="0"/>
            <w:vAlign w:val="center"/>
          </w:tcPr>
          <w:p w14:paraId="282BF82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2" w:type="pct"/>
            <w:tcBorders>
              <w:tl2br w:val="nil"/>
              <w:tr2bl w:val="nil"/>
            </w:tcBorders>
            <w:noWrap w:val="0"/>
            <w:vAlign w:val="center"/>
          </w:tcPr>
          <w:p w14:paraId="3827B5B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0.37</w:t>
            </w:r>
          </w:p>
        </w:tc>
        <w:tc>
          <w:tcPr>
            <w:tcW w:w="591" w:type="pct"/>
            <w:gridSpan w:val="2"/>
            <w:tcBorders>
              <w:tl2br w:val="nil"/>
              <w:tr2bl w:val="nil"/>
            </w:tcBorders>
            <w:noWrap w:val="0"/>
            <w:vAlign w:val="center"/>
          </w:tcPr>
          <w:p w14:paraId="72C5A1D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r>
      <w:tr w14:paraId="7BFEF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F39AA7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B23C66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0CE80D1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5DD8B35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0.32</w:t>
            </w:r>
          </w:p>
        </w:tc>
        <w:tc>
          <w:tcPr>
            <w:tcW w:w="583" w:type="pct"/>
            <w:tcBorders>
              <w:tl2br w:val="nil"/>
              <w:tr2bl w:val="nil"/>
            </w:tcBorders>
            <w:noWrap w:val="0"/>
            <w:vAlign w:val="center"/>
          </w:tcPr>
          <w:p w14:paraId="42A266E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2" w:type="pct"/>
            <w:tcBorders>
              <w:tl2br w:val="nil"/>
              <w:tr2bl w:val="nil"/>
            </w:tcBorders>
            <w:noWrap w:val="0"/>
            <w:vAlign w:val="center"/>
          </w:tcPr>
          <w:p w14:paraId="307D042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0.25</w:t>
            </w:r>
          </w:p>
        </w:tc>
        <w:tc>
          <w:tcPr>
            <w:tcW w:w="591" w:type="pct"/>
            <w:gridSpan w:val="2"/>
            <w:tcBorders>
              <w:tl2br w:val="nil"/>
              <w:tr2bl w:val="nil"/>
            </w:tcBorders>
            <w:noWrap w:val="0"/>
            <w:vAlign w:val="center"/>
          </w:tcPr>
          <w:p w14:paraId="26E4F71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0.38</w:t>
            </w:r>
          </w:p>
        </w:tc>
      </w:tr>
      <w:tr w14:paraId="6944F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3363E80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0778D5E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4BF1945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7C4231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3" w:type="pct"/>
            <w:tcBorders>
              <w:tl2br w:val="nil"/>
              <w:tr2bl w:val="nil"/>
            </w:tcBorders>
            <w:noWrap w:val="0"/>
            <w:vAlign w:val="center"/>
          </w:tcPr>
          <w:p w14:paraId="1A8D799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0.32</w:t>
            </w:r>
          </w:p>
        </w:tc>
        <w:tc>
          <w:tcPr>
            <w:tcW w:w="582" w:type="pct"/>
            <w:tcBorders>
              <w:tl2br w:val="nil"/>
              <w:tr2bl w:val="nil"/>
            </w:tcBorders>
            <w:noWrap w:val="0"/>
            <w:vAlign w:val="center"/>
          </w:tcPr>
          <w:p w14:paraId="03635B6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0.27</w:t>
            </w:r>
          </w:p>
        </w:tc>
        <w:tc>
          <w:tcPr>
            <w:tcW w:w="591" w:type="pct"/>
            <w:gridSpan w:val="2"/>
            <w:tcBorders>
              <w:tl2br w:val="nil"/>
              <w:tr2bl w:val="nil"/>
            </w:tcBorders>
            <w:noWrap w:val="0"/>
            <w:vAlign w:val="center"/>
          </w:tcPr>
          <w:p w14:paraId="0A8B174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0.25</w:t>
            </w:r>
          </w:p>
        </w:tc>
      </w:tr>
      <w:tr w14:paraId="31E11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4753096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EFF728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3F8FEE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71EC110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0.34</w:t>
            </w:r>
          </w:p>
        </w:tc>
        <w:tc>
          <w:tcPr>
            <w:tcW w:w="583" w:type="pct"/>
            <w:tcBorders>
              <w:tl2br w:val="nil"/>
              <w:tr2bl w:val="nil"/>
            </w:tcBorders>
            <w:noWrap w:val="0"/>
            <w:vAlign w:val="center"/>
          </w:tcPr>
          <w:p w14:paraId="725D55B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0.33</w:t>
            </w:r>
          </w:p>
        </w:tc>
        <w:tc>
          <w:tcPr>
            <w:tcW w:w="582" w:type="pct"/>
            <w:tcBorders>
              <w:tl2br w:val="nil"/>
              <w:tr2bl w:val="nil"/>
            </w:tcBorders>
            <w:noWrap w:val="0"/>
            <w:vAlign w:val="center"/>
          </w:tcPr>
          <w:p w14:paraId="63742DA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0.36</w:t>
            </w:r>
          </w:p>
        </w:tc>
        <w:tc>
          <w:tcPr>
            <w:tcW w:w="591" w:type="pct"/>
            <w:gridSpan w:val="2"/>
            <w:tcBorders>
              <w:tl2br w:val="nil"/>
              <w:tr2bl w:val="nil"/>
            </w:tcBorders>
            <w:noWrap w:val="0"/>
            <w:vAlign w:val="center"/>
          </w:tcPr>
          <w:p w14:paraId="0B40276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0.30</w:t>
            </w:r>
          </w:p>
        </w:tc>
      </w:tr>
      <w:tr w14:paraId="50CCE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30021E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restart"/>
            <w:tcBorders>
              <w:tl2br w:val="nil"/>
              <w:tr2bl w:val="nil"/>
            </w:tcBorders>
            <w:noWrap w:val="0"/>
            <w:vAlign w:val="center"/>
          </w:tcPr>
          <w:p w14:paraId="1C4980C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二甲苯</w:t>
            </w:r>
          </w:p>
        </w:tc>
        <w:tc>
          <w:tcPr>
            <w:tcW w:w="1172" w:type="pct"/>
            <w:tcBorders>
              <w:tl2br w:val="nil"/>
              <w:tr2bl w:val="nil"/>
            </w:tcBorders>
            <w:noWrap w:val="0"/>
            <w:vAlign w:val="center"/>
          </w:tcPr>
          <w:p w14:paraId="63A1463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52946B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77D99E6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23C5E97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68CFCE2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6D2EF2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41699CD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DC2BEB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A4EA0F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66C527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6689801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549B472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502BC30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28E49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68ECE6A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CD94E3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4B7746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4280346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46BE047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0C1D190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42866FC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4FCE47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8CD3AD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FCADA5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46DFAD2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6F8F576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1A78C63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7E4E05B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67DCD29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70E4C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3BD94FC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1017D89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1A3F50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C8B619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70EB901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6D40988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5AD4AA1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62D20E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1CFC3EB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F5BBF2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3A0CCC7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337C9CF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144274B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3BF03D5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06969F1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5C8C0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483BDD1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55E55A6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317F55F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4808AF7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3" w:type="pct"/>
            <w:tcBorders>
              <w:tl2br w:val="nil"/>
              <w:tr2bl w:val="nil"/>
            </w:tcBorders>
            <w:noWrap w:val="0"/>
            <w:vAlign w:val="center"/>
          </w:tcPr>
          <w:p w14:paraId="4978941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82" w:type="pct"/>
            <w:tcBorders>
              <w:tl2br w:val="nil"/>
              <w:tr2bl w:val="nil"/>
            </w:tcBorders>
            <w:noWrap w:val="0"/>
            <w:vAlign w:val="center"/>
          </w:tcPr>
          <w:p w14:paraId="1590E50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c>
          <w:tcPr>
            <w:tcW w:w="591" w:type="pct"/>
            <w:gridSpan w:val="2"/>
            <w:tcBorders>
              <w:tl2br w:val="nil"/>
              <w:tr2bl w:val="nil"/>
            </w:tcBorders>
            <w:noWrap w:val="0"/>
            <w:vAlign w:val="center"/>
          </w:tcPr>
          <w:p w14:paraId="7F6CBB2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&lt;0.0015</w:t>
            </w:r>
          </w:p>
        </w:tc>
      </w:tr>
      <w:tr w14:paraId="71F68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B18DFF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restart"/>
            <w:tcBorders>
              <w:tl2br w:val="nil"/>
              <w:tr2bl w:val="nil"/>
            </w:tcBorders>
            <w:noWrap w:val="0"/>
            <w:vAlign w:val="center"/>
          </w:tcPr>
          <w:p w14:paraId="172BEF5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臭气浓度（无量纲）</w:t>
            </w:r>
          </w:p>
        </w:tc>
        <w:tc>
          <w:tcPr>
            <w:tcW w:w="1172" w:type="pct"/>
            <w:tcBorders>
              <w:tl2br w:val="nil"/>
              <w:tr2bl w:val="nil"/>
            </w:tcBorders>
            <w:noWrap w:val="0"/>
            <w:vAlign w:val="center"/>
          </w:tcPr>
          <w:p w14:paraId="16C7BAF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6741941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6FF94BB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6EB193C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5440A03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0E2AD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55B161F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8F0938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4147429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6D31F35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67E7154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11D7770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797B3BA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1A3E8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4BE0150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0325122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3F82D0E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00ED106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551E175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4E60F80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7670353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609DE9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88E956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3A72677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3AD446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02FC361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0DEBE4C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6268C24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2DEB5AB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68A90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0CAF46E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04544FF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29A4FCD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5235830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73B467E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5CE5946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19CC21B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3983E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2EDDE5C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3BDBD3C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6BBBA21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772687D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3B64B70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3D2CCEC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6B36C3D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6FB09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center"/>
          </w:tcPr>
          <w:p w14:paraId="68B4AE4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0A5203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1228B94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1F5D318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3" w:type="pct"/>
            <w:tcBorders>
              <w:tl2br w:val="nil"/>
              <w:tr2bl w:val="nil"/>
            </w:tcBorders>
            <w:noWrap w:val="0"/>
            <w:vAlign w:val="center"/>
          </w:tcPr>
          <w:p w14:paraId="3791A69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82" w:type="pct"/>
            <w:tcBorders>
              <w:tl2br w:val="nil"/>
              <w:tr2bl w:val="nil"/>
            </w:tcBorders>
            <w:noWrap w:val="0"/>
            <w:vAlign w:val="center"/>
          </w:tcPr>
          <w:p w14:paraId="21C3498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c>
          <w:tcPr>
            <w:tcW w:w="591" w:type="pct"/>
            <w:gridSpan w:val="2"/>
            <w:tcBorders>
              <w:tl2br w:val="nil"/>
              <w:tr2bl w:val="nil"/>
            </w:tcBorders>
            <w:noWrap w:val="0"/>
            <w:vAlign w:val="center"/>
          </w:tcPr>
          <w:p w14:paraId="5FFF6F3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&lt;10</w:t>
            </w:r>
          </w:p>
        </w:tc>
      </w:tr>
      <w:tr w14:paraId="338E9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restart"/>
            <w:tcBorders>
              <w:tl2br w:val="nil"/>
              <w:tr2bl w:val="nil"/>
            </w:tcBorders>
            <w:noWrap w:val="0"/>
            <w:vAlign w:val="center"/>
          </w:tcPr>
          <w:p w14:paraId="5D47328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Q</w:t>
            </w:r>
            <w:r>
              <w:rPr>
                <w:rFonts w:hint="eastAsia" w:ascii="Times New Roman" w:hAnsi="Times New Roman" w:eastAsia="宋体" w:cs="Times New Roman"/>
                <w:color w:val="auto"/>
                <w:kern w:val="2"/>
                <w:sz w:val="21"/>
                <w:szCs w:val="24"/>
                <w:highlight w:val="none"/>
                <w:lang w:val="en-US" w:eastAsia="zh-CN" w:bidi="ar-SA"/>
              </w:rPr>
              <w:t>1船尾村</w:t>
            </w:r>
          </w:p>
          <w:p w14:paraId="5ACF380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E：</w:t>
            </w:r>
            <w:r>
              <w:rPr>
                <w:rFonts w:hint="eastAsia" w:ascii="Times New Roman" w:hAnsi="Times New Roman" w:eastAsia="宋体" w:cs="Times New Roman"/>
                <w:color w:val="auto"/>
                <w:kern w:val="2"/>
                <w:sz w:val="21"/>
                <w:szCs w:val="24"/>
                <w:highlight w:val="none"/>
                <w:lang w:val="en-US" w:eastAsia="zh-CN" w:bidi="ar-SA"/>
              </w:rPr>
              <w:t>119.342746</w:t>
            </w:r>
            <w:r>
              <w:rPr>
                <w:rFonts w:hint="default" w:ascii="Times New Roman" w:hAnsi="Times New Roman" w:eastAsia="宋体" w:cs="Times New Roman"/>
                <w:color w:val="auto"/>
                <w:kern w:val="2"/>
                <w:sz w:val="21"/>
                <w:szCs w:val="24"/>
                <w:highlight w:val="none"/>
                <w:lang w:val="en-US" w:eastAsia="zh-CN" w:bidi="ar-SA"/>
              </w:rPr>
              <w:t>°</w:t>
            </w:r>
          </w:p>
          <w:p w14:paraId="19517CA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w:t>
            </w:r>
            <w:r>
              <w:rPr>
                <w:rFonts w:hint="eastAsia" w:ascii="Times New Roman" w:hAnsi="Times New Roman" w:eastAsia="宋体" w:cs="Times New Roman"/>
                <w:color w:val="auto"/>
                <w:kern w:val="2"/>
                <w:sz w:val="21"/>
                <w:szCs w:val="24"/>
                <w:highlight w:val="none"/>
                <w:lang w:val="en-US" w:eastAsia="zh-CN" w:bidi="ar-SA"/>
              </w:rPr>
              <w:t>25.883213</w:t>
            </w:r>
            <w:r>
              <w:rPr>
                <w:rFonts w:hint="default" w:ascii="Times New Roman" w:hAnsi="Times New Roman" w:eastAsia="宋体" w:cs="Times New Roman"/>
                <w:color w:val="auto"/>
                <w:kern w:val="2"/>
                <w:sz w:val="21"/>
                <w:szCs w:val="24"/>
                <w:highlight w:val="none"/>
                <w:lang w:val="en-US" w:eastAsia="zh-CN" w:bidi="ar-SA"/>
              </w:rPr>
              <w:t>°</w:t>
            </w:r>
          </w:p>
        </w:tc>
        <w:tc>
          <w:tcPr>
            <w:tcW w:w="565" w:type="pct"/>
            <w:vMerge w:val="restart"/>
            <w:tcBorders>
              <w:tl2br w:val="nil"/>
              <w:tr2bl w:val="nil"/>
            </w:tcBorders>
            <w:noWrap w:val="0"/>
            <w:vAlign w:val="center"/>
          </w:tcPr>
          <w:p w14:paraId="4BF4A97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挥发性</w:t>
            </w:r>
          </w:p>
          <w:p w14:paraId="33E6812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有机物</w:t>
            </w:r>
          </w:p>
        </w:tc>
        <w:tc>
          <w:tcPr>
            <w:tcW w:w="1172" w:type="pct"/>
            <w:tcBorders>
              <w:tl2br w:val="nil"/>
              <w:tr2bl w:val="nil"/>
            </w:tcBorders>
            <w:noWrap w:val="0"/>
            <w:vAlign w:val="center"/>
          </w:tcPr>
          <w:p w14:paraId="194C478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57077A6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3389A09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21D23F0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46AC04A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3FCB5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4EF4E3F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403A20B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68B7CA7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63A1B0A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1753809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52F1E86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5E3F08D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6B5D58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1E29E0A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3D253AF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035C7C1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71C07D2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2430DFF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7F1C2AF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3EFBFF1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7BBF4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12DDC34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4B41F5A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697BD0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51EEAEF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6E70011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1A4FA33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730F717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706F5D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7D27553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573BBC7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9583B9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366B8EC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391B89B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0E74B96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72CE3A0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67E4F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6D23B27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0DD5600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3818732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3C9D2D2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48F89C3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3E0E164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37521A6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72E8E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20" w:type="pct"/>
            <w:vMerge w:val="continue"/>
            <w:tcBorders>
              <w:tl2br w:val="nil"/>
              <w:tr2bl w:val="nil"/>
            </w:tcBorders>
            <w:noWrap w:val="0"/>
            <w:vAlign w:val="top"/>
          </w:tcPr>
          <w:p w14:paraId="39E6E45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top"/>
          </w:tcPr>
          <w:p w14:paraId="01ECB8D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60C41F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vAlign w:val="center"/>
          </w:tcPr>
          <w:p w14:paraId="6FBF7E4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3" w:type="pct"/>
            <w:tcBorders>
              <w:tl2br w:val="nil"/>
              <w:tr2bl w:val="nil"/>
            </w:tcBorders>
            <w:noWrap w:val="0"/>
            <w:vAlign w:val="center"/>
          </w:tcPr>
          <w:p w14:paraId="506669F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82" w:type="pct"/>
            <w:tcBorders>
              <w:tl2br w:val="nil"/>
              <w:tr2bl w:val="nil"/>
            </w:tcBorders>
            <w:noWrap w:val="0"/>
            <w:vAlign w:val="center"/>
          </w:tcPr>
          <w:p w14:paraId="6CF228C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591" w:type="pct"/>
            <w:gridSpan w:val="2"/>
            <w:tcBorders>
              <w:tl2br w:val="nil"/>
              <w:tr2bl w:val="nil"/>
            </w:tcBorders>
            <w:noWrap w:val="0"/>
            <w:vAlign w:val="center"/>
          </w:tcPr>
          <w:p w14:paraId="5892436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&lt;3</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10</w:t>
            </w:r>
            <w:r>
              <w:rPr>
                <w:rFonts w:hint="eastAsia" w:ascii="Times New Roman" w:hAnsi="Times New Roman" w:eastAsia="宋体" w:cs="Times New Roman"/>
                <w:color w:val="auto"/>
                <w:kern w:val="2"/>
                <w:sz w:val="21"/>
                <w:szCs w:val="24"/>
                <w:highlight w:val="none"/>
                <w:vertAlign w:val="superscript"/>
                <w:lang w:val="en-US" w:eastAsia="zh-CN" w:bidi="ar-SA"/>
              </w:rPr>
              <w:t>-4</w:t>
            </w:r>
          </w:p>
        </w:tc>
      </w:tr>
      <w:tr w14:paraId="01831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restart"/>
            <w:tcBorders>
              <w:tl2br w:val="nil"/>
              <w:tr2bl w:val="nil"/>
            </w:tcBorders>
            <w:noWrap w:val="0"/>
            <w:vAlign w:val="center"/>
          </w:tcPr>
          <w:p w14:paraId="06EF738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Q</w:t>
            </w:r>
            <w:r>
              <w:rPr>
                <w:rFonts w:hint="eastAsia" w:ascii="Times New Roman" w:hAnsi="Times New Roman" w:eastAsia="宋体" w:cs="Times New Roman"/>
                <w:color w:val="auto"/>
                <w:kern w:val="2"/>
                <w:sz w:val="21"/>
                <w:szCs w:val="24"/>
                <w:highlight w:val="none"/>
                <w:lang w:val="en-US" w:eastAsia="zh-CN" w:bidi="ar-SA"/>
              </w:rPr>
              <w:t>1船尾村</w:t>
            </w:r>
          </w:p>
          <w:p w14:paraId="48010AF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E：</w:t>
            </w:r>
            <w:r>
              <w:rPr>
                <w:rFonts w:hint="eastAsia" w:ascii="Times New Roman" w:hAnsi="Times New Roman" w:eastAsia="宋体" w:cs="Times New Roman"/>
                <w:color w:val="auto"/>
                <w:kern w:val="2"/>
                <w:sz w:val="21"/>
                <w:szCs w:val="24"/>
                <w:highlight w:val="none"/>
                <w:lang w:val="en-US" w:eastAsia="zh-CN" w:bidi="ar-SA"/>
              </w:rPr>
              <w:t>119.342746</w:t>
            </w:r>
            <w:r>
              <w:rPr>
                <w:rFonts w:hint="default" w:ascii="Times New Roman" w:hAnsi="Times New Roman" w:eastAsia="宋体" w:cs="Times New Roman"/>
                <w:color w:val="auto"/>
                <w:kern w:val="2"/>
                <w:sz w:val="21"/>
                <w:szCs w:val="24"/>
                <w:highlight w:val="none"/>
                <w:lang w:val="en-US" w:eastAsia="zh-CN" w:bidi="ar-SA"/>
              </w:rPr>
              <w:t>°</w:t>
            </w:r>
          </w:p>
          <w:p w14:paraId="5FB518B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w:t>
            </w:r>
            <w:r>
              <w:rPr>
                <w:rFonts w:hint="eastAsia" w:ascii="Times New Roman" w:hAnsi="Times New Roman" w:eastAsia="宋体" w:cs="Times New Roman"/>
                <w:color w:val="auto"/>
                <w:kern w:val="2"/>
                <w:sz w:val="21"/>
                <w:szCs w:val="24"/>
                <w:highlight w:val="none"/>
                <w:lang w:val="en-US" w:eastAsia="zh-CN" w:bidi="ar-SA"/>
              </w:rPr>
              <w:t>25.883213</w:t>
            </w:r>
            <w:r>
              <w:rPr>
                <w:rFonts w:hint="default" w:ascii="Times New Roman" w:hAnsi="Times New Roman" w:eastAsia="宋体" w:cs="Times New Roman"/>
                <w:color w:val="auto"/>
                <w:kern w:val="2"/>
                <w:sz w:val="21"/>
                <w:szCs w:val="24"/>
                <w:highlight w:val="none"/>
                <w:lang w:val="en-US" w:eastAsia="zh-CN" w:bidi="ar-SA"/>
              </w:rPr>
              <w:t>°</w:t>
            </w:r>
          </w:p>
        </w:tc>
        <w:tc>
          <w:tcPr>
            <w:tcW w:w="565" w:type="pct"/>
            <w:vMerge w:val="restart"/>
            <w:tcBorders>
              <w:tl2br w:val="nil"/>
              <w:tr2bl w:val="nil"/>
            </w:tcBorders>
            <w:noWrap w:val="0"/>
            <w:vAlign w:val="center"/>
          </w:tcPr>
          <w:p w14:paraId="7ADBE3A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乙酸丁酯</w:t>
            </w:r>
          </w:p>
        </w:tc>
        <w:tc>
          <w:tcPr>
            <w:tcW w:w="1172" w:type="pct"/>
            <w:tcBorders>
              <w:tl2br w:val="nil"/>
              <w:tr2bl w:val="nil"/>
            </w:tcBorders>
            <w:noWrap w:val="0"/>
            <w:vAlign w:val="center"/>
          </w:tcPr>
          <w:p w14:paraId="0A18284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693C537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4528AB1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1659CD6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3CA4815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6D584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7BC9F81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6E2E9E2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69DD49E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6AA1159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3481ED7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57A205C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115D7C2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7E9FF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4EA075D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19EFA4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BDE7BF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6BFA3E5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6D47EA1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01931D1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234B7C8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527B2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5AE668A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4F38438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157D999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0684579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401745B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5FE14A2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6CAF17C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686C7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51670B8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418A7C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54C6065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6F4783A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352772F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1E49882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446EC9C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67216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21F9AE2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5A24AC8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34BBF7B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74C31F4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3C39F6E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7B6F855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2B044FD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r w14:paraId="4E7FF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20" w:type="pct"/>
            <w:vMerge w:val="continue"/>
            <w:tcBorders>
              <w:tl2br w:val="nil"/>
              <w:tr2bl w:val="nil"/>
            </w:tcBorders>
            <w:noWrap w:val="0"/>
            <w:vAlign w:val="center"/>
          </w:tcPr>
          <w:p w14:paraId="426F87D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565" w:type="pct"/>
            <w:vMerge w:val="continue"/>
            <w:tcBorders>
              <w:tl2br w:val="nil"/>
              <w:tr2bl w:val="nil"/>
            </w:tcBorders>
            <w:noWrap w:val="0"/>
            <w:vAlign w:val="center"/>
          </w:tcPr>
          <w:p w14:paraId="2D1C87D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172" w:type="pct"/>
            <w:tcBorders>
              <w:tl2br w:val="nil"/>
              <w:tr2bl w:val="nil"/>
            </w:tcBorders>
            <w:noWrap w:val="0"/>
            <w:vAlign w:val="center"/>
          </w:tcPr>
          <w:p w14:paraId="700DCB0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p>
        </w:tc>
        <w:tc>
          <w:tcPr>
            <w:tcW w:w="583" w:type="pct"/>
            <w:tcBorders>
              <w:tl2br w:val="nil"/>
              <w:tr2bl w:val="nil"/>
            </w:tcBorders>
            <w:noWrap w:val="0"/>
            <w:tcMar>
              <w:top w:w="0" w:type="dxa"/>
              <w:left w:w="0" w:type="dxa"/>
              <w:bottom w:w="0" w:type="dxa"/>
              <w:right w:w="0" w:type="dxa"/>
            </w:tcMar>
            <w:vAlign w:val="center"/>
          </w:tcPr>
          <w:p w14:paraId="41A11E5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tcBorders>
              <w:tl2br w:val="nil"/>
              <w:tr2bl w:val="nil"/>
            </w:tcBorders>
            <w:noWrap w:val="0"/>
            <w:tcMar>
              <w:top w:w="0" w:type="dxa"/>
              <w:left w:w="0" w:type="dxa"/>
              <w:bottom w:w="0" w:type="dxa"/>
              <w:right w:w="0" w:type="dxa"/>
            </w:tcMar>
            <w:vAlign w:val="center"/>
          </w:tcPr>
          <w:p w14:paraId="25109E0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83" w:type="pct"/>
            <w:gridSpan w:val="2"/>
            <w:tcBorders>
              <w:tl2br w:val="nil"/>
              <w:tr2bl w:val="nil"/>
            </w:tcBorders>
            <w:noWrap w:val="0"/>
            <w:tcMar>
              <w:top w:w="0" w:type="dxa"/>
              <w:left w:w="0" w:type="dxa"/>
              <w:bottom w:w="0" w:type="dxa"/>
              <w:right w:w="0" w:type="dxa"/>
            </w:tcMar>
            <w:vAlign w:val="center"/>
          </w:tcPr>
          <w:p w14:paraId="4E0F20E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c>
          <w:tcPr>
            <w:tcW w:w="590" w:type="pct"/>
            <w:tcBorders>
              <w:tl2br w:val="nil"/>
              <w:tr2bl w:val="nil"/>
            </w:tcBorders>
            <w:noWrap w:val="0"/>
            <w:tcMar>
              <w:top w:w="0" w:type="dxa"/>
              <w:left w:w="0" w:type="dxa"/>
              <w:bottom w:w="0" w:type="dxa"/>
              <w:right w:w="0" w:type="dxa"/>
            </w:tcMar>
            <w:vAlign w:val="center"/>
          </w:tcPr>
          <w:p w14:paraId="23C5825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&lt;0.005</w:t>
            </w:r>
          </w:p>
        </w:tc>
      </w:tr>
    </w:tbl>
    <w:p w14:paraId="7ED4DB1E">
      <w:pPr>
        <w:pStyle w:val="8"/>
        <w:bidi w:val="0"/>
        <w:rPr>
          <w:rFonts w:hint="default" w:ascii="Times New Roman" w:hAnsi="Times New Roman" w:eastAsia="黑体" w:cs="Times New Roman"/>
          <w:color w:val="auto"/>
          <w:kern w:val="0"/>
          <w:szCs w:val="24"/>
          <w:highlight w:val="none"/>
          <w:lang w:val="en-US" w:eastAsia="zh-CN" w:bidi="ar-SA"/>
        </w:rPr>
      </w:pPr>
      <w:r>
        <w:rPr>
          <w:rFonts w:hint="default" w:ascii="Times New Roman" w:hAnsi="Times New Roman" w:cs="Times New Roman"/>
          <w:color w:val="auto"/>
          <w:highlight w:val="none"/>
          <w:lang w:val="en-US" w:eastAsia="zh-CN"/>
        </w:rPr>
        <w:t>表4.2-13  环境空气质量现状监测结果一览表（日均值）</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1238"/>
        <w:gridCol w:w="3803"/>
        <w:gridCol w:w="1103"/>
        <w:gridCol w:w="761"/>
      </w:tblGrid>
      <w:tr w14:paraId="78AE4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tblHeader/>
          <w:jc w:val="center"/>
        </w:trPr>
        <w:tc>
          <w:tcPr>
            <w:tcW w:w="947" w:type="pct"/>
            <w:tcBorders>
              <w:tl2br w:val="nil"/>
              <w:tr2bl w:val="nil"/>
            </w:tcBorders>
            <w:noWrap w:val="0"/>
            <w:vAlign w:val="center"/>
          </w:tcPr>
          <w:p w14:paraId="33DE35D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w:t>
            </w:r>
            <w:r>
              <w:rPr>
                <w:rFonts w:hint="default" w:ascii="Times New Roman" w:hAnsi="Times New Roman" w:eastAsia="宋体" w:cs="Times New Roman"/>
                <w:color w:val="auto"/>
                <w:kern w:val="2"/>
                <w:sz w:val="21"/>
                <w:szCs w:val="24"/>
                <w:highlight w:val="none"/>
                <w:lang w:val="en-US" w:eastAsia="zh-CN" w:bidi="ar-SA"/>
              </w:rPr>
              <w:t>点位</w:t>
            </w:r>
          </w:p>
        </w:tc>
        <w:tc>
          <w:tcPr>
            <w:tcW w:w="726" w:type="pct"/>
            <w:tcBorders>
              <w:tl2br w:val="nil"/>
              <w:tr2bl w:val="nil"/>
            </w:tcBorders>
            <w:noWrap w:val="0"/>
            <w:vAlign w:val="center"/>
          </w:tcPr>
          <w:p w14:paraId="66286FE0">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检测项目</w:t>
            </w:r>
          </w:p>
        </w:tc>
        <w:tc>
          <w:tcPr>
            <w:tcW w:w="2231" w:type="pct"/>
            <w:tcBorders>
              <w:tl2br w:val="nil"/>
              <w:tr2bl w:val="nil"/>
            </w:tcBorders>
            <w:noWrap w:val="0"/>
            <w:vAlign w:val="center"/>
          </w:tcPr>
          <w:p w14:paraId="09D17D8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采样日期</w:t>
            </w:r>
          </w:p>
        </w:tc>
        <w:tc>
          <w:tcPr>
            <w:tcW w:w="647" w:type="pct"/>
            <w:tcBorders>
              <w:tl2br w:val="nil"/>
              <w:tr2bl w:val="nil"/>
            </w:tcBorders>
            <w:noWrap w:val="0"/>
            <w:vAlign w:val="center"/>
          </w:tcPr>
          <w:p w14:paraId="32442A49">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检测结果</w:t>
            </w:r>
          </w:p>
        </w:tc>
        <w:tc>
          <w:tcPr>
            <w:tcW w:w="446" w:type="pct"/>
            <w:tcBorders>
              <w:tl2br w:val="nil"/>
              <w:tr2bl w:val="nil"/>
            </w:tcBorders>
            <w:noWrap w:val="0"/>
            <w:vAlign w:val="center"/>
          </w:tcPr>
          <w:p w14:paraId="227AD3D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单位</w:t>
            </w:r>
          </w:p>
        </w:tc>
      </w:tr>
      <w:tr w14:paraId="74B3B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restart"/>
            <w:tcBorders>
              <w:tl2br w:val="nil"/>
              <w:tr2bl w:val="nil"/>
            </w:tcBorders>
            <w:noWrap w:val="0"/>
            <w:vAlign w:val="center"/>
          </w:tcPr>
          <w:p w14:paraId="0670E18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Q</w:t>
            </w:r>
            <w:r>
              <w:rPr>
                <w:rFonts w:hint="eastAsia" w:ascii="Times New Roman" w:hAnsi="Times New Roman" w:eastAsia="宋体" w:cs="Times New Roman"/>
                <w:color w:val="auto"/>
                <w:kern w:val="2"/>
                <w:sz w:val="21"/>
                <w:szCs w:val="24"/>
                <w:highlight w:val="none"/>
                <w:lang w:val="en-US" w:eastAsia="zh-CN" w:bidi="ar-SA"/>
              </w:rPr>
              <w:t>1船尾村</w:t>
            </w:r>
          </w:p>
          <w:p w14:paraId="18D7A1F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E：</w:t>
            </w:r>
            <w:r>
              <w:rPr>
                <w:rFonts w:hint="eastAsia" w:ascii="Times New Roman" w:hAnsi="Times New Roman" w:eastAsia="宋体" w:cs="Times New Roman"/>
                <w:color w:val="auto"/>
                <w:kern w:val="2"/>
                <w:sz w:val="21"/>
                <w:szCs w:val="24"/>
                <w:highlight w:val="none"/>
                <w:lang w:val="en-US" w:eastAsia="zh-CN" w:bidi="ar-SA"/>
              </w:rPr>
              <w:t>119.342746</w:t>
            </w:r>
            <w:r>
              <w:rPr>
                <w:rFonts w:hint="default" w:ascii="Times New Roman" w:hAnsi="Times New Roman" w:eastAsia="宋体" w:cs="Times New Roman"/>
                <w:color w:val="auto"/>
                <w:kern w:val="2"/>
                <w:sz w:val="21"/>
                <w:szCs w:val="24"/>
                <w:highlight w:val="none"/>
                <w:lang w:val="en-US" w:eastAsia="zh-CN" w:bidi="ar-SA"/>
              </w:rPr>
              <w:t>°</w:t>
            </w:r>
          </w:p>
          <w:p w14:paraId="0FAD542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w:t>
            </w:r>
            <w:r>
              <w:rPr>
                <w:rFonts w:hint="eastAsia" w:ascii="Times New Roman" w:hAnsi="Times New Roman" w:eastAsia="宋体" w:cs="Times New Roman"/>
                <w:color w:val="auto"/>
                <w:kern w:val="2"/>
                <w:sz w:val="21"/>
                <w:szCs w:val="24"/>
                <w:highlight w:val="none"/>
                <w:lang w:val="en-US" w:eastAsia="zh-CN" w:bidi="ar-SA"/>
              </w:rPr>
              <w:t>25.883213</w:t>
            </w:r>
            <w:r>
              <w:rPr>
                <w:rFonts w:hint="default" w:ascii="Times New Roman" w:hAnsi="Times New Roman" w:eastAsia="宋体" w:cs="Times New Roman"/>
                <w:color w:val="auto"/>
                <w:kern w:val="2"/>
                <w:sz w:val="21"/>
                <w:szCs w:val="24"/>
                <w:highlight w:val="none"/>
                <w:lang w:val="en-US" w:eastAsia="zh-CN" w:bidi="ar-SA"/>
              </w:rPr>
              <w:t>°</w:t>
            </w:r>
          </w:p>
        </w:tc>
        <w:tc>
          <w:tcPr>
            <w:tcW w:w="726" w:type="pct"/>
            <w:vMerge w:val="restart"/>
            <w:tcBorders>
              <w:tl2br w:val="nil"/>
              <w:tr2bl w:val="nil"/>
            </w:tcBorders>
            <w:noWrap w:val="0"/>
            <w:vAlign w:val="center"/>
          </w:tcPr>
          <w:p w14:paraId="7809D17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总悬浮颗粒物（</w:t>
            </w:r>
            <w:r>
              <w:rPr>
                <w:rFonts w:hint="default" w:ascii="Times New Roman" w:hAnsi="Times New Roman" w:eastAsia="宋体" w:cs="Times New Roman"/>
                <w:color w:val="auto"/>
                <w:kern w:val="2"/>
                <w:sz w:val="21"/>
                <w:szCs w:val="24"/>
                <w:highlight w:val="none"/>
                <w:lang w:val="en-US" w:eastAsia="zh-CN" w:bidi="ar-SA"/>
              </w:rPr>
              <w:t>TSP</w:t>
            </w:r>
            <w:r>
              <w:rPr>
                <w:rFonts w:hint="eastAsia" w:ascii="Times New Roman" w:hAnsi="Times New Roman" w:eastAsia="宋体" w:cs="Times New Roman"/>
                <w:color w:val="auto"/>
                <w:kern w:val="2"/>
                <w:sz w:val="21"/>
                <w:szCs w:val="24"/>
                <w:highlight w:val="none"/>
                <w:lang w:val="en-US" w:eastAsia="zh-CN" w:bidi="ar-SA"/>
              </w:rPr>
              <w:t>）</w:t>
            </w:r>
          </w:p>
        </w:tc>
        <w:tc>
          <w:tcPr>
            <w:tcW w:w="2231" w:type="pct"/>
            <w:tcBorders>
              <w:tl2br w:val="nil"/>
              <w:tr2bl w:val="nil"/>
            </w:tcBorders>
            <w:noWrap w:val="0"/>
            <w:vAlign w:val="center"/>
          </w:tcPr>
          <w:p w14:paraId="518A6A4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09月18</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~2026年09月19日</w:t>
            </w:r>
          </w:p>
        </w:tc>
        <w:tc>
          <w:tcPr>
            <w:tcW w:w="647" w:type="pct"/>
            <w:tcBorders>
              <w:tl2br w:val="nil"/>
              <w:tr2bl w:val="nil"/>
            </w:tcBorders>
            <w:noWrap w:val="0"/>
            <w:vAlign w:val="center"/>
          </w:tcPr>
          <w:p w14:paraId="2973E3B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65</w:t>
            </w:r>
          </w:p>
        </w:tc>
        <w:tc>
          <w:tcPr>
            <w:tcW w:w="446" w:type="pct"/>
            <w:tcBorders>
              <w:tl2br w:val="nil"/>
              <w:tr2bl w:val="nil"/>
            </w:tcBorders>
            <w:noWrap w:val="0"/>
            <w:vAlign w:val="center"/>
          </w:tcPr>
          <w:p w14:paraId="22ED9A4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181114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2C9770B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4755422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4E5A616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09月19</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~2026年09月20日</w:t>
            </w:r>
          </w:p>
        </w:tc>
        <w:tc>
          <w:tcPr>
            <w:tcW w:w="647" w:type="pct"/>
            <w:tcBorders>
              <w:tl2br w:val="nil"/>
              <w:tr2bl w:val="nil"/>
            </w:tcBorders>
            <w:noWrap w:val="0"/>
            <w:vAlign w:val="center"/>
          </w:tcPr>
          <w:p w14:paraId="27D194B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55</w:t>
            </w:r>
          </w:p>
        </w:tc>
        <w:tc>
          <w:tcPr>
            <w:tcW w:w="446" w:type="pct"/>
            <w:tcBorders>
              <w:tl2br w:val="nil"/>
              <w:tr2bl w:val="nil"/>
            </w:tcBorders>
            <w:noWrap w:val="0"/>
            <w:vAlign w:val="center"/>
          </w:tcPr>
          <w:p w14:paraId="7C5268F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3BC46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6F6A23E9">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3607B4F6">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2C99FC7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09月20</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~2026年09月21日</w:t>
            </w:r>
          </w:p>
        </w:tc>
        <w:tc>
          <w:tcPr>
            <w:tcW w:w="647" w:type="pct"/>
            <w:tcBorders>
              <w:tl2br w:val="nil"/>
              <w:tr2bl w:val="nil"/>
            </w:tcBorders>
            <w:noWrap w:val="0"/>
            <w:vAlign w:val="center"/>
          </w:tcPr>
          <w:p w14:paraId="1DFB028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60</w:t>
            </w:r>
          </w:p>
        </w:tc>
        <w:tc>
          <w:tcPr>
            <w:tcW w:w="446" w:type="pct"/>
            <w:tcBorders>
              <w:tl2br w:val="nil"/>
              <w:tr2bl w:val="nil"/>
            </w:tcBorders>
            <w:noWrap w:val="0"/>
            <w:vAlign w:val="center"/>
          </w:tcPr>
          <w:p w14:paraId="403141D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5692B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774EBA0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034367E2">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11EF8CD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09月21</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~2026年09月22日</w:t>
            </w:r>
          </w:p>
        </w:tc>
        <w:tc>
          <w:tcPr>
            <w:tcW w:w="647" w:type="pct"/>
            <w:tcBorders>
              <w:tl2br w:val="nil"/>
              <w:tr2bl w:val="nil"/>
            </w:tcBorders>
            <w:noWrap w:val="0"/>
            <w:vAlign w:val="center"/>
          </w:tcPr>
          <w:p w14:paraId="739D0D3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57</w:t>
            </w:r>
          </w:p>
        </w:tc>
        <w:tc>
          <w:tcPr>
            <w:tcW w:w="446" w:type="pct"/>
            <w:tcBorders>
              <w:tl2br w:val="nil"/>
              <w:tr2bl w:val="nil"/>
            </w:tcBorders>
            <w:noWrap w:val="0"/>
            <w:vAlign w:val="center"/>
          </w:tcPr>
          <w:p w14:paraId="0CB17D7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649EA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62C6EB4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2805E7F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36D6E20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09月22</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~2026年09月23日</w:t>
            </w:r>
          </w:p>
        </w:tc>
        <w:tc>
          <w:tcPr>
            <w:tcW w:w="647" w:type="pct"/>
            <w:tcBorders>
              <w:tl2br w:val="nil"/>
              <w:tr2bl w:val="nil"/>
            </w:tcBorders>
            <w:noWrap w:val="0"/>
            <w:vAlign w:val="center"/>
          </w:tcPr>
          <w:p w14:paraId="30BBF7D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63</w:t>
            </w:r>
          </w:p>
        </w:tc>
        <w:tc>
          <w:tcPr>
            <w:tcW w:w="446" w:type="pct"/>
            <w:tcBorders>
              <w:tl2br w:val="nil"/>
              <w:tr2bl w:val="nil"/>
            </w:tcBorders>
            <w:noWrap w:val="0"/>
            <w:vAlign w:val="center"/>
          </w:tcPr>
          <w:p w14:paraId="0EA9A6C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60ABF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5C1AEBD2">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30209F0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2F94DA1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09月23</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~2026年09月24日</w:t>
            </w:r>
          </w:p>
        </w:tc>
        <w:tc>
          <w:tcPr>
            <w:tcW w:w="647" w:type="pct"/>
            <w:tcBorders>
              <w:tl2br w:val="nil"/>
              <w:tr2bl w:val="nil"/>
            </w:tcBorders>
            <w:noWrap w:val="0"/>
            <w:vAlign w:val="center"/>
          </w:tcPr>
          <w:p w14:paraId="0BD7C04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61</w:t>
            </w:r>
          </w:p>
        </w:tc>
        <w:tc>
          <w:tcPr>
            <w:tcW w:w="446" w:type="pct"/>
            <w:tcBorders>
              <w:tl2br w:val="nil"/>
              <w:tr2bl w:val="nil"/>
            </w:tcBorders>
            <w:noWrap w:val="0"/>
            <w:vAlign w:val="center"/>
          </w:tcPr>
          <w:p w14:paraId="0056A48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r w14:paraId="03C00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7" w:type="pct"/>
            <w:vMerge w:val="continue"/>
            <w:tcBorders>
              <w:tl2br w:val="nil"/>
              <w:tr2bl w:val="nil"/>
            </w:tcBorders>
            <w:noWrap w:val="0"/>
            <w:vAlign w:val="center"/>
          </w:tcPr>
          <w:p w14:paraId="034E2313">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p>
        </w:tc>
        <w:tc>
          <w:tcPr>
            <w:tcW w:w="726" w:type="pct"/>
            <w:vMerge w:val="continue"/>
            <w:tcBorders>
              <w:tl2br w:val="nil"/>
              <w:tr2bl w:val="nil"/>
            </w:tcBorders>
            <w:noWrap w:val="0"/>
            <w:vAlign w:val="center"/>
          </w:tcPr>
          <w:p w14:paraId="12C3F6F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231" w:type="pct"/>
            <w:tcBorders>
              <w:tl2br w:val="nil"/>
              <w:tr2bl w:val="nil"/>
            </w:tcBorders>
            <w:noWrap w:val="0"/>
            <w:vAlign w:val="center"/>
          </w:tcPr>
          <w:p w14:paraId="5FE0228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w:t>
            </w:r>
            <w:r>
              <w:rPr>
                <w:rFonts w:hint="default" w:ascii="Times New Roman" w:hAnsi="Times New Roman" w:eastAsia="宋体" w:cs="Times New Roman"/>
                <w:color w:val="auto"/>
                <w:kern w:val="2"/>
                <w:sz w:val="21"/>
                <w:szCs w:val="24"/>
                <w:highlight w:val="none"/>
                <w:lang w:val="en-US" w:eastAsia="zh-CN" w:bidi="ar-SA"/>
              </w:rPr>
              <w:t>年</w:t>
            </w:r>
            <w:r>
              <w:rPr>
                <w:rFonts w:hint="eastAsia" w:ascii="Times New Roman" w:hAnsi="Times New Roman" w:eastAsia="宋体" w:cs="Times New Roman"/>
                <w:color w:val="auto"/>
                <w:kern w:val="2"/>
                <w:sz w:val="21"/>
                <w:szCs w:val="24"/>
                <w:highlight w:val="none"/>
                <w:lang w:val="en-US" w:eastAsia="zh-CN" w:bidi="ar-SA"/>
              </w:rPr>
              <w:t>09月24</w:t>
            </w:r>
            <w:r>
              <w:rPr>
                <w:rFonts w:hint="default" w:ascii="Times New Roman" w:hAnsi="Times New Roman" w:eastAsia="宋体" w:cs="Times New Roman"/>
                <w:color w:val="auto"/>
                <w:kern w:val="2"/>
                <w:sz w:val="21"/>
                <w:szCs w:val="24"/>
                <w:highlight w:val="none"/>
                <w:lang w:val="en-US" w:eastAsia="zh-CN" w:bidi="ar-SA"/>
              </w:rPr>
              <w:t>日</w:t>
            </w:r>
            <w:r>
              <w:rPr>
                <w:rFonts w:hint="eastAsia" w:ascii="Times New Roman" w:hAnsi="Times New Roman" w:eastAsia="宋体" w:cs="Times New Roman"/>
                <w:color w:val="auto"/>
                <w:kern w:val="2"/>
                <w:sz w:val="21"/>
                <w:szCs w:val="24"/>
                <w:highlight w:val="none"/>
                <w:lang w:val="en-US" w:eastAsia="zh-CN" w:bidi="ar-SA"/>
              </w:rPr>
              <w:t>~2026年09月25日</w:t>
            </w:r>
          </w:p>
        </w:tc>
        <w:tc>
          <w:tcPr>
            <w:tcW w:w="647" w:type="pct"/>
            <w:tcBorders>
              <w:tl2br w:val="nil"/>
              <w:tr2bl w:val="nil"/>
            </w:tcBorders>
            <w:noWrap w:val="0"/>
            <w:vAlign w:val="center"/>
          </w:tcPr>
          <w:p w14:paraId="05AEF0B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58</w:t>
            </w:r>
          </w:p>
        </w:tc>
        <w:tc>
          <w:tcPr>
            <w:tcW w:w="446" w:type="pct"/>
            <w:tcBorders>
              <w:tl2br w:val="nil"/>
              <w:tr2bl w:val="nil"/>
            </w:tcBorders>
            <w:noWrap w:val="0"/>
            <w:vAlign w:val="center"/>
          </w:tcPr>
          <w:p w14:paraId="50E1278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μg/m</w:t>
            </w:r>
            <w:r>
              <w:rPr>
                <w:rFonts w:hint="default" w:ascii="Times New Roman" w:hAnsi="Times New Roman" w:eastAsia="宋体" w:cs="Times New Roman"/>
                <w:color w:val="auto"/>
                <w:kern w:val="2"/>
                <w:sz w:val="21"/>
                <w:szCs w:val="24"/>
                <w:highlight w:val="none"/>
                <w:vertAlign w:val="superscript"/>
                <w:lang w:val="en-US" w:eastAsia="zh-CN" w:bidi="ar-SA"/>
              </w:rPr>
              <w:t>3</w:t>
            </w:r>
          </w:p>
        </w:tc>
      </w:tr>
    </w:tbl>
    <w:p w14:paraId="73EBBE0B">
      <w:pPr>
        <w:widowControl/>
        <w:adjustRightInd w:val="0"/>
        <w:snapToGrid w:val="0"/>
        <w:spacing w:line="240" w:lineRule="auto"/>
        <w:ind w:firstLine="0" w:firstLineChars="0"/>
        <w:jc w:val="both"/>
        <w:rPr>
          <w:rFonts w:ascii="Times New Roman" w:hAnsi="Times New Roman" w:eastAsia="黑体" w:cs="Times New Roman"/>
          <w:color w:val="auto"/>
          <w:kern w:val="0"/>
          <w:sz w:val="24"/>
          <w:szCs w:val="24"/>
          <w:highlight w:val="none"/>
          <w:lang w:val="en-US" w:eastAsia="zh-CN" w:bidi="ar-SA"/>
        </w:rPr>
      </w:pPr>
    </w:p>
    <w:p w14:paraId="4E656418">
      <w:pPr>
        <w:pStyle w:val="5"/>
        <w:numPr>
          <w:ilvl w:val="3"/>
          <w:numId w:val="0"/>
        </w:numPr>
        <w:bidi w:val="0"/>
        <w:ind w:leftChars="0"/>
        <w:rPr>
          <w:color w:val="auto"/>
          <w:highlight w:val="none"/>
          <w:lang w:val="en-US" w:eastAsia="zh-CN"/>
        </w:rPr>
      </w:pPr>
      <w:r>
        <w:rPr>
          <w:rFonts w:hint="eastAsia"/>
          <w:color w:val="auto"/>
          <w:highlight w:val="none"/>
          <w:lang w:val="en-US" w:eastAsia="zh-CN"/>
        </w:rPr>
        <w:t>4.2</w:t>
      </w:r>
      <w:r>
        <w:rPr>
          <w:color w:val="auto"/>
          <w:highlight w:val="none"/>
          <w:lang w:val="en-US" w:eastAsia="zh-CN"/>
        </w:rPr>
        <w:t>.3.3</w:t>
      </w:r>
      <w:r>
        <w:rPr>
          <w:rFonts w:hint="eastAsia"/>
          <w:color w:val="auto"/>
          <w:highlight w:val="none"/>
          <w:lang w:val="en-US" w:eastAsia="zh-CN"/>
        </w:rPr>
        <w:t xml:space="preserve"> </w:t>
      </w:r>
      <w:r>
        <w:rPr>
          <w:color w:val="auto"/>
          <w:highlight w:val="none"/>
          <w:lang w:val="en-US" w:eastAsia="zh-CN"/>
        </w:rPr>
        <w:t>评价结果</w:t>
      </w:r>
    </w:p>
    <w:bookmarkEnd w:id="443"/>
    <w:bookmarkEnd w:id="444"/>
    <w:bookmarkEnd w:id="445"/>
    <w:bookmarkEnd w:id="446"/>
    <w:bookmarkEnd w:id="447"/>
    <w:p w14:paraId="434F4FBC">
      <w:pPr>
        <w:widowControl/>
        <w:adjustRightInd w:val="0"/>
        <w:snapToGrid w:val="0"/>
        <w:spacing w:line="360" w:lineRule="auto"/>
        <w:ind w:firstLine="480" w:firstLineChars="200"/>
        <w:jc w:val="left"/>
        <w:rPr>
          <w:rFonts w:ascii="Times New Roman" w:hAnsi="Times New Roman" w:eastAsia="宋体" w:cs="Times New Roman"/>
          <w:color w:val="auto"/>
          <w:kern w:val="0"/>
          <w:sz w:val="24"/>
          <w:szCs w:val="32"/>
          <w:highlight w:val="none"/>
          <w:lang w:val="en-US" w:eastAsia="zh-CN" w:bidi="ar-SA"/>
        </w:rPr>
      </w:pPr>
      <w:bookmarkStart w:id="448" w:name="_Toc511644871"/>
      <w:bookmarkStart w:id="449" w:name="_Toc488336443"/>
      <w:bookmarkStart w:id="450" w:name="_Toc24739"/>
      <w:bookmarkStart w:id="451" w:name="_Toc73069565"/>
      <w:bookmarkStart w:id="452" w:name="_Toc500940467"/>
      <w:bookmarkStart w:id="453" w:name="_Toc377541067"/>
      <w:bookmarkStart w:id="454" w:name="_Toc504561232"/>
      <w:bookmarkStart w:id="455" w:name="_Toc482809208"/>
      <w:bookmarkStart w:id="456" w:name="_Toc330218354"/>
      <w:bookmarkStart w:id="457" w:name="_Toc64976655"/>
      <w:bookmarkStart w:id="458" w:name="_Toc288038019"/>
      <w:bookmarkStart w:id="459" w:name="_Toc142451104"/>
      <w:bookmarkStart w:id="460" w:name="_Toc529434212"/>
      <w:bookmarkStart w:id="461" w:name="_Toc248758545"/>
      <w:bookmarkStart w:id="462" w:name="_Toc523646227"/>
      <w:r>
        <w:rPr>
          <w:rFonts w:ascii="Times New Roman" w:hAnsi="Times New Roman" w:eastAsia="宋体" w:cs="Times New Roman"/>
          <w:color w:val="auto"/>
          <w:kern w:val="0"/>
          <w:sz w:val="24"/>
          <w:szCs w:val="32"/>
          <w:highlight w:val="none"/>
          <w:lang w:val="en-US" w:eastAsia="zh-CN" w:bidi="ar-SA"/>
        </w:rPr>
        <w:t>（1）评价标准</w:t>
      </w:r>
    </w:p>
    <w:p w14:paraId="266662D8">
      <w:pPr>
        <w:widowControl/>
        <w:adjustRightInd w:val="0"/>
        <w:snapToGrid w:val="0"/>
        <w:spacing w:line="360" w:lineRule="auto"/>
        <w:ind w:firstLine="480" w:firstLineChars="200"/>
        <w:jc w:val="left"/>
        <w:rPr>
          <w:rFonts w:hint="eastAsia" w:ascii="Times New Roman" w:hAnsi="Times New Roman" w:eastAsia="宋体" w:cs="Times New Roman"/>
          <w:color w:val="auto"/>
          <w:kern w:val="0"/>
          <w:sz w:val="24"/>
          <w:szCs w:val="32"/>
          <w:highlight w:val="none"/>
          <w:lang w:val="en-US" w:eastAsia="zh-CN" w:bidi="ar-SA"/>
        </w:rPr>
      </w:pPr>
      <w:bookmarkStart w:id="463" w:name="_Toc474854519"/>
      <w:r>
        <w:rPr>
          <w:rFonts w:hint="eastAsia" w:ascii="Times New Roman" w:hAnsi="Times New Roman" w:eastAsia="宋体" w:cs="Times New Roman"/>
          <w:color w:val="auto"/>
          <w:kern w:val="0"/>
          <w:sz w:val="24"/>
          <w:szCs w:val="32"/>
          <w:highlight w:val="none"/>
          <w:lang w:val="en-US" w:eastAsia="zh-CN" w:bidi="ar-SA"/>
        </w:rPr>
        <w:t>本项目所在地环境空气功能区划为二类区，区域环境空气质量执行《环境空气质量标准》（GB3095-2026）中的二级标准（即TSP≤0.3</w:t>
      </w:r>
      <w:r>
        <w:rPr>
          <w:rFonts w:ascii="Times New Roman" w:hAnsi="Times New Roman" w:eastAsia="宋体" w:cs="Times New Roman"/>
          <w:color w:val="auto"/>
          <w:kern w:val="0"/>
          <w:sz w:val="24"/>
          <w:szCs w:val="32"/>
          <w:highlight w:val="none"/>
          <w:lang w:val="en-US" w:eastAsia="zh-CN" w:bidi="ar-SA"/>
        </w:rPr>
        <w:t>mg/m</w:t>
      </w:r>
      <w:r>
        <w:rPr>
          <w:rFonts w:ascii="Times New Roman" w:hAnsi="Times New Roman" w:eastAsia="宋体" w:cs="Times New Roman"/>
          <w:color w:val="auto"/>
          <w:kern w:val="0"/>
          <w:sz w:val="24"/>
          <w:szCs w:val="32"/>
          <w:highlight w:val="none"/>
          <w:vertAlign w:val="superscript"/>
          <w:lang w:val="en-US" w:eastAsia="zh-CN" w:bidi="ar-SA"/>
        </w:rPr>
        <w:t>3</w:t>
      </w:r>
      <w:r>
        <w:rPr>
          <w:rFonts w:hint="eastAsia" w:ascii="Times New Roman" w:hAnsi="Times New Roman" w:eastAsia="宋体" w:cs="Times New Roman"/>
          <w:color w:val="auto"/>
          <w:kern w:val="0"/>
          <w:sz w:val="24"/>
          <w:szCs w:val="32"/>
          <w:highlight w:val="none"/>
          <w:lang w:val="en-US" w:eastAsia="zh-CN" w:bidi="ar-SA"/>
        </w:rPr>
        <w:t>）；非甲烷总烃参照执行《大气污染物综合排放标准详解》（国家环境保护局科技标准司）中表4-239中的非甲烷总烃的环境空气质量标准（即NMHC≤2</w:t>
      </w:r>
      <w:r>
        <w:rPr>
          <w:rFonts w:ascii="Times New Roman" w:hAnsi="Times New Roman" w:eastAsia="宋体" w:cs="Times New Roman"/>
          <w:color w:val="auto"/>
          <w:kern w:val="0"/>
          <w:sz w:val="24"/>
          <w:szCs w:val="32"/>
          <w:highlight w:val="none"/>
          <w:lang w:val="en-US" w:eastAsia="zh-CN" w:bidi="ar-SA"/>
        </w:rPr>
        <w:t>mg/m</w:t>
      </w:r>
      <w:r>
        <w:rPr>
          <w:rFonts w:ascii="Times New Roman" w:hAnsi="Times New Roman" w:eastAsia="宋体" w:cs="Times New Roman"/>
          <w:color w:val="auto"/>
          <w:kern w:val="0"/>
          <w:sz w:val="24"/>
          <w:szCs w:val="32"/>
          <w:highlight w:val="none"/>
          <w:vertAlign w:val="superscript"/>
          <w:lang w:val="en-US" w:eastAsia="zh-CN" w:bidi="ar-SA"/>
        </w:rPr>
        <w:t>3</w:t>
      </w:r>
      <w:r>
        <w:rPr>
          <w:rFonts w:hint="eastAsia" w:ascii="Times New Roman" w:hAnsi="Times New Roman" w:eastAsia="宋体" w:cs="Times New Roman"/>
          <w:color w:val="auto"/>
          <w:kern w:val="0"/>
          <w:sz w:val="24"/>
          <w:szCs w:val="32"/>
          <w:highlight w:val="none"/>
          <w:lang w:val="en-US" w:eastAsia="zh-CN" w:bidi="ar-SA"/>
        </w:rPr>
        <w:t>）。</w:t>
      </w:r>
    </w:p>
    <w:p w14:paraId="0D81E54A">
      <w:pPr>
        <w:widowControl/>
        <w:adjustRightInd w:val="0"/>
        <w:snapToGrid w:val="0"/>
        <w:spacing w:line="360" w:lineRule="auto"/>
        <w:ind w:firstLine="480" w:firstLineChars="200"/>
        <w:jc w:val="left"/>
        <w:rPr>
          <w:rFonts w:ascii="Times New Roman" w:hAnsi="Times New Roman" w:eastAsia="宋体" w:cs="Times New Roman"/>
          <w:color w:val="auto"/>
          <w:kern w:val="0"/>
          <w:sz w:val="24"/>
          <w:szCs w:val="32"/>
          <w:highlight w:val="none"/>
          <w:lang w:val="en-US" w:eastAsia="zh-CN" w:bidi="ar-SA"/>
        </w:rPr>
      </w:pPr>
      <w:r>
        <w:rPr>
          <w:rFonts w:ascii="Times New Roman" w:hAnsi="Times New Roman" w:eastAsia="宋体" w:cs="Times New Roman"/>
          <w:color w:val="auto"/>
          <w:kern w:val="0"/>
          <w:sz w:val="24"/>
          <w:szCs w:val="32"/>
          <w:highlight w:val="none"/>
          <w:lang w:val="en-US" w:eastAsia="zh-CN" w:bidi="ar-SA"/>
        </w:rPr>
        <w:t>（2）评价方法</w:t>
      </w:r>
      <w:bookmarkEnd w:id="463"/>
    </w:p>
    <w:p w14:paraId="699C94F6">
      <w:pPr>
        <w:ind w:firstLine="480"/>
        <w:rPr>
          <w:rFonts w:ascii="Times New Roman" w:hAnsi="Times New Roman" w:eastAsia="宋体" w:cs="Times New Roman"/>
          <w:color w:val="auto"/>
          <w:highlight w:val="none"/>
        </w:rPr>
      </w:pPr>
      <w:bookmarkStart w:id="464" w:name="_Toc474854521"/>
      <w:r>
        <w:rPr>
          <w:rFonts w:ascii="Times New Roman" w:hAnsi="Times New Roman" w:eastAsia="宋体" w:cs="Times New Roman"/>
          <w:color w:val="auto"/>
          <w:highlight w:val="none"/>
        </w:rPr>
        <w:t>评价区的环境空气质量现状评价采用</w:t>
      </w:r>
      <w:r>
        <w:rPr>
          <w:rFonts w:hint="eastAsia" w:cs="Times New Roman"/>
          <w:color w:val="auto"/>
          <w:highlight w:val="none"/>
          <w:lang w:eastAsia="zh-CN"/>
        </w:rPr>
        <w:t>“</w:t>
      </w:r>
      <w:r>
        <w:rPr>
          <w:rFonts w:ascii="Times New Roman" w:hAnsi="Times New Roman" w:eastAsia="宋体" w:cs="Times New Roman"/>
          <w:color w:val="auto"/>
          <w:highlight w:val="none"/>
        </w:rPr>
        <w:t>占标率</w:t>
      </w:r>
      <w:r>
        <w:rPr>
          <w:rFonts w:hint="eastAsia" w:cs="Times New Roman"/>
          <w:color w:val="auto"/>
          <w:highlight w:val="none"/>
          <w:lang w:eastAsia="zh-CN"/>
        </w:rPr>
        <w:t>”</w:t>
      </w:r>
      <w:r>
        <w:rPr>
          <w:rFonts w:ascii="Times New Roman" w:hAnsi="Times New Roman" w:eastAsia="宋体" w:cs="Times New Roman"/>
          <w:color w:val="auto"/>
          <w:highlight w:val="none"/>
        </w:rPr>
        <w:t>计算，即：</w:t>
      </w:r>
    </w:p>
    <w:p w14:paraId="64D48335">
      <w:pPr>
        <w:ind w:firstLine="480"/>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pict>
          <v:shape id="_x0000_s2050" o:spid="_x0000_s2050" o:spt="75" type="#_x0000_t75" style="position:absolute;left:0pt;margin-left:113.1pt;margin-top:1.15pt;height:33.75pt;width:83.25pt;mso-wrap-distance-bottom:0pt;mso-wrap-distance-left:9pt;mso-wrap-distance-right:9pt;mso-wrap-distance-top:0pt;z-index:251670528;mso-width-relative:page;mso-height-relative:page;" o:ole="t" filled="f" o:preferrelative="t" stroked="f" coordsize="21600,21600">
            <v:path/>
            <v:fill on="f" focussize="0,0"/>
            <v:stroke on="f"/>
            <v:imagedata r:id="rId61" o:title=""/>
            <o:lock v:ext="edit" aspectratio="t"/>
            <w10:wrap type="square"/>
          </v:shape>
          <o:OLEObject Type="Embed" ProgID="" ShapeID="_x0000_s2050" DrawAspect="Content" ObjectID="_1468075728" r:id="rId60">
            <o:LockedField>false</o:LockedField>
          </o:OLEObject>
        </w:pict>
      </w:r>
      <w:r>
        <w:rPr>
          <w:rFonts w:ascii="Times New Roman" w:hAnsi="Times New Roman" w:eastAsia="宋体" w:cs="Times New Roman"/>
          <w:color w:val="auto"/>
          <w:highlight w:val="none"/>
        </w:rPr>
        <w:t xml:space="preserve">　　　　　　    　　　        　　   </w:t>
      </w:r>
    </w:p>
    <w:p w14:paraId="4A60A22A">
      <w:pPr>
        <w:ind w:firstLine="480"/>
        <w:jc w:val="right"/>
        <w:rPr>
          <w:rFonts w:ascii="Times New Roman" w:hAnsi="Times New Roman" w:eastAsia="宋体" w:cs="Times New Roman"/>
          <w:color w:val="auto"/>
          <w:highlight w:val="none"/>
        </w:rPr>
      </w:pPr>
    </w:p>
    <w:p w14:paraId="26373315">
      <w:pPr>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式中，P</w:t>
      </w:r>
      <w:r>
        <w:rPr>
          <w:rFonts w:ascii="Times New Roman" w:hAnsi="Times New Roman" w:eastAsia="宋体" w:cs="Times New Roman"/>
          <w:color w:val="auto"/>
          <w:highlight w:val="none"/>
          <w:vertAlign w:val="subscript"/>
        </w:rPr>
        <w:t>i</w:t>
      </w:r>
      <w:r>
        <w:rPr>
          <w:rFonts w:ascii="Times New Roman" w:hAnsi="Times New Roman" w:eastAsia="宋体" w:cs="Times New Roman"/>
          <w:color w:val="auto"/>
          <w:highlight w:val="none"/>
        </w:rPr>
        <w:t>：第i种污染物的最大地面浓度占标率（%）；</w:t>
      </w:r>
    </w:p>
    <w:p w14:paraId="05A7B0C4">
      <w:pPr>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C</w:t>
      </w:r>
      <w:r>
        <w:rPr>
          <w:rFonts w:ascii="Times New Roman" w:hAnsi="Times New Roman" w:eastAsia="宋体" w:cs="Times New Roman"/>
          <w:color w:val="auto"/>
          <w:highlight w:val="none"/>
          <w:vertAlign w:val="subscript"/>
        </w:rPr>
        <w:t>i</w:t>
      </w:r>
      <w:r>
        <w:rPr>
          <w:rFonts w:ascii="Times New Roman" w:hAnsi="Times New Roman" w:eastAsia="宋体" w:cs="Times New Roman"/>
          <w:color w:val="auto"/>
          <w:highlight w:val="none"/>
        </w:rPr>
        <w:t>：第i个污染物的最大地面浓度（mg/m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w:t>
      </w:r>
    </w:p>
    <w:p w14:paraId="4157CA5B">
      <w:pPr>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C</w:t>
      </w:r>
      <w:r>
        <w:rPr>
          <w:rFonts w:ascii="Times New Roman" w:hAnsi="Times New Roman" w:eastAsia="宋体" w:cs="Times New Roman"/>
          <w:color w:val="auto"/>
          <w:highlight w:val="none"/>
          <w:vertAlign w:val="subscript"/>
        </w:rPr>
        <w:t>0i</w:t>
      </w:r>
      <w:r>
        <w:rPr>
          <w:rFonts w:ascii="Times New Roman" w:hAnsi="Times New Roman" w:eastAsia="宋体" w:cs="Times New Roman"/>
          <w:color w:val="auto"/>
          <w:highlight w:val="none"/>
        </w:rPr>
        <w:t>：第i个污染物的环境空气质量标准（mg/m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w:t>
      </w:r>
    </w:p>
    <w:bookmarkEnd w:id="464"/>
    <w:p w14:paraId="117B74D9">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（3）评价结果</w:t>
      </w:r>
    </w:p>
    <w:p w14:paraId="3AB5545C">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环境空气现状评价结果见表</w:t>
      </w:r>
      <w:r>
        <w:rPr>
          <w:rFonts w:hint="eastAsia" w:ascii="Times New Roman" w:hAnsi="Times New Roman" w:eastAsia="宋体" w:cs="Times New Roman"/>
          <w:color w:val="auto"/>
          <w:sz w:val="24"/>
          <w:szCs w:val="22"/>
          <w:highlight w:val="none"/>
          <w:lang w:val="en-US" w:eastAsia="zh-CN" w:bidi="ar-SA"/>
        </w:rPr>
        <w:t>4.2</w:t>
      </w:r>
      <w:r>
        <w:rPr>
          <w:rFonts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4</w:t>
      </w:r>
      <w:r>
        <w:rPr>
          <w:rFonts w:ascii="Times New Roman" w:hAnsi="Times New Roman" w:eastAsia="宋体" w:cs="Times New Roman"/>
          <w:color w:val="auto"/>
          <w:sz w:val="24"/>
          <w:szCs w:val="22"/>
          <w:highlight w:val="none"/>
          <w:lang w:val="en-US" w:eastAsia="zh-CN" w:bidi="ar-SA"/>
        </w:rPr>
        <w:t>。</w:t>
      </w:r>
    </w:p>
    <w:p w14:paraId="6F28703D">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表4.2-14  环境空气质量评价结果一览表</w:t>
      </w:r>
    </w:p>
    <w:tbl>
      <w:tblPr>
        <w:tblStyle w:val="80"/>
        <w:tblW w:w="5014"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1331"/>
        <w:gridCol w:w="1072"/>
        <w:gridCol w:w="1393"/>
        <w:gridCol w:w="1319"/>
        <w:gridCol w:w="1292"/>
        <w:gridCol w:w="1040"/>
      </w:tblGrid>
      <w:tr w14:paraId="3C04B4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restart"/>
            <w:tcBorders>
              <w:tl2br w:val="nil"/>
              <w:tr2bl w:val="nil"/>
            </w:tcBorders>
            <w:noWrap w:val="0"/>
            <w:vAlign w:val="center"/>
          </w:tcPr>
          <w:p w14:paraId="38781E8C">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监测点位</w:t>
            </w:r>
          </w:p>
        </w:tc>
        <w:tc>
          <w:tcPr>
            <w:tcW w:w="2403" w:type="dxa"/>
            <w:gridSpan w:val="2"/>
            <w:vMerge w:val="restart"/>
            <w:tcBorders>
              <w:tl2br w:val="nil"/>
              <w:tr2bl w:val="nil"/>
            </w:tcBorders>
            <w:noWrap w:val="0"/>
            <w:vAlign w:val="center"/>
          </w:tcPr>
          <w:p w14:paraId="72194C5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监测项目</w:t>
            </w:r>
          </w:p>
        </w:tc>
        <w:tc>
          <w:tcPr>
            <w:tcW w:w="1393" w:type="dxa"/>
            <w:vMerge w:val="restart"/>
            <w:tcBorders>
              <w:tl2br w:val="nil"/>
              <w:tr2bl w:val="nil"/>
            </w:tcBorders>
            <w:noWrap w:val="0"/>
            <w:vAlign w:val="center"/>
          </w:tcPr>
          <w:p w14:paraId="315D19B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最大浓度值（</w:t>
            </w:r>
            <w:r>
              <w:rPr>
                <w:rFonts w:hint="default" w:ascii="Times New Roman" w:hAnsi="Times New Roman" w:eastAsia="宋体" w:cs="Times New Roman"/>
                <w:color w:val="auto"/>
                <w:kern w:val="2"/>
                <w:sz w:val="21"/>
                <w:szCs w:val="24"/>
                <w:highlight w:val="none"/>
                <w:lang w:val="en-US" w:eastAsia="zh-CN" w:bidi="ar-SA"/>
              </w:rPr>
              <w:t>mg/m³</w:t>
            </w:r>
            <w:r>
              <w:rPr>
                <w:rFonts w:hint="eastAsia" w:ascii="Times New Roman" w:hAnsi="Times New Roman" w:eastAsia="宋体" w:cs="Times New Roman"/>
                <w:color w:val="auto"/>
                <w:kern w:val="2"/>
                <w:sz w:val="21"/>
                <w:szCs w:val="24"/>
                <w:highlight w:val="none"/>
                <w:lang w:val="en-US" w:eastAsia="zh-CN" w:bidi="ar-SA"/>
              </w:rPr>
              <w:t>）</w:t>
            </w:r>
          </w:p>
        </w:tc>
        <w:tc>
          <w:tcPr>
            <w:tcW w:w="1319" w:type="dxa"/>
            <w:vMerge w:val="restart"/>
            <w:tcBorders>
              <w:tl2br w:val="nil"/>
              <w:tr2bl w:val="nil"/>
            </w:tcBorders>
            <w:noWrap w:val="0"/>
            <w:vAlign w:val="center"/>
          </w:tcPr>
          <w:p w14:paraId="619A41B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标准限值（</w:t>
            </w:r>
            <w:r>
              <w:rPr>
                <w:rFonts w:hint="default" w:ascii="Times New Roman" w:hAnsi="Times New Roman" w:eastAsia="宋体" w:cs="Times New Roman"/>
                <w:color w:val="auto"/>
                <w:kern w:val="2"/>
                <w:sz w:val="21"/>
                <w:szCs w:val="24"/>
                <w:highlight w:val="none"/>
                <w:lang w:val="en-US" w:eastAsia="zh-CN" w:bidi="ar-SA"/>
              </w:rPr>
              <w:t>mg/Nm³</w:t>
            </w:r>
            <w:r>
              <w:rPr>
                <w:rFonts w:hint="eastAsia" w:ascii="Times New Roman" w:hAnsi="Times New Roman" w:eastAsia="宋体" w:cs="Times New Roman"/>
                <w:color w:val="auto"/>
                <w:kern w:val="2"/>
                <w:sz w:val="21"/>
                <w:szCs w:val="24"/>
                <w:highlight w:val="none"/>
                <w:lang w:val="en-US" w:eastAsia="zh-CN" w:bidi="ar-SA"/>
              </w:rPr>
              <w:t>）</w:t>
            </w:r>
          </w:p>
        </w:tc>
        <w:tc>
          <w:tcPr>
            <w:tcW w:w="2332" w:type="dxa"/>
            <w:gridSpan w:val="2"/>
            <w:tcBorders>
              <w:tl2br w:val="nil"/>
              <w:tr2bl w:val="nil"/>
            </w:tcBorders>
            <w:noWrap w:val="0"/>
            <w:vAlign w:val="center"/>
          </w:tcPr>
          <w:p w14:paraId="208D7C7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评价结果</w:t>
            </w:r>
          </w:p>
        </w:tc>
      </w:tr>
      <w:tr w14:paraId="366F7B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702AF26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2403" w:type="dxa"/>
            <w:gridSpan w:val="2"/>
            <w:vMerge w:val="continue"/>
            <w:tcBorders>
              <w:tl2br w:val="nil"/>
              <w:tr2bl w:val="nil"/>
            </w:tcBorders>
            <w:noWrap w:val="0"/>
            <w:vAlign w:val="center"/>
          </w:tcPr>
          <w:p w14:paraId="6C0F2457">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93" w:type="dxa"/>
            <w:vMerge w:val="continue"/>
            <w:tcBorders>
              <w:tl2br w:val="nil"/>
              <w:tr2bl w:val="nil"/>
            </w:tcBorders>
            <w:noWrap w:val="0"/>
            <w:vAlign w:val="center"/>
          </w:tcPr>
          <w:p w14:paraId="7E0CE1A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19" w:type="dxa"/>
            <w:vMerge w:val="continue"/>
            <w:tcBorders>
              <w:tl2br w:val="nil"/>
              <w:tr2bl w:val="nil"/>
            </w:tcBorders>
            <w:noWrap w:val="0"/>
            <w:vAlign w:val="center"/>
          </w:tcPr>
          <w:p w14:paraId="24EE3BE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292" w:type="dxa"/>
            <w:tcBorders>
              <w:tl2br w:val="nil"/>
              <w:tr2bl w:val="nil"/>
            </w:tcBorders>
            <w:noWrap w:val="0"/>
            <w:vAlign w:val="center"/>
          </w:tcPr>
          <w:p w14:paraId="1229EA5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最大浓度值占标率（</w:t>
            </w:r>
            <w:r>
              <w:rPr>
                <w:rFonts w:hint="default"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w:t>
            </w:r>
          </w:p>
        </w:tc>
        <w:tc>
          <w:tcPr>
            <w:tcW w:w="1040" w:type="dxa"/>
            <w:tcBorders>
              <w:tl2br w:val="nil"/>
              <w:tr2bl w:val="nil"/>
            </w:tcBorders>
            <w:noWrap w:val="0"/>
            <w:vAlign w:val="center"/>
          </w:tcPr>
          <w:p w14:paraId="2A2DB49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超标率</w:t>
            </w:r>
          </w:p>
        </w:tc>
      </w:tr>
      <w:tr w14:paraId="1C7DC6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restart"/>
            <w:tcBorders>
              <w:tl2br w:val="nil"/>
              <w:tr2bl w:val="nil"/>
            </w:tcBorders>
            <w:noWrap w:val="0"/>
            <w:vAlign w:val="center"/>
          </w:tcPr>
          <w:p w14:paraId="3186DAD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船尾村Q1</w:t>
            </w:r>
          </w:p>
        </w:tc>
        <w:tc>
          <w:tcPr>
            <w:tcW w:w="1331" w:type="dxa"/>
            <w:tcBorders>
              <w:tl2br w:val="nil"/>
              <w:tr2bl w:val="nil"/>
            </w:tcBorders>
            <w:noWrap w:val="0"/>
            <w:vAlign w:val="center"/>
          </w:tcPr>
          <w:p w14:paraId="1F1F7E2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TSP</w:t>
            </w:r>
          </w:p>
        </w:tc>
        <w:tc>
          <w:tcPr>
            <w:tcW w:w="1072" w:type="dxa"/>
            <w:tcBorders>
              <w:tl2br w:val="nil"/>
              <w:tr2bl w:val="nil"/>
            </w:tcBorders>
            <w:noWrap w:val="0"/>
            <w:vAlign w:val="center"/>
          </w:tcPr>
          <w:p w14:paraId="5873799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24h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1B7E1D9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0.065</w:t>
            </w:r>
          </w:p>
        </w:tc>
        <w:tc>
          <w:tcPr>
            <w:tcW w:w="1319" w:type="dxa"/>
            <w:tcBorders>
              <w:tl2br w:val="nil"/>
              <w:tr2bl w:val="nil"/>
            </w:tcBorders>
            <w:noWrap w:val="0"/>
            <w:vAlign w:val="center"/>
          </w:tcPr>
          <w:p w14:paraId="205D307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0.3</w:t>
            </w:r>
          </w:p>
        </w:tc>
        <w:tc>
          <w:tcPr>
            <w:tcW w:w="1292" w:type="dxa"/>
            <w:tcBorders>
              <w:tl2br w:val="nil"/>
              <w:tr2bl w:val="nil"/>
            </w:tcBorders>
            <w:noWrap w:val="0"/>
            <w:vAlign w:val="center"/>
          </w:tcPr>
          <w:p w14:paraId="3B4D72C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21.7</w:t>
            </w:r>
          </w:p>
        </w:tc>
        <w:tc>
          <w:tcPr>
            <w:tcW w:w="1040" w:type="dxa"/>
            <w:tcBorders>
              <w:tl2br w:val="nil"/>
              <w:tr2bl w:val="nil"/>
            </w:tcBorders>
            <w:noWrap w:val="0"/>
            <w:vAlign w:val="center"/>
          </w:tcPr>
          <w:p w14:paraId="3185C42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w:t>
            </w:r>
          </w:p>
        </w:tc>
      </w:tr>
      <w:tr w14:paraId="102563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5CDC6F70">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31" w:type="dxa"/>
            <w:tcBorders>
              <w:tl2br w:val="nil"/>
              <w:tr2bl w:val="nil"/>
            </w:tcBorders>
            <w:noWrap w:val="0"/>
            <w:vAlign w:val="center"/>
          </w:tcPr>
          <w:p w14:paraId="7BB80CC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非甲烷总烃</w:t>
            </w:r>
          </w:p>
        </w:tc>
        <w:tc>
          <w:tcPr>
            <w:tcW w:w="1072" w:type="dxa"/>
            <w:tcBorders>
              <w:tl2br w:val="nil"/>
              <w:tr2bl w:val="nil"/>
            </w:tcBorders>
            <w:noWrap w:val="0"/>
            <w:vAlign w:val="center"/>
          </w:tcPr>
          <w:p w14:paraId="28A5BE9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67877B4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0.38</w:t>
            </w:r>
          </w:p>
        </w:tc>
        <w:tc>
          <w:tcPr>
            <w:tcW w:w="1319" w:type="dxa"/>
            <w:tcBorders>
              <w:tl2br w:val="nil"/>
              <w:tr2bl w:val="nil"/>
            </w:tcBorders>
            <w:noWrap w:val="0"/>
            <w:vAlign w:val="center"/>
          </w:tcPr>
          <w:p w14:paraId="1290FE8E">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p>
        </w:tc>
        <w:tc>
          <w:tcPr>
            <w:tcW w:w="1292" w:type="dxa"/>
            <w:tcBorders>
              <w:tl2br w:val="nil"/>
              <w:tr2bl w:val="nil"/>
            </w:tcBorders>
            <w:noWrap w:val="0"/>
            <w:vAlign w:val="center"/>
          </w:tcPr>
          <w:p w14:paraId="7C44A9F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19.0</w:t>
            </w:r>
          </w:p>
        </w:tc>
        <w:tc>
          <w:tcPr>
            <w:tcW w:w="1040" w:type="dxa"/>
            <w:tcBorders>
              <w:tl2br w:val="nil"/>
              <w:tr2bl w:val="nil"/>
            </w:tcBorders>
            <w:noWrap w:val="0"/>
            <w:vAlign w:val="center"/>
          </w:tcPr>
          <w:p w14:paraId="15E8696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w:t>
            </w:r>
          </w:p>
        </w:tc>
      </w:tr>
      <w:tr w14:paraId="3B7A06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2D86D135">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31" w:type="dxa"/>
            <w:tcBorders>
              <w:tl2br w:val="nil"/>
              <w:tr2bl w:val="nil"/>
            </w:tcBorders>
            <w:noWrap w:val="0"/>
            <w:vAlign w:val="center"/>
          </w:tcPr>
          <w:p w14:paraId="432067D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二甲苯</w:t>
            </w:r>
          </w:p>
        </w:tc>
        <w:tc>
          <w:tcPr>
            <w:tcW w:w="1072" w:type="dxa"/>
            <w:tcBorders>
              <w:tl2br w:val="nil"/>
              <w:tr2bl w:val="nil"/>
            </w:tcBorders>
            <w:noWrap w:val="0"/>
            <w:vAlign w:val="center"/>
          </w:tcPr>
          <w:p w14:paraId="5459ED7E">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1h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22BDF32C">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＜0.0015</w:t>
            </w:r>
          </w:p>
        </w:tc>
        <w:tc>
          <w:tcPr>
            <w:tcW w:w="1319" w:type="dxa"/>
            <w:tcBorders>
              <w:tl2br w:val="nil"/>
              <w:tr2bl w:val="nil"/>
            </w:tcBorders>
            <w:noWrap w:val="0"/>
            <w:vAlign w:val="center"/>
          </w:tcPr>
          <w:p w14:paraId="44617F7F">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0.2</w:t>
            </w:r>
          </w:p>
        </w:tc>
        <w:tc>
          <w:tcPr>
            <w:tcW w:w="1292" w:type="dxa"/>
            <w:tcBorders>
              <w:tl2br w:val="nil"/>
              <w:tr2bl w:val="nil"/>
            </w:tcBorders>
            <w:noWrap w:val="0"/>
            <w:vAlign w:val="center"/>
          </w:tcPr>
          <w:p w14:paraId="29249E06">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0.4</w:t>
            </w:r>
          </w:p>
        </w:tc>
        <w:tc>
          <w:tcPr>
            <w:tcW w:w="1040" w:type="dxa"/>
            <w:tcBorders>
              <w:tl2br w:val="nil"/>
              <w:tr2bl w:val="nil"/>
            </w:tcBorders>
            <w:noWrap w:val="0"/>
            <w:vAlign w:val="center"/>
          </w:tcPr>
          <w:p w14:paraId="269C0ED8">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w:t>
            </w:r>
          </w:p>
        </w:tc>
      </w:tr>
      <w:tr w14:paraId="01D105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3A4C99D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31" w:type="dxa"/>
            <w:tcBorders>
              <w:tl2br w:val="nil"/>
              <w:tr2bl w:val="nil"/>
            </w:tcBorders>
            <w:noWrap w:val="0"/>
            <w:vAlign w:val="center"/>
          </w:tcPr>
          <w:p w14:paraId="1198573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臭气浓度</w:t>
            </w:r>
          </w:p>
        </w:tc>
        <w:tc>
          <w:tcPr>
            <w:tcW w:w="1072" w:type="dxa"/>
            <w:tcBorders>
              <w:tl2br w:val="nil"/>
              <w:tr2bl w:val="nil"/>
            </w:tcBorders>
            <w:noWrap w:val="0"/>
            <w:vAlign w:val="center"/>
          </w:tcPr>
          <w:p w14:paraId="44E40FCA">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r>
              <w:rPr>
                <w:rFonts w:hint="default" w:ascii="Times New Roman" w:hAnsi="Times New Roman" w:eastAsia="宋体" w:cs="Times New Roman"/>
                <w:color w:val="auto"/>
                <w:kern w:val="2"/>
                <w:sz w:val="21"/>
                <w:szCs w:val="24"/>
                <w:highlight w:val="none"/>
                <w:lang w:val="en-US" w:eastAsia="zh-CN" w:bidi="ar-SA"/>
              </w:rPr>
              <w:t>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38DFD0A8">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＜10（无量纲）</w:t>
            </w:r>
          </w:p>
        </w:tc>
        <w:tc>
          <w:tcPr>
            <w:tcW w:w="1319" w:type="dxa"/>
            <w:tcBorders>
              <w:tl2br w:val="nil"/>
              <w:tr2bl w:val="nil"/>
            </w:tcBorders>
            <w:noWrap w:val="0"/>
            <w:vAlign w:val="center"/>
          </w:tcPr>
          <w:p w14:paraId="2E03BC07">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292" w:type="dxa"/>
            <w:tcBorders>
              <w:tl2br w:val="nil"/>
              <w:tr2bl w:val="nil"/>
            </w:tcBorders>
            <w:noWrap w:val="0"/>
            <w:vAlign w:val="center"/>
          </w:tcPr>
          <w:p w14:paraId="42E3DB81">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040" w:type="dxa"/>
            <w:tcBorders>
              <w:tl2br w:val="nil"/>
              <w:tr2bl w:val="nil"/>
            </w:tcBorders>
            <w:noWrap w:val="0"/>
            <w:vAlign w:val="center"/>
          </w:tcPr>
          <w:p w14:paraId="47BE66DD">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r>
      <w:tr w14:paraId="1D716F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6854021B">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31" w:type="dxa"/>
            <w:tcBorders>
              <w:tl2br w:val="nil"/>
              <w:tr2bl w:val="nil"/>
            </w:tcBorders>
            <w:noWrap w:val="0"/>
            <w:vAlign w:val="center"/>
          </w:tcPr>
          <w:p w14:paraId="1424E904">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挥发性有机物</w:t>
            </w:r>
            <w:r>
              <w:rPr>
                <w:rFonts w:hint="default" w:ascii="Times New Roman" w:hAnsi="Times New Roman" w:eastAsia="宋体" w:cs="Times New Roman"/>
                <w:color w:val="auto"/>
                <w:kern w:val="2"/>
                <w:sz w:val="21"/>
                <w:szCs w:val="21"/>
                <w:highlight w:val="none"/>
                <w:lang w:val="en-US" w:eastAsia="zh-CN" w:bidi="ar-SA"/>
              </w:rPr>
              <w:t>①</w:t>
            </w:r>
          </w:p>
        </w:tc>
        <w:tc>
          <w:tcPr>
            <w:tcW w:w="1072" w:type="dxa"/>
            <w:tcBorders>
              <w:tl2br w:val="nil"/>
              <w:tr2bl w:val="nil"/>
            </w:tcBorders>
            <w:noWrap w:val="0"/>
            <w:vAlign w:val="center"/>
          </w:tcPr>
          <w:p w14:paraId="688EE5E5">
            <w:pPr>
              <w:widowControl w:val="0"/>
              <w:adjustRightInd w:val="0"/>
              <w:snapToGrid w:val="0"/>
              <w:spacing w:line="240" w:lineRule="auto"/>
              <w:ind w:firstLine="0" w:firstLineChars="0"/>
              <w:jc w:val="center"/>
              <w:rPr>
                <w:rFonts w:hint="eastAsia"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r>
              <w:rPr>
                <w:rFonts w:hint="default" w:ascii="Times New Roman" w:hAnsi="Times New Roman" w:eastAsia="宋体" w:cs="Times New Roman"/>
                <w:color w:val="auto"/>
                <w:kern w:val="2"/>
                <w:sz w:val="21"/>
                <w:szCs w:val="24"/>
                <w:highlight w:val="none"/>
                <w:lang w:val="en-US" w:eastAsia="zh-CN" w:bidi="ar-SA"/>
              </w:rPr>
              <w:t>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3D025165">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＜3×10</w:t>
            </w:r>
            <w:r>
              <w:rPr>
                <w:rFonts w:hint="eastAsia" w:cs="Times New Roman"/>
                <w:color w:val="auto"/>
                <w:kern w:val="2"/>
                <w:sz w:val="21"/>
                <w:szCs w:val="24"/>
                <w:highlight w:val="none"/>
                <w:vertAlign w:val="superscript"/>
                <w:lang w:val="en-US" w:eastAsia="zh-CN" w:bidi="ar-SA"/>
              </w:rPr>
              <w:t>-4</w:t>
            </w:r>
          </w:p>
        </w:tc>
        <w:tc>
          <w:tcPr>
            <w:tcW w:w="1319" w:type="dxa"/>
            <w:tcBorders>
              <w:tl2br w:val="nil"/>
              <w:tr2bl w:val="nil"/>
            </w:tcBorders>
            <w:noWrap w:val="0"/>
            <w:vAlign w:val="center"/>
          </w:tcPr>
          <w:p w14:paraId="6188447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1.2</w:t>
            </w:r>
          </w:p>
        </w:tc>
        <w:tc>
          <w:tcPr>
            <w:tcW w:w="1292" w:type="dxa"/>
            <w:tcBorders>
              <w:tl2br w:val="nil"/>
              <w:tr2bl w:val="nil"/>
            </w:tcBorders>
            <w:noWrap w:val="0"/>
            <w:vAlign w:val="center"/>
          </w:tcPr>
          <w:p w14:paraId="4F1BD09B">
            <w:pPr>
              <w:widowControl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＜0.1</w:t>
            </w:r>
          </w:p>
        </w:tc>
        <w:tc>
          <w:tcPr>
            <w:tcW w:w="1040" w:type="dxa"/>
            <w:tcBorders>
              <w:tl2br w:val="nil"/>
              <w:tr2bl w:val="nil"/>
            </w:tcBorders>
            <w:noWrap w:val="0"/>
            <w:vAlign w:val="center"/>
          </w:tcPr>
          <w:p w14:paraId="4DD373D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w:t>
            </w:r>
          </w:p>
        </w:tc>
      </w:tr>
      <w:tr w14:paraId="590917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99" w:type="dxa"/>
            <w:vMerge w:val="continue"/>
            <w:tcBorders>
              <w:tl2br w:val="nil"/>
              <w:tr2bl w:val="nil"/>
            </w:tcBorders>
            <w:noWrap w:val="0"/>
            <w:vAlign w:val="center"/>
          </w:tcPr>
          <w:p w14:paraId="372F2B6D">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p>
        </w:tc>
        <w:tc>
          <w:tcPr>
            <w:tcW w:w="1331" w:type="dxa"/>
            <w:tcBorders>
              <w:tl2br w:val="nil"/>
              <w:tr2bl w:val="nil"/>
            </w:tcBorders>
            <w:noWrap w:val="0"/>
            <w:vAlign w:val="center"/>
          </w:tcPr>
          <w:p w14:paraId="0799A2D3">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乙酸丁酯</w:t>
            </w:r>
          </w:p>
        </w:tc>
        <w:tc>
          <w:tcPr>
            <w:tcW w:w="1072" w:type="dxa"/>
            <w:tcBorders>
              <w:tl2br w:val="nil"/>
              <w:tr2bl w:val="nil"/>
            </w:tcBorders>
            <w:noWrap w:val="0"/>
            <w:vAlign w:val="center"/>
          </w:tcPr>
          <w:p w14:paraId="3687161A">
            <w:pPr>
              <w:widowControl w:val="0"/>
              <w:adjustRightInd w:val="0"/>
              <w:snapToGrid w:val="0"/>
              <w:spacing w:line="240" w:lineRule="auto"/>
              <w:ind w:firstLine="0" w:firstLineChars="0"/>
              <w:jc w:val="center"/>
              <w:rPr>
                <w:rFonts w:hint="eastAsia"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r>
              <w:rPr>
                <w:rFonts w:hint="default" w:ascii="Times New Roman" w:hAnsi="Times New Roman" w:eastAsia="宋体" w:cs="Times New Roman"/>
                <w:color w:val="auto"/>
                <w:kern w:val="2"/>
                <w:sz w:val="21"/>
                <w:szCs w:val="24"/>
                <w:highlight w:val="none"/>
                <w:lang w:val="en-US" w:eastAsia="zh-CN" w:bidi="ar-SA"/>
              </w:rPr>
              <w:t>h</w:t>
            </w:r>
            <w:r>
              <w:rPr>
                <w:rFonts w:hint="eastAsia" w:ascii="Times New Roman" w:hAnsi="Times New Roman" w:eastAsia="宋体" w:cs="Times New Roman"/>
                <w:color w:val="auto"/>
                <w:kern w:val="2"/>
                <w:sz w:val="21"/>
                <w:szCs w:val="24"/>
                <w:highlight w:val="none"/>
                <w:lang w:val="en-US" w:eastAsia="zh-CN" w:bidi="ar-SA"/>
              </w:rPr>
              <w:t>均值</w:t>
            </w:r>
          </w:p>
        </w:tc>
        <w:tc>
          <w:tcPr>
            <w:tcW w:w="1393" w:type="dxa"/>
            <w:tcBorders>
              <w:tl2br w:val="nil"/>
              <w:tr2bl w:val="nil"/>
            </w:tcBorders>
            <w:noWrap w:val="0"/>
            <w:vAlign w:val="center"/>
          </w:tcPr>
          <w:p w14:paraId="4C78FA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＜0.005</w:t>
            </w:r>
          </w:p>
        </w:tc>
        <w:tc>
          <w:tcPr>
            <w:tcW w:w="1319" w:type="dxa"/>
            <w:tcBorders>
              <w:tl2br w:val="nil"/>
              <w:tr2bl w:val="nil"/>
            </w:tcBorders>
            <w:noWrap w:val="0"/>
            <w:vAlign w:val="center"/>
          </w:tcPr>
          <w:p w14:paraId="0EBABF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292" w:type="dxa"/>
            <w:tcBorders>
              <w:tl2br w:val="nil"/>
              <w:tr2bl w:val="nil"/>
            </w:tcBorders>
            <w:noWrap w:val="0"/>
            <w:vAlign w:val="center"/>
          </w:tcPr>
          <w:p w14:paraId="61E811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c>
          <w:tcPr>
            <w:tcW w:w="1040" w:type="dxa"/>
            <w:tcBorders>
              <w:tl2br w:val="nil"/>
              <w:tr2bl w:val="nil"/>
            </w:tcBorders>
            <w:noWrap w:val="0"/>
            <w:vAlign w:val="center"/>
          </w:tcPr>
          <w:p w14:paraId="347F38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p>
        </w:tc>
      </w:tr>
      <w:tr w14:paraId="13C6A0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546" w:type="dxa"/>
            <w:gridSpan w:val="7"/>
            <w:tcBorders>
              <w:tl2br w:val="nil"/>
              <w:tr2bl w:val="nil"/>
            </w:tcBorders>
            <w:noWrap w:val="0"/>
            <w:vAlign w:val="center"/>
          </w:tcPr>
          <w:p w14:paraId="4AA41117">
            <w:pPr>
              <w:widowControl w:val="0"/>
              <w:adjustRightInd w:val="0"/>
              <w:snapToGrid w:val="0"/>
              <w:spacing w:line="240" w:lineRule="auto"/>
              <w:ind w:firstLine="0" w:firstLineChars="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注：</w:t>
            </w:r>
            <w:r>
              <w:rPr>
                <w:rFonts w:hint="default" w:ascii="Times New Roman" w:hAnsi="Times New Roman" w:eastAsia="微软雅黑" w:cs="Times New Roman"/>
                <w:color w:val="auto"/>
                <w:kern w:val="2"/>
                <w:sz w:val="21"/>
                <w:szCs w:val="24"/>
                <w:highlight w:val="none"/>
                <w:lang w:val="en-US" w:eastAsia="zh-CN" w:bidi="ar-SA"/>
              </w:rPr>
              <w:t>①</w:t>
            </w:r>
            <w:r>
              <w:rPr>
                <w:rFonts w:hint="eastAsia" w:ascii="Times New Roman" w:hAnsi="Times New Roman" w:eastAsia="宋体" w:cs="Times New Roman"/>
                <w:color w:val="auto"/>
                <w:kern w:val="2"/>
                <w:sz w:val="21"/>
                <w:szCs w:val="24"/>
                <w:highlight w:val="none"/>
                <w:lang w:val="en-US" w:eastAsia="zh-CN" w:bidi="ar-SA"/>
              </w:rPr>
              <w:t>参照《</w:t>
            </w:r>
            <w:r>
              <w:rPr>
                <w:rFonts w:hint="eastAsia" w:cs="Times New Roman"/>
                <w:color w:val="auto"/>
                <w:kern w:val="2"/>
                <w:sz w:val="21"/>
                <w:szCs w:val="24"/>
                <w:highlight w:val="none"/>
                <w:lang w:val="en-US" w:eastAsia="zh-CN" w:bidi="ar-SA"/>
              </w:rPr>
              <w:t>环境影响评价技术导则 大气环境</w:t>
            </w:r>
            <w:r>
              <w:rPr>
                <w:rFonts w:hint="eastAsia" w:ascii="Times New Roman" w:hAnsi="Times New Roman" w:eastAsia="宋体" w:cs="Times New Roman"/>
                <w:color w:val="auto"/>
                <w:kern w:val="2"/>
                <w:sz w:val="21"/>
                <w:szCs w:val="24"/>
                <w:highlight w:val="none"/>
                <w:lang w:val="en-US" w:eastAsia="zh-CN" w:bidi="ar-SA"/>
              </w:rPr>
              <w:t>》（HJ 2.2-2018）5.3.2.1条规定，对于仅有8小时平均质量浓度限值的污染物，可按2倍折算为1小时平均质量浓度限值进行评价。</w:t>
            </w:r>
          </w:p>
          <w:p w14:paraId="3F9F8141">
            <w:pPr>
              <w:widowControl w:val="0"/>
              <w:adjustRightInd w:val="0"/>
              <w:snapToGrid w:val="0"/>
              <w:spacing w:line="240" w:lineRule="auto"/>
              <w:ind w:firstLine="0" w:firstLineChars="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本项目挥发性有机物选用导则附录D表D.1中的8小时均值参考限值（0.6 mg/m</w:t>
            </w:r>
            <w:r>
              <w:rPr>
                <w:rFonts w:hint="eastAsia" w:ascii="Times New Roman" w:hAnsi="Times New Roman" w:eastAsia="宋体" w:cs="Times New Roman"/>
                <w:color w:val="auto"/>
                <w:kern w:val="2"/>
                <w:sz w:val="21"/>
                <w:szCs w:val="24"/>
                <w:highlight w:val="none"/>
                <w:vertAlign w:val="superscript"/>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），据此折算得出其1小时等效浓度限值为1.2mg/m</w:t>
            </w:r>
            <w:r>
              <w:rPr>
                <w:rFonts w:hint="eastAsia" w:ascii="Times New Roman" w:hAnsi="Times New Roman" w:eastAsia="宋体" w:cs="Times New Roman"/>
                <w:color w:val="auto"/>
                <w:kern w:val="2"/>
                <w:sz w:val="21"/>
                <w:szCs w:val="24"/>
                <w:highlight w:val="none"/>
                <w:vertAlign w:val="superscript"/>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w:t>
            </w:r>
          </w:p>
          <w:p w14:paraId="45E16E3F">
            <w:pPr>
              <w:widowControl w:val="0"/>
              <w:adjustRightInd w:val="0"/>
              <w:snapToGrid w:val="0"/>
              <w:spacing w:line="240" w:lineRule="auto"/>
              <w:ind w:firstLine="0" w:firstLineChars="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②未检出因子（二甲苯、挥发性有机物）按1/2检出限作为评价浓度计算占标率，实际浓度均低于检出限，占标率为保守上限值；</w:t>
            </w:r>
          </w:p>
        </w:tc>
      </w:tr>
    </w:tbl>
    <w:p w14:paraId="263E6111">
      <w:pPr>
        <w:widowControl/>
        <w:adjustRightInd w:val="0"/>
        <w:snapToGrid w:val="0"/>
        <w:spacing w:line="360" w:lineRule="auto"/>
        <w:ind w:firstLine="480" w:firstLineChars="200"/>
        <w:jc w:val="both"/>
        <w:rPr>
          <w:rFonts w:hint="eastAsia" w:ascii="Times New Roman" w:hAnsi="Times New Roman" w:eastAsia="宋体" w:cs="Times New Roman"/>
          <w:color w:val="auto"/>
          <w:kern w:val="0"/>
          <w:sz w:val="24"/>
          <w:szCs w:val="32"/>
          <w:highlight w:val="none"/>
          <w:lang w:val="en-US" w:eastAsia="zh-CN" w:bidi="ar-SA"/>
        </w:rPr>
      </w:pPr>
      <w:r>
        <w:rPr>
          <w:rFonts w:hint="eastAsia" w:ascii="Times New Roman" w:hAnsi="Times New Roman" w:eastAsia="宋体" w:cs="Times New Roman"/>
          <w:color w:val="auto"/>
          <w:kern w:val="0"/>
          <w:sz w:val="24"/>
          <w:szCs w:val="32"/>
          <w:highlight w:val="none"/>
          <w:lang w:val="en-US" w:eastAsia="zh-CN" w:bidi="ar-SA"/>
        </w:rPr>
        <w:t>根据上表评价结果可知，船尾村监测点位TSP满足《环境空气质量标准》（GB3095-2026）中的二级标准（24小时平均）要求，非甲烷总烃满足《大气污染物综合排放标准详解》中的环境空气质量标准限值要求，</w:t>
      </w:r>
      <w:r>
        <w:rPr>
          <w:rFonts w:hint="eastAsia" w:cs="Times New Roman"/>
          <w:color w:val="auto"/>
          <w:kern w:val="0"/>
          <w:sz w:val="24"/>
          <w:szCs w:val="32"/>
          <w:highlight w:val="none"/>
          <w:lang w:val="en-US" w:eastAsia="zh-CN" w:bidi="ar-SA"/>
        </w:rPr>
        <w:t>挥发性有机物</w:t>
      </w:r>
      <w:r>
        <w:rPr>
          <w:rFonts w:hint="eastAsia" w:ascii="Times New Roman" w:hAnsi="Times New Roman" w:eastAsia="宋体" w:cs="Times New Roman"/>
          <w:color w:val="auto"/>
          <w:kern w:val="0"/>
          <w:sz w:val="24"/>
          <w:szCs w:val="32"/>
          <w:highlight w:val="none"/>
          <w:lang w:val="en-US" w:eastAsia="zh-CN" w:bidi="ar-SA"/>
        </w:rPr>
        <w:t>、二甲苯满足《</w:t>
      </w:r>
      <w:r>
        <w:rPr>
          <w:rFonts w:hint="eastAsia" w:cs="Times New Roman"/>
          <w:color w:val="auto"/>
          <w:kern w:val="0"/>
          <w:sz w:val="24"/>
          <w:szCs w:val="32"/>
          <w:highlight w:val="none"/>
          <w:lang w:val="en-US" w:eastAsia="zh-CN" w:bidi="ar-SA"/>
        </w:rPr>
        <w:t>环境影响评价技术导则 大气环境</w:t>
      </w:r>
      <w:r>
        <w:rPr>
          <w:rFonts w:hint="eastAsia" w:ascii="Times New Roman" w:hAnsi="Times New Roman" w:eastAsia="宋体" w:cs="Times New Roman"/>
          <w:color w:val="auto"/>
          <w:kern w:val="0"/>
          <w:sz w:val="24"/>
          <w:szCs w:val="32"/>
          <w:highlight w:val="none"/>
          <w:lang w:val="en-US" w:eastAsia="zh-CN" w:bidi="ar-SA"/>
        </w:rPr>
        <w:t>》（HJ2.2-2018）附录D其他污染物空气质量参考限值要求，臭气浓度未检出。评价区各污染物最大浓度值占标率均小于100%，现状均达标，区域环境空气质量现状良好。</w:t>
      </w:r>
    </w:p>
    <w:p w14:paraId="41BBB867">
      <w:pPr>
        <w:widowControl/>
        <w:adjustRightInd w:val="0"/>
        <w:snapToGrid w:val="0"/>
        <w:spacing w:line="360" w:lineRule="auto"/>
        <w:ind w:firstLine="480" w:firstLineChars="200"/>
        <w:jc w:val="both"/>
        <w:rPr>
          <w:rFonts w:ascii="Times New Roman" w:hAnsi="Times New Roman" w:eastAsia="宋体" w:cs="Times New Roman"/>
          <w:color w:val="auto"/>
          <w:kern w:val="0"/>
          <w:sz w:val="24"/>
          <w:szCs w:val="32"/>
          <w:highlight w:val="none"/>
          <w:lang w:val="en-US" w:eastAsia="zh-CN" w:bidi="ar-SA"/>
        </w:rPr>
      </w:pPr>
      <w:r>
        <w:rPr>
          <w:rFonts w:hint="eastAsia" w:ascii="Times New Roman" w:hAnsi="Times New Roman" w:eastAsia="宋体" w:cs="Times New Roman"/>
          <w:color w:val="auto"/>
          <w:kern w:val="0"/>
          <w:sz w:val="24"/>
          <w:szCs w:val="32"/>
          <w:highlight w:val="none"/>
          <w:lang w:val="en-US" w:eastAsia="zh-CN" w:bidi="ar-SA"/>
        </w:rPr>
        <w:t>根据上表评价结果可知，</w:t>
      </w:r>
      <w:r>
        <w:rPr>
          <w:rFonts w:hint="eastAsia" w:cs="Times New Roman"/>
          <w:color w:val="auto"/>
          <w:kern w:val="0"/>
          <w:sz w:val="24"/>
          <w:szCs w:val="32"/>
          <w:highlight w:val="none"/>
          <w:lang w:val="en-US" w:eastAsia="zh-CN" w:bidi="ar-SA"/>
        </w:rPr>
        <w:t>船尾村</w:t>
      </w:r>
      <w:r>
        <w:rPr>
          <w:rFonts w:hint="eastAsia" w:ascii="Times New Roman" w:hAnsi="Times New Roman" w:eastAsia="宋体" w:cs="Times New Roman"/>
          <w:color w:val="auto"/>
          <w:kern w:val="0"/>
          <w:sz w:val="24"/>
          <w:szCs w:val="32"/>
          <w:highlight w:val="none"/>
          <w:lang w:val="en-US" w:eastAsia="zh-CN" w:bidi="ar-SA"/>
        </w:rPr>
        <w:t>监测点位TSP满足《环境空气质量标准》（GB3095-2026）中的二级标准要求，非甲烷总烃满足《大气污染物综合排放标准详解》要求，</w:t>
      </w:r>
      <w:r>
        <w:rPr>
          <w:rFonts w:hint="eastAsia" w:cs="Times New Roman"/>
          <w:color w:val="auto"/>
          <w:kern w:val="0"/>
          <w:sz w:val="24"/>
          <w:szCs w:val="32"/>
          <w:highlight w:val="none"/>
          <w:lang w:val="en-US" w:eastAsia="zh-CN" w:bidi="ar-SA"/>
        </w:rPr>
        <w:t>挥发性有机物</w:t>
      </w:r>
      <w:r>
        <w:rPr>
          <w:rFonts w:hint="eastAsia" w:ascii="Times New Roman" w:hAnsi="Times New Roman" w:eastAsia="宋体" w:cs="Times New Roman"/>
          <w:color w:val="auto"/>
          <w:kern w:val="0"/>
          <w:sz w:val="24"/>
          <w:szCs w:val="32"/>
          <w:highlight w:val="none"/>
          <w:lang w:val="en-US" w:eastAsia="zh-CN" w:bidi="ar-SA"/>
        </w:rPr>
        <w:t>满足《</w:t>
      </w:r>
      <w:r>
        <w:rPr>
          <w:rFonts w:hint="eastAsia" w:cs="Times New Roman"/>
          <w:color w:val="auto"/>
          <w:kern w:val="0"/>
          <w:sz w:val="24"/>
          <w:szCs w:val="32"/>
          <w:highlight w:val="none"/>
          <w:lang w:val="en-US" w:eastAsia="zh-CN" w:bidi="ar-SA"/>
        </w:rPr>
        <w:t>环境影响评价技术导则 大气环境</w:t>
      </w:r>
      <w:r>
        <w:rPr>
          <w:rFonts w:hint="eastAsia" w:ascii="Times New Roman" w:hAnsi="Times New Roman" w:eastAsia="宋体" w:cs="Times New Roman"/>
          <w:color w:val="auto"/>
          <w:kern w:val="0"/>
          <w:sz w:val="24"/>
          <w:szCs w:val="32"/>
          <w:highlight w:val="none"/>
          <w:lang w:val="en-US" w:eastAsia="zh-CN" w:bidi="ar-SA"/>
        </w:rPr>
        <w:t>》（HJ2.2-2018）附录D表D.1其他污染物空气质重浓度参考限值。因此，本项目评价区域范围内总体环境空气质量现状较好，各监测点位未出现超标现象。</w:t>
      </w:r>
    </w:p>
    <w:p w14:paraId="69B28DD7">
      <w:pPr>
        <w:pStyle w:val="4"/>
        <w:numPr>
          <w:ilvl w:val="2"/>
          <w:numId w:val="0"/>
        </w:numPr>
        <w:tabs>
          <w:tab w:val="clear" w:pos="720"/>
        </w:tabs>
        <w:bidi w:val="0"/>
        <w:rPr>
          <w:color w:val="auto"/>
          <w:highlight w:val="none"/>
          <w:lang w:val="en-US" w:eastAsia="zh-CN"/>
        </w:rPr>
      </w:pPr>
      <w:bookmarkStart w:id="465" w:name="_Toc10600"/>
      <w:r>
        <w:rPr>
          <w:rFonts w:hint="eastAsia"/>
          <w:color w:val="auto"/>
          <w:highlight w:val="none"/>
          <w:lang w:val="en-US" w:eastAsia="zh-CN"/>
        </w:rPr>
        <w:t>4.2</w:t>
      </w:r>
      <w:r>
        <w:rPr>
          <w:color w:val="auto"/>
          <w:highlight w:val="none"/>
          <w:lang w:val="en-US" w:eastAsia="zh-CN"/>
        </w:rPr>
        <w:t>.4</w:t>
      </w:r>
      <w:r>
        <w:rPr>
          <w:rFonts w:hint="eastAsia"/>
          <w:color w:val="auto"/>
          <w:highlight w:val="none"/>
          <w:lang w:val="en-US" w:eastAsia="zh-CN"/>
        </w:rPr>
        <w:t xml:space="preserve"> </w:t>
      </w:r>
      <w:r>
        <w:rPr>
          <w:color w:val="auto"/>
          <w:highlight w:val="none"/>
          <w:lang w:val="en-US" w:eastAsia="zh-CN"/>
        </w:rPr>
        <w:t>声环境质量现状</w:t>
      </w:r>
      <w:bookmarkEnd w:id="448"/>
      <w:r>
        <w:rPr>
          <w:color w:val="auto"/>
          <w:highlight w:val="none"/>
          <w:lang w:val="en-US" w:eastAsia="zh-CN"/>
        </w:rPr>
        <w:t>调查与评价</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5"/>
    </w:p>
    <w:p w14:paraId="5549554D">
      <w:pPr>
        <w:pStyle w:val="5"/>
        <w:numPr>
          <w:ilvl w:val="3"/>
          <w:numId w:val="0"/>
        </w:numPr>
        <w:bidi w:val="0"/>
        <w:ind w:leftChars="0"/>
        <w:rPr>
          <w:color w:val="auto"/>
          <w:highlight w:val="none"/>
          <w:lang w:val="en-US" w:eastAsia="zh-CN"/>
        </w:rPr>
      </w:pPr>
      <w:bookmarkStart w:id="466" w:name="_Toc330218355"/>
      <w:bookmarkStart w:id="467" w:name="_Toc377541068"/>
      <w:bookmarkStart w:id="468" w:name="_Toc288038020"/>
      <w:bookmarkStart w:id="469" w:name="_Toc28454"/>
      <w:bookmarkStart w:id="470" w:name="_Toc248758546"/>
      <w:r>
        <w:rPr>
          <w:rFonts w:hint="eastAsia"/>
          <w:color w:val="auto"/>
          <w:highlight w:val="none"/>
          <w:lang w:val="en-US" w:eastAsia="zh-CN"/>
        </w:rPr>
        <w:t>4.2</w:t>
      </w:r>
      <w:r>
        <w:rPr>
          <w:color w:val="auto"/>
          <w:highlight w:val="none"/>
          <w:lang w:val="en-US" w:eastAsia="zh-CN"/>
        </w:rPr>
        <w:t>.4.1</w:t>
      </w:r>
      <w:bookmarkEnd w:id="466"/>
      <w:bookmarkEnd w:id="467"/>
      <w:bookmarkEnd w:id="468"/>
      <w:bookmarkEnd w:id="469"/>
      <w:bookmarkEnd w:id="470"/>
      <w:r>
        <w:rPr>
          <w:rFonts w:hint="eastAsia"/>
          <w:color w:val="auto"/>
          <w:highlight w:val="none"/>
          <w:lang w:val="en-US" w:eastAsia="zh-CN"/>
        </w:rPr>
        <w:t xml:space="preserve"> </w:t>
      </w:r>
      <w:r>
        <w:rPr>
          <w:color w:val="auto"/>
          <w:highlight w:val="none"/>
          <w:lang w:val="en-US" w:eastAsia="zh-CN"/>
        </w:rPr>
        <w:t>声环境质量现状调查</w:t>
      </w:r>
    </w:p>
    <w:p w14:paraId="0E9E7F28">
      <w:pPr>
        <w:widowControl/>
        <w:adjustRightInd w:val="0"/>
        <w:snapToGrid w:val="0"/>
        <w:spacing w:line="360" w:lineRule="auto"/>
        <w:ind w:firstLine="480" w:firstLineChars="200"/>
        <w:jc w:val="left"/>
        <w:rPr>
          <w:rFonts w:ascii="Times New Roman" w:hAnsi="Times New Roman" w:eastAsia="宋体" w:cs="Times New Roman"/>
          <w:color w:val="auto"/>
          <w:kern w:val="0"/>
          <w:sz w:val="24"/>
          <w:szCs w:val="32"/>
          <w:highlight w:val="none"/>
          <w:lang w:val="en-US" w:eastAsia="zh-CN" w:bidi="ar-SA"/>
        </w:rPr>
      </w:pPr>
      <w:r>
        <w:rPr>
          <w:rFonts w:ascii="Times New Roman" w:hAnsi="Times New Roman" w:eastAsia="宋体" w:cs="Times New Roman"/>
          <w:color w:val="auto"/>
          <w:kern w:val="0"/>
          <w:sz w:val="24"/>
          <w:szCs w:val="32"/>
          <w:highlight w:val="none"/>
          <w:lang w:val="en-US" w:eastAsia="zh-CN" w:bidi="ar-SA"/>
        </w:rPr>
        <w:t>为了解区域声环境质量现状，本次评价采用</w:t>
      </w:r>
      <w:r>
        <w:rPr>
          <w:rFonts w:hint="eastAsia" w:ascii="Times New Roman" w:hAnsi="Times New Roman" w:eastAsia="宋体" w:cs="Times New Roman"/>
          <w:color w:val="auto"/>
          <w:kern w:val="0"/>
          <w:sz w:val="24"/>
          <w:szCs w:val="32"/>
          <w:highlight w:val="none"/>
          <w:lang w:val="en-US" w:eastAsia="zh-CN" w:bidi="ar-SA"/>
        </w:rPr>
        <w:t>福建九五检测技术服务有限公司</w:t>
      </w:r>
      <w:r>
        <w:rPr>
          <w:rFonts w:ascii="Times New Roman" w:hAnsi="Times New Roman" w:eastAsia="宋体" w:cs="Times New Roman"/>
          <w:color w:val="auto"/>
          <w:kern w:val="0"/>
          <w:sz w:val="24"/>
          <w:szCs w:val="32"/>
          <w:highlight w:val="none"/>
          <w:lang w:val="en-US" w:eastAsia="zh-CN" w:bidi="ar-SA"/>
        </w:rPr>
        <w:t>监测的数据进行分析。</w:t>
      </w:r>
    </w:p>
    <w:p w14:paraId="43D7501A">
      <w:pPr>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（1）监测点位</w:t>
      </w:r>
    </w:p>
    <w:p w14:paraId="36CC1F31">
      <w:pPr>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监测点位详见表</w:t>
      </w:r>
      <w:r>
        <w:rPr>
          <w:rFonts w:hint="eastAsia" w:ascii="Times New Roman" w:hAnsi="Times New Roman" w:eastAsia="宋体" w:cs="Times New Roman"/>
          <w:color w:val="auto"/>
          <w:highlight w:val="none"/>
          <w:lang w:eastAsia="zh-CN"/>
        </w:rPr>
        <w:t>4.2</w:t>
      </w:r>
      <w:r>
        <w:rPr>
          <w:rFonts w:ascii="Times New Roman" w:hAnsi="Times New Roman" w:eastAsia="宋体" w:cs="Times New Roman"/>
          <w:color w:val="auto"/>
          <w:highlight w:val="none"/>
        </w:rPr>
        <w:t>-1</w:t>
      </w:r>
      <w:r>
        <w:rPr>
          <w:rFonts w:hint="eastAsia" w:cs="Times New Roman"/>
          <w:color w:val="auto"/>
          <w:highlight w:val="none"/>
          <w:lang w:val="en-US" w:eastAsia="zh-CN"/>
        </w:rPr>
        <w:t>5</w:t>
      </w:r>
      <w:r>
        <w:rPr>
          <w:rFonts w:ascii="Times New Roman" w:hAnsi="Times New Roman" w:eastAsia="宋体" w:cs="Times New Roman"/>
          <w:color w:val="auto"/>
          <w:highlight w:val="none"/>
        </w:rPr>
        <w:t>、图</w:t>
      </w:r>
      <w:r>
        <w:rPr>
          <w:rFonts w:hint="eastAsia" w:ascii="Times New Roman" w:hAnsi="Times New Roman" w:eastAsia="宋体" w:cs="Times New Roman"/>
          <w:color w:val="auto"/>
          <w:highlight w:val="none"/>
          <w:lang w:eastAsia="zh-CN"/>
        </w:rPr>
        <w:t>4.2</w:t>
      </w:r>
      <w:r>
        <w:rPr>
          <w:rFonts w:ascii="Times New Roman" w:hAnsi="Times New Roman" w:eastAsia="宋体" w:cs="Times New Roman"/>
          <w:color w:val="auto"/>
          <w:highlight w:val="none"/>
        </w:rPr>
        <w:t>-</w:t>
      </w:r>
      <w:r>
        <w:rPr>
          <w:rFonts w:hint="eastAsia" w:cs="Times New Roman"/>
          <w:color w:val="auto"/>
          <w:highlight w:val="none"/>
          <w:lang w:val="en-US" w:eastAsia="zh-CN"/>
        </w:rPr>
        <w:t>2</w:t>
      </w:r>
      <w:r>
        <w:rPr>
          <w:rFonts w:ascii="Times New Roman" w:hAnsi="Times New Roman" w:eastAsia="宋体" w:cs="Times New Roman"/>
          <w:color w:val="auto"/>
          <w:highlight w:val="none"/>
        </w:rPr>
        <w:t>。</w:t>
      </w:r>
    </w:p>
    <w:p w14:paraId="2A683275">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表4.2-15  声环境质量现状监测点位一览表</w:t>
      </w:r>
    </w:p>
    <w:tbl>
      <w:tblPr>
        <w:tblStyle w:val="80"/>
        <w:tblW w:w="493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19"/>
        <w:gridCol w:w="2833"/>
        <w:gridCol w:w="2125"/>
        <w:gridCol w:w="2038"/>
      </w:tblGrid>
      <w:tr w14:paraId="1C6297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43" w:type="pct"/>
            <w:tcBorders>
              <w:tl2br w:val="nil"/>
              <w:tr2bl w:val="nil"/>
            </w:tcBorders>
            <w:noWrap w:val="0"/>
            <w:vAlign w:val="center"/>
          </w:tcPr>
          <w:p w14:paraId="56FC889D">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检测点位</w:t>
            </w:r>
          </w:p>
        </w:tc>
        <w:tc>
          <w:tcPr>
            <w:tcW w:w="1683" w:type="pct"/>
            <w:tcBorders>
              <w:tl2br w:val="nil"/>
              <w:tr2bl w:val="nil"/>
            </w:tcBorders>
            <w:noWrap w:val="0"/>
            <w:vAlign w:val="center"/>
          </w:tcPr>
          <w:p w14:paraId="555C835B">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监测点位</w:t>
            </w:r>
          </w:p>
        </w:tc>
        <w:tc>
          <w:tcPr>
            <w:tcW w:w="1262" w:type="pct"/>
            <w:tcBorders>
              <w:tl2br w:val="nil"/>
              <w:tr2bl w:val="nil"/>
            </w:tcBorders>
            <w:noWrap w:val="0"/>
            <w:vAlign w:val="center"/>
          </w:tcPr>
          <w:p w14:paraId="2A8DB8C1">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监测项目</w:t>
            </w:r>
          </w:p>
        </w:tc>
        <w:tc>
          <w:tcPr>
            <w:tcW w:w="1210" w:type="pct"/>
            <w:tcBorders>
              <w:tl2br w:val="nil"/>
              <w:tr2bl w:val="nil"/>
            </w:tcBorders>
            <w:noWrap w:val="0"/>
            <w:vAlign w:val="center"/>
          </w:tcPr>
          <w:p w14:paraId="662905A9">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监测时间</w:t>
            </w:r>
          </w:p>
        </w:tc>
      </w:tr>
      <w:tr w14:paraId="2FDE38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43" w:type="pct"/>
            <w:tcBorders>
              <w:tl2br w:val="nil"/>
              <w:tr2bl w:val="nil"/>
            </w:tcBorders>
            <w:noWrap w:val="0"/>
            <w:vAlign w:val="center"/>
          </w:tcPr>
          <w:p w14:paraId="68EE4B91">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N1</w:t>
            </w:r>
          </w:p>
        </w:tc>
        <w:tc>
          <w:tcPr>
            <w:tcW w:w="1683" w:type="pct"/>
            <w:tcBorders>
              <w:tl2br w:val="nil"/>
              <w:tr2bl w:val="nil"/>
            </w:tcBorders>
            <w:noWrap w:val="0"/>
            <w:vAlign w:val="center"/>
          </w:tcPr>
          <w:p w14:paraId="391FDAA1">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场界北侧边界</w:t>
            </w:r>
            <w:r>
              <w:rPr>
                <w:rFonts w:hint="eastAsia" w:ascii="Times New Roman" w:hAnsi="Times New Roman" w:eastAsia="宋体" w:cs="Times New Roman"/>
                <w:color w:val="auto"/>
                <w:kern w:val="2"/>
                <w:sz w:val="21"/>
                <w:szCs w:val="24"/>
                <w:highlight w:val="none"/>
                <w:lang w:val="en-US" w:eastAsia="zh-CN" w:bidi="ar-SA"/>
              </w:rPr>
              <w:t>外1米</w:t>
            </w:r>
          </w:p>
        </w:tc>
        <w:tc>
          <w:tcPr>
            <w:tcW w:w="1262" w:type="pct"/>
            <w:vMerge w:val="restart"/>
            <w:tcBorders>
              <w:tl2br w:val="nil"/>
              <w:tr2bl w:val="nil"/>
            </w:tcBorders>
            <w:noWrap w:val="0"/>
            <w:vAlign w:val="center"/>
          </w:tcPr>
          <w:p w14:paraId="0EFA8C75">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等效连续A声级</w:t>
            </w:r>
          </w:p>
          <w:p w14:paraId="234F77EE">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Leq</w:t>
            </w:r>
          </w:p>
        </w:tc>
        <w:tc>
          <w:tcPr>
            <w:tcW w:w="1210" w:type="pct"/>
            <w:vMerge w:val="restart"/>
            <w:tcBorders>
              <w:tl2br w:val="nil"/>
              <w:tr2bl w:val="nil"/>
            </w:tcBorders>
            <w:noWrap w:val="0"/>
            <w:vAlign w:val="center"/>
          </w:tcPr>
          <w:p w14:paraId="782B9A84">
            <w:pPr>
              <w:widowControl w:val="0"/>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202</w:t>
            </w:r>
            <w:r>
              <w:rPr>
                <w:rFonts w:hint="eastAsia" w:cs="Times New Roman"/>
                <w:color w:val="auto"/>
                <w:kern w:val="2"/>
                <w:sz w:val="21"/>
                <w:szCs w:val="21"/>
                <w:highlight w:val="none"/>
                <w:lang w:val="en-US" w:eastAsia="zh-CN" w:bidi="ar-SA"/>
              </w:rPr>
              <w:t>6</w:t>
            </w:r>
            <w:r>
              <w:rPr>
                <w:rFonts w:hint="eastAsia" w:ascii="Times New Roman" w:hAnsi="Times New Roman" w:eastAsia="宋体" w:cs="Times New Roman"/>
                <w:color w:val="auto"/>
                <w:kern w:val="2"/>
                <w:sz w:val="21"/>
                <w:szCs w:val="21"/>
                <w:highlight w:val="none"/>
                <w:lang w:val="en-US" w:eastAsia="zh-CN" w:bidi="ar-SA"/>
              </w:rPr>
              <w:t>年</w:t>
            </w:r>
          </w:p>
          <w:p w14:paraId="119ACF13">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r>
              <w:rPr>
                <w:rFonts w:hint="eastAsia" w:cs="Times New Roman"/>
                <w:color w:val="auto"/>
                <w:kern w:val="2"/>
                <w:sz w:val="21"/>
                <w:szCs w:val="21"/>
                <w:highlight w:val="none"/>
                <w:lang w:val="en-US" w:eastAsia="zh-CN" w:bidi="ar-SA"/>
              </w:rPr>
              <w:t>9</w:t>
            </w:r>
            <w:r>
              <w:rPr>
                <w:rFonts w:hint="eastAsia" w:ascii="Times New Roman" w:hAnsi="Times New Roman" w:eastAsia="宋体" w:cs="Times New Roman"/>
                <w:color w:val="auto"/>
                <w:kern w:val="2"/>
                <w:sz w:val="21"/>
                <w:szCs w:val="21"/>
                <w:highlight w:val="none"/>
                <w:lang w:val="en-US" w:eastAsia="zh-CN" w:bidi="ar-SA"/>
              </w:rPr>
              <w:t>月2</w:t>
            </w:r>
            <w:r>
              <w:rPr>
                <w:rFonts w:hint="eastAsia" w:cs="Times New Roman"/>
                <w:color w:val="auto"/>
                <w:kern w:val="2"/>
                <w:sz w:val="21"/>
                <w:szCs w:val="21"/>
                <w:highlight w:val="none"/>
                <w:lang w:val="en-US" w:eastAsia="zh-CN" w:bidi="ar-SA"/>
              </w:rPr>
              <w:t>4</w:t>
            </w:r>
            <w:r>
              <w:rPr>
                <w:rFonts w:hint="eastAsia" w:ascii="Times New Roman" w:hAnsi="Times New Roman" w:eastAsia="宋体" w:cs="Times New Roman"/>
                <w:color w:val="auto"/>
                <w:kern w:val="2"/>
                <w:sz w:val="21"/>
                <w:szCs w:val="21"/>
                <w:highlight w:val="none"/>
                <w:lang w:val="en-US" w:eastAsia="zh-CN" w:bidi="ar-SA"/>
              </w:rPr>
              <w:t>日</w:t>
            </w:r>
          </w:p>
        </w:tc>
      </w:tr>
      <w:tr w14:paraId="401599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43" w:type="pct"/>
            <w:tcBorders>
              <w:tl2br w:val="nil"/>
              <w:tr2bl w:val="nil"/>
            </w:tcBorders>
            <w:noWrap w:val="0"/>
            <w:vAlign w:val="center"/>
          </w:tcPr>
          <w:p w14:paraId="2B9D8BA3">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N2</w:t>
            </w:r>
          </w:p>
        </w:tc>
        <w:tc>
          <w:tcPr>
            <w:tcW w:w="1683" w:type="pct"/>
            <w:tcBorders>
              <w:tl2br w:val="nil"/>
              <w:tr2bl w:val="nil"/>
            </w:tcBorders>
            <w:noWrap w:val="0"/>
            <w:vAlign w:val="center"/>
          </w:tcPr>
          <w:p w14:paraId="56B7245F">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场界</w:t>
            </w:r>
            <w:r>
              <w:rPr>
                <w:rFonts w:hint="eastAsia" w:ascii="Times New Roman" w:hAnsi="Times New Roman" w:eastAsia="宋体" w:cs="Times New Roman"/>
                <w:color w:val="auto"/>
                <w:kern w:val="2"/>
                <w:sz w:val="21"/>
                <w:szCs w:val="24"/>
                <w:highlight w:val="none"/>
                <w:lang w:val="en-US" w:eastAsia="zh-CN" w:bidi="ar-SA"/>
              </w:rPr>
              <w:t>东</w:t>
            </w:r>
            <w:r>
              <w:rPr>
                <w:rFonts w:hint="default" w:ascii="Times New Roman" w:hAnsi="Times New Roman" w:eastAsia="宋体" w:cs="Times New Roman"/>
                <w:color w:val="auto"/>
                <w:kern w:val="2"/>
                <w:sz w:val="21"/>
                <w:szCs w:val="24"/>
                <w:highlight w:val="none"/>
                <w:lang w:val="en-US" w:eastAsia="zh-CN" w:bidi="ar-SA"/>
              </w:rPr>
              <w:t>侧边界</w:t>
            </w:r>
            <w:r>
              <w:rPr>
                <w:rFonts w:hint="eastAsia" w:ascii="Times New Roman" w:hAnsi="Times New Roman" w:eastAsia="宋体" w:cs="Times New Roman"/>
                <w:color w:val="auto"/>
                <w:kern w:val="2"/>
                <w:sz w:val="21"/>
                <w:szCs w:val="24"/>
                <w:highlight w:val="none"/>
                <w:lang w:val="en-US" w:eastAsia="zh-CN" w:bidi="ar-SA"/>
              </w:rPr>
              <w:t>外1米</w:t>
            </w:r>
          </w:p>
        </w:tc>
        <w:tc>
          <w:tcPr>
            <w:tcW w:w="1262" w:type="pct"/>
            <w:vMerge w:val="continue"/>
            <w:tcBorders>
              <w:tl2br w:val="nil"/>
              <w:tr2bl w:val="nil"/>
            </w:tcBorders>
            <w:noWrap w:val="0"/>
            <w:vAlign w:val="center"/>
          </w:tcPr>
          <w:p w14:paraId="519D1238">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c>
          <w:tcPr>
            <w:tcW w:w="1210" w:type="pct"/>
            <w:vMerge w:val="continue"/>
            <w:tcBorders>
              <w:tl2br w:val="nil"/>
              <w:tr2bl w:val="nil"/>
            </w:tcBorders>
            <w:noWrap w:val="0"/>
            <w:vAlign w:val="center"/>
          </w:tcPr>
          <w:p w14:paraId="07C3028D">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r>
      <w:tr w14:paraId="335517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43" w:type="pct"/>
            <w:tcBorders>
              <w:tl2br w:val="nil"/>
              <w:tr2bl w:val="nil"/>
            </w:tcBorders>
            <w:noWrap w:val="0"/>
            <w:vAlign w:val="center"/>
          </w:tcPr>
          <w:p w14:paraId="2B64C1C6">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N3</w:t>
            </w:r>
          </w:p>
        </w:tc>
        <w:tc>
          <w:tcPr>
            <w:tcW w:w="1683" w:type="pct"/>
            <w:tcBorders>
              <w:tl2br w:val="nil"/>
              <w:tr2bl w:val="nil"/>
            </w:tcBorders>
            <w:noWrap w:val="0"/>
            <w:vAlign w:val="center"/>
          </w:tcPr>
          <w:p w14:paraId="7B01FBC4">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场界南侧边界</w:t>
            </w:r>
            <w:r>
              <w:rPr>
                <w:rFonts w:hint="eastAsia" w:ascii="Times New Roman" w:hAnsi="Times New Roman" w:eastAsia="宋体" w:cs="Times New Roman"/>
                <w:color w:val="auto"/>
                <w:kern w:val="2"/>
                <w:sz w:val="21"/>
                <w:szCs w:val="24"/>
                <w:highlight w:val="none"/>
                <w:lang w:val="en-US" w:eastAsia="zh-CN" w:bidi="ar-SA"/>
              </w:rPr>
              <w:t>外1米</w:t>
            </w:r>
          </w:p>
        </w:tc>
        <w:tc>
          <w:tcPr>
            <w:tcW w:w="1262" w:type="pct"/>
            <w:vMerge w:val="continue"/>
            <w:tcBorders>
              <w:tl2br w:val="nil"/>
              <w:tr2bl w:val="nil"/>
            </w:tcBorders>
            <w:noWrap w:val="0"/>
            <w:vAlign w:val="center"/>
          </w:tcPr>
          <w:p w14:paraId="60184862">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c>
          <w:tcPr>
            <w:tcW w:w="1210" w:type="pct"/>
            <w:vMerge w:val="continue"/>
            <w:tcBorders>
              <w:tl2br w:val="nil"/>
              <w:tr2bl w:val="nil"/>
            </w:tcBorders>
            <w:noWrap w:val="0"/>
            <w:vAlign w:val="center"/>
          </w:tcPr>
          <w:p w14:paraId="58576533">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r>
      <w:tr w14:paraId="20499E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43" w:type="pct"/>
            <w:tcBorders>
              <w:tl2br w:val="nil"/>
              <w:tr2bl w:val="nil"/>
            </w:tcBorders>
            <w:noWrap w:val="0"/>
            <w:vAlign w:val="center"/>
          </w:tcPr>
          <w:p w14:paraId="559CFE2F">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N4</w:t>
            </w:r>
          </w:p>
        </w:tc>
        <w:tc>
          <w:tcPr>
            <w:tcW w:w="1683" w:type="pct"/>
            <w:tcBorders>
              <w:tl2br w:val="nil"/>
              <w:tr2bl w:val="nil"/>
            </w:tcBorders>
            <w:noWrap w:val="0"/>
            <w:vAlign w:val="center"/>
          </w:tcPr>
          <w:p w14:paraId="4271F57A">
            <w:pPr>
              <w:widowControl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场界</w:t>
            </w:r>
            <w:r>
              <w:rPr>
                <w:rFonts w:hint="eastAsia" w:ascii="Times New Roman" w:hAnsi="Times New Roman" w:eastAsia="宋体" w:cs="Times New Roman"/>
                <w:color w:val="auto"/>
                <w:kern w:val="2"/>
                <w:sz w:val="21"/>
                <w:szCs w:val="24"/>
                <w:highlight w:val="none"/>
                <w:lang w:val="en-US" w:eastAsia="zh-CN" w:bidi="ar-SA"/>
              </w:rPr>
              <w:t>西</w:t>
            </w:r>
            <w:r>
              <w:rPr>
                <w:rFonts w:hint="default" w:ascii="Times New Roman" w:hAnsi="Times New Roman" w:eastAsia="宋体" w:cs="Times New Roman"/>
                <w:color w:val="auto"/>
                <w:kern w:val="2"/>
                <w:sz w:val="21"/>
                <w:szCs w:val="24"/>
                <w:highlight w:val="none"/>
                <w:lang w:val="en-US" w:eastAsia="zh-CN" w:bidi="ar-SA"/>
              </w:rPr>
              <w:t>侧边界</w:t>
            </w:r>
            <w:r>
              <w:rPr>
                <w:rFonts w:hint="eastAsia" w:ascii="Times New Roman" w:hAnsi="Times New Roman" w:eastAsia="宋体" w:cs="Times New Roman"/>
                <w:color w:val="auto"/>
                <w:kern w:val="2"/>
                <w:sz w:val="21"/>
                <w:szCs w:val="24"/>
                <w:highlight w:val="none"/>
                <w:lang w:val="en-US" w:eastAsia="zh-CN" w:bidi="ar-SA"/>
              </w:rPr>
              <w:t>外1米</w:t>
            </w:r>
          </w:p>
        </w:tc>
        <w:tc>
          <w:tcPr>
            <w:tcW w:w="1262" w:type="pct"/>
            <w:vMerge w:val="continue"/>
            <w:tcBorders>
              <w:tl2br w:val="nil"/>
              <w:tr2bl w:val="nil"/>
            </w:tcBorders>
            <w:noWrap w:val="0"/>
            <w:vAlign w:val="center"/>
          </w:tcPr>
          <w:p w14:paraId="6D44EFD5">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c>
          <w:tcPr>
            <w:tcW w:w="1210" w:type="pct"/>
            <w:vMerge w:val="continue"/>
            <w:tcBorders>
              <w:tl2br w:val="nil"/>
              <w:tr2bl w:val="nil"/>
            </w:tcBorders>
            <w:noWrap w:val="0"/>
            <w:vAlign w:val="center"/>
          </w:tcPr>
          <w:p w14:paraId="1E669F2F">
            <w:pPr>
              <w:widowControl w:val="0"/>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p>
        </w:tc>
      </w:tr>
    </w:tbl>
    <w:p w14:paraId="016A16C8">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（2）监测项目及分析方法</w:t>
      </w:r>
    </w:p>
    <w:p w14:paraId="5537AEB9">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声环境质量现状监测项目及分析方法见表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-1</w:t>
      </w:r>
      <w:r>
        <w:rPr>
          <w:rFonts w:hint="eastAsia" w:cs="Times New Roman"/>
          <w:bCs/>
          <w:color w:val="auto"/>
          <w:kern w:val="2"/>
          <w:sz w:val="24"/>
          <w:szCs w:val="24"/>
          <w:highlight w:val="none"/>
          <w:lang w:val="en-US" w:eastAsia="zh-CN" w:bidi="ar-SA"/>
        </w:rPr>
        <w:t>6</w:t>
      </w:r>
      <w:r>
        <w:rPr>
          <w:rFonts w:ascii="Times New Roman" w:hAnsi="Times New Roman" w:eastAsia="宋体" w:cs="Times New Roman"/>
          <w:bCs/>
          <w:color w:val="auto"/>
          <w:kern w:val="2"/>
          <w:sz w:val="24"/>
          <w:szCs w:val="24"/>
          <w:highlight w:val="none"/>
          <w:lang w:val="en-US" w:eastAsia="zh-CN" w:bidi="ar-SA"/>
        </w:rPr>
        <w:t>。</w:t>
      </w:r>
    </w:p>
    <w:p w14:paraId="32ABB1F4">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表4.2-16  声环境质量现状监测项目及分析方法一览表</w:t>
      </w:r>
    </w:p>
    <w:tbl>
      <w:tblPr>
        <w:tblStyle w:val="80"/>
        <w:tblW w:w="492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882"/>
        <w:gridCol w:w="1719"/>
      </w:tblGrid>
      <w:tr w14:paraId="1CCE0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1071" w:type="pct"/>
            <w:tcBorders>
              <w:tl2br w:val="nil"/>
              <w:tr2bl w:val="nil"/>
            </w:tcBorders>
            <w:noWrap w:val="0"/>
            <w:vAlign w:val="center"/>
          </w:tcPr>
          <w:p w14:paraId="22EAE16B">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项目</w:t>
            </w:r>
          </w:p>
        </w:tc>
        <w:tc>
          <w:tcPr>
            <w:tcW w:w="2905" w:type="pct"/>
            <w:tcBorders>
              <w:tl2br w:val="nil"/>
              <w:tr2bl w:val="nil"/>
            </w:tcBorders>
            <w:noWrap w:val="0"/>
            <w:vAlign w:val="center"/>
          </w:tcPr>
          <w:p w14:paraId="7FCB4D57">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分析方法</w:t>
            </w:r>
          </w:p>
        </w:tc>
        <w:tc>
          <w:tcPr>
            <w:tcW w:w="1023" w:type="pct"/>
            <w:tcBorders>
              <w:tl2br w:val="nil"/>
              <w:tr2bl w:val="nil"/>
            </w:tcBorders>
            <w:noWrap w:val="0"/>
            <w:vAlign w:val="center"/>
          </w:tcPr>
          <w:p w14:paraId="25550B6D">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检出限</w:t>
            </w:r>
          </w:p>
        </w:tc>
      </w:tr>
      <w:tr w14:paraId="3101C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71" w:type="pct"/>
            <w:tcBorders>
              <w:tl2br w:val="nil"/>
              <w:tr2bl w:val="nil"/>
            </w:tcBorders>
            <w:noWrap w:val="0"/>
            <w:vAlign w:val="center"/>
          </w:tcPr>
          <w:p w14:paraId="10DD13CE">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噪声</w:t>
            </w:r>
          </w:p>
        </w:tc>
        <w:tc>
          <w:tcPr>
            <w:tcW w:w="2905" w:type="pct"/>
            <w:tcBorders>
              <w:tl2br w:val="nil"/>
              <w:tr2bl w:val="nil"/>
            </w:tcBorders>
            <w:noWrap w:val="0"/>
            <w:vAlign w:val="center"/>
          </w:tcPr>
          <w:p w14:paraId="333529D0">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《声环境质量标准》（GB 3096-2008）</w:t>
            </w:r>
          </w:p>
        </w:tc>
        <w:tc>
          <w:tcPr>
            <w:tcW w:w="1023" w:type="pct"/>
            <w:tcBorders>
              <w:tl2br w:val="nil"/>
              <w:tr2bl w:val="nil"/>
            </w:tcBorders>
            <w:noWrap w:val="0"/>
            <w:vAlign w:val="center"/>
          </w:tcPr>
          <w:p w14:paraId="75E017E6">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/（dB）</w:t>
            </w:r>
          </w:p>
        </w:tc>
      </w:tr>
    </w:tbl>
    <w:p w14:paraId="3F68E387">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（3）监测结果</w:t>
      </w:r>
    </w:p>
    <w:p w14:paraId="7014D04B">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评价区环境噪声监测结果见表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-1</w:t>
      </w:r>
      <w:r>
        <w:rPr>
          <w:rFonts w:hint="eastAsia" w:cs="Times New Roman"/>
          <w:bCs/>
          <w:color w:val="auto"/>
          <w:kern w:val="2"/>
          <w:sz w:val="24"/>
          <w:szCs w:val="24"/>
          <w:highlight w:val="none"/>
          <w:lang w:val="en-US" w:eastAsia="zh-CN" w:bidi="ar-SA"/>
        </w:rPr>
        <w:t>7</w:t>
      </w:r>
      <w:r>
        <w:rPr>
          <w:rFonts w:ascii="Times New Roman" w:hAnsi="Times New Roman" w:eastAsia="宋体" w:cs="Times New Roman"/>
          <w:bCs/>
          <w:color w:val="auto"/>
          <w:kern w:val="2"/>
          <w:sz w:val="24"/>
          <w:szCs w:val="24"/>
          <w:highlight w:val="none"/>
          <w:lang w:val="en-US" w:eastAsia="zh-CN" w:bidi="ar-SA"/>
        </w:rPr>
        <w:t>。</w:t>
      </w:r>
    </w:p>
    <w:p w14:paraId="3EA24C32">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表4.2-17  声环境质量现状监测结果一览表</w:t>
      </w:r>
    </w:p>
    <w:tbl>
      <w:tblPr>
        <w:tblStyle w:val="8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70"/>
        <w:gridCol w:w="3769"/>
        <w:gridCol w:w="1482"/>
        <w:gridCol w:w="1483"/>
      </w:tblGrid>
      <w:tr w14:paraId="2D3D8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25" w:hRule="atLeast"/>
          <w:tblHeader/>
          <w:jc w:val="center"/>
        </w:trPr>
        <w:tc>
          <w:tcPr>
            <w:tcW w:w="945" w:type="pct"/>
            <w:vMerge w:val="restart"/>
            <w:tcBorders>
              <w:tl2br w:val="nil"/>
              <w:tr2bl w:val="nil"/>
            </w:tcBorders>
            <w:noWrap w:val="0"/>
            <w:vAlign w:val="center"/>
          </w:tcPr>
          <w:p w14:paraId="21347E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检测时间</w:t>
            </w:r>
          </w:p>
        </w:tc>
        <w:tc>
          <w:tcPr>
            <w:tcW w:w="2269" w:type="pct"/>
            <w:vMerge w:val="restart"/>
            <w:tcBorders>
              <w:tl2br w:val="nil"/>
              <w:tr2bl w:val="nil"/>
            </w:tcBorders>
            <w:noWrap w:val="0"/>
            <w:vAlign w:val="center"/>
          </w:tcPr>
          <w:p w14:paraId="0EDE74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检测点位</w:t>
            </w:r>
          </w:p>
        </w:tc>
        <w:tc>
          <w:tcPr>
            <w:tcW w:w="1784" w:type="pct"/>
            <w:gridSpan w:val="2"/>
            <w:tcBorders>
              <w:tl2br w:val="nil"/>
              <w:tr2bl w:val="nil"/>
            </w:tcBorders>
            <w:noWrap w:val="0"/>
            <w:vAlign w:val="center"/>
          </w:tcPr>
          <w:p w14:paraId="37EBD0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检测结果（</w:t>
            </w:r>
            <w:r>
              <w:rPr>
                <w:rFonts w:hint="default" w:ascii="Times New Roman" w:hAnsi="Times New Roman" w:eastAsia="宋体" w:cs="Times New Roman"/>
                <w:color w:val="auto"/>
                <w:kern w:val="2"/>
                <w:sz w:val="21"/>
                <w:szCs w:val="24"/>
                <w:highlight w:val="none"/>
                <w:lang w:val="en-US" w:eastAsia="zh-CN" w:bidi="ar-SA"/>
              </w:rPr>
              <w:t>dB（A）</w:t>
            </w:r>
            <w:r>
              <w:rPr>
                <w:rFonts w:hint="eastAsia" w:ascii="Times New Roman" w:hAnsi="Times New Roman" w:eastAsia="宋体" w:cs="Times New Roman"/>
                <w:color w:val="auto"/>
                <w:kern w:val="2"/>
                <w:sz w:val="21"/>
                <w:szCs w:val="24"/>
                <w:highlight w:val="none"/>
                <w:lang w:val="en-US" w:eastAsia="zh-CN" w:bidi="ar-SA"/>
              </w:rPr>
              <w:t>）</w:t>
            </w:r>
          </w:p>
        </w:tc>
      </w:tr>
      <w:tr w14:paraId="73B06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25" w:hRule="atLeast"/>
          <w:tblHeader/>
          <w:jc w:val="center"/>
        </w:trPr>
        <w:tc>
          <w:tcPr>
            <w:tcW w:w="945" w:type="pct"/>
            <w:vMerge w:val="continue"/>
            <w:tcBorders>
              <w:tl2br w:val="nil"/>
              <w:tr2bl w:val="nil"/>
            </w:tcBorders>
            <w:noWrap w:val="0"/>
            <w:vAlign w:val="center"/>
          </w:tcPr>
          <w:p w14:paraId="7227413C">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p>
        </w:tc>
        <w:tc>
          <w:tcPr>
            <w:tcW w:w="2269" w:type="pct"/>
            <w:vMerge w:val="continue"/>
            <w:tcBorders>
              <w:tl2br w:val="nil"/>
              <w:tr2bl w:val="nil"/>
            </w:tcBorders>
            <w:noWrap w:val="0"/>
            <w:vAlign w:val="center"/>
          </w:tcPr>
          <w:p w14:paraId="617864FF">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p>
        </w:tc>
        <w:tc>
          <w:tcPr>
            <w:tcW w:w="892" w:type="pct"/>
            <w:tcBorders>
              <w:tl2br w:val="nil"/>
              <w:tr2bl w:val="nil"/>
            </w:tcBorders>
            <w:noWrap w:val="0"/>
            <w:vAlign w:val="center"/>
          </w:tcPr>
          <w:p w14:paraId="3B75ACDF">
            <w:pPr>
              <w:pStyle w:val="1242"/>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昼间</w:t>
            </w:r>
            <w:r>
              <w:rPr>
                <w:rFonts w:hint="default" w:ascii="Times New Roman" w:hAnsi="Times New Roman" w:eastAsia="宋体" w:cs="Times New Roman"/>
                <w:color w:val="auto"/>
                <w:kern w:val="2"/>
                <w:sz w:val="21"/>
                <w:szCs w:val="24"/>
                <w:highlight w:val="none"/>
                <w:lang w:val="en-US" w:eastAsia="zh-CN" w:bidi="ar-SA"/>
              </w:rPr>
              <w:t>Leq</w:t>
            </w:r>
          </w:p>
        </w:tc>
        <w:tc>
          <w:tcPr>
            <w:tcW w:w="892" w:type="pct"/>
            <w:tcBorders>
              <w:tl2br w:val="nil"/>
              <w:tr2bl w:val="nil"/>
            </w:tcBorders>
            <w:noWrap w:val="0"/>
            <w:vAlign w:val="center"/>
          </w:tcPr>
          <w:p w14:paraId="2EA193EA">
            <w:pPr>
              <w:pStyle w:val="1242"/>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夜间</w:t>
            </w:r>
            <w:r>
              <w:rPr>
                <w:rFonts w:hint="default" w:ascii="Times New Roman" w:hAnsi="Times New Roman" w:eastAsia="宋体" w:cs="Times New Roman"/>
                <w:color w:val="auto"/>
                <w:kern w:val="2"/>
                <w:sz w:val="21"/>
                <w:szCs w:val="24"/>
                <w:highlight w:val="none"/>
                <w:lang w:val="en-US" w:eastAsia="zh-CN" w:bidi="ar-SA"/>
              </w:rPr>
              <w:t>Leq</w:t>
            </w:r>
          </w:p>
        </w:tc>
      </w:tr>
      <w:tr w14:paraId="6E7CC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45" w:type="pct"/>
            <w:vMerge w:val="restart"/>
            <w:tcBorders>
              <w:tl2br w:val="nil"/>
              <w:tr2bl w:val="nil"/>
            </w:tcBorders>
            <w:noWrap w:val="0"/>
            <w:vAlign w:val="center"/>
          </w:tcPr>
          <w:p w14:paraId="069B67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2026年</w:t>
            </w:r>
          </w:p>
          <w:p w14:paraId="5580E4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09月24日</w:t>
            </w:r>
          </w:p>
        </w:tc>
        <w:tc>
          <w:tcPr>
            <w:tcW w:w="2269" w:type="pct"/>
            <w:tcBorders>
              <w:tl2br w:val="nil"/>
              <w:tr2bl w:val="nil"/>
            </w:tcBorders>
            <w:noWrap w:val="0"/>
            <w:vAlign w:val="center"/>
          </w:tcPr>
          <w:p w14:paraId="42951E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N1厂界</w:t>
            </w:r>
            <w:r>
              <w:rPr>
                <w:rFonts w:hint="eastAsia" w:ascii="Times New Roman" w:hAnsi="Times New Roman" w:eastAsia="宋体" w:cs="Times New Roman"/>
                <w:color w:val="auto"/>
                <w:kern w:val="2"/>
                <w:sz w:val="21"/>
                <w:szCs w:val="24"/>
                <w:highlight w:val="none"/>
                <w:lang w:val="en-US" w:eastAsia="zh-CN" w:bidi="ar-SA"/>
              </w:rPr>
              <w:t>北</w:t>
            </w:r>
            <w:r>
              <w:rPr>
                <w:rFonts w:hint="default" w:ascii="Times New Roman" w:hAnsi="Times New Roman" w:eastAsia="宋体" w:cs="Times New Roman"/>
                <w:color w:val="auto"/>
                <w:kern w:val="2"/>
                <w:sz w:val="21"/>
                <w:szCs w:val="24"/>
                <w:highlight w:val="none"/>
                <w:lang w:val="en-US" w:eastAsia="zh-CN" w:bidi="ar-SA"/>
              </w:rPr>
              <w:t>侧（界外1m）</w:t>
            </w:r>
          </w:p>
        </w:tc>
        <w:tc>
          <w:tcPr>
            <w:tcW w:w="892" w:type="pct"/>
            <w:tcBorders>
              <w:tl2br w:val="nil"/>
              <w:tr2bl w:val="nil"/>
            </w:tcBorders>
            <w:noWrap w:val="0"/>
            <w:vAlign w:val="center"/>
          </w:tcPr>
          <w:p w14:paraId="7D6452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60.9</w:t>
            </w:r>
          </w:p>
        </w:tc>
        <w:tc>
          <w:tcPr>
            <w:tcW w:w="892" w:type="pct"/>
            <w:tcBorders>
              <w:tl2br w:val="nil"/>
              <w:tr2bl w:val="nil"/>
            </w:tcBorders>
            <w:noWrap w:val="0"/>
            <w:vAlign w:val="center"/>
          </w:tcPr>
          <w:p w14:paraId="33D399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54.1</w:t>
            </w:r>
          </w:p>
        </w:tc>
      </w:tr>
      <w:tr w14:paraId="3EB3F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45" w:type="pct"/>
            <w:vMerge w:val="continue"/>
            <w:tcBorders>
              <w:tl2br w:val="nil"/>
              <w:tr2bl w:val="nil"/>
            </w:tcBorders>
            <w:noWrap w:val="0"/>
            <w:vAlign w:val="center"/>
          </w:tcPr>
          <w:p w14:paraId="48ADC379">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p>
        </w:tc>
        <w:tc>
          <w:tcPr>
            <w:tcW w:w="2269" w:type="pct"/>
            <w:tcBorders>
              <w:tl2br w:val="nil"/>
              <w:tr2bl w:val="nil"/>
            </w:tcBorders>
            <w:noWrap w:val="0"/>
            <w:vAlign w:val="center"/>
          </w:tcPr>
          <w:p w14:paraId="5607ACE3">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N2厂界</w:t>
            </w:r>
            <w:r>
              <w:rPr>
                <w:rFonts w:hint="eastAsia" w:ascii="Times New Roman" w:hAnsi="Times New Roman" w:eastAsia="宋体" w:cs="Times New Roman"/>
                <w:color w:val="auto"/>
                <w:kern w:val="2"/>
                <w:sz w:val="21"/>
                <w:szCs w:val="24"/>
                <w:highlight w:val="none"/>
                <w:lang w:val="en-US" w:eastAsia="zh-CN" w:bidi="ar-SA"/>
              </w:rPr>
              <w:t>东</w:t>
            </w:r>
            <w:r>
              <w:rPr>
                <w:rFonts w:hint="default" w:ascii="Times New Roman" w:hAnsi="Times New Roman" w:eastAsia="宋体" w:cs="Times New Roman"/>
                <w:color w:val="auto"/>
                <w:kern w:val="2"/>
                <w:sz w:val="21"/>
                <w:szCs w:val="24"/>
                <w:highlight w:val="none"/>
                <w:lang w:val="en-US" w:eastAsia="zh-CN" w:bidi="ar-SA"/>
              </w:rPr>
              <w:t>侧（界外1m）</w:t>
            </w:r>
          </w:p>
        </w:tc>
        <w:tc>
          <w:tcPr>
            <w:tcW w:w="892" w:type="pct"/>
            <w:tcBorders>
              <w:tl2br w:val="nil"/>
              <w:tr2bl w:val="nil"/>
            </w:tcBorders>
            <w:noWrap w:val="0"/>
            <w:vAlign w:val="center"/>
          </w:tcPr>
          <w:p w14:paraId="7A31A21B">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61.8</w:t>
            </w:r>
          </w:p>
        </w:tc>
        <w:tc>
          <w:tcPr>
            <w:tcW w:w="892" w:type="pct"/>
            <w:tcBorders>
              <w:tl2br w:val="nil"/>
              <w:tr2bl w:val="nil"/>
            </w:tcBorders>
            <w:noWrap w:val="0"/>
            <w:vAlign w:val="center"/>
          </w:tcPr>
          <w:p w14:paraId="1F21D44F">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54.5</w:t>
            </w:r>
          </w:p>
        </w:tc>
      </w:tr>
      <w:tr w14:paraId="132BD3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45" w:type="pct"/>
            <w:vMerge w:val="continue"/>
            <w:tcBorders>
              <w:tl2br w:val="nil"/>
              <w:tr2bl w:val="nil"/>
            </w:tcBorders>
            <w:noWrap w:val="0"/>
            <w:vAlign w:val="center"/>
          </w:tcPr>
          <w:p w14:paraId="424B22D0">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p>
        </w:tc>
        <w:tc>
          <w:tcPr>
            <w:tcW w:w="2269" w:type="pct"/>
            <w:tcBorders>
              <w:tl2br w:val="nil"/>
              <w:tr2bl w:val="nil"/>
            </w:tcBorders>
            <w:noWrap w:val="0"/>
            <w:vAlign w:val="center"/>
          </w:tcPr>
          <w:p w14:paraId="3A426107">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N3厂界</w:t>
            </w:r>
            <w:r>
              <w:rPr>
                <w:rFonts w:hint="eastAsia" w:ascii="Times New Roman" w:hAnsi="Times New Roman" w:eastAsia="宋体" w:cs="Times New Roman"/>
                <w:color w:val="auto"/>
                <w:kern w:val="2"/>
                <w:sz w:val="21"/>
                <w:szCs w:val="24"/>
                <w:highlight w:val="none"/>
                <w:lang w:val="en-US" w:eastAsia="zh-CN" w:bidi="ar-SA"/>
              </w:rPr>
              <w:t>南</w:t>
            </w:r>
            <w:r>
              <w:rPr>
                <w:rFonts w:hint="default" w:ascii="Times New Roman" w:hAnsi="Times New Roman" w:eastAsia="宋体" w:cs="Times New Roman"/>
                <w:color w:val="auto"/>
                <w:kern w:val="2"/>
                <w:sz w:val="21"/>
                <w:szCs w:val="24"/>
                <w:highlight w:val="none"/>
                <w:lang w:val="en-US" w:eastAsia="zh-CN" w:bidi="ar-SA"/>
              </w:rPr>
              <w:t>侧（界外1m）</w:t>
            </w:r>
          </w:p>
        </w:tc>
        <w:tc>
          <w:tcPr>
            <w:tcW w:w="892" w:type="pct"/>
            <w:tcBorders>
              <w:tl2br w:val="nil"/>
              <w:tr2bl w:val="nil"/>
            </w:tcBorders>
            <w:noWrap w:val="0"/>
            <w:vAlign w:val="center"/>
          </w:tcPr>
          <w:p w14:paraId="546DA4C3">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61.3</w:t>
            </w:r>
          </w:p>
        </w:tc>
        <w:tc>
          <w:tcPr>
            <w:tcW w:w="892" w:type="pct"/>
            <w:tcBorders>
              <w:tl2br w:val="nil"/>
              <w:tr2bl w:val="nil"/>
            </w:tcBorders>
            <w:noWrap w:val="0"/>
            <w:vAlign w:val="center"/>
          </w:tcPr>
          <w:p w14:paraId="4ECC2E12">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54.0</w:t>
            </w:r>
          </w:p>
        </w:tc>
      </w:tr>
      <w:tr w14:paraId="38C6E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45" w:type="pct"/>
            <w:vMerge w:val="continue"/>
            <w:tcBorders>
              <w:tl2br w:val="nil"/>
              <w:tr2bl w:val="nil"/>
            </w:tcBorders>
            <w:noWrap w:val="0"/>
            <w:vAlign w:val="center"/>
          </w:tcPr>
          <w:p w14:paraId="3A2264AE">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p>
        </w:tc>
        <w:tc>
          <w:tcPr>
            <w:tcW w:w="2269" w:type="pct"/>
            <w:tcBorders>
              <w:tl2br w:val="nil"/>
              <w:tr2bl w:val="nil"/>
            </w:tcBorders>
            <w:noWrap w:val="0"/>
            <w:vAlign w:val="center"/>
          </w:tcPr>
          <w:p w14:paraId="27E3FB76">
            <w:pPr>
              <w:pStyle w:val="1242"/>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N4厂界</w:t>
            </w:r>
            <w:r>
              <w:rPr>
                <w:rFonts w:hint="eastAsia" w:ascii="Times New Roman" w:hAnsi="Times New Roman" w:eastAsia="宋体" w:cs="Times New Roman"/>
                <w:color w:val="auto"/>
                <w:kern w:val="2"/>
                <w:sz w:val="21"/>
                <w:szCs w:val="24"/>
                <w:highlight w:val="none"/>
                <w:lang w:val="en-US" w:eastAsia="zh-CN" w:bidi="ar-SA"/>
              </w:rPr>
              <w:t>西</w:t>
            </w:r>
            <w:r>
              <w:rPr>
                <w:rFonts w:hint="default" w:ascii="Times New Roman" w:hAnsi="Times New Roman" w:eastAsia="宋体" w:cs="Times New Roman"/>
                <w:color w:val="auto"/>
                <w:kern w:val="2"/>
                <w:sz w:val="21"/>
                <w:szCs w:val="24"/>
                <w:highlight w:val="none"/>
                <w:lang w:val="en-US" w:eastAsia="zh-CN" w:bidi="ar-SA"/>
              </w:rPr>
              <w:t>侧（界外1m）</w:t>
            </w:r>
          </w:p>
        </w:tc>
        <w:tc>
          <w:tcPr>
            <w:tcW w:w="892" w:type="pct"/>
            <w:tcBorders>
              <w:tl2br w:val="nil"/>
              <w:tr2bl w:val="nil"/>
            </w:tcBorders>
            <w:noWrap w:val="0"/>
            <w:vAlign w:val="center"/>
          </w:tcPr>
          <w:p w14:paraId="3264C92F">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59.5</w:t>
            </w:r>
          </w:p>
        </w:tc>
        <w:tc>
          <w:tcPr>
            <w:tcW w:w="892" w:type="pct"/>
            <w:tcBorders>
              <w:tl2br w:val="nil"/>
              <w:tr2bl w:val="nil"/>
            </w:tcBorders>
            <w:noWrap w:val="0"/>
            <w:vAlign w:val="center"/>
          </w:tcPr>
          <w:p w14:paraId="682AA041">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52.4</w:t>
            </w:r>
          </w:p>
        </w:tc>
      </w:tr>
      <w:tr w14:paraId="6CAAB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945" w:type="pct"/>
            <w:tcBorders>
              <w:tl2br w:val="nil"/>
              <w:tr2bl w:val="nil"/>
            </w:tcBorders>
            <w:noWrap w:val="0"/>
            <w:vAlign w:val="center"/>
          </w:tcPr>
          <w:p w14:paraId="14B7C325">
            <w:pPr>
              <w:pStyle w:val="1242"/>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备注</w:t>
            </w:r>
          </w:p>
        </w:tc>
        <w:tc>
          <w:tcPr>
            <w:tcW w:w="4054" w:type="pct"/>
            <w:gridSpan w:val="3"/>
            <w:tcBorders>
              <w:tl2br w:val="nil"/>
              <w:tr2bl w:val="nil"/>
            </w:tcBorders>
            <w:noWrap w:val="0"/>
            <w:vAlign w:val="center"/>
          </w:tcPr>
          <w:p w14:paraId="31AA8FB7">
            <w:pPr>
              <w:pStyle w:val="31"/>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检测气象条件：天气晴，风速</w:t>
            </w:r>
            <w:r>
              <w:rPr>
                <w:rFonts w:hint="default" w:ascii="Times New Roman" w:hAnsi="Times New Roman" w:eastAsia="宋体" w:cs="Times New Roman"/>
                <w:color w:val="auto"/>
                <w:kern w:val="2"/>
                <w:sz w:val="21"/>
                <w:szCs w:val="24"/>
                <w:highlight w:val="none"/>
                <w:lang w:val="en-US" w:eastAsia="zh-CN" w:bidi="ar-SA"/>
              </w:rPr>
              <w:t>&lt;</w:t>
            </w:r>
            <w:r>
              <w:rPr>
                <w:rFonts w:hint="eastAsia" w:ascii="Times New Roman" w:hAnsi="Times New Roman" w:eastAsia="宋体" w:cs="Times New Roman"/>
                <w:color w:val="auto"/>
                <w:kern w:val="2"/>
                <w:sz w:val="21"/>
                <w:szCs w:val="24"/>
                <w:highlight w:val="none"/>
                <w:lang w:val="en-US" w:eastAsia="zh-CN" w:bidi="ar-SA"/>
              </w:rPr>
              <w:t>5m/s。</w:t>
            </w:r>
          </w:p>
        </w:tc>
      </w:tr>
    </w:tbl>
    <w:p w14:paraId="3E7C86B4">
      <w:pPr>
        <w:widowControl/>
        <w:adjustRightInd w:val="0"/>
        <w:snapToGrid w:val="0"/>
        <w:spacing w:line="240" w:lineRule="auto"/>
        <w:ind w:firstLine="0" w:firstLineChars="0"/>
        <w:jc w:val="center"/>
        <w:rPr>
          <w:color w:val="auto"/>
          <w:highlight w:val="none"/>
          <w:lang w:val="en-US" w:eastAsia="zh-CN"/>
        </w:rPr>
      </w:pPr>
    </w:p>
    <w:p w14:paraId="73C5EF97">
      <w:pPr>
        <w:pStyle w:val="5"/>
        <w:numPr>
          <w:ilvl w:val="3"/>
          <w:numId w:val="0"/>
        </w:numPr>
        <w:bidi w:val="0"/>
        <w:ind w:leftChars="0"/>
        <w:rPr>
          <w:color w:val="auto"/>
          <w:highlight w:val="none"/>
          <w:lang w:val="en-US" w:eastAsia="zh-CN"/>
        </w:rPr>
      </w:pPr>
      <w:bookmarkStart w:id="471" w:name="_Toc248758547"/>
      <w:bookmarkStart w:id="472" w:name="_Toc377541069"/>
      <w:bookmarkStart w:id="473" w:name="_Toc288038021"/>
      <w:bookmarkStart w:id="474" w:name="_Toc19395"/>
      <w:bookmarkStart w:id="475" w:name="_Toc330218356"/>
      <w:r>
        <w:rPr>
          <w:rFonts w:hint="eastAsia"/>
          <w:color w:val="auto"/>
          <w:highlight w:val="none"/>
          <w:lang w:val="en-US" w:eastAsia="zh-CN"/>
        </w:rPr>
        <w:t>4.2</w:t>
      </w:r>
      <w:r>
        <w:rPr>
          <w:color w:val="auto"/>
          <w:highlight w:val="none"/>
          <w:lang w:val="en-US" w:eastAsia="zh-CN"/>
        </w:rPr>
        <w:t>.4.2</w:t>
      </w:r>
      <w:r>
        <w:rPr>
          <w:rFonts w:hint="eastAsia"/>
          <w:color w:val="auto"/>
          <w:highlight w:val="none"/>
          <w:lang w:val="en-US" w:eastAsia="zh-CN"/>
        </w:rPr>
        <w:t xml:space="preserve"> </w:t>
      </w:r>
      <w:r>
        <w:rPr>
          <w:color w:val="auto"/>
          <w:highlight w:val="none"/>
          <w:lang w:val="en-US" w:eastAsia="zh-CN"/>
        </w:rPr>
        <w:t>评价</w:t>
      </w:r>
      <w:bookmarkEnd w:id="471"/>
      <w:bookmarkEnd w:id="472"/>
      <w:bookmarkEnd w:id="473"/>
      <w:bookmarkEnd w:id="474"/>
      <w:bookmarkEnd w:id="475"/>
      <w:r>
        <w:rPr>
          <w:color w:val="auto"/>
          <w:highlight w:val="none"/>
          <w:lang w:val="en-US" w:eastAsia="zh-CN"/>
        </w:rPr>
        <w:t>结果</w:t>
      </w:r>
    </w:p>
    <w:p w14:paraId="02E6BBC5">
      <w:pPr>
        <w:widowControl w:val="0"/>
        <w:adjustRightInd w:val="0"/>
        <w:snapToGrid w:val="0"/>
        <w:spacing w:line="360" w:lineRule="auto"/>
        <w:ind w:firstLine="480" w:firstLineChars="200"/>
        <w:jc w:val="both"/>
        <w:rPr>
          <w:rFonts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由表4.2-16可知，项目</w:t>
      </w:r>
      <w:r>
        <w:rPr>
          <w:rFonts w:hint="eastAsia" w:cs="Times New Roman"/>
          <w:color w:val="auto"/>
          <w:sz w:val="24"/>
          <w:szCs w:val="22"/>
          <w:highlight w:val="none"/>
          <w:lang w:val="en-US" w:eastAsia="zh-CN" w:bidi="ar-SA"/>
        </w:rPr>
        <w:t>北侧、东侧、西侧</w:t>
      </w:r>
      <w:r>
        <w:rPr>
          <w:rFonts w:hint="eastAsia" w:ascii="Times New Roman" w:hAnsi="Times New Roman" w:eastAsia="宋体" w:cs="Times New Roman"/>
          <w:color w:val="auto"/>
          <w:sz w:val="24"/>
          <w:szCs w:val="22"/>
          <w:highlight w:val="none"/>
          <w:lang w:val="en-US" w:eastAsia="zh-CN" w:bidi="ar-SA"/>
        </w:rPr>
        <w:t>厂界昼、夜间声环境均符合《声环境质量标准》（GB3096-2008）3类标准</w:t>
      </w:r>
      <w:r>
        <w:rPr>
          <w:rFonts w:hint="eastAsia" w:cs="Times New Roman"/>
          <w:color w:val="auto"/>
          <w:sz w:val="24"/>
          <w:szCs w:val="22"/>
          <w:highlight w:val="none"/>
          <w:lang w:val="en-US" w:eastAsia="zh-CN" w:bidi="ar-SA"/>
        </w:rPr>
        <w:t>；南侧</w:t>
      </w:r>
      <w:r>
        <w:rPr>
          <w:rFonts w:hint="eastAsia" w:ascii="Times New Roman" w:hAnsi="Times New Roman" w:eastAsia="宋体" w:cs="Times New Roman"/>
          <w:color w:val="auto"/>
          <w:sz w:val="24"/>
          <w:szCs w:val="22"/>
          <w:highlight w:val="none"/>
          <w:lang w:val="en-US" w:eastAsia="zh-CN" w:bidi="ar-SA"/>
        </w:rPr>
        <w:t>厂界昼、夜间声环境符合《声环境质量标准》（GB3096-2008）4a类标准。</w:t>
      </w:r>
      <w:r>
        <w:rPr>
          <w:rFonts w:ascii="Times New Roman" w:hAnsi="Times New Roman" w:eastAsia="宋体" w:cs="Times New Roman"/>
          <w:color w:val="auto"/>
          <w:sz w:val="24"/>
          <w:szCs w:val="22"/>
          <w:highlight w:val="none"/>
          <w:lang w:val="en-US" w:eastAsia="zh-CN" w:bidi="ar-SA"/>
        </w:rPr>
        <w:t>区域声环境质量良好。</w:t>
      </w:r>
    </w:p>
    <w:p w14:paraId="11DC94B7">
      <w:pPr>
        <w:pStyle w:val="4"/>
        <w:numPr>
          <w:ilvl w:val="2"/>
          <w:numId w:val="0"/>
        </w:numPr>
        <w:tabs>
          <w:tab w:val="clear" w:pos="720"/>
        </w:tabs>
        <w:bidi w:val="0"/>
        <w:rPr>
          <w:color w:val="auto"/>
          <w:highlight w:val="none"/>
          <w:lang w:val="en-US" w:eastAsia="zh-CN"/>
        </w:rPr>
      </w:pPr>
      <w:bookmarkStart w:id="476" w:name="_Toc18951"/>
      <w:r>
        <w:rPr>
          <w:rFonts w:hint="eastAsia"/>
          <w:color w:val="auto"/>
          <w:highlight w:val="none"/>
          <w:lang w:val="en-US" w:eastAsia="zh-CN"/>
        </w:rPr>
        <w:t>4.2</w:t>
      </w:r>
      <w:r>
        <w:rPr>
          <w:color w:val="auto"/>
          <w:highlight w:val="none"/>
          <w:lang w:val="en-US" w:eastAsia="zh-CN"/>
        </w:rPr>
        <w:t>.5</w:t>
      </w:r>
      <w:r>
        <w:rPr>
          <w:rFonts w:hint="eastAsia"/>
          <w:color w:val="auto"/>
          <w:highlight w:val="none"/>
          <w:lang w:val="en-US" w:eastAsia="zh-CN"/>
        </w:rPr>
        <w:t xml:space="preserve"> </w:t>
      </w:r>
      <w:r>
        <w:rPr>
          <w:color w:val="auto"/>
          <w:highlight w:val="none"/>
          <w:lang w:val="en-US" w:eastAsia="zh-CN"/>
        </w:rPr>
        <w:t>土壤环境质量现状调查与评价</w:t>
      </w:r>
      <w:bookmarkEnd w:id="476"/>
    </w:p>
    <w:p w14:paraId="4F22EA13">
      <w:pPr>
        <w:pStyle w:val="5"/>
        <w:numPr>
          <w:ilvl w:val="3"/>
          <w:numId w:val="0"/>
        </w:numPr>
        <w:bidi w:val="0"/>
        <w:ind w:leftChars="0"/>
        <w:rPr>
          <w:color w:val="auto"/>
          <w:highlight w:val="none"/>
          <w:lang w:val="en-US" w:eastAsia="zh-CN"/>
        </w:rPr>
      </w:pPr>
      <w:r>
        <w:rPr>
          <w:rFonts w:hint="eastAsia"/>
          <w:color w:val="auto"/>
          <w:highlight w:val="none"/>
          <w:lang w:val="en-US" w:eastAsia="zh-CN"/>
        </w:rPr>
        <w:t>4.2</w:t>
      </w:r>
      <w:r>
        <w:rPr>
          <w:color w:val="auto"/>
          <w:highlight w:val="none"/>
          <w:lang w:val="en-US" w:eastAsia="zh-CN"/>
        </w:rPr>
        <w:t>.5.1</w:t>
      </w:r>
      <w:r>
        <w:rPr>
          <w:rFonts w:hint="eastAsia"/>
          <w:color w:val="auto"/>
          <w:highlight w:val="none"/>
          <w:lang w:val="en-US" w:eastAsia="zh-CN"/>
        </w:rPr>
        <w:t xml:space="preserve"> </w:t>
      </w:r>
      <w:r>
        <w:rPr>
          <w:color w:val="auto"/>
          <w:highlight w:val="none"/>
          <w:lang w:val="en-US" w:eastAsia="zh-CN"/>
        </w:rPr>
        <w:t>土壤环境质量现状调查</w:t>
      </w:r>
    </w:p>
    <w:p w14:paraId="421A9A8E">
      <w:pPr>
        <w:widowControl w:val="0"/>
        <w:adjustRightInd w:val="0"/>
        <w:snapToGrid w:val="0"/>
        <w:spacing w:line="360" w:lineRule="auto"/>
        <w:ind w:firstLine="480" w:firstLineChars="200"/>
        <w:jc w:val="both"/>
        <w:rPr>
          <w:rFonts w:ascii="Times New Roman" w:hAnsi="Times New Roman" w:eastAsia="宋体" w:cs="Times New Roman"/>
          <w:bCs/>
          <w:color w:val="auto"/>
          <w:kern w:val="0"/>
          <w:sz w:val="24"/>
          <w:szCs w:val="24"/>
          <w:highlight w:val="none"/>
          <w:lang w:val="en-US" w:eastAsia="zh-CN" w:bidi="ar-SA"/>
        </w:rPr>
      </w:pPr>
      <w:r>
        <w:rPr>
          <w:rFonts w:ascii="Times New Roman" w:hAnsi="Times New Roman" w:eastAsia="宋体" w:cs="Times New Roman"/>
          <w:bCs/>
          <w:color w:val="auto"/>
          <w:kern w:val="0"/>
          <w:sz w:val="24"/>
          <w:szCs w:val="24"/>
          <w:highlight w:val="none"/>
          <w:lang w:val="en-US" w:eastAsia="zh-CN" w:bidi="ar-SA"/>
        </w:rPr>
        <w:t>为了了解评价区域的土壤环境质量现状，本次评价采用</w:t>
      </w:r>
      <w:r>
        <w:rPr>
          <w:rFonts w:hint="eastAsia" w:ascii="Times New Roman" w:hAnsi="Times New Roman" w:eastAsia="宋体" w:cs="Times New Roman"/>
          <w:bCs/>
          <w:color w:val="auto"/>
          <w:kern w:val="0"/>
          <w:sz w:val="24"/>
          <w:szCs w:val="24"/>
          <w:highlight w:val="none"/>
          <w:lang w:val="en-US" w:eastAsia="zh-CN" w:bidi="ar-SA"/>
        </w:rPr>
        <w:t>福建九五检测技术服务有限公司</w:t>
      </w:r>
      <w:r>
        <w:rPr>
          <w:rFonts w:ascii="Times New Roman" w:hAnsi="Times New Roman" w:eastAsia="宋体" w:cs="Times New Roman"/>
          <w:bCs/>
          <w:color w:val="auto"/>
          <w:kern w:val="0"/>
          <w:sz w:val="24"/>
          <w:szCs w:val="24"/>
          <w:highlight w:val="none"/>
          <w:lang w:val="en-US" w:eastAsia="zh-CN" w:bidi="ar-SA"/>
        </w:rPr>
        <w:t>监测的数据进行分析。</w:t>
      </w:r>
    </w:p>
    <w:p w14:paraId="45F05A53">
      <w:pPr>
        <w:widowControl w:val="0"/>
        <w:adjustRightInd w:val="0"/>
        <w:snapToGrid w:val="0"/>
        <w:spacing w:line="360" w:lineRule="auto"/>
        <w:ind w:firstLine="480" w:firstLineChars="200"/>
        <w:jc w:val="both"/>
        <w:rPr>
          <w:rFonts w:ascii="Times New Roman" w:hAnsi="Times New Roman" w:eastAsia="宋体" w:cs="Times New Roman"/>
          <w:bCs/>
          <w:color w:val="auto"/>
          <w:kern w:val="0"/>
          <w:sz w:val="24"/>
          <w:szCs w:val="24"/>
          <w:highlight w:val="none"/>
          <w:lang w:val="en-US" w:eastAsia="zh-CN" w:bidi="ar-SA"/>
        </w:rPr>
      </w:pPr>
      <w:r>
        <w:rPr>
          <w:rFonts w:ascii="Times New Roman" w:hAnsi="Times New Roman" w:eastAsia="宋体" w:cs="Times New Roman"/>
          <w:bCs/>
          <w:color w:val="auto"/>
          <w:kern w:val="0"/>
          <w:sz w:val="24"/>
          <w:szCs w:val="24"/>
          <w:highlight w:val="none"/>
          <w:lang w:val="en-US" w:eastAsia="zh-CN" w:bidi="ar-SA"/>
        </w:rPr>
        <w:t>（1）监测点位</w:t>
      </w:r>
    </w:p>
    <w:p w14:paraId="2899D42B">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土壤环境质量现状监测点位情况见表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-1</w:t>
      </w:r>
      <w:r>
        <w:rPr>
          <w:rFonts w:hint="eastAsia" w:cs="Times New Roman"/>
          <w:bCs/>
          <w:color w:val="auto"/>
          <w:kern w:val="2"/>
          <w:sz w:val="24"/>
          <w:szCs w:val="24"/>
          <w:highlight w:val="none"/>
          <w:lang w:val="en-US" w:eastAsia="zh-CN" w:bidi="ar-SA"/>
        </w:rPr>
        <w:t>8</w:t>
      </w:r>
      <w:r>
        <w:rPr>
          <w:rFonts w:ascii="Times New Roman" w:hAnsi="Times New Roman" w:eastAsia="宋体" w:cs="Times New Roman"/>
          <w:bCs/>
          <w:color w:val="auto"/>
          <w:kern w:val="2"/>
          <w:sz w:val="24"/>
          <w:szCs w:val="24"/>
          <w:highlight w:val="none"/>
          <w:lang w:val="en-US" w:eastAsia="zh-CN" w:bidi="ar-SA"/>
        </w:rPr>
        <w:t>、图</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w:t>
      </w:r>
      <w:r>
        <w:rPr>
          <w:rFonts w:hint="eastAsia" w:cs="Times New Roman"/>
          <w:bCs/>
          <w:color w:val="auto"/>
          <w:kern w:val="2"/>
          <w:sz w:val="24"/>
          <w:szCs w:val="24"/>
          <w:highlight w:val="none"/>
          <w:lang w:val="en-US" w:eastAsia="zh-CN" w:bidi="ar-SA"/>
        </w:rPr>
        <w:t>3</w:t>
      </w:r>
      <w:r>
        <w:rPr>
          <w:rFonts w:ascii="Times New Roman" w:hAnsi="Times New Roman" w:eastAsia="宋体" w:cs="Times New Roman"/>
          <w:bCs/>
          <w:color w:val="auto"/>
          <w:kern w:val="2"/>
          <w:sz w:val="24"/>
          <w:szCs w:val="24"/>
          <w:highlight w:val="none"/>
          <w:lang w:val="en-US" w:eastAsia="zh-CN" w:bidi="ar-SA"/>
        </w:rPr>
        <w:t>。</w:t>
      </w:r>
    </w:p>
    <w:p w14:paraId="4706E7B2">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表4.2-18  土壤环境质量现状监测点位布设情况一览表</w:t>
      </w:r>
    </w:p>
    <w:tbl>
      <w:tblPr>
        <w:tblStyle w:val="80"/>
        <w:tblW w:w="0" w:type="auto"/>
        <w:tblInd w:w="-7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5"/>
        <w:gridCol w:w="1975"/>
        <w:gridCol w:w="4718"/>
        <w:gridCol w:w="1208"/>
      </w:tblGrid>
      <w:tr w14:paraId="4002F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695" w:type="dxa"/>
            <w:tcBorders>
              <w:tl2br w:val="nil"/>
              <w:tr2bl w:val="nil"/>
            </w:tcBorders>
            <w:shd w:val="clear" w:color="auto" w:fill="auto"/>
            <w:vAlign w:val="center"/>
          </w:tcPr>
          <w:p w14:paraId="210FED5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编号</w:t>
            </w:r>
          </w:p>
        </w:tc>
        <w:tc>
          <w:tcPr>
            <w:tcW w:w="1975" w:type="dxa"/>
            <w:tcBorders>
              <w:tl2br w:val="nil"/>
              <w:tr2bl w:val="nil"/>
            </w:tcBorders>
            <w:shd w:val="clear" w:color="auto" w:fill="auto"/>
            <w:vAlign w:val="center"/>
          </w:tcPr>
          <w:p w14:paraId="78BBA06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点位名称</w:t>
            </w:r>
          </w:p>
        </w:tc>
        <w:tc>
          <w:tcPr>
            <w:tcW w:w="4718" w:type="dxa"/>
            <w:tcBorders>
              <w:tl2br w:val="nil"/>
              <w:tr2bl w:val="nil"/>
            </w:tcBorders>
            <w:shd w:val="clear" w:color="auto" w:fill="auto"/>
            <w:vAlign w:val="center"/>
          </w:tcPr>
          <w:p w14:paraId="5C114D6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监测因子</w:t>
            </w:r>
          </w:p>
        </w:tc>
        <w:tc>
          <w:tcPr>
            <w:tcW w:w="1208" w:type="dxa"/>
            <w:tcBorders>
              <w:tl2br w:val="nil"/>
              <w:tr2bl w:val="nil"/>
            </w:tcBorders>
            <w:shd w:val="clear" w:color="auto" w:fill="auto"/>
            <w:vAlign w:val="center"/>
          </w:tcPr>
          <w:p w14:paraId="7408260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监测频次</w:t>
            </w:r>
          </w:p>
        </w:tc>
      </w:tr>
      <w:tr w14:paraId="69C11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695" w:type="dxa"/>
            <w:tcBorders>
              <w:tl2br w:val="nil"/>
              <w:tr2bl w:val="nil"/>
            </w:tcBorders>
            <w:shd w:val="clear" w:color="auto" w:fill="auto"/>
            <w:vAlign w:val="center"/>
          </w:tcPr>
          <w:p w14:paraId="0070FA1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T1</w:t>
            </w:r>
          </w:p>
        </w:tc>
        <w:tc>
          <w:tcPr>
            <w:tcW w:w="1975" w:type="dxa"/>
            <w:tcBorders>
              <w:tl2br w:val="nil"/>
              <w:tr2bl w:val="nil"/>
            </w:tcBorders>
            <w:shd w:val="clear" w:color="auto" w:fill="auto"/>
            <w:vAlign w:val="center"/>
          </w:tcPr>
          <w:p w14:paraId="7CEE880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厂区外西北侧绿地（约距项目36m）</w:t>
            </w:r>
          </w:p>
        </w:tc>
        <w:tc>
          <w:tcPr>
            <w:tcW w:w="4718" w:type="dxa"/>
            <w:tcBorders>
              <w:tl2br w:val="nil"/>
              <w:tr2bl w:val="nil"/>
            </w:tcBorders>
            <w:shd w:val="clear" w:color="auto" w:fill="auto"/>
            <w:vAlign w:val="center"/>
          </w:tcPr>
          <w:p w14:paraId="40D6C77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GB36600-2018</w:t>
            </w:r>
            <w:r>
              <w:rPr>
                <w:rFonts w:hint="eastAsia" w:ascii="Times New Roman" w:hAnsi="Times New Roman" w:eastAsia="宋体" w:cs="Times New Roman"/>
                <w:color w:val="auto"/>
                <w:kern w:val="0"/>
                <w:sz w:val="21"/>
                <w:szCs w:val="21"/>
                <w:highlight w:val="none"/>
                <w:lang w:val="en-US" w:eastAsia="zh-CN"/>
              </w:rPr>
              <w:t>表</w:t>
            </w:r>
            <w:r>
              <w:rPr>
                <w:rFonts w:hint="default"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val="en-US" w:eastAsia="zh-CN"/>
              </w:rPr>
              <w:t>中基本</w:t>
            </w:r>
            <w:r>
              <w:rPr>
                <w:rFonts w:hint="default" w:ascii="Times New Roman" w:hAnsi="Times New Roman" w:eastAsia="宋体" w:cs="Times New Roman"/>
                <w:color w:val="auto"/>
                <w:kern w:val="0"/>
                <w:sz w:val="21"/>
                <w:szCs w:val="21"/>
                <w:highlight w:val="none"/>
                <w:lang w:val="en-US" w:eastAsia="zh-CN"/>
              </w:rPr>
              <w:t>45</w:t>
            </w:r>
            <w:r>
              <w:rPr>
                <w:rFonts w:hint="eastAsia" w:ascii="Times New Roman" w:hAnsi="Times New Roman" w:eastAsia="宋体" w:cs="Times New Roman"/>
                <w:color w:val="auto"/>
                <w:kern w:val="0"/>
                <w:sz w:val="21"/>
                <w:szCs w:val="21"/>
                <w:highlight w:val="none"/>
                <w:lang w:val="en-US" w:eastAsia="zh-CN"/>
              </w:rPr>
              <w:t>项+pH值、石油烃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1208" w:type="dxa"/>
            <w:vMerge w:val="restart"/>
            <w:tcBorders>
              <w:tl2br w:val="nil"/>
              <w:tr2bl w:val="nil"/>
            </w:tcBorders>
            <w:shd w:val="clear" w:color="auto" w:fill="auto"/>
            <w:vAlign w:val="center"/>
          </w:tcPr>
          <w:p w14:paraId="6EF182DA">
            <w:pPr>
              <w:keepNext w:val="0"/>
              <w:keepLines w:val="0"/>
              <w:widowControl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表层样，</w:t>
            </w:r>
          </w:p>
          <w:p w14:paraId="463D237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次</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天</w:t>
            </w:r>
          </w:p>
        </w:tc>
      </w:tr>
      <w:tr w14:paraId="14F50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695" w:type="dxa"/>
            <w:tcBorders>
              <w:tl2br w:val="nil"/>
              <w:tr2bl w:val="nil"/>
            </w:tcBorders>
            <w:shd w:val="clear" w:color="auto" w:fill="auto"/>
            <w:vAlign w:val="center"/>
          </w:tcPr>
          <w:p w14:paraId="369A4CD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T2</w:t>
            </w:r>
          </w:p>
        </w:tc>
        <w:tc>
          <w:tcPr>
            <w:tcW w:w="1975" w:type="dxa"/>
            <w:tcBorders>
              <w:tl2br w:val="nil"/>
              <w:tr2bl w:val="nil"/>
            </w:tcBorders>
            <w:shd w:val="clear" w:color="auto" w:fill="auto"/>
            <w:vAlign w:val="center"/>
          </w:tcPr>
          <w:p w14:paraId="1BC5F76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厂区外东南侧绿化带（约距项目20m）</w:t>
            </w:r>
          </w:p>
        </w:tc>
        <w:tc>
          <w:tcPr>
            <w:tcW w:w="4718" w:type="dxa"/>
            <w:tcBorders>
              <w:tl2br w:val="nil"/>
              <w:tr2bl w:val="nil"/>
            </w:tcBorders>
            <w:shd w:val="clear" w:color="auto" w:fill="auto"/>
            <w:vAlign w:val="center"/>
          </w:tcPr>
          <w:p w14:paraId="279743B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GB36600-2018</w:t>
            </w:r>
            <w:r>
              <w:rPr>
                <w:rFonts w:hint="eastAsia" w:ascii="Times New Roman" w:hAnsi="Times New Roman" w:eastAsia="宋体" w:cs="Times New Roman"/>
                <w:color w:val="auto"/>
                <w:kern w:val="0"/>
                <w:sz w:val="21"/>
                <w:szCs w:val="21"/>
                <w:highlight w:val="none"/>
                <w:lang w:val="en-US" w:eastAsia="zh-CN"/>
              </w:rPr>
              <w:t>表</w:t>
            </w:r>
            <w:r>
              <w:rPr>
                <w:rFonts w:hint="default"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val="en-US" w:eastAsia="zh-CN"/>
              </w:rPr>
              <w:t>中基本</w:t>
            </w:r>
            <w:r>
              <w:rPr>
                <w:rFonts w:hint="default" w:ascii="Times New Roman" w:hAnsi="Times New Roman" w:eastAsia="宋体" w:cs="Times New Roman"/>
                <w:color w:val="auto"/>
                <w:kern w:val="0"/>
                <w:sz w:val="21"/>
                <w:szCs w:val="21"/>
                <w:highlight w:val="none"/>
                <w:lang w:val="en-US" w:eastAsia="zh-CN"/>
              </w:rPr>
              <w:t>45</w:t>
            </w:r>
            <w:r>
              <w:rPr>
                <w:rFonts w:hint="eastAsia" w:ascii="Times New Roman" w:hAnsi="Times New Roman" w:eastAsia="宋体" w:cs="Times New Roman"/>
                <w:color w:val="auto"/>
                <w:kern w:val="0"/>
                <w:sz w:val="21"/>
                <w:szCs w:val="21"/>
                <w:highlight w:val="none"/>
                <w:lang w:val="en-US" w:eastAsia="zh-CN"/>
              </w:rPr>
              <w:t>项+pH值、石油烃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1208" w:type="dxa"/>
            <w:vMerge w:val="continue"/>
            <w:tcBorders>
              <w:tl2br w:val="nil"/>
              <w:tr2bl w:val="nil"/>
            </w:tcBorders>
            <w:shd w:val="clear" w:color="auto" w:fill="auto"/>
            <w:vAlign w:val="center"/>
          </w:tcPr>
          <w:p w14:paraId="58A9334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38D82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1" w:hRule="atLeast"/>
        </w:trPr>
        <w:tc>
          <w:tcPr>
            <w:tcW w:w="695" w:type="dxa"/>
            <w:tcBorders>
              <w:tl2br w:val="nil"/>
              <w:tr2bl w:val="nil"/>
            </w:tcBorders>
            <w:shd w:val="clear" w:color="auto" w:fill="auto"/>
            <w:vAlign w:val="center"/>
          </w:tcPr>
          <w:p w14:paraId="04B898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T</w:t>
            </w:r>
            <w:r>
              <w:rPr>
                <w:rFonts w:hint="eastAsia" w:ascii="Times New Roman" w:hAnsi="Times New Roman" w:eastAsia="宋体" w:cs="Times New Roman"/>
                <w:color w:val="auto"/>
                <w:kern w:val="0"/>
                <w:sz w:val="21"/>
                <w:szCs w:val="21"/>
                <w:highlight w:val="none"/>
                <w:lang w:val="en-US" w:eastAsia="zh-CN" w:bidi="ar"/>
              </w:rPr>
              <w:t>3</w:t>
            </w:r>
          </w:p>
        </w:tc>
        <w:tc>
          <w:tcPr>
            <w:tcW w:w="1975" w:type="dxa"/>
            <w:tcBorders>
              <w:tl2br w:val="nil"/>
              <w:tr2bl w:val="nil"/>
            </w:tcBorders>
            <w:shd w:val="clear" w:color="auto" w:fill="auto"/>
            <w:vAlign w:val="center"/>
          </w:tcPr>
          <w:p w14:paraId="11C59C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厂区拟建喷漆废气排气筒下风向</w:t>
            </w:r>
          </w:p>
        </w:tc>
        <w:tc>
          <w:tcPr>
            <w:tcW w:w="4718" w:type="dxa"/>
            <w:tcBorders>
              <w:tl2br w:val="nil"/>
              <w:tr2bl w:val="nil"/>
            </w:tcBorders>
            <w:shd w:val="clear" w:color="auto" w:fill="auto"/>
            <w:vAlign w:val="center"/>
          </w:tcPr>
          <w:p w14:paraId="00188A4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GB36600-2018</w:t>
            </w:r>
            <w:r>
              <w:rPr>
                <w:rFonts w:hint="eastAsia" w:ascii="Times New Roman" w:hAnsi="Times New Roman" w:eastAsia="宋体" w:cs="Times New Roman"/>
                <w:color w:val="auto"/>
                <w:kern w:val="0"/>
                <w:sz w:val="21"/>
                <w:szCs w:val="21"/>
                <w:highlight w:val="none"/>
                <w:lang w:val="en-US" w:eastAsia="zh-CN"/>
              </w:rPr>
              <w:t>表</w:t>
            </w:r>
            <w:r>
              <w:rPr>
                <w:rFonts w:hint="default"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val="en-US" w:eastAsia="zh-CN"/>
              </w:rPr>
              <w:t>中基本</w:t>
            </w:r>
            <w:r>
              <w:rPr>
                <w:rFonts w:hint="default" w:ascii="Times New Roman" w:hAnsi="Times New Roman" w:eastAsia="宋体" w:cs="Times New Roman"/>
                <w:color w:val="auto"/>
                <w:kern w:val="0"/>
                <w:sz w:val="21"/>
                <w:szCs w:val="21"/>
                <w:highlight w:val="none"/>
                <w:lang w:val="en-US" w:eastAsia="zh-CN"/>
              </w:rPr>
              <w:t>45</w:t>
            </w:r>
            <w:r>
              <w:rPr>
                <w:rFonts w:hint="eastAsia" w:ascii="Times New Roman" w:hAnsi="Times New Roman" w:eastAsia="宋体" w:cs="Times New Roman"/>
                <w:color w:val="auto"/>
                <w:kern w:val="0"/>
                <w:sz w:val="21"/>
                <w:szCs w:val="21"/>
                <w:highlight w:val="none"/>
                <w:lang w:val="en-US" w:eastAsia="zh-CN"/>
              </w:rPr>
              <w:t>项+pH值、石油烃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1208" w:type="dxa"/>
            <w:vMerge w:val="continue"/>
            <w:tcBorders>
              <w:tl2br w:val="nil"/>
              <w:tr2bl w:val="nil"/>
            </w:tcBorders>
            <w:shd w:val="clear" w:color="auto" w:fill="auto"/>
            <w:vAlign w:val="center"/>
          </w:tcPr>
          <w:p w14:paraId="2AC9301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4320A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1" w:hRule="atLeast"/>
        </w:trPr>
        <w:tc>
          <w:tcPr>
            <w:tcW w:w="695" w:type="dxa"/>
            <w:tcBorders>
              <w:tl2br w:val="nil"/>
              <w:tr2bl w:val="nil"/>
            </w:tcBorders>
            <w:shd w:val="clear" w:color="auto" w:fill="auto"/>
            <w:vAlign w:val="center"/>
          </w:tcPr>
          <w:p w14:paraId="2C694C2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T4</w:t>
            </w:r>
          </w:p>
        </w:tc>
        <w:tc>
          <w:tcPr>
            <w:tcW w:w="1975" w:type="dxa"/>
            <w:tcBorders>
              <w:tl2br w:val="nil"/>
              <w:tr2bl w:val="nil"/>
            </w:tcBorders>
            <w:shd w:val="clear" w:color="auto" w:fill="auto"/>
            <w:vAlign w:val="center"/>
          </w:tcPr>
          <w:p w14:paraId="252B789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厂区拟建危废间附近</w:t>
            </w:r>
          </w:p>
        </w:tc>
        <w:tc>
          <w:tcPr>
            <w:tcW w:w="4718" w:type="dxa"/>
            <w:tcBorders>
              <w:tl2br w:val="nil"/>
              <w:tr2bl w:val="nil"/>
            </w:tcBorders>
            <w:shd w:val="clear" w:color="auto" w:fill="auto"/>
            <w:vAlign w:val="center"/>
          </w:tcPr>
          <w:p w14:paraId="3BCB0B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GB36600-2018</w:t>
            </w:r>
            <w:r>
              <w:rPr>
                <w:rFonts w:hint="eastAsia" w:ascii="Times New Roman" w:hAnsi="Times New Roman" w:eastAsia="宋体" w:cs="Times New Roman"/>
                <w:color w:val="auto"/>
                <w:kern w:val="0"/>
                <w:sz w:val="21"/>
                <w:szCs w:val="21"/>
                <w:highlight w:val="none"/>
                <w:lang w:val="en-US" w:eastAsia="zh-CN"/>
              </w:rPr>
              <w:t>表</w:t>
            </w:r>
            <w:r>
              <w:rPr>
                <w:rFonts w:hint="default"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val="en-US" w:eastAsia="zh-CN"/>
              </w:rPr>
              <w:t>中基本</w:t>
            </w:r>
            <w:r>
              <w:rPr>
                <w:rFonts w:hint="default" w:ascii="Times New Roman" w:hAnsi="Times New Roman" w:eastAsia="宋体" w:cs="Times New Roman"/>
                <w:color w:val="auto"/>
                <w:kern w:val="0"/>
                <w:sz w:val="21"/>
                <w:szCs w:val="21"/>
                <w:highlight w:val="none"/>
                <w:lang w:val="en-US" w:eastAsia="zh-CN"/>
              </w:rPr>
              <w:t>45</w:t>
            </w:r>
            <w:r>
              <w:rPr>
                <w:rFonts w:hint="eastAsia" w:ascii="Times New Roman" w:hAnsi="Times New Roman" w:eastAsia="宋体" w:cs="Times New Roman"/>
                <w:color w:val="auto"/>
                <w:kern w:val="0"/>
                <w:sz w:val="21"/>
                <w:szCs w:val="21"/>
                <w:highlight w:val="none"/>
                <w:lang w:val="en-US" w:eastAsia="zh-CN"/>
              </w:rPr>
              <w:t>项+pH值、石油烃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1208" w:type="dxa"/>
            <w:vMerge w:val="restart"/>
            <w:tcBorders>
              <w:tl2br w:val="nil"/>
              <w:tr2bl w:val="nil"/>
            </w:tcBorders>
            <w:shd w:val="clear" w:color="auto" w:fill="auto"/>
            <w:vAlign w:val="center"/>
          </w:tcPr>
          <w:p w14:paraId="771A7143">
            <w:pPr>
              <w:keepNext w:val="0"/>
              <w:keepLines w:val="0"/>
              <w:widowControl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柱状样，</w:t>
            </w:r>
          </w:p>
          <w:p w14:paraId="76C8EBA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次</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天</w:t>
            </w:r>
          </w:p>
        </w:tc>
      </w:tr>
      <w:tr w14:paraId="0FCAE3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1" w:hRule="atLeast"/>
        </w:trPr>
        <w:tc>
          <w:tcPr>
            <w:tcW w:w="695" w:type="dxa"/>
            <w:tcBorders>
              <w:tl2br w:val="nil"/>
              <w:tr2bl w:val="nil"/>
            </w:tcBorders>
            <w:shd w:val="clear" w:color="auto" w:fill="auto"/>
            <w:vAlign w:val="center"/>
          </w:tcPr>
          <w:p w14:paraId="1BC2171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T5</w:t>
            </w:r>
          </w:p>
        </w:tc>
        <w:tc>
          <w:tcPr>
            <w:tcW w:w="1975" w:type="dxa"/>
            <w:tcBorders>
              <w:tl2br w:val="nil"/>
              <w:tr2bl w:val="nil"/>
            </w:tcBorders>
            <w:shd w:val="clear" w:color="auto" w:fill="auto"/>
            <w:vAlign w:val="center"/>
          </w:tcPr>
          <w:p w14:paraId="4B6FBB7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厂区拟建辅料仓库下游</w:t>
            </w:r>
          </w:p>
        </w:tc>
        <w:tc>
          <w:tcPr>
            <w:tcW w:w="4718" w:type="dxa"/>
            <w:vMerge w:val="restart"/>
            <w:tcBorders>
              <w:tl2br w:val="nil"/>
              <w:tr2bl w:val="nil"/>
            </w:tcBorders>
            <w:shd w:val="clear" w:color="auto" w:fill="auto"/>
            <w:vAlign w:val="center"/>
          </w:tcPr>
          <w:p w14:paraId="3A2FAD5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pH值、苯、间二甲苯+对二甲苯、邻二甲苯、石油烃</w:t>
            </w:r>
            <w:r>
              <w:rPr>
                <w:rFonts w:hint="eastAsia"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10</w:t>
            </w:r>
            <w:r>
              <w:rPr>
                <w:rFonts w:hint="eastAsia" w:ascii="Times New Roman" w:hAnsi="Times New Roman" w:eastAsia="宋体" w:cs="Times New Roman"/>
                <w:color w:val="auto"/>
                <w:kern w:val="0"/>
                <w:sz w:val="21"/>
                <w:szCs w:val="21"/>
                <w:highlight w:val="none"/>
                <w:lang w:val="en-US" w:eastAsia="zh-CN"/>
              </w:rPr>
              <w:t>-C</w:t>
            </w:r>
            <w:r>
              <w:rPr>
                <w:rFonts w:hint="eastAsia" w:ascii="Times New Roman" w:hAnsi="Times New Roman" w:eastAsia="宋体" w:cs="Times New Roman"/>
                <w:color w:val="auto"/>
                <w:kern w:val="0"/>
                <w:sz w:val="21"/>
                <w:szCs w:val="21"/>
                <w:highlight w:val="none"/>
                <w:vertAlign w:val="subscript"/>
                <w:lang w:val="en-US" w:eastAsia="zh-CN"/>
              </w:rPr>
              <w:t>40</w:t>
            </w:r>
            <w:r>
              <w:rPr>
                <w:rFonts w:hint="eastAsia" w:cs="Times New Roman"/>
                <w:color w:val="auto"/>
                <w:kern w:val="0"/>
                <w:sz w:val="21"/>
                <w:szCs w:val="21"/>
                <w:highlight w:val="none"/>
                <w:lang w:val="en-US" w:eastAsia="zh-CN"/>
              </w:rPr>
              <w:t>）</w:t>
            </w:r>
          </w:p>
        </w:tc>
        <w:tc>
          <w:tcPr>
            <w:tcW w:w="1208" w:type="dxa"/>
            <w:vMerge w:val="continue"/>
            <w:tcBorders>
              <w:tl2br w:val="nil"/>
              <w:tr2bl w:val="nil"/>
            </w:tcBorders>
            <w:shd w:val="clear" w:color="auto" w:fill="auto"/>
            <w:vAlign w:val="center"/>
          </w:tcPr>
          <w:p w14:paraId="1741E71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r w14:paraId="7A710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1" w:hRule="atLeast"/>
        </w:trPr>
        <w:tc>
          <w:tcPr>
            <w:tcW w:w="695" w:type="dxa"/>
            <w:tcBorders>
              <w:tl2br w:val="nil"/>
              <w:tr2bl w:val="nil"/>
            </w:tcBorders>
            <w:shd w:val="clear" w:color="auto" w:fill="auto"/>
            <w:vAlign w:val="center"/>
          </w:tcPr>
          <w:p w14:paraId="5B20460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T6</w:t>
            </w:r>
          </w:p>
        </w:tc>
        <w:tc>
          <w:tcPr>
            <w:tcW w:w="1975" w:type="dxa"/>
            <w:tcBorders>
              <w:tl2br w:val="nil"/>
              <w:tr2bl w:val="nil"/>
            </w:tcBorders>
            <w:shd w:val="clear" w:color="auto" w:fill="auto"/>
            <w:vAlign w:val="center"/>
          </w:tcPr>
          <w:p w14:paraId="554A90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厂区拟建喷漆房</w:t>
            </w:r>
          </w:p>
        </w:tc>
        <w:tc>
          <w:tcPr>
            <w:tcW w:w="4718" w:type="dxa"/>
            <w:vMerge w:val="continue"/>
            <w:tcBorders>
              <w:tl2br w:val="nil"/>
              <w:tr2bl w:val="nil"/>
            </w:tcBorders>
            <w:shd w:val="clear" w:color="auto" w:fill="auto"/>
            <w:vAlign w:val="center"/>
          </w:tcPr>
          <w:p w14:paraId="1CB1E1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208" w:type="dxa"/>
            <w:vMerge w:val="continue"/>
            <w:tcBorders>
              <w:tl2br w:val="nil"/>
              <w:tr2bl w:val="nil"/>
            </w:tcBorders>
            <w:shd w:val="clear" w:color="auto" w:fill="auto"/>
            <w:vAlign w:val="center"/>
          </w:tcPr>
          <w:p w14:paraId="43FB7B3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
              </w:rPr>
            </w:pPr>
          </w:p>
        </w:tc>
      </w:tr>
    </w:tbl>
    <w:p w14:paraId="07C20A70">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（2）布点合理性分析</w:t>
      </w:r>
    </w:p>
    <w:p w14:paraId="1FD32693">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根据《环境影响评价技术导则 土壤环境（试行）》（HJ964-2018），土壤环境评价等级为二级。二级评价项目布点类型及数量见表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-1</w:t>
      </w:r>
      <w:r>
        <w:rPr>
          <w:rFonts w:hint="eastAsia" w:cs="Times New Roman"/>
          <w:bCs/>
          <w:color w:val="auto"/>
          <w:kern w:val="2"/>
          <w:sz w:val="24"/>
          <w:szCs w:val="24"/>
          <w:highlight w:val="none"/>
          <w:lang w:val="en-US" w:eastAsia="zh-CN" w:bidi="ar-SA"/>
        </w:rPr>
        <w:t>9</w:t>
      </w:r>
      <w:r>
        <w:rPr>
          <w:rFonts w:ascii="Times New Roman" w:hAnsi="Times New Roman" w:eastAsia="宋体" w:cs="Times New Roman"/>
          <w:bCs/>
          <w:color w:val="auto"/>
          <w:kern w:val="2"/>
          <w:sz w:val="24"/>
          <w:szCs w:val="24"/>
          <w:highlight w:val="none"/>
          <w:lang w:val="en-US" w:eastAsia="zh-CN" w:bidi="ar-SA"/>
        </w:rPr>
        <w:t>。</w:t>
      </w:r>
    </w:p>
    <w:p w14:paraId="4AC1877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表4.2-19  现状监测布点类型与数量</w:t>
      </w:r>
    </w:p>
    <w:tbl>
      <w:tblPr>
        <w:tblStyle w:val="8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1"/>
        <w:gridCol w:w="2841"/>
        <w:gridCol w:w="2840"/>
      </w:tblGrid>
      <w:tr w14:paraId="233B6E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43" w:type="dxa"/>
            <w:gridSpan w:val="2"/>
            <w:tcBorders>
              <w:tl2br w:val="nil"/>
              <w:tr2bl w:val="nil"/>
            </w:tcBorders>
            <w:noWrap w:val="0"/>
            <w:vAlign w:val="top"/>
          </w:tcPr>
          <w:p w14:paraId="56CDC789">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评价工作等级</w:t>
            </w:r>
          </w:p>
        </w:tc>
        <w:tc>
          <w:tcPr>
            <w:tcW w:w="2843" w:type="dxa"/>
            <w:tcBorders>
              <w:tl2br w:val="nil"/>
              <w:tr2bl w:val="nil"/>
            </w:tcBorders>
            <w:noWrap w:val="0"/>
            <w:vAlign w:val="top"/>
          </w:tcPr>
          <w:p w14:paraId="302342BD">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占地范围内</w:t>
            </w:r>
          </w:p>
        </w:tc>
        <w:tc>
          <w:tcPr>
            <w:tcW w:w="2843" w:type="dxa"/>
            <w:tcBorders>
              <w:tl2br w:val="nil"/>
              <w:tr2bl w:val="nil"/>
            </w:tcBorders>
            <w:noWrap w:val="0"/>
            <w:vAlign w:val="top"/>
          </w:tcPr>
          <w:p w14:paraId="56527E17">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占地范围外</w:t>
            </w:r>
          </w:p>
        </w:tc>
      </w:tr>
      <w:tr w14:paraId="270EFE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1" w:type="dxa"/>
            <w:tcBorders>
              <w:tl2br w:val="nil"/>
              <w:tr2bl w:val="nil"/>
            </w:tcBorders>
            <w:noWrap w:val="0"/>
            <w:vAlign w:val="top"/>
          </w:tcPr>
          <w:p w14:paraId="47A5C31D">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二级</w:t>
            </w:r>
          </w:p>
        </w:tc>
        <w:tc>
          <w:tcPr>
            <w:tcW w:w="1422" w:type="dxa"/>
            <w:tcBorders>
              <w:tl2br w:val="nil"/>
              <w:tr2bl w:val="nil"/>
            </w:tcBorders>
            <w:noWrap w:val="0"/>
            <w:vAlign w:val="top"/>
          </w:tcPr>
          <w:p w14:paraId="54A8016C">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污染影响型</w:t>
            </w:r>
          </w:p>
        </w:tc>
        <w:tc>
          <w:tcPr>
            <w:tcW w:w="2843" w:type="dxa"/>
            <w:tcBorders>
              <w:tl2br w:val="nil"/>
              <w:tr2bl w:val="nil"/>
            </w:tcBorders>
            <w:noWrap w:val="0"/>
            <w:vAlign w:val="top"/>
          </w:tcPr>
          <w:p w14:paraId="706F1F42">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3个柱状样点，1个表层样点</w:t>
            </w:r>
          </w:p>
        </w:tc>
        <w:tc>
          <w:tcPr>
            <w:tcW w:w="2843" w:type="dxa"/>
            <w:tcBorders>
              <w:tl2br w:val="nil"/>
              <w:tr2bl w:val="nil"/>
            </w:tcBorders>
            <w:noWrap w:val="0"/>
            <w:vAlign w:val="top"/>
          </w:tcPr>
          <w:p w14:paraId="6F045B77">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2个表层样点</w:t>
            </w:r>
          </w:p>
        </w:tc>
      </w:tr>
    </w:tbl>
    <w:p w14:paraId="09FEC27E">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（3）监测项目及分析方法</w:t>
      </w:r>
    </w:p>
    <w:p w14:paraId="4757B643">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土壤环境质量现状监测项目及分析方法见表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w:t>
      </w:r>
      <w:r>
        <w:rPr>
          <w:rFonts w:hint="eastAsia" w:cs="Times New Roman"/>
          <w:bCs/>
          <w:color w:val="auto"/>
          <w:kern w:val="2"/>
          <w:sz w:val="24"/>
          <w:szCs w:val="24"/>
          <w:highlight w:val="none"/>
          <w:lang w:val="en-US" w:eastAsia="zh-CN" w:bidi="ar-SA"/>
        </w:rPr>
        <w:t>20</w:t>
      </w:r>
      <w:r>
        <w:rPr>
          <w:rFonts w:ascii="Times New Roman" w:hAnsi="Times New Roman" w:eastAsia="宋体" w:cs="Times New Roman"/>
          <w:bCs/>
          <w:color w:val="auto"/>
          <w:kern w:val="2"/>
          <w:sz w:val="24"/>
          <w:szCs w:val="24"/>
          <w:highlight w:val="none"/>
          <w:lang w:val="en-US" w:eastAsia="zh-CN" w:bidi="ar-SA"/>
        </w:rPr>
        <w:t>。</w:t>
      </w:r>
    </w:p>
    <w:p w14:paraId="2847FE7A">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表4.2-20  土壤环境质量现状监测项目及分析方法一览表</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1407"/>
        <w:gridCol w:w="3060"/>
        <w:gridCol w:w="1815"/>
        <w:gridCol w:w="1436"/>
      </w:tblGrid>
      <w:tr w14:paraId="3B1348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tblHeader/>
          <w:jc w:val="center"/>
        </w:trPr>
        <w:tc>
          <w:tcPr>
            <w:tcW w:w="511" w:type="pct"/>
            <w:tcBorders>
              <w:tl2br w:val="nil"/>
              <w:tr2bl w:val="nil"/>
            </w:tcBorders>
            <w:noWrap w:val="0"/>
            <w:vAlign w:val="center"/>
          </w:tcPr>
          <w:p w14:paraId="6C63493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类别</w:t>
            </w:r>
          </w:p>
        </w:tc>
        <w:tc>
          <w:tcPr>
            <w:tcW w:w="848" w:type="pct"/>
            <w:tcBorders>
              <w:tl2br w:val="nil"/>
              <w:tr2bl w:val="nil"/>
            </w:tcBorders>
            <w:noWrap w:val="0"/>
            <w:vAlign w:val="center"/>
          </w:tcPr>
          <w:p w14:paraId="1ADD72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项目</w:t>
            </w:r>
          </w:p>
        </w:tc>
        <w:tc>
          <w:tcPr>
            <w:tcW w:w="1854" w:type="pct"/>
            <w:tcBorders>
              <w:tl2br w:val="nil"/>
              <w:tr2bl w:val="nil"/>
            </w:tcBorders>
            <w:noWrap w:val="0"/>
            <w:vAlign w:val="center"/>
          </w:tcPr>
          <w:p w14:paraId="7DFBF09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分析方法</w:t>
            </w:r>
          </w:p>
        </w:tc>
        <w:tc>
          <w:tcPr>
            <w:tcW w:w="1031" w:type="pct"/>
            <w:tcBorders>
              <w:tl2br w:val="nil"/>
              <w:tr2bl w:val="nil"/>
            </w:tcBorders>
            <w:noWrap w:val="0"/>
            <w:vAlign w:val="center"/>
          </w:tcPr>
          <w:p w14:paraId="15F6CEA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仪器名称型号</w:t>
            </w:r>
          </w:p>
          <w:p w14:paraId="2A2726D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及管理编号</w:t>
            </w:r>
          </w:p>
        </w:tc>
        <w:tc>
          <w:tcPr>
            <w:tcW w:w="754" w:type="pct"/>
            <w:tcBorders>
              <w:tl2br w:val="nil"/>
              <w:tr2bl w:val="nil"/>
            </w:tcBorders>
            <w:noWrap w:val="0"/>
            <w:vAlign w:val="center"/>
          </w:tcPr>
          <w:p w14:paraId="1147FBB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检出限</w:t>
            </w:r>
          </w:p>
        </w:tc>
      </w:tr>
      <w:tr w14:paraId="26593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restart"/>
            <w:tcBorders>
              <w:tl2br w:val="nil"/>
              <w:tr2bl w:val="nil"/>
            </w:tcBorders>
            <w:noWrap w:val="0"/>
            <w:vAlign w:val="center"/>
          </w:tcPr>
          <w:p w14:paraId="3A27AC1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w:t>
            </w:r>
            <w:r>
              <w:rPr>
                <w:rFonts w:hint="eastAsia" w:ascii="Times New Roman" w:hAnsi="Times New Roman" w:eastAsia="宋体" w:cs="Times New Roman"/>
                <w:color w:val="auto"/>
                <w:kern w:val="0"/>
                <w:sz w:val="21"/>
                <w:szCs w:val="21"/>
                <w:highlight w:val="none"/>
                <w:lang w:val="en-US" w:eastAsia="zh-CN"/>
              </w:rPr>
              <w:t>水系</w:t>
            </w:r>
            <w:r>
              <w:rPr>
                <w:rFonts w:hint="default" w:ascii="Times New Roman" w:hAnsi="Times New Roman" w:eastAsia="宋体" w:cs="Times New Roman"/>
                <w:color w:val="auto"/>
                <w:kern w:val="0"/>
                <w:sz w:val="21"/>
                <w:szCs w:val="21"/>
                <w:highlight w:val="none"/>
                <w:lang w:val="en-US" w:eastAsia="zh-CN"/>
              </w:rPr>
              <w:t>沉积物</w:t>
            </w:r>
          </w:p>
        </w:tc>
        <w:tc>
          <w:tcPr>
            <w:tcW w:w="848" w:type="pct"/>
            <w:tcBorders>
              <w:tl2br w:val="nil"/>
              <w:tr2bl w:val="nil"/>
            </w:tcBorders>
            <w:noWrap w:val="0"/>
            <w:vAlign w:val="center"/>
          </w:tcPr>
          <w:p w14:paraId="1377888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pH值</w:t>
            </w:r>
          </w:p>
        </w:tc>
        <w:tc>
          <w:tcPr>
            <w:tcW w:w="1854" w:type="pct"/>
            <w:tcBorders>
              <w:tl2br w:val="nil"/>
              <w:tr2bl w:val="nil"/>
            </w:tcBorders>
            <w:noWrap w:val="0"/>
            <w:vAlign w:val="center"/>
          </w:tcPr>
          <w:p w14:paraId="14D3E76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pH值的测定</w:t>
            </w:r>
            <w:r>
              <w:rPr>
                <w:rFonts w:hint="eastAsia" w:ascii="Times New Roman" w:hAnsi="Times New Roman" w:eastAsia="宋体" w:cs="Times New Roman"/>
                <w:color w:val="auto"/>
                <w:kern w:val="0"/>
                <w:sz w:val="21"/>
                <w:szCs w:val="21"/>
                <w:highlight w:val="none"/>
                <w:lang w:val="en-US" w:eastAsia="zh-CN"/>
              </w:rPr>
              <w:t xml:space="preserve"> 电位法</w:t>
            </w:r>
            <w:r>
              <w:rPr>
                <w:rFonts w:hint="default" w:ascii="Times New Roman" w:hAnsi="Times New Roman" w:eastAsia="宋体" w:cs="Times New Roman"/>
                <w:color w:val="auto"/>
                <w:kern w:val="0"/>
                <w:sz w:val="21"/>
                <w:szCs w:val="21"/>
                <w:highlight w:val="none"/>
                <w:lang w:val="en-US" w:eastAsia="zh-CN"/>
              </w:rPr>
              <w:t>》</w:t>
            </w:r>
          </w:p>
          <w:p w14:paraId="71EB36F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HJ 962-2018</w:t>
            </w:r>
            <w:r>
              <w:rPr>
                <w:rFonts w:hint="default" w:ascii="Times New Roman" w:hAnsi="Times New Roman" w:eastAsia="宋体" w:cs="Times New Roman"/>
                <w:color w:val="auto"/>
                <w:kern w:val="0"/>
                <w:sz w:val="21"/>
                <w:szCs w:val="21"/>
                <w:highlight w:val="none"/>
                <w:lang w:val="en-US" w:eastAsia="zh-CN"/>
              </w:rPr>
              <w:t>）</w:t>
            </w:r>
          </w:p>
        </w:tc>
        <w:tc>
          <w:tcPr>
            <w:tcW w:w="1031" w:type="pct"/>
            <w:tcBorders>
              <w:tl2br w:val="nil"/>
              <w:tr2bl w:val="nil"/>
            </w:tcBorders>
            <w:noWrap w:val="0"/>
            <w:vAlign w:val="center"/>
          </w:tcPr>
          <w:p w14:paraId="3081042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PSXJ-216F型</w:t>
            </w:r>
          </w:p>
          <w:p w14:paraId="2B9A9E7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离子计（JW-S-452）</w:t>
            </w:r>
          </w:p>
        </w:tc>
        <w:tc>
          <w:tcPr>
            <w:tcW w:w="754" w:type="pct"/>
            <w:tcBorders>
              <w:tl2br w:val="nil"/>
              <w:tr2bl w:val="nil"/>
            </w:tcBorders>
            <w:noWrap w:val="0"/>
            <w:vAlign w:val="center"/>
          </w:tcPr>
          <w:p w14:paraId="3D5116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r w14:paraId="55289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6A7DCE2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272E5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石油烃（C10-C40）</w:t>
            </w:r>
          </w:p>
        </w:tc>
        <w:tc>
          <w:tcPr>
            <w:tcW w:w="1854" w:type="pct"/>
            <w:tcBorders>
              <w:tl2br w:val="nil"/>
              <w:tr2bl w:val="nil"/>
            </w:tcBorders>
            <w:noWrap w:val="0"/>
            <w:vAlign w:val="center"/>
          </w:tcPr>
          <w:p w14:paraId="5410AB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石油烃（C10-C40）的测定 气相色谱法》（HJ 1021-2019）</w:t>
            </w:r>
          </w:p>
        </w:tc>
        <w:tc>
          <w:tcPr>
            <w:tcW w:w="1031" w:type="pct"/>
            <w:tcBorders>
              <w:tl2br w:val="nil"/>
              <w:tr2bl w:val="nil"/>
            </w:tcBorders>
            <w:noWrap w:val="0"/>
            <w:vAlign w:val="center"/>
          </w:tcPr>
          <w:p w14:paraId="243FF8F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GC-2010PRO型</w:t>
            </w:r>
          </w:p>
          <w:p w14:paraId="228C49C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气相色谱仪（JW-S-182）</w:t>
            </w:r>
          </w:p>
        </w:tc>
        <w:tc>
          <w:tcPr>
            <w:tcW w:w="754" w:type="pct"/>
            <w:tcBorders>
              <w:tl2br w:val="nil"/>
              <w:tr2bl w:val="nil"/>
            </w:tcBorders>
            <w:noWrap w:val="0"/>
            <w:vAlign w:val="center"/>
          </w:tcPr>
          <w:p w14:paraId="094407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6mg/kg</w:t>
            </w:r>
          </w:p>
        </w:tc>
      </w:tr>
      <w:tr w14:paraId="04E99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F114D3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28921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镉</w:t>
            </w:r>
          </w:p>
        </w:tc>
        <w:tc>
          <w:tcPr>
            <w:tcW w:w="1854" w:type="pct"/>
            <w:vMerge w:val="restart"/>
            <w:tcBorders>
              <w:tl2br w:val="nil"/>
              <w:tr2bl w:val="nil"/>
            </w:tcBorders>
            <w:noWrap w:val="0"/>
            <w:vAlign w:val="center"/>
          </w:tcPr>
          <w:p w14:paraId="0AD5EC4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《土壤质量 铅、镉的测定 石墨炉原子吸收分光光度法》</w:t>
            </w:r>
          </w:p>
          <w:p w14:paraId="2308C01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（GB/T 17141-1997）</w:t>
            </w:r>
          </w:p>
        </w:tc>
        <w:tc>
          <w:tcPr>
            <w:tcW w:w="1031" w:type="pct"/>
            <w:vMerge w:val="restart"/>
            <w:tcBorders>
              <w:tl2br w:val="nil"/>
              <w:tr2bl w:val="nil"/>
            </w:tcBorders>
            <w:noWrap w:val="0"/>
            <w:vAlign w:val="center"/>
          </w:tcPr>
          <w:p w14:paraId="75265CC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ICE-3500型原子吸收分光光度计（JW-S-121）</w:t>
            </w:r>
          </w:p>
        </w:tc>
        <w:tc>
          <w:tcPr>
            <w:tcW w:w="754" w:type="pct"/>
            <w:tcBorders>
              <w:tl2br w:val="nil"/>
              <w:tr2bl w:val="nil"/>
            </w:tcBorders>
            <w:noWrap w:val="0"/>
            <w:vAlign w:val="center"/>
          </w:tcPr>
          <w:p w14:paraId="49A788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0.01mg/kg</w:t>
            </w:r>
          </w:p>
        </w:tc>
      </w:tr>
      <w:tr w14:paraId="2BE74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3B3E2AC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432C9C6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铅</w:t>
            </w:r>
          </w:p>
        </w:tc>
        <w:tc>
          <w:tcPr>
            <w:tcW w:w="1854" w:type="pct"/>
            <w:vMerge w:val="continue"/>
            <w:tcBorders>
              <w:tl2br w:val="nil"/>
              <w:tr2bl w:val="nil"/>
            </w:tcBorders>
            <w:noWrap w:val="0"/>
            <w:vAlign w:val="center"/>
          </w:tcPr>
          <w:p w14:paraId="25D92C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6D62024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4F6B931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4DCD1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EC613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78513E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铜</w:t>
            </w:r>
          </w:p>
        </w:tc>
        <w:tc>
          <w:tcPr>
            <w:tcW w:w="1854" w:type="pct"/>
            <w:vMerge w:val="restart"/>
            <w:tcBorders>
              <w:tl2br w:val="nil"/>
              <w:tr2bl w:val="nil"/>
            </w:tcBorders>
            <w:noWrap w:val="0"/>
            <w:vAlign w:val="center"/>
          </w:tcPr>
          <w:p w14:paraId="498744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铜、锌、铅、镍、铬的测定 火焰原子吸收分光光度法》（HJ 491-2019）</w:t>
            </w:r>
          </w:p>
        </w:tc>
        <w:tc>
          <w:tcPr>
            <w:tcW w:w="1031" w:type="pct"/>
            <w:vMerge w:val="restart"/>
            <w:tcBorders>
              <w:tl2br w:val="nil"/>
              <w:tr2bl w:val="nil"/>
            </w:tcBorders>
            <w:noWrap w:val="0"/>
            <w:vAlign w:val="center"/>
          </w:tcPr>
          <w:p w14:paraId="730536C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TAS-990型原子</w:t>
            </w:r>
          </w:p>
          <w:p w14:paraId="161EC2A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吸收分光光度计（JW-S-01）</w:t>
            </w:r>
          </w:p>
        </w:tc>
        <w:tc>
          <w:tcPr>
            <w:tcW w:w="754" w:type="pct"/>
            <w:tcBorders>
              <w:tl2br w:val="nil"/>
              <w:tr2bl w:val="nil"/>
            </w:tcBorders>
            <w:noWrap w:val="0"/>
            <w:vAlign w:val="center"/>
          </w:tcPr>
          <w:p w14:paraId="3FDE056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1mg/kg</w:t>
            </w:r>
          </w:p>
        </w:tc>
      </w:tr>
      <w:tr w14:paraId="698D8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279459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3C4649B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镍</w:t>
            </w:r>
          </w:p>
        </w:tc>
        <w:tc>
          <w:tcPr>
            <w:tcW w:w="1854" w:type="pct"/>
            <w:vMerge w:val="continue"/>
            <w:tcBorders>
              <w:tl2br w:val="nil"/>
              <w:tr2bl w:val="nil"/>
            </w:tcBorders>
            <w:noWrap w:val="0"/>
            <w:vAlign w:val="center"/>
          </w:tcPr>
          <w:p w14:paraId="1321DDC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40F8AC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118222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3mg/kg</w:t>
            </w:r>
          </w:p>
        </w:tc>
      </w:tr>
      <w:tr w14:paraId="337BE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34897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CA4CD4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六价铬</w:t>
            </w:r>
          </w:p>
        </w:tc>
        <w:tc>
          <w:tcPr>
            <w:tcW w:w="1854" w:type="pct"/>
            <w:tcBorders>
              <w:tl2br w:val="nil"/>
              <w:tr2bl w:val="nil"/>
            </w:tcBorders>
            <w:noWrap w:val="0"/>
            <w:vAlign w:val="center"/>
          </w:tcPr>
          <w:p w14:paraId="06537E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六价铬的测定 碱溶液提取-火焰原子吸收分光光度法》（HJ 1082-2019）</w:t>
            </w:r>
          </w:p>
        </w:tc>
        <w:tc>
          <w:tcPr>
            <w:tcW w:w="1031" w:type="pct"/>
            <w:tcBorders>
              <w:tl2br w:val="nil"/>
              <w:tr2bl w:val="nil"/>
            </w:tcBorders>
            <w:noWrap w:val="0"/>
            <w:vAlign w:val="center"/>
          </w:tcPr>
          <w:p w14:paraId="09D90CB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TAS-990型原子</w:t>
            </w:r>
          </w:p>
          <w:p w14:paraId="4D7054B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吸收分光光度计（JW-S-01）</w:t>
            </w:r>
          </w:p>
        </w:tc>
        <w:tc>
          <w:tcPr>
            <w:tcW w:w="754" w:type="pct"/>
            <w:tcBorders>
              <w:tl2br w:val="nil"/>
              <w:tr2bl w:val="nil"/>
            </w:tcBorders>
            <w:noWrap w:val="0"/>
            <w:vAlign w:val="center"/>
          </w:tcPr>
          <w:p w14:paraId="325210A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0.5mg/kg</w:t>
            </w:r>
          </w:p>
        </w:tc>
      </w:tr>
      <w:tr w14:paraId="62B74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511" w:type="pct"/>
            <w:vMerge w:val="continue"/>
            <w:tcBorders>
              <w:tl2br w:val="nil"/>
              <w:tr2bl w:val="nil"/>
            </w:tcBorders>
            <w:noWrap w:val="0"/>
            <w:vAlign w:val="center"/>
          </w:tcPr>
          <w:p w14:paraId="6BAD98F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348AEF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汞</w:t>
            </w:r>
          </w:p>
        </w:tc>
        <w:tc>
          <w:tcPr>
            <w:tcW w:w="1854" w:type="pct"/>
            <w:vMerge w:val="restart"/>
            <w:tcBorders>
              <w:tl2br w:val="nil"/>
              <w:tr2bl w:val="nil"/>
            </w:tcBorders>
            <w:noWrap w:val="0"/>
            <w:vAlign w:val="center"/>
          </w:tcPr>
          <w:p w14:paraId="252CAE2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《土壤和沉积物 汞、砷、硒、铋、锑的测定 微波消解/原子荧光法》（HJ 680-2013）</w:t>
            </w:r>
          </w:p>
        </w:tc>
        <w:tc>
          <w:tcPr>
            <w:tcW w:w="1031" w:type="pct"/>
            <w:vMerge w:val="restart"/>
            <w:tcBorders>
              <w:tl2br w:val="nil"/>
              <w:tr2bl w:val="nil"/>
            </w:tcBorders>
            <w:noWrap w:val="0"/>
            <w:vAlign w:val="center"/>
          </w:tcPr>
          <w:p w14:paraId="4626979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AFS-230E型</w:t>
            </w:r>
          </w:p>
          <w:p w14:paraId="4F2BCA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原子荧光光度计</w:t>
            </w:r>
            <w:r>
              <w:rPr>
                <w:rFonts w:hint="default" w:ascii="Times New Roman" w:hAnsi="Times New Roman" w:eastAsia="宋体" w:cs="Times New Roman"/>
                <w:color w:val="auto"/>
                <w:kern w:val="0"/>
                <w:sz w:val="21"/>
                <w:szCs w:val="21"/>
                <w:highlight w:val="none"/>
                <w:lang w:val="en-US" w:eastAsia="zh-CN"/>
              </w:rPr>
              <w:t>（JW-S-40）</w:t>
            </w:r>
          </w:p>
        </w:tc>
        <w:tc>
          <w:tcPr>
            <w:tcW w:w="754" w:type="pct"/>
            <w:tcBorders>
              <w:tl2br w:val="nil"/>
              <w:tr2bl w:val="nil"/>
            </w:tcBorders>
            <w:noWrap w:val="0"/>
            <w:vAlign w:val="center"/>
          </w:tcPr>
          <w:p w14:paraId="00B6DBC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w:t>
            </w:r>
            <w:r>
              <w:rPr>
                <w:rFonts w:hint="default" w:ascii="Times New Roman" w:hAnsi="Times New Roman" w:eastAsia="宋体" w:cs="Times New Roman"/>
                <w:color w:val="auto"/>
                <w:kern w:val="0"/>
                <w:sz w:val="21"/>
                <w:szCs w:val="21"/>
                <w:highlight w:val="none"/>
                <w:lang w:val="en-US" w:eastAsia="zh-CN"/>
              </w:rPr>
              <w:t>02</w:t>
            </w:r>
            <w:r>
              <w:rPr>
                <w:rFonts w:hint="eastAsia" w:ascii="Times New Roman" w:hAnsi="Times New Roman" w:eastAsia="宋体" w:cs="Times New Roman"/>
                <w:color w:val="auto"/>
                <w:kern w:val="0"/>
                <w:sz w:val="21"/>
                <w:szCs w:val="21"/>
                <w:highlight w:val="none"/>
                <w:lang w:val="en-US" w:eastAsia="zh-CN"/>
              </w:rPr>
              <w:t>mg/kg</w:t>
            </w:r>
          </w:p>
        </w:tc>
      </w:tr>
      <w:tr w14:paraId="1680CE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0013C12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FF25B1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砷</w:t>
            </w:r>
          </w:p>
        </w:tc>
        <w:tc>
          <w:tcPr>
            <w:tcW w:w="1854" w:type="pct"/>
            <w:vMerge w:val="continue"/>
            <w:tcBorders>
              <w:tl2br w:val="nil"/>
              <w:tr2bl w:val="nil"/>
            </w:tcBorders>
            <w:noWrap w:val="0"/>
            <w:vAlign w:val="center"/>
          </w:tcPr>
          <w:p w14:paraId="552C098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46BD0D1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EDB28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01</w:t>
            </w:r>
            <w:r>
              <w:rPr>
                <w:rFonts w:hint="eastAsia" w:ascii="Times New Roman" w:hAnsi="Times New Roman" w:eastAsia="宋体" w:cs="Times New Roman"/>
                <w:color w:val="auto"/>
                <w:kern w:val="0"/>
                <w:sz w:val="21"/>
                <w:szCs w:val="21"/>
                <w:highlight w:val="none"/>
                <w:lang w:val="en-US" w:eastAsia="zh-CN"/>
              </w:rPr>
              <w:t>mg/kg</w:t>
            </w:r>
          </w:p>
        </w:tc>
      </w:tr>
      <w:tr w14:paraId="72983E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0A87E3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3C15EB0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四氯化碳</w:t>
            </w:r>
          </w:p>
        </w:tc>
        <w:tc>
          <w:tcPr>
            <w:tcW w:w="1854" w:type="pct"/>
            <w:vMerge w:val="restart"/>
            <w:tcBorders>
              <w:tl2br w:val="nil"/>
              <w:tr2bl w:val="nil"/>
            </w:tcBorders>
            <w:noWrap w:val="0"/>
            <w:vAlign w:val="center"/>
          </w:tcPr>
          <w:p w14:paraId="274593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挥发性有机物的测定 吹扫捕集/气相色谱-质谱法》（HJ 605-2011）</w:t>
            </w:r>
          </w:p>
        </w:tc>
        <w:tc>
          <w:tcPr>
            <w:tcW w:w="1031" w:type="pct"/>
            <w:vMerge w:val="restart"/>
            <w:tcBorders>
              <w:tl2br w:val="nil"/>
              <w:tr2bl w:val="nil"/>
            </w:tcBorders>
            <w:noWrap w:val="0"/>
            <w:vAlign w:val="center"/>
          </w:tcPr>
          <w:p w14:paraId="3B11766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8860GC+5977C MSD型气相色谱质谱联用仪（JW-S-</w:t>
            </w:r>
            <w:r>
              <w:rPr>
                <w:rFonts w:hint="eastAsia" w:ascii="Times New Roman" w:hAnsi="Times New Roman" w:eastAsia="宋体" w:cs="Times New Roman"/>
                <w:color w:val="auto"/>
                <w:kern w:val="0"/>
                <w:sz w:val="21"/>
                <w:szCs w:val="21"/>
                <w:highlight w:val="none"/>
                <w:lang w:val="en-US" w:eastAsia="zh-CN"/>
              </w:rPr>
              <w:t>474</w:t>
            </w:r>
            <w:r>
              <w:rPr>
                <w:rFonts w:hint="default" w:ascii="Times New Roman" w:hAnsi="Times New Roman" w:eastAsia="宋体" w:cs="Times New Roman"/>
                <w:color w:val="auto"/>
                <w:kern w:val="0"/>
                <w:sz w:val="21"/>
                <w:szCs w:val="21"/>
                <w:highlight w:val="none"/>
                <w:lang w:val="en-US" w:eastAsia="zh-CN"/>
              </w:rPr>
              <w:t>）</w:t>
            </w:r>
          </w:p>
        </w:tc>
        <w:tc>
          <w:tcPr>
            <w:tcW w:w="754" w:type="pct"/>
            <w:tcBorders>
              <w:tl2br w:val="nil"/>
              <w:tr2bl w:val="nil"/>
            </w:tcBorders>
            <w:noWrap w:val="0"/>
            <w:vAlign w:val="center"/>
          </w:tcPr>
          <w:p w14:paraId="1A5E4DA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1.3μg/kg</w:t>
            </w:r>
          </w:p>
        </w:tc>
      </w:tr>
      <w:tr w14:paraId="587EC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1E291AB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DE5D85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氯仿</w:t>
            </w:r>
          </w:p>
        </w:tc>
        <w:tc>
          <w:tcPr>
            <w:tcW w:w="1854" w:type="pct"/>
            <w:vMerge w:val="continue"/>
            <w:tcBorders>
              <w:tl2br w:val="nil"/>
              <w:tr2bl w:val="nil"/>
            </w:tcBorders>
            <w:noWrap w:val="0"/>
            <w:vAlign w:val="center"/>
          </w:tcPr>
          <w:p w14:paraId="694412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068EA8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3F1506C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1.1μg/kg</w:t>
            </w:r>
          </w:p>
        </w:tc>
      </w:tr>
      <w:tr w14:paraId="23ED51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B2ADE3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6759D1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氯甲烷</w:t>
            </w:r>
          </w:p>
        </w:tc>
        <w:tc>
          <w:tcPr>
            <w:tcW w:w="1854" w:type="pct"/>
            <w:vMerge w:val="continue"/>
            <w:tcBorders>
              <w:tl2br w:val="nil"/>
              <w:tr2bl w:val="nil"/>
            </w:tcBorders>
            <w:noWrap w:val="0"/>
            <w:vAlign w:val="center"/>
          </w:tcPr>
          <w:p w14:paraId="6BB5F80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4962F1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C5BD16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1.0μg/kg</w:t>
            </w:r>
          </w:p>
        </w:tc>
      </w:tr>
      <w:tr w14:paraId="6E5B3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37FB2B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4108AF3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1,1-二氯乙烷</w:t>
            </w:r>
          </w:p>
        </w:tc>
        <w:tc>
          <w:tcPr>
            <w:tcW w:w="1854" w:type="pct"/>
            <w:vMerge w:val="continue"/>
            <w:tcBorders>
              <w:tl2br w:val="nil"/>
              <w:tr2bl w:val="nil"/>
            </w:tcBorders>
            <w:noWrap w:val="0"/>
            <w:vAlign w:val="center"/>
          </w:tcPr>
          <w:p w14:paraId="1616654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BFA7B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DCDF91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2AE13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6CCF92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F78010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1,2-二氯乙烷</w:t>
            </w:r>
          </w:p>
        </w:tc>
        <w:tc>
          <w:tcPr>
            <w:tcW w:w="1854" w:type="pct"/>
            <w:vMerge w:val="continue"/>
            <w:tcBorders>
              <w:tl2br w:val="nil"/>
              <w:tr2bl w:val="nil"/>
            </w:tcBorders>
            <w:noWrap w:val="0"/>
            <w:vAlign w:val="center"/>
          </w:tcPr>
          <w:p w14:paraId="2220A4C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DB3CBF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A5B0B5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1.3μg/kg</w:t>
            </w:r>
          </w:p>
        </w:tc>
      </w:tr>
      <w:tr w14:paraId="665F6B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428B6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08A989B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1,1-二氯乙烯</w:t>
            </w:r>
          </w:p>
        </w:tc>
        <w:tc>
          <w:tcPr>
            <w:tcW w:w="1854" w:type="pct"/>
            <w:vMerge w:val="continue"/>
            <w:tcBorders>
              <w:tl2br w:val="nil"/>
              <w:tr2bl w:val="nil"/>
            </w:tcBorders>
            <w:noWrap w:val="0"/>
            <w:vAlign w:val="center"/>
          </w:tcPr>
          <w:p w14:paraId="67D4198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7F72631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760D0B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1.0μg/kg</w:t>
            </w:r>
          </w:p>
        </w:tc>
      </w:tr>
      <w:tr w14:paraId="04BE1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3CF378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C41C0F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顺-1,2-二氯乙烯</w:t>
            </w:r>
          </w:p>
        </w:tc>
        <w:tc>
          <w:tcPr>
            <w:tcW w:w="1854" w:type="pct"/>
            <w:vMerge w:val="continue"/>
            <w:tcBorders>
              <w:tl2br w:val="nil"/>
              <w:tr2bl w:val="nil"/>
            </w:tcBorders>
            <w:noWrap w:val="0"/>
            <w:vAlign w:val="center"/>
          </w:tcPr>
          <w:p w14:paraId="74A7567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10FD70D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7D8333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1.3μg/kg</w:t>
            </w:r>
          </w:p>
        </w:tc>
      </w:tr>
      <w:tr w14:paraId="71659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restart"/>
            <w:tcBorders>
              <w:tl2br w:val="nil"/>
              <w:tr2bl w:val="nil"/>
            </w:tcBorders>
            <w:noWrap w:val="0"/>
            <w:vAlign w:val="center"/>
          </w:tcPr>
          <w:p w14:paraId="093379A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w:t>
            </w:r>
            <w:r>
              <w:rPr>
                <w:rFonts w:hint="eastAsia" w:ascii="Times New Roman" w:hAnsi="Times New Roman" w:eastAsia="宋体" w:cs="Times New Roman"/>
                <w:color w:val="auto"/>
                <w:kern w:val="0"/>
                <w:sz w:val="21"/>
                <w:szCs w:val="21"/>
                <w:highlight w:val="none"/>
                <w:lang w:val="en-US" w:eastAsia="zh-CN"/>
              </w:rPr>
              <w:t>水系</w:t>
            </w:r>
            <w:r>
              <w:rPr>
                <w:rFonts w:hint="default" w:ascii="Times New Roman" w:hAnsi="Times New Roman" w:eastAsia="宋体" w:cs="Times New Roman"/>
                <w:color w:val="auto"/>
                <w:kern w:val="0"/>
                <w:sz w:val="21"/>
                <w:szCs w:val="21"/>
                <w:highlight w:val="none"/>
                <w:lang w:val="en-US" w:eastAsia="zh-CN"/>
              </w:rPr>
              <w:t>沉积物</w:t>
            </w:r>
          </w:p>
        </w:tc>
        <w:tc>
          <w:tcPr>
            <w:tcW w:w="848" w:type="pct"/>
            <w:tcBorders>
              <w:tl2br w:val="nil"/>
              <w:tr2bl w:val="nil"/>
            </w:tcBorders>
            <w:noWrap w:val="0"/>
            <w:vAlign w:val="center"/>
          </w:tcPr>
          <w:p w14:paraId="7B7AEF5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反-1,2-二氯乙烯</w:t>
            </w:r>
          </w:p>
        </w:tc>
        <w:tc>
          <w:tcPr>
            <w:tcW w:w="1854" w:type="pct"/>
            <w:vMerge w:val="restart"/>
            <w:tcBorders>
              <w:tl2br w:val="nil"/>
              <w:tr2bl w:val="nil"/>
            </w:tcBorders>
            <w:noWrap w:val="0"/>
            <w:vAlign w:val="center"/>
          </w:tcPr>
          <w:p w14:paraId="309868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挥发性有机物的测定 吹扫捕集/气相色谱-质谱法》（HJ 605-2011）</w:t>
            </w:r>
          </w:p>
        </w:tc>
        <w:tc>
          <w:tcPr>
            <w:tcW w:w="1031" w:type="pct"/>
            <w:vMerge w:val="restart"/>
            <w:tcBorders>
              <w:tl2br w:val="nil"/>
              <w:tr2bl w:val="nil"/>
            </w:tcBorders>
            <w:noWrap w:val="0"/>
            <w:vAlign w:val="center"/>
          </w:tcPr>
          <w:p w14:paraId="2D1A6E4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8860GC+5977C MSD型气相色谱质谱联用仪（JW-S-</w:t>
            </w:r>
            <w:r>
              <w:rPr>
                <w:rFonts w:hint="eastAsia" w:ascii="Times New Roman" w:hAnsi="Times New Roman" w:eastAsia="宋体" w:cs="Times New Roman"/>
                <w:color w:val="auto"/>
                <w:kern w:val="0"/>
                <w:sz w:val="21"/>
                <w:szCs w:val="21"/>
                <w:highlight w:val="none"/>
                <w:lang w:val="en-US" w:eastAsia="zh-CN"/>
              </w:rPr>
              <w:t>474</w:t>
            </w:r>
            <w:r>
              <w:rPr>
                <w:rFonts w:hint="default" w:ascii="Times New Roman" w:hAnsi="Times New Roman" w:eastAsia="宋体" w:cs="Times New Roman"/>
                <w:color w:val="auto"/>
                <w:kern w:val="0"/>
                <w:sz w:val="21"/>
                <w:szCs w:val="21"/>
                <w:highlight w:val="none"/>
                <w:lang w:val="en-US" w:eastAsia="zh-CN"/>
              </w:rPr>
              <w:t>）</w:t>
            </w:r>
          </w:p>
        </w:tc>
        <w:tc>
          <w:tcPr>
            <w:tcW w:w="754" w:type="pct"/>
            <w:tcBorders>
              <w:tl2br w:val="nil"/>
              <w:tr2bl w:val="nil"/>
            </w:tcBorders>
            <w:noWrap w:val="0"/>
            <w:vAlign w:val="center"/>
          </w:tcPr>
          <w:p w14:paraId="7A64832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1.4μg/kg</w:t>
            </w:r>
          </w:p>
        </w:tc>
      </w:tr>
      <w:tr w14:paraId="16503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37948E3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2ECDB7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二氯甲烷</w:t>
            </w:r>
          </w:p>
        </w:tc>
        <w:tc>
          <w:tcPr>
            <w:tcW w:w="1854" w:type="pct"/>
            <w:vMerge w:val="continue"/>
            <w:tcBorders>
              <w:tl2br w:val="nil"/>
              <w:tr2bl w:val="nil"/>
            </w:tcBorders>
            <w:noWrap w:val="0"/>
            <w:vAlign w:val="center"/>
          </w:tcPr>
          <w:p w14:paraId="73F570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55EB33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91C214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1.5μg/kg</w:t>
            </w:r>
          </w:p>
        </w:tc>
      </w:tr>
      <w:tr w14:paraId="2B6085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963217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0E3BA48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1,2-二氯丙烷</w:t>
            </w:r>
          </w:p>
        </w:tc>
        <w:tc>
          <w:tcPr>
            <w:tcW w:w="1854" w:type="pct"/>
            <w:vMerge w:val="continue"/>
            <w:tcBorders>
              <w:tl2br w:val="nil"/>
              <w:tr2bl w:val="nil"/>
            </w:tcBorders>
            <w:noWrap w:val="0"/>
            <w:vAlign w:val="center"/>
          </w:tcPr>
          <w:p w14:paraId="5E10FB6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20F99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65D14E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1.1μg/kg</w:t>
            </w:r>
          </w:p>
        </w:tc>
      </w:tr>
      <w:tr w14:paraId="70546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05244F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B23F83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1,1,1,2-四氯乙烷</w:t>
            </w:r>
          </w:p>
        </w:tc>
        <w:tc>
          <w:tcPr>
            <w:tcW w:w="1854" w:type="pct"/>
            <w:vMerge w:val="continue"/>
            <w:tcBorders>
              <w:tl2br w:val="nil"/>
              <w:tr2bl w:val="nil"/>
            </w:tcBorders>
            <w:noWrap w:val="0"/>
            <w:vAlign w:val="center"/>
          </w:tcPr>
          <w:p w14:paraId="75331C8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29D87D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3723DA9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51077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13CFAC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791084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1,1,2,2-四氯乙烷</w:t>
            </w:r>
          </w:p>
        </w:tc>
        <w:tc>
          <w:tcPr>
            <w:tcW w:w="1854" w:type="pct"/>
            <w:vMerge w:val="continue"/>
            <w:tcBorders>
              <w:tl2br w:val="nil"/>
              <w:tr2bl w:val="nil"/>
            </w:tcBorders>
            <w:noWrap w:val="0"/>
            <w:vAlign w:val="center"/>
          </w:tcPr>
          <w:p w14:paraId="1E78E4E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49662DF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828871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44A4B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0FDF913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FE85D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四氯乙烯</w:t>
            </w:r>
          </w:p>
        </w:tc>
        <w:tc>
          <w:tcPr>
            <w:tcW w:w="1854" w:type="pct"/>
            <w:vMerge w:val="continue"/>
            <w:tcBorders>
              <w:tl2br w:val="nil"/>
              <w:tr2bl w:val="nil"/>
            </w:tcBorders>
            <w:noWrap w:val="0"/>
            <w:vAlign w:val="center"/>
          </w:tcPr>
          <w:p w14:paraId="1521C3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289315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745EE51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1.4μg/kg</w:t>
            </w:r>
          </w:p>
        </w:tc>
      </w:tr>
      <w:tr w14:paraId="05B01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41AE28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9845A7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1,1,1-三氯乙烷</w:t>
            </w:r>
          </w:p>
        </w:tc>
        <w:tc>
          <w:tcPr>
            <w:tcW w:w="1854" w:type="pct"/>
            <w:vMerge w:val="continue"/>
            <w:tcBorders>
              <w:tl2br w:val="nil"/>
              <w:tr2bl w:val="nil"/>
            </w:tcBorders>
            <w:noWrap w:val="0"/>
            <w:vAlign w:val="center"/>
          </w:tcPr>
          <w:p w14:paraId="1A3A30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7CE18B6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E230CA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1.3μg/kg</w:t>
            </w:r>
          </w:p>
        </w:tc>
      </w:tr>
      <w:tr w14:paraId="323BE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647A6B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AB15DF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1,1,2-三氯乙烷</w:t>
            </w:r>
          </w:p>
        </w:tc>
        <w:tc>
          <w:tcPr>
            <w:tcW w:w="1854" w:type="pct"/>
            <w:vMerge w:val="continue"/>
            <w:tcBorders>
              <w:tl2br w:val="nil"/>
              <w:tr2bl w:val="nil"/>
            </w:tcBorders>
            <w:noWrap w:val="0"/>
            <w:vAlign w:val="center"/>
          </w:tcPr>
          <w:p w14:paraId="00E30C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6273A6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09694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44D5EC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53101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477CF27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三氯乙烯</w:t>
            </w:r>
          </w:p>
        </w:tc>
        <w:tc>
          <w:tcPr>
            <w:tcW w:w="1854" w:type="pct"/>
            <w:vMerge w:val="continue"/>
            <w:tcBorders>
              <w:tl2br w:val="nil"/>
              <w:tr2bl w:val="nil"/>
            </w:tcBorders>
            <w:noWrap w:val="0"/>
            <w:vAlign w:val="center"/>
          </w:tcPr>
          <w:p w14:paraId="7355BDB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A7BCA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4E0A2AA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3F208C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1FA3261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69ABAE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1,2,3-三氯丙烷</w:t>
            </w:r>
          </w:p>
        </w:tc>
        <w:tc>
          <w:tcPr>
            <w:tcW w:w="1854" w:type="pct"/>
            <w:vMerge w:val="continue"/>
            <w:tcBorders>
              <w:tl2br w:val="nil"/>
              <w:tr2bl w:val="nil"/>
            </w:tcBorders>
            <w:noWrap w:val="0"/>
            <w:vAlign w:val="center"/>
          </w:tcPr>
          <w:p w14:paraId="13D4CE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0AFD741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7CB9EDA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32C77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786967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E1606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氯乙烯</w:t>
            </w:r>
          </w:p>
        </w:tc>
        <w:tc>
          <w:tcPr>
            <w:tcW w:w="1854" w:type="pct"/>
            <w:vMerge w:val="continue"/>
            <w:tcBorders>
              <w:tl2br w:val="nil"/>
              <w:tr2bl w:val="nil"/>
            </w:tcBorders>
            <w:noWrap w:val="0"/>
            <w:vAlign w:val="center"/>
          </w:tcPr>
          <w:p w14:paraId="02F2F1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61E0FC7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221285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1.0μg/kg</w:t>
            </w:r>
          </w:p>
        </w:tc>
      </w:tr>
      <w:tr w14:paraId="736DD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24BC9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7A86A1B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w:t>
            </w:r>
          </w:p>
        </w:tc>
        <w:tc>
          <w:tcPr>
            <w:tcW w:w="1854" w:type="pct"/>
            <w:vMerge w:val="continue"/>
            <w:tcBorders>
              <w:tl2br w:val="nil"/>
              <w:tr2bl w:val="nil"/>
            </w:tcBorders>
            <w:noWrap w:val="0"/>
            <w:vAlign w:val="center"/>
          </w:tcPr>
          <w:p w14:paraId="3D181E7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DE5C3F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4A650F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1.9μg/kg</w:t>
            </w:r>
          </w:p>
        </w:tc>
      </w:tr>
      <w:tr w14:paraId="08AE1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2D2932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1C33289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氯苯</w:t>
            </w:r>
          </w:p>
        </w:tc>
        <w:tc>
          <w:tcPr>
            <w:tcW w:w="1854" w:type="pct"/>
            <w:vMerge w:val="continue"/>
            <w:tcBorders>
              <w:tl2br w:val="nil"/>
              <w:tr2bl w:val="nil"/>
            </w:tcBorders>
            <w:noWrap w:val="0"/>
            <w:vAlign w:val="center"/>
          </w:tcPr>
          <w:p w14:paraId="07E36C6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E94762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662240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73916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37AA02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4718939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1,2-二氯苯</w:t>
            </w:r>
          </w:p>
        </w:tc>
        <w:tc>
          <w:tcPr>
            <w:tcW w:w="1854" w:type="pct"/>
            <w:vMerge w:val="continue"/>
            <w:tcBorders>
              <w:tl2br w:val="nil"/>
              <w:tr2bl w:val="nil"/>
            </w:tcBorders>
            <w:noWrap w:val="0"/>
            <w:vAlign w:val="center"/>
          </w:tcPr>
          <w:p w14:paraId="4AF1639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7D709F6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1DE6FB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1.5μg/kg</w:t>
            </w:r>
          </w:p>
        </w:tc>
      </w:tr>
      <w:tr w14:paraId="01A43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1C186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6002D5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1,4-二氯苯</w:t>
            </w:r>
          </w:p>
        </w:tc>
        <w:tc>
          <w:tcPr>
            <w:tcW w:w="1854" w:type="pct"/>
            <w:vMerge w:val="continue"/>
            <w:tcBorders>
              <w:tl2br w:val="nil"/>
              <w:tr2bl w:val="nil"/>
            </w:tcBorders>
            <w:noWrap w:val="0"/>
            <w:vAlign w:val="center"/>
          </w:tcPr>
          <w:p w14:paraId="1A8DD46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0845936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3E4CDDD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1.5μg/kg</w:t>
            </w:r>
          </w:p>
        </w:tc>
      </w:tr>
      <w:tr w14:paraId="437B6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27C4FBE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7CBC9AC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乙苯</w:t>
            </w:r>
          </w:p>
        </w:tc>
        <w:tc>
          <w:tcPr>
            <w:tcW w:w="1854" w:type="pct"/>
            <w:vMerge w:val="continue"/>
            <w:tcBorders>
              <w:tl2br w:val="nil"/>
              <w:tr2bl w:val="nil"/>
            </w:tcBorders>
            <w:noWrap w:val="0"/>
            <w:vAlign w:val="center"/>
          </w:tcPr>
          <w:p w14:paraId="7305A9D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4D932E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41AD402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5C036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6DA77A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10FAED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苯乙烯</w:t>
            </w:r>
          </w:p>
        </w:tc>
        <w:tc>
          <w:tcPr>
            <w:tcW w:w="1854" w:type="pct"/>
            <w:vMerge w:val="continue"/>
            <w:tcBorders>
              <w:tl2br w:val="nil"/>
              <w:tr2bl w:val="nil"/>
            </w:tcBorders>
            <w:noWrap w:val="0"/>
            <w:vAlign w:val="center"/>
          </w:tcPr>
          <w:p w14:paraId="08249A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01BC6A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8D2B3E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1.1μg/kg</w:t>
            </w:r>
          </w:p>
        </w:tc>
      </w:tr>
      <w:tr w14:paraId="65EB6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154D9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112F50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甲苯</w:t>
            </w:r>
          </w:p>
        </w:tc>
        <w:tc>
          <w:tcPr>
            <w:tcW w:w="1854" w:type="pct"/>
            <w:vMerge w:val="continue"/>
            <w:tcBorders>
              <w:tl2br w:val="nil"/>
              <w:tr2bl w:val="nil"/>
            </w:tcBorders>
            <w:noWrap w:val="0"/>
            <w:vAlign w:val="center"/>
          </w:tcPr>
          <w:p w14:paraId="5B32CF3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100F96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0E8951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1.3μg/kg</w:t>
            </w:r>
          </w:p>
        </w:tc>
      </w:tr>
      <w:tr w14:paraId="0902F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699B1F1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03115CB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间-二甲苯</w:t>
            </w:r>
          </w:p>
          <w:p w14:paraId="1375EC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+对-二甲苯</w:t>
            </w:r>
          </w:p>
        </w:tc>
        <w:tc>
          <w:tcPr>
            <w:tcW w:w="1854" w:type="pct"/>
            <w:vMerge w:val="continue"/>
            <w:tcBorders>
              <w:tl2br w:val="nil"/>
              <w:tr2bl w:val="nil"/>
            </w:tcBorders>
            <w:noWrap w:val="0"/>
            <w:vAlign w:val="center"/>
          </w:tcPr>
          <w:p w14:paraId="5EBA2B8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1CC0BE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5904E6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3DE9F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D52FD5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7F50BAB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邻-二甲苯</w:t>
            </w:r>
          </w:p>
        </w:tc>
        <w:tc>
          <w:tcPr>
            <w:tcW w:w="1854" w:type="pct"/>
            <w:vMerge w:val="continue"/>
            <w:tcBorders>
              <w:tl2br w:val="nil"/>
              <w:tr2bl w:val="nil"/>
            </w:tcBorders>
            <w:noWrap w:val="0"/>
            <w:vAlign w:val="center"/>
          </w:tcPr>
          <w:p w14:paraId="1E92522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778D982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3759D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1.2μg/kg</w:t>
            </w:r>
          </w:p>
        </w:tc>
      </w:tr>
      <w:tr w14:paraId="188F2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4897FD5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8EF505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萘</w:t>
            </w:r>
          </w:p>
        </w:tc>
        <w:tc>
          <w:tcPr>
            <w:tcW w:w="1854" w:type="pct"/>
            <w:vMerge w:val="continue"/>
            <w:tcBorders>
              <w:tl2br w:val="nil"/>
              <w:tr2bl w:val="nil"/>
            </w:tcBorders>
            <w:noWrap w:val="0"/>
            <w:vAlign w:val="center"/>
          </w:tcPr>
          <w:p w14:paraId="0A7FC1A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A99EF1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489B8B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0.4μg/kg</w:t>
            </w:r>
          </w:p>
        </w:tc>
      </w:tr>
      <w:tr w14:paraId="65F94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39F066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68E68E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硝基苯</w:t>
            </w:r>
          </w:p>
        </w:tc>
        <w:tc>
          <w:tcPr>
            <w:tcW w:w="1854" w:type="pct"/>
            <w:vMerge w:val="restart"/>
            <w:tcBorders>
              <w:tl2br w:val="nil"/>
              <w:tr2bl w:val="nil"/>
            </w:tcBorders>
            <w:noWrap w:val="0"/>
            <w:vAlign w:val="center"/>
          </w:tcPr>
          <w:p w14:paraId="6F7C088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《土壤和沉积物 半挥发性有机物的测定 气相色谱-质谱法》</w:t>
            </w:r>
          </w:p>
          <w:p w14:paraId="7FD7938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（HJ 834-2017）</w:t>
            </w:r>
          </w:p>
        </w:tc>
        <w:tc>
          <w:tcPr>
            <w:tcW w:w="1031" w:type="pct"/>
            <w:vMerge w:val="restart"/>
            <w:tcBorders>
              <w:tl2br w:val="nil"/>
              <w:tr2bl w:val="nil"/>
            </w:tcBorders>
            <w:noWrap w:val="0"/>
            <w:vAlign w:val="center"/>
          </w:tcPr>
          <w:p w14:paraId="199EE87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GCMS-QP2010SE型气相色谱质谱联用仪（JW-S-119）</w:t>
            </w:r>
          </w:p>
        </w:tc>
        <w:tc>
          <w:tcPr>
            <w:tcW w:w="754" w:type="pct"/>
            <w:tcBorders>
              <w:tl2br w:val="nil"/>
              <w:tr2bl w:val="nil"/>
            </w:tcBorders>
            <w:noWrap w:val="0"/>
            <w:vAlign w:val="center"/>
          </w:tcPr>
          <w:p w14:paraId="687EBFA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0.09mg/kg</w:t>
            </w:r>
          </w:p>
        </w:tc>
      </w:tr>
      <w:tr w14:paraId="6CC5A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BE7D6B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331724F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苯胺</w:t>
            </w:r>
          </w:p>
        </w:tc>
        <w:tc>
          <w:tcPr>
            <w:tcW w:w="1854" w:type="pct"/>
            <w:vMerge w:val="continue"/>
            <w:tcBorders>
              <w:tl2br w:val="nil"/>
              <w:tr2bl w:val="nil"/>
            </w:tcBorders>
            <w:noWrap w:val="0"/>
            <w:vAlign w:val="center"/>
          </w:tcPr>
          <w:p w14:paraId="004E31F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BEE122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7A84546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①0.008mg/kg</w:t>
            </w:r>
          </w:p>
        </w:tc>
      </w:tr>
      <w:tr w14:paraId="1F7F0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C6481C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6B767B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2-氯酚</w:t>
            </w:r>
          </w:p>
        </w:tc>
        <w:tc>
          <w:tcPr>
            <w:tcW w:w="1854" w:type="pct"/>
            <w:vMerge w:val="continue"/>
            <w:tcBorders>
              <w:tl2br w:val="nil"/>
              <w:tr2bl w:val="nil"/>
            </w:tcBorders>
            <w:noWrap w:val="0"/>
            <w:vAlign w:val="center"/>
          </w:tcPr>
          <w:p w14:paraId="3646002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513DDF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C99F27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0.06mg/kg</w:t>
            </w:r>
          </w:p>
        </w:tc>
      </w:tr>
      <w:tr w14:paraId="4A83E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7DCD017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42C754E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苯并[a]蒽</w:t>
            </w:r>
          </w:p>
        </w:tc>
        <w:tc>
          <w:tcPr>
            <w:tcW w:w="1854" w:type="pct"/>
            <w:vMerge w:val="continue"/>
            <w:tcBorders>
              <w:tl2br w:val="nil"/>
              <w:tr2bl w:val="nil"/>
            </w:tcBorders>
            <w:noWrap w:val="0"/>
            <w:vAlign w:val="center"/>
          </w:tcPr>
          <w:p w14:paraId="584C07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4BF3B2D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6A4297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416BB9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6468C0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7D9DCC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苯并[a]芘</w:t>
            </w:r>
          </w:p>
        </w:tc>
        <w:tc>
          <w:tcPr>
            <w:tcW w:w="1854" w:type="pct"/>
            <w:vMerge w:val="continue"/>
            <w:tcBorders>
              <w:tl2br w:val="nil"/>
              <w:tr2bl w:val="nil"/>
            </w:tcBorders>
            <w:noWrap w:val="0"/>
            <w:vAlign w:val="center"/>
          </w:tcPr>
          <w:p w14:paraId="5D6365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715A7F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2FE4273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5CE1A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1B37FA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0A4DE7E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苯并[b]荧蒽</w:t>
            </w:r>
          </w:p>
        </w:tc>
        <w:tc>
          <w:tcPr>
            <w:tcW w:w="1854" w:type="pct"/>
            <w:vMerge w:val="continue"/>
            <w:tcBorders>
              <w:tl2br w:val="nil"/>
              <w:tr2bl w:val="nil"/>
            </w:tcBorders>
            <w:noWrap w:val="0"/>
            <w:vAlign w:val="center"/>
          </w:tcPr>
          <w:p w14:paraId="4A43948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3290DC3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4AD9A4E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0.2mg/kg</w:t>
            </w:r>
          </w:p>
        </w:tc>
      </w:tr>
      <w:tr w14:paraId="59507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039FD20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56C42AD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苯并[k]荧蒽</w:t>
            </w:r>
          </w:p>
        </w:tc>
        <w:tc>
          <w:tcPr>
            <w:tcW w:w="1854" w:type="pct"/>
            <w:vMerge w:val="continue"/>
            <w:tcBorders>
              <w:tl2br w:val="nil"/>
              <w:tr2bl w:val="nil"/>
            </w:tcBorders>
            <w:noWrap w:val="0"/>
            <w:vAlign w:val="center"/>
          </w:tcPr>
          <w:p w14:paraId="20BF046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CD85F2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29B26B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5AEBF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30BEEA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7AAE85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䓛</w:t>
            </w:r>
          </w:p>
        </w:tc>
        <w:tc>
          <w:tcPr>
            <w:tcW w:w="1854" w:type="pct"/>
            <w:vMerge w:val="continue"/>
            <w:tcBorders>
              <w:tl2br w:val="nil"/>
              <w:tr2bl w:val="nil"/>
            </w:tcBorders>
            <w:noWrap w:val="0"/>
            <w:vAlign w:val="center"/>
          </w:tcPr>
          <w:p w14:paraId="041DAD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D3AB7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73C173E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70543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67181E5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3587C8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二苯并[a,h]蒽</w:t>
            </w:r>
          </w:p>
        </w:tc>
        <w:tc>
          <w:tcPr>
            <w:tcW w:w="1854" w:type="pct"/>
            <w:vMerge w:val="continue"/>
            <w:tcBorders>
              <w:tl2br w:val="nil"/>
              <w:tr2bl w:val="nil"/>
            </w:tcBorders>
            <w:noWrap w:val="0"/>
            <w:vAlign w:val="center"/>
          </w:tcPr>
          <w:p w14:paraId="688F83C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233168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5E6572A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417FA8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vMerge w:val="continue"/>
            <w:tcBorders>
              <w:tl2br w:val="nil"/>
              <w:tr2bl w:val="nil"/>
            </w:tcBorders>
            <w:noWrap w:val="0"/>
            <w:vAlign w:val="center"/>
          </w:tcPr>
          <w:p w14:paraId="5EC2D97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848" w:type="pct"/>
            <w:tcBorders>
              <w:tl2br w:val="nil"/>
              <w:tr2bl w:val="nil"/>
            </w:tcBorders>
            <w:noWrap w:val="0"/>
            <w:vAlign w:val="center"/>
          </w:tcPr>
          <w:p w14:paraId="2F36C9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茚并[1,2,3-cd]芘</w:t>
            </w:r>
          </w:p>
        </w:tc>
        <w:tc>
          <w:tcPr>
            <w:tcW w:w="1854" w:type="pct"/>
            <w:vMerge w:val="continue"/>
            <w:tcBorders>
              <w:tl2br w:val="nil"/>
              <w:tr2bl w:val="nil"/>
            </w:tcBorders>
            <w:noWrap w:val="0"/>
            <w:vAlign w:val="center"/>
          </w:tcPr>
          <w:p w14:paraId="05C8193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031" w:type="pct"/>
            <w:vMerge w:val="continue"/>
            <w:tcBorders>
              <w:tl2br w:val="nil"/>
              <w:tr2bl w:val="nil"/>
            </w:tcBorders>
            <w:noWrap w:val="0"/>
            <w:vAlign w:val="center"/>
          </w:tcPr>
          <w:p w14:paraId="5C048AC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754" w:type="pct"/>
            <w:tcBorders>
              <w:tl2br w:val="nil"/>
              <w:tr2bl w:val="nil"/>
            </w:tcBorders>
            <w:noWrap w:val="0"/>
            <w:vAlign w:val="center"/>
          </w:tcPr>
          <w:p w14:paraId="698EF81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0.1mg/kg</w:t>
            </w:r>
          </w:p>
        </w:tc>
      </w:tr>
      <w:tr w14:paraId="41799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511" w:type="pct"/>
            <w:tcBorders>
              <w:tl2br w:val="nil"/>
              <w:tr2bl w:val="nil"/>
            </w:tcBorders>
            <w:noWrap w:val="0"/>
            <w:vAlign w:val="center"/>
          </w:tcPr>
          <w:p w14:paraId="137AFA5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备注</w:t>
            </w:r>
          </w:p>
        </w:tc>
        <w:tc>
          <w:tcPr>
            <w:tcW w:w="4488" w:type="pct"/>
            <w:gridSpan w:val="4"/>
            <w:tcBorders>
              <w:tl2br w:val="nil"/>
              <w:tr2bl w:val="nil"/>
            </w:tcBorders>
            <w:noWrap w:val="0"/>
            <w:vAlign w:val="center"/>
          </w:tcPr>
          <w:p w14:paraId="27FE54DC">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检出限列中①:表示实验室检出限，其余表示方法检出限</w:t>
            </w:r>
            <w:r>
              <w:rPr>
                <w:rFonts w:hint="eastAsia" w:ascii="Times New Roman" w:hAnsi="Times New Roman" w:eastAsia="宋体" w:cs="Times New Roman"/>
                <w:color w:val="auto"/>
                <w:kern w:val="0"/>
                <w:sz w:val="21"/>
                <w:szCs w:val="21"/>
                <w:highlight w:val="none"/>
                <w:lang w:val="en-US" w:eastAsia="zh-CN"/>
              </w:rPr>
              <w:t>；</w:t>
            </w:r>
          </w:p>
          <w:p w14:paraId="4F0EC13E">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以上仪器设备均为福建九五检测技术服务有限公司所有</w:t>
            </w:r>
            <w:r>
              <w:rPr>
                <w:rFonts w:hint="eastAsia" w:ascii="Times New Roman" w:hAnsi="Times New Roman" w:eastAsia="宋体" w:cs="Times New Roman"/>
                <w:color w:val="auto"/>
                <w:kern w:val="0"/>
                <w:sz w:val="21"/>
                <w:szCs w:val="21"/>
                <w:highlight w:val="none"/>
                <w:lang w:val="en-US" w:eastAsia="zh-CN"/>
              </w:rPr>
              <w:t>。</w:t>
            </w:r>
          </w:p>
        </w:tc>
      </w:tr>
    </w:tbl>
    <w:p w14:paraId="149F957B">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（3）监测结果</w:t>
      </w:r>
    </w:p>
    <w:p w14:paraId="25DAECBA">
      <w:pPr>
        <w:widowControl w:val="0"/>
        <w:adjustRightInd w:val="0"/>
        <w:snapToGrid w:val="0"/>
        <w:spacing w:line="360" w:lineRule="auto"/>
        <w:ind w:firstLine="480" w:firstLineChars="200"/>
        <w:jc w:val="both"/>
        <w:rPr>
          <w:rFonts w:ascii="Times New Roman" w:hAnsi="Times New Roman" w:eastAsia="宋体" w:cs="Times New Roman"/>
          <w:bCs/>
          <w:color w:val="auto"/>
          <w:kern w:val="2"/>
          <w:sz w:val="24"/>
          <w:szCs w:val="24"/>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土壤环境质量现状监测结果见表</w:t>
      </w:r>
      <w:r>
        <w:rPr>
          <w:rFonts w:hint="eastAsia" w:ascii="Times New Roman" w:hAnsi="Times New Roman" w:eastAsia="宋体" w:cs="Times New Roman"/>
          <w:bCs/>
          <w:color w:val="auto"/>
          <w:kern w:val="2"/>
          <w:sz w:val="24"/>
          <w:szCs w:val="24"/>
          <w:highlight w:val="none"/>
          <w:lang w:val="en-US" w:eastAsia="zh-CN" w:bidi="ar-SA"/>
        </w:rPr>
        <w:t>4.2</w:t>
      </w:r>
      <w:r>
        <w:rPr>
          <w:rFonts w:ascii="Times New Roman" w:hAnsi="Times New Roman" w:eastAsia="宋体" w:cs="Times New Roman"/>
          <w:bCs/>
          <w:color w:val="auto"/>
          <w:kern w:val="2"/>
          <w:sz w:val="24"/>
          <w:szCs w:val="24"/>
          <w:highlight w:val="none"/>
          <w:lang w:val="en-US" w:eastAsia="zh-CN" w:bidi="ar-SA"/>
        </w:rPr>
        <w:t>-2</w:t>
      </w:r>
      <w:r>
        <w:rPr>
          <w:rFonts w:hint="eastAsia" w:cs="Times New Roman"/>
          <w:bCs/>
          <w:color w:val="auto"/>
          <w:kern w:val="2"/>
          <w:sz w:val="24"/>
          <w:szCs w:val="24"/>
          <w:highlight w:val="none"/>
          <w:lang w:val="en-US" w:eastAsia="zh-CN" w:bidi="ar-SA"/>
        </w:rPr>
        <w:t>1</w:t>
      </w:r>
      <w:r>
        <w:rPr>
          <w:rFonts w:ascii="Times New Roman" w:hAnsi="Times New Roman" w:eastAsia="宋体" w:cs="Times New Roman"/>
          <w:bCs/>
          <w:color w:val="auto"/>
          <w:kern w:val="2"/>
          <w:sz w:val="24"/>
          <w:szCs w:val="24"/>
          <w:highlight w:val="none"/>
          <w:lang w:val="en-US" w:eastAsia="zh-CN" w:bidi="ar-SA"/>
        </w:rPr>
        <w:t>。</w:t>
      </w:r>
    </w:p>
    <w:p w14:paraId="45DFE9CD">
      <w:pPr>
        <w:widowControl/>
        <w:adjustRightInd w:val="0"/>
        <w:snapToGrid w:val="0"/>
        <w:spacing w:line="240" w:lineRule="auto"/>
        <w:ind w:firstLine="0" w:firstLineChars="0"/>
        <w:jc w:val="center"/>
        <w:rPr>
          <w:rFonts w:ascii="Times New Roman" w:hAnsi="Times New Roman" w:eastAsia="黑体" w:cs="Times New Roman"/>
          <w:color w:val="auto"/>
          <w:kern w:val="0"/>
          <w:sz w:val="24"/>
          <w:szCs w:val="24"/>
          <w:highlight w:val="none"/>
          <w:lang w:val="en-US" w:eastAsia="zh-CN" w:bidi="ar-SA"/>
        </w:rPr>
        <w:sectPr>
          <w:headerReference r:id="rId21"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14:paraId="7FE31B3B">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表4.2-21  土壤环境质量现状监测结果一览表（1）</w:t>
      </w:r>
    </w:p>
    <w:tbl>
      <w:tblPr>
        <w:tblStyle w:val="8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462"/>
        <w:gridCol w:w="1593"/>
        <w:gridCol w:w="1593"/>
        <w:gridCol w:w="1601"/>
        <w:gridCol w:w="1593"/>
        <w:gridCol w:w="1593"/>
        <w:gridCol w:w="1604"/>
        <w:gridCol w:w="1165"/>
        <w:gridCol w:w="1171"/>
      </w:tblGrid>
      <w:tr w14:paraId="0E9521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795" w:type="pct"/>
            <w:gridSpan w:val="2"/>
            <w:tcBorders>
              <w:tl2br w:val="nil"/>
              <w:tr2bl w:val="nil"/>
            </w:tcBorders>
            <w:noWrap w:val="0"/>
            <w:vAlign w:val="center"/>
          </w:tcPr>
          <w:p w14:paraId="57F78E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采样日期</w:t>
            </w:r>
          </w:p>
        </w:tc>
        <w:tc>
          <w:tcPr>
            <w:tcW w:w="1689" w:type="pct"/>
            <w:gridSpan w:val="3"/>
            <w:tcBorders>
              <w:tl2br w:val="nil"/>
              <w:tr2bl w:val="nil"/>
            </w:tcBorders>
            <w:noWrap w:val="0"/>
            <w:vAlign w:val="center"/>
          </w:tcPr>
          <w:p w14:paraId="6A58824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2026年09月24日</w:t>
            </w:r>
          </w:p>
        </w:tc>
        <w:tc>
          <w:tcPr>
            <w:tcW w:w="1690" w:type="pct"/>
            <w:gridSpan w:val="3"/>
            <w:tcBorders>
              <w:tl2br w:val="nil"/>
              <w:tr2bl w:val="nil"/>
            </w:tcBorders>
            <w:noWrap w:val="0"/>
            <w:vAlign w:val="center"/>
          </w:tcPr>
          <w:p w14:paraId="526139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2026年09月18日</w:t>
            </w:r>
          </w:p>
        </w:tc>
        <w:tc>
          <w:tcPr>
            <w:tcW w:w="411" w:type="pct"/>
            <w:vMerge w:val="restart"/>
            <w:tcBorders>
              <w:tl2br w:val="nil"/>
              <w:tr2bl w:val="nil"/>
            </w:tcBorders>
            <w:noWrap w:val="0"/>
            <w:vAlign w:val="center"/>
          </w:tcPr>
          <w:p w14:paraId="442E32A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标准限值</w:t>
            </w:r>
          </w:p>
        </w:tc>
        <w:tc>
          <w:tcPr>
            <w:tcW w:w="413" w:type="pct"/>
            <w:vMerge w:val="restart"/>
            <w:tcBorders>
              <w:tl2br w:val="nil"/>
              <w:tr2bl w:val="nil"/>
            </w:tcBorders>
            <w:noWrap w:val="0"/>
            <w:vAlign w:val="center"/>
          </w:tcPr>
          <w:p w14:paraId="5EE587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单位</w:t>
            </w:r>
          </w:p>
        </w:tc>
      </w:tr>
      <w:tr w14:paraId="07D695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79" w:type="pct"/>
            <w:vMerge w:val="restart"/>
            <w:tcBorders>
              <w:tl2br w:val="nil"/>
              <w:tr2bl w:val="nil"/>
            </w:tcBorders>
            <w:noWrap w:val="0"/>
            <w:vAlign w:val="center"/>
          </w:tcPr>
          <w:p w14:paraId="799D3E5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检测项目</w:t>
            </w:r>
          </w:p>
        </w:tc>
        <w:tc>
          <w:tcPr>
            <w:tcW w:w="515" w:type="pct"/>
            <w:tcBorders>
              <w:tl2br w:val="nil"/>
              <w:tr2bl w:val="nil"/>
            </w:tcBorders>
            <w:noWrap w:val="0"/>
            <w:vAlign w:val="center"/>
          </w:tcPr>
          <w:p w14:paraId="0545ECB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检测点位</w:t>
            </w:r>
          </w:p>
        </w:tc>
        <w:tc>
          <w:tcPr>
            <w:tcW w:w="562" w:type="pct"/>
            <w:tcBorders>
              <w:tl2br w:val="nil"/>
              <w:tr2bl w:val="nil"/>
            </w:tcBorders>
            <w:noWrap w:val="0"/>
            <w:vAlign w:val="center"/>
          </w:tcPr>
          <w:p w14:paraId="7AB8385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T1</w:t>
            </w:r>
            <w:r>
              <w:rPr>
                <w:rFonts w:hint="default" w:ascii="Times New Roman" w:hAnsi="Times New Roman" w:eastAsia="宋体" w:cs="Times New Roman"/>
                <w:color w:val="auto"/>
                <w:kern w:val="0"/>
                <w:sz w:val="21"/>
                <w:szCs w:val="21"/>
                <w:highlight w:val="none"/>
                <w:lang w:val="en-US" w:eastAsia="zh-CN"/>
              </w:rPr>
              <w:t>厂区外西北侧绿地</w:t>
            </w:r>
          </w:p>
        </w:tc>
        <w:tc>
          <w:tcPr>
            <w:tcW w:w="562" w:type="pct"/>
            <w:tcBorders>
              <w:tl2br w:val="nil"/>
              <w:tr2bl w:val="nil"/>
            </w:tcBorders>
            <w:noWrap w:val="0"/>
            <w:vAlign w:val="center"/>
          </w:tcPr>
          <w:p w14:paraId="69AAD7D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T2</w:t>
            </w:r>
            <w:r>
              <w:rPr>
                <w:rFonts w:hint="default" w:ascii="Times New Roman" w:hAnsi="Times New Roman" w:eastAsia="宋体" w:cs="Times New Roman"/>
                <w:color w:val="auto"/>
                <w:kern w:val="0"/>
                <w:sz w:val="21"/>
                <w:szCs w:val="21"/>
                <w:highlight w:val="none"/>
                <w:lang w:val="en-US" w:eastAsia="zh-CN"/>
              </w:rPr>
              <w:t>厂区外东南侧绿化带</w:t>
            </w:r>
          </w:p>
        </w:tc>
        <w:tc>
          <w:tcPr>
            <w:tcW w:w="563" w:type="pct"/>
            <w:tcBorders>
              <w:tl2br w:val="nil"/>
              <w:tr2bl w:val="nil"/>
            </w:tcBorders>
            <w:noWrap w:val="0"/>
            <w:vAlign w:val="center"/>
          </w:tcPr>
          <w:p w14:paraId="2A7DF8F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T3</w:t>
            </w:r>
            <w:r>
              <w:rPr>
                <w:rFonts w:hint="default" w:ascii="Times New Roman" w:hAnsi="Times New Roman" w:eastAsia="宋体" w:cs="Times New Roman"/>
                <w:color w:val="auto"/>
                <w:kern w:val="0"/>
                <w:sz w:val="21"/>
                <w:szCs w:val="21"/>
                <w:highlight w:val="none"/>
                <w:lang w:val="en-US" w:eastAsia="zh-CN"/>
              </w:rPr>
              <w:t>厂区拟建喷漆废气</w:t>
            </w:r>
          </w:p>
          <w:p w14:paraId="25432A0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排气筒下风向</w:t>
            </w:r>
          </w:p>
        </w:tc>
        <w:tc>
          <w:tcPr>
            <w:tcW w:w="1690" w:type="pct"/>
            <w:gridSpan w:val="3"/>
            <w:tcBorders>
              <w:tl2br w:val="nil"/>
              <w:tr2bl w:val="nil"/>
            </w:tcBorders>
            <w:noWrap w:val="0"/>
            <w:vAlign w:val="center"/>
          </w:tcPr>
          <w:p w14:paraId="0604E5B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T4</w:t>
            </w:r>
            <w:r>
              <w:rPr>
                <w:rFonts w:hint="default" w:ascii="Times New Roman" w:hAnsi="Times New Roman" w:eastAsia="宋体" w:cs="Times New Roman"/>
                <w:color w:val="auto"/>
                <w:kern w:val="0"/>
                <w:sz w:val="21"/>
                <w:szCs w:val="21"/>
                <w:highlight w:val="none"/>
                <w:lang w:val="en-US" w:eastAsia="zh-CN"/>
              </w:rPr>
              <w:t>厂区拟建危废间附近</w:t>
            </w:r>
          </w:p>
        </w:tc>
        <w:tc>
          <w:tcPr>
            <w:tcW w:w="411" w:type="pct"/>
            <w:vMerge w:val="continue"/>
            <w:tcBorders>
              <w:tl2br w:val="nil"/>
              <w:tr2bl w:val="nil"/>
            </w:tcBorders>
            <w:noWrap w:val="0"/>
            <w:vAlign w:val="center"/>
          </w:tcPr>
          <w:p w14:paraId="02281CB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3" w:type="pct"/>
            <w:vMerge w:val="continue"/>
            <w:tcBorders>
              <w:tl2br w:val="nil"/>
              <w:tr2bl w:val="nil"/>
            </w:tcBorders>
            <w:noWrap w:val="0"/>
            <w:vAlign w:val="center"/>
          </w:tcPr>
          <w:p w14:paraId="798FCD3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29D6B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79" w:type="pct"/>
            <w:vMerge w:val="continue"/>
            <w:tcBorders>
              <w:tl2br w:val="nil"/>
              <w:tr2bl w:val="nil"/>
            </w:tcBorders>
            <w:noWrap w:val="0"/>
            <w:vAlign w:val="center"/>
          </w:tcPr>
          <w:p w14:paraId="4ADD741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15" w:type="pct"/>
            <w:tcBorders>
              <w:tl2br w:val="nil"/>
              <w:tr2bl w:val="nil"/>
            </w:tcBorders>
            <w:noWrap w:val="0"/>
            <w:vAlign w:val="center"/>
          </w:tcPr>
          <w:p w14:paraId="1651B3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经度</w:t>
            </w:r>
          </w:p>
        </w:tc>
        <w:tc>
          <w:tcPr>
            <w:tcW w:w="562" w:type="pct"/>
            <w:tcBorders>
              <w:tl2br w:val="nil"/>
              <w:tr2bl w:val="nil"/>
            </w:tcBorders>
            <w:noWrap w:val="0"/>
            <w:vAlign w:val="center"/>
          </w:tcPr>
          <w:p w14:paraId="611810A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119.345681</w:t>
            </w:r>
            <w:r>
              <w:rPr>
                <w:rFonts w:hint="default" w:ascii="Times New Roman" w:hAnsi="Times New Roman" w:eastAsia="宋体" w:cs="Times New Roman"/>
                <w:color w:val="auto"/>
                <w:kern w:val="0"/>
                <w:sz w:val="21"/>
                <w:szCs w:val="21"/>
                <w:highlight w:val="none"/>
                <w:lang w:val="en-US" w:eastAsia="zh-CN"/>
              </w:rPr>
              <w:t>°</w:t>
            </w:r>
          </w:p>
        </w:tc>
        <w:tc>
          <w:tcPr>
            <w:tcW w:w="562" w:type="pct"/>
            <w:tcBorders>
              <w:tl2br w:val="nil"/>
              <w:tr2bl w:val="nil"/>
            </w:tcBorders>
            <w:noWrap w:val="0"/>
            <w:vAlign w:val="center"/>
          </w:tcPr>
          <w:p w14:paraId="48ABEE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119.348713</w:t>
            </w:r>
            <w:r>
              <w:rPr>
                <w:rFonts w:hint="default" w:ascii="Times New Roman" w:hAnsi="Times New Roman" w:eastAsia="宋体" w:cs="Times New Roman"/>
                <w:color w:val="auto"/>
                <w:kern w:val="0"/>
                <w:sz w:val="21"/>
                <w:szCs w:val="21"/>
                <w:highlight w:val="none"/>
                <w:lang w:val="en-US" w:eastAsia="zh-CN"/>
              </w:rPr>
              <w:t>°</w:t>
            </w:r>
          </w:p>
        </w:tc>
        <w:tc>
          <w:tcPr>
            <w:tcW w:w="563" w:type="pct"/>
            <w:tcBorders>
              <w:tl2br w:val="nil"/>
              <w:tr2bl w:val="nil"/>
            </w:tcBorders>
            <w:noWrap w:val="0"/>
            <w:vAlign w:val="center"/>
          </w:tcPr>
          <w:p w14:paraId="167649D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119.345987</w:t>
            </w:r>
            <w:r>
              <w:rPr>
                <w:rFonts w:hint="default" w:ascii="Times New Roman" w:hAnsi="Times New Roman" w:eastAsia="宋体" w:cs="Times New Roman"/>
                <w:color w:val="auto"/>
                <w:kern w:val="0"/>
                <w:sz w:val="21"/>
                <w:szCs w:val="21"/>
                <w:highlight w:val="none"/>
                <w:lang w:val="en-US" w:eastAsia="zh-CN"/>
              </w:rPr>
              <w:t>°</w:t>
            </w:r>
          </w:p>
        </w:tc>
        <w:tc>
          <w:tcPr>
            <w:tcW w:w="1690" w:type="pct"/>
            <w:gridSpan w:val="3"/>
            <w:tcBorders>
              <w:tl2br w:val="nil"/>
              <w:tr2bl w:val="nil"/>
            </w:tcBorders>
            <w:noWrap w:val="0"/>
            <w:vAlign w:val="center"/>
          </w:tcPr>
          <w:p w14:paraId="4438FC6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119.346220</w:t>
            </w:r>
            <w:r>
              <w:rPr>
                <w:rFonts w:hint="default" w:ascii="Times New Roman" w:hAnsi="Times New Roman" w:eastAsia="宋体" w:cs="Times New Roman"/>
                <w:color w:val="auto"/>
                <w:kern w:val="0"/>
                <w:sz w:val="21"/>
                <w:szCs w:val="21"/>
                <w:highlight w:val="none"/>
                <w:lang w:val="en-US" w:eastAsia="zh-CN"/>
              </w:rPr>
              <w:t>°</w:t>
            </w:r>
          </w:p>
        </w:tc>
        <w:tc>
          <w:tcPr>
            <w:tcW w:w="411" w:type="pct"/>
            <w:vMerge w:val="continue"/>
            <w:tcBorders>
              <w:tl2br w:val="nil"/>
              <w:tr2bl w:val="nil"/>
            </w:tcBorders>
            <w:noWrap w:val="0"/>
            <w:vAlign w:val="center"/>
          </w:tcPr>
          <w:p w14:paraId="42E2B41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3" w:type="pct"/>
            <w:vMerge w:val="continue"/>
            <w:tcBorders>
              <w:tl2br w:val="nil"/>
              <w:tr2bl w:val="nil"/>
            </w:tcBorders>
            <w:noWrap w:val="0"/>
            <w:vAlign w:val="center"/>
          </w:tcPr>
          <w:p w14:paraId="53E1C21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614E2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79" w:type="pct"/>
            <w:vMerge w:val="continue"/>
            <w:tcBorders>
              <w:tl2br w:val="nil"/>
              <w:tr2bl w:val="nil"/>
            </w:tcBorders>
            <w:noWrap w:val="0"/>
            <w:vAlign w:val="center"/>
          </w:tcPr>
          <w:p w14:paraId="466519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15" w:type="pct"/>
            <w:tcBorders>
              <w:tl2br w:val="nil"/>
              <w:tr2bl w:val="nil"/>
            </w:tcBorders>
            <w:noWrap w:val="0"/>
            <w:vAlign w:val="center"/>
          </w:tcPr>
          <w:p w14:paraId="197C3F5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纬度</w:t>
            </w:r>
          </w:p>
        </w:tc>
        <w:tc>
          <w:tcPr>
            <w:tcW w:w="562" w:type="pct"/>
            <w:tcBorders>
              <w:tl2br w:val="nil"/>
              <w:tr2bl w:val="nil"/>
            </w:tcBorders>
            <w:noWrap w:val="0"/>
            <w:vAlign w:val="center"/>
          </w:tcPr>
          <w:p w14:paraId="47A6406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25.879407</w:t>
            </w:r>
            <w:r>
              <w:rPr>
                <w:rFonts w:hint="default" w:ascii="Times New Roman" w:hAnsi="Times New Roman" w:eastAsia="宋体" w:cs="Times New Roman"/>
                <w:color w:val="auto"/>
                <w:kern w:val="0"/>
                <w:sz w:val="21"/>
                <w:szCs w:val="21"/>
                <w:highlight w:val="none"/>
                <w:lang w:val="en-US" w:eastAsia="zh-CN"/>
              </w:rPr>
              <w:t>°</w:t>
            </w:r>
          </w:p>
        </w:tc>
        <w:tc>
          <w:tcPr>
            <w:tcW w:w="562" w:type="pct"/>
            <w:tcBorders>
              <w:tl2br w:val="nil"/>
              <w:tr2bl w:val="nil"/>
            </w:tcBorders>
            <w:noWrap w:val="0"/>
            <w:vAlign w:val="center"/>
          </w:tcPr>
          <w:p w14:paraId="5C322D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25.879309</w:t>
            </w:r>
            <w:r>
              <w:rPr>
                <w:rFonts w:hint="default" w:ascii="Times New Roman" w:hAnsi="Times New Roman" w:eastAsia="宋体" w:cs="Times New Roman"/>
                <w:color w:val="auto"/>
                <w:kern w:val="0"/>
                <w:sz w:val="21"/>
                <w:szCs w:val="21"/>
                <w:highlight w:val="none"/>
                <w:lang w:val="en-US" w:eastAsia="zh-CN"/>
              </w:rPr>
              <w:t>°</w:t>
            </w:r>
          </w:p>
        </w:tc>
        <w:tc>
          <w:tcPr>
            <w:tcW w:w="563" w:type="pct"/>
            <w:tcBorders>
              <w:tl2br w:val="nil"/>
              <w:tr2bl w:val="nil"/>
            </w:tcBorders>
            <w:noWrap w:val="0"/>
            <w:vAlign w:val="center"/>
          </w:tcPr>
          <w:p w14:paraId="0EE9802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25.879202</w:t>
            </w:r>
            <w:r>
              <w:rPr>
                <w:rFonts w:hint="default" w:ascii="Times New Roman" w:hAnsi="Times New Roman" w:eastAsia="宋体" w:cs="Times New Roman"/>
                <w:color w:val="auto"/>
                <w:kern w:val="0"/>
                <w:sz w:val="21"/>
                <w:szCs w:val="21"/>
                <w:highlight w:val="none"/>
                <w:lang w:val="en-US" w:eastAsia="zh-CN"/>
              </w:rPr>
              <w:t>°</w:t>
            </w:r>
          </w:p>
        </w:tc>
        <w:tc>
          <w:tcPr>
            <w:tcW w:w="1690" w:type="pct"/>
            <w:gridSpan w:val="3"/>
            <w:tcBorders>
              <w:tl2br w:val="nil"/>
              <w:tr2bl w:val="nil"/>
            </w:tcBorders>
            <w:noWrap w:val="0"/>
            <w:vAlign w:val="center"/>
          </w:tcPr>
          <w:p w14:paraId="22D13DB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25.879038</w:t>
            </w:r>
            <w:r>
              <w:rPr>
                <w:rFonts w:hint="default" w:ascii="Times New Roman" w:hAnsi="Times New Roman" w:eastAsia="宋体" w:cs="Times New Roman"/>
                <w:color w:val="auto"/>
                <w:kern w:val="0"/>
                <w:sz w:val="21"/>
                <w:szCs w:val="21"/>
                <w:highlight w:val="none"/>
                <w:lang w:val="en-US" w:eastAsia="zh-CN"/>
              </w:rPr>
              <w:t>°</w:t>
            </w:r>
          </w:p>
        </w:tc>
        <w:tc>
          <w:tcPr>
            <w:tcW w:w="411" w:type="pct"/>
            <w:vMerge w:val="continue"/>
            <w:tcBorders>
              <w:tl2br w:val="nil"/>
              <w:tr2bl w:val="nil"/>
            </w:tcBorders>
            <w:noWrap w:val="0"/>
            <w:vAlign w:val="center"/>
          </w:tcPr>
          <w:p w14:paraId="687641D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3" w:type="pct"/>
            <w:vMerge w:val="continue"/>
            <w:tcBorders>
              <w:tl2br w:val="nil"/>
              <w:tr2bl w:val="nil"/>
            </w:tcBorders>
            <w:noWrap w:val="0"/>
            <w:vAlign w:val="center"/>
          </w:tcPr>
          <w:p w14:paraId="5D4FCA5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431C1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279" w:type="pct"/>
            <w:vMerge w:val="continue"/>
            <w:tcBorders>
              <w:tl2br w:val="nil"/>
              <w:tr2bl w:val="nil"/>
            </w:tcBorders>
            <w:noWrap w:val="0"/>
            <w:vAlign w:val="center"/>
          </w:tcPr>
          <w:p w14:paraId="5C160CB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15" w:type="pct"/>
            <w:tcBorders>
              <w:tl2br w:val="nil"/>
              <w:tr2bl w:val="nil"/>
            </w:tcBorders>
            <w:noWrap w:val="0"/>
            <w:vAlign w:val="center"/>
          </w:tcPr>
          <w:p w14:paraId="3777A50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采样层次</w:t>
            </w:r>
          </w:p>
        </w:tc>
        <w:tc>
          <w:tcPr>
            <w:tcW w:w="562" w:type="pct"/>
            <w:tcBorders>
              <w:tl2br w:val="nil"/>
              <w:tr2bl w:val="nil"/>
            </w:tcBorders>
            <w:noWrap w:val="0"/>
            <w:vAlign w:val="center"/>
          </w:tcPr>
          <w:p w14:paraId="6B3868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m</w:t>
            </w:r>
          </w:p>
        </w:tc>
        <w:tc>
          <w:tcPr>
            <w:tcW w:w="562" w:type="pct"/>
            <w:tcBorders>
              <w:tl2br w:val="nil"/>
              <w:tr2bl w:val="nil"/>
            </w:tcBorders>
            <w:noWrap w:val="0"/>
            <w:vAlign w:val="center"/>
          </w:tcPr>
          <w:p w14:paraId="683D2C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m</w:t>
            </w:r>
          </w:p>
        </w:tc>
        <w:tc>
          <w:tcPr>
            <w:tcW w:w="563" w:type="pct"/>
            <w:tcBorders>
              <w:tl2br w:val="nil"/>
              <w:tr2bl w:val="nil"/>
            </w:tcBorders>
            <w:noWrap w:val="0"/>
            <w:vAlign w:val="center"/>
          </w:tcPr>
          <w:p w14:paraId="1C8CE07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m</w:t>
            </w:r>
          </w:p>
        </w:tc>
        <w:tc>
          <w:tcPr>
            <w:tcW w:w="562" w:type="pct"/>
            <w:tcBorders>
              <w:tl2br w:val="nil"/>
              <w:tr2bl w:val="nil"/>
            </w:tcBorders>
            <w:noWrap w:val="0"/>
            <w:vAlign w:val="center"/>
          </w:tcPr>
          <w:p w14:paraId="31A368F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0.0~0.5</w:t>
            </w:r>
            <w:r>
              <w:rPr>
                <w:rFonts w:hint="default" w:ascii="Times New Roman" w:hAnsi="Times New Roman" w:eastAsia="宋体" w:cs="Times New Roman"/>
                <w:color w:val="auto"/>
                <w:kern w:val="0"/>
                <w:sz w:val="21"/>
                <w:szCs w:val="21"/>
                <w:highlight w:val="none"/>
                <w:lang w:val="en-US" w:eastAsia="zh-CN"/>
              </w:rPr>
              <w:t>m</w:t>
            </w:r>
          </w:p>
        </w:tc>
        <w:tc>
          <w:tcPr>
            <w:tcW w:w="562" w:type="pct"/>
            <w:tcBorders>
              <w:tl2br w:val="nil"/>
              <w:tr2bl w:val="nil"/>
            </w:tcBorders>
            <w:noWrap w:val="0"/>
            <w:vAlign w:val="center"/>
          </w:tcPr>
          <w:p w14:paraId="5B6A372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0.5~1.5</w:t>
            </w:r>
            <w:r>
              <w:rPr>
                <w:rFonts w:hint="default" w:ascii="Times New Roman" w:hAnsi="Times New Roman" w:eastAsia="宋体" w:cs="Times New Roman"/>
                <w:color w:val="auto"/>
                <w:kern w:val="0"/>
                <w:sz w:val="21"/>
                <w:szCs w:val="21"/>
                <w:highlight w:val="none"/>
                <w:lang w:val="en-US" w:eastAsia="zh-CN"/>
              </w:rPr>
              <w:t>m</w:t>
            </w:r>
          </w:p>
        </w:tc>
        <w:tc>
          <w:tcPr>
            <w:tcW w:w="565" w:type="pct"/>
            <w:tcBorders>
              <w:tl2br w:val="nil"/>
              <w:tr2bl w:val="nil"/>
            </w:tcBorders>
            <w:noWrap w:val="0"/>
            <w:vAlign w:val="center"/>
          </w:tcPr>
          <w:p w14:paraId="5403C91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1.5~3.0</w:t>
            </w:r>
            <w:r>
              <w:rPr>
                <w:rFonts w:hint="default" w:ascii="Times New Roman" w:hAnsi="Times New Roman" w:eastAsia="宋体" w:cs="Times New Roman"/>
                <w:color w:val="auto"/>
                <w:kern w:val="0"/>
                <w:sz w:val="21"/>
                <w:szCs w:val="21"/>
                <w:highlight w:val="none"/>
                <w:lang w:val="en-US" w:eastAsia="zh-CN"/>
              </w:rPr>
              <w:t>m</w:t>
            </w:r>
          </w:p>
        </w:tc>
        <w:tc>
          <w:tcPr>
            <w:tcW w:w="411" w:type="pct"/>
            <w:vMerge w:val="continue"/>
            <w:tcBorders>
              <w:tl2br w:val="nil"/>
              <w:tr2bl w:val="nil"/>
            </w:tcBorders>
            <w:noWrap w:val="0"/>
            <w:vAlign w:val="center"/>
          </w:tcPr>
          <w:p w14:paraId="16578CB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3" w:type="pct"/>
            <w:vMerge w:val="continue"/>
            <w:tcBorders>
              <w:tl2br w:val="nil"/>
              <w:tr2bl w:val="nil"/>
            </w:tcBorders>
            <w:noWrap w:val="0"/>
            <w:vAlign w:val="center"/>
          </w:tcPr>
          <w:p w14:paraId="4DCD2F9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4A27EA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E80EA4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样品性状</w:t>
            </w:r>
          </w:p>
        </w:tc>
        <w:tc>
          <w:tcPr>
            <w:tcW w:w="562" w:type="pct"/>
            <w:tcBorders>
              <w:tl2br w:val="nil"/>
              <w:tr2bl w:val="nil"/>
            </w:tcBorders>
            <w:noWrap w:val="0"/>
            <w:vAlign w:val="center"/>
          </w:tcPr>
          <w:p w14:paraId="0A84CFB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棕色、砂壤土</w:t>
            </w:r>
          </w:p>
        </w:tc>
        <w:tc>
          <w:tcPr>
            <w:tcW w:w="562" w:type="pct"/>
            <w:tcBorders>
              <w:tl2br w:val="nil"/>
              <w:tr2bl w:val="nil"/>
            </w:tcBorders>
            <w:noWrap w:val="0"/>
            <w:vAlign w:val="center"/>
          </w:tcPr>
          <w:p w14:paraId="5FDB919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棕色、轻壤土</w:t>
            </w:r>
          </w:p>
        </w:tc>
        <w:tc>
          <w:tcPr>
            <w:tcW w:w="563" w:type="pct"/>
            <w:tcBorders>
              <w:tl2br w:val="nil"/>
              <w:tr2bl w:val="nil"/>
            </w:tcBorders>
            <w:noWrap w:val="0"/>
            <w:vAlign w:val="center"/>
          </w:tcPr>
          <w:p w14:paraId="704DD39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棕色、轻壤土</w:t>
            </w:r>
          </w:p>
        </w:tc>
        <w:tc>
          <w:tcPr>
            <w:tcW w:w="562" w:type="pct"/>
            <w:tcBorders>
              <w:tl2br w:val="nil"/>
              <w:tr2bl w:val="nil"/>
            </w:tcBorders>
            <w:noWrap w:val="0"/>
            <w:vAlign w:val="center"/>
          </w:tcPr>
          <w:p w14:paraId="0EEBAF3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灰黑色、砂土</w:t>
            </w:r>
          </w:p>
        </w:tc>
        <w:tc>
          <w:tcPr>
            <w:tcW w:w="562" w:type="pct"/>
            <w:tcBorders>
              <w:tl2br w:val="nil"/>
              <w:tr2bl w:val="nil"/>
            </w:tcBorders>
            <w:noWrap w:val="0"/>
            <w:vAlign w:val="center"/>
          </w:tcPr>
          <w:p w14:paraId="150DD2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棕色、中壤土</w:t>
            </w:r>
          </w:p>
        </w:tc>
        <w:tc>
          <w:tcPr>
            <w:tcW w:w="565" w:type="pct"/>
            <w:tcBorders>
              <w:tl2br w:val="nil"/>
              <w:tr2bl w:val="nil"/>
            </w:tcBorders>
            <w:noWrap w:val="0"/>
            <w:vAlign w:val="center"/>
          </w:tcPr>
          <w:p w14:paraId="71D2EA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红棕色、重壤土</w:t>
            </w:r>
          </w:p>
        </w:tc>
        <w:tc>
          <w:tcPr>
            <w:tcW w:w="411" w:type="pct"/>
            <w:tcBorders>
              <w:tl2br w:val="nil"/>
              <w:tr2bl w:val="nil"/>
            </w:tcBorders>
            <w:noWrap w:val="0"/>
            <w:vAlign w:val="center"/>
          </w:tcPr>
          <w:p w14:paraId="4D834FA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413" w:type="pct"/>
            <w:tcBorders>
              <w:tl2br w:val="nil"/>
              <w:tr2bl w:val="nil"/>
            </w:tcBorders>
            <w:noWrap w:val="0"/>
            <w:vAlign w:val="center"/>
          </w:tcPr>
          <w:p w14:paraId="39F926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r w14:paraId="0C021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73E8D0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pH值</w:t>
            </w:r>
          </w:p>
        </w:tc>
        <w:tc>
          <w:tcPr>
            <w:tcW w:w="562" w:type="pct"/>
            <w:tcBorders>
              <w:tl2br w:val="nil"/>
              <w:tr2bl w:val="nil"/>
            </w:tcBorders>
            <w:noWrap w:val="0"/>
            <w:vAlign w:val="center"/>
          </w:tcPr>
          <w:p w14:paraId="7622F0A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6.85</w:t>
            </w:r>
          </w:p>
        </w:tc>
        <w:tc>
          <w:tcPr>
            <w:tcW w:w="562" w:type="pct"/>
            <w:tcBorders>
              <w:tl2br w:val="nil"/>
              <w:tr2bl w:val="nil"/>
            </w:tcBorders>
            <w:noWrap w:val="0"/>
            <w:vAlign w:val="center"/>
          </w:tcPr>
          <w:p w14:paraId="0846DA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6.97</w:t>
            </w:r>
          </w:p>
        </w:tc>
        <w:tc>
          <w:tcPr>
            <w:tcW w:w="563" w:type="pct"/>
            <w:tcBorders>
              <w:tl2br w:val="nil"/>
              <w:tr2bl w:val="nil"/>
            </w:tcBorders>
            <w:noWrap w:val="0"/>
            <w:vAlign w:val="center"/>
          </w:tcPr>
          <w:p w14:paraId="15428C3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7.09</w:t>
            </w:r>
          </w:p>
        </w:tc>
        <w:tc>
          <w:tcPr>
            <w:tcW w:w="562" w:type="pct"/>
            <w:tcBorders>
              <w:tl2br w:val="nil"/>
              <w:tr2bl w:val="nil"/>
            </w:tcBorders>
            <w:noWrap w:val="0"/>
            <w:vAlign w:val="center"/>
          </w:tcPr>
          <w:p w14:paraId="636FDDE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9.76</w:t>
            </w:r>
          </w:p>
        </w:tc>
        <w:tc>
          <w:tcPr>
            <w:tcW w:w="562" w:type="pct"/>
            <w:tcBorders>
              <w:tl2br w:val="nil"/>
              <w:tr2bl w:val="nil"/>
            </w:tcBorders>
            <w:noWrap w:val="0"/>
            <w:vAlign w:val="center"/>
          </w:tcPr>
          <w:p w14:paraId="10D925A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8.51</w:t>
            </w:r>
          </w:p>
        </w:tc>
        <w:tc>
          <w:tcPr>
            <w:tcW w:w="565" w:type="pct"/>
            <w:tcBorders>
              <w:tl2br w:val="nil"/>
              <w:tr2bl w:val="nil"/>
            </w:tcBorders>
            <w:noWrap w:val="0"/>
            <w:vAlign w:val="center"/>
          </w:tcPr>
          <w:p w14:paraId="18FCFB7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7.23</w:t>
            </w:r>
          </w:p>
        </w:tc>
        <w:tc>
          <w:tcPr>
            <w:tcW w:w="411" w:type="pct"/>
            <w:tcBorders>
              <w:tl2br w:val="nil"/>
              <w:tr2bl w:val="nil"/>
            </w:tcBorders>
            <w:noWrap w:val="0"/>
            <w:vAlign w:val="center"/>
          </w:tcPr>
          <w:p w14:paraId="6DCA84E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413" w:type="pct"/>
            <w:tcBorders>
              <w:tl2br w:val="nil"/>
              <w:tr2bl w:val="nil"/>
            </w:tcBorders>
            <w:noWrap w:val="0"/>
            <w:vAlign w:val="center"/>
          </w:tcPr>
          <w:p w14:paraId="1973F9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无量纲</w:t>
            </w:r>
          </w:p>
        </w:tc>
      </w:tr>
      <w:tr w14:paraId="1E475D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D68A5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石油烃（C10-C40）</w:t>
            </w:r>
          </w:p>
        </w:tc>
        <w:tc>
          <w:tcPr>
            <w:tcW w:w="562" w:type="pct"/>
            <w:tcBorders>
              <w:tl2br w:val="nil"/>
              <w:tr2bl w:val="nil"/>
            </w:tcBorders>
            <w:noWrap w:val="0"/>
            <w:vAlign w:val="center"/>
          </w:tcPr>
          <w:p w14:paraId="6D5D88B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54</w:t>
            </w:r>
          </w:p>
        </w:tc>
        <w:tc>
          <w:tcPr>
            <w:tcW w:w="562" w:type="pct"/>
            <w:tcBorders>
              <w:tl2br w:val="nil"/>
              <w:tr2bl w:val="nil"/>
            </w:tcBorders>
            <w:noWrap w:val="0"/>
            <w:vAlign w:val="center"/>
          </w:tcPr>
          <w:p w14:paraId="5C0EE36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27</w:t>
            </w:r>
          </w:p>
        </w:tc>
        <w:tc>
          <w:tcPr>
            <w:tcW w:w="563" w:type="pct"/>
            <w:tcBorders>
              <w:tl2br w:val="nil"/>
              <w:tr2bl w:val="nil"/>
            </w:tcBorders>
            <w:noWrap w:val="0"/>
            <w:vAlign w:val="center"/>
          </w:tcPr>
          <w:p w14:paraId="7615822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41</w:t>
            </w:r>
          </w:p>
        </w:tc>
        <w:tc>
          <w:tcPr>
            <w:tcW w:w="562" w:type="pct"/>
            <w:tcBorders>
              <w:tl2br w:val="nil"/>
              <w:tr2bl w:val="nil"/>
            </w:tcBorders>
            <w:noWrap w:val="0"/>
            <w:vAlign w:val="center"/>
          </w:tcPr>
          <w:p w14:paraId="07B0D2B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52</w:t>
            </w:r>
          </w:p>
        </w:tc>
        <w:tc>
          <w:tcPr>
            <w:tcW w:w="562" w:type="pct"/>
            <w:tcBorders>
              <w:tl2br w:val="nil"/>
              <w:tr2bl w:val="nil"/>
            </w:tcBorders>
            <w:noWrap w:val="0"/>
            <w:vAlign w:val="center"/>
          </w:tcPr>
          <w:p w14:paraId="0C6C827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57</w:t>
            </w:r>
          </w:p>
        </w:tc>
        <w:tc>
          <w:tcPr>
            <w:tcW w:w="565" w:type="pct"/>
            <w:tcBorders>
              <w:tl2br w:val="nil"/>
              <w:tr2bl w:val="nil"/>
            </w:tcBorders>
            <w:noWrap w:val="0"/>
            <w:vAlign w:val="center"/>
          </w:tcPr>
          <w:p w14:paraId="580ED9C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54</w:t>
            </w:r>
          </w:p>
        </w:tc>
        <w:tc>
          <w:tcPr>
            <w:tcW w:w="411" w:type="pct"/>
            <w:tcBorders>
              <w:tl2br w:val="nil"/>
              <w:tr2bl w:val="nil"/>
            </w:tcBorders>
            <w:noWrap w:val="0"/>
            <w:vAlign w:val="center"/>
          </w:tcPr>
          <w:p w14:paraId="3DE0714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4500</w:t>
            </w:r>
          </w:p>
        </w:tc>
        <w:tc>
          <w:tcPr>
            <w:tcW w:w="413" w:type="pct"/>
            <w:tcBorders>
              <w:tl2br w:val="nil"/>
              <w:tr2bl w:val="nil"/>
            </w:tcBorders>
            <w:noWrap w:val="0"/>
            <w:vAlign w:val="center"/>
          </w:tcPr>
          <w:p w14:paraId="26B5E7C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368DE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6799787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镉</w:t>
            </w:r>
          </w:p>
        </w:tc>
        <w:tc>
          <w:tcPr>
            <w:tcW w:w="562" w:type="pct"/>
            <w:tcBorders>
              <w:tl2br w:val="nil"/>
              <w:tr2bl w:val="nil"/>
            </w:tcBorders>
            <w:noWrap w:val="0"/>
            <w:vAlign w:val="center"/>
          </w:tcPr>
          <w:p w14:paraId="05C1A67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0.30</w:t>
            </w:r>
          </w:p>
        </w:tc>
        <w:tc>
          <w:tcPr>
            <w:tcW w:w="562" w:type="pct"/>
            <w:tcBorders>
              <w:tl2br w:val="nil"/>
              <w:tr2bl w:val="nil"/>
            </w:tcBorders>
            <w:noWrap w:val="0"/>
            <w:vAlign w:val="center"/>
          </w:tcPr>
          <w:p w14:paraId="09642A6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0.13</w:t>
            </w:r>
          </w:p>
        </w:tc>
        <w:tc>
          <w:tcPr>
            <w:tcW w:w="563" w:type="pct"/>
            <w:tcBorders>
              <w:tl2br w:val="nil"/>
              <w:tr2bl w:val="nil"/>
            </w:tcBorders>
            <w:noWrap w:val="0"/>
            <w:vAlign w:val="center"/>
          </w:tcPr>
          <w:p w14:paraId="4A4407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0.37</w:t>
            </w:r>
          </w:p>
        </w:tc>
        <w:tc>
          <w:tcPr>
            <w:tcW w:w="562" w:type="pct"/>
            <w:tcBorders>
              <w:tl2br w:val="nil"/>
              <w:tr2bl w:val="nil"/>
            </w:tcBorders>
            <w:noWrap w:val="0"/>
            <w:vAlign w:val="center"/>
          </w:tcPr>
          <w:p w14:paraId="5CED3D3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0.23</w:t>
            </w:r>
          </w:p>
        </w:tc>
        <w:tc>
          <w:tcPr>
            <w:tcW w:w="562" w:type="pct"/>
            <w:tcBorders>
              <w:tl2br w:val="nil"/>
              <w:tr2bl w:val="nil"/>
            </w:tcBorders>
            <w:noWrap w:val="0"/>
            <w:vAlign w:val="center"/>
          </w:tcPr>
          <w:p w14:paraId="1BC22C7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0.15</w:t>
            </w:r>
          </w:p>
        </w:tc>
        <w:tc>
          <w:tcPr>
            <w:tcW w:w="565" w:type="pct"/>
            <w:tcBorders>
              <w:tl2br w:val="nil"/>
              <w:tr2bl w:val="nil"/>
            </w:tcBorders>
            <w:noWrap w:val="0"/>
            <w:vAlign w:val="center"/>
          </w:tcPr>
          <w:p w14:paraId="13F7C9E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0.04</w:t>
            </w:r>
          </w:p>
        </w:tc>
        <w:tc>
          <w:tcPr>
            <w:tcW w:w="411" w:type="pct"/>
            <w:tcBorders>
              <w:tl2br w:val="nil"/>
              <w:tr2bl w:val="nil"/>
            </w:tcBorders>
            <w:noWrap w:val="0"/>
            <w:vAlign w:val="center"/>
          </w:tcPr>
          <w:p w14:paraId="06FE400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65</w:t>
            </w:r>
          </w:p>
        </w:tc>
        <w:tc>
          <w:tcPr>
            <w:tcW w:w="413" w:type="pct"/>
            <w:tcBorders>
              <w:tl2br w:val="nil"/>
              <w:tr2bl w:val="nil"/>
            </w:tcBorders>
            <w:noWrap w:val="0"/>
            <w:vAlign w:val="center"/>
          </w:tcPr>
          <w:p w14:paraId="400C8D6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CFF3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914E31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铅</w:t>
            </w:r>
          </w:p>
        </w:tc>
        <w:tc>
          <w:tcPr>
            <w:tcW w:w="562" w:type="pct"/>
            <w:tcBorders>
              <w:tl2br w:val="nil"/>
              <w:tr2bl w:val="nil"/>
            </w:tcBorders>
            <w:noWrap w:val="0"/>
            <w:vAlign w:val="center"/>
          </w:tcPr>
          <w:p w14:paraId="34AB132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41.9</w:t>
            </w:r>
          </w:p>
        </w:tc>
        <w:tc>
          <w:tcPr>
            <w:tcW w:w="562" w:type="pct"/>
            <w:tcBorders>
              <w:tl2br w:val="nil"/>
              <w:tr2bl w:val="nil"/>
            </w:tcBorders>
            <w:noWrap w:val="0"/>
            <w:vAlign w:val="center"/>
          </w:tcPr>
          <w:p w14:paraId="2C65C24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22.3</w:t>
            </w:r>
          </w:p>
        </w:tc>
        <w:tc>
          <w:tcPr>
            <w:tcW w:w="563" w:type="pct"/>
            <w:tcBorders>
              <w:tl2br w:val="nil"/>
              <w:tr2bl w:val="nil"/>
            </w:tcBorders>
            <w:noWrap w:val="0"/>
            <w:vAlign w:val="center"/>
          </w:tcPr>
          <w:p w14:paraId="524D72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44.3</w:t>
            </w:r>
          </w:p>
        </w:tc>
        <w:tc>
          <w:tcPr>
            <w:tcW w:w="562" w:type="pct"/>
            <w:tcBorders>
              <w:tl2br w:val="nil"/>
              <w:tr2bl w:val="nil"/>
            </w:tcBorders>
            <w:noWrap w:val="0"/>
            <w:vAlign w:val="center"/>
          </w:tcPr>
          <w:p w14:paraId="29122EC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22.7</w:t>
            </w:r>
          </w:p>
        </w:tc>
        <w:tc>
          <w:tcPr>
            <w:tcW w:w="562" w:type="pct"/>
            <w:tcBorders>
              <w:tl2br w:val="nil"/>
              <w:tr2bl w:val="nil"/>
            </w:tcBorders>
            <w:noWrap w:val="0"/>
            <w:vAlign w:val="center"/>
          </w:tcPr>
          <w:p w14:paraId="06C666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32.5</w:t>
            </w:r>
          </w:p>
        </w:tc>
        <w:tc>
          <w:tcPr>
            <w:tcW w:w="565" w:type="pct"/>
            <w:tcBorders>
              <w:tl2br w:val="nil"/>
              <w:tr2bl w:val="nil"/>
            </w:tcBorders>
            <w:noWrap w:val="0"/>
            <w:vAlign w:val="center"/>
          </w:tcPr>
          <w:p w14:paraId="16C6E0D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31.6</w:t>
            </w:r>
          </w:p>
        </w:tc>
        <w:tc>
          <w:tcPr>
            <w:tcW w:w="411" w:type="pct"/>
            <w:tcBorders>
              <w:tl2br w:val="nil"/>
              <w:tr2bl w:val="nil"/>
            </w:tcBorders>
            <w:noWrap w:val="0"/>
            <w:vAlign w:val="center"/>
          </w:tcPr>
          <w:p w14:paraId="68F5352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800</w:t>
            </w:r>
          </w:p>
        </w:tc>
        <w:tc>
          <w:tcPr>
            <w:tcW w:w="413" w:type="pct"/>
            <w:tcBorders>
              <w:tl2br w:val="nil"/>
              <w:tr2bl w:val="nil"/>
            </w:tcBorders>
            <w:noWrap w:val="0"/>
            <w:vAlign w:val="center"/>
          </w:tcPr>
          <w:p w14:paraId="54BE1D6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95C5E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E88B50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铜</w:t>
            </w:r>
          </w:p>
        </w:tc>
        <w:tc>
          <w:tcPr>
            <w:tcW w:w="562" w:type="pct"/>
            <w:tcBorders>
              <w:tl2br w:val="nil"/>
              <w:tr2bl w:val="nil"/>
            </w:tcBorders>
            <w:noWrap w:val="0"/>
            <w:vAlign w:val="center"/>
          </w:tcPr>
          <w:p w14:paraId="11EAE27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50</w:t>
            </w:r>
          </w:p>
        </w:tc>
        <w:tc>
          <w:tcPr>
            <w:tcW w:w="562" w:type="pct"/>
            <w:tcBorders>
              <w:tl2br w:val="nil"/>
              <w:tr2bl w:val="nil"/>
            </w:tcBorders>
            <w:noWrap w:val="0"/>
            <w:vAlign w:val="center"/>
          </w:tcPr>
          <w:p w14:paraId="30BAB9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26</w:t>
            </w:r>
          </w:p>
        </w:tc>
        <w:tc>
          <w:tcPr>
            <w:tcW w:w="563" w:type="pct"/>
            <w:tcBorders>
              <w:tl2br w:val="nil"/>
              <w:tr2bl w:val="nil"/>
            </w:tcBorders>
            <w:noWrap w:val="0"/>
            <w:vAlign w:val="center"/>
          </w:tcPr>
          <w:p w14:paraId="79F33BF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35</w:t>
            </w:r>
          </w:p>
        </w:tc>
        <w:tc>
          <w:tcPr>
            <w:tcW w:w="562" w:type="pct"/>
            <w:tcBorders>
              <w:tl2br w:val="nil"/>
              <w:tr2bl w:val="nil"/>
            </w:tcBorders>
            <w:noWrap w:val="0"/>
            <w:vAlign w:val="center"/>
          </w:tcPr>
          <w:p w14:paraId="3425389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13</w:t>
            </w:r>
          </w:p>
        </w:tc>
        <w:tc>
          <w:tcPr>
            <w:tcW w:w="562" w:type="pct"/>
            <w:tcBorders>
              <w:tl2br w:val="nil"/>
              <w:tr2bl w:val="nil"/>
            </w:tcBorders>
            <w:noWrap w:val="0"/>
            <w:vAlign w:val="center"/>
          </w:tcPr>
          <w:p w14:paraId="1337D24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30</w:t>
            </w:r>
          </w:p>
        </w:tc>
        <w:tc>
          <w:tcPr>
            <w:tcW w:w="565" w:type="pct"/>
            <w:tcBorders>
              <w:tl2br w:val="nil"/>
              <w:tr2bl w:val="nil"/>
            </w:tcBorders>
            <w:noWrap w:val="0"/>
            <w:vAlign w:val="center"/>
          </w:tcPr>
          <w:p w14:paraId="29CF8D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32</w:t>
            </w:r>
          </w:p>
        </w:tc>
        <w:tc>
          <w:tcPr>
            <w:tcW w:w="411" w:type="pct"/>
            <w:tcBorders>
              <w:tl2br w:val="nil"/>
              <w:tr2bl w:val="nil"/>
            </w:tcBorders>
            <w:noWrap w:val="0"/>
            <w:vAlign w:val="center"/>
          </w:tcPr>
          <w:p w14:paraId="70C217F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18000</w:t>
            </w:r>
          </w:p>
        </w:tc>
        <w:tc>
          <w:tcPr>
            <w:tcW w:w="413" w:type="pct"/>
            <w:tcBorders>
              <w:tl2br w:val="nil"/>
              <w:tr2bl w:val="nil"/>
            </w:tcBorders>
            <w:noWrap w:val="0"/>
            <w:vAlign w:val="center"/>
          </w:tcPr>
          <w:p w14:paraId="461AAC9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4A725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F79825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镍</w:t>
            </w:r>
          </w:p>
        </w:tc>
        <w:tc>
          <w:tcPr>
            <w:tcW w:w="562" w:type="pct"/>
            <w:tcBorders>
              <w:tl2br w:val="nil"/>
              <w:tr2bl w:val="nil"/>
            </w:tcBorders>
            <w:noWrap w:val="0"/>
            <w:vAlign w:val="center"/>
          </w:tcPr>
          <w:p w14:paraId="2F676AA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26</w:t>
            </w:r>
          </w:p>
        </w:tc>
        <w:tc>
          <w:tcPr>
            <w:tcW w:w="562" w:type="pct"/>
            <w:tcBorders>
              <w:tl2br w:val="nil"/>
              <w:tr2bl w:val="nil"/>
            </w:tcBorders>
            <w:noWrap w:val="0"/>
            <w:vAlign w:val="center"/>
          </w:tcPr>
          <w:p w14:paraId="1150721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33</w:t>
            </w:r>
          </w:p>
        </w:tc>
        <w:tc>
          <w:tcPr>
            <w:tcW w:w="563" w:type="pct"/>
            <w:tcBorders>
              <w:tl2br w:val="nil"/>
              <w:tr2bl w:val="nil"/>
            </w:tcBorders>
            <w:noWrap w:val="0"/>
            <w:vAlign w:val="center"/>
          </w:tcPr>
          <w:p w14:paraId="14705DF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29</w:t>
            </w:r>
          </w:p>
        </w:tc>
        <w:tc>
          <w:tcPr>
            <w:tcW w:w="562" w:type="pct"/>
            <w:tcBorders>
              <w:tl2br w:val="nil"/>
              <w:tr2bl w:val="nil"/>
            </w:tcBorders>
            <w:noWrap w:val="0"/>
            <w:vAlign w:val="center"/>
          </w:tcPr>
          <w:p w14:paraId="136F53F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23</w:t>
            </w:r>
          </w:p>
        </w:tc>
        <w:tc>
          <w:tcPr>
            <w:tcW w:w="562" w:type="pct"/>
            <w:tcBorders>
              <w:tl2br w:val="nil"/>
              <w:tr2bl w:val="nil"/>
            </w:tcBorders>
            <w:noWrap w:val="0"/>
            <w:vAlign w:val="center"/>
          </w:tcPr>
          <w:p w14:paraId="0A0333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w:t>
            </w:r>
          </w:p>
        </w:tc>
        <w:tc>
          <w:tcPr>
            <w:tcW w:w="565" w:type="pct"/>
            <w:tcBorders>
              <w:tl2br w:val="nil"/>
              <w:tr2bl w:val="nil"/>
            </w:tcBorders>
            <w:noWrap w:val="0"/>
            <w:vAlign w:val="center"/>
          </w:tcPr>
          <w:p w14:paraId="09F35E9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40</w:t>
            </w:r>
          </w:p>
        </w:tc>
        <w:tc>
          <w:tcPr>
            <w:tcW w:w="411" w:type="pct"/>
            <w:tcBorders>
              <w:tl2br w:val="nil"/>
              <w:tr2bl w:val="nil"/>
            </w:tcBorders>
            <w:noWrap w:val="0"/>
            <w:vAlign w:val="center"/>
          </w:tcPr>
          <w:p w14:paraId="3B8B11B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900</w:t>
            </w:r>
          </w:p>
        </w:tc>
        <w:tc>
          <w:tcPr>
            <w:tcW w:w="413" w:type="pct"/>
            <w:tcBorders>
              <w:tl2br w:val="nil"/>
              <w:tr2bl w:val="nil"/>
            </w:tcBorders>
            <w:noWrap w:val="0"/>
            <w:vAlign w:val="center"/>
          </w:tcPr>
          <w:p w14:paraId="6894C99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A60A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61F3AA0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六价铬</w:t>
            </w:r>
          </w:p>
        </w:tc>
        <w:tc>
          <w:tcPr>
            <w:tcW w:w="562" w:type="pct"/>
            <w:tcBorders>
              <w:tl2br w:val="nil"/>
              <w:tr2bl w:val="nil"/>
            </w:tcBorders>
            <w:noWrap w:val="0"/>
            <w:vAlign w:val="center"/>
          </w:tcPr>
          <w:p w14:paraId="5B35DB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562" w:type="pct"/>
            <w:tcBorders>
              <w:tl2br w:val="nil"/>
              <w:tr2bl w:val="nil"/>
            </w:tcBorders>
            <w:noWrap w:val="0"/>
            <w:vAlign w:val="center"/>
          </w:tcPr>
          <w:p w14:paraId="07B0985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563" w:type="pct"/>
            <w:tcBorders>
              <w:tl2br w:val="nil"/>
              <w:tr2bl w:val="nil"/>
            </w:tcBorders>
            <w:noWrap w:val="0"/>
            <w:vAlign w:val="center"/>
          </w:tcPr>
          <w:p w14:paraId="580B30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562" w:type="pct"/>
            <w:tcBorders>
              <w:tl2br w:val="nil"/>
              <w:tr2bl w:val="nil"/>
            </w:tcBorders>
            <w:noWrap w:val="0"/>
            <w:vAlign w:val="center"/>
          </w:tcPr>
          <w:p w14:paraId="2B44FEA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562" w:type="pct"/>
            <w:tcBorders>
              <w:tl2br w:val="nil"/>
              <w:tr2bl w:val="nil"/>
            </w:tcBorders>
            <w:noWrap w:val="0"/>
            <w:vAlign w:val="center"/>
          </w:tcPr>
          <w:p w14:paraId="2428D4A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565" w:type="pct"/>
            <w:tcBorders>
              <w:tl2br w:val="nil"/>
              <w:tr2bl w:val="nil"/>
            </w:tcBorders>
            <w:noWrap w:val="0"/>
            <w:vAlign w:val="center"/>
          </w:tcPr>
          <w:p w14:paraId="1104F47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&lt;0.5</w:t>
            </w:r>
          </w:p>
        </w:tc>
        <w:tc>
          <w:tcPr>
            <w:tcW w:w="411" w:type="pct"/>
            <w:tcBorders>
              <w:tl2br w:val="nil"/>
              <w:tr2bl w:val="nil"/>
            </w:tcBorders>
            <w:noWrap w:val="0"/>
            <w:vAlign w:val="center"/>
          </w:tcPr>
          <w:p w14:paraId="1D998A7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5.7</w:t>
            </w:r>
          </w:p>
        </w:tc>
        <w:tc>
          <w:tcPr>
            <w:tcW w:w="413" w:type="pct"/>
            <w:tcBorders>
              <w:tl2br w:val="nil"/>
              <w:tr2bl w:val="nil"/>
            </w:tcBorders>
            <w:noWrap w:val="0"/>
            <w:vAlign w:val="center"/>
          </w:tcPr>
          <w:p w14:paraId="52F1907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8657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697A88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汞</w:t>
            </w:r>
          </w:p>
        </w:tc>
        <w:tc>
          <w:tcPr>
            <w:tcW w:w="562" w:type="pct"/>
            <w:tcBorders>
              <w:tl2br w:val="nil"/>
              <w:tr2bl w:val="nil"/>
            </w:tcBorders>
            <w:noWrap w:val="0"/>
            <w:vAlign w:val="center"/>
          </w:tcPr>
          <w:p w14:paraId="4671D1C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0.038</w:t>
            </w:r>
          </w:p>
        </w:tc>
        <w:tc>
          <w:tcPr>
            <w:tcW w:w="562" w:type="pct"/>
            <w:tcBorders>
              <w:tl2br w:val="nil"/>
              <w:tr2bl w:val="nil"/>
            </w:tcBorders>
            <w:noWrap w:val="0"/>
            <w:vAlign w:val="center"/>
          </w:tcPr>
          <w:p w14:paraId="2F07544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0.038</w:t>
            </w:r>
          </w:p>
        </w:tc>
        <w:tc>
          <w:tcPr>
            <w:tcW w:w="563" w:type="pct"/>
            <w:tcBorders>
              <w:tl2br w:val="nil"/>
              <w:tr2bl w:val="nil"/>
            </w:tcBorders>
            <w:noWrap w:val="0"/>
            <w:vAlign w:val="center"/>
          </w:tcPr>
          <w:p w14:paraId="2F1D117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0.086</w:t>
            </w:r>
          </w:p>
        </w:tc>
        <w:tc>
          <w:tcPr>
            <w:tcW w:w="562" w:type="pct"/>
            <w:tcBorders>
              <w:tl2br w:val="nil"/>
              <w:tr2bl w:val="nil"/>
            </w:tcBorders>
            <w:noWrap w:val="0"/>
            <w:vAlign w:val="center"/>
          </w:tcPr>
          <w:p w14:paraId="2652FF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0.023</w:t>
            </w:r>
          </w:p>
        </w:tc>
        <w:tc>
          <w:tcPr>
            <w:tcW w:w="562" w:type="pct"/>
            <w:tcBorders>
              <w:tl2br w:val="nil"/>
              <w:tr2bl w:val="nil"/>
            </w:tcBorders>
            <w:noWrap w:val="0"/>
            <w:vAlign w:val="center"/>
          </w:tcPr>
          <w:p w14:paraId="7C65354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0.075</w:t>
            </w:r>
          </w:p>
        </w:tc>
        <w:tc>
          <w:tcPr>
            <w:tcW w:w="565" w:type="pct"/>
            <w:tcBorders>
              <w:tl2br w:val="nil"/>
              <w:tr2bl w:val="nil"/>
            </w:tcBorders>
            <w:noWrap w:val="0"/>
            <w:vAlign w:val="center"/>
          </w:tcPr>
          <w:p w14:paraId="243B43F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0.037</w:t>
            </w:r>
          </w:p>
        </w:tc>
        <w:tc>
          <w:tcPr>
            <w:tcW w:w="411" w:type="pct"/>
            <w:tcBorders>
              <w:tl2br w:val="nil"/>
              <w:tr2bl w:val="nil"/>
            </w:tcBorders>
            <w:noWrap w:val="0"/>
            <w:vAlign w:val="center"/>
          </w:tcPr>
          <w:p w14:paraId="3E9930F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38</w:t>
            </w:r>
          </w:p>
        </w:tc>
        <w:tc>
          <w:tcPr>
            <w:tcW w:w="413" w:type="pct"/>
            <w:tcBorders>
              <w:tl2br w:val="nil"/>
              <w:tr2bl w:val="nil"/>
            </w:tcBorders>
            <w:noWrap w:val="0"/>
            <w:vAlign w:val="center"/>
          </w:tcPr>
          <w:p w14:paraId="1EEF1CE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5FCCEA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AC425D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砷</w:t>
            </w:r>
          </w:p>
        </w:tc>
        <w:tc>
          <w:tcPr>
            <w:tcW w:w="562" w:type="pct"/>
            <w:tcBorders>
              <w:tl2br w:val="nil"/>
              <w:tr2bl w:val="nil"/>
            </w:tcBorders>
            <w:noWrap w:val="0"/>
            <w:vAlign w:val="center"/>
          </w:tcPr>
          <w:p w14:paraId="4D2F7CC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8.40</w:t>
            </w:r>
          </w:p>
        </w:tc>
        <w:tc>
          <w:tcPr>
            <w:tcW w:w="562" w:type="pct"/>
            <w:tcBorders>
              <w:tl2br w:val="nil"/>
              <w:tr2bl w:val="nil"/>
            </w:tcBorders>
            <w:noWrap w:val="0"/>
            <w:vAlign w:val="center"/>
          </w:tcPr>
          <w:p w14:paraId="2BF655C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6.80</w:t>
            </w:r>
          </w:p>
        </w:tc>
        <w:tc>
          <w:tcPr>
            <w:tcW w:w="563" w:type="pct"/>
            <w:tcBorders>
              <w:tl2br w:val="nil"/>
              <w:tr2bl w:val="nil"/>
            </w:tcBorders>
            <w:noWrap w:val="0"/>
            <w:vAlign w:val="center"/>
          </w:tcPr>
          <w:p w14:paraId="1F37CC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8.94</w:t>
            </w:r>
          </w:p>
        </w:tc>
        <w:tc>
          <w:tcPr>
            <w:tcW w:w="562" w:type="pct"/>
            <w:tcBorders>
              <w:tl2br w:val="nil"/>
              <w:tr2bl w:val="nil"/>
            </w:tcBorders>
            <w:noWrap w:val="0"/>
            <w:vAlign w:val="center"/>
          </w:tcPr>
          <w:p w14:paraId="7180C01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5.36</w:t>
            </w:r>
          </w:p>
        </w:tc>
        <w:tc>
          <w:tcPr>
            <w:tcW w:w="562" w:type="pct"/>
            <w:tcBorders>
              <w:tl2br w:val="nil"/>
              <w:tr2bl w:val="nil"/>
            </w:tcBorders>
            <w:noWrap w:val="0"/>
            <w:vAlign w:val="center"/>
          </w:tcPr>
          <w:p w14:paraId="0698FF4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6.52</w:t>
            </w:r>
          </w:p>
        </w:tc>
        <w:tc>
          <w:tcPr>
            <w:tcW w:w="565" w:type="pct"/>
            <w:tcBorders>
              <w:tl2br w:val="nil"/>
              <w:tr2bl w:val="nil"/>
            </w:tcBorders>
            <w:noWrap w:val="0"/>
            <w:vAlign w:val="center"/>
          </w:tcPr>
          <w:p w14:paraId="6EB7961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9.91</w:t>
            </w:r>
          </w:p>
        </w:tc>
        <w:tc>
          <w:tcPr>
            <w:tcW w:w="411" w:type="pct"/>
            <w:tcBorders>
              <w:tl2br w:val="nil"/>
              <w:tr2bl w:val="nil"/>
            </w:tcBorders>
            <w:noWrap w:val="0"/>
            <w:vAlign w:val="center"/>
          </w:tcPr>
          <w:p w14:paraId="1DF1F0F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w:t>
            </w:r>
          </w:p>
        </w:tc>
        <w:tc>
          <w:tcPr>
            <w:tcW w:w="413" w:type="pct"/>
            <w:tcBorders>
              <w:tl2br w:val="nil"/>
              <w:tr2bl w:val="nil"/>
            </w:tcBorders>
            <w:noWrap w:val="0"/>
            <w:vAlign w:val="center"/>
          </w:tcPr>
          <w:p w14:paraId="3523C51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AFE7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1A88AF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四氯化碳</w:t>
            </w:r>
          </w:p>
        </w:tc>
        <w:tc>
          <w:tcPr>
            <w:tcW w:w="562" w:type="pct"/>
            <w:tcBorders>
              <w:tl2br w:val="nil"/>
              <w:tr2bl w:val="nil"/>
            </w:tcBorders>
            <w:noWrap w:val="0"/>
            <w:vAlign w:val="center"/>
          </w:tcPr>
          <w:p w14:paraId="7AF53D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14447D1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3" w:type="pct"/>
            <w:tcBorders>
              <w:tl2br w:val="nil"/>
              <w:tr2bl w:val="nil"/>
            </w:tcBorders>
            <w:noWrap w:val="0"/>
            <w:vAlign w:val="center"/>
          </w:tcPr>
          <w:p w14:paraId="6C9CE40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1B13917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12BFD37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5" w:type="pct"/>
            <w:tcBorders>
              <w:tl2br w:val="nil"/>
              <w:tr2bl w:val="nil"/>
            </w:tcBorders>
            <w:noWrap w:val="0"/>
            <w:vAlign w:val="center"/>
          </w:tcPr>
          <w:p w14:paraId="34B3C19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411" w:type="pct"/>
            <w:tcBorders>
              <w:tl2br w:val="nil"/>
              <w:tr2bl w:val="nil"/>
            </w:tcBorders>
            <w:noWrap w:val="0"/>
            <w:vAlign w:val="center"/>
          </w:tcPr>
          <w:p w14:paraId="1C71D70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w:t>
            </w:r>
          </w:p>
        </w:tc>
        <w:tc>
          <w:tcPr>
            <w:tcW w:w="413" w:type="pct"/>
            <w:tcBorders>
              <w:tl2br w:val="nil"/>
              <w:tr2bl w:val="nil"/>
            </w:tcBorders>
            <w:noWrap w:val="0"/>
            <w:vAlign w:val="center"/>
          </w:tcPr>
          <w:p w14:paraId="1E29F07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0FC90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9EA38C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氯仿</w:t>
            </w:r>
          </w:p>
        </w:tc>
        <w:tc>
          <w:tcPr>
            <w:tcW w:w="562" w:type="pct"/>
            <w:tcBorders>
              <w:tl2br w:val="nil"/>
              <w:tr2bl w:val="nil"/>
            </w:tcBorders>
            <w:noWrap w:val="0"/>
            <w:vAlign w:val="center"/>
          </w:tcPr>
          <w:p w14:paraId="23A9ADD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2B4961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3" w:type="pct"/>
            <w:tcBorders>
              <w:tl2br w:val="nil"/>
              <w:tr2bl w:val="nil"/>
            </w:tcBorders>
            <w:noWrap w:val="0"/>
            <w:vAlign w:val="center"/>
          </w:tcPr>
          <w:p w14:paraId="4BB4D31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04BE57F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0A544CE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5" w:type="pct"/>
            <w:tcBorders>
              <w:tl2br w:val="nil"/>
              <w:tr2bl w:val="nil"/>
            </w:tcBorders>
            <w:noWrap w:val="0"/>
            <w:vAlign w:val="center"/>
          </w:tcPr>
          <w:p w14:paraId="7998C55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411" w:type="pct"/>
            <w:tcBorders>
              <w:tl2br w:val="nil"/>
              <w:tr2bl w:val="nil"/>
            </w:tcBorders>
            <w:noWrap w:val="0"/>
            <w:vAlign w:val="center"/>
          </w:tcPr>
          <w:p w14:paraId="2DA0622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0.9</w:t>
            </w:r>
          </w:p>
        </w:tc>
        <w:tc>
          <w:tcPr>
            <w:tcW w:w="413" w:type="pct"/>
            <w:tcBorders>
              <w:tl2br w:val="nil"/>
              <w:tr2bl w:val="nil"/>
            </w:tcBorders>
            <w:noWrap w:val="0"/>
            <w:vAlign w:val="center"/>
          </w:tcPr>
          <w:p w14:paraId="015235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5D5F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B39373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氯甲烷</w:t>
            </w:r>
          </w:p>
        </w:tc>
        <w:tc>
          <w:tcPr>
            <w:tcW w:w="562" w:type="pct"/>
            <w:tcBorders>
              <w:tl2br w:val="nil"/>
              <w:tr2bl w:val="nil"/>
            </w:tcBorders>
            <w:noWrap w:val="0"/>
            <w:vAlign w:val="center"/>
          </w:tcPr>
          <w:p w14:paraId="7CFAAC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189F719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3" w:type="pct"/>
            <w:tcBorders>
              <w:tl2br w:val="nil"/>
              <w:tr2bl w:val="nil"/>
            </w:tcBorders>
            <w:noWrap w:val="0"/>
            <w:vAlign w:val="center"/>
          </w:tcPr>
          <w:p w14:paraId="5C424D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686BA1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3BE8E65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5" w:type="pct"/>
            <w:tcBorders>
              <w:tl2br w:val="nil"/>
              <w:tr2bl w:val="nil"/>
            </w:tcBorders>
            <w:noWrap w:val="0"/>
            <w:vAlign w:val="center"/>
          </w:tcPr>
          <w:p w14:paraId="30D1BAC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411" w:type="pct"/>
            <w:tcBorders>
              <w:tl2br w:val="nil"/>
              <w:tr2bl w:val="nil"/>
            </w:tcBorders>
            <w:noWrap w:val="0"/>
            <w:vAlign w:val="center"/>
          </w:tcPr>
          <w:p w14:paraId="1301F14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37</w:t>
            </w:r>
          </w:p>
        </w:tc>
        <w:tc>
          <w:tcPr>
            <w:tcW w:w="413" w:type="pct"/>
            <w:tcBorders>
              <w:tl2br w:val="nil"/>
              <w:tr2bl w:val="nil"/>
            </w:tcBorders>
            <w:noWrap w:val="0"/>
            <w:vAlign w:val="center"/>
          </w:tcPr>
          <w:p w14:paraId="5FDD4E6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56CB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F931C5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1,1-二氯乙烷</w:t>
            </w:r>
          </w:p>
        </w:tc>
        <w:tc>
          <w:tcPr>
            <w:tcW w:w="562" w:type="pct"/>
            <w:tcBorders>
              <w:tl2br w:val="nil"/>
              <w:tr2bl w:val="nil"/>
            </w:tcBorders>
            <w:noWrap w:val="0"/>
            <w:vAlign w:val="center"/>
          </w:tcPr>
          <w:p w14:paraId="08169FC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1674F9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45EF501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379F3D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509316E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439FDF8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25E3D1A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w:t>
            </w:r>
          </w:p>
        </w:tc>
        <w:tc>
          <w:tcPr>
            <w:tcW w:w="413" w:type="pct"/>
            <w:tcBorders>
              <w:tl2br w:val="nil"/>
              <w:tr2bl w:val="nil"/>
            </w:tcBorders>
            <w:noWrap w:val="0"/>
            <w:vAlign w:val="center"/>
          </w:tcPr>
          <w:p w14:paraId="3A3A08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86A4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56E176D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1,2-二氯乙烷</w:t>
            </w:r>
          </w:p>
        </w:tc>
        <w:tc>
          <w:tcPr>
            <w:tcW w:w="562" w:type="pct"/>
            <w:tcBorders>
              <w:tl2br w:val="nil"/>
              <w:tr2bl w:val="nil"/>
            </w:tcBorders>
            <w:noWrap w:val="0"/>
            <w:vAlign w:val="center"/>
          </w:tcPr>
          <w:p w14:paraId="7C9480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6D96F3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3" w:type="pct"/>
            <w:tcBorders>
              <w:tl2br w:val="nil"/>
              <w:tr2bl w:val="nil"/>
            </w:tcBorders>
            <w:noWrap w:val="0"/>
            <w:vAlign w:val="center"/>
          </w:tcPr>
          <w:p w14:paraId="50D56A3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2E71F38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4DA23F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5" w:type="pct"/>
            <w:tcBorders>
              <w:tl2br w:val="nil"/>
              <w:tr2bl w:val="nil"/>
            </w:tcBorders>
            <w:noWrap w:val="0"/>
            <w:vAlign w:val="center"/>
          </w:tcPr>
          <w:p w14:paraId="13A9710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411" w:type="pct"/>
            <w:tcBorders>
              <w:tl2br w:val="nil"/>
              <w:tr2bl w:val="nil"/>
            </w:tcBorders>
            <w:noWrap w:val="0"/>
            <w:vAlign w:val="center"/>
          </w:tcPr>
          <w:p w14:paraId="71FD7CD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w:t>
            </w:r>
          </w:p>
        </w:tc>
        <w:tc>
          <w:tcPr>
            <w:tcW w:w="413" w:type="pct"/>
            <w:tcBorders>
              <w:tl2br w:val="nil"/>
              <w:tr2bl w:val="nil"/>
            </w:tcBorders>
            <w:noWrap w:val="0"/>
            <w:vAlign w:val="center"/>
          </w:tcPr>
          <w:p w14:paraId="589833D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CEBF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1ADB8A2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1,1-二氯乙烯</w:t>
            </w:r>
          </w:p>
        </w:tc>
        <w:tc>
          <w:tcPr>
            <w:tcW w:w="562" w:type="pct"/>
            <w:tcBorders>
              <w:tl2br w:val="nil"/>
              <w:tr2bl w:val="nil"/>
            </w:tcBorders>
            <w:noWrap w:val="0"/>
            <w:vAlign w:val="center"/>
          </w:tcPr>
          <w:p w14:paraId="267B483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638B70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3" w:type="pct"/>
            <w:tcBorders>
              <w:tl2br w:val="nil"/>
              <w:tr2bl w:val="nil"/>
            </w:tcBorders>
            <w:noWrap w:val="0"/>
            <w:vAlign w:val="center"/>
          </w:tcPr>
          <w:p w14:paraId="76B3739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5371F4F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1C7AF03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5" w:type="pct"/>
            <w:tcBorders>
              <w:tl2br w:val="nil"/>
              <w:tr2bl w:val="nil"/>
            </w:tcBorders>
            <w:noWrap w:val="0"/>
            <w:vAlign w:val="center"/>
          </w:tcPr>
          <w:p w14:paraId="57B90F5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411" w:type="pct"/>
            <w:tcBorders>
              <w:tl2br w:val="nil"/>
              <w:tr2bl w:val="nil"/>
            </w:tcBorders>
            <w:noWrap w:val="0"/>
            <w:vAlign w:val="center"/>
          </w:tcPr>
          <w:p w14:paraId="0BF3CF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66</w:t>
            </w:r>
          </w:p>
        </w:tc>
        <w:tc>
          <w:tcPr>
            <w:tcW w:w="413" w:type="pct"/>
            <w:tcBorders>
              <w:tl2br w:val="nil"/>
              <w:tr2bl w:val="nil"/>
            </w:tcBorders>
            <w:noWrap w:val="0"/>
            <w:vAlign w:val="center"/>
          </w:tcPr>
          <w:p w14:paraId="3432972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E18C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66E9119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顺-1,2-二氯乙烯</w:t>
            </w:r>
          </w:p>
        </w:tc>
        <w:tc>
          <w:tcPr>
            <w:tcW w:w="562" w:type="pct"/>
            <w:tcBorders>
              <w:tl2br w:val="nil"/>
              <w:tr2bl w:val="nil"/>
            </w:tcBorders>
            <w:noWrap w:val="0"/>
            <w:vAlign w:val="center"/>
          </w:tcPr>
          <w:p w14:paraId="6ADC98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560A779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3" w:type="pct"/>
            <w:tcBorders>
              <w:tl2br w:val="nil"/>
              <w:tr2bl w:val="nil"/>
            </w:tcBorders>
            <w:noWrap w:val="0"/>
            <w:vAlign w:val="center"/>
          </w:tcPr>
          <w:p w14:paraId="0B2F18C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2648973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03BD8B8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5" w:type="pct"/>
            <w:tcBorders>
              <w:tl2br w:val="nil"/>
              <w:tr2bl w:val="nil"/>
            </w:tcBorders>
            <w:noWrap w:val="0"/>
            <w:vAlign w:val="center"/>
          </w:tcPr>
          <w:p w14:paraId="020330A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411" w:type="pct"/>
            <w:tcBorders>
              <w:tl2br w:val="nil"/>
              <w:tr2bl w:val="nil"/>
            </w:tcBorders>
            <w:noWrap w:val="0"/>
            <w:vAlign w:val="center"/>
          </w:tcPr>
          <w:p w14:paraId="301027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596</w:t>
            </w:r>
          </w:p>
        </w:tc>
        <w:tc>
          <w:tcPr>
            <w:tcW w:w="413" w:type="pct"/>
            <w:tcBorders>
              <w:tl2br w:val="nil"/>
              <w:tr2bl w:val="nil"/>
            </w:tcBorders>
            <w:noWrap w:val="0"/>
            <w:vAlign w:val="center"/>
          </w:tcPr>
          <w:p w14:paraId="2AD6BE4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4D4B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6091FB3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反-1,2-二氯乙烯</w:t>
            </w:r>
          </w:p>
        </w:tc>
        <w:tc>
          <w:tcPr>
            <w:tcW w:w="562" w:type="pct"/>
            <w:tcBorders>
              <w:tl2br w:val="nil"/>
              <w:tr2bl w:val="nil"/>
            </w:tcBorders>
            <w:noWrap w:val="0"/>
            <w:vAlign w:val="center"/>
          </w:tcPr>
          <w:p w14:paraId="06BEB8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693404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3" w:type="pct"/>
            <w:tcBorders>
              <w:tl2br w:val="nil"/>
              <w:tr2bl w:val="nil"/>
            </w:tcBorders>
            <w:noWrap w:val="0"/>
            <w:vAlign w:val="center"/>
          </w:tcPr>
          <w:p w14:paraId="6011D7B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151F49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5997913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5" w:type="pct"/>
            <w:tcBorders>
              <w:tl2br w:val="nil"/>
              <w:tr2bl w:val="nil"/>
            </w:tcBorders>
            <w:noWrap w:val="0"/>
            <w:vAlign w:val="center"/>
          </w:tcPr>
          <w:p w14:paraId="2171E7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411" w:type="pct"/>
            <w:tcBorders>
              <w:tl2br w:val="nil"/>
              <w:tr2bl w:val="nil"/>
            </w:tcBorders>
            <w:noWrap w:val="0"/>
            <w:vAlign w:val="center"/>
          </w:tcPr>
          <w:p w14:paraId="04603B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54</w:t>
            </w:r>
          </w:p>
        </w:tc>
        <w:tc>
          <w:tcPr>
            <w:tcW w:w="413" w:type="pct"/>
            <w:tcBorders>
              <w:tl2br w:val="nil"/>
              <w:tr2bl w:val="nil"/>
            </w:tcBorders>
            <w:noWrap w:val="0"/>
            <w:vAlign w:val="center"/>
          </w:tcPr>
          <w:p w14:paraId="78F0662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A426B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06ED45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二氯甲烷</w:t>
            </w:r>
          </w:p>
        </w:tc>
        <w:tc>
          <w:tcPr>
            <w:tcW w:w="562" w:type="pct"/>
            <w:tcBorders>
              <w:tl2br w:val="nil"/>
              <w:tr2bl w:val="nil"/>
            </w:tcBorders>
            <w:noWrap w:val="0"/>
            <w:vAlign w:val="center"/>
          </w:tcPr>
          <w:p w14:paraId="7F7FF57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68DAD8C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3" w:type="pct"/>
            <w:tcBorders>
              <w:tl2br w:val="nil"/>
              <w:tr2bl w:val="nil"/>
            </w:tcBorders>
            <w:noWrap w:val="0"/>
            <w:vAlign w:val="center"/>
          </w:tcPr>
          <w:p w14:paraId="2904515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57E5D5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395ED23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5" w:type="pct"/>
            <w:tcBorders>
              <w:tl2br w:val="nil"/>
              <w:tr2bl w:val="nil"/>
            </w:tcBorders>
            <w:noWrap w:val="0"/>
            <w:vAlign w:val="center"/>
          </w:tcPr>
          <w:p w14:paraId="7EE2EB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411" w:type="pct"/>
            <w:tcBorders>
              <w:tl2br w:val="nil"/>
              <w:tr2bl w:val="nil"/>
            </w:tcBorders>
            <w:noWrap w:val="0"/>
            <w:vAlign w:val="center"/>
          </w:tcPr>
          <w:p w14:paraId="63F5C5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616</w:t>
            </w:r>
          </w:p>
        </w:tc>
        <w:tc>
          <w:tcPr>
            <w:tcW w:w="413" w:type="pct"/>
            <w:tcBorders>
              <w:tl2br w:val="nil"/>
              <w:tr2bl w:val="nil"/>
            </w:tcBorders>
            <w:noWrap w:val="0"/>
            <w:vAlign w:val="center"/>
          </w:tcPr>
          <w:p w14:paraId="4DF03AF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310F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57786D6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1,2-二氯丙烷</w:t>
            </w:r>
          </w:p>
        </w:tc>
        <w:tc>
          <w:tcPr>
            <w:tcW w:w="562" w:type="pct"/>
            <w:tcBorders>
              <w:tl2br w:val="nil"/>
              <w:tr2bl w:val="nil"/>
            </w:tcBorders>
            <w:noWrap w:val="0"/>
            <w:vAlign w:val="center"/>
          </w:tcPr>
          <w:p w14:paraId="1C3E19F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25A6BF8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3" w:type="pct"/>
            <w:tcBorders>
              <w:tl2br w:val="nil"/>
              <w:tr2bl w:val="nil"/>
            </w:tcBorders>
            <w:noWrap w:val="0"/>
            <w:vAlign w:val="center"/>
          </w:tcPr>
          <w:p w14:paraId="17DF46C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578A655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282C1B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5" w:type="pct"/>
            <w:tcBorders>
              <w:tl2br w:val="nil"/>
              <w:tr2bl w:val="nil"/>
            </w:tcBorders>
            <w:noWrap w:val="0"/>
            <w:vAlign w:val="center"/>
          </w:tcPr>
          <w:p w14:paraId="2624AB8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411" w:type="pct"/>
            <w:tcBorders>
              <w:tl2br w:val="nil"/>
              <w:tr2bl w:val="nil"/>
            </w:tcBorders>
            <w:noWrap w:val="0"/>
            <w:vAlign w:val="center"/>
          </w:tcPr>
          <w:p w14:paraId="6040255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w:t>
            </w:r>
          </w:p>
        </w:tc>
        <w:tc>
          <w:tcPr>
            <w:tcW w:w="413" w:type="pct"/>
            <w:tcBorders>
              <w:tl2br w:val="nil"/>
              <w:tr2bl w:val="nil"/>
            </w:tcBorders>
            <w:noWrap w:val="0"/>
            <w:vAlign w:val="center"/>
          </w:tcPr>
          <w:p w14:paraId="6C83655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FFCF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F14653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1,1,1,2-四氯乙烷</w:t>
            </w:r>
          </w:p>
        </w:tc>
        <w:tc>
          <w:tcPr>
            <w:tcW w:w="562" w:type="pct"/>
            <w:tcBorders>
              <w:tl2br w:val="nil"/>
              <w:tr2bl w:val="nil"/>
            </w:tcBorders>
            <w:noWrap w:val="0"/>
            <w:vAlign w:val="center"/>
          </w:tcPr>
          <w:p w14:paraId="767D8C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345DD02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767ABCC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729606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602E7A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0460883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18D0E79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413" w:type="pct"/>
            <w:tcBorders>
              <w:tl2br w:val="nil"/>
              <w:tr2bl w:val="nil"/>
            </w:tcBorders>
            <w:noWrap w:val="0"/>
            <w:vAlign w:val="center"/>
          </w:tcPr>
          <w:p w14:paraId="0CFC9E7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10FC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57EB8E1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1,1,2,2-四氯乙烷</w:t>
            </w:r>
          </w:p>
        </w:tc>
        <w:tc>
          <w:tcPr>
            <w:tcW w:w="562" w:type="pct"/>
            <w:tcBorders>
              <w:tl2br w:val="nil"/>
              <w:tr2bl w:val="nil"/>
            </w:tcBorders>
            <w:noWrap w:val="0"/>
            <w:vAlign w:val="center"/>
          </w:tcPr>
          <w:p w14:paraId="3186834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4D554B9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56E1E62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E50043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3380DB3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266CD7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7667B22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6.8</w:t>
            </w:r>
          </w:p>
        </w:tc>
        <w:tc>
          <w:tcPr>
            <w:tcW w:w="413" w:type="pct"/>
            <w:tcBorders>
              <w:tl2br w:val="nil"/>
              <w:tr2bl w:val="nil"/>
            </w:tcBorders>
            <w:noWrap w:val="0"/>
            <w:vAlign w:val="center"/>
          </w:tcPr>
          <w:p w14:paraId="5565DB2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C26C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E5FD54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四氯乙烯</w:t>
            </w:r>
          </w:p>
        </w:tc>
        <w:tc>
          <w:tcPr>
            <w:tcW w:w="562" w:type="pct"/>
            <w:tcBorders>
              <w:tl2br w:val="nil"/>
              <w:tr2bl w:val="nil"/>
            </w:tcBorders>
            <w:noWrap w:val="0"/>
            <w:vAlign w:val="center"/>
          </w:tcPr>
          <w:p w14:paraId="658A636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640AF3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3" w:type="pct"/>
            <w:tcBorders>
              <w:tl2br w:val="nil"/>
              <w:tr2bl w:val="nil"/>
            </w:tcBorders>
            <w:noWrap w:val="0"/>
            <w:vAlign w:val="center"/>
          </w:tcPr>
          <w:p w14:paraId="487CDB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68B11F7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2" w:type="pct"/>
            <w:tcBorders>
              <w:tl2br w:val="nil"/>
              <w:tr2bl w:val="nil"/>
            </w:tcBorders>
            <w:noWrap w:val="0"/>
            <w:vAlign w:val="center"/>
          </w:tcPr>
          <w:p w14:paraId="1FA1FBA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565" w:type="pct"/>
            <w:tcBorders>
              <w:tl2br w:val="nil"/>
              <w:tr2bl w:val="nil"/>
            </w:tcBorders>
            <w:noWrap w:val="0"/>
            <w:vAlign w:val="center"/>
          </w:tcPr>
          <w:p w14:paraId="3406AD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&lt;0.0014</w:t>
            </w:r>
          </w:p>
        </w:tc>
        <w:tc>
          <w:tcPr>
            <w:tcW w:w="411" w:type="pct"/>
            <w:tcBorders>
              <w:tl2br w:val="nil"/>
              <w:tr2bl w:val="nil"/>
            </w:tcBorders>
            <w:noWrap w:val="0"/>
            <w:vAlign w:val="center"/>
          </w:tcPr>
          <w:p w14:paraId="506EFD6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53</w:t>
            </w:r>
          </w:p>
        </w:tc>
        <w:tc>
          <w:tcPr>
            <w:tcW w:w="413" w:type="pct"/>
            <w:tcBorders>
              <w:tl2br w:val="nil"/>
              <w:tr2bl w:val="nil"/>
            </w:tcBorders>
            <w:noWrap w:val="0"/>
            <w:vAlign w:val="center"/>
          </w:tcPr>
          <w:p w14:paraId="238160B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3187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349462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1,1,1-三氯乙烷</w:t>
            </w:r>
          </w:p>
        </w:tc>
        <w:tc>
          <w:tcPr>
            <w:tcW w:w="562" w:type="pct"/>
            <w:tcBorders>
              <w:tl2br w:val="nil"/>
              <w:tr2bl w:val="nil"/>
            </w:tcBorders>
            <w:noWrap w:val="0"/>
            <w:vAlign w:val="center"/>
          </w:tcPr>
          <w:p w14:paraId="3335B97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2EB114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3" w:type="pct"/>
            <w:tcBorders>
              <w:tl2br w:val="nil"/>
              <w:tr2bl w:val="nil"/>
            </w:tcBorders>
            <w:noWrap w:val="0"/>
            <w:vAlign w:val="center"/>
          </w:tcPr>
          <w:p w14:paraId="4FB749A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2ADB0AE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63AE35F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5" w:type="pct"/>
            <w:tcBorders>
              <w:tl2br w:val="nil"/>
              <w:tr2bl w:val="nil"/>
            </w:tcBorders>
            <w:noWrap w:val="0"/>
            <w:vAlign w:val="center"/>
          </w:tcPr>
          <w:p w14:paraId="44D6FAF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411" w:type="pct"/>
            <w:tcBorders>
              <w:tl2br w:val="nil"/>
              <w:tr2bl w:val="nil"/>
            </w:tcBorders>
            <w:noWrap w:val="0"/>
            <w:vAlign w:val="center"/>
          </w:tcPr>
          <w:p w14:paraId="00048C6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840</w:t>
            </w:r>
          </w:p>
        </w:tc>
        <w:tc>
          <w:tcPr>
            <w:tcW w:w="413" w:type="pct"/>
            <w:tcBorders>
              <w:tl2br w:val="nil"/>
              <w:tr2bl w:val="nil"/>
            </w:tcBorders>
            <w:noWrap w:val="0"/>
            <w:vAlign w:val="center"/>
          </w:tcPr>
          <w:p w14:paraId="1E298D7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6EE63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38C78F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1,1,2-三氯乙烷</w:t>
            </w:r>
          </w:p>
        </w:tc>
        <w:tc>
          <w:tcPr>
            <w:tcW w:w="562" w:type="pct"/>
            <w:tcBorders>
              <w:tl2br w:val="nil"/>
              <w:tr2bl w:val="nil"/>
            </w:tcBorders>
            <w:noWrap w:val="0"/>
            <w:vAlign w:val="center"/>
          </w:tcPr>
          <w:p w14:paraId="5D87007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6842647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222CB3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09781A8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3FC1E77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6F8325D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0F8BEFA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w:t>
            </w:r>
          </w:p>
        </w:tc>
        <w:tc>
          <w:tcPr>
            <w:tcW w:w="413" w:type="pct"/>
            <w:tcBorders>
              <w:tl2br w:val="nil"/>
              <w:tr2bl w:val="nil"/>
            </w:tcBorders>
            <w:noWrap w:val="0"/>
            <w:vAlign w:val="center"/>
          </w:tcPr>
          <w:p w14:paraId="4026038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0D3D4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0EF4FE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三氯乙烯</w:t>
            </w:r>
          </w:p>
        </w:tc>
        <w:tc>
          <w:tcPr>
            <w:tcW w:w="562" w:type="pct"/>
            <w:tcBorders>
              <w:tl2br w:val="nil"/>
              <w:tr2bl w:val="nil"/>
            </w:tcBorders>
            <w:noWrap w:val="0"/>
            <w:vAlign w:val="center"/>
          </w:tcPr>
          <w:p w14:paraId="278A29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30D453A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2CD5D1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4243AA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01C40F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17126B3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58B6750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w:t>
            </w:r>
          </w:p>
        </w:tc>
        <w:tc>
          <w:tcPr>
            <w:tcW w:w="413" w:type="pct"/>
            <w:tcBorders>
              <w:tl2br w:val="nil"/>
              <w:tr2bl w:val="nil"/>
            </w:tcBorders>
            <w:noWrap w:val="0"/>
            <w:vAlign w:val="center"/>
          </w:tcPr>
          <w:p w14:paraId="227BDE3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FD33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D44EA1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1,2,3-三氯丙烷</w:t>
            </w:r>
          </w:p>
        </w:tc>
        <w:tc>
          <w:tcPr>
            <w:tcW w:w="562" w:type="pct"/>
            <w:tcBorders>
              <w:tl2br w:val="nil"/>
              <w:tr2bl w:val="nil"/>
            </w:tcBorders>
            <w:noWrap w:val="0"/>
            <w:vAlign w:val="center"/>
          </w:tcPr>
          <w:p w14:paraId="76BC5FA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5824CEA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7A4919B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4811D7C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0373813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4765007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78765EE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w:t>
            </w:r>
          </w:p>
        </w:tc>
        <w:tc>
          <w:tcPr>
            <w:tcW w:w="413" w:type="pct"/>
            <w:tcBorders>
              <w:tl2br w:val="nil"/>
              <w:tr2bl w:val="nil"/>
            </w:tcBorders>
            <w:noWrap w:val="0"/>
            <w:vAlign w:val="center"/>
          </w:tcPr>
          <w:p w14:paraId="14366BA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F348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742196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氯乙烯</w:t>
            </w:r>
          </w:p>
        </w:tc>
        <w:tc>
          <w:tcPr>
            <w:tcW w:w="562" w:type="pct"/>
            <w:tcBorders>
              <w:tl2br w:val="nil"/>
              <w:tr2bl w:val="nil"/>
            </w:tcBorders>
            <w:noWrap w:val="0"/>
            <w:vAlign w:val="center"/>
          </w:tcPr>
          <w:p w14:paraId="4961F8B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12E3BD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3" w:type="pct"/>
            <w:tcBorders>
              <w:tl2br w:val="nil"/>
              <w:tr2bl w:val="nil"/>
            </w:tcBorders>
            <w:noWrap w:val="0"/>
            <w:vAlign w:val="center"/>
          </w:tcPr>
          <w:p w14:paraId="3AF30B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15E4FAA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2" w:type="pct"/>
            <w:tcBorders>
              <w:tl2br w:val="nil"/>
              <w:tr2bl w:val="nil"/>
            </w:tcBorders>
            <w:noWrap w:val="0"/>
            <w:vAlign w:val="center"/>
          </w:tcPr>
          <w:p w14:paraId="3E0FDA0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565" w:type="pct"/>
            <w:tcBorders>
              <w:tl2br w:val="nil"/>
              <w:tr2bl w:val="nil"/>
            </w:tcBorders>
            <w:noWrap w:val="0"/>
            <w:vAlign w:val="center"/>
          </w:tcPr>
          <w:p w14:paraId="23A20F0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&lt;0.0010</w:t>
            </w:r>
          </w:p>
        </w:tc>
        <w:tc>
          <w:tcPr>
            <w:tcW w:w="411" w:type="pct"/>
            <w:tcBorders>
              <w:tl2br w:val="nil"/>
              <w:tr2bl w:val="nil"/>
            </w:tcBorders>
            <w:noWrap w:val="0"/>
            <w:vAlign w:val="center"/>
          </w:tcPr>
          <w:p w14:paraId="38B51D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0.43</w:t>
            </w:r>
          </w:p>
        </w:tc>
        <w:tc>
          <w:tcPr>
            <w:tcW w:w="413" w:type="pct"/>
            <w:tcBorders>
              <w:tl2br w:val="nil"/>
              <w:tr2bl w:val="nil"/>
            </w:tcBorders>
            <w:noWrap w:val="0"/>
            <w:vAlign w:val="center"/>
          </w:tcPr>
          <w:p w14:paraId="58153C4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7E7D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933CD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w:t>
            </w:r>
          </w:p>
        </w:tc>
        <w:tc>
          <w:tcPr>
            <w:tcW w:w="562" w:type="pct"/>
            <w:tcBorders>
              <w:tl2br w:val="nil"/>
              <w:tr2bl w:val="nil"/>
            </w:tcBorders>
            <w:noWrap w:val="0"/>
            <w:vAlign w:val="center"/>
          </w:tcPr>
          <w:p w14:paraId="063E3B5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562" w:type="pct"/>
            <w:tcBorders>
              <w:tl2br w:val="nil"/>
              <w:tr2bl w:val="nil"/>
            </w:tcBorders>
            <w:noWrap w:val="0"/>
            <w:vAlign w:val="center"/>
          </w:tcPr>
          <w:p w14:paraId="2258459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563" w:type="pct"/>
            <w:tcBorders>
              <w:tl2br w:val="nil"/>
              <w:tr2bl w:val="nil"/>
            </w:tcBorders>
            <w:noWrap w:val="0"/>
            <w:vAlign w:val="center"/>
          </w:tcPr>
          <w:p w14:paraId="66051A4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562" w:type="pct"/>
            <w:tcBorders>
              <w:tl2br w:val="nil"/>
              <w:tr2bl w:val="nil"/>
            </w:tcBorders>
            <w:noWrap w:val="0"/>
            <w:vAlign w:val="center"/>
          </w:tcPr>
          <w:p w14:paraId="0EFF206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562" w:type="pct"/>
            <w:tcBorders>
              <w:tl2br w:val="nil"/>
              <w:tr2bl w:val="nil"/>
            </w:tcBorders>
            <w:noWrap w:val="0"/>
            <w:vAlign w:val="center"/>
          </w:tcPr>
          <w:p w14:paraId="2362F65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565" w:type="pct"/>
            <w:tcBorders>
              <w:tl2br w:val="nil"/>
              <w:tr2bl w:val="nil"/>
            </w:tcBorders>
            <w:noWrap w:val="0"/>
            <w:vAlign w:val="center"/>
          </w:tcPr>
          <w:p w14:paraId="4E63FFC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&lt;0.0019</w:t>
            </w:r>
          </w:p>
        </w:tc>
        <w:tc>
          <w:tcPr>
            <w:tcW w:w="411" w:type="pct"/>
            <w:tcBorders>
              <w:tl2br w:val="nil"/>
              <w:tr2bl w:val="nil"/>
            </w:tcBorders>
            <w:noWrap w:val="0"/>
            <w:vAlign w:val="center"/>
          </w:tcPr>
          <w:p w14:paraId="36D5FE1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w:t>
            </w:r>
          </w:p>
        </w:tc>
        <w:tc>
          <w:tcPr>
            <w:tcW w:w="413" w:type="pct"/>
            <w:tcBorders>
              <w:tl2br w:val="nil"/>
              <w:tr2bl w:val="nil"/>
            </w:tcBorders>
            <w:noWrap w:val="0"/>
            <w:vAlign w:val="center"/>
          </w:tcPr>
          <w:p w14:paraId="2F00FF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5012E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FCDFE6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氯苯</w:t>
            </w:r>
          </w:p>
        </w:tc>
        <w:tc>
          <w:tcPr>
            <w:tcW w:w="562" w:type="pct"/>
            <w:tcBorders>
              <w:tl2br w:val="nil"/>
              <w:tr2bl w:val="nil"/>
            </w:tcBorders>
            <w:noWrap w:val="0"/>
            <w:vAlign w:val="center"/>
          </w:tcPr>
          <w:p w14:paraId="458FA2E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0056F66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2039B7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34A40F2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6977ED0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487FA4C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387BAC7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270</w:t>
            </w:r>
          </w:p>
        </w:tc>
        <w:tc>
          <w:tcPr>
            <w:tcW w:w="413" w:type="pct"/>
            <w:tcBorders>
              <w:tl2br w:val="nil"/>
              <w:tr2bl w:val="nil"/>
            </w:tcBorders>
            <w:noWrap w:val="0"/>
            <w:vAlign w:val="center"/>
          </w:tcPr>
          <w:p w14:paraId="73DCD77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27AF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CF425C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1,2-二氯苯</w:t>
            </w:r>
          </w:p>
        </w:tc>
        <w:tc>
          <w:tcPr>
            <w:tcW w:w="562" w:type="pct"/>
            <w:tcBorders>
              <w:tl2br w:val="nil"/>
              <w:tr2bl w:val="nil"/>
            </w:tcBorders>
            <w:noWrap w:val="0"/>
            <w:vAlign w:val="center"/>
          </w:tcPr>
          <w:p w14:paraId="773E970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66FF9A0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3" w:type="pct"/>
            <w:tcBorders>
              <w:tl2br w:val="nil"/>
              <w:tr2bl w:val="nil"/>
            </w:tcBorders>
            <w:noWrap w:val="0"/>
            <w:vAlign w:val="center"/>
          </w:tcPr>
          <w:p w14:paraId="79CDA05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6D64DDA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19CDDF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5" w:type="pct"/>
            <w:tcBorders>
              <w:tl2br w:val="nil"/>
              <w:tr2bl w:val="nil"/>
            </w:tcBorders>
            <w:noWrap w:val="0"/>
            <w:vAlign w:val="center"/>
          </w:tcPr>
          <w:p w14:paraId="7C18934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411" w:type="pct"/>
            <w:tcBorders>
              <w:tl2br w:val="nil"/>
              <w:tr2bl w:val="nil"/>
            </w:tcBorders>
            <w:noWrap w:val="0"/>
            <w:vAlign w:val="center"/>
          </w:tcPr>
          <w:p w14:paraId="4C00277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560</w:t>
            </w:r>
          </w:p>
        </w:tc>
        <w:tc>
          <w:tcPr>
            <w:tcW w:w="413" w:type="pct"/>
            <w:tcBorders>
              <w:tl2br w:val="nil"/>
              <w:tr2bl w:val="nil"/>
            </w:tcBorders>
            <w:noWrap w:val="0"/>
            <w:vAlign w:val="center"/>
          </w:tcPr>
          <w:p w14:paraId="3994B85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9993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094558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1,4-二氯苯</w:t>
            </w:r>
          </w:p>
        </w:tc>
        <w:tc>
          <w:tcPr>
            <w:tcW w:w="562" w:type="pct"/>
            <w:tcBorders>
              <w:tl2br w:val="nil"/>
              <w:tr2bl w:val="nil"/>
            </w:tcBorders>
            <w:noWrap w:val="0"/>
            <w:vAlign w:val="center"/>
          </w:tcPr>
          <w:p w14:paraId="7EE826C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386C80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3" w:type="pct"/>
            <w:tcBorders>
              <w:tl2br w:val="nil"/>
              <w:tr2bl w:val="nil"/>
            </w:tcBorders>
            <w:noWrap w:val="0"/>
            <w:vAlign w:val="center"/>
          </w:tcPr>
          <w:p w14:paraId="23F21FF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59898A9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2" w:type="pct"/>
            <w:tcBorders>
              <w:tl2br w:val="nil"/>
              <w:tr2bl w:val="nil"/>
            </w:tcBorders>
            <w:noWrap w:val="0"/>
            <w:vAlign w:val="center"/>
          </w:tcPr>
          <w:p w14:paraId="359D07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565" w:type="pct"/>
            <w:tcBorders>
              <w:tl2br w:val="nil"/>
              <w:tr2bl w:val="nil"/>
            </w:tcBorders>
            <w:noWrap w:val="0"/>
            <w:vAlign w:val="center"/>
          </w:tcPr>
          <w:p w14:paraId="60A5D6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&lt;0.0015</w:t>
            </w:r>
          </w:p>
        </w:tc>
        <w:tc>
          <w:tcPr>
            <w:tcW w:w="411" w:type="pct"/>
            <w:tcBorders>
              <w:tl2br w:val="nil"/>
              <w:tr2bl w:val="nil"/>
            </w:tcBorders>
            <w:noWrap w:val="0"/>
            <w:vAlign w:val="center"/>
          </w:tcPr>
          <w:p w14:paraId="7AA01E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413" w:type="pct"/>
            <w:tcBorders>
              <w:tl2br w:val="nil"/>
              <w:tr2bl w:val="nil"/>
            </w:tcBorders>
            <w:noWrap w:val="0"/>
            <w:vAlign w:val="center"/>
          </w:tcPr>
          <w:p w14:paraId="6B88AF8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5758E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15C633E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乙苯</w:t>
            </w:r>
          </w:p>
        </w:tc>
        <w:tc>
          <w:tcPr>
            <w:tcW w:w="562" w:type="pct"/>
            <w:tcBorders>
              <w:tl2br w:val="nil"/>
              <w:tr2bl w:val="nil"/>
            </w:tcBorders>
            <w:noWrap w:val="0"/>
            <w:vAlign w:val="center"/>
          </w:tcPr>
          <w:p w14:paraId="18A4200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6D7E92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3EEB072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CBE673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1E90432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274F0E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07C959F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w:t>
            </w:r>
          </w:p>
        </w:tc>
        <w:tc>
          <w:tcPr>
            <w:tcW w:w="413" w:type="pct"/>
            <w:tcBorders>
              <w:tl2br w:val="nil"/>
              <w:tr2bl w:val="nil"/>
            </w:tcBorders>
            <w:noWrap w:val="0"/>
            <w:vAlign w:val="center"/>
          </w:tcPr>
          <w:p w14:paraId="571D6FA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49EE8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3FA4A1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苯乙烯</w:t>
            </w:r>
          </w:p>
        </w:tc>
        <w:tc>
          <w:tcPr>
            <w:tcW w:w="562" w:type="pct"/>
            <w:tcBorders>
              <w:tl2br w:val="nil"/>
              <w:tr2bl w:val="nil"/>
            </w:tcBorders>
            <w:noWrap w:val="0"/>
            <w:vAlign w:val="center"/>
          </w:tcPr>
          <w:p w14:paraId="7B7BF7E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652851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3" w:type="pct"/>
            <w:tcBorders>
              <w:tl2br w:val="nil"/>
              <w:tr2bl w:val="nil"/>
            </w:tcBorders>
            <w:noWrap w:val="0"/>
            <w:vAlign w:val="center"/>
          </w:tcPr>
          <w:p w14:paraId="340A8B5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6A628BE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2" w:type="pct"/>
            <w:tcBorders>
              <w:tl2br w:val="nil"/>
              <w:tr2bl w:val="nil"/>
            </w:tcBorders>
            <w:noWrap w:val="0"/>
            <w:vAlign w:val="center"/>
          </w:tcPr>
          <w:p w14:paraId="1575325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565" w:type="pct"/>
            <w:tcBorders>
              <w:tl2br w:val="nil"/>
              <w:tr2bl w:val="nil"/>
            </w:tcBorders>
            <w:noWrap w:val="0"/>
            <w:vAlign w:val="center"/>
          </w:tcPr>
          <w:p w14:paraId="5622C1A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&lt;0.0011</w:t>
            </w:r>
          </w:p>
        </w:tc>
        <w:tc>
          <w:tcPr>
            <w:tcW w:w="411" w:type="pct"/>
            <w:tcBorders>
              <w:tl2br w:val="nil"/>
              <w:tr2bl w:val="nil"/>
            </w:tcBorders>
            <w:noWrap w:val="0"/>
            <w:vAlign w:val="center"/>
          </w:tcPr>
          <w:p w14:paraId="2145E02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1290</w:t>
            </w:r>
          </w:p>
        </w:tc>
        <w:tc>
          <w:tcPr>
            <w:tcW w:w="413" w:type="pct"/>
            <w:tcBorders>
              <w:tl2br w:val="nil"/>
              <w:tr2bl w:val="nil"/>
            </w:tcBorders>
            <w:noWrap w:val="0"/>
            <w:vAlign w:val="center"/>
          </w:tcPr>
          <w:p w14:paraId="27C0C25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4DD30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D51A4C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甲苯</w:t>
            </w:r>
          </w:p>
        </w:tc>
        <w:tc>
          <w:tcPr>
            <w:tcW w:w="562" w:type="pct"/>
            <w:tcBorders>
              <w:tl2br w:val="nil"/>
              <w:tr2bl w:val="nil"/>
            </w:tcBorders>
            <w:noWrap w:val="0"/>
            <w:vAlign w:val="center"/>
          </w:tcPr>
          <w:p w14:paraId="757E50B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3B51426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3" w:type="pct"/>
            <w:tcBorders>
              <w:tl2br w:val="nil"/>
              <w:tr2bl w:val="nil"/>
            </w:tcBorders>
            <w:noWrap w:val="0"/>
            <w:vAlign w:val="center"/>
          </w:tcPr>
          <w:p w14:paraId="5ABC82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7249B79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2" w:type="pct"/>
            <w:tcBorders>
              <w:tl2br w:val="nil"/>
              <w:tr2bl w:val="nil"/>
            </w:tcBorders>
            <w:noWrap w:val="0"/>
            <w:vAlign w:val="center"/>
          </w:tcPr>
          <w:p w14:paraId="30CC3F2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565" w:type="pct"/>
            <w:tcBorders>
              <w:tl2br w:val="nil"/>
              <w:tr2bl w:val="nil"/>
            </w:tcBorders>
            <w:noWrap w:val="0"/>
            <w:vAlign w:val="center"/>
          </w:tcPr>
          <w:p w14:paraId="612333F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&lt;0.0013</w:t>
            </w:r>
          </w:p>
        </w:tc>
        <w:tc>
          <w:tcPr>
            <w:tcW w:w="411" w:type="pct"/>
            <w:tcBorders>
              <w:tl2br w:val="nil"/>
              <w:tr2bl w:val="nil"/>
            </w:tcBorders>
            <w:noWrap w:val="0"/>
            <w:vAlign w:val="center"/>
          </w:tcPr>
          <w:p w14:paraId="46C0178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1200</w:t>
            </w:r>
          </w:p>
        </w:tc>
        <w:tc>
          <w:tcPr>
            <w:tcW w:w="413" w:type="pct"/>
            <w:tcBorders>
              <w:tl2br w:val="nil"/>
              <w:tr2bl w:val="nil"/>
            </w:tcBorders>
            <w:noWrap w:val="0"/>
            <w:vAlign w:val="center"/>
          </w:tcPr>
          <w:p w14:paraId="7BB20B7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B4E7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7A4970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间-二甲苯</w:t>
            </w:r>
          </w:p>
          <w:p w14:paraId="15CADD3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+对-二甲苯</w:t>
            </w:r>
          </w:p>
        </w:tc>
        <w:tc>
          <w:tcPr>
            <w:tcW w:w="562" w:type="pct"/>
            <w:tcBorders>
              <w:tl2br w:val="nil"/>
              <w:tr2bl w:val="nil"/>
            </w:tcBorders>
            <w:noWrap w:val="0"/>
            <w:vAlign w:val="center"/>
          </w:tcPr>
          <w:p w14:paraId="75F9A3F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5B70565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4A13A8A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45ED3FD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517F745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632F0C2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0169C13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570</w:t>
            </w:r>
          </w:p>
        </w:tc>
        <w:tc>
          <w:tcPr>
            <w:tcW w:w="413" w:type="pct"/>
            <w:tcBorders>
              <w:tl2br w:val="nil"/>
              <w:tr2bl w:val="nil"/>
            </w:tcBorders>
            <w:noWrap w:val="0"/>
            <w:vAlign w:val="center"/>
          </w:tcPr>
          <w:p w14:paraId="1AEDA99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5F97A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A9DE39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邻-二甲苯</w:t>
            </w:r>
          </w:p>
        </w:tc>
        <w:tc>
          <w:tcPr>
            <w:tcW w:w="562" w:type="pct"/>
            <w:tcBorders>
              <w:tl2br w:val="nil"/>
              <w:tr2bl w:val="nil"/>
            </w:tcBorders>
            <w:noWrap w:val="0"/>
            <w:vAlign w:val="center"/>
          </w:tcPr>
          <w:p w14:paraId="5E86FDA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02DFC1F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3" w:type="pct"/>
            <w:tcBorders>
              <w:tl2br w:val="nil"/>
              <w:tr2bl w:val="nil"/>
            </w:tcBorders>
            <w:noWrap w:val="0"/>
            <w:vAlign w:val="center"/>
          </w:tcPr>
          <w:p w14:paraId="057804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2BA46F7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2" w:type="pct"/>
            <w:tcBorders>
              <w:tl2br w:val="nil"/>
              <w:tr2bl w:val="nil"/>
            </w:tcBorders>
            <w:noWrap w:val="0"/>
            <w:vAlign w:val="center"/>
          </w:tcPr>
          <w:p w14:paraId="7A2DFDB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565" w:type="pct"/>
            <w:tcBorders>
              <w:tl2br w:val="nil"/>
              <w:tr2bl w:val="nil"/>
            </w:tcBorders>
            <w:noWrap w:val="0"/>
            <w:vAlign w:val="center"/>
          </w:tcPr>
          <w:p w14:paraId="2063D2D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015612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640</w:t>
            </w:r>
          </w:p>
        </w:tc>
        <w:tc>
          <w:tcPr>
            <w:tcW w:w="413" w:type="pct"/>
            <w:tcBorders>
              <w:tl2br w:val="nil"/>
              <w:tr2bl w:val="nil"/>
            </w:tcBorders>
            <w:noWrap w:val="0"/>
            <w:vAlign w:val="center"/>
          </w:tcPr>
          <w:p w14:paraId="69648EA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0EA98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1463900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萘</w:t>
            </w:r>
          </w:p>
        </w:tc>
        <w:tc>
          <w:tcPr>
            <w:tcW w:w="562" w:type="pct"/>
            <w:tcBorders>
              <w:tl2br w:val="nil"/>
              <w:tr2bl w:val="nil"/>
            </w:tcBorders>
            <w:noWrap w:val="0"/>
            <w:vAlign w:val="center"/>
          </w:tcPr>
          <w:p w14:paraId="0C363D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562" w:type="pct"/>
            <w:tcBorders>
              <w:tl2br w:val="nil"/>
              <w:tr2bl w:val="nil"/>
            </w:tcBorders>
            <w:noWrap w:val="0"/>
            <w:vAlign w:val="center"/>
          </w:tcPr>
          <w:p w14:paraId="20572A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563" w:type="pct"/>
            <w:tcBorders>
              <w:tl2br w:val="nil"/>
              <w:tr2bl w:val="nil"/>
            </w:tcBorders>
            <w:noWrap w:val="0"/>
            <w:vAlign w:val="center"/>
          </w:tcPr>
          <w:p w14:paraId="67A35D1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562" w:type="pct"/>
            <w:tcBorders>
              <w:tl2br w:val="nil"/>
              <w:tr2bl w:val="nil"/>
            </w:tcBorders>
            <w:noWrap w:val="0"/>
            <w:vAlign w:val="center"/>
          </w:tcPr>
          <w:p w14:paraId="4F703C3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562" w:type="pct"/>
            <w:tcBorders>
              <w:tl2br w:val="nil"/>
              <w:tr2bl w:val="nil"/>
            </w:tcBorders>
            <w:noWrap w:val="0"/>
            <w:vAlign w:val="center"/>
          </w:tcPr>
          <w:p w14:paraId="1F7EA9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565" w:type="pct"/>
            <w:tcBorders>
              <w:tl2br w:val="nil"/>
              <w:tr2bl w:val="nil"/>
            </w:tcBorders>
            <w:noWrap w:val="0"/>
            <w:vAlign w:val="center"/>
          </w:tcPr>
          <w:p w14:paraId="1FC8C70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&lt;0.0004</w:t>
            </w:r>
          </w:p>
        </w:tc>
        <w:tc>
          <w:tcPr>
            <w:tcW w:w="411" w:type="pct"/>
            <w:tcBorders>
              <w:tl2br w:val="nil"/>
              <w:tr2bl w:val="nil"/>
            </w:tcBorders>
            <w:noWrap w:val="0"/>
            <w:vAlign w:val="center"/>
          </w:tcPr>
          <w:p w14:paraId="4E5AF4A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70</w:t>
            </w:r>
          </w:p>
        </w:tc>
        <w:tc>
          <w:tcPr>
            <w:tcW w:w="413" w:type="pct"/>
            <w:tcBorders>
              <w:tl2br w:val="nil"/>
              <w:tr2bl w:val="nil"/>
            </w:tcBorders>
            <w:noWrap w:val="0"/>
            <w:vAlign w:val="center"/>
          </w:tcPr>
          <w:p w14:paraId="392F961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4247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F558CD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硝基苯</w:t>
            </w:r>
          </w:p>
        </w:tc>
        <w:tc>
          <w:tcPr>
            <w:tcW w:w="562" w:type="pct"/>
            <w:tcBorders>
              <w:tl2br w:val="nil"/>
              <w:tr2bl w:val="nil"/>
            </w:tcBorders>
            <w:noWrap w:val="0"/>
            <w:vAlign w:val="center"/>
          </w:tcPr>
          <w:p w14:paraId="6B6D582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562" w:type="pct"/>
            <w:tcBorders>
              <w:tl2br w:val="nil"/>
              <w:tr2bl w:val="nil"/>
            </w:tcBorders>
            <w:noWrap w:val="0"/>
            <w:vAlign w:val="center"/>
          </w:tcPr>
          <w:p w14:paraId="007FC71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563" w:type="pct"/>
            <w:tcBorders>
              <w:tl2br w:val="nil"/>
              <w:tr2bl w:val="nil"/>
            </w:tcBorders>
            <w:noWrap w:val="0"/>
            <w:vAlign w:val="center"/>
          </w:tcPr>
          <w:p w14:paraId="02ED94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562" w:type="pct"/>
            <w:tcBorders>
              <w:tl2br w:val="nil"/>
              <w:tr2bl w:val="nil"/>
            </w:tcBorders>
            <w:noWrap w:val="0"/>
            <w:vAlign w:val="center"/>
          </w:tcPr>
          <w:p w14:paraId="18999AE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562" w:type="pct"/>
            <w:tcBorders>
              <w:tl2br w:val="nil"/>
              <w:tr2bl w:val="nil"/>
            </w:tcBorders>
            <w:noWrap w:val="0"/>
            <w:vAlign w:val="center"/>
          </w:tcPr>
          <w:p w14:paraId="2C85853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565" w:type="pct"/>
            <w:tcBorders>
              <w:tl2br w:val="nil"/>
              <w:tr2bl w:val="nil"/>
            </w:tcBorders>
            <w:noWrap w:val="0"/>
            <w:vAlign w:val="center"/>
          </w:tcPr>
          <w:p w14:paraId="61C12D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&lt;0.09</w:t>
            </w:r>
          </w:p>
        </w:tc>
        <w:tc>
          <w:tcPr>
            <w:tcW w:w="411" w:type="pct"/>
            <w:tcBorders>
              <w:tl2br w:val="nil"/>
              <w:tr2bl w:val="nil"/>
            </w:tcBorders>
            <w:noWrap w:val="0"/>
            <w:vAlign w:val="center"/>
          </w:tcPr>
          <w:p w14:paraId="2F8D258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76</w:t>
            </w:r>
          </w:p>
        </w:tc>
        <w:tc>
          <w:tcPr>
            <w:tcW w:w="413" w:type="pct"/>
            <w:tcBorders>
              <w:tl2br w:val="nil"/>
              <w:tr2bl w:val="nil"/>
            </w:tcBorders>
            <w:noWrap w:val="0"/>
            <w:vAlign w:val="center"/>
          </w:tcPr>
          <w:p w14:paraId="77D422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1613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6F597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苯胺</w:t>
            </w:r>
          </w:p>
        </w:tc>
        <w:tc>
          <w:tcPr>
            <w:tcW w:w="562" w:type="pct"/>
            <w:tcBorders>
              <w:tl2br w:val="nil"/>
              <w:tr2bl w:val="nil"/>
            </w:tcBorders>
            <w:noWrap w:val="0"/>
            <w:vAlign w:val="center"/>
          </w:tcPr>
          <w:p w14:paraId="7947458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562" w:type="pct"/>
            <w:tcBorders>
              <w:tl2br w:val="nil"/>
              <w:tr2bl w:val="nil"/>
            </w:tcBorders>
            <w:noWrap w:val="0"/>
            <w:vAlign w:val="center"/>
          </w:tcPr>
          <w:p w14:paraId="00978CD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563" w:type="pct"/>
            <w:tcBorders>
              <w:tl2br w:val="nil"/>
              <w:tr2bl w:val="nil"/>
            </w:tcBorders>
            <w:noWrap w:val="0"/>
            <w:vAlign w:val="center"/>
          </w:tcPr>
          <w:p w14:paraId="543D52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562" w:type="pct"/>
            <w:tcBorders>
              <w:tl2br w:val="nil"/>
              <w:tr2bl w:val="nil"/>
            </w:tcBorders>
            <w:noWrap w:val="0"/>
            <w:vAlign w:val="center"/>
          </w:tcPr>
          <w:p w14:paraId="15E84CE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562" w:type="pct"/>
            <w:tcBorders>
              <w:tl2br w:val="nil"/>
              <w:tr2bl w:val="nil"/>
            </w:tcBorders>
            <w:noWrap w:val="0"/>
            <w:vAlign w:val="center"/>
          </w:tcPr>
          <w:p w14:paraId="5B069DA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565" w:type="pct"/>
            <w:tcBorders>
              <w:tl2br w:val="nil"/>
              <w:tr2bl w:val="nil"/>
            </w:tcBorders>
            <w:noWrap w:val="0"/>
            <w:vAlign w:val="center"/>
          </w:tcPr>
          <w:p w14:paraId="533C38C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&lt;0.008</w:t>
            </w:r>
          </w:p>
        </w:tc>
        <w:tc>
          <w:tcPr>
            <w:tcW w:w="411" w:type="pct"/>
            <w:tcBorders>
              <w:tl2br w:val="nil"/>
              <w:tr2bl w:val="nil"/>
            </w:tcBorders>
            <w:noWrap w:val="0"/>
            <w:vAlign w:val="center"/>
          </w:tcPr>
          <w:p w14:paraId="3EB2A07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260</w:t>
            </w:r>
          </w:p>
        </w:tc>
        <w:tc>
          <w:tcPr>
            <w:tcW w:w="413" w:type="pct"/>
            <w:tcBorders>
              <w:tl2br w:val="nil"/>
              <w:tr2bl w:val="nil"/>
            </w:tcBorders>
            <w:noWrap w:val="0"/>
            <w:vAlign w:val="center"/>
          </w:tcPr>
          <w:p w14:paraId="3A0303A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0EAB4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374221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2-氯酚</w:t>
            </w:r>
          </w:p>
        </w:tc>
        <w:tc>
          <w:tcPr>
            <w:tcW w:w="562" w:type="pct"/>
            <w:tcBorders>
              <w:tl2br w:val="nil"/>
              <w:tr2bl w:val="nil"/>
            </w:tcBorders>
            <w:noWrap w:val="0"/>
            <w:vAlign w:val="center"/>
          </w:tcPr>
          <w:p w14:paraId="1E40E45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562" w:type="pct"/>
            <w:tcBorders>
              <w:tl2br w:val="nil"/>
              <w:tr2bl w:val="nil"/>
            </w:tcBorders>
            <w:noWrap w:val="0"/>
            <w:vAlign w:val="center"/>
          </w:tcPr>
          <w:p w14:paraId="4B09863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563" w:type="pct"/>
            <w:tcBorders>
              <w:tl2br w:val="nil"/>
              <w:tr2bl w:val="nil"/>
            </w:tcBorders>
            <w:noWrap w:val="0"/>
            <w:vAlign w:val="center"/>
          </w:tcPr>
          <w:p w14:paraId="5FFCDEF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562" w:type="pct"/>
            <w:tcBorders>
              <w:tl2br w:val="nil"/>
              <w:tr2bl w:val="nil"/>
            </w:tcBorders>
            <w:noWrap w:val="0"/>
            <w:vAlign w:val="center"/>
          </w:tcPr>
          <w:p w14:paraId="24AB70A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562" w:type="pct"/>
            <w:tcBorders>
              <w:tl2br w:val="nil"/>
              <w:tr2bl w:val="nil"/>
            </w:tcBorders>
            <w:noWrap w:val="0"/>
            <w:vAlign w:val="center"/>
          </w:tcPr>
          <w:p w14:paraId="269D42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565" w:type="pct"/>
            <w:tcBorders>
              <w:tl2br w:val="nil"/>
              <w:tr2bl w:val="nil"/>
            </w:tcBorders>
            <w:noWrap w:val="0"/>
            <w:vAlign w:val="center"/>
          </w:tcPr>
          <w:p w14:paraId="2E4A536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&lt;0.06</w:t>
            </w:r>
          </w:p>
        </w:tc>
        <w:tc>
          <w:tcPr>
            <w:tcW w:w="411" w:type="pct"/>
            <w:tcBorders>
              <w:tl2br w:val="nil"/>
              <w:tr2bl w:val="nil"/>
            </w:tcBorders>
            <w:noWrap w:val="0"/>
            <w:vAlign w:val="center"/>
          </w:tcPr>
          <w:p w14:paraId="12D755B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2256</w:t>
            </w:r>
          </w:p>
        </w:tc>
        <w:tc>
          <w:tcPr>
            <w:tcW w:w="413" w:type="pct"/>
            <w:tcBorders>
              <w:tl2br w:val="nil"/>
              <w:tr2bl w:val="nil"/>
            </w:tcBorders>
            <w:noWrap w:val="0"/>
            <w:vAlign w:val="center"/>
          </w:tcPr>
          <w:p w14:paraId="28CFFA0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7C51F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15C1325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苯并[a]蒽</w:t>
            </w:r>
          </w:p>
        </w:tc>
        <w:tc>
          <w:tcPr>
            <w:tcW w:w="562" w:type="pct"/>
            <w:tcBorders>
              <w:tl2br w:val="nil"/>
              <w:tr2bl w:val="nil"/>
            </w:tcBorders>
            <w:noWrap w:val="0"/>
            <w:vAlign w:val="center"/>
          </w:tcPr>
          <w:p w14:paraId="4D86683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489AC26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1720894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31E7AA9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261EFD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4E538A3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5356D7C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413" w:type="pct"/>
            <w:tcBorders>
              <w:tl2br w:val="nil"/>
              <w:tr2bl w:val="nil"/>
            </w:tcBorders>
            <w:noWrap w:val="0"/>
            <w:vAlign w:val="center"/>
          </w:tcPr>
          <w:p w14:paraId="33172D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08B05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09AA53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苯并[a]芘</w:t>
            </w:r>
          </w:p>
        </w:tc>
        <w:tc>
          <w:tcPr>
            <w:tcW w:w="562" w:type="pct"/>
            <w:tcBorders>
              <w:tl2br w:val="nil"/>
              <w:tr2bl w:val="nil"/>
            </w:tcBorders>
            <w:noWrap w:val="0"/>
            <w:vAlign w:val="center"/>
          </w:tcPr>
          <w:p w14:paraId="50815E0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70E0EB8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575CD39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4F4D235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5EF0B54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2EBC043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4BF9BEF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413" w:type="pct"/>
            <w:tcBorders>
              <w:tl2br w:val="nil"/>
              <w:tr2bl w:val="nil"/>
            </w:tcBorders>
            <w:noWrap w:val="0"/>
            <w:vAlign w:val="center"/>
          </w:tcPr>
          <w:p w14:paraId="7E8C891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6E2C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60A751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苯并[b]荧蒽</w:t>
            </w:r>
          </w:p>
        </w:tc>
        <w:tc>
          <w:tcPr>
            <w:tcW w:w="562" w:type="pct"/>
            <w:tcBorders>
              <w:tl2br w:val="nil"/>
              <w:tr2bl w:val="nil"/>
            </w:tcBorders>
            <w:noWrap w:val="0"/>
            <w:vAlign w:val="center"/>
          </w:tcPr>
          <w:p w14:paraId="439EC7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562" w:type="pct"/>
            <w:tcBorders>
              <w:tl2br w:val="nil"/>
              <w:tr2bl w:val="nil"/>
            </w:tcBorders>
            <w:noWrap w:val="0"/>
            <w:vAlign w:val="center"/>
          </w:tcPr>
          <w:p w14:paraId="682EB3B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563" w:type="pct"/>
            <w:tcBorders>
              <w:tl2br w:val="nil"/>
              <w:tr2bl w:val="nil"/>
            </w:tcBorders>
            <w:noWrap w:val="0"/>
            <w:vAlign w:val="center"/>
          </w:tcPr>
          <w:p w14:paraId="783BF45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562" w:type="pct"/>
            <w:tcBorders>
              <w:tl2br w:val="nil"/>
              <w:tr2bl w:val="nil"/>
            </w:tcBorders>
            <w:noWrap w:val="0"/>
            <w:vAlign w:val="center"/>
          </w:tcPr>
          <w:p w14:paraId="249A90C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562" w:type="pct"/>
            <w:tcBorders>
              <w:tl2br w:val="nil"/>
              <w:tr2bl w:val="nil"/>
            </w:tcBorders>
            <w:noWrap w:val="0"/>
            <w:vAlign w:val="center"/>
          </w:tcPr>
          <w:p w14:paraId="2948D9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565" w:type="pct"/>
            <w:tcBorders>
              <w:tl2br w:val="nil"/>
              <w:tr2bl w:val="nil"/>
            </w:tcBorders>
            <w:noWrap w:val="0"/>
            <w:vAlign w:val="center"/>
          </w:tcPr>
          <w:p w14:paraId="5F47334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&lt;0.2</w:t>
            </w:r>
          </w:p>
        </w:tc>
        <w:tc>
          <w:tcPr>
            <w:tcW w:w="411" w:type="pct"/>
            <w:tcBorders>
              <w:tl2br w:val="nil"/>
              <w:tr2bl w:val="nil"/>
            </w:tcBorders>
            <w:noWrap w:val="0"/>
            <w:vAlign w:val="center"/>
          </w:tcPr>
          <w:p w14:paraId="4CBC4A3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413" w:type="pct"/>
            <w:tcBorders>
              <w:tl2br w:val="nil"/>
              <w:tr2bl w:val="nil"/>
            </w:tcBorders>
            <w:noWrap w:val="0"/>
            <w:vAlign w:val="center"/>
          </w:tcPr>
          <w:p w14:paraId="0A7B3E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7129E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35879F2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苯并[k]荧蒽</w:t>
            </w:r>
          </w:p>
        </w:tc>
        <w:tc>
          <w:tcPr>
            <w:tcW w:w="562" w:type="pct"/>
            <w:tcBorders>
              <w:tl2br w:val="nil"/>
              <w:tr2bl w:val="nil"/>
            </w:tcBorders>
            <w:noWrap w:val="0"/>
            <w:vAlign w:val="center"/>
          </w:tcPr>
          <w:p w14:paraId="1DA855C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07CBB6E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795A02D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4F0459E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3BD4589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23EFA1D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1E135D5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151</w:t>
            </w:r>
          </w:p>
        </w:tc>
        <w:tc>
          <w:tcPr>
            <w:tcW w:w="413" w:type="pct"/>
            <w:tcBorders>
              <w:tl2br w:val="nil"/>
              <w:tr2bl w:val="nil"/>
            </w:tcBorders>
            <w:noWrap w:val="0"/>
            <w:vAlign w:val="center"/>
          </w:tcPr>
          <w:p w14:paraId="449BCE6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1D048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2535CCB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䓛</w:t>
            </w:r>
          </w:p>
        </w:tc>
        <w:tc>
          <w:tcPr>
            <w:tcW w:w="562" w:type="pct"/>
            <w:tcBorders>
              <w:tl2br w:val="nil"/>
              <w:tr2bl w:val="nil"/>
            </w:tcBorders>
            <w:noWrap w:val="0"/>
            <w:vAlign w:val="center"/>
          </w:tcPr>
          <w:p w14:paraId="18EE535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4BBB94C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7DF856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6EFCB6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559829D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531F5D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5AAC1BC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1293</w:t>
            </w:r>
          </w:p>
        </w:tc>
        <w:tc>
          <w:tcPr>
            <w:tcW w:w="413" w:type="pct"/>
            <w:tcBorders>
              <w:tl2br w:val="nil"/>
              <w:tr2bl w:val="nil"/>
            </w:tcBorders>
            <w:noWrap w:val="0"/>
            <w:vAlign w:val="center"/>
          </w:tcPr>
          <w:p w14:paraId="173C344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8C6C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7A56B62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二苯并[a,h]蒽</w:t>
            </w:r>
          </w:p>
        </w:tc>
        <w:tc>
          <w:tcPr>
            <w:tcW w:w="562" w:type="pct"/>
            <w:tcBorders>
              <w:tl2br w:val="nil"/>
              <w:tr2bl w:val="nil"/>
            </w:tcBorders>
            <w:noWrap w:val="0"/>
            <w:vAlign w:val="center"/>
          </w:tcPr>
          <w:p w14:paraId="62BECB7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21CE0C9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76A8E5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0926709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1EE032F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48D64CF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36A1192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413" w:type="pct"/>
            <w:tcBorders>
              <w:tl2br w:val="nil"/>
              <w:tr2bl w:val="nil"/>
            </w:tcBorders>
            <w:noWrap w:val="0"/>
            <w:vAlign w:val="center"/>
          </w:tcPr>
          <w:p w14:paraId="355FDC3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2A37F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95" w:type="pct"/>
            <w:gridSpan w:val="2"/>
            <w:tcBorders>
              <w:tl2br w:val="nil"/>
              <w:tr2bl w:val="nil"/>
            </w:tcBorders>
            <w:noWrap w:val="0"/>
            <w:vAlign w:val="center"/>
          </w:tcPr>
          <w:p w14:paraId="460E884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茚并[1,2,3-cd]芘</w:t>
            </w:r>
          </w:p>
        </w:tc>
        <w:tc>
          <w:tcPr>
            <w:tcW w:w="562" w:type="pct"/>
            <w:tcBorders>
              <w:tl2br w:val="nil"/>
              <w:tr2bl w:val="nil"/>
            </w:tcBorders>
            <w:noWrap w:val="0"/>
            <w:vAlign w:val="center"/>
          </w:tcPr>
          <w:p w14:paraId="402C2FF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197C4A2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3" w:type="pct"/>
            <w:tcBorders>
              <w:tl2br w:val="nil"/>
              <w:tr2bl w:val="nil"/>
            </w:tcBorders>
            <w:noWrap w:val="0"/>
            <w:vAlign w:val="center"/>
          </w:tcPr>
          <w:p w14:paraId="173E788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1B9D50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2" w:type="pct"/>
            <w:tcBorders>
              <w:tl2br w:val="nil"/>
              <w:tr2bl w:val="nil"/>
            </w:tcBorders>
            <w:noWrap w:val="0"/>
            <w:vAlign w:val="center"/>
          </w:tcPr>
          <w:p w14:paraId="0EFD8B9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565" w:type="pct"/>
            <w:tcBorders>
              <w:tl2br w:val="nil"/>
              <w:tr2bl w:val="nil"/>
            </w:tcBorders>
            <w:noWrap w:val="0"/>
            <w:vAlign w:val="center"/>
          </w:tcPr>
          <w:p w14:paraId="149FDE1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&lt;0.1</w:t>
            </w:r>
          </w:p>
        </w:tc>
        <w:tc>
          <w:tcPr>
            <w:tcW w:w="411" w:type="pct"/>
            <w:tcBorders>
              <w:tl2br w:val="nil"/>
              <w:tr2bl w:val="nil"/>
            </w:tcBorders>
            <w:noWrap w:val="0"/>
            <w:vAlign w:val="center"/>
          </w:tcPr>
          <w:p w14:paraId="48EC131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413" w:type="pct"/>
            <w:tcBorders>
              <w:tl2br w:val="nil"/>
              <w:tr2bl w:val="nil"/>
            </w:tcBorders>
            <w:noWrap w:val="0"/>
            <w:vAlign w:val="center"/>
          </w:tcPr>
          <w:p w14:paraId="2BD1847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bl>
    <w:p w14:paraId="453D415B">
      <w:pPr>
        <w:pStyle w:val="304"/>
        <w:rPr>
          <w:color w:val="auto"/>
          <w:highlight w:val="none"/>
          <w:lang w:val="en-US" w:eastAsia="zh-CN"/>
        </w:rPr>
      </w:pPr>
    </w:p>
    <w:p w14:paraId="261F2D7F">
      <w:pPr>
        <w:rPr>
          <w:rFonts w:ascii="Times New Roman" w:hAnsi="Times New Roman" w:eastAsia="黑体" w:cs="Times New Roman"/>
          <w:color w:val="auto"/>
          <w:kern w:val="0"/>
          <w:sz w:val="24"/>
          <w:szCs w:val="24"/>
          <w:highlight w:val="none"/>
          <w:lang w:val="en-US" w:eastAsia="zh-CN" w:bidi="ar-SA"/>
        </w:rPr>
      </w:pPr>
      <w:r>
        <w:rPr>
          <w:rFonts w:ascii="Times New Roman" w:hAnsi="Times New Roman" w:eastAsia="黑体" w:cs="Times New Roman"/>
          <w:color w:val="auto"/>
          <w:kern w:val="0"/>
          <w:sz w:val="24"/>
          <w:szCs w:val="24"/>
          <w:highlight w:val="none"/>
          <w:lang w:val="en-US" w:eastAsia="zh-CN" w:bidi="ar-SA"/>
        </w:rPr>
        <w:br w:type="page"/>
      </w:r>
    </w:p>
    <w:p w14:paraId="076EA480">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表4.2-22  土壤环境质量现状监测结果一览表（2）</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32"/>
        <w:gridCol w:w="1567"/>
        <w:gridCol w:w="1567"/>
        <w:gridCol w:w="1567"/>
        <w:gridCol w:w="1567"/>
        <w:gridCol w:w="1567"/>
        <w:gridCol w:w="1579"/>
        <w:gridCol w:w="1165"/>
        <w:gridCol w:w="1169"/>
      </w:tblGrid>
      <w:tr w14:paraId="45CA7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854" w:type="pct"/>
            <w:gridSpan w:val="2"/>
            <w:tcBorders>
              <w:tl2br w:val="nil"/>
              <w:tr2bl w:val="nil"/>
            </w:tcBorders>
            <w:noWrap w:val="0"/>
            <w:vAlign w:val="center"/>
          </w:tcPr>
          <w:p w14:paraId="3CF6F8A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采样日期</w:t>
            </w:r>
          </w:p>
        </w:tc>
        <w:tc>
          <w:tcPr>
            <w:tcW w:w="3322" w:type="pct"/>
            <w:gridSpan w:val="6"/>
            <w:tcBorders>
              <w:tl2br w:val="nil"/>
              <w:tr2bl w:val="nil"/>
            </w:tcBorders>
            <w:noWrap w:val="0"/>
            <w:vAlign w:val="center"/>
          </w:tcPr>
          <w:p w14:paraId="77B49BC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2026年09月18日</w:t>
            </w:r>
          </w:p>
        </w:tc>
        <w:tc>
          <w:tcPr>
            <w:tcW w:w="411" w:type="pct"/>
            <w:vMerge w:val="restart"/>
            <w:tcBorders>
              <w:tl2br w:val="nil"/>
              <w:tr2bl w:val="nil"/>
            </w:tcBorders>
            <w:noWrap w:val="0"/>
            <w:vAlign w:val="center"/>
          </w:tcPr>
          <w:p w14:paraId="72C80C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标准</w:t>
            </w:r>
          </w:p>
          <w:p w14:paraId="76FBA03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限值</w:t>
            </w:r>
          </w:p>
        </w:tc>
        <w:tc>
          <w:tcPr>
            <w:tcW w:w="412" w:type="pct"/>
            <w:vMerge w:val="restart"/>
            <w:tcBorders>
              <w:tl2br w:val="nil"/>
              <w:tr2bl w:val="nil"/>
            </w:tcBorders>
            <w:noWrap w:val="0"/>
            <w:vAlign w:val="center"/>
          </w:tcPr>
          <w:p w14:paraId="0A6EE1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单位</w:t>
            </w:r>
          </w:p>
        </w:tc>
      </w:tr>
      <w:tr w14:paraId="70EB28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278" w:type="pct"/>
            <w:vMerge w:val="restart"/>
            <w:tcBorders>
              <w:tl2br w:val="nil"/>
              <w:tr2bl w:val="nil"/>
            </w:tcBorders>
            <w:noWrap w:val="0"/>
            <w:vAlign w:val="center"/>
          </w:tcPr>
          <w:p w14:paraId="730FB09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检测项目</w:t>
            </w:r>
          </w:p>
        </w:tc>
        <w:tc>
          <w:tcPr>
            <w:tcW w:w="575" w:type="pct"/>
            <w:tcBorders>
              <w:tl2br w:val="nil"/>
              <w:tr2bl w:val="nil"/>
            </w:tcBorders>
            <w:noWrap w:val="0"/>
            <w:vAlign w:val="center"/>
          </w:tcPr>
          <w:p w14:paraId="5389A88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检测点位</w:t>
            </w:r>
          </w:p>
        </w:tc>
        <w:tc>
          <w:tcPr>
            <w:tcW w:w="1659" w:type="pct"/>
            <w:gridSpan w:val="3"/>
            <w:tcBorders>
              <w:tl2br w:val="nil"/>
              <w:tr2bl w:val="nil"/>
            </w:tcBorders>
            <w:noWrap w:val="0"/>
            <w:vAlign w:val="center"/>
          </w:tcPr>
          <w:p w14:paraId="031F610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T5</w:t>
            </w:r>
            <w:r>
              <w:rPr>
                <w:rFonts w:hint="default" w:ascii="Times New Roman" w:hAnsi="Times New Roman" w:eastAsia="宋体" w:cs="Times New Roman"/>
                <w:color w:val="auto"/>
                <w:kern w:val="0"/>
                <w:sz w:val="21"/>
                <w:szCs w:val="21"/>
                <w:highlight w:val="none"/>
                <w:lang w:val="en-US" w:eastAsia="zh-CN"/>
              </w:rPr>
              <w:t>厂区拟建辅料仓库下游</w:t>
            </w:r>
          </w:p>
        </w:tc>
        <w:tc>
          <w:tcPr>
            <w:tcW w:w="1662" w:type="pct"/>
            <w:gridSpan w:val="3"/>
            <w:tcBorders>
              <w:tl2br w:val="nil"/>
              <w:tr2bl w:val="nil"/>
            </w:tcBorders>
            <w:noWrap w:val="0"/>
            <w:vAlign w:val="center"/>
          </w:tcPr>
          <w:p w14:paraId="4C0415F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T6</w:t>
            </w:r>
            <w:r>
              <w:rPr>
                <w:rFonts w:hint="default" w:ascii="Times New Roman" w:hAnsi="Times New Roman" w:eastAsia="宋体" w:cs="Times New Roman"/>
                <w:color w:val="auto"/>
                <w:kern w:val="0"/>
                <w:sz w:val="21"/>
                <w:szCs w:val="21"/>
                <w:highlight w:val="none"/>
                <w:lang w:val="en-US" w:eastAsia="zh-CN"/>
              </w:rPr>
              <w:t>厂区拟建喷漆房</w:t>
            </w:r>
          </w:p>
        </w:tc>
        <w:tc>
          <w:tcPr>
            <w:tcW w:w="411" w:type="pct"/>
            <w:vMerge w:val="continue"/>
            <w:tcBorders>
              <w:tl2br w:val="nil"/>
              <w:tr2bl w:val="nil"/>
            </w:tcBorders>
            <w:noWrap w:val="0"/>
            <w:vAlign w:val="center"/>
          </w:tcPr>
          <w:p w14:paraId="4C953F1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2" w:type="pct"/>
            <w:vMerge w:val="continue"/>
            <w:tcBorders>
              <w:tl2br w:val="nil"/>
              <w:tr2bl w:val="nil"/>
            </w:tcBorders>
            <w:noWrap w:val="0"/>
            <w:vAlign w:val="center"/>
          </w:tcPr>
          <w:p w14:paraId="7D262D1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1D70C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278" w:type="pct"/>
            <w:vMerge w:val="continue"/>
            <w:tcBorders>
              <w:tl2br w:val="nil"/>
              <w:tr2bl w:val="nil"/>
            </w:tcBorders>
            <w:noWrap w:val="0"/>
            <w:vAlign w:val="center"/>
          </w:tcPr>
          <w:p w14:paraId="2812E7A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75" w:type="pct"/>
            <w:tcBorders>
              <w:tl2br w:val="nil"/>
              <w:tr2bl w:val="nil"/>
            </w:tcBorders>
            <w:noWrap w:val="0"/>
            <w:vAlign w:val="center"/>
          </w:tcPr>
          <w:p w14:paraId="5A59DD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经度</w:t>
            </w:r>
          </w:p>
        </w:tc>
        <w:tc>
          <w:tcPr>
            <w:tcW w:w="1659" w:type="pct"/>
            <w:gridSpan w:val="3"/>
            <w:tcBorders>
              <w:tl2br w:val="nil"/>
              <w:tr2bl w:val="nil"/>
            </w:tcBorders>
            <w:noWrap w:val="0"/>
            <w:vAlign w:val="center"/>
          </w:tcPr>
          <w:p w14:paraId="34ABCB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119.346389</w:t>
            </w:r>
            <w:r>
              <w:rPr>
                <w:rFonts w:hint="default" w:ascii="Times New Roman" w:hAnsi="Times New Roman" w:eastAsia="宋体" w:cs="Times New Roman"/>
                <w:color w:val="auto"/>
                <w:kern w:val="0"/>
                <w:sz w:val="21"/>
                <w:szCs w:val="21"/>
                <w:highlight w:val="none"/>
                <w:lang w:val="en-US" w:eastAsia="zh-CN"/>
              </w:rPr>
              <w:t>°</w:t>
            </w:r>
          </w:p>
        </w:tc>
        <w:tc>
          <w:tcPr>
            <w:tcW w:w="1662" w:type="pct"/>
            <w:gridSpan w:val="3"/>
            <w:tcBorders>
              <w:tl2br w:val="nil"/>
              <w:tr2bl w:val="nil"/>
            </w:tcBorders>
            <w:noWrap w:val="0"/>
            <w:vAlign w:val="center"/>
          </w:tcPr>
          <w:p w14:paraId="2E91A1B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119.346531</w:t>
            </w:r>
            <w:r>
              <w:rPr>
                <w:rFonts w:hint="default" w:ascii="Times New Roman" w:hAnsi="Times New Roman" w:eastAsia="宋体" w:cs="Times New Roman"/>
                <w:color w:val="auto"/>
                <w:kern w:val="0"/>
                <w:sz w:val="21"/>
                <w:szCs w:val="21"/>
                <w:highlight w:val="none"/>
                <w:lang w:val="en-US" w:eastAsia="zh-CN"/>
              </w:rPr>
              <w:t>°</w:t>
            </w:r>
          </w:p>
        </w:tc>
        <w:tc>
          <w:tcPr>
            <w:tcW w:w="411" w:type="pct"/>
            <w:vMerge w:val="continue"/>
            <w:tcBorders>
              <w:tl2br w:val="nil"/>
              <w:tr2bl w:val="nil"/>
            </w:tcBorders>
            <w:noWrap w:val="0"/>
            <w:vAlign w:val="center"/>
          </w:tcPr>
          <w:p w14:paraId="51D472D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2" w:type="pct"/>
            <w:vMerge w:val="continue"/>
            <w:tcBorders>
              <w:tl2br w:val="nil"/>
              <w:tr2bl w:val="nil"/>
            </w:tcBorders>
            <w:noWrap w:val="0"/>
            <w:vAlign w:val="center"/>
          </w:tcPr>
          <w:p w14:paraId="7D5F04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1AD48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278" w:type="pct"/>
            <w:vMerge w:val="continue"/>
            <w:tcBorders>
              <w:tl2br w:val="nil"/>
              <w:tr2bl w:val="nil"/>
            </w:tcBorders>
            <w:noWrap w:val="0"/>
            <w:vAlign w:val="center"/>
          </w:tcPr>
          <w:p w14:paraId="25229F4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75" w:type="pct"/>
            <w:tcBorders>
              <w:tl2br w:val="nil"/>
              <w:tr2bl w:val="nil"/>
            </w:tcBorders>
            <w:noWrap w:val="0"/>
            <w:vAlign w:val="center"/>
          </w:tcPr>
          <w:p w14:paraId="3D904A4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纬度</w:t>
            </w:r>
          </w:p>
        </w:tc>
        <w:tc>
          <w:tcPr>
            <w:tcW w:w="1659" w:type="pct"/>
            <w:gridSpan w:val="3"/>
            <w:tcBorders>
              <w:tl2br w:val="nil"/>
              <w:tr2bl w:val="nil"/>
            </w:tcBorders>
            <w:noWrap w:val="0"/>
            <w:vAlign w:val="center"/>
          </w:tcPr>
          <w:p w14:paraId="373B697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25.879226</w:t>
            </w:r>
            <w:r>
              <w:rPr>
                <w:rFonts w:hint="default" w:ascii="Times New Roman" w:hAnsi="Times New Roman" w:eastAsia="宋体" w:cs="Times New Roman"/>
                <w:color w:val="auto"/>
                <w:kern w:val="0"/>
                <w:sz w:val="21"/>
                <w:szCs w:val="21"/>
                <w:highlight w:val="none"/>
                <w:lang w:val="en-US" w:eastAsia="zh-CN"/>
              </w:rPr>
              <w:t>°</w:t>
            </w:r>
          </w:p>
        </w:tc>
        <w:tc>
          <w:tcPr>
            <w:tcW w:w="1662" w:type="pct"/>
            <w:gridSpan w:val="3"/>
            <w:tcBorders>
              <w:tl2br w:val="nil"/>
              <w:tr2bl w:val="nil"/>
            </w:tcBorders>
            <w:noWrap w:val="0"/>
            <w:vAlign w:val="center"/>
          </w:tcPr>
          <w:p w14:paraId="3920276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25.878879</w:t>
            </w:r>
            <w:r>
              <w:rPr>
                <w:rFonts w:hint="default" w:ascii="Times New Roman" w:hAnsi="Times New Roman" w:eastAsia="宋体" w:cs="Times New Roman"/>
                <w:color w:val="auto"/>
                <w:kern w:val="0"/>
                <w:sz w:val="21"/>
                <w:szCs w:val="21"/>
                <w:highlight w:val="none"/>
                <w:lang w:val="en-US" w:eastAsia="zh-CN"/>
              </w:rPr>
              <w:t>°</w:t>
            </w:r>
          </w:p>
        </w:tc>
        <w:tc>
          <w:tcPr>
            <w:tcW w:w="411" w:type="pct"/>
            <w:vMerge w:val="continue"/>
            <w:tcBorders>
              <w:tl2br w:val="nil"/>
              <w:tr2bl w:val="nil"/>
            </w:tcBorders>
            <w:noWrap w:val="0"/>
            <w:vAlign w:val="center"/>
          </w:tcPr>
          <w:p w14:paraId="290890F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2" w:type="pct"/>
            <w:vMerge w:val="continue"/>
            <w:tcBorders>
              <w:tl2br w:val="nil"/>
              <w:tr2bl w:val="nil"/>
            </w:tcBorders>
            <w:noWrap w:val="0"/>
            <w:vAlign w:val="center"/>
          </w:tcPr>
          <w:p w14:paraId="51778F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19C51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278" w:type="pct"/>
            <w:vMerge w:val="continue"/>
            <w:tcBorders>
              <w:tl2br w:val="nil"/>
              <w:tr2bl w:val="nil"/>
            </w:tcBorders>
            <w:noWrap w:val="0"/>
            <w:vAlign w:val="center"/>
          </w:tcPr>
          <w:p w14:paraId="50ADD6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575" w:type="pct"/>
            <w:tcBorders>
              <w:tl2br w:val="nil"/>
              <w:tr2bl w:val="nil"/>
            </w:tcBorders>
            <w:noWrap w:val="0"/>
            <w:vAlign w:val="center"/>
          </w:tcPr>
          <w:p w14:paraId="1E6B419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采样层次</w:t>
            </w:r>
          </w:p>
        </w:tc>
        <w:tc>
          <w:tcPr>
            <w:tcW w:w="553" w:type="pct"/>
            <w:tcBorders>
              <w:tl2br w:val="nil"/>
              <w:tr2bl w:val="nil"/>
            </w:tcBorders>
            <w:noWrap w:val="0"/>
            <w:vAlign w:val="center"/>
          </w:tcPr>
          <w:p w14:paraId="2E07E56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m</w:t>
            </w:r>
          </w:p>
        </w:tc>
        <w:tc>
          <w:tcPr>
            <w:tcW w:w="553" w:type="pct"/>
            <w:tcBorders>
              <w:tl2br w:val="nil"/>
              <w:tr2bl w:val="nil"/>
            </w:tcBorders>
            <w:noWrap w:val="0"/>
            <w:vAlign w:val="center"/>
          </w:tcPr>
          <w:p w14:paraId="087F530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1.5</w:t>
            </w:r>
            <w:r>
              <w:rPr>
                <w:rFonts w:hint="default" w:ascii="Times New Roman" w:hAnsi="Times New Roman" w:eastAsia="宋体" w:cs="Times New Roman"/>
                <w:color w:val="auto"/>
                <w:kern w:val="0"/>
                <w:sz w:val="21"/>
                <w:szCs w:val="21"/>
                <w:highlight w:val="none"/>
                <w:lang w:val="en-US" w:eastAsia="zh-CN"/>
              </w:rPr>
              <w:t>m</w:t>
            </w:r>
          </w:p>
        </w:tc>
        <w:tc>
          <w:tcPr>
            <w:tcW w:w="553" w:type="pct"/>
            <w:tcBorders>
              <w:tl2br w:val="nil"/>
              <w:tr2bl w:val="nil"/>
            </w:tcBorders>
            <w:noWrap w:val="0"/>
            <w:vAlign w:val="center"/>
          </w:tcPr>
          <w:p w14:paraId="503F6F6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3.0</w:t>
            </w:r>
            <w:r>
              <w:rPr>
                <w:rFonts w:hint="default" w:ascii="Times New Roman" w:hAnsi="Times New Roman" w:eastAsia="宋体" w:cs="Times New Roman"/>
                <w:color w:val="auto"/>
                <w:kern w:val="0"/>
                <w:sz w:val="21"/>
                <w:szCs w:val="21"/>
                <w:highlight w:val="none"/>
                <w:lang w:val="en-US" w:eastAsia="zh-CN"/>
              </w:rPr>
              <w:t>m</w:t>
            </w:r>
          </w:p>
        </w:tc>
        <w:tc>
          <w:tcPr>
            <w:tcW w:w="553" w:type="pct"/>
            <w:tcBorders>
              <w:tl2br w:val="nil"/>
              <w:tr2bl w:val="nil"/>
            </w:tcBorders>
            <w:noWrap w:val="0"/>
            <w:vAlign w:val="center"/>
          </w:tcPr>
          <w:p w14:paraId="6DFD697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m</w:t>
            </w:r>
          </w:p>
        </w:tc>
        <w:tc>
          <w:tcPr>
            <w:tcW w:w="553" w:type="pct"/>
            <w:tcBorders>
              <w:tl2br w:val="nil"/>
              <w:tr2bl w:val="nil"/>
            </w:tcBorders>
            <w:noWrap w:val="0"/>
            <w:vAlign w:val="center"/>
          </w:tcPr>
          <w:p w14:paraId="4313C13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1.5</w:t>
            </w:r>
            <w:r>
              <w:rPr>
                <w:rFonts w:hint="default" w:ascii="Times New Roman" w:hAnsi="Times New Roman" w:eastAsia="宋体" w:cs="Times New Roman"/>
                <w:color w:val="auto"/>
                <w:kern w:val="0"/>
                <w:sz w:val="21"/>
                <w:szCs w:val="21"/>
                <w:highlight w:val="none"/>
                <w:lang w:val="en-US" w:eastAsia="zh-CN"/>
              </w:rPr>
              <w:t>m</w:t>
            </w:r>
          </w:p>
        </w:tc>
        <w:tc>
          <w:tcPr>
            <w:tcW w:w="556" w:type="pct"/>
            <w:tcBorders>
              <w:tl2br w:val="nil"/>
              <w:tr2bl w:val="nil"/>
            </w:tcBorders>
            <w:noWrap w:val="0"/>
            <w:vAlign w:val="center"/>
          </w:tcPr>
          <w:p w14:paraId="66930AC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r>
              <w:rPr>
                <w:rFonts w:hint="default"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3.0</w:t>
            </w:r>
            <w:r>
              <w:rPr>
                <w:rFonts w:hint="default" w:ascii="Times New Roman" w:hAnsi="Times New Roman" w:eastAsia="宋体" w:cs="Times New Roman"/>
                <w:color w:val="auto"/>
                <w:kern w:val="0"/>
                <w:sz w:val="21"/>
                <w:szCs w:val="21"/>
                <w:highlight w:val="none"/>
                <w:lang w:val="en-US" w:eastAsia="zh-CN"/>
              </w:rPr>
              <w:t>m</w:t>
            </w:r>
          </w:p>
        </w:tc>
        <w:tc>
          <w:tcPr>
            <w:tcW w:w="411" w:type="pct"/>
            <w:vMerge w:val="continue"/>
            <w:tcBorders>
              <w:tl2br w:val="nil"/>
              <w:tr2bl w:val="nil"/>
            </w:tcBorders>
            <w:noWrap w:val="0"/>
            <w:vAlign w:val="center"/>
          </w:tcPr>
          <w:p w14:paraId="18CF6B9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412" w:type="pct"/>
            <w:vMerge w:val="continue"/>
            <w:tcBorders>
              <w:tl2br w:val="nil"/>
              <w:tr2bl w:val="nil"/>
            </w:tcBorders>
            <w:noWrap w:val="0"/>
            <w:vAlign w:val="center"/>
          </w:tcPr>
          <w:p w14:paraId="365FD27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788F0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53F943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样品性状</w:t>
            </w:r>
          </w:p>
        </w:tc>
        <w:tc>
          <w:tcPr>
            <w:tcW w:w="553" w:type="pct"/>
            <w:tcBorders>
              <w:tl2br w:val="nil"/>
              <w:tr2bl w:val="nil"/>
            </w:tcBorders>
            <w:noWrap w:val="0"/>
            <w:vAlign w:val="center"/>
          </w:tcPr>
          <w:p w14:paraId="614F4AB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暗棕色、砂壤土</w:t>
            </w:r>
          </w:p>
        </w:tc>
        <w:tc>
          <w:tcPr>
            <w:tcW w:w="553" w:type="pct"/>
            <w:tcBorders>
              <w:tl2br w:val="nil"/>
              <w:tr2bl w:val="nil"/>
            </w:tcBorders>
            <w:noWrap w:val="0"/>
            <w:vAlign w:val="center"/>
          </w:tcPr>
          <w:p w14:paraId="6BADDA1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棕色、轻壤土</w:t>
            </w:r>
          </w:p>
        </w:tc>
        <w:tc>
          <w:tcPr>
            <w:tcW w:w="553" w:type="pct"/>
            <w:tcBorders>
              <w:tl2br w:val="nil"/>
              <w:tr2bl w:val="nil"/>
            </w:tcBorders>
            <w:noWrap w:val="0"/>
            <w:vAlign w:val="center"/>
          </w:tcPr>
          <w:p w14:paraId="03C5902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黄棕色、粘土</w:t>
            </w:r>
          </w:p>
        </w:tc>
        <w:tc>
          <w:tcPr>
            <w:tcW w:w="553" w:type="pct"/>
            <w:tcBorders>
              <w:tl2br w:val="nil"/>
              <w:tr2bl w:val="nil"/>
            </w:tcBorders>
            <w:noWrap w:val="0"/>
            <w:vAlign w:val="center"/>
          </w:tcPr>
          <w:p w14:paraId="57DE06D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棕色、粘土</w:t>
            </w:r>
          </w:p>
        </w:tc>
        <w:tc>
          <w:tcPr>
            <w:tcW w:w="553" w:type="pct"/>
            <w:tcBorders>
              <w:tl2br w:val="nil"/>
              <w:tr2bl w:val="nil"/>
            </w:tcBorders>
            <w:noWrap w:val="0"/>
            <w:vAlign w:val="center"/>
          </w:tcPr>
          <w:p w14:paraId="7944F6B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浅灰色、重壤土</w:t>
            </w:r>
          </w:p>
        </w:tc>
        <w:tc>
          <w:tcPr>
            <w:tcW w:w="556" w:type="pct"/>
            <w:tcBorders>
              <w:tl2br w:val="nil"/>
              <w:tr2bl w:val="nil"/>
            </w:tcBorders>
            <w:noWrap w:val="0"/>
            <w:vAlign w:val="center"/>
          </w:tcPr>
          <w:p w14:paraId="6BC5E5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红棕色、粘土</w:t>
            </w:r>
          </w:p>
        </w:tc>
        <w:tc>
          <w:tcPr>
            <w:tcW w:w="411" w:type="pct"/>
            <w:tcBorders>
              <w:tl2br w:val="nil"/>
              <w:tr2bl w:val="nil"/>
            </w:tcBorders>
            <w:noWrap w:val="0"/>
            <w:vAlign w:val="center"/>
          </w:tcPr>
          <w:p w14:paraId="29C27C8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412" w:type="pct"/>
            <w:tcBorders>
              <w:tl2br w:val="nil"/>
              <w:tr2bl w:val="nil"/>
            </w:tcBorders>
            <w:noWrap w:val="0"/>
            <w:vAlign w:val="center"/>
          </w:tcPr>
          <w:p w14:paraId="3C95BD8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r w14:paraId="4DBBD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31F3887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pH值</w:t>
            </w:r>
          </w:p>
        </w:tc>
        <w:tc>
          <w:tcPr>
            <w:tcW w:w="553" w:type="pct"/>
            <w:tcBorders>
              <w:tl2br w:val="nil"/>
              <w:tr2bl w:val="nil"/>
            </w:tcBorders>
            <w:noWrap w:val="0"/>
            <w:vAlign w:val="center"/>
          </w:tcPr>
          <w:p w14:paraId="5CAA8B9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9.02</w:t>
            </w:r>
          </w:p>
        </w:tc>
        <w:tc>
          <w:tcPr>
            <w:tcW w:w="553" w:type="pct"/>
            <w:tcBorders>
              <w:tl2br w:val="nil"/>
              <w:tr2bl w:val="nil"/>
            </w:tcBorders>
            <w:noWrap w:val="0"/>
            <w:vAlign w:val="center"/>
          </w:tcPr>
          <w:p w14:paraId="40D5F67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8.40</w:t>
            </w:r>
          </w:p>
        </w:tc>
        <w:tc>
          <w:tcPr>
            <w:tcW w:w="553" w:type="pct"/>
            <w:tcBorders>
              <w:tl2br w:val="nil"/>
              <w:tr2bl w:val="nil"/>
            </w:tcBorders>
            <w:noWrap w:val="0"/>
            <w:vAlign w:val="center"/>
          </w:tcPr>
          <w:p w14:paraId="73C6B0C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7.56</w:t>
            </w:r>
          </w:p>
        </w:tc>
        <w:tc>
          <w:tcPr>
            <w:tcW w:w="553" w:type="pct"/>
            <w:tcBorders>
              <w:tl2br w:val="nil"/>
              <w:tr2bl w:val="nil"/>
            </w:tcBorders>
            <w:noWrap w:val="0"/>
            <w:vAlign w:val="center"/>
          </w:tcPr>
          <w:p w14:paraId="19818E8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8.82</w:t>
            </w:r>
          </w:p>
        </w:tc>
        <w:tc>
          <w:tcPr>
            <w:tcW w:w="553" w:type="pct"/>
            <w:tcBorders>
              <w:tl2br w:val="nil"/>
              <w:tr2bl w:val="nil"/>
            </w:tcBorders>
            <w:noWrap w:val="0"/>
            <w:vAlign w:val="center"/>
          </w:tcPr>
          <w:p w14:paraId="1D1F2D0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7.95</w:t>
            </w:r>
          </w:p>
        </w:tc>
        <w:tc>
          <w:tcPr>
            <w:tcW w:w="556" w:type="pct"/>
            <w:tcBorders>
              <w:tl2br w:val="nil"/>
              <w:tr2bl w:val="nil"/>
            </w:tcBorders>
            <w:noWrap w:val="0"/>
            <w:vAlign w:val="center"/>
          </w:tcPr>
          <w:p w14:paraId="53E7081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7.21</w:t>
            </w:r>
          </w:p>
        </w:tc>
        <w:tc>
          <w:tcPr>
            <w:tcW w:w="411" w:type="pct"/>
            <w:tcBorders>
              <w:tl2br w:val="nil"/>
              <w:tr2bl w:val="nil"/>
            </w:tcBorders>
            <w:noWrap w:val="0"/>
            <w:vAlign w:val="center"/>
          </w:tcPr>
          <w:p w14:paraId="28B6C78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412" w:type="pct"/>
            <w:tcBorders>
              <w:tl2br w:val="nil"/>
              <w:tr2bl w:val="nil"/>
            </w:tcBorders>
            <w:noWrap w:val="0"/>
            <w:vAlign w:val="center"/>
          </w:tcPr>
          <w:p w14:paraId="1EBF9A3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无量纲</w:t>
            </w:r>
          </w:p>
        </w:tc>
      </w:tr>
      <w:tr w14:paraId="0A9CD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47C8976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石油烃（C10-C40）</w:t>
            </w:r>
          </w:p>
        </w:tc>
        <w:tc>
          <w:tcPr>
            <w:tcW w:w="553" w:type="pct"/>
            <w:tcBorders>
              <w:tl2br w:val="nil"/>
              <w:tr2bl w:val="nil"/>
            </w:tcBorders>
            <w:noWrap w:val="0"/>
            <w:vAlign w:val="center"/>
          </w:tcPr>
          <w:p w14:paraId="6A9629A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62</w:t>
            </w:r>
          </w:p>
        </w:tc>
        <w:tc>
          <w:tcPr>
            <w:tcW w:w="553" w:type="pct"/>
            <w:tcBorders>
              <w:tl2br w:val="nil"/>
              <w:tr2bl w:val="nil"/>
            </w:tcBorders>
            <w:noWrap w:val="0"/>
            <w:vAlign w:val="center"/>
          </w:tcPr>
          <w:p w14:paraId="663AE5B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56</w:t>
            </w:r>
          </w:p>
        </w:tc>
        <w:tc>
          <w:tcPr>
            <w:tcW w:w="553" w:type="pct"/>
            <w:tcBorders>
              <w:tl2br w:val="nil"/>
              <w:tr2bl w:val="nil"/>
            </w:tcBorders>
            <w:noWrap w:val="0"/>
            <w:vAlign w:val="center"/>
          </w:tcPr>
          <w:p w14:paraId="0F0D62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58</w:t>
            </w:r>
          </w:p>
        </w:tc>
        <w:tc>
          <w:tcPr>
            <w:tcW w:w="553" w:type="pct"/>
            <w:tcBorders>
              <w:tl2br w:val="nil"/>
              <w:tr2bl w:val="nil"/>
            </w:tcBorders>
            <w:noWrap w:val="0"/>
            <w:vAlign w:val="center"/>
          </w:tcPr>
          <w:p w14:paraId="36587AD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44</w:t>
            </w:r>
          </w:p>
        </w:tc>
        <w:tc>
          <w:tcPr>
            <w:tcW w:w="553" w:type="pct"/>
            <w:tcBorders>
              <w:tl2br w:val="nil"/>
              <w:tr2bl w:val="nil"/>
            </w:tcBorders>
            <w:noWrap w:val="0"/>
            <w:vAlign w:val="center"/>
          </w:tcPr>
          <w:p w14:paraId="30C91A1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26</w:t>
            </w:r>
          </w:p>
        </w:tc>
        <w:tc>
          <w:tcPr>
            <w:tcW w:w="556" w:type="pct"/>
            <w:tcBorders>
              <w:tl2br w:val="nil"/>
              <w:tr2bl w:val="nil"/>
            </w:tcBorders>
            <w:noWrap w:val="0"/>
            <w:vAlign w:val="center"/>
          </w:tcPr>
          <w:p w14:paraId="5F7166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w:t>
            </w:r>
          </w:p>
        </w:tc>
        <w:tc>
          <w:tcPr>
            <w:tcW w:w="411" w:type="pct"/>
            <w:tcBorders>
              <w:tl2br w:val="nil"/>
              <w:tr2bl w:val="nil"/>
            </w:tcBorders>
            <w:noWrap w:val="0"/>
            <w:vAlign w:val="center"/>
          </w:tcPr>
          <w:p w14:paraId="4DD1740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4500</w:t>
            </w:r>
          </w:p>
        </w:tc>
        <w:tc>
          <w:tcPr>
            <w:tcW w:w="412" w:type="pct"/>
            <w:tcBorders>
              <w:tl2br w:val="nil"/>
              <w:tr2bl w:val="nil"/>
            </w:tcBorders>
            <w:noWrap w:val="0"/>
            <w:vAlign w:val="center"/>
          </w:tcPr>
          <w:p w14:paraId="2456513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42A51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0FFC716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w:t>
            </w:r>
          </w:p>
        </w:tc>
        <w:tc>
          <w:tcPr>
            <w:tcW w:w="553" w:type="pct"/>
            <w:tcBorders>
              <w:tl2br w:val="nil"/>
              <w:tr2bl w:val="nil"/>
            </w:tcBorders>
            <w:noWrap w:val="0"/>
            <w:vAlign w:val="center"/>
          </w:tcPr>
          <w:p w14:paraId="5A3BDD8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553" w:type="pct"/>
            <w:tcBorders>
              <w:tl2br w:val="nil"/>
              <w:tr2bl w:val="nil"/>
            </w:tcBorders>
            <w:noWrap w:val="0"/>
            <w:vAlign w:val="center"/>
          </w:tcPr>
          <w:p w14:paraId="462C810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553" w:type="pct"/>
            <w:tcBorders>
              <w:tl2br w:val="nil"/>
              <w:tr2bl w:val="nil"/>
            </w:tcBorders>
            <w:noWrap w:val="0"/>
            <w:vAlign w:val="center"/>
          </w:tcPr>
          <w:p w14:paraId="5A50E2C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553" w:type="pct"/>
            <w:tcBorders>
              <w:tl2br w:val="nil"/>
              <w:tr2bl w:val="nil"/>
            </w:tcBorders>
            <w:noWrap w:val="0"/>
            <w:vAlign w:val="center"/>
          </w:tcPr>
          <w:p w14:paraId="710F7D5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553" w:type="pct"/>
            <w:tcBorders>
              <w:tl2br w:val="nil"/>
              <w:tr2bl w:val="nil"/>
            </w:tcBorders>
            <w:noWrap w:val="0"/>
            <w:vAlign w:val="center"/>
          </w:tcPr>
          <w:p w14:paraId="1B5FD74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556" w:type="pct"/>
            <w:tcBorders>
              <w:tl2br w:val="nil"/>
              <w:tr2bl w:val="nil"/>
            </w:tcBorders>
            <w:noWrap w:val="0"/>
            <w:vAlign w:val="center"/>
          </w:tcPr>
          <w:p w14:paraId="2398467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&lt;0.0019</w:t>
            </w:r>
          </w:p>
        </w:tc>
        <w:tc>
          <w:tcPr>
            <w:tcW w:w="411" w:type="pct"/>
            <w:tcBorders>
              <w:tl2br w:val="nil"/>
              <w:tr2bl w:val="nil"/>
            </w:tcBorders>
            <w:noWrap w:val="0"/>
            <w:vAlign w:val="center"/>
          </w:tcPr>
          <w:p w14:paraId="517C821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w:t>
            </w:r>
          </w:p>
        </w:tc>
        <w:tc>
          <w:tcPr>
            <w:tcW w:w="412" w:type="pct"/>
            <w:tcBorders>
              <w:tl2br w:val="nil"/>
              <w:tr2bl w:val="nil"/>
            </w:tcBorders>
            <w:noWrap w:val="0"/>
            <w:vAlign w:val="center"/>
          </w:tcPr>
          <w:p w14:paraId="6A7F665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45324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744D9B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间-二甲苯+对-二甲苯</w:t>
            </w:r>
          </w:p>
        </w:tc>
        <w:tc>
          <w:tcPr>
            <w:tcW w:w="553" w:type="pct"/>
            <w:tcBorders>
              <w:tl2br w:val="nil"/>
              <w:tr2bl w:val="nil"/>
            </w:tcBorders>
            <w:noWrap w:val="0"/>
            <w:vAlign w:val="center"/>
          </w:tcPr>
          <w:p w14:paraId="3F2ED84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15ADC10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3F88750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0E6E913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33E79D0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6" w:type="pct"/>
            <w:tcBorders>
              <w:tl2br w:val="nil"/>
              <w:tr2bl w:val="nil"/>
            </w:tcBorders>
            <w:noWrap w:val="0"/>
            <w:vAlign w:val="center"/>
          </w:tcPr>
          <w:p w14:paraId="5E8091E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1EA85AE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570</w:t>
            </w:r>
          </w:p>
        </w:tc>
        <w:tc>
          <w:tcPr>
            <w:tcW w:w="412" w:type="pct"/>
            <w:tcBorders>
              <w:tl2br w:val="nil"/>
              <w:tr2bl w:val="nil"/>
            </w:tcBorders>
            <w:noWrap w:val="0"/>
            <w:vAlign w:val="center"/>
          </w:tcPr>
          <w:p w14:paraId="200872C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r w14:paraId="3C9BF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4" w:type="pct"/>
            <w:gridSpan w:val="2"/>
            <w:tcBorders>
              <w:tl2br w:val="nil"/>
              <w:tr2bl w:val="nil"/>
            </w:tcBorders>
            <w:noWrap w:val="0"/>
            <w:vAlign w:val="center"/>
          </w:tcPr>
          <w:p w14:paraId="7EF84A4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邻-二甲苯</w:t>
            </w:r>
          </w:p>
        </w:tc>
        <w:tc>
          <w:tcPr>
            <w:tcW w:w="553" w:type="pct"/>
            <w:tcBorders>
              <w:tl2br w:val="nil"/>
              <w:tr2bl w:val="nil"/>
            </w:tcBorders>
            <w:noWrap w:val="0"/>
            <w:vAlign w:val="center"/>
          </w:tcPr>
          <w:p w14:paraId="6FAB922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33C67FE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4CB6E6E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653496F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3" w:type="pct"/>
            <w:tcBorders>
              <w:tl2br w:val="nil"/>
              <w:tr2bl w:val="nil"/>
            </w:tcBorders>
            <w:noWrap w:val="0"/>
            <w:vAlign w:val="center"/>
          </w:tcPr>
          <w:p w14:paraId="452CE36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556" w:type="pct"/>
            <w:tcBorders>
              <w:tl2br w:val="nil"/>
              <w:tr2bl w:val="nil"/>
            </w:tcBorders>
            <w:noWrap w:val="0"/>
            <w:vAlign w:val="center"/>
          </w:tcPr>
          <w:p w14:paraId="13A82AE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&lt;0.0012</w:t>
            </w:r>
          </w:p>
        </w:tc>
        <w:tc>
          <w:tcPr>
            <w:tcW w:w="411" w:type="pct"/>
            <w:tcBorders>
              <w:tl2br w:val="nil"/>
              <w:tr2bl w:val="nil"/>
            </w:tcBorders>
            <w:noWrap w:val="0"/>
            <w:vAlign w:val="center"/>
          </w:tcPr>
          <w:p w14:paraId="1D9086E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640</w:t>
            </w:r>
          </w:p>
        </w:tc>
        <w:tc>
          <w:tcPr>
            <w:tcW w:w="412" w:type="pct"/>
            <w:tcBorders>
              <w:tl2br w:val="nil"/>
              <w:tr2bl w:val="nil"/>
            </w:tcBorders>
            <w:noWrap w:val="0"/>
            <w:vAlign w:val="center"/>
          </w:tcPr>
          <w:p w14:paraId="2175AB3B">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mg/kg</w:t>
            </w:r>
          </w:p>
        </w:tc>
      </w:tr>
    </w:tbl>
    <w:p w14:paraId="5AFB32F5">
      <w:pPr>
        <w:pStyle w:val="304"/>
        <w:rPr>
          <w:color w:val="auto"/>
          <w:highlight w:val="none"/>
          <w:lang w:val="en-US" w:eastAsia="zh-CN"/>
        </w:rPr>
      </w:pPr>
    </w:p>
    <w:p w14:paraId="24AC6B62">
      <w:pPr>
        <w:widowControl w:val="0"/>
        <w:topLinePunct/>
        <w:adjustRightInd w:val="0"/>
        <w:snapToGrid w:val="0"/>
        <w:spacing w:line="360" w:lineRule="auto"/>
        <w:ind w:firstLine="0" w:firstLineChars="0"/>
        <w:jc w:val="both"/>
        <w:textAlignment w:val="baseline"/>
        <w:outlineLvl w:val="9"/>
        <w:rPr>
          <w:rFonts w:ascii="Times New Roman" w:hAnsi="Times New Roman" w:eastAsia="黑体" w:cs="Times New Roman"/>
          <w:color w:val="auto"/>
          <w:kern w:val="2"/>
          <w:sz w:val="24"/>
          <w:szCs w:val="24"/>
          <w:highlight w:val="none"/>
          <w:lang w:val="en-US" w:eastAsia="zh-CN" w:bidi="ar-SA"/>
        </w:rPr>
      </w:pPr>
    </w:p>
    <w:p w14:paraId="0D33DC5A">
      <w:pPr>
        <w:pStyle w:val="304"/>
        <w:rPr>
          <w:color w:val="auto"/>
          <w:highlight w:val="none"/>
          <w:lang w:val="en-US" w:eastAsia="zh-CN"/>
        </w:rPr>
      </w:pPr>
    </w:p>
    <w:p w14:paraId="45D7511E">
      <w:pPr>
        <w:bidi w:val="0"/>
        <w:rPr>
          <w:color w:val="auto"/>
          <w:highlight w:val="none"/>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p w14:paraId="66A73841">
      <w:pPr>
        <w:pStyle w:val="5"/>
        <w:numPr>
          <w:ilvl w:val="3"/>
          <w:numId w:val="0"/>
        </w:numPr>
        <w:bidi w:val="0"/>
        <w:ind w:leftChars="0"/>
        <w:rPr>
          <w:color w:val="auto"/>
          <w:highlight w:val="none"/>
          <w:lang w:val="en-US" w:eastAsia="zh-CN"/>
        </w:rPr>
      </w:pPr>
      <w:r>
        <w:rPr>
          <w:rFonts w:hint="eastAsia"/>
          <w:color w:val="auto"/>
          <w:highlight w:val="none"/>
          <w:lang w:val="en-US" w:eastAsia="zh-CN"/>
        </w:rPr>
        <w:t>4.2</w:t>
      </w:r>
      <w:r>
        <w:rPr>
          <w:color w:val="auto"/>
          <w:highlight w:val="none"/>
          <w:lang w:val="en-US" w:eastAsia="zh-CN"/>
        </w:rPr>
        <w:t>.5.2</w:t>
      </w:r>
      <w:r>
        <w:rPr>
          <w:rFonts w:hint="eastAsia"/>
          <w:color w:val="auto"/>
          <w:highlight w:val="none"/>
          <w:lang w:val="en-US" w:eastAsia="zh-CN"/>
        </w:rPr>
        <w:t xml:space="preserve"> </w:t>
      </w:r>
      <w:r>
        <w:rPr>
          <w:color w:val="auto"/>
          <w:highlight w:val="none"/>
          <w:lang w:val="en-US" w:eastAsia="zh-CN"/>
        </w:rPr>
        <w:t>评价结果</w:t>
      </w:r>
    </w:p>
    <w:p w14:paraId="3A19D3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（1）评价标准</w:t>
      </w:r>
    </w:p>
    <w:p w14:paraId="5049FF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bCs/>
          <w:color w:val="auto"/>
          <w:kern w:val="2"/>
          <w:sz w:val="24"/>
          <w:szCs w:val="24"/>
          <w:highlight w:val="none"/>
          <w:lang w:val="en-US" w:eastAsia="zh-CN" w:bidi="ar-SA"/>
        </w:rPr>
        <w:t>项目位于</w:t>
      </w:r>
      <w:r>
        <w:rPr>
          <w:rFonts w:hint="eastAsia" w:ascii="Times New Roman" w:hAnsi="Times New Roman" w:eastAsia="宋体" w:cs="Times New Roman"/>
          <w:color w:val="auto"/>
          <w:sz w:val="24"/>
          <w:szCs w:val="22"/>
          <w:highlight w:val="none"/>
          <w:lang w:val="en-US" w:eastAsia="zh-CN" w:bidi="he-IL"/>
        </w:rPr>
        <w:t>福建省福州市闽侯县青口镇（青口汽车城内）</w:t>
      </w:r>
      <w:r>
        <w:rPr>
          <w:rFonts w:ascii="Times New Roman" w:hAnsi="Times New Roman" w:eastAsia="宋体" w:cs="Times New Roman"/>
          <w:bCs/>
          <w:color w:val="auto"/>
          <w:kern w:val="2"/>
          <w:sz w:val="24"/>
          <w:szCs w:val="24"/>
          <w:highlight w:val="none"/>
          <w:lang w:val="en-US" w:eastAsia="zh-CN" w:bidi="ar-SA"/>
        </w:rPr>
        <w:t>，</w:t>
      </w:r>
      <w:r>
        <w:rPr>
          <w:rFonts w:ascii="Times New Roman" w:hAnsi="Times New Roman" w:eastAsia="宋体" w:cs="Times New Roman"/>
          <w:color w:val="auto"/>
          <w:sz w:val="24"/>
          <w:szCs w:val="28"/>
          <w:highlight w:val="none"/>
          <w:lang w:val="en-US" w:eastAsia="zh-CN" w:bidi="ar-SA"/>
        </w:rPr>
        <w:t>项目区内外土壤均属于第二类用地中的工业用地，执行《土壤环境质量 建设用地土壤污染风险管控标准</w:t>
      </w:r>
      <w:r>
        <w:rPr>
          <w:rFonts w:hint="eastAsia" w:ascii="Times New Roman" w:hAnsi="Times New Roman" w:eastAsia="宋体" w:cs="Times New Roman"/>
          <w:color w:val="auto"/>
          <w:sz w:val="24"/>
          <w:szCs w:val="28"/>
          <w:highlight w:val="none"/>
          <w:lang w:val="en-US" w:eastAsia="zh-CN" w:bidi="ar-SA"/>
        </w:rPr>
        <w:t>（</w:t>
      </w:r>
      <w:r>
        <w:rPr>
          <w:rFonts w:ascii="Times New Roman" w:hAnsi="Times New Roman" w:eastAsia="宋体" w:cs="Times New Roman"/>
          <w:color w:val="auto"/>
          <w:sz w:val="24"/>
          <w:szCs w:val="28"/>
          <w:highlight w:val="none"/>
          <w:lang w:val="en-US" w:eastAsia="zh-CN" w:bidi="ar-SA"/>
        </w:rPr>
        <w:t>试行</w:t>
      </w:r>
      <w:r>
        <w:rPr>
          <w:rFonts w:hint="eastAsia" w:ascii="Times New Roman" w:hAnsi="Times New Roman" w:eastAsia="宋体" w:cs="Times New Roman"/>
          <w:color w:val="auto"/>
          <w:sz w:val="24"/>
          <w:szCs w:val="28"/>
          <w:highlight w:val="none"/>
          <w:lang w:val="en-US" w:eastAsia="zh-CN" w:bidi="ar-SA"/>
        </w:rPr>
        <w:t>）</w:t>
      </w:r>
      <w:r>
        <w:rPr>
          <w:rFonts w:ascii="Times New Roman" w:hAnsi="Times New Roman" w:eastAsia="宋体" w:cs="Times New Roman"/>
          <w:color w:val="auto"/>
          <w:sz w:val="24"/>
          <w:szCs w:val="28"/>
          <w:highlight w:val="none"/>
          <w:lang w:val="en-US" w:eastAsia="zh-CN" w:bidi="ar-SA"/>
        </w:rPr>
        <w:t>》</w:t>
      </w:r>
      <w:r>
        <w:rPr>
          <w:rFonts w:hint="eastAsia" w:ascii="Times New Roman" w:hAnsi="Times New Roman" w:eastAsia="宋体" w:cs="Times New Roman"/>
          <w:color w:val="auto"/>
          <w:sz w:val="24"/>
          <w:szCs w:val="28"/>
          <w:highlight w:val="none"/>
          <w:lang w:val="en-US" w:eastAsia="zh-CN" w:bidi="ar-SA"/>
        </w:rPr>
        <w:t>（</w:t>
      </w:r>
      <w:r>
        <w:rPr>
          <w:rFonts w:ascii="Times New Roman" w:hAnsi="Times New Roman" w:eastAsia="宋体" w:cs="Times New Roman"/>
          <w:color w:val="auto"/>
          <w:sz w:val="24"/>
          <w:szCs w:val="28"/>
          <w:highlight w:val="none"/>
          <w:lang w:val="en-US" w:eastAsia="zh-CN" w:bidi="ar-SA"/>
        </w:rPr>
        <w:t>GB36600-2018</w:t>
      </w:r>
      <w:r>
        <w:rPr>
          <w:rFonts w:hint="eastAsia" w:ascii="Times New Roman" w:hAnsi="Times New Roman" w:eastAsia="宋体" w:cs="Times New Roman"/>
          <w:color w:val="auto"/>
          <w:sz w:val="24"/>
          <w:szCs w:val="28"/>
          <w:highlight w:val="none"/>
          <w:lang w:val="en-US" w:eastAsia="zh-CN" w:bidi="ar-SA"/>
        </w:rPr>
        <w:t>）</w:t>
      </w:r>
      <w:r>
        <w:rPr>
          <w:rFonts w:ascii="Times New Roman" w:hAnsi="Times New Roman" w:eastAsia="宋体" w:cs="Times New Roman"/>
          <w:color w:val="auto"/>
          <w:sz w:val="24"/>
          <w:szCs w:val="28"/>
          <w:highlight w:val="none"/>
          <w:lang w:val="en-US" w:eastAsia="zh-CN" w:bidi="ar-SA"/>
        </w:rPr>
        <w:t>表1中第二类用地筛选值</w:t>
      </w:r>
      <w:r>
        <w:rPr>
          <w:rFonts w:ascii="Times New Roman" w:hAnsi="Times New Roman" w:eastAsia="宋体" w:cs="Times New Roman"/>
          <w:color w:val="auto"/>
          <w:sz w:val="24"/>
          <w:szCs w:val="22"/>
          <w:highlight w:val="none"/>
          <w:lang w:val="en-US" w:eastAsia="zh-CN" w:bidi="ar-SA"/>
        </w:rPr>
        <w:t>。</w:t>
      </w:r>
    </w:p>
    <w:p w14:paraId="25EBBD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（2）评价方法</w:t>
      </w:r>
    </w:p>
    <w:p w14:paraId="04B8FE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直接对照法。</w:t>
      </w:r>
    </w:p>
    <w:p w14:paraId="735636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（3）评价结果</w:t>
      </w:r>
    </w:p>
    <w:p w14:paraId="287DC5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eastAsia="宋体" w:cs="Times New Roman"/>
          <w:color w:val="auto"/>
          <w:sz w:val="24"/>
          <w:szCs w:val="22"/>
          <w:highlight w:val="none"/>
          <w:lang w:val="en-US" w:eastAsia="zh-CN" w:bidi="ar-SA"/>
        </w:rPr>
      </w:pPr>
      <w:r>
        <w:rPr>
          <w:rFonts w:ascii="Times New Roman" w:hAnsi="Times New Roman" w:eastAsia="宋体" w:cs="Times New Roman"/>
          <w:color w:val="auto"/>
          <w:sz w:val="24"/>
          <w:szCs w:val="22"/>
          <w:highlight w:val="none"/>
          <w:lang w:val="en-US" w:eastAsia="zh-CN" w:bidi="ar-SA"/>
        </w:rPr>
        <w:t>各监测点位所监测的基本项目全指标均符合《土壤环境质量建设用地土壤污染风险管控标准</w:t>
      </w:r>
      <w:r>
        <w:rPr>
          <w:rFonts w:hint="eastAsia" w:ascii="Times New Roman" w:hAnsi="Times New Roman" w:eastAsia="宋体"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试行</w:t>
      </w:r>
      <w:r>
        <w:rPr>
          <w:rFonts w:hint="eastAsia" w:ascii="Times New Roman" w:hAnsi="Times New Roman" w:eastAsia="宋体"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w:t>
      </w:r>
      <w:r>
        <w:rPr>
          <w:rFonts w:hint="eastAsia" w:ascii="Times New Roman" w:hAnsi="Times New Roman" w:eastAsia="宋体"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GB36600-2018</w:t>
      </w:r>
      <w:r>
        <w:rPr>
          <w:rFonts w:hint="eastAsia" w:ascii="Times New Roman" w:hAnsi="Times New Roman" w:eastAsia="宋体" w:cs="Times New Roman"/>
          <w:color w:val="auto"/>
          <w:sz w:val="24"/>
          <w:szCs w:val="22"/>
          <w:highlight w:val="none"/>
          <w:lang w:val="en-US" w:eastAsia="zh-CN" w:bidi="ar-SA"/>
        </w:rPr>
        <w:t>）</w:t>
      </w:r>
      <w:r>
        <w:rPr>
          <w:rFonts w:ascii="Times New Roman" w:hAnsi="Times New Roman" w:eastAsia="宋体" w:cs="Times New Roman"/>
          <w:color w:val="auto"/>
          <w:sz w:val="24"/>
          <w:szCs w:val="22"/>
          <w:highlight w:val="none"/>
          <w:lang w:val="en-US" w:eastAsia="zh-CN" w:bidi="ar-SA"/>
        </w:rPr>
        <w:t>第二类用地筛选值标准，区域土壤环境质量现状较好。</w:t>
      </w:r>
    </w:p>
    <w:p w14:paraId="33E862A7">
      <w:pPr>
        <w:rPr>
          <w:color w:val="auto"/>
          <w:highlight w:val="none"/>
        </w:rPr>
      </w:pPr>
    </w:p>
    <w:p w14:paraId="66D9E92E">
      <w:pPr>
        <w:pStyle w:val="2"/>
        <w:numPr>
          <w:ilvl w:val="0"/>
          <w:numId w:val="0"/>
        </w:numPr>
        <w:bidi w:val="0"/>
        <w:ind w:leftChars="0"/>
        <w:rPr>
          <w:rFonts w:hint="eastAsia"/>
          <w:color w:val="auto"/>
          <w:highlight w:val="none"/>
          <w:lang w:val="en-US" w:eastAsia="zh-CN"/>
        </w:rPr>
        <w:sectPr>
          <w:pgSz w:w="11905" w:h="16838"/>
          <w:pgMar w:top="1587" w:right="1417" w:bottom="1417" w:left="1701" w:header="850" w:footer="992" w:gutter="0"/>
          <w:pgBorders w:offsetFrom="page">
            <w:top w:val="none" w:sz="0" w:space="0"/>
            <w:left w:val="none" w:sz="0" w:space="0"/>
            <w:bottom w:val="none" w:sz="0" w:space="0"/>
            <w:right w:val="none" w:sz="0" w:space="0"/>
          </w:pgBorders>
          <w:pgNumType w:fmt="decimal"/>
          <w:cols w:space="720" w:num="1"/>
          <w:rtlGutter w:val="0"/>
          <w:docGrid w:linePitch="314" w:charSpace="0"/>
        </w:sectPr>
      </w:pPr>
    </w:p>
    <w:p w14:paraId="7034F8C1">
      <w:pPr>
        <w:pStyle w:val="2"/>
        <w:numPr>
          <w:ilvl w:val="0"/>
          <w:numId w:val="0"/>
        </w:numPr>
        <w:bidi w:val="0"/>
        <w:ind w:leftChars="0"/>
        <w:rPr>
          <w:color w:val="auto"/>
          <w:highlight w:val="none"/>
        </w:rPr>
      </w:pPr>
      <w:bookmarkStart w:id="477" w:name="_Toc359708680"/>
      <w:bookmarkStart w:id="478" w:name="_Toc359709216"/>
      <w:bookmarkStart w:id="479" w:name="_Toc359708305"/>
      <w:bookmarkStart w:id="480" w:name="_Toc24071"/>
      <w:bookmarkStart w:id="481" w:name="_Toc373835707"/>
      <w:bookmarkStart w:id="482" w:name="_Toc1307"/>
      <w:bookmarkStart w:id="483" w:name="_Toc366254988"/>
      <w:bookmarkStart w:id="484" w:name="_Toc362276155"/>
      <w:r>
        <w:rPr>
          <w:color w:val="auto"/>
          <w:highlight w:val="none"/>
        </w:rPr>
        <w:t>5</w:t>
      </w:r>
      <w:r>
        <w:rPr>
          <w:rFonts w:hint="eastAsia"/>
          <w:color w:val="auto"/>
          <w:highlight w:val="none"/>
          <w:lang w:val="en-US" w:eastAsia="zh-CN"/>
        </w:rPr>
        <w:t xml:space="preserve"> </w:t>
      </w:r>
      <w:r>
        <w:rPr>
          <w:color w:val="auto"/>
          <w:highlight w:val="none"/>
        </w:rPr>
        <w:t>环境</w:t>
      </w:r>
      <w:bookmarkEnd w:id="477"/>
      <w:bookmarkEnd w:id="478"/>
      <w:bookmarkEnd w:id="479"/>
      <w:r>
        <w:rPr>
          <w:color w:val="auto"/>
          <w:highlight w:val="none"/>
        </w:rPr>
        <w:t>影响预测与评价</w:t>
      </w:r>
      <w:bookmarkEnd w:id="480"/>
      <w:bookmarkEnd w:id="481"/>
      <w:bookmarkEnd w:id="482"/>
      <w:bookmarkEnd w:id="483"/>
      <w:bookmarkEnd w:id="484"/>
    </w:p>
    <w:p w14:paraId="25737826">
      <w:pPr>
        <w:pStyle w:val="3"/>
        <w:numPr>
          <w:ilvl w:val="1"/>
          <w:numId w:val="0"/>
        </w:numPr>
        <w:bidi w:val="0"/>
        <w:rPr>
          <w:color w:val="auto"/>
          <w:highlight w:val="none"/>
        </w:rPr>
      </w:pPr>
      <w:bookmarkStart w:id="485" w:name="_Toc28136"/>
      <w:bookmarkStart w:id="486" w:name="_Toc362276156"/>
      <w:bookmarkStart w:id="487" w:name="_Toc366254989"/>
      <w:bookmarkStart w:id="488" w:name="_Toc11102"/>
      <w:bookmarkStart w:id="489" w:name="_Toc373835708"/>
      <w:r>
        <w:rPr>
          <w:color w:val="auto"/>
          <w:highlight w:val="none"/>
        </w:rPr>
        <w:t>5.1</w:t>
      </w:r>
      <w:r>
        <w:rPr>
          <w:rFonts w:hint="eastAsia"/>
          <w:color w:val="auto"/>
          <w:highlight w:val="none"/>
          <w:lang w:val="en-US" w:eastAsia="zh-CN"/>
        </w:rPr>
        <w:t xml:space="preserve"> </w:t>
      </w:r>
      <w:r>
        <w:rPr>
          <w:color w:val="auto"/>
          <w:highlight w:val="none"/>
        </w:rPr>
        <w:t>施工期环境影响分析</w:t>
      </w:r>
      <w:bookmarkEnd w:id="485"/>
      <w:bookmarkEnd w:id="486"/>
      <w:bookmarkEnd w:id="487"/>
      <w:bookmarkEnd w:id="488"/>
      <w:bookmarkEnd w:id="489"/>
    </w:p>
    <w:p w14:paraId="2BDCE434">
      <w:pPr>
        <w:pStyle w:val="1319"/>
        <w:ind w:firstLine="480"/>
        <w:rPr>
          <w:rFonts w:hint="eastAsia" w:ascii="Times New Roman" w:hAnsi="Times New Roman" w:eastAsia="宋体" w:cs="Times New Roman"/>
          <w:bCs/>
          <w:color w:val="auto"/>
          <w:highlight w:val="none"/>
        </w:rPr>
      </w:pPr>
      <w:bookmarkStart w:id="490" w:name="_Toc362276157"/>
      <w:bookmarkStart w:id="491" w:name="_Toc366254990"/>
      <w:bookmarkStart w:id="492" w:name="_Toc373835709"/>
      <w:r>
        <w:rPr>
          <w:rFonts w:hint="eastAsia" w:ascii="Times New Roman" w:hAnsi="Times New Roman" w:eastAsia="宋体" w:cs="Times New Roman"/>
          <w:bCs/>
          <w:color w:val="auto"/>
          <w:highlight w:val="none"/>
        </w:rPr>
        <w:t>本项目租赁</w:t>
      </w:r>
      <w:r>
        <w:rPr>
          <w:rFonts w:hint="eastAsia" w:ascii="Times New Roman" w:hAnsi="Times New Roman" w:eastAsia="宋体" w:cs="Times New Roman"/>
          <w:bCs/>
          <w:color w:val="auto"/>
          <w:highlight w:val="none"/>
          <w:lang w:eastAsia="zh-CN"/>
        </w:rPr>
        <w:t>福州鑫旺物流服务有限公司</w:t>
      </w:r>
      <w:r>
        <w:rPr>
          <w:rFonts w:hint="eastAsia" w:ascii="Times New Roman" w:hAnsi="Times New Roman" w:eastAsia="宋体" w:cs="Times New Roman"/>
          <w:bCs/>
          <w:color w:val="auto"/>
          <w:highlight w:val="none"/>
        </w:rPr>
        <w:t>厂房进行生产，不涉及土建施工，施工期对环境的影响很小，故本次评价不对项目的施工期进行分析。</w:t>
      </w:r>
    </w:p>
    <w:p w14:paraId="50FE46BE">
      <w:pPr>
        <w:pStyle w:val="3"/>
        <w:numPr>
          <w:ilvl w:val="1"/>
          <w:numId w:val="0"/>
        </w:numPr>
        <w:bidi w:val="0"/>
        <w:rPr>
          <w:color w:val="auto"/>
          <w:highlight w:val="none"/>
        </w:rPr>
      </w:pPr>
      <w:bookmarkStart w:id="493" w:name="_Toc9861"/>
      <w:bookmarkStart w:id="494" w:name="_Toc31092"/>
      <w:r>
        <w:rPr>
          <w:color w:val="auto"/>
          <w:highlight w:val="none"/>
        </w:rPr>
        <w:t>5.2</w:t>
      </w:r>
      <w:r>
        <w:rPr>
          <w:rFonts w:hint="eastAsia"/>
          <w:color w:val="auto"/>
          <w:highlight w:val="none"/>
          <w:lang w:val="en-US" w:eastAsia="zh-CN"/>
        </w:rPr>
        <w:t xml:space="preserve"> </w:t>
      </w:r>
      <w:r>
        <w:rPr>
          <w:color w:val="auto"/>
          <w:highlight w:val="none"/>
        </w:rPr>
        <w:t>运营期水环境影响分析</w:t>
      </w:r>
      <w:bookmarkEnd w:id="490"/>
      <w:bookmarkEnd w:id="491"/>
      <w:bookmarkEnd w:id="492"/>
      <w:bookmarkEnd w:id="493"/>
      <w:bookmarkEnd w:id="494"/>
    </w:p>
    <w:p w14:paraId="41486EA6">
      <w:pPr>
        <w:pStyle w:val="1319"/>
        <w:ind w:firstLine="480"/>
        <w:rPr>
          <w:rFonts w:hint="eastAsia"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本项目属于水污染影响型项目，根据《环境影响评价技术导则</w:t>
      </w:r>
      <w:r>
        <w:rPr>
          <w:rFonts w:hint="eastAsia" w:cs="Times New Roman"/>
          <w:bCs/>
          <w:color w:val="auto"/>
          <w:highlight w:val="none"/>
          <w:lang w:val="en-US" w:eastAsia="zh-CN"/>
        </w:rPr>
        <w:t xml:space="preserve"> </w:t>
      </w:r>
      <w:r>
        <w:rPr>
          <w:rFonts w:hint="eastAsia" w:ascii="Times New Roman" w:hAnsi="Times New Roman" w:eastAsia="宋体" w:cs="Times New Roman"/>
          <w:bCs/>
          <w:color w:val="auto"/>
          <w:highlight w:val="none"/>
        </w:rPr>
        <w:t>地表水环境》（HJ2.3-2018），项目评价等级为三级B，可不进行水环境影响预测，主要评价水污染控制和水环境影响减缓措施有效性评价；依托污水处理设施的环境可行性评价。</w:t>
      </w:r>
    </w:p>
    <w:p w14:paraId="7E9C34D0">
      <w:pPr>
        <w:pStyle w:val="4"/>
        <w:numPr>
          <w:ilvl w:val="2"/>
          <w:numId w:val="0"/>
        </w:numPr>
        <w:tabs>
          <w:tab w:val="clear" w:pos="720"/>
        </w:tabs>
        <w:bidi w:val="0"/>
        <w:rPr>
          <w:color w:val="auto"/>
          <w:highlight w:val="none"/>
        </w:rPr>
      </w:pPr>
      <w:bookmarkStart w:id="495" w:name="_Toc19960"/>
      <w:r>
        <w:rPr>
          <w:color w:val="auto"/>
          <w:highlight w:val="none"/>
        </w:rPr>
        <w:t>5.2.1</w:t>
      </w:r>
      <w:r>
        <w:rPr>
          <w:rFonts w:hint="eastAsia"/>
          <w:color w:val="auto"/>
          <w:highlight w:val="none"/>
          <w:lang w:val="en-US" w:eastAsia="zh-CN"/>
        </w:rPr>
        <w:t xml:space="preserve"> </w:t>
      </w:r>
      <w:r>
        <w:rPr>
          <w:color w:val="auto"/>
          <w:highlight w:val="none"/>
        </w:rPr>
        <w:t>排水方案</w:t>
      </w:r>
      <w:bookmarkEnd w:id="495"/>
    </w:p>
    <w:p w14:paraId="7AA47EA2">
      <w:pPr>
        <w:pStyle w:val="1319"/>
        <w:ind w:firstLine="480"/>
        <w:rPr>
          <w:rFonts w:hint="eastAsia" w:ascii="Times New Roman" w:hAnsi="Times New Roman" w:eastAsia="宋体" w:cs="Times New Roman"/>
          <w:bCs/>
          <w:color w:val="auto"/>
          <w:highlight w:val="none"/>
        </w:rPr>
      </w:pPr>
      <w:bookmarkStart w:id="496" w:name="_Toc529434231"/>
      <w:r>
        <w:rPr>
          <w:rFonts w:hint="eastAsia" w:ascii="Times New Roman" w:hAnsi="Times New Roman" w:eastAsia="宋体" w:cs="Times New Roman"/>
          <w:bCs/>
          <w:color w:val="auto"/>
          <w:highlight w:val="none"/>
        </w:rPr>
        <w:t>本项目运营期废水主要为</w:t>
      </w:r>
      <w:r>
        <w:rPr>
          <w:rFonts w:hint="eastAsia"/>
          <w:color w:val="auto"/>
          <w:highlight w:val="none"/>
        </w:rPr>
        <w:t>项目产生的废水主要为</w:t>
      </w:r>
      <w:r>
        <w:rPr>
          <w:rFonts w:hint="default" w:ascii="Times New Roman" w:hAnsi="Times New Roman" w:cs="Times New Roman"/>
          <w:color w:val="auto"/>
          <w:highlight w:val="none"/>
        </w:rPr>
        <w:t>热水炉排水、纯水制备系统浓水</w:t>
      </w:r>
      <w:r>
        <w:rPr>
          <w:rFonts w:hint="eastAsia"/>
          <w:color w:val="auto"/>
          <w:highlight w:val="none"/>
        </w:rPr>
        <w:t>和生活污水</w:t>
      </w:r>
      <w:r>
        <w:rPr>
          <w:rFonts w:hint="eastAsia" w:ascii="Times New Roman" w:hAnsi="Times New Roman" w:eastAsia="宋体" w:cs="Times New Roman"/>
          <w:bCs/>
          <w:color w:val="auto"/>
          <w:highlight w:val="none"/>
        </w:rPr>
        <w:t>。</w:t>
      </w:r>
    </w:p>
    <w:p w14:paraId="4E2CEC88">
      <w:pPr>
        <w:pStyle w:val="1319"/>
        <w:ind w:firstLine="480"/>
        <w:rPr>
          <w:rFonts w:hint="eastAsia" w:ascii="Times New Roman" w:hAnsi="Times New Roman" w:eastAsia="宋体" w:cs="Times New Roman"/>
          <w:bCs/>
          <w:color w:val="auto"/>
          <w:highlight w:val="none"/>
        </w:rPr>
      </w:pPr>
      <w:r>
        <w:rPr>
          <w:rFonts w:hint="eastAsia" w:cs="Times New Roman"/>
          <w:bCs/>
          <w:color w:val="auto"/>
          <w:highlight w:val="none"/>
          <w:lang w:val="en-US" w:eastAsia="zh-CN"/>
        </w:rPr>
        <w:t>项目</w:t>
      </w:r>
      <w:r>
        <w:rPr>
          <w:rFonts w:hint="eastAsia" w:ascii="Times New Roman" w:hAnsi="Times New Roman" w:eastAsia="宋体" w:cs="Times New Roman"/>
          <w:bCs/>
          <w:color w:val="auto"/>
          <w:highlight w:val="none"/>
        </w:rPr>
        <w:t>热水炉排水、纯水制备系统浓水排水</w:t>
      </w:r>
      <w:r>
        <w:rPr>
          <w:rFonts w:hint="eastAsia" w:cs="Times New Roman"/>
          <w:bCs/>
          <w:color w:val="auto"/>
          <w:highlight w:val="none"/>
          <w:lang w:val="en-US" w:eastAsia="zh-CN"/>
        </w:rPr>
        <w:t>较为清净</w:t>
      </w:r>
      <w:r>
        <w:rPr>
          <w:rFonts w:hint="eastAsia" w:ascii="Times New Roman" w:hAnsi="Times New Roman" w:eastAsia="宋体" w:cs="Times New Roman"/>
          <w:bCs/>
          <w:color w:val="auto"/>
          <w:highlight w:val="none"/>
        </w:rPr>
        <w:t>，可直接排至厂区总排口；职工生活污水经出租方已建化粪池预处理后纳入市政污水管网，排入</w:t>
      </w:r>
      <w:r>
        <w:rPr>
          <w:rFonts w:hint="eastAsia" w:ascii="Times New Roman" w:hAnsi="Times New Roman" w:eastAsia="宋体" w:cs="Times New Roman"/>
          <w:bCs/>
          <w:color w:val="auto"/>
          <w:highlight w:val="none"/>
          <w:lang w:eastAsia="zh-CN"/>
        </w:rPr>
        <w:t>青口汽车工业开发区污水处理厂</w:t>
      </w:r>
      <w:r>
        <w:rPr>
          <w:rFonts w:hint="eastAsia" w:ascii="Times New Roman" w:hAnsi="Times New Roman" w:eastAsia="宋体" w:cs="Times New Roman"/>
          <w:bCs/>
          <w:color w:val="auto"/>
          <w:highlight w:val="none"/>
        </w:rPr>
        <w:t>进一步处理。</w:t>
      </w:r>
    </w:p>
    <w:p w14:paraId="36EDADAC">
      <w:pPr>
        <w:pStyle w:val="4"/>
        <w:numPr>
          <w:ilvl w:val="2"/>
          <w:numId w:val="0"/>
        </w:numPr>
        <w:tabs>
          <w:tab w:val="clear" w:pos="720"/>
        </w:tabs>
        <w:bidi w:val="0"/>
        <w:rPr>
          <w:color w:val="auto"/>
          <w:highlight w:val="none"/>
        </w:rPr>
      </w:pPr>
      <w:bookmarkStart w:id="497" w:name="_Toc1435"/>
      <w:r>
        <w:rPr>
          <w:color w:val="auto"/>
          <w:highlight w:val="none"/>
        </w:rPr>
        <w:t>5.2.2</w:t>
      </w:r>
      <w:r>
        <w:rPr>
          <w:rFonts w:hint="eastAsia"/>
          <w:color w:val="auto"/>
          <w:highlight w:val="none"/>
          <w:lang w:val="en-US" w:eastAsia="zh-CN"/>
        </w:rPr>
        <w:t xml:space="preserve"> </w:t>
      </w:r>
      <w:r>
        <w:rPr>
          <w:color w:val="auto"/>
          <w:highlight w:val="none"/>
        </w:rPr>
        <w:t>依托污水处理厂可行性分析</w:t>
      </w:r>
      <w:bookmarkEnd w:id="496"/>
      <w:bookmarkEnd w:id="497"/>
    </w:p>
    <w:p w14:paraId="2E203AEB">
      <w:pPr>
        <w:pStyle w:val="5"/>
        <w:numPr>
          <w:ilvl w:val="3"/>
          <w:numId w:val="0"/>
        </w:numPr>
        <w:bidi w:val="0"/>
        <w:ind w:leftChars="0"/>
        <w:rPr>
          <w:color w:val="auto"/>
          <w:highlight w:val="none"/>
        </w:rPr>
      </w:pPr>
      <w:r>
        <w:rPr>
          <w:color w:val="auto"/>
          <w:highlight w:val="none"/>
        </w:rPr>
        <w:t>5.2.2.1</w:t>
      </w:r>
      <w:r>
        <w:rPr>
          <w:rFonts w:hint="eastAsia"/>
          <w:color w:val="auto"/>
          <w:highlight w:val="none"/>
          <w:lang w:val="en-US" w:eastAsia="zh-CN"/>
        </w:rPr>
        <w:t xml:space="preserve"> </w:t>
      </w:r>
      <w:r>
        <w:rPr>
          <w:rFonts w:hint="eastAsia"/>
          <w:color w:val="auto"/>
          <w:highlight w:val="none"/>
          <w:lang w:eastAsia="zh-CN"/>
        </w:rPr>
        <w:t>青口汽车工业开发区污水处理厂</w:t>
      </w:r>
      <w:r>
        <w:rPr>
          <w:color w:val="auto"/>
          <w:highlight w:val="none"/>
        </w:rPr>
        <w:t>概况</w:t>
      </w:r>
    </w:p>
    <w:p w14:paraId="5E1CE2AE">
      <w:pPr>
        <w:pStyle w:val="1319"/>
        <w:ind w:firstLine="480"/>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青口汽车工业开发区污水处理厂处理规模为1万t/d</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污水处理工艺为</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预处理+生化处理+深度处理</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工艺，预处理工艺采用</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细格栅及旋流沉砂池+调节池+气浮池+混凝沉淀池+水解酸化池</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能有效去除污水中的悬浮物、油脂及部分有机物，为后续处理</w:t>
      </w:r>
      <w:r>
        <w:rPr>
          <w:rFonts w:hint="eastAsia" w:cs="Times New Roman"/>
          <w:bCs/>
          <w:color w:val="auto"/>
          <w:highlight w:val="none"/>
          <w:lang w:eastAsia="zh-CN"/>
        </w:rPr>
        <w:t>奠定</w:t>
      </w:r>
      <w:r>
        <w:rPr>
          <w:rFonts w:hint="eastAsia" w:ascii="Times New Roman" w:hAnsi="Times New Roman" w:eastAsia="宋体" w:cs="Times New Roman"/>
          <w:bCs/>
          <w:color w:val="auto"/>
          <w:highlight w:val="none"/>
          <w:lang w:eastAsia="zh-CN"/>
        </w:rPr>
        <w:t>良好基础；生化系统采用</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AAO生化池+二沉池</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通过厌氧、缺氧、好氧三个阶段的协同作用，实现对氮、磷等污染物的深度降解；深度处理工艺采用</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磁混凝沉淀池+紫外线消毒池</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进一步降低水中污染物浓度并完成消毒杀菌，确保出水水质稳定达标。污泥处理采用</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高压带式浓缩脱水一体机+污泥干化机</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工艺。设计出水水质达到《城镇污水处理厂污染物排放标准》</w:t>
      </w:r>
      <w:r>
        <w:rPr>
          <w:rFonts w:hint="eastAsia" w:cs="Times New Roman"/>
          <w:bCs/>
          <w:color w:val="auto"/>
          <w:highlight w:val="none"/>
          <w:lang w:eastAsia="zh-CN"/>
        </w:rPr>
        <w:t>（</w:t>
      </w:r>
      <w:r>
        <w:rPr>
          <w:rFonts w:hint="eastAsia" w:ascii="Times New Roman" w:hAnsi="Times New Roman" w:eastAsia="宋体" w:cs="Times New Roman"/>
          <w:bCs/>
          <w:color w:val="auto"/>
          <w:highlight w:val="none"/>
          <w:lang w:eastAsia="zh-CN"/>
        </w:rPr>
        <w:t>GB18918-2002</w:t>
      </w:r>
      <w:r>
        <w:rPr>
          <w:rFonts w:hint="eastAsia" w:cs="Times New Roman"/>
          <w:bCs/>
          <w:color w:val="auto"/>
          <w:highlight w:val="none"/>
          <w:lang w:eastAsia="zh-CN"/>
        </w:rPr>
        <w:t>）</w:t>
      </w:r>
      <w:r>
        <w:rPr>
          <w:rFonts w:hint="eastAsia" w:cs="Times New Roman"/>
          <w:bCs/>
          <w:color w:val="auto"/>
          <w:highlight w:val="none"/>
          <w:lang w:val="en-US" w:eastAsia="zh-CN"/>
        </w:rPr>
        <w:t>及修改单</w:t>
      </w:r>
      <w:r>
        <w:rPr>
          <w:rFonts w:hint="eastAsia" w:ascii="Times New Roman" w:hAnsi="Times New Roman" w:eastAsia="宋体" w:cs="Times New Roman"/>
          <w:bCs/>
          <w:color w:val="auto"/>
          <w:highlight w:val="none"/>
          <w:lang w:eastAsia="zh-CN"/>
        </w:rPr>
        <w:t>表1的一级标准A标准。</w:t>
      </w:r>
    </w:p>
    <w:p w14:paraId="1626EF04">
      <w:pPr>
        <w:pStyle w:val="1319"/>
        <w:ind w:firstLine="480"/>
        <w:rPr>
          <w:rFonts w:hint="eastAsia"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处理工艺流程如下：</w:t>
      </w:r>
    </w:p>
    <w:p w14:paraId="170AB354">
      <w:pPr>
        <w:pStyle w:val="44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6"/>
        <w:rPr>
          <w:color w:val="auto"/>
          <w:highlight w:val="none"/>
          <w:shd w:val="clear" w:color="auto" w:fill="FFFFFF"/>
          <w:lang w:bidi="ar"/>
        </w:rPr>
      </w:pPr>
      <w:r>
        <w:rPr>
          <w:color w:val="auto"/>
          <w:highlight w:val="none"/>
        </w:rPr>
        <w:drawing>
          <wp:inline distT="0" distB="0" distL="114300" distR="114300">
            <wp:extent cx="5422900" cy="1715770"/>
            <wp:effectExtent l="0" t="0" r="0" b="0"/>
            <wp:docPr id="273"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331"/>
                    <pic:cNvPicPr>
                      <a:picLocks noChangeAspect="1"/>
                    </pic:cNvPicPr>
                  </pic:nvPicPr>
                  <pic:blipFill>
                    <a:blip r:embed="rId62"/>
                    <a:stretch>
                      <a:fillRect/>
                    </a:stretch>
                  </pic:blipFill>
                  <pic:spPr>
                    <a:xfrm>
                      <a:off x="0" y="0"/>
                      <a:ext cx="5422900" cy="1715770"/>
                    </a:xfrm>
                    <a:prstGeom prst="rect">
                      <a:avLst/>
                    </a:prstGeom>
                    <a:noFill/>
                    <a:ln>
                      <a:noFill/>
                    </a:ln>
                  </pic:spPr>
                </pic:pic>
              </a:graphicData>
            </a:graphic>
          </wp:inline>
        </w:drawing>
      </w:r>
      <w:r>
        <w:rPr>
          <w:rStyle w:val="152"/>
          <w:rFonts w:hint="default"/>
          <w:bCs/>
          <w:color w:val="auto"/>
          <w:highlight w:val="none"/>
        </w:rPr>
        <w:t>图5.2-1  污水处理厂工艺流程图</w:t>
      </w:r>
    </w:p>
    <w:p w14:paraId="4A027D14">
      <w:pPr>
        <w:pStyle w:val="5"/>
        <w:numPr>
          <w:ilvl w:val="3"/>
          <w:numId w:val="0"/>
        </w:numPr>
        <w:bidi w:val="0"/>
        <w:ind w:leftChars="0"/>
        <w:rPr>
          <w:color w:val="auto"/>
          <w:highlight w:val="none"/>
        </w:rPr>
      </w:pPr>
      <w:r>
        <w:rPr>
          <w:color w:val="auto"/>
          <w:highlight w:val="none"/>
        </w:rPr>
        <w:t>5.2.2.2</w:t>
      </w:r>
      <w:r>
        <w:rPr>
          <w:rFonts w:hint="eastAsia"/>
          <w:color w:val="auto"/>
          <w:highlight w:val="none"/>
          <w:lang w:val="en-US" w:eastAsia="zh-CN"/>
        </w:rPr>
        <w:t xml:space="preserve"> </w:t>
      </w:r>
      <w:r>
        <w:rPr>
          <w:color w:val="auto"/>
          <w:highlight w:val="none"/>
        </w:rPr>
        <w:t>接入污水处理厂可行性分析</w:t>
      </w:r>
    </w:p>
    <w:p w14:paraId="169D47AD">
      <w:pPr>
        <w:pStyle w:val="441"/>
        <w:ind w:firstLine="480"/>
        <w:rPr>
          <w:rFonts w:hint="eastAsia" w:eastAsia="宋体"/>
          <w:color w:val="auto"/>
          <w:highlight w:val="none"/>
          <w:lang w:val="en-US" w:eastAsia="zh-CN"/>
        </w:rPr>
      </w:pPr>
      <w:r>
        <w:rPr>
          <w:color w:val="auto"/>
          <w:highlight w:val="none"/>
        </w:rPr>
        <w:t>（1）接管可行性分析</w:t>
      </w:r>
    </w:p>
    <w:p w14:paraId="24326257">
      <w:pPr>
        <w:pStyle w:val="1319"/>
        <w:ind w:firstLine="480"/>
        <w:rPr>
          <w:rFonts w:hint="eastAsia" w:ascii="Times New Roman" w:hAnsi="Times New Roman" w:eastAsia="宋体" w:cs="Times New Roman"/>
          <w:bCs/>
          <w:color w:val="auto"/>
          <w:highlight w:val="none"/>
        </w:rPr>
      </w:pPr>
      <w:r>
        <w:rPr>
          <w:rFonts w:hint="eastAsia"/>
          <w:color w:val="auto"/>
          <w:highlight w:val="none"/>
          <w:lang w:bidi="he-IL"/>
        </w:rPr>
        <w:t>本</w:t>
      </w:r>
      <w:r>
        <w:rPr>
          <w:rFonts w:hint="eastAsia" w:ascii="Times New Roman" w:hAnsi="Times New Roman" w:eastAsia="宋体" w:cs="Times New Roman"/>
          <w:bCs/>
          <w:color w:val="auto"/>
          <w:highlight w:val="none"/>
        </w:rPr>
        <w:t>项目位于福建省福州市闽侯县青口镇青口投资区</w:t>
      </w:r>
      <w:r>
        <w:rPr>
          <w:rFonts w:hint="eastAsia" w:ascii="Times New Roman" w:hAnsi="Times New Roman" w:eastAsia="宋体" w:cs="Times New Roman"/>
          <w:bCs/>
          <w:color w:val="auto"/>
          <w:highlight w:val="none"/>
          <w:lang w:eastAsia="zh-CN"/>
        </w:rPr>
        <w:t>福州鑫旺物流服务有限公司</w:t>
      </w:r>
      <w:r>
        <w:rPr>
          <w:rFonts w:hint="eastAsia" w:ascii="Times New Roman" w:hAnsi="Times New Roman" w:eastAsia="宋体" w:cs="Times New Roman"/>
          <w:bCs/>
          <w:color w:val="auto"/>
          <w:highlight w:val="none"/>
        </w:rPr>
        <w:t>厂房，根据</w:t>
      </w:r>
      <w:r>
        <w:rPr>
          <w:rFonts w:hint="eastAsia" w:ascii="Times New Roman" w:hAnsi="Times New Roman" w:eastAsia="宋体" w:cs="Times New Roman"/>
          <w:bCs/>
          <w:color w:val="auto"/>
          <w:highlight w:val="none"/>
          <w:lang w:eastAsia="zh-CN"/>
        </w:rPr>
        <w:t>青口汽车工业开发区污水处理厂</w:t>
      </w:r>
      <w:r>
        <w:rPr>
          <w:rFonts w:hint="eastAsia" w:ascii="Times New Roman" w:hAnsi="Times New Roman" w:eastAsia="宋体" w:cs="Times New Roman"/>
          <w:bCs/>
          <w:color w:val="auto"/>
          <w:highlight w:val="none"/>
        </w:rPr>
        <w:t>的管网分布，本项目周边道路已铺设有污水收集管线</w:t>
      </w:r>
      <w:r>
        <w:rPr>
          <w:rFonts w:hint="eastAsia" w:ascii="Times New Roman" w:hAnsi="Times New Roman" w:eastAsia="宋体" w:cs="Times New Roman"/>
          <w:bCs/>
          <w:color w:val="auto"/>
          <w:highlight w:val="none"/>
          <w:lang w:eastAsia="zh-CN"/>
        </w:rPr>
        <w:t>（</w:t>
      </w:r>
      <w:r>
        <w:rPr>
          <w:rFonts w:hint="eastAsia" w:ascii="Times New Roman" w:hAnsi="Times New Roman" w:eastAsia="宋体" w:cs="Times New Roman"/>
          <w:bCs/>
          <w:color w:val="auto"/>
          <w:highlight w:val="none"/>
        </w:rPr>
        <w:t>详见图</w:t>
      </w:r>
      <w:r>
        <w:rPr>
          <w:rFonts w:hint="eastAsia" w:ascii="Times New Roman" w:hAnsi="Times New Roman" w:eastAsia="宋体" w:cs="Times New Roman"/>
          <w:bCs/>
          <w:color w:val="auto"/>
          <w:highlight w:val="none"/>
          <w:lang w:val="en-US" w:eastAsia="zh-CN"/>
        </w:rPr>
        <w:t>5.2-2</w:t>
      </w:r>
      <w:r>
        <w:rPr>
          <w:rFonts w:hint="eastAsia" w:ascii="Times New Roman" w:hAnsi="Times New Roman" w:eastAsia="宋体" w:cs="Times New Roman"/>
          <w:bCs/>
          <w:color w:val="auto"/>
          <w:highlight w:val="none"/>
          <w:lang w:eastAsia="zh-CN"/>
        </w:rPr>
        <w:t>），</w:t>
      </w:r>
      <w:r>
        <w:rPr>
          <w:rFonts w:hint="eastAsia" w:ascii="Times New Roman" w:hAnsi="Times New Roman" w:eastAsia="宋体" w:cs="Times New Roman"/>
          <w:bCs/>
          <w:color w:val="auto"/>
          <w:highlight w:val="none"/>
        </w:rPr>
        <w:t>本项目所租赁的</w:t>
      </w:r>
      <w:r>
        <w:rPr>
          <w:rFonts w:hint="eastAsia" w:ascii="Times New Roman" w:hAnsi="Times New Roman" w:eastAsia="宋体" w:cs="Times New Roman"/>
          <w:bCs/>
          <w:color w:val="auto"/>
          <w:highlight w:val="none"/>
          <w:lang w:eastAsia="zh-CN"/>
        </w:rPr>
        <w:t>福州鑫旺物流服务有限公司</w:t>
      </w:r>
      <w:r>
        <w:rPr>
          <w:rFonts w:hint="eastAsia" w:ascii="Times New Roman" w:hAnsi="Times New Roman" w:eastAsia="宋体" w:cs="Times New Roman"/>
          <w:bCs/>
          <w:color w:val="auto"/>
          <w:highlight w:val="none"/>
        </w:rPr>
        <w:t>厂房已经</w:t>
      </w:r>
      <w:r>
        <w:rPr>
          <w:rFonts w:hint="eastAsia" w:ascii="Times New Roman" w:hAnsi="Times New Roman" w:eastAsia="宋体" w:cs="Times New Roman"/>
          <w:bCs/>
          <w:color w:val="auto"/>
          <w:highlight w:val="none"/>
          <w:lang w:eastAsia="zh-CN"/>
        </w:rPr>
        <w:t>接入</w:t>
      </w:r>
      <w:r>
        <w:rPr>
          <w:rFonts w:hint="eastAsia" w:ascii="Times New Roman" w:hAnsi="Times New Roman" w:eastAsia="宋体" w:cs="Times New Roman"/>
          <w:bCs/>
          <w:color w:val="auto"/>
          <w:highlight w:val="none"/>
        </w:rPr>
        <w:t>市政污水管网，因此本项目产生的污水纳入园区污水管网是可行的。</w:t>
      </w:r>
    </w:p>
    <w:p w14:paraId="3A3D7B31">
      <w:pPr>
        <w:pStyle w:val="1319"/>
        <w:ind w:left="0" w:leftChars="0" w:firstLine="0" w:firstLineChars="0"/>
        <w:rPr>
          <w:rFonts w:hint="eastAsia" w:ascii="Times New Roman" w:hAnsi="Times New Roman" w:eastAsia="宋体" w:cs="Times New Roman"/>
          <w:bCs/>
          <w:color w:val="auto"/>
          <w:highlight w:val="none"/>
        </w:rPr>
      </w:pPr>
      <w:r>
        <w:rPr>
          <w:color w:val="auto"/>
          <w:highlight w:val="none"/>
        </w:rPr>
        <w:drawing>
          <wp:inline distT="0" distB="0" distL="114300" distR="114300">
            <wp:extent cx="5888990" cy="4104005"/>
            <wp:effectExtent l="0" t="0" r="16510" b="10795"/>
            <wp:docPr id="274"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333"/>
                    <pic:cNvPicPr>
                      <a:picLocks noChangeAspect="1"/>
                    </pic:cNvPicPr>
                  </pic:nvPicPr>
                  <pic:blipFill>
                    <a:blip r:embed="rId63"/>
                    <a:stretch>
                      <a:fillRect/>
                    </a:stretch>
                  </pic:blipFill>
                  <pic:spPr>
                    <a:xfrm>
                      <a:off x="0" y="0"/>
                      <a:ext cx="5888990" cy="4104005"/>
                    </a:xfrm>
                    <a:prstGeom prst="rect">
                      <a:avLst/>
                    </a:prstGeom>
                    <a:noFill/>
                    <a:ln>
                      <a:noFill/>
                    </a:ln>
                  </pic:spPr>
                </pic:pic>
              </a:graphicData>
            </a:graphic>
          </wp:inline>
        </w:drawing>
      </w:r>
    </w:p>
    <w:p w14:paraId="40D2DFEB">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图5.2-2  污水工程规划图</w:t>
      </w:r>
    </w:p>
    <w:p w14:paraId="4FB97574">
      <w:pPr>
        <w:pStyle w:val="1336"/>
        <w:ind w:firstLine="480"/>
        <w:rPr>
          <w:color w:val="auto"/>
          <w:highlight w:val="none"/>
        </w:rPr>
      </w:pPr>
      <w:r>
        <w:rPr>
          <w:color w:val="auto"/>
          <w:highlight w:val="none"/>
        </w:rPr>
        <w:t>（2）水质负荷</w:t>
      </w:r>
    </w:p>
    <w:p w14:paraId="0AA4DC9B">
      <w:pPr>
        <w:pStyle w:val="1336"/>
        <w:ind w:firstLine="480"/>
        <w:rPr>
          <w:rFonts w:hint="eastAsia"/>
          <w:color w:val="auto"/>
          <w:highlight w:val="none"/>
        </w:rPr>
      </w:pPr>
      <w:r>
        <w:rPr>
          <w:rFonts w:hint="eastAsia"/>
          <w:color w:val="auto"/>
          <w:highlight w:val="none"/>
        </w:rPr>
        <w:t>项目生活污水处理后可达《污水综合排放标准》</w:t>
      </w:r>
      <w:r>
        <w:rPr>
          <w:rFonts w:hint="eastAsia"/>
          <w:color w:val="auto"/>
          <w:highlight w:val="none"/>
          <w:lang w:eastAsia="zh-CN"/>
        </w:rPr>
        <w:t>（</w:t>
      </w:r>
      <w:r>
        <w:rPr>
          <w:rFonts w:hint="eastAsia"/>
          <w:color w:val="auto"/>
          <w:highlight w:val="none"/>
        </w:rPr>
        <w:t>GB8978-1996</w:t>
      </w:r>
      <w:r>
        <w:rPr>
          <w:rFonts w:hint="eastAsia"/>
          <w:color w:val="auto"/>
          <w:highlight w:val="none"/>
          <w:lang w:eastAsia="zh-CN"/>
        </w:rPr>
        <w:t>）</w:t>
      </w:r>
      <w:r>
        <w:rPr>
          <w:rFonts w:hint="eastAsia"/>
          <w:color w:val="auto"/>
          <w:highlight w:val="none"/>
        </w:rPr>
        <w:t>中的三级标准</w:t>
      </w:r>
      <w:r>
        <w:rPr>
          <w:rFonts w:hint="eastAsia"/>
          <w:color w:val="auto"/>
          <w:highlight w:val="none"/>
          <w:lang w:eastAsia="zh-CN"/>
        </w:rPr>
        <w:t>（</w:t>
      </w:r>
      <w:r>
        <w:rPr>
          <w:rFonts w:hint="eastAsia"/>
          <w:color w:val="auto"/>
          <w:highlight w:val="none"/>
        </w:rPr>
        <w:t>其中NH</w:t>
      </w:r>
      <w:r>
        <w:rPr>
          <w:rFonts w:hint="eastAsia"/>
          <w:color w:val="auto"/>
          <w:highlight w:val="none"/>
          <w:vertAlign w:val="subscript"/>
          <w:lang w:val="en-US" w:eastAsia="zh-CN"/>
        </w:rPr>
        <w:t>3</w:t>
      </w:r>
      <w:r>
        <w:rPr>
          <w:rFonts w:hint="eastAsia"/>
          <w:color w:val="auto"/>
          <w:highlight w:val="none"/>
        </w:rPr>
        <w:t>-N可达《污水排入城镇下水道水质标准》</w:t>
      </w:r>
      <w:r>
        <w:rPr>
          <w:rFonts w:hint="eastAsia"/>
          <w:color w:val="auto"/>
          <w:highlight w:val="none"/>
          <w:lang w:eastAsia="zh-CN"/>
        </w:rPr>
        <w:t>（</w:t>
      </w:r>
      <w:r>
        <w:rPr>
          <w:rFonts w:hint="eastAsia"/>
          <w:color w:val="auto"/>
          <w:highlight w:val="none"/>
        </w:rPr>
        <w:t>GB/T31962-2015</w:t>
      </w:r>
      <w:r>
        <w:rPr>
          <w:rFonts w:hint="eastAsia"/>
          <w:color w:val="auto"/>
          <w:highlight w:val="none"/>
          <w:lang w:eastAsia="zh-CN"/>
        </w:rPr>
        <w:t>）</w:t>
      </w:r>
      <w:r>
        <w:rPr>
          <w:rFonts w:hint="eastAsia"/>
          <w:color w:val="auto"/>
          <w:highlight w:val="none"/>
        </w:rPr>
        <w:t>B等级标准限值</w:t>
      </w:r>
      <w:r>
        <w:rPr>
          <w:rFonts w:hint="eastAsia"/>
          <w:color w:val="auto"/>
          <w:highlight w:val="none"/>
          <w:lang w:eastAsia="zh-CN"/>
        </w:rPr>
        <w:t>），</w:t>
      </w:r>
      <w:r>
        <w:rPr>
          <w:rFonts w:hint="eastAsia"/>
          <w:color w:val="auto"/>
          <w:highlight w:val="none"/>
        </w:rPr>
        <w:t>项目的废水水质能够满足</w:t>
      </w:r>
      <w:r>
        <w:rPr>
          <w:rFonts w:hint="eastAsia"/>
          <w:color w:val="auto"/>
          <w:highlight w:val="none"/>
          <w:lang w:eastAsia="zh-CN"/>
        </w:rPr>
        <w:t>青口汽车工业开发区污水处理厂</w:t>
      </w:r>
      <w:r>
        <w:rPr>
          <w:rFonts w:hint="eastAsia"/>
          <w:color w:val="auto"/>
          <w:highlight w:val="none"/>
        </w:rPr>
        <w:t>的接管标准，不会对污水处理厂造成负荷冲击，也不会对城市污水管道产生腐蚀影响。因此</w:t>
      </w:r>
      <w:r>
        <w:rPr>
          <w:rFonts w:hint="eastAsia"/>
          <w:color w:val="auto"/>
          <w:highlight w:val="none"/>
          <w:lang w:eastAsia="zh-CN"/>
        </w:rPr>
        <w:t>青口汽车工业开发区污水处理厂</w:t>
      </w:r>
      <w:r>
        <w:rPr>
          <w:rFonts w:hint="eastAsia"/>
          <w:color w:val="auto"/>
          <w:highlight w:val="none"/>
        </w:rPr>
        <w:t>接纳本项目污水可行。</w:t>
      </w:r>
    </w:p>
    <w:p w14:paraId="6C9BA7F3">
      <w:pPr>
        <w:pStyle w:val="1336"/>
        <w:ind w:firstLine="480"/>
        <w:rPr>
          <w:color w:val="auto"/>
          <w:highlight w:val="none"/>
        </w:rPr>
      </w:pPr>
      <w:r>
        <w:rPr>
          <w:color w:val="auto"/>
          <w:highlight w:val="none"/>
        </w:rPr>
        <w:t>（3）水量负荷</w:t>
      </w:r>
    </w:p>
    <w:p w14:paraId="035D8AAA">
      <w:pPr>
        <w:pStyle w:val="1336"/>
        <w:ind w:firstLine="480"/>
        <w:rPr>
          <w:rFonts w:hint="eastAsia"/>
          <w:color w:val="auto"/>
          <w:sz w:val="28"/>
          <w:szCs w:val="28"/>
          <w:highlight w:val="none"/>
          <w:lang w:eastAsia="zh-CN"/>
        </w:rPr>
      </w:pPr>
      <w:r>
        <w:rPr>
          <w:rFonts w:hint="eastAsia" w:ascii="Times New Roman" w:hAnsi="Times New Roman" w:eastAsia="宋体" w:cs="Times New Roman"/>
          <w:color w:val="auto"/>
          <w:highlight w:val="none"/>
          <w:lang w:eastAsia="zh-CN"/>
        </w:rPr>
        <w:t>目前青口汽车工业开发区污水处理厂剩余处理量约为</w:t>
      </w:r>
      <w:r>
        <w:rPr>
          <w:rFonts w:hint="eastAsia" w:cs="Times New Roman"/>
          <w:color w:val="auto"/>
          <w:highlight w:val="none"/>
          <w:lang w:val="en-US" w:eastAsia="zh-CN"/>
        </w:rPr>
        <w:t>65</w:t>
      </w:r>
      <w:r>
        <w:rPr>
          <w:rFonts w:hint="eastAsia" w:ascii="Times New Roman" w:hAnsi="Times New Roman" w:eastAsia="宋体" w:cs="Times New Roman"/>
          <w:color w:val="auto"/>
          <w:highlight w:val="none"/>
          <w:lang w:eastAsia="zh-CN"/>
        </w:rPr>
        <w:t>00t/d，本项目污水排放量为</w:t>
      </w:r>
      <w:r>
        <w:rPr>
          <w:rFonts w:hint="eastAsia" w:ascii="Times New Roman" w:hAnsi="Times New Roman" w:eastAsia="宋体" w:cs="Times New Roman"/>
          <w:color w:val="auto"/>
          <w:highlight w:val="none"/>
          <w:lang w:val="en-US" w:eastAsia="zh-CN"/>
        </w:rPr>
        <w:t>3.052</w:t>
      </w:r>
      <w:r>
        <w:rPr>
          <w:rFonts w:hint="eastAsia" w:ascii="Times New Roman" w:hAnsi="Times New Roman" w:eastAsia="宋体" w:cs="Times New Roman"/>
          <w:color w:val="auto"/>
          <w:highlight w:val="none"/>
          <w:lang w:eastAsia="zh-CN"/>
        </w:rPr>
        <w:t>t/d，仅占剩余处理能力0.0</w:t>
      </w:r>
      <w:r>
        <w:rPr>
          <w:rFonts w:hint="eastAsia" w:cs="Times New Roman"/>
          <w:color w:val="auto"/>
          <w:highlight w:val="none"/>
          <w:lang w:val="en-US" w:eastAsia="zh-CN"/>
        </w:rPr>
        <w:t>47</w:t>
      </w:r>
      <w:r>
        <w:rPr>
          <w:rFonts w:hint="eastAsia" w:ascii="Times New Roman" w:hAnsi="Times New Roman" w:eastAsia="宋体" w:cs="Times New Roman"/>
          <w:color w:val="auto"/>
          <w:highlight w:val="none"/>
          <w:lang w:eastAsia="zh-CN"/>
        </w:rPr>
        <w:t>%，因此本项目生活污水</w:t>
      </w:r>
      <w:r>
        <w:rPr>
          <w:rFonts w:hint="eastAsia" w:cs="Times New Roman"/>
          <w:color w:val="auto"/>
          <w:highlight w:val="none"/>
          <w:lang w:val="en-US" w:eastAsia="zh-CN"/>
        </w:rPr>
        <w:t>及生产废水</w:t>
      </w:r>
      <w:r>
        <w:rPr>
          <w:rFonts w:hint="eastAsia" w:ascii="Times New Roman" w:hAnsi="Times New Roman" w:eastAsia="宋体" w:cs="Times New Roman"/>
          <w:color w:val="auto"/>
          <w:highlight w:val="none"/>
          <w:lang w:eastAsia="zh-CN"/>
        </w:rPr>
        <w:t>纳入青口汽车工业开发区污水处理厂集中统一处理，不会造成明显的负荷冲击，接纳可行。</w:t>
      </w:r>
    </w:p>
    <w:p w14:paraId="1CE57BB6">
      <w:pPr>
        <w:pStyle w:val="1336"/>
        <w:ind w:firstLine="480"/>
        <w:rPr>
          <w:color w:val="auto"/>
          <w:highlight w:val="none"/>
        </w:rPr>
      </w:pPr>
      <w:r>
        <w:rPr>
          <w:color w:val="auto"/>
          <w:highlight w:val="none"/>
          <w:lang w:bidi="he-IL"/>
        </w:rPr>
        <w:t>根据上述分析，</w:t>
      </w:r>
      <w:r>
        <w:rPr>
          <w:color w:val="auto"/>
          <w:highlight w:val="none"/>
        </w:rPr>
        <w:t>项目生活污水经化粪池预处理</w:t>
      </w:r>
      <w:r>
        <w:rPr>
          <w:rFonts w:hint="eastAsia"/>
          <w:color w:val="auto"/>
          <w:highlight w:val="none"/>
          <w:lang w:val="en-US" w:eastAsia="zh-CN"/>
        </w:rPr>
        <w:t>后与</w:t>
      </w:r>
      <w:r>
        <w:rPr>
          <w:rFonts w:hint="eastAsia" w:cs="Times New Roman"/>
          <w:color w:val="auto"/>
          <w:highlight w:val="none"/>
          <w:lang w:val="en-US" w:eastAsia="zh-CN"/>
        </w:rPr>
        <w:t>生产废水</w:t>
      </w:r>
      <w:r>
        <w:rPr>
          <w:rFonts w:hint="eastAsia"/>
          <w:color w:val="auto"/>
          <w:highlight w:val="none"/>
          <w:lang w:val="en-US" w:eastAsia="zh-CN"/>
        </w:rPr>
        <w:t>一同</w:t>
      </w:r>
      <w:r>
        <w:rPr>
          <w:color w:val="auto"/>
          <w:highlight w:val="none"/>
        </w:rPr>
        <w:t>排入市政污水管网，最终送往</w:t>
      </w:r>
      <w:r>
        <w:rPr>
          <w:rFonts w:hint="eastAsia"/>
          <w:color w:val="auto"/>
          <w:highlight w:val="none"/>
          <w:lang w:eastAsia="zh-CN"/>
        </w:rPr>
        <w:t>青口汽车工业开发区污水处理厂</w:t>
      </w:r>
      <w:r>
        <w:rPr>
          <w:color w:val="auto"/>
          <w:highlight w:val="none"/>
        </w:rPr>
        <w:t>集中处理，</w:t>
      </w:r>
      <w:r>
        <w:rPr>
          <w:color w:val="auto"/>
          <w:highlight w:val="none"/>
          <w:lang w:bidi="he-IL"/>
        </w:rPr>
        <w:t>项目废水水质、水量均不会对污水处理厂造成负荷冲击，项目污水不直接排入地表水体，因此几乎不会对区域地表水环境产生直接不利影响。</w:t>
      </w:r>
    </w:p>
    <w:p w14:paraId="586F3AF7">
      <w:pPr>
        <w:pStyle w:val="4"/>
        <w:numPr>
          <w:ilvl w:val="2"/>
          <w:numId w:val="0"/>
        </w:numPr>
        <w:tabs>
          <w:tab w:val="clear" w:pos="720"/>
        </w:tabs>
        <w:bidi w:val="0"/>
        <w:rPr>
          <w:rFonts w:hint="eastAsia"/>
          <w:color w:val="auto"/>
          <w:highlight w:val="none"/>
        </w:rPr>
      </w:pPr>
      <w:bookmarkStart w:id="498" w:name="_Toc10926"/>
      <w:r>
        <w:rPr>
          <w:rFonts w:hint="eastAsia"/>
          <w:color w:val="auto"/>
          <w:highlight w:val="none"/>
          <w:lang w:val="en-US" w:eastAsia="zh-CN"/>
        </w:rPr>
        <w:t xml:space="preserve">5.2.3 </w:t>
      </w:r>
      <w:r>
        <w:rPr>
          <w:rFonts w:hint="eastAsia"/>
          <w:color w:val="auto"/>
          <w:highlight w:val="none"/>
        </w:rPr>
        <w:t>小结</w:t>
      </w:r>
      <w:bookmarkEnd w:id="498"/>
    </w:p>
    <w:p w14:paraId="61851341">
      <w:pPr>
        <w:pStyle w:val="135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本项目在青口汽车工业开发区污水处理厂服务范围之内，生活污水经处理后</w:t>
      </w:r>
      <w:r>
        <w:rPr>
          <w:rFonts w:hint="eastAsia"/>
          <w:color w:val="auto"/>
          <w:highlight w:val="none"/>
          <w:lang w:val="en-US" w:eastAsia="zh-CN"/>
        </w:rPr>
        <w:t>与</w:t>
      </w:r>
      <w:r>
        <w:rPr>
          <w:rFonts w:hint="eastAsia" w:cs="Times New Roman"/>
          <w:color w:val="auto"/>
          <w:highlight w:val="none"/>
          <w:lang w:val="en-US" w:eastAsia="zh-CN"/>
        </w:rPr>
        <w:t>生产废水</w:t>
      </w:r>
      <w:r>
        <w:rPr>
          <w:rFonts w:hint="eastAsia"/>
          <w:color w:val="auto"/>
          <w:highlight w:val="none"/>
          <w:lang w:val="en-US" w:eastAsia="zh-CN"/>
        </w:rPr>
        <w:t>一同</w:t>
      </w:r>
      <w:r>
        <w:rPr>
          <w:color w:val="auto"/>
          <w:highlight w:val="none"/>
        </w:rPr>
        <w:t>排入市政污水管网</w:t>
      </w:r>
      <w:r>
        <w:rPr>
          <w:rFonts w:hint="eastAsia"/>
          <w:color w:val="auto"/>
          <w:highlight w:val="none"/>
          <w:lang w:eastAsia="zh-CN"/>
        </w:rPr>
        <w:t>，</w:t>
      </w:r>
      <w:r>
        <w:rPr>
          <w:rFonts w:hint="eastAsia" w:ascii="Times New Roman" w:hAnsi="Times New Roman" w:eastAsia="宋体" w:cs="Times New Roman"/>
          <w:color w:val="auto"/>
          <w:highlight w:val="none"/>
          <w:lang w:val="en-US" w:eastAsia="zh-CN"/>
        </w:rPr>
        <w:t>符合该污水处理厂的水量、水质的要求，投产营运后能够通过市政管网引至青口汽车工业开发区污水处理厂处理。青口汽车工业开发区污水处理厂排放的废水经处理达标后尾水排入陶江，不会对周边水环境产生明显影响。</w:t>
      </w:r>
    </w:p>
    <w:p w14:paraId="0F4D1100">
      <w:pPr>
        <w:pStyle w:val="4"/>
        <w:numPr>
          <w:ilvl w:val="2"/>
          <w:numId w:val="0"/>
        </w:numPr>
        <w:tabs>
          <w:tab w:val="clear" w:pos="720"/>
        </w:tabs>
        <w:bidi w:val="0"/>
        <w:rPr>
          <w:color w:val="auto"/>
          <w:highlight w:val="none"/>
        </w:rPr>
      </w:pPr>
      <w:bookmarkStart w:id="499" w:name="_Toc5559"/>
      <w:r>
        <w:rPr>
          <w:color w:val="auto"/>
          <w:highlight w:val="none"/>
        </w:rPr>
        <w:t>5.2.</w:t>
      </w:r>
      <w:r>
        <w:rPr>
          <w:rFonts w:hint="eastAsia"/>
          <w:color w:val="auto"/>
          <w:highlight w:val="none"/>
          <w:lang w:val="en-US" w:eastAsia="zh-CN"/>
        </w:rPr>
        <w:t xml:space="preserve">4 </w:t>
      </w:r>
      <w:r>
        <w:rPr>
          <w:color w:val="auto"/>
          <w:highlight w:val="none"/>
        </w:rPr>
        <w:t>地表水环境影响评价自查表</w:t>
      </w:r>
      <w:bookmarkEnd w:id="499"/>
    </w:p>
    <w:p w14:paraId="48A6CD27">
      <w:pPr>
        <w:pStyle w:val="1354"/>
        <w:rPr>
          <w:color w:val="auto"/>
          <w:highlight w:val="none"/>
        </w:rPr>
        <w:sectPr>
          <w:pgSz w:w="11907" w:h="16840"/>
          <w:pgMar w:top="1440" w:right="1797" w:bottom="1440" w:left="1560" w:header="737" w:footer="624" w:gutter="0"/>
          <w:pgBorders w:offsetFrom="page">
            <w:top w:val="none" w:sz="0" w:space="0"/>
            <w:left w:val="none" w:sz="0" w:space="0"/>
            <w:bottom w:val="none" w:sz="0" w:space="0"/>
            <w:right w:val="none" w:sz="0" w:space="0"/>
          </w:pgBorders>
          <w:pgNumType w:fmt="decimal"/>
          <w:cols w:space="720" w:num="1"/>
          <w:docGrid w:linePitch="326" w:charSpace="0"/>
        </w:sectPr>
      </w:pPr>
      <w:r>
        <w:rPr>
          <w:color w:val="auto"/>
          <w:highlight w:val="none"/>
        </w:rPr>
        <w:t>地表水环境影响评价自查表见表5.2-</w:t>
      </w:r>
      <w:r>
        <w:rPr>
          <w:rFonts w:hint="eastAsia"/>
          <w:color w:val="auto"/>
          <w:highlight w:val="none"/>
          <w:lang w:val="en-US" w:eastAsia="zh-CN"/>
        </w:rPr>
        <w:t>1</w:t>
      </w:r>
      <w:r>
        <w:rPr>
          <w:color w:val="auto"/>
          <w:highlight w:val="none"/>
        </w:rPr>
        <w:t>。</w:t>
      </w:r>
    </w:p>
    <w:p w14:paraId="6FE2FCE3">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地表水环境影响评价自查表</w:t>
      </w:r>
    </w:p>
    <w:tbl>
      <w:tblPr>
        <w:tblStyle w:val="80"/>
        <w:tblW w:w="141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5"/>
        <w:gridCol w:w="3726"/>
        <w:gridCol w:w="2106"/>
        <w:gridCol w:w="1752"/>
        <w:gridCol w:w="2250"/>
        <w:gridCol w:w="1590"/>
        <w:gridCol w:w="2231"/>
      </w:tblGrid>
      <w:tr w14:paraId="56038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noWrap w:val="0"/>
            <w:vAlign w:val="center"/>
          </w:tcPr>
          <w:p w14:paraId="20BA1D9D">
            <w:pPr>
              <w:pStyle w:val="1358"/>
              <w:rPr>
                <w:color w:val="auto"/>
                <w:highlight w:val="none"/>
              </w:rPr>
            </w:pPr>
            <w:r>
              <w:rPr>
                <w:color w:val="auto"/>
                <w:highlight w:val="none"/>
              </w:rPr>
              <w:t>工作内容</w:t>
            </w:r>
          </w:p>
        </w:tc>
        <w:tc>
          <w:tcPr>
            <w:tcW w:w="9929" w:type="dxa"/>
            <w:gridSpan w:val="5"/>
            <w:noWrap w:val="0"/>
            <w:vAlign w:val="center"/>
          </w:tcPr>
          <w:p w14:paraId="53C3F798">
            <w:pPr>
              <w:pStyle w:val="1358"/>
              <w:rPr>
                <w:color w:val="auto"/>
                <w:highlight w:val="none"/>
              </w:rPr>
            </w:pPr>
            <w:r>
              <w:rPr>
                <w:color w:val="auto"/>
                <w:highlight w:val="none"/>
              </w:rPr>
              <w:t>自查项目</w:t>
            </w:r>
          </w:p>
        </w:tc>
      </w:tr>
      <w:tr w14:paraId="07660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39D18757">
            <w:pPr>
              <w:pStyle w:val="1358"/>
              <w:rPr>
                <w:color w:val="auto"/>
                <w:highlight w:val="none"/>
              </w:rPr>
            </w:pPr>
            <w:r>
              <w:rPr>
                <w:color w:val="auto"/>
                <w:highlight w:val="none"/>
              </w:rPr>
              <w:t>影响识别</w:t>
            </w:r>
          </w:p>
        </w:tc>
        <w:tc>
          <w:tcPr>
            <w:tcW w:w="3726" w:type="dxa"/>
            <w:noWrap w:val="0"/>
            <w:vAlign w:val="center"/>
          </w:tcPr>
          <w:p w14:paraId="427F0999">
            <w:pPr>
              <w:pStyle w:val="1358"/>
              <w:rPr>
                <w:color w:val="auto"/>
                <w:highlight w:val="none"/>
              </w:rPr>
            </w:pPr>
            <w:r>
              <w:rPr>
                <w:color w:val="auto"/>
                <w:highlight w:val="none"/>
              </w:rPr>
              <w:t>影响类型</w:t>
            </w:r>
          </w:p>
        </w:tc>
        <w:tc>
          <w:tcPr>
            <w:tcW w:w="9929" w:type="dxa"/>
            <w:gridSpan w:val="5"/>
            <w:noWrap w:val="0"/>
            <w:vAlign w:val="center"/>
          </w:tcPr>
          <w:p w14:paraId="374E4A29">
            <w:pPr>
              <w:pStyle w:val="1358"/>
              <w:rPr>
                <w:color w:val="auto"/>
                <w:highlight w:val="none"/>
              </w:rPr>
            </w:pPr>
            <w:r>
              <w:rPr>
                <w:color w:val="auto"/>
                <w:highlight w:val="none"/>
              </w:rPr>
              <w:t>水污染影响型√；水文要素影响型□</w:t>
            </w:r>
          </w:p>
        </w:tc>
      </w:tr>
      <w:tr w14:paraId="55D7A0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1727B7F4">
            <w:pPr>
              <w:pStyle w:val="1358"/>
              <w:rPr>
                <w:color w:val="auto"/>
                <w:highlight w:val="none"/>
              </w:rPr>
            </w:pPr>
          </w:p>
        </w:tc>
        <w:tc>
          <w:tcPr>
            <w:tcW w:w="3726" w:type="dxa"/>
            <w:noWrap w:val="0"/>
            <w:vAlign w:val="center"/>
          </w:tcPr>
          <w:p w14:paraId="26465190">
            <w:pPr>
              <w:pStyle w:val="1358"/>
              <w:rPr>
                <w:color w:val="auto"/>
                <w:highlight w:val="none"/>
              </w:rPr>
            </w:pPr>
            <w:r>
              <w:rPr>
                <w:color w:val="auto"/>
                <w:highlight w:val="none"/>
              </w:rPr>
              <w:t>水环境保护目标</w:t>
            </w:r>
          </w:p>
        </w:tc>
        <w:tc>
          <w:tcPr>
            <w:tcW w:w="9929" w:type="dxa"/>
            <w:gridSpan w:val="5"/>
            <w:noWrap w:val="0"/>
            <w:vAlign w:val="center"/>
          </w:tcPr>
          <w:p w14:paraId="6DF2E197">
            <w:pPr>
              <w:pStyle w:val="1358"/>
              <w:rPr>
                <w:color w:val="auto"/>
                <w:highlight w:val="none"/>
              </w:rPr>
            </w:pPr>
            <w:r>
              <w:rPr>
                <w:color w:val="auto"/>
                <w:highlight w:val="none"/>
              </w:rPr>
              <w:t>饮用水水源保护区□；饮用水取水口□；涉水的自然保护区□；涉水的风景名胜区□；重要湿地□；重点保护与珍稀水生生物的栖息地□；重要水生生物的自然产卵场及索饵场、越冬场和洄游通道□；天然渔场等渔业水体□；水产种质资源保护区□；其他□</w:t>
            </w:r>
          </w:p>
        </w:tc>
      </w:tr>
      <w:tr w14:paraId="4F014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39E6BA2">
            <w:pPr>
              <w:pStyle w:val="1358"/>
              <w:rPr>
                <w:color w:val="auto"/>
                <w:highlight w:val="none"/>
              </w:rPr>
            </w:pPr>
          </w:p>
        </w:tc>
        <w:tc>
          <w:tcPr>
            <w:tcW w:w="3726" w:type="dxa"/>
            <w:vMerge w:val="restart"/>
            <w:noWrap w:val="0"/>
            <w:vAlign w:val="center"/>
          </w:tcPr>
          <w:p w14:paraId="51867D17">
            <w:pPr>
              <w:pStyle w:val="1358"/>
              <w:rPr>
                <w:color w:val="auto"/>
                <w:highlight w:val="none"/>
              </w:rPr>
            </w:pPr>
            <w:r>
              <w:rPr>
                <w:color w:val="auto"/>
                <w:highlight w:val="none"/>
              </w:rPr>
              <w:t>影响途径</w:t>
            </w:r>
          </w:p>
        </w:tc>
        <w:tc>
          <w:tcPr>
            <w:tcW w:w="6108" w:type="dxa"/>
            <w:gridSpan w:val="3"/>
            <w:noWrap w:val="0"/>
            <w:vAlign w:val="center"/>
          </w:tcPr>
          <w:p w14:paraId="0CBF8F6C">
            <w:pPr>
              <w:pStyle w:val="1358"/>
              <w:rPr>
                <w:color w:val="auto"/>
                <w:highlight w:val="none"/>
              </w:rPr>
            </w:pPr>
            <w:r>
              <w:rPr>
                <w:color w:val="auto"/>
                <w:highlight w:val="none"/>
              </w:rPr>
              <w:t>水污染影响型</w:t>
            </w:r>
          </w:p>
        </w:tc>
        <w:tc>
          <w:tcPr>
            <w:tcW w:w="3821" w:type="dxa"/>
            <w:gridSpan w:val="2"/>
            <w:noWrap w:val="0"/>
            <w:vAlign w:val="center"/>
          </w:tcPr>
          <w:p w14:paraId="11CA093C">
            <w:pPr>
              <w:pStyle w:val="1358"/>
              <w:rPr>
                <w:color w:val="auto"/>
                <w:highlight w:val="none"/>
              </w:rPr>
            </w:pPr>
            <w:r>
              <w:rPr>
                <w:color w:val="auto"/>
                <w:highlight w:val="none"/>
              </w:rPr>
              <w:t>水文要素影响型</w:t>
            </w:r>
          </w:p>
        </w:tc>
      </w:tr>
      <w:tr w14:paraId="12CF2F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1FD3A9B8">
            <w:pPr>
              <w:pStyle w:val="1358"/>
              <w:rPr>
                <w:color w:val="auto"/>
                <w:highlight w:val="none"/>
              </w:rPr>
            </w:pPr>
          </w:p>
        </w:tc>
        <w:tc>
          <w:tcPr>
            <w:tcW w:w="3726" w:type="dxa"/>
            <w:vMerge w:val="continue"/>
            <w:noWrap w:val="0"/>
            <w:vAlign w:val="center"/>
          </w:tcPr>
          <w:p w14:paraId="69A6270D">
            <w:pPr>
              <w:pStyle w:val="1358"/>
              <w:rPr>
                <w:color w:val="auto"/>
                <w:highlight w:val="none"/>
              </w:rPr>
            </w:pPr>
          </w:p>
        </w:tc>
        <w:tc>
          <w:tcPr>
            <w:tcW w:w="6108" w:type="dxa"/>
            <w:gridSpan w:val="3"/>
            <w:noWrap w:val="0"/>
            <w:vAlign w:val="center"/>
          </w:tcPr>
          <w:p w14:paraId="785BD300">
            <w:pPr>
              <w:pStyle w:val="1358"/>
              <w:rPr>
                <w:color w:val="auto"/>
                <w:highlight w:val="none"/>
              </w:rPr>
            </w:pPr>
            <w:r>
              <w:rPr>
                <w:color w:val="auto"/>
                <w:highlight w:val="none"/>
              </w:rPr>
              <w:t>直接排放□；间接排放√；其他□</w:t>
            </w:r>
          </w:p>
        </w:tc>
        <w:tc>
          <w:tcPr>
            <w:tcW w:w="3821" w:type="dxa"/>
            <w:gridSpan w:val="2"/>
            <w:noWrap w:val="0"/>
            <w:vAlign w:val="center"/>
          </w:tcPr>
          <w:p w14:paraId="7438CFCA">
            <w:pPr>
              <w:pStyle w:val="1358"/>
              <w:rPr>
                <w:color w:val="auto"/>
                <w:highlight w:val="none"/>
              </w:rPr>
            </w:pPr>
            <w:r>
              <w:rPr>
                <w:color w:val="auto"/>
                <w:highlight w:val="none"/>
              </w:rPr>
              <w:t>水温□；径流□；水域面积□</w:t>
            </w:r>
          </w:p>
        </w:tc>
      </w:tr>
      <w:tr w14:paraId="1A00A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5FAED9E3">
            <w:pPr>
              <w:pStyle w:val="1358"/>
              <w:rPr>
                <w:color w:val="auto"/>
                <w:highlight w:val="none"/>
              </w:rPr>
            </w:pPr>
          </w:p>
        </w:tc>
        <w:tc>
          <w:tcPr>
            <w:tcW w:w="3726" w:type="dxa"/>
            <w:noWrap w:val="0"/>
            <w:vAlign w:val="center"/>
          </w:tcPr>
          <w:p w14:paraId="79F0F0C7">
            <w:pPr>
              <w:pStyle w:val="1358"/>
              <w:rPr>
                <w:color w:val="auto"/>
                <w:highlight w:val="none"/>
              </w:rPr>
            </w:pPr>
            <w:r>
              <w:rPr>
                <w:color w:val="auto"/>
                <w:highlight w:val="none"/>
              </w:rPr>
              <w:t>影响因子</w:t>
            </w:r>
          </w:p>
        </w:tc>
        <w:tc>
          <w:tcPr>
            <w:tcW w:w="6108" w:type="dxa"/>
            <w:gridSpan w:val="3"/>
            <w:noWrap w:val="0"/>
            <w:vAlign w:val="center"/>
          </w:tcPr>
          <w:p w14:paraId="26E4E7AF">
            <w:pPr>
              <w:pStyle w:val="1358"/>
              <w:rPr>
                <w:color w:val="auto"/>
                <w:highlight w:val="none"/>
              </w:rPr>
            </w:pPr>
            <w:r>
              <w:rPr>
                <w:color w:val="auto"/>
                <w:highlight w:val="none"/>
              </w:rPr>
              <w:t>持久性污染物□；有毒有害污染物□；非持久性污染物√；</w:t>
            </w:r>
          </w:p>
          <w:p w14:paraId="4E8671CC">
            <w:pPr>
              <w:pStyle w:val="1358"/>
              <w:rPr>
                <w:color w:val="auto"/>
                <w:highlight w:val="none"/>
              </w:rPr>
            </w:pPr>
            <w:r>
              <w:rPr>
                <w:color w:val="auto"/>
                <w:highlight w:val="none"/>
              </w:rPr>
              <w:t>pH值□；热污染□；富营养化□；其他□</w:t>
            </w:r>
          </w:p>
        </w:tc>
        <w:tc>
          <w:tcPr>
            <w:tcW w:w="3821" w:type="dxa"/>
            <w:gridSpan w:val="2"/>
            <w:noWrap w:val="0"/>
            <w:vAlign w:val="center"/>
          </w:tcPr>
          <w:p w14:paraId="5640C8C8">
            <w:pPr>
              <w:pStyle w:val="1358"/>
              <w:rPr>
                <w:color w:val="auto"/>
                <w:highlight w:val="none"/>
              </w:rPr>
            </w:pPr>
            <w:r>
              <w:rPr>
                <w:color w:val="auto"/>
                <w:highlight w:val="none"/>
              </w:rPr>
              <w:t>水温□；水位（水深）□；流速□；流量□；其他□</w:t>
            </w:r>
          </w:p>
        </w:tc>
      </w:tr>
      <w:tr w14:paraId="37B71B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vMerge w:val="restart"/>
            <w:noWrap w:val="0"/>
            <w:vAlign w:val="center"/>
          </w:tcPr>
          <w:p w14:paraId="374EF3DD">
            <w:pPr>
              <w:pStyle w:val="1358"/>
              <w:rPr>
                <w:color w:val="auto"/>
                <w:highlight w:val="none"/>
              </w:rPr>
            </w:pPr>
            <w:r>
              <w:rPr>
                <w:color w:val="auto"/>
                <w:highlight w:val="none"/>
              </w:rPr>
              <w:t>评价等级</w:t>
            </w:r>
          </w:p>
        </w:tc>
        <w:tc>
          <w:tcPr>
            <w:tcW w:w="6108" w:type="dxa"/>
            <w:gridSpan w:val="3"/>
            <w:noWrap w:val="0"/>
            <w:vAlign w:val="center"/>
          </w:tcPr>
          <w:p w14:paraId="3CBC854A">
            <w:pPr>
              <w:pStyle w:val="1358"/>
              <w:rPr>
                <w:color w:val="auto"/>
                <w:highlight w:val="none"/>
              </w:rPr>
            </w:pPr>
            <w:r>
              <w:rPr>
                <w:color w:val="auto"/>
                <w:highlight w:val="none"/>
              </w:rPr>
              <w:t>水污染影响型</w:t>
            </w:r>
          </w:p>
        </w:tc>
        <w:tc>
          <w:tcPr>
            <w:tcW w:w="3821" w:type="dxa"/>
            <w:gridSpan w:val="2"/>
            <w:noWrap w:val="0"/>
            <w:vAlign w:val="center"/>
          </w:tcPr>
          <w:p w14:paraId="6E643771">
            <w:pPr>
              <w:pStyle w:val="1358"/>
              <w:rPr>
                <w:color w:val="auto"/>
                <w:highlight w:val="none"/>
              </w:rPr>
            </w:pPr>
            <w:r>
              <w:rPr>
                <w:color w:val="auto"/>
                <w:highlight w:val="none"/>
              </w:rPr>
              <w:t>水文要素影响型</w:t>
            </w:r>
          </w:p>
        </w:tc>
      </w:tr>
      <w:tr w14:paraId="730863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vMerge w:val="continue"/>
            <w:noWrap w:val="0"/>
            <w:vAlign w:val="center"/>
          </w:tcPr>
          <w:p w14:paraId="2CFCB371">
            <w:pPr>
              <w:pStyle w:val="1358"/>
              <w:rPr>
                <w:color w:val="auto"/>
                <w:highlight w:val="none"/>
              </w:rPr>
            </w:pPr>
          </w:p>
        </w:tc>
        <w:tc>
          <w:tcPr>
            <w:tcW w:w="6108" w:type="dxa"/>
            <w:gridSpan w:val="3"/>
            <w:noWrap w:val="0"/>
            <w:vAlign w:val="center"/>
          </w:tcPr>
          <w:p w14:paraId="0EB45326">
            <w:pPr>
              <w:pStyle w:val="1358"/>
              <w:rPr>
                <w:color w:val="auto"/>
                <w:highlight w:val="none"/>
              </w:rPr>
            </w:pPr>
            <w:r>
              <w:rPr>
                <w:color w:val="auto"/>
                <w:highlight w:val="none"/>
              </w:rPr>
              <w:t>一级□；二级□；三级A□；三级B√</w:t>
            </w:r>
          </w:p>
        </w:tc>
        <w:tc>
          <w:tcPr>
            <w:tcW w:w="3821" w:type="dxa"/>
            <w:gridSpan w:val="2"/>
            <w:noWrap w:val="0"/>
            <w:vAlign w:val="center"/>
          </w:tcPr>
          <w:p w14:paraId="28179E8F">
            <w:pPr>
              <w:pStyle w:val="1358"/>
              <w:rPr>
                <w:color w:val="auto"/>
                <w:highlight w:val="none"/>
              </w:rPr>
            </w:pPr>
            <w:r>
              <w:rPr>
                <w:color w:val="auto"/>
                <w:highlight w:val="none"/>
              </w:rPr>
              <w:t>一级□；二级□；三级□</w:t>
            </w:r>
          </w:p>
        </w:tc>
      </w:tr>
      <w:tr w14:paraId="46017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vMerge w:val="restart"/>
            <w:noWrap w:val="0"/>
            <w:vAlign w:val="center"/>
          </w:tcPr>
          <w:p w14:paraId="43403237">
            <w:pPr>
              <w:pStyle w:val="1358"/>
              <w:rPr>
                <w:color w:val="auto"/>
                <w:highlight w:val="none"/>
              </w:rPr>
            </w:pPr>
            <w:r>
              <w:rPr>
                <w:color w:val="auto"/>
                <w:highlight w:val="none"/>
              </w:rPr>
              <w:t>区域污染源</w:t>
            </w:r>
          </w:p>
        </w:tc>
        <w:tc>
          <w:tcPr>
            <w:tcW w:w="6108" w:type="dxa"/>
            <w:gridSpan w:val="3"/>
            <w:noWrap w:val="0"/>
            <w:vAlign w:val="center"/>
          </w:tcPr>
          <w:p w14:paraId="4ABE68FF">
            <w:pPr>
              <w:pStyle w:val="1358"/>
              <w:rPr>
                <w:color w:val="auto"/>
                <w:highlight w:val="none"/>
              </w:rPr>
            </w:pPr>
            <w:r>
              <w:rPr>
                <w:color w:val="auto"/>
                <w:highlight w:val="none"/>
              </w:rPr>
              <w:t>调查项目</w:t>
            </w:r>
          </w:p>
        </w:tc>
        <w:tc>
          <w:tcPr>
            <w:tcW w:w="3821" w:type="dxa"/>
            <w:gridSpan w:val="2"/>
            <w:noWrap w:val="0"/>
            <w:vAlign w:val="center"/>
          </w:tcPr>
          <w:p w14:paraId="76054FFF">
            <w:pPr>
              <w:pStyle w:val="1358"/>
              <w:rPr>
                <w:color w:val="auto"/>
                <w:highlight w:val="none"/>
              </w:rPr>
            </w:pPr>
            <w:r>
              <w:rPr>
                <w:color w:val="auto"/>
                <w:highlight w:val="none"/>
              </w:rPr>
              <w:t>数据来源</w:t>
            </w:r>
          </w:p>
        </w:tc>
      </w:tr>
      <w:tr w14:paraId="4F951A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vMerge w:val="continue"/>
            <w:noWrap w:val="0"/>
            <w:vAlign w:val="center"/>
          </w:tcPr>
          <w:p w14:paraId="17395644">
            <w:pPr>
              <w:pStyle w:val="1358"/>
              <w:rPr>
                <w:color w:val="auto"/>
                <w:highlight w:val="none"/>
              </w:rPr>
            </w:pPr>
          </w:p>
        </w:tc>
        <w:tc>
          <w:tcPr>
            <w:tcW w:w="3858" w:type="dxa"/>
            <w:gridSpan w:val="2"/>
            <w:noWrap w:val="0"/>
            <w:vAlign w:val="center"/>
          </w:tcPr>
          <w:p w14:paraId="1FDC132E">
            <w:pPr>
              <w:pStyle w:val="1358"/>
              <w:rPr>
                <w:color w:val="auto"/>
                <w:highlight w:val="none"/>
              </w:rPr>
            </w:pPr>
            <w:r>
              <w:rPr>
                <w:color w:val="auto"/>
                <w:highlight w:val="none"/>
              </w:rPr>
              <w:t>已建□；在建□；拟建□；</w:t>
            </w:r>
          </w:p>
          <w:p w14:paraId="51BF566E">
            <w:pPr>
              <w:pStyle w:val="1358"/>
              <w:rPr>
                <w:color w:val="auto"/>
                <w:highlight w:val="none"/>
              </w:rPr>
            </w:pPr>
            <w:r>
              <w:rPr>
                <w:color w:val="auto"/>
                <w:highlight w:val="none"/>
              </w:rPr>
              <w:t>其他□</w:t>
            </w:r>
          </w:p>
        </w:tc>
        <w:tc>
          <w:tcPr>
            <w:tcW w:w="2250" w:type="dxa"/>
            <w:noWrap w:val="0"/>
            <w:vAlign w:val="center"/>
          </w:tcPr>
          <w:p w14:paraId="0C360943">
            <w:pPr>
              <w:pStyle w:val="1358"/>
              <w:rPr>
                <w:color w:val="auto"/>
                <w:highlight w:val="none"/>
              </w:rPr>
            </w:pPr>
            <w:r>
              <w:rPr>
                <w:color w:val="auto"/>
                <w:highlight w:val="none"/>
              </w:rPr>
              <w:t>拟替代的污染源□</w:t>
            </w:r>
          </w:p>
        </w:tc>
        <w:tc>
          <w:tcPr>
            <w:tcW w:w="3821" w:type="dxa"/>
            <w:gridSpan w:val="2"/>
            <w:noWrap w:val="0"/>
            <w:vAlign w:val="center"/>
          </w:tcPr>
          <w:p w14:paraId="7A673894">
            <w:pPr>
              <w:pStyle w:val="1358"/>
              <w:rPr>
                <w:color w:val="auto"/>
                <w:highlight w:val="none"/>
              </w:rPr>
            </w:pPr>
            <w:r>
              <w:rPr>
                <w:color w:val="auto"/>
                <w:highlight w:val="none"/>
              </w:rPr>
              <w:t>排污许可证□；环评□；环保验收□；既有实测□；现场监测□；入河排放口数据□；其他□</w:t>
            </w:r>
          </w:p>
        </w:tc>
      </w:tr>
      <w:tr w14:paraId="65AC15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508656AD">
            <w:pPr>
              <w:pStyle w:val="1358"/>
              <w:rPr>
                <w:color w:val="auto"/>
                <w:highlight w:val="none"/>
              </w:rPr>
            </w:pPr>
            <w:r>
              <w:rPr>
                <w:color w:val="auto"/>
                <w:highlight w:val="none"/>
              </w:rPr>
              <w:t>现状调查</w:t>
            </w:r>
          </w:p>
        </w:tc>
        <w:tc>
          <w:tcPr>
            <w:tcW w:w="3726" w:type="dxa"/>
            <w:vMerge w:val="restart"/>
            <w:noWrap w:val="0"/>
            <w:vAlign w:val="center"/>
          </w:tcPr>
          <w:p w14:paraId="196707F7">
            <w:pPr>
              <w:pStyle w:val="1358"/>
              <w:rPr>
                <w:color w:val="auto"/>
                <w:highlight w:val="none"/>
              </w:rPr>
            </w:pPr>
            <w:r>
              <w:rPr>
                <w:color w:val="auto"/>
                <w:highlight w:val="none"/>
              </w:rPr>
              <w:t>受影响水体水环境质量</w:t>
            </w:r>
          </w:p>
        </w:tc>
        <w:tc>
          <w:tcPr>
            <w:tcW w:w="6108" w:type="dxa"/>
            <w:gridSpan w:val="3"/>
            <w:noWrap w:val="0"/>
            <w:vAlign w:val="center"/>
          </w:tcPr>
          <w:p w14:paraId="1F3F6CEA">
            <w:pPr>
              <w:pStyle w:val="1358"/>
              <w:rPr>
                <w:color w:val="auto"/>
                <w:highlight w:val="none"/>
              </w:rPr>
            </w:pPr>
            <w:r>
              <w:rPr>
                <w:color w:val="auto"/>
                <w:highlight w:val="none"/>
              </w:rPr>
              <w:t>调查时期</w:t>
            </w:r>
          </w:p>
        </w:tc>
        <w:tc>
          <w:tcPr>
            <w:tcW w:w="3821" w:type="dxa"/>
            <w:gridSpan w:val="2"/>
            <w:noWrap w:val="0"/>
            <w:vAlign w:val="center"/>
          </w:tcPr>
          <w:p w14:paraId="5BE213FE">
            <w:pPr>
              <w:pStyle w:val="1358"/>
              <w:rPr>
                <w:color w:val="auto"/>
                <w:highlight w:val="none"/>
              </w:rPr>
            </w:pPr>
            <w:r>
              <w:rPr>
                <w:color w:val="auto"/>
                <w:highlight w:val="none"/>
              </w:rPr>
              <w:t>数据来源</w:t>
            </w:r>
          </w:p>
        </w:tc>
      </w:tr>
      <w:tr w14:paraId="309D4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15B7CDF">
            <w:pPr>
              <w:pStyle w:val="1358"/>
              <w:rPr>
                <w:color w:val="auto"/>
                <w:highlight w:val="none"/>
              </w:rPr>
            </w:pPr>
          </w:p>
        </w:tc>
        <w:tc>
          <w:tcPr>
            <w:tcW w:w="3726" w:type="dxa"/>
            <w:vMerge w:val="continue"/>
            <w:noWrap w:val="0"/>
            <w:vAlign w:val="center"/>
          </w:tcPr>
          <w:p w14:paraId="247434A8">
            <w:pPr>
              <w:pStyle w:val="1358"/>
              <w:rPr>
                <w:color w:val="auto"/>
                <w:highlight w:val="none"/>
              </w:rPr>
            </w:pPr>
          </w:p>
        </w:tc>
        <w:tc>
          <w:tcPr>
            <w:tcW w:w="6108" w:type="dxa"/>
            <w:gridSpan w:val="3"/>
            <w:noWrap w:val="0"/>
            <w:vAlign w:val="center"/>
          </w:tcPr>
          <w:p w14:paraId="5171DB14">
            <w:pPr>
              <w:pStyle w:val="1358"/>
              <w:rPr>
                <w:color w:val="auto"/>
                <w:highlight w:val="none"/>
              </w:rPr>
            </w:pPr>
            <w:r>
              <w:rPr>
                <w:color w:val="auto"/>
                <w:highlight w:val="none"/>
              </w:rPr>
              <w:t>丰水期□；平水期□；枯水期□；冰封期□春季□；夏季□；秋季□；冬季□</w:t>
            </w:r>
          </w:p>
        </w:tc>
        <w:tc>
          <w:tcPr>
            <w:tcW w:w="3821" w:type="dxa"/>
            <w:gridSpan w:val="2"/>
            <w:noWrap w:val="0"/>
            <w:vAlign w:val="center"/>
          </w:tcPr>
          <w:p w14:paraId="51866249">
            <w:pPr>
              <w:pStyle w:val="1358"/>
              <w:rPr>
                <w:color w:val="auto"/>
                <w:highlight w:val="none"/>
              </w:rPr>
            </w:pPr>
            <w:r>
              <w:rPr>
                <w:color w:val="auto"/>
                <w:highlight w:val="none"/>
              </w:rPr>
              <w:t>生态环境保护主管部门□；补充监测□；其他□</w:t>
            </w:r>
          </w:p>
        </w:tc>
      </w:tr>
      <w:tr w14:paraId="43DD5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1CBC137">
            <w:pPr>
              <w:pStyle w:val="1358"/>
              <w:rPr>
                <w:color w:val="auto"/>
                <w:highlight w:val="none"/>
              </w:rPr>
            </w:pPr>
          </w:p>
        </w:tc>
        <w:tc>
          <w:tcPr>
            <w:tcW w:w="3726" w:type="dxa"/>
            <w:noWrap w:val="0"/>
            <w:vAlign w:val="center"/>
          </w:tcPr>
          <w:p w14:paraId="76DA272D">
            <w:pPr>
              <w:pStyle w:val="1358"/>
              <w:rPr>
                <w:color w:val="auto"/>
                <w:highlight w:val="none"/>
              </w:rPr>
            </w:pPr>
            <w:r>
              <w:rPr>
                <w:color w:val="auto"/>
                <w:highlight w:val="none"/>
              </w:rPr>
              <w:t>区域水资源开发利用状况</w:t>
            </w:r>
          </w:p>
        </w:tc>
        <w:tc>
          <w:tcPr>
            <w:tcW w:w="9929" w:type="dxa"/>
            <w:gridSpan w:val="5"/>
            <w:noWrap w:val="0"/>
            <w:vAlign w:val="center"/>
          </w:tcPr>
          <w:p w14:paraId="1B9E2AD4">
            <w:pPr>
              <w:pStyle w:val="1358"/>
              <w:rPr>
                <w:color w:val="auto"/>
                <w:highlight w:val="none"/>
              </w:rPr>
            </w:pPr>
            <w:r>
              <w:rPr>
                <w:color w:val="auto"/>
                <w:highlight w:val="none"/>
              </w:rPr>
              <w:t>未开发√；开发量40%以下□；开发量40%以上□</w:t>
            </w:r>
          </w:p>
        </w:tc>
      </w:tr>
      <w:tr w14:paraId="49EAA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29F9964B">
            <w:pPr>
              <w:pStyle w:val="1358"/>
              <w:rPr>
                <w:color w:val="auto"/>
                <w:highlight w:val="none"/>
              </w:rPr>
            </w:pPr>
          </w:p>
        </w:tc>
        <w:tc>
          <w:tcPr>
            <w:tcW w:w="3726" w:type="dxa"/>
            <w:vMerge w:val="restart"/>
            <w:noWrap w:val="0"/>
            <w:vAlign w:val="center"/>
          </w:tcPr>
          <w:p w14:paraId="32559F20">
            <w:pPr>
              <w:pStyle w:val="1358"/>
              <w:rPr>
                <w:color w:val="auto"/>
                <w:highlight w:val="none"/>
              </w:rPr>
            </w:pPr>
            <w:r>
              <w:rPr>
                <w:color w:val="auto"/>
                <w:highlight w:val="none"/>
              </w:rPr>
              <w:t>水文情势调查</w:t>
            </w:r>
          </w:p>
        </w:tc>
        <w:tc>
          <w:tcPr>
            <w:tcW w:w="6108" w:type="dxa"/>
            <w:gridSpan w:val="3"/>
            <w:noWrap w:val="0"/>
            <w:vAlign w:val="center"/>
          </w:tcPr>
          <w:p w14:paraId="2C29CF9F">
            <w:pPr>
              <w:pStyle w:val="1358"/>
              <w:rPr>
                <w:color w:val="auto"/>
                <w:highlight w:val="none"/>
              </w:rPr>
            </w:pPr>
            <w:r>
              <w:rPr>
                <w:color w:val="auto"/>
                <w:highlight w:val="none"/>
              </w:rPr>
              <w:t>调查时期</w:t>
            </w:r>
          </w:p>
        </w:tc>
        <w:tc>
          <w:tcPr>
            <w:tcW w:w="3821" w:type="dxa"/>
            <w:gridSpan w:val="2"/>
            <w:noWrap w:val="0"/>
            <w:vAlign w:val="center"/>
          </w:tcPr>
          <w:p w14:paraId="1DF2519A">
            <w:pPr>
              <w:pStyle w:val="1358"/>
              <w:rPr>
                <w:color w:val="auto"/>
                <w:highlight w:val="none"/>
              </w:rPr>
            </w:pPr>
            <w:r>
              <w:rPr>
                <w:color w:val="auto"/>
                <w:highlight w:val="none"/>
              </w:rPr>
              <w:t>数据来源</w:t>
            </w:r>
          </w:p>
        </w:tc>
      </w:tr>
      <w:tr w14:paraId="52D9B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485" w:type="dxa"/>
            <w:vMerge w:val="continue"/>
            <w:noWrap w:val="0"/>
            <w:vAlign w:val="center"/>
          </w:tcPr>
          <w:p w14:paraId="7856FA81">
            <w:pPr>
              <w:pStyle w:val="1358"/>
              <w:rPr>
                <w:color w:val="auto"/>
                <w:highlight w:val="none"/>
              </w:rPr>
            </w:pPr>
          </w:p>
        </w:tc>
        <w:tc>
          <w:tcPr>
            <w:tcW w:w="3726" w:type="dxa"/>
            <w:vMerge w:val="continue"/>
            <w:noWrap w:val="0"/>
            <w:vAlign w:val="center"/>
          </w:tcPr>
          <w:p w14:paraId="5B89BEB9">
            <w:pPr>
              <w:pStyle w:val="1358"/>
              <w:rPr>
                <w:color w:val="auto"/>
                <w:highlight w:val="none"/>
              </w:rPr>
            </w:pPr>
          </w:p>
        </w:tc>
        <w:tc>
          <w:tcPr>
            <w:tcW w:w="6108" w:type="dxa"/>
            <w:gridSpan w:val="3"/>
            <w:noWrap w:val="0"/>
            <w:vAlign w:val="center"/>
          </w:tcPr>
          <w:p w14:paraId="2770354A">
            <w:pPr>
              <w:pStyle w:val="1358"/>
              <w:rPr>
                <w:color w:val="auto"/>
                <w:highlight w:val="none"/>
              </w:rPr>
            </w:pPr>
            <w:r>
              <w:rPr>
                <w:color w:val="auto"/>
                <w:highlight w:val="none"/>
              </w:rPr>
              <w:t>丰水期□；平水期□；枯水期□；冰封期□春季□；夏季□；秋季□；冬季□</w:t>
            </w:r>
          </w:p>
        </w:tc>
        <w:tc>
          <w:tcPr>
            <w:tcW w:w="3821" w:type="dxa"/>
            <w:gridSpan w:val="2"/>
            <w:noWrap w:val="0"/>
            <w:vAlign w:val="center"/>
          </w:tcPr>
          <w:p w14:paraId="7B771995">
            <w:pPr>
              <w:pStyle w:val="1358"/>
              <w:rPr>
                <w:color w:val="auto"/>
                <w:highlight w:val="none"/>
              </w:rPr>
            </w:pPr>
            <w:r>
              <w:rPr>
                <w:color w:val="auto"/>
                <w:highlight w:val="none"/>
              </w:rPr>
              <w:t>水行政主管部门□；补充监测□；其他□</w:t>
            </w:r>
          </w:p>
        </w:tc>
      </w:tr>
      <w:tr w14:paraId="05004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2F5DE2B7">
            <w:pPr>
              <w:pStyle w:val="1358"/>
              <w:rPr>
                <w:color w:val="auto"/>
                <w:highlight w:val="none"/>
              </w:rPr>
            </w:pPr>
          </w:p>
        </w:tc>
        <w:tc>
          <w:tcPr>
            <w:tcW w:w="3726" w:type="dxa"/>
            <w:vMerge w:val="restart"/>
            <w:noWrap w:val="0"/>
            <w:vAlign w:val="center"/>
          </w:tcPr>
          <w:p w14:paraId="2E7098FA">
            <w:pPr>
              <w:pStyle w:val="1358"/>
              <w:rPr>
                <w:color w:val="auto"/>
                <w:highlight w:val="none"/>
              </w:rPr>
            </w:pPr>
            <w:r>
              <w:rPr>
                <w:color w:val="auto"/>
                <w:highlight w:val="none"/>
              </w:rPr>
              <w:t>补充监测</w:t>
            </w:r>
          </w:p>
        </w:tc>
        <w:tc>
          <w:tcPr>
            <w:tcW w:w="3858" w:type="dxa"/>
            <w:gridSpan w:val="2"/>
            <w:noWrap w:val="0"/>
            <w:vAlign w:val="center"/>
          </w:tcPr>
          <w:p w14:paraId="4A96C842">
            <w:pPr>
              <w:pStyle w:val="1358"/>
              <w:rPr>
                <w:color w:val="auto"/>
                <w:highlight w:val="none"/>
              </w:rPr>
            </w:pPr>
            <w:r>
              <w:rPr>
                <w:color w:val="auto"/>
                <w:highlight w:val="none"/>
              </w:rPr>
              <w:t>监测时期</w:t>
            </w:r>
          </w:p>
        </w:tc>
        <w:tc>
          <w:tcPr>
            <w:tcW w:w="3840" w:type="dxa"/>
            <w:gridSpan w:val="2"/>
            <w:noWrap w:val="0"/>
            <w:vAlign w:val="center"/>
          </w:tcPr>
          <w:p w14:paraId="33024106">
            <w:pPr>
              <w:pStyle w:val="1358"/>
              <w:rPr>
                <w:color w:val="auto"/>
                <w:highlight w:val="none"/>
              </w:rPr>
            </w:pPr>
            <w:r>
              <w:rPr>
                <w:color w:val="auto"/>
                <w:highlight w:val="none"/>
              </w:rPr>
              <w:t>监测因子</w:t>
            </w:r>
          </w:p>
        </w:tc>
        <w:tc>
          <w:tcPr>
            <w:tcW w:w="2231" w:type="dxa"/>
            <w:noWrap w:val="0"/>
            <w:vAlign w:val="center"/>
          </w:tcPr>
          <w:p w14:paraId="3663AD18">
            <w:pPr>
              <w:pStyle w:val="1358"/>
              <w:rPr>
                <w:color w:val="auto"/>
                <w:highlight w:val="none"/>
              </w:rPr>
            </w:pPr>
            <w:r>
              <w:rPr>
                <w:color w:val="auto"/>
                <w:highlight w:val="none"/>
              </w:rPr>
              <w:t>监测断面或点位</w:t>
            </w:r>
          </w:p>
        </w:tc>
      </w:tr>
      <w:tr w14:paraId="7B84A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AD4E574">
            <w:pPr>
              <w:pStyle w:val="1358"/>
              <w:rPr>
                <w:color w:val="auto"/>
                <w:highlight w:val="none"/>
              </w:rPr>
            </w:pPr>
          </w:p>
        </w:tc>
        <w:tc>
          <w:tcPr>
            <w:tcW w:w="3726" w:type="dxa"/>
            <w:vMerge w:val="continue"/>
            <w:noWrap w:val="0"/>
            <w:vAlign w:val="center"/>
          </w:tcPr>
          <w:p w14:paraId="09A42824">
            <w:pPr>
              <w:pStyle w:val="1358"/>
              <w:rPr>
                <w:color w:val="auto"/>
                <w:highlight w:val="none"/>
              </w:rPr>
            </w:pPr>
          </w:p>
        </w:tc>
        <w:tc>
          <w:tcPr>
            <w:tcW w:w="3858" w:type="dxa"/>
            <w:gridSpan w:val="2"/>
            <w:noWrap w:val="0"/>
            <w:vAlign w:val="center"/>
          </w:tcPr>
          <w:p w14:paraId="2BF9E5E8">
            <w:pPr>
              <w:pStyle w:val="1358"/>
              <w:rPr>
                <w:color w:val="auto"/>
                <w:highlight w:val="none"/>
              </w:rPr>
            </w:pPr>
            <w:r>
              <w:rPr>
                <w:color w:val="auto"/>
                <w:highlight w:val="none"/>
              </w:rPr>
              <w:t>丰水期□；平水期□；枯水期□；冰封期□春季□；夏季□；秋季□；冬季□</w:t>
            </w:r>
          </w:p>
        </w:tc>
        <w:tc>
          <w:tcPr>
            <w:tcW w:w="3840" w:type="dxa"/>
            <w:gridSpan w:val="2"/>
            <w:noWrap w:val="0"/>
            <w:vAlign w:val="center"/>
          </w:tcPr>
          <w:p w14:paraId="20D58145">
            <w:pPr>
              <w:pStyle w:val="1358"/>
              <w:rPr>
                <w:rFonts w:hint="eastAsia" w:eastAsia="宋体"/>
                <w:color w:val="auto"/>
                <w:highlight w:val="none"/>
                <w:lang w:val="en-US" w:eastAsia="zh-CN"/>
              </w:rPr>
            </w:pPr>
            <w:r>
              <w:rPr>
                <w:rFonts w:hint="eastAsia"/>
                <w:color w:val="auto"/>
                <w:highlight w:val="none"/>
                <w:lang w:val="en-US" w:eastAsia="zh-CN"/>
              </w:rPr>
              <w:t>/</w:t>
            </w:r>
          </w:p>
        </w:tc>
        <w:tc>
          <w:tcPr>
            <w:tcW w:w="2231" w:type="dxa"/>
            <w:noWrap w:val="0"/>
            <w:vAlign w:val="center"/>
          </w:tcPr>
          <w:p w14:paraId="73BB6082">
            <w:pPr>
              <w:pStyle w:val="1358"/>
              <w:rPr>
                <w:color w:val="auto"/>
                <w:highlight w:val="none"/>
              </w:rPr>
            </w:pPr>
            <w:r>
              <w:rPr>
                <w:color w:val="auto"/>
                <w:highlight w:val="none"/>
              </w:rPr>
              <w:t>监测断面或点位个数</w:t>
            </w:r>
          </w:p>
          <w:p w14:paraId="7C46E1B8">
            <w:pPr>
              <w:pStyle w:val="1358"/>
              <w:rPr>
                <w:rFonts w:hint="eastAsia" w:eastAsia="宋体"/>
                <w:color w:val="auto"/>
                <w:highlight w:val="none"/>
                <w:lang w:eastAsia="zh-CN"/>
              </w:rPr>
            </w:pPr>
            <w:r>
              <w:rPr>
                <w:rFonts w:hint="eastAsia"/>
                <w:color w:val="auto"/>
                <w:highlight w:val="none"/>
                <w:lang w:val="en-US" w:eastAsia="zh-CN"/>
              </w:rPr>
              <w:t>/</w:t>
            </w:r>
          </w:p>
        </w:tc>
      </w:tr>
      <w:tr w14:paraId="2A2C7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13062A5E">
            <w:pPr>
              <w:pStyle w:val="1358"/>
              <w:rPr>
                <w:color w:val="auto"/>
                <w:highlight w:val="none"/>
              </w:rPr>
            </w:pPr>
            <w:r>
              <w:rPr>
                <w:color w:val="auto"/>
                <w:highlight w:val="none"/>
              </w:rPr>
              <w:t>现状评价</w:t>
            </w:r>
          </w:p>
        </w:tc>
        <w:tc>
          <w:tcPr>
            <w:tcW w:w="3726" w:type="dxa"/>
            <w:noWrap w:val="0"/>
            <w:vAlign w:val="center"/>
          </w:tcPr>
          <w:p w14:paraId="7B2EB9C8">
            <w:pPr>
              <w:pStyle w:val="1358"/>
              <w:rPr>
                <w:color w:val="auto"/>
                <w:highlight w:val="none"/>
              </w:rPr>
            </w:pPr>
            <w:r>
              <w:rPr>
                <w:color w:val="auto"/>
                <w:highlight w:val="none"/>
              </w:rPr>
              <w:t>评价范围</w:t>
            </w:r>
          </w:p>
        </w:tc>
        <w:tc>
          <w:tcPr>
            <w:tcW w:w="9929" w:type="dxa"/>
            <w:gridSpan w:val="5"/>
            <w:noWrap w:val="0"/>
            <w:vAlign w:val="center"/>
          </w:tcPr>
          <w:p w14:paraId="3C33FB75">
            <w:pPr>
              <w:pStyle w:val="1358"/>
              <w:rPr>
                <w:color w:val="auto"/>
                <w:highlight w:val="none"/>
              </w:rPr>
            </w:pPr>
            <w:r>
              <w:rPr>
                <w:color w:val="auto"/>
                <w:highlight w:val="none"/>
              </w:rPr>
              <w:t>河流：长度（ ）km；湖库、河口及近岸海域：面积（）km</w:t>
            </w:r>
            <w:r>
              <w:rPr>
                <w:color w:val="auto"/>
                <w:highlight w:val="none"/>
                <w:vertAlign w:val="superscript"/>
              </w:rPr>
              <w:t>2</w:t>
            </w:r>
          </w:p>
        </w:tc>
      </w:tr>
      <w:tr w14:paraId="5CBC1C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5DE00246">
            <w:pPr>
              <w:pStyle w:val="1358"/>
              <w:rPr>
                <w:color w:val="auto"/>
                <w:highlight w:val="none"/>
              </w:rPr>
            </w:pPr>
          </w:p>
        </w:tc>
        <w:tc>
          <w:tcPr>
            <w:tcW w:w="3726" w:type="dxa"/>
            <w:noWrap w:val="0"/>
            <w:vAlign w:val="center"/>
          </w:tcPr>
          <w:p w14:paraId="545BFDBD">
            <w:pPr>
              <w:pStyle w:val="1358"/>
              <w:rPr>
                <w:color w:val="auto"/>
                <w:highlight w:val="none"/>
              </w:rPr>
            </w:pPr>
            <w:r>
              <w:rPr>
                <w:color w:val="auto"/>
                <w:highlight w:val="none"/>
              </w:rPr>
              <w:t>评价因子</w:t>
            </w:r>
          </w:p>
        </w:tc>
        <w:tc>
          <w:tcPr>
            <w:tcW w:w="9929" w:type="dxa"/>
            <w:gridSpan w:val="5"/>
            <w:noWrap w:val="0"/>
            <w:vAlign w:val="center"/>
          </w:tcPr>
          <w:p w14:paraId="25DF1607">
            <w:pPr>
              <w:pStyle w:val="1358"/>
              <w:rPr>
                <w:color w:val="auto"/>
                <w:highlight w:val="none"/>
              </w:rPr>
            </w:pPr>
            <w:r>
              <w:rPr>
                <w:color w:val="auto"/>
                <w:highlight w:val="none"/>
              </w:rPr>
              <w:t>（pH、COD、BOD</w:t>
            </w:r>
            <w:r>
              <w:rPr>
                <w:color w:val="auto"/>
                <w:highlight w:val="none"/>
                <w:vertAlign w:val="subscript"/>
              </w:rPr>
              <w:t>5</w:t>
            </w:r>
            <w:r>
              <w:rPr>
                <w:color w:val="auto"/>
                <w:highlight w:val="none"/>
              </w:rPr>
              <w:t>、SS、NH</w:t>
            </w:r>
            <w:r>
              <w:rPr>
                <w:color w:val="auto"/>
                <w:highlight w:val="none"/>
                <w:vertAlign w:val="subscript"/>
              </w:rPr>
              <w:t>3</w:t>
            </w:r>
            <w:r>
              <w:rPr>
                <w:color w:val="auto"/>
                <w:highlight w:val="none"/>
              </w:rPr>
              <w:t>-N、石油类）</w:t>
            </w:r>
          </w:p>
        </w:tc>
      </w:tr>
      <w:tr w14:paraId="1DA54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0377A5A">
            <w:pPr>
              <w:pStyle w:val="1358"/>
              <w:rPr>
                <w:color w:val="auto"/>
                <w:highlight w:val="none"/>
              </w:rPr>
            </w:pPr>
          </w:p>
        </w:tc>
        <w:tc>
          <w:tcPr>
            <w:tcW w:w="3726" w:type="dxa"/>
            <w:noWrap w:val="0"/>
            <w:vAlign w:val="center"/>
          </w:tcPr>
          <w:p w14:paraId="01EF4F55">
            <w:pPr>
              <w:pStyle w:val="1358"/>
              <w:rPr>
                <w:color w:val="auto"/>
                <w:highlight w:val="none"/>
              </w:rPr>
            </w:pPr>
            <w:r>
              <w:rPr>
                <w:color w:val="auto"/>
                <w:highlight w:val="none"/>
              </w:rPr>
              <w:t>评价标准</w:t>
            </w:r>
          </w:p>
        </w:tc>
        <w:tc>
          <w:tcPr>
            <w:tcW w:w="9929" w:type="dxa"/>
            <w:gridSpan w:val="5"/>
            <w:noWrap w:val="0"/>
            <w:vAlign w:val="center"/>
          </w:tcPr>
          <w:p w14:paraId="5E27C54F">
            <w:pPr>
              <w:pStyle w:val="1358"/>
              <w:rPr>
                <w:color w:val="auto"/>
                <w:highlight w:val="none"/>
              </w:rPr>
            </w:pPr>
            <w:r>
              <w:rPr>
                <w:color w:val="auto"/>
                <w:highlight w:val="none"/>
              </w:rPr>
              <w:t>河流、湖库、河口：Ⅰ类□；Ⅱ类□；Ⅲ类√；Ⅳ类□；Ⅴ类□</w:t>
            </w:r>
          </w:p>
          <w:p w14:paraId="0C5191A5">
            <w:pPr>
              <w:pStyle w:val="1358"/>
              <w:rPr>
                <w:color w:val="auto"/>
                <w:highlight w:val="none"/>
              </w:rPr>
            </w:pPr>
            <w:r>
              <w:rPr>
                <w:color w:val="auto"/>
                <w:highlight w:val="none"/>
              </w:rPr>
              <w:t>近岸海域：第一类□；第二类□；第三类□；第四类□</w:t>
            </w:r>
          </w:p>
          <w:p w14:paraId="0D0D81B3">
            <w:pPr>
              <w:pStyle w:val="1358"/>
              <w:rPr>
                <w:color w:val="auto"/>
                <w:highlight w:val="none"/>
              </w:rPr>
            </w:pPr>
            <w:r>
              <w:rPr>
                <w:color w:val="auto"/>
                <w:highlight w:val="none"/>
              </w:rPr>
              <w:t>规划年评价标准（）</w:t>
            </w:r>
          </w:p>
        </w:tc>
      </w:tr>
      <w:tr w14:paraId="09FC2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BFE0D2B">
            <w:pPr>
              <w:pStyle w:val="1358"/>
              <w:rPr>
                <w:color w:val="auto"/>
                <w:highlight w:val="none"/>
              </w:rPr>
            </w:pPr>
          </w:p>
        </w:tc>
        <w:tc>
          <w:tcPr>
            <w:tcW w:w="3726" w:type="dxa"/>
            <w:noWrap w:val="0"/>
            <w:vAlign w:val="center"/>
          </w:tcPr>
          <w:p w14:paraId="3BF420F1">
            <w:pPr>
              <w:pStyle w:val="1358"/>
              <w:rPr>
                <w:color w:val="auto"/>
                <w:highlight w:val="none"/>
              </w:rPr>
            </w:pPr>
            <w:r>
              <w:rPr>
                <w:color w:val="auto"/>
                <w:highlight w:val="none"/>
              </w:rPr>
              <w:t>评价时期</w:t>
            </w:r>
          </w:p>
        </w:tc>
        <w:tc>
          <w:tcPr>
            <w:tcW w:w="9929" w:type="dxa"/>
            <w:gridSpan w:val="5"/>
            <w:noWrap w:val="0"/>
            <w:vAlign w:val="center"/>
          </w:tcPr>
          <w:p w14:paraId="18A33D68">
            <w:pPr>
              <w:pStyle w:val="1358"/>
              <w:rPr>
                <w:color w:val="auto"/>
                <w:highlight w:val="none"/>
              </w:rPr>
            </w:pPr>
            <w:r>
              <w:rPr>
                <w:color w:val="auto"/>
                <w:highlight w:val="none"/>
              </w:rPr>
              <w:t>丰水期□；平水期□；枯水期□；冰封期□</w:t>
            </w:r>
          </w:p>
          <w:p w14:paraId="50163E68">
            <w:pPr>
              <w:pStyle w:val="1358"/>
              <w:rPr>
                <w:color w:val="auto"/>
                <w:highlight w:val="none"/>
              </w:rPr>
            </w:pPr>
            <w:r>
              <w:rPr>
                <w:color w:val="auto"/>
                <w:highlight w:val="none"/>
              </w:rPr>
              <w:t>春季√；夏季□；秋季□；冬季□</w:t>
            </w:r>
          </w:p>
        </w:tc>
      </w:tr>
      <w:tr w14:paraId="16510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99BD99D">
            <w:pPr>
              <w:pStyle w:val="1358"/>
              <w:rPr>
                <w:color w:val="auto"/>
                <w:highlight w:val="none"/>
              </w:rPr>
            </w:pPr>
          </w:p>
        </w:tc>
        <w:tc>
          <w:tcPr>
            <w:tcW w:w="3726" w:type="dxa"/>
            <w:noWrap w:val="0"/>
            <w:vAlign w:val="center"/>
          </w:tcPr>
          <w:p w14:paraId="0AD63FD6">
            <w:pPr>
              <w:pStyle w:val="1358"/>
              <w:rPr>
                <w:color w:val="auto"/>
                <w:highlight w:val="none"/>
              </w:rPr>
            </w:pPr>
            <w:r>
              <w:rPr>
                <w:color w:val="auto"/>
                <w:highlight w:val="none"/>
              </w:rPr>
              <w:t>评价结论</w:t>
            </w:r>
          </w:p>
        </w:tc>
        <w:tc>
          <w:tcPr>
            <w:tcW w:w="7698" w:type="dxa"/>
            <w:gridSpan w:val="4"/>
            <w:noWrap w:val="0"/>
            <w:vAlign w:val="center"/>
          </w:tcPr>
          <w:p w14:paraId="091AFE14">
            <w:pPr>
              <w:pStyle w:val="1358"/>
              <w:rPr>
                <w:color w:val="auto"/>
                <w:highlight w:val="none"/>
              </w:rPr>
            </w:pPr>
            <w:r>
              <w:rPr>
                <w:color w:val="auto"/>
                <w:highlight w:val="none"/>
              </w:rPr>
              <w:t>水环境功能区或水功能区、近岸海域环境功能区水质达标状况：达标√；不达标□</w:t>
            </w:r>
          </w:p>
          <w:p w14:paraId="133299A2">
            <w:pPr>
              <w:pStyle w:val="1358"/>
              <w:rPr>
                <w:color w:val="auto"/>
                <w:highlight w:val="none"/>
              </w:rPr>
            </w:pPr>
            <w:r>
              <w:rPr>
                <w:color w:val="auto"/>
                <w:highlight w:val="none"/>
              </w:rPr>
              <w:t>水环境控制单元或断面水质达标状况：达标√；不达标□</w:t>
            </w:r>
          </w:p>
          <w:p w14:paraId="6084D291">
            <w:pPr>
              <w:pStyle w:val="1358"/>
              <w:rPr>
                <w:color w:val="auto"/>
                <w:highlight w:val="none"/>
              </w:rPr>
            </w:pPr>
            <w:r>
              <w:rPr>
                <w:color w:val="auto"/>
                <w:highlight w:val="none"/>
              </w:rPr>
              <w:t>水环境保护目标质量状况：达标√；不达标□</w:t>
            </w:r>
          </w:p>
          <w:p w14:paraId="323DDEF6">
            <w:pPr>
              <w:pStyle w:val="1358"/>
              <w:rPr>
                <w:color w:val="auto"/>
                <w:highlight w:val="none"/>
              </w:rPr>
            </w:pPr>
            <w:r>
              <w:rPr>
                <w:color w:val="auto"/>
                <w:highlight w:val="none"/>
              </w:rPr>
              <w:t>对照断面、控制断面等代表性断面的水质状况：达标√；不达标□</w:t>
            </w:r>
          </w:p>
          <w:p w14:paraId="10ECEE3E">
            <w:pPr>
              <w:pStyle w:val="1358"/>
              <w:rPr>
                <w:color w:val="auto"/>
                <w:highlight w:val="none"/>
              </w:rPr>
            </w:pPr>
            <w:r>
              <w:rPr>
                <w:color w:val="auto"/>
                <w:highlight w:val="none"/>
              </w:rPr>
              <w:t>底泥污染评价□</w:t>
            </w:r>
          </w:p>
          <w:p w14:paraId="5B08D0B3">
            <w:pPr>
              <w:pStyle w:val="1358"/>
              <w:rPr>
                <w:color w:val="auto"/>
                <w:highlight w:val="none"/>
              </w:rPr>
            </w:pPr>
            <w:r>
              <w:rPr>
                <w:color w:val="auto"/>
                <w:highlight w:val="none"/>
              </w:rPr>
              <w:t>水资源与开发利用程度及其水文情势评价□</w:t>
            </w:r>
          </w:p>
          <w:p w14:paraId="7371D0B0">
            <w:pPr>
              <w:pStyle w:val="1358"/>
              <w:rPr>
                <w:color w:val="auto"/>
                <w:highlight w:val="none"/>
              </w:rPr>
            </w:pPr>
            <w:r>
              <w:rPr>
                <w:color w:val="auto"/>
                <w:highlight w:val="none"/>
              </w:rPr>
              <w:t>水环境质量回顾评价□</w:t>
            </w:r>
          </w:p>
          <w:p w14:paraId="44010A9D">
            <w:pPr>
              <w:pStyle w:val="1358"/>
              <w:rPr>
                <w:color w:val="auto"/>
                <w:highlight w:val="none"/>
              </w:rPr>
            </w:pPr>
            <w:r>
              <w:rPr>
                <w:color w:val="auto"/>
                <w:highlight w:val="none"/>
              </w:rPr>
              <w:t>流域（区域）水资源（包括水能资源）与开发利用总体状况、生态流量管理要求与现状满足程度、建设项目占用水域空间的水流状况与河湖演变状况□</w:t>
            </w:r>
          </w:p>
          <w:p w14:paraId="789447A7">
            <w:pPr>
              <w:pStyle w:val="1358"/>
              <w:rPr>
                <w:color w:val="auto"/>
                <w:highlight w:val="none"/>
              </w:rPr>
            </w:pPr>
            <w:r>
              <w:rPr>
                <w:color w:val="auto"/>
                <w:highlight w:val="none"/>
              </w:rPr>
              <w:t>依托污水处理设施稳定达标排放评价√</w:t>
            </w:r>
          </w:p>
        </w:tc>
        <w:tc>
          <w:tcPr>
            <w:tcW w:w="2231" w:type="dxa"/>
            <w:noWrap w:val="0"/>
            <w:vAlign w:val="center"/>
          </w:tcPr>
          <w:p w14:paraId="000F76C0">
            <w:pPr>
              <w:pStyle w:val="1358"/>
              <w:rPr>
                <w:color w:val="auto"/>
                <w:highlight w:val="none"/>
              </w:rPr>
            </w:pPr>
            <w:r>
              <w:rPr>
                <w:color w:val="auto"/>
                <w:highlight w:val="none"/>
              </w:rPr>
              <w:t>达标区√</w:t>
            </w:r>
          </w:p>
          <w:p w14:paraId="0CB4096A">
            <w:pPr>
              <w:pStyle w:val="1358"/>
              <w:rPr>
                <w:color w:val="auto"/>
                <w:highlight w:val="none"/>
              </w:rPr>
            </w:pPr>
            <w:r>
              <w:rPr>
                <w:color w:val="auto"/>
                <w:highlight w:val="none"/>
              </w:rPr>
              <w:t>不达标区□</w:t>
            </w:r>
          </w:p>
        </w:tc>
      </w:tr>
      <w:tr w14:paraId="20D837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03C7F450">
            <w:pPr>
              <w:pStyle w:val="1358"/>
              <w:rPr>
                <w:color w:val="auto"/>
                <w:highlight w:val="none"/>
              </w:rPr>
            </w:pPr>
            <w:r>
              <w:rPr>
                <w:color w:val="auto"/>
                <w:highlight w:val="none"/>
              </w:rPr>
              <w:t>影响预测</w:t>
            </w:r>
          </w:p>
        </w:tc>
        <w:tc>
          <w:tcPr>
            <w:tcW w:w="3726" w:type="dxa"/>
            <w:noWrap w:val="0"/>
            <w:vAlign w:val="center"/>
          </w:tcPr>
          <w:p w14:paraId="486F98D5">
            <w:pPr>
              <w:pStyle w:val="1358"/>
              <w:rPr>
                <w:color w:val="auto"/>
                <w:highlight w:val="none"/>
              </w:rPr>
            </w:pPr>
            <w:r>
              <w:rPr>
                <w:color w:val="auto"/>
                <w:highlight w:val="none"/>
              </w:rPr>
              <w:t>预测范围</w:t>
            </w:r>
          </w:p>
        </w:tc>
        <w:tc>
          <w:tcPr>
            <w:tcW w:w="9929" w:type="dxa"/>
            <w:gridSpan w:val="5"/>
            <w:noWrap w:val="0"/>
            <w:vAlign w:val="center"/>
          </w:tcPr>
          <w:p w14:paraId="22D09D72">
            <w:pPr>
              <w:pStyle w:val="1358"/>
              <w:rPr>
                <w:color w:val="auto"/>
                <w:highlight w:val="none"/>
              </w:rPr>
            </w:pPr>
            <w:r>
              <w:rPr>
                <w:color w:val="auto"/>
                <w:highlight w:val="none"/>
              </w:rPr>
              <w:t>河流：长度（）km；湖库、河口及近岸海域：面积（）km</w:t>
            </w:r>
            <w:r>
              <w:rPr>
                <w:color w:val="auto"/>
                <w:highlight w:val="none"/>
                <w:vertAlign w:val="superscript"/>
              </w:rPr>
              <w:t>2</w:t>
            </w:r>
          </w:p>
        </w:tc>
      </w:tr>
      <w:tr w14:paraId="561BD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77CDAE4">
            <w:pPr>
              <w:pStyle w:val="1358"/>
              <w:rPr>
                <w:color w:val="auto"/>
                <w:highlight w:val="none"/>
              </w:rPr>
            </w:pPr>
          </w:p>
        </w:tc>
        <w:tc>
          <w:tcPr>
            <w:tcW w:w="3726" w:type="dxa"/>
            <w:noWrap w:val="0"/>
            <w:vAlign w:val="center"/>
          </w:tcPr>
          <w:p w14:paraId="6F323AD2">
            <w:pPr>
              <w:pStyle w:val="1358"/>
              <w:rPr>
                <w:color w:val="auto"/>
                <w:highlight w:val="none"/>
              </w:rPr>
            </w:pPr>
            <w:r>
              <w:rPr>
                <w:color w:val="auto"/>
                <w:highlight w:val="none"/>
              </w:rPr>
              <w:t>预测因子</w:t>
            </w:r>
          </w:p>
        </w:tc>
        <w:tc>
          <w:tcPr>
            <w:tcW w:w="9929" w:type="dxa"/>
            <w:gridSpan w:val="5"/>
            <w:noWrap w:val="0"/>
            <w:vAlign w:val="center"/>
          </w:tcPr>
          <w:p w14:paraId="7C650E26">
            <w:pPr>
              <w:pStyle w:val="1358"/>
              <w:rPr>
                <w:color w:val="auto"/>
                <w:highlight w:val="none"/>
              </w:rPr>
            </w:pPr>
            <w:r>
              <w:rPr>
                <w:color w:val="auto"/>
                <w:highlight w:val="none"/>
              </w:rPr>
              <w:t>（）</w:t>
            </w:r>
          </w:p>
        </w:tc>
      </w:tr>
      <w:tr w14:paraId="2A11AD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D4196E3">
            <w:pPr>
              <w:pStyle w:val="1358"/>
              <w:rPr>
                <w:color w:val="auto"/>
                <w:highlight w:val="none"/>
              </w:rPr>
            </w:pPr>
          </w:p>
        </w:tc>
        <w:tc>
          <w:tcPr>
            <w:tcW w:w="3726" w:type="dxa"/>
            <w:noWrap w:val="0"/>
            <w:vAlign w:val="center"/>
          </w:tcPr>
          <w:p w14:paraId="72650434">
            <w:pPr>
              <w:pStyle w:val="1358"/>
              <w:rPr>
                <w:color w:val="auto"/>
                <w:highlight w:val="none"/>
              </w:rPr>
            </w:pPr>
            <w:r>
              <w:rPr>
                <w:color w:val="auto"/>
                <w:highlight w:val="none"/>
              </w:rPr>
              <w:t>预测时期</w:t>
            </w:r>
          </w:p>
        </w:tc>
        <w:tc>
          <w:tcPr>
            <w:tcW w:w="9929" w:type="dxa"/>
            <w:gridSpan w:val="5"/>
            <w:noWrap w:val="0"/>
            <w:vAlign w:val="center"/>
          </w:tcPr>
          <w:p w14:paraId="5FF5F7F8">
            <w:pPr>
              <w:pStyle w:val="1358"/>
              <w:rPr>
                <w:color w:val="auto"/>
                <w:highlight w:val="none"/>
              </w:rPr>
            </w:pPr>
            <w:r>
              <w:rPr>
                <w:color w:val="auto"/>
                <w:highlight w:val="none"/>
              </w:rPr>
              <w:t>丰水期□；平水期□；枯水期□；冰封期□</w:t>
            </w:r>
          </w:p>
          <w:p w14:paraId="70D466ED">
            <w:pPr>
              <w:pStyle w:val="1358"/>
              <w:rPr>
                <w:color w:val="auto"/>
                <w:highlight w:val="none"/>
              </w:rPr>
            </w:pPr>
            <w:r>
              <w:rPr>
                <w:color w:val="auto"/>
                <w:highlight w:val="none"/>
              </w:rPr>
              <w:t>春季□；夏季□；秋季□；冬季□</w:t>
            </w:r>
          </w:p>
          <w:p w14:paraId="60C42AA1">
            <w:pPr>
              <w:pStyle w:val="1358"/>
              <w:rPr>
                <w:color w:val="auto"/>
                <w:highlight w:val="none"/>
              </w:rPr>
            </w:pPr>
            <w:r>
              <w:rPr>
                <w:color w:val="auto"/>
                <w:highlight w:val="none"/>
              </w:rPr>
              <w:t>设计水文条件□</w:t>
            </w:r>
          </w:p>
        </w:tc>
      </w:tr>
      <w:tr w14:paraId="4D297D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C4E86AF">
            <w:pPr>
              <w:pStyle w:val="1358"/>
              <w:rPr>
                <w:color w:val="auto"/>
                <w:highlight w:val="none"/>
              </w:rPr>
            </w:pPr>
          </w:p>
        </w:tc>
        <w:tc>
          <w:tcPr>
            <w:tcW w:w="3726" w:type="dxa"/>
            <w:noWrap w:val="0"/>
            <w:vAlign w:val="center"/>
          </w:tcPr>
          <w:p w14:paraId="4ACD80CA">
            <w:pPr>
              <w:pStyle w:val="1358"/>
              <w:rPr>
                <w:color w:val="auto"/>
                <w:highlight w:val="none"/>
              </w:rPr>
            </w:pPr>
            <w:r>
              <w:rPr>
                <w:color w:val="auto"/>
                <w:highlight w:val="none"/>
              </w:rPr>
              <w:t>预测背景</w:t>
            </w:r>
          </w:p>
        </w:tc>
        <w:tc>
          <w:tcPr>
            <w:tcW w:w="9929" w:type="dxa"/>
            <w:gridSpan w:val="5"/>
            <w:noWrap w:val="0"/>
            <w:vAlign w:val="center"/>
          </w:tcPr>
          <w:p w14:paraId="4129AEB6">
            <w:pPr>
              <w:pStyle w:val="1358"/>
              <w:rPr>
                <w:color w:val="auto"/>
                <w:highlight w:val="none"/>
              </w:rPr>
            </w:pPr>
            <w:r>
              <w:rPr>
                <w:color w:val="auto"/>
                <w:highlight w:val="none"/>
              </w:rPr>
              <w:t>建设期□；生产运行期□；服务期满后□</w:t>
            </w:r>
          </w:p>
          <w:p w14:paraId="5A1C9084">
            <w:pPr>
              <w:pStyle w:val="1358"/>
              <w:rPr>
                <w:color w:val="auto"/>
                <w:highlight w:val="none"/>
              </w:rPr>
            </w:pPr>
            <w:r>
              <w:rPr>
                <w:color w:val="auto"/>
                <w:highlight w:val="none"/>
              </w:rPr>
              <w:t>正常工况□；非正常工况□</w:t>
            </w:r>
          </w:p>
          <w:p w14:paraId="0C3E4906">
            <w:pPr>
              <w:pStyle w:val="1358"/>
              <w:rPr>
                <w:color w:val="auto"/>
                <w:highlight w:val="none"/>
              </w:rPr>
            </w:pPr>
            <w:r>
              <w:rPr>
                <w:color w:val="auto"/>
                <w:highlight w:val="none"/>
              </w:rPr>
              <w:t>污染控制和减缓措施方案□</w:t>
            </w:r>
          </w:p>
          <w:p w14:paraId="072F1E56">
            <w:pPr>
              <w:pStyle w:val="1358"/>
              <w:rPr>
                <w:color w:val="auto"/>
                <w:highlight w:val="none"/>
              </w:rPr>
            </w:pPr>
            <w:r>
              <w:rPr>
                <w:color w:val="auto"/>
                <w:highlight w:val="none"/>
              </w:rPr>
              <w:t>区（流）域环境质量改善目标要求情景□</w:t>
            </w:r>
          </w:p>
        </w:tc>
      </w:tr>
      <w:tr w14:paraId="0A20E6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AC306AC">
            <w:pPr>
              <w:pStyle w:val="1358"/>
              <w:rPr>
                <w:color w:val="auto"/>
                <w:highlight w:val="none"/>
              </w:rPr>
            </w:pPr>
          </w:p>
        </w:tc>
        <w:tc>
          <w:tcPr>
            <w:tcW w:w="3726" w:type="dxa"/>
            <w:noWrap w:val="0"/>
            <w:vAlign w:val="center"/>
          </w:tcPr>
          <w:p w14:paraId="733C8241">
            <w:pPr>
              <w:pStyle w:val="1358"/>
              <w:rPr>
                <w:color w:val="auto"/>
                <w:highlight w:val="none"/>
              </w:rPr>
            </w:pPr>
            <w:r>
              <w:rPr>
                <w:color w:val="auto"/>
                <w:highlight w:val="none"/>
              </w:rPr>
              <w:t>预测方法</w:t>
            </w:r>
          </w:p>
        </w:tc>
        <w:tc>
          <w:tcPr>
            <w:tcW w:w="9929" w:type="dxa"/>
            <w:gridSpan w:val="5"/>
            <w:noWrap w:val="0"/>
            <w:vAlign w:val="center"/>
          </w:tcPr>
          <w:p w14:paraId="55AA6598">
            <w:pPr>
              <w:pStyle w:val="1358"/>
              <w:rPr>
                <w:color w:val="auto"/>
                <w:highlight w:val="none"/>
              </w:rPr>
            </w:pPr>
            <w:r>
              <w:rPr>
                <w:color w:val="auto"/>
                <w:highlight w:val="none"/>
              </w:rPr>
              <w:t>数值解□：解析解□；其他□</w:t>
            </w:r>
          </w:p>
          <w:p w14:paraId="42899C9B">
            <w:pPr>
              <w:pStyle w:val="1358"/>
              <w:rPr>
                <w:color w:val="auto"/>
                <w:highlight w:val="none"/>
              </w:rPr>
            </w:pPr>
            <w:r>
              <w:rPr>
                <w:color w:val="auto"/>
                <w:highlight w:val="none"/>
              </w:rPr>
              <w:t>导则推荐模式□：其他□</w:t>
            </w:r>
          </w:p>
        </w:tc>
      </w:tr>
      <w:tr w14:paraId="556C98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24553CDD">
            <w:pPr>
              <w:pStyle w:val="1358"/>
              <w:rPr>
                <w:color w:val="auto"/>
                <w:highlight w:val="none"/>
              </w:rPr>
            </w:pPr>
            <w:r>
              <w:rPr>
                <w:color w:val="auto"/>
                <w:highlight w:val="none"/>
              </w:rPr>
              <w:t>影响评价</w:t>
            </w:r>
          </w:p>
        </w:tc>
        <w:tc>
          <w:tcPr>
            <w:tcW w:w="3726" w:type="dxa"/>
            <w:noWrap w:val="0"/>
            <w:vAlign w:val="center"/>
          </w:tcPr>
          <w:p w14:paraId="2DD39748">
            <w:pPr>
              <w:pStyle w:val="1358"/>
              <w:rPr>
                <w:color w:val="auto"/>
                <w:highlight w:val="none"/>
              </w:rPr>
            </w:pPr>
            <w:r>
              <w:rPr>
                <w:color w:val="auto"/>
                <w:highlight w:val="none"/>
              </w:rPr>
              <w:t>水污染控制和水环境影响减缓措施有效性评价</w:t>
            </w:r>
          </w:p>
        </w:tc>
        <w:tc>
          <w:tcPr>
            <w:tcW w:w="9929" w:type="dxa"/>
            <w:gridSpan w:val="5"/>
            <w:noWrap w:val="0"/>
            <w:vAlign w:val="center"/>
          </w:tcPr>
          <w:p w14:paraId="615BEFCE">
            <w:pPr>
              <w:pStyle w:val="1358"/>
              <w:rPr>
                <w:color w:val="auto"/>
                <w:highlight w:val="none"/>
              </w:rPr>
            </w:pPr>
            <w:r>
              <w:rPr>
                <w:color w:val="auto"/>
                <w:highlight w:val="none"/>
              </w:rPr>
              <w:t>区（流）域水环境质量改善目标□；替代削减源□</w:t>
            </w:r>
          </w:p>
        </w:tc>
      </w:tr>
      <w:tr w14:paraId="0C571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26C38F74">
            <w:pPr>
              <w:pStyle w:val="1358"/>
              <w:rPr>
                <w:color w:val="auto"/>
                <w:highlight w:val="none"/>
              </w:rPr>
            </w:pPr>
          </w:p>
        </w:tc>
        <w:tc>
          <w:tcPr>
            <w:tcW w:w="3726" w:type="dxa"/>
            <w:noWrap w:val="0"/>
            <w:vAlign w:val="center"/>
          </w:tcPr>
          <w:p w14:paraId="62B973B0">
            <w:pPr>
              <w:pStyle w:val="1358"/>
              <w:rPr>
                <w:color w:val="auto"/>
                <w:highlight w:val="none"/>
              </w:rPr>
            </w:pPr>
            <w:r>
              <w:rPr>
                <w:color w:val="auto"/>
                <w:highlight w:val="none"/>
              </w:rPr>
              <w:t>水环境影响评价</w:t>
            </w:r>
          </w:p>
        </w:tc>
        <w:tc>
          <w:tcPr>
            <w:tcW w:w="9929" w:type="dxa"/>
            <w:gridSpan w:val="5"/>
            <w:noWrap w:val="0"/>
            <w:vAlign w:val="center"/>
          </w:tcPr>
          <w:p w14:paraId="06B5012D">
            <w:pPr>
              <w:pStyle w:val="1358"/>
              <w:rPr>
                <w:color w:val="auto"/>
                <w:highlight w:val="none"/>
              </w:rPr>
            </w:pPr>
            <w:r>
              <w:rPr>
                <w:color w:val="auto"/>
                <w:highlight w:val="none"/>
              </w:rPr>
              <w:t>排放口混合区外满足水环境管理要求□</w:t>
            </w:r>
          </w:p>
          <w:p w14:paraId="36E21685">
            <w:pPr>
              <w:pStyle w:val="1358"/>
              <w:rPr>
                <w:color w:val="auto"/>
                <w:highlight w:val="none"/>
              </w:rPr>
            </w:pPr>
            <w:r>
              <w:rPr>
                <w:color w:val="auto"/>
                <w:highlight w:val="none"/>
              </w:rPr>
              <w:t>水环境功能区或水功能区、近岸海域环境功能区水质达标□</w:t>
            </w:r>
          </w:p>
          <w:p w14:paraId="5CE7C07E">
            <w:pPr>
              <w:pStyle w:val="1358"/>
              <w:rPr>
                <w:color w:val="auto"/>
                <w:highlight w:val="none"/>
              </w:rPr>
            </w:pPr>
            <w:r>
              <w:rPr>
                <w:color w:val="auto"/>
                <w:highlight w:val="none"/>
              </w:rPr>
              <w:t>满足水环境保护目标水域水环境质量要求□</w:t>
            </w:r>
          </w:p>
          <w:p w14:paraId="1A290EC7">
            <w:pPr>
              <w:pStyle w:val="1358"/>
              <w:rPr>
                <w:color w:val="auto"/>
                <w:highlight w:val="none"/>
              </w:rPr>
            </w:pPr>
            <w:r>
              <w:rPr>
                <w:color w:val="auto"/>
                <w:highlight w:val="none"/>
              </w:rPr>
              <w:t>水环境控制单元或断面水质达标□</w:t>
            </w:r>
          </w:p>
          <w:p w14:paraId="48AC820B">
            <w:pPr>
              <w:pStyle w:val="1358"/>
              <w:rPr>
                <w:color w:val="auto"/>
                <w:highlight w:val="none"/>
              </w:rPr>
            </w:pPr>
            <w:r>
              <w:rPr>
                <w:color w:val="auto"/>
                <w:highlight w:val="none"/>
              </w:rPr>
              <w:t>满足重点水污染物排放总量控制指标要求，重点行业建设项目，主要污染物排放满足等量或减量替代要求□</w:t>
            </w:r>
          </w:p>
          <w:p w14:paraId="00ABEB31">
            <w:pPr>
              <w:pStyle w:val="1358"/>
              <w:rPr>
                <w:color w:val="auto"/>
                <w:highlight w:val="none"/>
              </w:rPr>
            </w:pPr>
            <w:r>
              <w:rPr>
                <w:color w:val="auto"/>
                <w:highlight w:val="none"/>
              </w:rPr>
              <w:t>满足区（流）域水环境质量改善目标要求□</w:t>
            </w:r>
          </w:p>
          <w:p w14:paraId="0688B52D">
            <w:pPr>
              <w:pStyle w:val="1358"/>
              <w:rPr>
                <w:color w:val="auto"/>
                <w:highlight w:val="none"/>
              </w:rPr>
            </w:pPr>
            <w:r>
              <w:rPr>
                <w:color w:val="auto"/>
                <w:highlight w:val="none"/>
              </w:rPr>
              <w:t>水文要素影响型建设项目同时应包括水文情势变化评价、主要水文特征值影响评价、生态流量符合性评价□</w:t>
            </w:r>
          </w:p>
          <w:p w14:paraId="2E78B25A">
            <w:pPr>
              <w:pStyle w:val="1358"/>
              <w:rPr>
                <w:color w:val="auto"/>
                <w:highlight w:val="none"/>
              </w:rPr>
            </w:pPr>
            <w:r>
              <w:rPr>
                <w:color w:val="auto"/>
                <w:highlight w:val="none"/>
              </w:rPr>
              <w:t>对于新设或调整入河（湖库、近岸海域）排放口的建设项目，应包括排放口设置的环境合理性评价□</w:t>
            </w:r>
          </w:p>
          <w:p w14:paraId="21E4906E">
            <w:pPr>
              <w:pStyle w:val="1358"/>
              <w:rPr>
                <w:color w:val="auto"/>
                <w:highlight w:val="none"/>
              </w:rPr>
            </w:pPr>
            <w:r>
              <w:rPr>
                <w:color w:val="auto"/>
                <w:highlight w:val="none"/>
              </w:rPr>
              <w:t>满足生态保护红线、水环境质量底线、资源利用上线和环境准入清单管理要求□</w:t>
            </w:r>
          </w:p>
        </w:tc>
      </w:tr>
      <w:tr w14:paraId="359D15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ED27F95">
            <w:pPr>
              <w:pStyle w:val="1358"/>
              <w:rPr>
                <w:color w:val="auto"/>
                <w:highlight w:val="none"/>
              </w:rPr>
            </w:pPr>
          </w:p>
        </w:tc>
        <w:tc>
          <w:tcPr>
            <w:tcW w:w="3726" w:type="dxa"/>
            <w:vMerge w:val="restart"/>
            <w:noWrap w:val="0"/>
            <w:vAlign w:val="center"/>
          </w:tcPr>
          <w:p w14:paraId="22EDFEE0">
            <w:pPr>
              <w:pStyle w:val="1358"/>
              <w:rPr>
                <w:color w:val="auto"/>
                <w:highlight w:val="none"/>
              </w:rPr>
            </w:pPr>
            <w:r>
              <w:rPr>
                <w:color w:val="auto"/>
                <w:highlight w:val="none"/>
              </w:rPr>
              <w:t>污染物排放量核算</w:t>
            </w:r>
          </w:p>
        </w:tc>
        <w:tc>
          <w:tcPr>
            <w:tcW w:w="3858" w:type="dxa"/>
            <w:gridSpan w:val="2"/>
            <w:noWrap w:val="0"/>
            <w:vAlign w:val="center"/>
          </w:tcPr>
          <w:p w14:paraId="608E2439">
            <w:pPr>
              <w:pStyle w:val="1358"/>
              <w:rPr>
                <w:color w:val="auto"/>
                <w:highlight w:val="none"/>
              </w:rPr>
            </w:pPr>
            <w:r>
              <w:rPr>
                <w:color w:val="auto"/>
                <w:highlight w:val="none"/>
              </w:rPr>
              <w:t>污染物名称</w:t>
            </w:r>
          </w:p>
        </w:tc>
        <w:tc>
          <w:tcPr>
            <w:tcW w:w="2250" w:type="dxa"/>
            <w:noWrap w:val="0"/>
            <w:vAlign w:val="center"/>
          </w:tcPr>
          <w:p w14:paraId="690C2660">
            <w:pPr>
              <w:pStyle w:val="1358"/>
              <w:rPr>
                <w:color w:val="auto"/>
                <w:highlight w:val="none"/>
              </w:rPr>
            </w:pPr>
            <w:r>
              <w:rPr>
                <w:color w:val="auto"/>
                <w:highlight w:val="none"/>
              </w:rPr>
              <w:t>排放量/（t/a）</w:t>
            </w:r>
          </w:p>
        </w:tc>
        <w:tc>
          <w:tcPr>
            <w:tcW w:w="3821" w:type="dxa"/>
            <w:gridSpan w:val="2"/>
            <w:noWrap w:val="0"/>
            <w:vAlign w:val="center"/>
          </w:tcPr>
          <w:p w14:paraId="36644FD7">
            <w:pPr>
              <w:pStyle w:val="1358"/>
              <w:rPr>
                <w:color w:val="auto"/>
                <w:highlight w:val="none"/>
              </w:rPr>
            </w:pPr>
            <w:r>
              <w:rPr>
                <w:color w:val="auto"/>
                <w:highlight w:val="none"/>
              </w:rPr>
              <w:t>排放浓度/（mg/L）</w:t>
            </w:r>
          </w:p>
        </w:tc>
      </w:tr>
      <w:tr w14:paraId="37FC6D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D21FA76">
            <w:pPr>
              <w:pStyle w:val="1358"/>
              <w:rPr>
                <w:color w:val="auto"/>
                <w:highlight w:val="none"/>
              </w:rPr>
            </w:pPr>
          </w:p>
        </w:tc>
        <w:tc>
          <w:tcPr>
            <w:tcW w:w="3726" w:type="dxa"/>
            <w:vMerge w:val="continue"/>
            <w:noWrap w:val="0"/>
            <w:vAlign w:val="center"/>
          </w:tcPr>
          <w:p w14:paraId="0056BE64">
            <w:pPr>
              <w:pStyle w:val="1358"/>
              <w:rPr>
                <w:color w:val="auto"/>
                <w:highlight w:val="none"/>
              </w:rPr>
            </w:pPr>
          </w:p>
        </w:tc>
        <w:tc>
          <w:tcPr>
            <w:tcW w:w="3858" w:type="dxa"/>
            <w:gridSpan w:val="2"/>
            <w:noWrap w:val="0"/>
            <w:vAlign w:val="center"/>
          </w:tcPr>
          <w:p w14:paraId="34EC7718">
            <w:pPr>
              <w:pStyle w:val="1358"/>
              <w:rPr>
                <w:color w:val="auto"/>
                <w:highlight w:val="none"/>
              </w:rPr>
            </w:pPr>
            <w:r>
              <w:rPr>
                <w:color w:val="auto"/>
                <w:highlight w:val="none"/>
              </w:rPr>
              <w:t>（COD）</w:t>
            </w:r>
          </w:p>
        </w:tc>
        <w:tc>
          <w:tcPr>
            <w:tcW w:w="2250" w:type="dxa"/>
            <w:noWrap w:val="0"/>
            <w:vAlign w:val="center"/>
          </w:tcPr>
          <w:p w14:paraId="69ADAE05">
            <w:pPr>
              <w:pStyle w:val="1321"/>
              <w:rPr>
                <w:rFonts w:hint="default" w:eastAsia="宋体"/>
                <w:color w:val="auto"/>
                <w:highlight w:val="none"/>
                <w:lang w:val="en-US" w:eastAsia="zh-CN"/>
              </w:rPr>
            </w:pPr>
            <w:r>
              <w:rPr>
                <w:rFonts w:hint="default" w:eastAsia="宋体"/>
                <w:color w:val="auto"/>
                <w:highlight w:val="none"/>
                <w:lang w:val="en-US" w:eastAsia="zh-CN"/>
              </w:rPr>
              <w:t>0.0</w:t>
            </w:r>
            <w:r>
              <w:rPr>
                <w:rFonts w:hint="eastAsia"/>
                <w:color w:val="auto"/>
                <w:highlight w:val="none"/>
                <w:lang w:val="en-US" w:eastAsia="zh-CN"/>
              </w:rPr>
              <w:t>789</w:t>
            </w:r>
          </w:p>
        </w:tc>
        <w:tc>
          <w:tcPr>
            <w:tcW w:w="3821" w:type="dxa"/>
            <w:gridSpan w:val="2"/>
            <w:noWrap w:val="0"/>
            <w:vAlign w:val="center"/>
          </w:tcPr>
          <w:p w14:paraId="0A8C4CF2">
            <w:pPr>
              <w:pStyle w:val="1358"/>
              <w:rPr>
                <w:color w:val="auto"/>
                <w:highlight w:val="none"/>
              </w:rPr>
            </w:pPr>
            <w:r>
              <w:rPr>
                <w:color w:val="auto"/>
                <w:highlight w:val="none"/>
              </w:rPr>
              <w:t>（50）</w:t>
            </w:r>
          </w:p>
        </w:tc>
      </w:tr>
      <w:tr w14:paraId="73357B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39166966">
            <w:pPr>
              <w:pStyle w:val="1358"/>
              <w:rPr>
                <w:color w:val="auto"/>
                <w:highlight w:val="none"/>
              </w:rPr>
            </w:pPr>
          </w:p>
        </w:tc>
        <w:tc>
          <w:tcPr>
            <w:tcW w:w="3726" w:type="dxa"/>
            <w:vMerge w:val="continue"/>
            <w:noWrap w:val="0"/>
            <w:vAlign w:val="center"/>
          </w:tcPr>
          <w:p w14:paraId="1758ED06">
            <w:pPr>
              <w:pStyle w:val="1358"/>
              <w:rPr>
                <w:color w:val="auto"/>
                <w:highlight w:val="none"/>
              </w:rPr>
            </w:pPr>
          </w:p>
        </w:tc>
        <w:tc>
          <w:tcPr>
            <w:tcW w:w="3858" w:type="dxa"/>
            <w:gridSpan w:val="2"/>
            <w:noWrap w:val="0"/>
            <w:vAlign w:val="center"/>
          </w:tcPr>
          <w:p w14:paraId="38DB53D0">
            <w:pPr>
              <w:pStyle w:val="1358"/>
              <w:rPr>
                <w:color w:val="auto"/>
                <w:highlight w:val="none"/>
              </w:rPr>
            </w:pPr>
            <w:r>
              <w:rPr>
                <w:color w:val="auto"/>
                <w:highlight w:val="none"/>
              </w:rPr>
              <w:t>（NH</w:t>
            </w:r>
            <w:r>
              <w:rPr>
                <w:color w:val="auto"/>
                <w:highlight w:val="none"/>
                <w:vertAlign w:val="subscript"/>
              </w:rPr>
              <w:t>3</w:t>
            </w:r>
            <w:r>
              <w:rPr>
                <w:color w:val="auto"/>
                <w:highlight w:val="none"/>
              </w:rPr>
              <w:t>-N）</w:t>
            </w:r>
          </w:p>
        </w:tc>
        <w:tc>
          <w:tcPr>
            <w:tcW w:w="2250" w:type="dxa"/>
            <w:noWrap w:val="0"/>
            <w:vAlign w:val="center"/>
          </w:tcPr>
          <w:p w14:paraId="4F0A46AD">
            <w:pPr>
              <w:pStyle w:val="1321"/>
              <w:rPr>
                <w:rFonts w:hint="default" w:eastAsia="宋体"/>
                <w:color w:val="auto"/>
                <w:highlight w:val="none"/>
                <w:lang w:val="en-US" w:eastAsia="zh-CN"/>
              </w:rPr>
            </w:pPr>
            <w:r>
              <w:rPr>
                <w:rFonts w:hint="default" w:eastAsia="宋体"/>
                <w:color w:val="auto"/>
                <w:highlight w:val="none"/>
                <w:lang w:val="en-US" w:eastAsia="zh-CN"/>
              </w:rPr>
              <w:t>0.</w:t>
            </w:r>
            <w:r>
              <w:rPr>
                <w:rFonts w:hint="eastAsia"/>
                <w:color w:val="auto"/>
                <w:highlight w:val="none"/>
                <w:lang w:val="en-US" w:eastAsia="zh-CN"/>
              </w:rPr>
              <w:t>0</w:t>
            </w:r>
            <w:r>
              <w:rPr>
                <w:rFonts w:hint="default" w:eastAsia="宋体"/>
                <w:color w:val="auto"/>
                <w:highlight w:val="none"/>
                <w:lang w:val="en-US" w:eastAsia="zh-CN"/>
              </w:rPr>
              <w:t>0</w:t>
            </w:r>
            <w:r>
              <w:rPr>
                <w:rFonts w:hint="eastAsia"/>
                <w:color w:val="auto"/>
                <w:highlight w:val="none"/>
                <w:lang w:val="en-US" w:eastAsia="zh-CN"/>
              </w:rPr>
              <w:t>789</w:t>
            </w:r>
          </w:p>
        </w:tc>
        <w:tc>
          <w:tcPr>
            <w:tcW w:w="3821" w:type="dxa"/>
            <w:gridSpan w:val="2"/>
            <w:noWrap w:val="0"/>
            <w:vAlign w:val="center"/>
          </w:tcPr>
          <w:p w14:paraId="4A3DB12A">
            <w:pPr>
              <w:pStyle w:val="1358"/>
              <w:rPr>
                <w:color w:val="auto"/>
                <w:highlight w:val="none"/>
              </w:rPr>
            </w:pPr>
            <w:r>
              <w:rPr>
                <w:color w:val="auto"/>
                <w:highlight w:val="none"/>
              </w:rPr>
              <w:t>（5）</w:t>
            </w:r>
          </w:p>
        </w:tc>
      </w:tr>
      <w:tr w14:paraId="07B58E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6D0A0B6C">
            <w:pPr>
              <w:pStyle w:val="1358"/>
              <w:rPr>
                <w:color w:val="auto"/>
                <w:highlight w:val="none"/>
              </w:rPr>
            </w:pPr>
          </w:p>
        </w:tc>
        <w:tc>
          <w:tcPr>
            <w:tcW w:w="3726" w:type="dxa"/>
            <w:vMerge w:val="restart"/>
            <w:noWrap w:val="0"/>
            <w:vAlign w:val="center"/>
          </w:tcPr>
          <w:p w14:paraId="21571DE7">
            <w:pPr>
              <w:pStyle w:val="1358"/>
              <w:rPr>
                <w:color w:val="auto"/>
                <w:highlight w:val="none"/>
              </w:rPr>
            </w:pPr>
            <w:r>
              <w:rPr>
                <w:color w:val="auto"/>
                <w:highlight w:val="none"/>
              </w:rPr>
              <w:t>替代源排放情况</w:t>
            </w:r>
          </w:p>
        </w:tc>
        <w:tc>
          <w:tcPr>
            <w:tcW w:w="2106" w:type="dxa"/>
            <w:noWrap w:val="0"/>
            <w:vAlign w:val="center"/>
          </w:tcPr>
          <w:p w14:paraId="75D843D1">
            <w:pPr>
              <w:pStyle w:val="1358"/>
              <w:rPr>
                <w:color w:val="auto"/>
                <w:highlight w:val="none"/>
              </w:rPr>
            </w:pPr>
            <w:r>
              <w:rPr>
                <w:color w:val="auto"/>
                <w:highlight w:val="none"/>
              </w:rPr>
              <w:t>污染源名称</w:t>
            </w:r>
          </w:p>
        </w:tc>
        <w:tc>
          <w:tcPr>
            <w:tcW w:w="1752" w:type="dxa"/>
            <w:noWrap w:val="0"/>
            <w:vAlign w:val="center"/>
          </w:tcPr>
          <w:p w14:paraId="2B1F7C38">
            <w:pPr>
              <w:pStyle w:val="1358"/>
              <w:rPr>
                <w:color w:val="auto"/>
                <w:highlight w:val="none"/>
              </w:rPr>
            </w:pPr>
            <w:r>
              <w:rPr>
                <w:color w:val="auto"/>
                <w:highlight w:val="none"/>
              </w:rPr>
              <w:t>排污许可证编号</w:t>
            </w:r>
          </w:p>
        </w:tc>
        <w:tc>
          <w:tcPr>
            <w:tcW w:w="2250" w:type="dxa"/>
            <w:noWrap w:val="0"/>
            <w:vAlign w:val="center"/>
          </w:tcPr>
          <w:p w14:paraId="62204D4D">
            <w:pPr>
              <w:pStyle w:val="1358"/>
              <w:rPr>
                <w:color w:val="auto"/>
                <w:highlight w:val="none"/>
              </w:rPr>
            </w:pPr>
            <w:r>
              <w:rPr>
                <w:color w:val="auto"/>
                <w:highlight w:val="none"/>
              </w:rPr>
              <w:t>污染物名称</w:t>
            </w:r>
          </w:p>
        </w:tc>
        <w:tc>
          <w:tcPr>
            <w:tcW w:w="1590" w:type="dxa"/>
            <w:noWrap w:val="0"/>
            <w:vAlign w:val="center"/>
          </w:tcPr>
          <w:p w14:paraId="42C52EDE">
            <w:pPr>
              <w:pStyle w:val="1358"/>
              <w:rPr>
                <w:color w:val="auto"/>
                <w:highlight w:val="none"/>
              </w:rPr>
            </w:pPr>
            <w:r>
              <w:rPr>
                <w:color w:val="auto"/>
                <w:highlight w:val="none"/>
              </w:rPr>
              <w:t>排放量/（t/a）</w:t>
            </w:r>
          </w:p>
        </w:tc>
        <w:tc>
          <w:tcPr>
            <w:tcW w:w="2231" w:type="dxa"/>
            <w:noWrap w:val="0"/>
            <w:vAlign w:val="center"/>
          </w:tcPr>
          <w:p w14:paraId="1BA3BD9A">
            <w:pPr>
              <w:pStyle w:val="1358"/>
              <w:rPr>
                <w:color w:val="auto"/>
                <w:highlight w:val="none"/>
              </w:rPr>
            </w:pPr>
            <w:r>
              <w:rPr>
                <w:color w:val="auto"/>
                <w:highlight w:val="none"/>
              </w:rPr>
              <w:t>排放浓度/（mg/L）</w:t>
            </w:r>
          </w:p>
        </w:tc>
      </w:tr>
      <w:tr w14:paraId="60211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214AC8A2">
            <w:pPr>
              <w:pStyle w:val="1358"/>
              <w:rPr>
                <w:color w:val="auto"/>
                <w:highlight w:val="none"/>
              </w:rPr>
            </w:pPr>
          </w:p>
        </w:tc>
        <w:tc>
          <w:tcPr>
            <w:tcW w:w="3726" w:type="dxa"/>
            <w:vMerge w:val="continue"/>
            <w:noWrap w:val="0"/>
            <w:vAlign w:val="center"/>
          </w:tcPr>
          <w:p w14:paraId="6F6BA946">
            <w:pPr>
              <w:pStyle w:val="1358"/>
              <w:rPr>
                <w:color w:val="auto"/>
                <w:highlight w:val="none"/>
              </w:rPr>
            </w:pPr>
          </w:p>
        </w:tc>
        <w:tc>
          <w:tcPr>
            <w:tcW w:w="2106" w:type="dxa"/>
            <w:noWrap w:val="0"/>
            <w:vAlign w:val="center"/>
          </w:tcPr>
          <w:p w14:paraId="3728A90C">
            <w:pPr>
              <w:pStyle w:val="1358"/>
              <w:rPr>
                <w:color w:val="auto"/>
                <w:highlight w:val="none"/>
              </w:rPr>
            </w:pPr>
            <w:r>
              <w:rPr>
                <w:color w:val="auto"/>
                <w:highlight w:val="none"/>
              </w:rPr>
              <w:t>（）</w:t>
            </w:r>
          </w:p>
        </w:tc>
        <w:tc>
          <w:tcPr>
            <w:tcW w:w="1752" w:type="dxa"/>
            <w:noWrap w:val="0"/>
            <w:vAlign w:val="center"/>
          </w:tcPr>
          <w:p w14:paraId="0644F7D1">
            <w:pPr>
              <w:pStyle w:val="1358"/>
              <w:rPr>
                <w:color w:val="auto"/>
                <w:highlight w:val="none"/>
              </w:rPr>
            </w:pPr>
            <w:r>
              <w:rPr>
                <w:color w:val="auto"/>
                <w:highlight w:val="none"/>
              </w:rPr>
              <w:t>（）</w:t>
            </w:r>
          </w:p>
        </w:tc>
        <w:tc>
          <w:tcPr>
            <w:tcW w:w="2250" w:type="dxa"/>
            <w:noWrap w:val="0"/>
            <w:vAlign w:val="center"/>
          </w:tcPr>
          <w:p w14:paraId="3124C82E">
            <w:pPr>
              <w:pStyle w:val="1358"/>
              <w:rPr>
                <w:color w:val="auto"/>
                <w:highlight w:val="none"/>
              </w:rPr>
            </w:pPr>
            <w:r>
              <w:rPr>
                <w:color w:val="auto"/>
                <w:highlight w:val="none"/>
              </w:rPr>
              <w:t>（）</w:t>
            </w:r>
          </w:p>
        </w:tc>
        <w:tc>
          <w:tcPr>
            <w:tcW w:w="1590" w:type="dxa"/>
            <w:noWrap w:val="0"/>
            <w:vAlign w:val="center"/>
          </w:tcPr>
          <w:p w14:paraId="0BD7C905">
            <w:pPr>
              <w:pStyle w:val="1358"/>
              <w:rPr>
                <w:color w:val="auto"/>
                <w:highlight w:val="none"/>
              </w:rPr>
            </w:pPr>
            <w:r>
              <w:rPr>
                <w:color w:val="auto"/>
                <w:highlight w:val="none"/>
              </w:rPr>
              <w:t>（）</w:t>
            </w:r>
          </w:p>
        </w:tc>
        <w:tc>
          <w:tcPr>
            <w:tcW w:w="2231" w:type="dxa"/>
            <w:noWrap w:val="0"/>
            <w:vAlign w:val="center"/>
          </w:tcPr>
          <w:p w14:paraId="41C28C86">
            <w:pPr>
              <w:pStyle w:val="1358"/>
              <w:rPr>
                <w:color w:val="auto"/>
                <w:highlight w:val="none"/>
              </w:rPr>
            </w:pPr>
            <w:r>
              <w:rPr>
                <w:color w:val="auto"/>
                <w:highlight w:val="none"/>
              </w:rPr>
              <w:t>（）</w:t>
            </w:r>
          </w:p>
        </w:tc>
      </w:tr>
      <w:tr w14:paraId="712EA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9232EC0">
            <w:pPr>
              <w:pStyle w:val="1358"/>
              <w:rPr>
                <w:color w:val="auto"/>
                <w:highlight w:val="none"/>
              </w:rPr>
            </w:pPr>
          </w:p>
        </w:tc>
        <w:tc>
          <w:tcPr>
            <w:tcW w:w="3726" w:type="dxa"/>
            <w:noWrap w:val="0"/>
            <w:vAlign w:val="center"/>
          </w:tcPr>
          <w:p w14:paraId="62309C35">
            <w:pPr>
              <w:pStyle w:val="1358"/>
              <w:rPr>
                <w:color w:val="auto"/>
                <w:highlight w:val="none"/>
              </w:rPr>
            </w:pPr>
            <w:r>
              <w:rPr>
                <w:color w:val="auto"/>
                <w:highlight w:val="none"/>
              </w:rPr>
              <w:t>生态流量确定</w:t>
            </w:r>
          </w:p>
        </w:tc>
        <w:tc>
          <w:tcPr>
            <w:tcW w:w="9929" w:type="dxa"/>
            <w:gridSpan w:val="5"/>
            <w:noWrap w:val="0"/>
            <w:vAlign w:val="center"/>
          </w:tcPr>
          <w:p w14:paraId="581E1D01">
            <w:pPr>
              <w:pStyle w:val="1358"/>
              <w:rPr>
                <w:color w:val="auto"/>
                <w:highlight w:val="none"/>
              </w:rPr>
            </w:pPr>
            <w:r>
              <w:rPr>
                <w:color w:val="auto"/>
                <w:highlight w:val="none"/>
              </w:rPr>
              <w:t>生态流量：一般水期（）m</w:t>
            </w:r>
            <w:r>
              <w:rPr>
                <w:color w:val="auto"/>
                <w:highlight w:val="none"/>
                <w:vertAlign w:val="superscript"/>
              </w:rPr>
              <w:t>3</w:t>
            </w:r>
            <w:r>
              <w:rPr>
                <w:color w:val="auto"/>
                <w:highlight w:val="none"/>
              </w:rPr>
              <w:t>/s；鱼类繁殖期（）m</w:t>
            </w:r>
            <w:r>
              <w:rPr>
                <w:color w:val="auto"/>
                <w:highlight w:val="none"/>
                <w:vertAlign w:val="superscript"/>
              </w:rPr>
              <w:t>3</w:t>
            </w:r>
            <w:r>
              <w:rPr>
                <w:color w:val="auto"/>
                <w:highlight w:val="none"/>
              </w:rPr>
              <w:t>/s；其他（）m</w:t>
            </w:r>
            <w:r>
              <w:rPr>
                <w:color w:val="auto"/>
                <w:highlight w:val="none"/>
                <w:vertAlign w:val="superscript"/>
              </w:rPr>
              <w:t>3</w:t>
            </w:r>
            <w:r>
              <w:rPr>
                <w:color w:val="auto"/>
                <w:highlight w:val="none"/>
              </w:rPr>
              <w:t>/s</w:t>
            </w:r>
          </w:p>
          <w:p w14:paraId="27335EAA">
            <w:pPr>
              <w:pStyle w:val="1358"/>
              <w:rPr>
                <w:color w:val="auto"/>
                <w:highlight w:val="none"/>
              </w:rPr>
            </w:pPr>
            <w:r>
              <w:rPr>
                <w:color w:val="auto"/>
                <w:highlight w:val="none"/>
              </w:rPr>
              <w:t>生态水位：一般水期（）m；鱼类繁殖期（）m；其他（）m</w:t>
            </w:r>
          </w:p>
        </w:tc>
      </w:tr>
      <w:tr w14:paraId="3D0DA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restart"/>
            <w:noWrap w:val="0"/>
            <w:vAlign w:val="center"/>
          </w:tcPr>
          <w:p w14:paraId="77E76B38">
            <w:pPr>
              <w:pStyle w:val="1358"/>
              <w:rPr>
                <w:color w:val="auto"/>
                <w:highlight w:val="none"/>
              </w:rPr>
            </w:pPr>
            <w:r>
              <w:rPr>
                <w:color w:val="auto"/>
                <w:highlight w:val="none"/>
              </w:rPr>
              <w:t>防治措施</w:t>
            </w:r>
          </w:p>
        </w:tc>
        <w:tc>
          <w:tcPr>
            <w:tcW w:w="3726" w:type="dxa"/>
            <w:noWrap w:val="0"/>
            <w:vAlign w:val="center"/>
          </w:tcPr>
          <w:p w14:paraId="6A19A59A">
            <w:pPr>
              <w:pStyle w:val="1358"/>
              <w:rPr>
                <w:color w:val="auto"/>
                <w:highlight w:val="none"/>
              </w:rPr>
            </w:pPr>
            <w:r>
              <w:rPr>
                <w:color w:val="auto"/>
                <w:highlight w:val="none"/>
              </w:rPr>
              <w:t>环保措施</w:t>
            </w:r>
          </w:p>
        </w:tc>
        <w:tc>
          <w:tcPr>
            <w:tcW w:w="9929" w:type="dxa"/>
            <w:gridSpan w:val="5"/>
            <w:noWrap w:val="0"/>
            <w:vAlign w:val="center"/>
          </w:tcPr>
          <w:p w14:paraId="42E183FD">
            <w:pPr>
              <w:pStyle w:val="1358"/>
              <w:rPr>
                <w:color w:val="auto"/>
                <w:highlight w:val="none"/>
              </w:rPr>
            </w:pPr>
            <w:r>
              <w:rPr>
                <w:color w:val="auto"/>
                <w:highlight w:val="none"/>
              </w:rPr>
              <w:t>污水处理设施√；水文减缓设施 □；生态流量保障设施 □；区域削减 □；依托其他工程措施 □；其他 □</w:t>
            </w:r>
          </w:p>
        </w:tc>
      </w:tr>
      <w:tr w14:paraId="371B75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D2C0D7F">
            <w:pPr>
              <w:pStyle w:val="1358"/>
              <w:rPr>
                <w:color w:val="auto"/>
                <w:highlight w:val="none"/>
              </w:rPr>
            </w:pPr>
          </w:p>
        </w:tc>
        <w:tc>
          <w:tcPr>
            <w:tcW w:w="3726" w:type="dxa"/>
            <w:vMerge w:val="restart"/>
            <w:noWrap w:val="0"/>
            <w:vAlign w:val="center"/>
          </w:tcPr>
          <w:p w14:paraId="2BEB3C34">
            <w:pPr>
              <w:pStyle w:val="1358"/>
              <w:rPr>
                <w:color w:val="auto"/>
                <w:highlight w:val="none"/>
              </w:rPr>
            </w:pPr>
            <w:r>
              <w:rPr>
                <w:color w:val="auto"/>
                <w:highlight w:val="none"/>
              </w:rPr>
              <w:t>监测计划</w:t>
            </w:r>
          </w:p>
        </w:tc>
        <w:tc>
          <w:tcPr>
            <w:tcW w:w="2106" w:type="dxa"/>
            <w:noWrap w:val="0"/>
            <w:vAlign w:val="center"/>
          </w:tcPr>
          <w:p w14:paraId="6151D2FE">
            <w:pPr>
              <w:pStyle w:val="1358"/>
              <w:rPr>
                <w:color w:val="auto"/>
                <w:highlight w:val="none"/>
              </w:rPr>
            </w:pPr>
          </w:p>
        </w:tc>
        <w:tc>
          <w:tcPr>
            <w:tcW w:w="4002" w:type="dxa"/>
            <w:gridSpan w:val="2"/>
            <w:noWrap w:val="0"/>
            <w:vAlign w:val="center"/>
          </w:tcPr>
          <w:p w14:paraId="19055BF4">
            <w:pPr>
              <w:pStyle w:val="1358"/>
              <w:rPr>
                <w:color w:val="auto"/>
                <w:highlight w:val="none"/>
              </w:rPr>
            </w:pPr>
            <w:r>
              <w:rPr>
                <w:color w:val="auto"/>
                <w:highlight w:val="none"/>
              </w:rPr>
              <w:t>环境质量</w:t>
            </w:r>
          </w:p>
        </w:tc>
        <w:tc>
          <w:tcPr>
            <w:tcW w:w="3821" w:type="dxa"/>
            <w:gridSpan w:val="2"/>
            <w:noWrap w:val="0"/>
            <w:vAlign w:val="center"/>
          </w:tcPr>
          <w:p w14:paraId="5B8140CD">
            <w:pPr>
              <w:pStyle w:val="1358"/>
              <w:rPr>
                <w:color w:val="auto"/>
                <w:highlight w:val="none"/>
              </w:rPr>
            </w:pPr>
            <w:r>
              <w:rPr>
                <w:color w:val="auto"/>
                <w:highlight w:val="none"/>
              </w:rPr>
              <w:t>污染源</w:t>
            </w:r>
          </w:p>
        </w:tc>
      </w:tr>
      <w:tr w14:paraId="4B9299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23B886AE">
            <w:pPr>
              <w:pStyle w:val="1358"/>
              <w:rPr>
                <w:color w:val="auto"/>
                <w:highlight w:val="none"/>
              </w:rPr>
            </w:pPr>
          </w:p>
        </w:tc>
        <w:tc>
          <w:tcPr>
            <w:tcW w:w="3726" w:type="dxa"/>
            <w:vMerge w:val="continue"/>
            <w:noWrap w:val="0"/>
            <w:vAlign w:val="center"/>
          </w:tcPr>
          <w:p w14:paraId="3D6F8B9B">
            <w:pPr>
              <w:pStyle w:val="1358"/>
              <w:rPr>
                <w:color w:val="auto"/>
                <w:highlight w:val="none"/>
              </w:rPr>
            </w:pPr>
          </w:p>
        </w:tc>
        <w:tc>
          <w:tcPr>
            <w:tcW w:w="2106" w:type="dxa"/>
            <w:noWrap w:val="0"/>
            <w:vAlign w:val="center"/>
          </w:tcPr>
          <w:p w14:paraId="07159A73">
            <w:pPr>
              <w:pStyle w:val="1358"/>
              <w:rPr>
                <w:color w:val="auto"/>
                <w:highlight w:val="none"/>
              </w:rPr>
            </w:pPr>
            <w:r>
              <w:rPr>
                <w:color w:val="auto"/>
                <w:highlight w:val="none"/>
              </w:rPr>
              <w:t>监测方式</w:t>
            </w:r>
          </w:p>
        </w:tc>
        <w:tc>
          <w:tcPr>
            <w:tcW w:w="4002" w:type="dxa"/>
            <w:gridSpan w:val="2"/>
            <w:noWrap w:val="0"/>
            <w:vAlign w:val="center"/>
          </w:tcPr>
          <w:p w14:paraId="1A0D1C2E">
            <w:pPr>
              <w:pStyle w:val="1358"/>
              <w:rPr>
                <w:color w:val="auto"/>
                <w:highlight w:val="none"/>
              </w:rPr>
            </w:pPr>
            <w:r>
              <w:rPr>
                <w:color w:val="auto"/>
                <w:highlight w:val="none"/>
              </w:rPr>
              <w:t>手动□；自动□；无监测√</w:t>
            </w:r>
          </w:p>
        </w:tc>
        <w:tc>
          <w:tcPr>
            <w:tcW w:w="3821" w:type="dxa"/>
            <w:gridSpan w:val="2"/>
            <w:noWrap w:val="0"/>
            <w:vAlign w:val="center"/>
          </w:tcPr>
          <w:p w14:paraId="17BC9827">
            <w:pPr>
              <w:pStyle w:val="1358"/>
              <w:rPr>
                <w:color w:val="auto"/>
                <w:highlight w:val="none"/>
              </w:rPr>
            </w:pPr>
            <w:r>
              <w:rPr>
                <w:color w:val="auto"/>
                <w:highlight w:val="none"/>
              </w:rPr>
              <w:t>手动√；自动√；无监测□</w:t>
            </w:r>
          </w:p>
        </w:tc>
      </w:tr>
      <w:tr w14:paraId="5B3C4E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1C1B5718">
            <w:pPr>
              <w:pStyle w:val="1358"/>
              <w:rPr>
                <w:color w:val="auto"/>
                <w:highlight w:val="none"/>
              </w:rPr>
            </w:pPr>
          </w:p>
        </w:tc>
        <w:tc>
          <w:tcPr>
            <w:tcW w:w="3726" w:type="dxa"/>
            <w:vMerge w:val="continue"/>
            <w:noWrap w:val="0"/>
            <w:vAlign w:val="center"/>
          </w:tcPr>
          <w:p w14:paraId="270DE18B">
            <w:pPr>
              <w:pStyle w:val="1358"/>
              <w:rPr>
                <w:color w:val="auto"/>
                <w:highlight w:val="none"/>
              </w:rPr>
            </w:pPr>
          </w:p>
        </w:tc>
        <w:tc>
          <w:tcPr>
            <w:tcW w:w="2106" w:type="dxa"/>
            <w:noWrap w:val="0"/>
            <w:vAlign w:val="center"/>
          </w:tcPr>
          <w:p w14:paraId="77834B6B">
            <w:pPr>
              <w:pStyle w:val="1358"/>
              <w:rPr>
                <w:color w:val="auto"/>
                <w:highlight w:val="none"/>
              </w:rPr>
            </w:pPr>
            <w:r>
              <w:rPr>
                <w:color w:val="auto"/>
                <w:highlight w:val="none"/>
              </w:rPr>
              <w:t>监测点位</w:t>
            </w:r>
          </w:p>
        </w:tc>
        <w:tc>
          <w:tcPr>
            <w:tcW w:w="4002" w:type="dxa"/>
            <w:gridSpan w:val="2"/>
            <w:noWrap w:val="0"/>
            <w:vAlign w:val="center"/>
          </w:tcPr>
          <w:p w14:paraId="0655A72C">
            <w:pPr>
              <w:pStyle w:val="1358"/>
              <w:rPr>
                <w:color w:val="auto"/>
                <w:highlight w:val="none"/>
              </w:rPr>
            </w:pPr>
            <w:r>
              <w:rPr>
                <w:color w:val="auto"/>
                <w:highlight w:val="none"/>
              </w:rPr>
              <w:t>（）</w:t>
            </w:r>
          </w:p>
        </w:tc>
        <w:tc>
          <w:tcPr>
            <w:tcW w:w="3821" w:type="dxa"/>
            <w:gridSpan w:val="2"/>
            <w:noWrap w:val="0"/>
            <w:vAlign w:val="center"/>
          </w:tcPr>
          <w:p w14:paraId="40FE5667">
            <w:pPr>
              <w:pStyle w:val="1358"/>
              <w:rPr>
                <w:color w:val="auto"/>
                <w:highlight w:val="none"/>
              </w:rPr>
            </w:pPr>
            <w:r>
              <w:rPr>
                <w:color w:val="auto"/>
                <w:highlight w:val="none"/>
              </w:rPr>
              <w:t>（污水综合排放口）</w:t>
            </w:r>
          </w:p>
        </w:tc>
      </w:tr>
      <w:tr w14:paraId="7C09C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0E160663">
            <w:pPr>
              <w:pStyle w:val="1358"/>
              <w:rPr>
                <w:color w:val="auto"/>
                <w:highlight w:val="none"/>
              </w:rPr>
            </w:pPr>
          </w:p>
        </w:tc>
        <w:tc>
          <w:tcPr>
            <w:tcW w:w="3726" w:type="dxa"/>
            <w:vMerge w:val="continue"/>
            <w:noWrap w:val="0"/>
            <w:vAlign w:val="center"/>
          </w:tcPr>
          <w:p w14:paraId="1680DE7A">
            <w:pPr>
              <w:pStyle w:val="1358"/>
              <w:rPr>
                <w:color w:val="auto"/>
                <w:highlight w:val="none"/>
              </w:rPr>
            </w:pPr>
          </w:p>
        </w:tc>
        <w:tc>
          <w:tcPr>
            <w:tcW w:w="2106" w:type="dxa"/>
            <w:noWrap w:val="0"/>
            <w:vAlign w:val="center"/>
          </w:tcPr>
          <w:p w14:paraId="7E3CA7DD">
            <w:pPr>
              <w:pStyle w:val="1358"/>
              <w:rPr>
                <w:color w:val="auto"/>
                <w:highlight w:val="none"/>
              </w:rPr>
            </w:pPr>
            <w:r>
              <w:rPr>
                <w:color w:val="auto"/>
                <w:highlight w:val="none"/>
              </w:rPr>
              <w:t>监测因子</w:t>
            </w:r>
          </w:p>
        </w:tc>
        <w:tc>
          <w:tcPr>
            <w:tcW w:w="4002" w:type="dxa"/>
            <w:gridSpan w:val="2"/>
            <w:noWrap w:val="0"/>
            <w:vAlign w:val="center"/>
          </w:tcPr>
          <w:p w14:paraId="5755F020">
            <w:pPr>
              <w:pStyle w:val="1358"/>
              <w:rPr>
                <w:color w:val="auto"/>
                <w:highlight w:val="none"/>
              </w:rPr>
            </w:pPr>
            <w:r>
              <w:rPr>
                <w:color w:val="auto"/>
                <w:highlight w:val="none"/>
              </w:rPr>
              <w:t>（）</w:t>
            </w:r>
          </w:p>
        </w:tc>
        <w:tc>
          <w:tcPr>
            <w:tcW w:w="3821" w:type="dxa"/>
            <w:gridSpan w:val="2"/>
            <w:noWrap w:val="0"/>
            <w:vAlign w:val="center"/>
          </w:tcPr>
          <w:p w14:paraId="3A01EED1">
            <w:pPr>
              <w:pStyle w:val="1358"/>
              <w:rPr>
                <w:color w:val="auto"/>
                <w:highlight w:val="none"/>
              </w:rPr>
            </w:pPr>
            <w:r>
              <w:rPr>
                <w:color w:val="auto"/>
                <w:highlight w:val="none"/>
              </w:rPr>
              <w:t>（流量、pH值、化学需氧量、氨氮、石油类、悬浮物</w:t>
            </w:r>
            <w:r>
              <w:rPr>
                <w:rFonts w:hint="eastAsia"/>
                <w:color w:val="auto"/>
                <w:highlight w:val="none"/>
                <w:lang w:eastAsia="zh-CN"/>
              </w:rPr>
              <w:t>、</w:t>
            </w:r>
            <w:r>
              <w:rPr>
                <w:color w:val="auto"/>
                <w:highlight w:val="none"/>
              </w:rPr>
              <w:t>BOD</w:t>
            </w:r>
            <w:r>
              <w:rPr>
                <w:color w:val="auto"/>
                <w:highlight w:val="none"/>
                <w:vertAlign w:val="subscript"/>
              </w:rPr>
              <w:t>5</w:t>
            </w:r>
            <w:r>
              <w:rPr>
                <w:color w:val="auto"/>
                <w:highlight w:val="none"/>
              </w:rPr>
              <w:t>）</w:t>
            </w:r>
          </w:p>
        </w:tc>
      </w:tr>
      <w:tr w14:paraId="7ECD0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5" w:type="dxa"/>
            <w:vMerge w:val="continue"/>
            <w:noWrap w:val="0"/>
            <w:vAlign w:val="center"/>
          </w:tcPr>
          <w:p w14:paraId="79DDE323">
            <w:pPr>
              <w:pStyle w:val="1358"/>
              <w:rPr>
                <w:color w:val="auto"/>
                <w:highlight w:val="none"/>
              </w:rPr>
            </w:pPr>
          </w:p>
        </w:tc>
        <w:tc>
          <w:tcPr>
            <w:tcW w:w="3726" w:type="dxa"/>
            <w:noWrap w:val="0"/>
            <w:vAlign w:val="center"/>
          </w:tcPr>
          <w:p w14:paraId="43427BC4">
            <w:pPr>
              <w:pStyle w:val="1358"/>
              <w:rPr>
                <w:color w:val="auto"/>
                <w:highlight w:val="none"/>
              </w:rPr>
            </w:pPr>
            <w:r>
              <w:rPr>
                <w:color w:val="auto"/>
                <w:highlight w:val="none"/>
              </w:rPr>
              <w:t>污染物排放清单</w:t>
            </w:r>
          </w:p>
        </w:tc>
        <w:tc>
          <w:tcPr>
            <w:tcW w:w="9929" w:type="dxa"/>
            <w:gridSpan w:val="5"/>
            <w:noWrap w:val="0"/>
            <w:vAlign w:val="center"/>
          </w:tcPr>
          <w:p w14:paraId="6D930123">
            <w:pPr>
              <w:pStyle w:val="1358"/>
              <w:rPr>
                <w:color w:val="auto"/>
                <w:highlight w:val="none"/>
              </w:rPr>
            </w:pPr>
            <w:r>
              <w:rPr>
                <w:color w:val="auto"/>
                <w:highlight w:val="none"/>
              </w:rPr>
              <w:t>√</w:t>
            </w:r>
          </w:p>
        </w:tc>
      </w:tr>
      <w:tr w14:paraId="69061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211" w:type="dxa"/>
            <w:gridSpan w:val="2"/>
            <w:noWrap w:val="0"/>
            <w:vAlign w:val="center"/>
          </w:tcPr>
          <w:p w14:paraId="2ACF6565">
            <w:pPr>
              <w:pStyle w:val="1358"/>
              <w:rPr>
                <w:color w:val="auto"/>
                <w:highlight w:val="none"/>
              </w:rPr>
            </w:pPr>
            <w:r>
              <w:rPr>
                <w:color w:val="auto"/>
                <w:highlight w:val="none"/>
              </w:rPr>
              <w:t>评价结论</w:t>
            </w:r>
          </w:p>
        </w:tc>
        <w:tc>
          <w:tcPr>
            <w:tcW w:w="9929" w:type="dxa"/>
            <w:gridSpan w:val="5"/>
            <w:noWrap w:val="0"/>
            <w:vAlign w:val="center"/>
          </w:tcPr>
          <w:p w14:paraId="1B4181D3">
            <w:pPr>
              <w:pStyle w:val="1358"/>
              <w:rPr>
                <w:color w:val="auto"/>
                <w:highlight w:val="none"/>
              </w:rPr>
            </w:pPr>
            <w:r>
              <w:rPr>
                <w:color w:val="auto"/>
                <w:highlight w:val="none"/>
              </w:rPr>
              <w:t>可以接受√；不可以接受□</w:t>
            </w:r>
          </w:p>
        </w:tc>
      </w:tr>
      <w:tr w14:paraId="6C203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140" w:type="dxa"/>
            <w:gridSpan w:val="7"/>
            <w:noWrap w:val="0"/>
            <w:vAlign w:val="center"/>
          </w:tcPr>
          <w:p w14:paraId="43F57C13">
            <w:pPr>
              <w:pStyle w:val="1358"/>
              <w:rPr>
                <w:color w:val="auto"/>
                <w:highlight w:val="none"/>
              </w:rPr>
            </w:pPr>
            <w:r>
              <w:rPr>
                <w:color w:val="auto"/>
                <w:highlight w:val="none"/>
              </w:rPr>
              <w:t>注：</w:t>
            </w:r>
            <w:r>
              <w:rPr>
                <w:rFonts w:hint="eastAsia"/>
                <w:color w:val="auto"/>
                <w:highlight w:val="none"/>
                <w:lang w:eastAsia="zh-CN"/>
              </w:rPr>
              <w:t>“</w:t>
            </w:r>
            <w:r>
              <w:rPr>
                <w:color w:val="auto"/>
                <w:highlight w:val="none"/>
              </w:rPr>
              <w:t>□</w:t>
            </w:r>
            <w:r>
              <w:rPr>
                <w:rFonts w:hint="eastAsia"/>
                <w:color w:val="auto"/>
                <w:highlight w:val="none"/>
                <w:lang w:eastAsia="zh-CN"/>
              </w:rPr>
              <w:t>”</w:t>
            </w:r>
            <w:r>
              <w:rPr>
                <w:color w:val="auto"/>
                <w:highlight w:val="none"/>
              </w:rPr>
              <w:t>为勾选项，可打√；</w:t>
            </w:r>
            <w:r>
              <w:rPr>
                <w:rFonts w:hint="eastAsia"/>
                <w:color w:val="auto"/>
                <w:highlight w:val="none"/>
                <w:lang w:eastAsia="zh-CN"/>
              </w:rPr>
              <w:t>“</w:t>
            </w:r>
            <w:r>
              <w:rPr>
                <w:color w:val="auto"/>
                <w:highlight w:val="none"/>
              </w:rPr>
              <w:t>（）</w:t>
            </w:r>
            <w:r>
              <w:rPr>
                <w:rFonts w:hint="eastAsia"/>
                <w:color w:val="auto"/>
                <w:highlight w:val="none"/>
                <w:lang w:eastAsia="zh-CN"/>
              </w:rPr>
              <w:t>”</w:t>
            </w:r>
            <w:r>
              <w:rPr>
                <w:color w:val="auto"/>
                <w:highlight w:val="none"/>
              </w:rPr>
              <w:t>为内容填写项；</w:t>
            </w:r>
            <w:r>
              <w:rPr>
                <w:rFonts w:hint="eastAsia"/>
                <w:color w:val="auto"/>
                <w:highlight w:val="none"/>
                <w:lang w:eastAsia="zh-CN"/>
              </w:rPr>
              <w:t>“</w:t>
            </w:r>
            <w:r>
              <w:rPr>
                <w:color w:val="auto"/>
                <w:highlight w:val="none"/>
              </w:rPr>
              <w:t>备注</w:t>
            </w:r>
            <w:r>
              <w:rPr>
                <w:rFonts w:hint="eastAsia"/>
                <w:color w:val="auto"/>
                <w:highlight w:val="none"/>
                <w:lang w:eastAsia="zh-CN"/>
              </w:rPr>
              <w:t>”</w:t>
            </w:r>
            <w:r>
              <w:rPr>
                <w:color w:val="auto"/>
                <w:highlight w:val="none"/>
              </w:rPr>
              <w:t>为其他补充内容。</w:t>
            </w:r>
          </w:p>
        </w:tc>
      </w:tr>
    </w:tbl>
    <w:p w14:paraId="2AE48076">
      <w:pPr>
        <w:pStyle w:val="8"/>
        <w:bidi w:val="0"/>
        <w:rPr>
          <w:rFonts w:hint="default" w:ascii="Times New Roman" w:hAnsi="Times New Roman" w:cs="Times New Roman"/>
          <w:color w:val="auto"/>
          <w:highlight w:val="none"/>
        </w:rPr>
        <w:sectPr>
          <w:pgSz w:w="16840" w:h="11907" w:orient="landscape"/>
          <w:pgMar w:top="1276" w:right="1440" w:bottom="1560" w:left="1440" w:header="737" w:footer="624" w:gutter="0"/>
          <w:pgBorders w:offsetFrom="page">
            <w:top w:val="none" w:sz="0" w:space="0"/>
            <w:left w:val="none" w:sz="0" w:space="0"/>
            <w:bottom w:val="none" w:sz="0" w:space="0"/>
            <w:right w:val="none" w:sz="0" w:space="0"/>
          </w:pgBorders>
          <w:pgNumType w:fmt="decimal"/>
          <w:cols w:space="720" w:num="1"/>
          <w:docGrid w:linePitch="326" w:charSpace="0"/>
        </w:sectPr>
      </w:pPr>
    </w:p>
    <w:p w14:paraId="6E079DF9">
      <w:pPr>
        <w:pStyle w:val="3"/>
        <w:numPr>
          <w:ilvl w:val="1"/>
          <w:numId w:val="0"/>
        </w:numPr>
        <w:bidi w:val="0"/>
        <w:rPr>
          <w:color w:val="auto"/>
          <w:highlight w:val="none"/>
        </w:rPr>
      </w:pPr>
      <w:bookmarkStart w:id="500" w:name="_Toc19267"/>
      <w:bookmarkStart w:id="501" w:name="_Toc16361"/>
      <w:r>
        <w:rPr>
          <w:color w:val="auto"/>
          <w:highlight w:val="none"/>
        </w:rPr>
        <w:t>5.3</w:t>
      </w:r>
      <w:r>
        <w:rPr>
          <w:rFonts w:hint="eastAsia"/>
          <w:color w:val="auto"/>
          <w:highlight w:val="none"/>
          <w:lang w:val="en-US" w:eastAsia="zh-CN"/>
        </w:rPr>
        <w:t xml:space="preserve"> </w:t>
      </w:r>
      <w:r>
        <w:rPr>
          <w:color w:val="auto"/>
          <w:highlight w:val="none"/>
        </w:rPr>
        <w:t>运营期大气环境影响分析</w:t>
      </w:r>
      <w:bookmarkEnd w:id="500"/>
      <w:bookmarkEnd w:id="501"/>
    </w:p>
    <w:p w14:paraId="30115221">
      <w:pPr>
        <w:pStyle w:val="4"/>
        <w:numPr>
          <w:ilvl w:val="2"/>
          <w:numId w:val="0"/>
        </w:numPr>
        <w:tabs>
          <w:tab w:val="clear" w:pos="720"/>
        </w:tabs>
        <w:bidi w:val="0"/>
        <w:rPr>
          <w:color w:val="auto"/>
          <w:highlight w:val="none"/>
        </w:rPr>
      </w:pPr>
      <w:bookmarkStart w:id="502" w:name="_Toc523646238"/>
      <w:bookmarkStart w:id="503" w:name="_Toc529434223"/>
      <w:bookmarkStart w:id="504" w:name="_Toc30294"/>
      <w:r>
        <w:rPr>
          <w:color w:val="auto"/>
          <w:highlight w:val="none"/>
        </w:rPr>
        <w:t>5.3.1</w:t>
      </w:r>
      <w:bookmarkEnd w:id="502"/>
      <w:bookmarkEnd w:id="503"/>
      <w:r>
        <w:rPr>
          <w:rFonts w:hint="eastAsia"/>
          <w:color w:val="auto"/>
          <w:highlight w:val="none"/>
          <w:lang w:val="en-US" w:eastAsia="zh-CN"/>
        </w:rPr>
        <w:t xml:space="preserve"> </w:t>
      </w:r>
      <w:r>
        <w:rPr>
          <w:color w:val="auto"/>
          <w:highlight w:val="none"/>
        </w:rPr>
        <w:t>气象资料</w:t>
      </w:r>
      <w:bookmarkEnd w:id="504"/>
    </w:p>
    <w:p w14:paraId="546D1B31">
      <w:pPr>
        <w:pStyle w:val="5"/>
        <w:numPr>
          <w:ilvl w:val="3"/>
          <w:numId w:val="0"/>
        </w:numPr>
        <w:bidi w:val="0"/>
        <w:ind w:leftChars="0"/>
        <w:rPr>
          <w:color w:val="auto"/>
          <w:highlight w:val="none"/>
        </w:rPr>
      </w:pPr>
      <w:r>
        <w:rPr>
          <w:rFonts w:hint="eastAsia"/>
          <w:color w:val="auto"/>
          <w:highlight w:val="none"/>
        </w:rPr>
        <w:t>5.</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1</w:t>
      </w:r>
      <w:r>
        <w:rPr>
          <w:rFonts w:hint="eastAsia"/>
          <w:color w:val="auto"/>
          <w:highlight w:val="none"/>
        </w:rPr>
        <w:t>.</w:t>
      </w:r>
      <w:r>
        <w:rPr>
          <w:rFonts w:hint="eastAsia"/>
          <w:color w:val="auto"/>
          <w:highlight w:val="none"/>
          <w:lang w:val="en-US" w:eastAsia="zh-CN"/>
        </w:rPr>
        <w:t>1</w:t>
      </w:r>
      <w:r>
        <w:rPr>
          <w:rFonts w:hint="eastAsia"/>
          <w:color w:val="auto"/>
          <w:highlight w:val="none"/>
        </w:rPr>
        <w:t xml:space="preserve"> 气象概况</w:t>
      </w:r>
    </w:p>
    <w:p w14:paraId="12961182">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项目采用的是闽侯气象站</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58844</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资料，气象站位于福建省福州市，地理坐标为东经119.15度，北纬26.15度，</w:t>
      </w:r>
      <w:r>
        <w:rPr>
          <w:rFonts w:hint="eastAsia" w:ascii="Times New Roman" w:hAnsi="Times New Roman" w:cs="Times New Roman"/>
          <w:color w:val="auto"/>
          <w:highlight w:val="none"/>
          <w:lang w:eastAsia="zh-CN"/>
        </w:rPr>
        <w:t>海拔</w:t>
      </w:r>
      <w:r>
        <w:rPr>
          <w:rFonts w:hint="default" w:ascii="Times New Roman" w:hAnsi="Times New Roman" w:cs="Times New Roman"/>
          <w:color w:val="auto"/>
          <w:highlight w:val="none"/>
        </w:rPr>
        <w:t>57.8米。气象站始建于1954年，1954年正式进行气象观测，拥有长期的气象观测资料，以下资料根据2004-2023年气象数据统计分析。</w:t>
      </w:r>
    </w:p>
    <w:p w14:paraId="64043435">
      <w:pPr>
        <w:pStyle w:val="133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闽侯气象站气象资料整编表详见表5.</w:t>
      </w:r>
      <w:r>
        <w:rPr>
          <w:rFonts w:hint="eastAsia" w:ascii="Times New Roman" w:hAnsi="Times New Roman" w:cs="Times New Roman"/>
          <w:color w:val="auto"/>
          <w:highlight w:val="none"/>
          <w:lang w:val="en-US" w:eastAsia="zh-CN"/>
        </w:rPr>
        <w:t>3-1</w:t>
      </w:r>
      <w:r>
        <w:rPr>
          <w:rFonts w:hint="default" w:ascii="Times New Roman" w:hAnsi="Times New Roman" w:cs="Times New Roman"/>
          <w:color w:val="auto"/>
          <w:highlight w:val="none"/>
        </w:rPr>
        <w:t>。</w:t>
      </w:r>
    </w:p>
    <w:p w14:paraId="2472075B">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Hans"/>
        </w:rPr>
        <w:t>表5.</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Hans"/>
        </w:rPr>
        <w:t>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Hans"/>
        </w:rPr>
        <w:t>闽侯气象站常规气象项目统计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eastAsia="zh-Hans"/>
        </w:rPr>
        <w:t>2004-2023</w:t>
      </w:r>
      <w:r>
        <w:rPr>
          <w:rFonts w:hint="default" w:ascii="Times New Roman" w:hAnsi="Times New Roman" w:cs="Times New Roman"/>
          <w:color w:val="auto"/>
          <w:highlight w:val="none"/>
          <w:lang w:eastAsia="zh-CN"/>
        </w:rPr>
        <w:t>）</w:t>
      </w:r>
    </w:p>
    <w:tbl>
      <w:tblPr>
        <w:tblStyle w:val="80"/>
        <w:tblW w:w="87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1"/>
        <w:gridCol w:w="2544"/>
        <w:gridCol w:w="1758"/>
        <w:gridCol w:w="1885"/>
        <w:gridCol w:w="1839"/>
      </w:tblGrid>
      <w:tr w14:paraId="1D8D9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0C496C1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统计项目</w:t>
            </w:r>
          </w:p>
        </w:tc>
        <w:tc>
          <w:tcPr>
            <w:tcW w:w="1758" w:type="dxa"/>
            <w:tcBorders>
              <w:top w:val="single" w:color="000000" w:sz="4" w:space="0"/>
              <w:left w:val="single" w:color="000000" w:sz="4" w:space="0"/>
              <w:bottom w:val="single" w:color="000000" w:sz="4" w:space="0"/>
              <w:right w:val="single" w:color="000000" w:sz="4" w:space="0"/>
            </w:tcBorders>
            <w:noWrap w:val="0"/>
            <w:vAlign w:val="center"/>
          </w:tcPr>
          <w:p w14:paraId="18B2A20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*统计值</w:t>
            </w:r>
          </w:p>
        </w:tc>
        <w:tc>
          <w:tcPr>
            <w:tcW w:w="1885" w:type="dxa"/>
            <w:tcBorders>
              <w:top w:val="single" w:color="000000" w:sz="4" w:space="0"/>
              <w:left w:val="single" w:color="000000" w:sz="4" w:space="0"/>
              <w:bottom w:val="single" w:color="000000" w:sz="4" w:space="0"/>
              <w:right w:val="single" w:color="000000" w:sz="4" w:space="0"/>
            </w:tcBorders>
            <w:noWrap w:val="0"/>
            <w:vAlign w:val="center"/>
          </w:tcPr>
          <w:p w14:paraId="629A8A60">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极值出现时间</w:t>
            </w:r>
          </w:p>
        </w:tc>
        <w:tc>
          <w:tcPr>
            <w:tcW w:w="1839" w:type="dxa"/>
            <w:tcBorders>
              <w:top w:val="single" w:color="000000" w:sz="4" w:space="0"/>
              <w:left w:val="single" w:color="000000" w:sz="4" w:space="0"/>
              <w:bottom w:val="single" w:color="000000" w:sz="4" w:space="0"/>
              <w:right w:val="single" w:color="000000" w:sz="4" w:space="0"/>
            </w:tcBorders>
            <w:noWrap w:val="0"/>
            <w:vAlign w:val="center"/>
          </w:tcPr>
          <w:p w14:paraId="1FD0D50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**极值</w:t>
            </w:r>
          </w:p>
        </w:tc>
      </w:tr>
      <w:tr w14:paraId="75ED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7629E21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多年平均气温</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074AF2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20.7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14A3021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eastAsia"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4CB4308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57D3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11445DC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累年极端最高气温</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D238B7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39.4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237F32F5">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2022-08-22</w:t>
            </w: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7A6154E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41.4 </w:t>
            </w:r>
          </w:p>
        </w:tc>
      </w:tr>
      <w:tr w14:paraId="55CD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152153A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累年极端最低气温</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C45923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3D38D8C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2016-01-25</w:t>
            </w: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B4B1E5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-2.2 </w:t>
            </w:r>
          </w:p>
        </w:tc>
      </w:tr>
      <w:tr w14:paraId="2E8C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5998D54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多年平均气压</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hPa</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2B29DA7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1008.2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394D5B2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519FBCB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14D5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34A2C1E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多年平均水汽压</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hPa</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71E697C">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19.5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543EB62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08B343C">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33159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1CF23AE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多年平均相对湿度</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68C3607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75.7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2648198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6EAD75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038CC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79CABA9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多年平均降雨量</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mm</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4FD4C3F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1486.9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76C48ED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2005-10-03</w:t>
            </w: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41498EA0">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180.2 </w:t>
            </w:r>
          </w:p>
        </w:tc>
      </w:tr>
      <w:tr w14:paraId="16C6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7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16931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灾害</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天气</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统计</w:t>
            </w:r>
          </w:p>
        </w:tc>
        <w:tc>
          <w:tcPr>
            <w:tcW w:w="2544" w:type="dxa"/>
            <w:tcBorders>
              <w:top w:val="single" w:color="000000" w:sz="4" w:space="0"/>
              <w:left w:val="single" w:color="000000" w:sz="4" w:space="0"/>
              <w:bottom w:val="single" w:color="000000" w:sz="4" w:space="0"/>
              <w:right w:val="single" w:color="000000" w:sz="4" w:space="0"/>
            </w:tcBorders>
            <w:noWrap w:val="0"/>
            <w:vAlign w:val="center"/>
          </w:tcPr>
          <w:p w14:paraId="76DEB0D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多年平均沙暴日数</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d</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0E2CDE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0.0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5C3E0FC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C3C9E4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0708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72EA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eastAsia" w:ascii="Times New Roman" w:hAnsi="Times New Roman" w:eastAsia="宋体" w:cs="Times New Roman"/>
                <w:b w:val="0"/>
                <w:bCs/>
                <w:snapToGrid w:val="0"/>
                <w:color w:val="auto"/>
                <w:sz w:val="21"/>
                <w:highlight w:val="none"/>
                <w:lang w:val="en-US" w:eastAsia="zh-CN"/>
              </w:rPr>
            </w:pPr>
          </w:p>
        </w:tc>
        <w:tc>
          <w:tcPr>
            <w:tcW w:w="2544" w:type="dxa"/>
            <w:tcBorders>
              <w:top w:val="single" w:color="000000" w:sz="4" w:space="0"/>
              <w:left w:val="single" w:color="000000" w:sz="4" w:space="0"/>
              <w:bottom w:val="single" w:color="000000" w:sz="4" w:space="0"/>
              <w:right w:val="single" w:color="000000" w:sz="4" w:space="0"/>
            </w:tcBorders>
            <w:noWrap w:val="0"/>
            <w:vAlign w:val="center"/>
          </w:tcPr>
          <w:p w14:paraId="5E5EC450">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多年平均雷暴日数</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d</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4E59F09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42.7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57991D7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1E4100A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24BE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214E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eastAsia" w:ascii="Times New Roman" w:hAnsi="Times New Roman" w:eastAsia="宋体" w:cs="Times New Roman"/>
                <w:b w:val="0"/>
                <w:bCs/>
                <w:snapToGrid w:val="0"/>
                <w:color w:val="auto"/>
                <w:sz w:val="21"/>
                <w:highlight w:val="none"/>
                <w:lang w:val="en-US" w:eastAsia="zh-CN"/>
              </w:rPr>
            </w:pPr>
          </w:p>
        </w:tc>
        <w:tc>
          <w:tcPr>
            <w:tcW w:w="2544" w:type="dxa"/>
            <w:tcBorders>
              <w:top w:val="single" w:color="000000" w:sz="4" w:space="0"/>
              <w:left w:val="single" w:color="000000" w:sz="4" w:space="0"/>
              <w:bottom w:val="single" w:color="000000" w:sz="4" w:space="0"/>
              <w:right w:val="single" w:color="000000" w:sz="4" w:space="0"/>
            </w:tcBorders>
            <w:noWrap w:val="0"/>
            <w:vAlign w:val="center"/>
          </w:tcPr>
          <w:p w14:paraId="0A74A14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多年平均冰雹日数</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d</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777669B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0.5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70AD58C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F38AFD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0699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CF97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eastAsia" w:ascii="Times New Roman" w:hAnsi="Times New Roman" w:eastAsia="宋体" w:cs="Times New Roman"/>
                <w:b w:val="0"/>
                <w:bCs/>
                <w:snapToGrid w:val="0"/>
                <w:color w:val="auto"/>
                <w:sz w:val="21"/>
                <w:highlight w:val="none"/>
                <w:lang w:val="en-US" w:eastAsia="zh-CN"/>
              </w:rPr>
            </w:pPr>
          </w:p>
        </w:tc>
        <w:tc>
          <w:tcPr>
            <w:tcW w:w="2544" w:type="dxa"/>
            <w:tcBorders>
              <w:top w:val="single" w:color="000000" w:sz="4" w:space="0"/>
              <w:left w:val="single" w:color="000000" w:sz="4" w:space="0"/>
              <w:bottom w:val="single" w:color="000000" w:sz="4" w:space="0"/>
              <w:right w:val="single" w:color="000000" w:sz="4" w:space="0"/>
            </w:tcBorders>
            <w:noWrap w:val="0"/>
            <w:vAlign w:val="center"/>
          </w:tcPr>
          <w:p w14:paraId="53B2ED2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多年平均大风日数</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d</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63F0598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4.1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479A90A0">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6F335DF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11B8F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114C4C3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多年实测极大风速</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m/s</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、相应</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风向</w:t>
            </w:r>
          </w:p>
        </w:tc>
        <w:tc>
          <w:tcPr>
            <w:tcW w:w="1758" w:type="dxa"/>
            <w:tcBorders>
              <w:top w:val="single" w:color="000000" w:sz="4" w:space="0"/>
              <w:left w:val="single" w:color="000000" w:sz="4" w:space="0"/>
              <w:bottom w:val="single" w:color="000000" w:sz="4" w:space="0"/>
              <w:right w:val="single" w:color="000000" w:sz="4" w:space="0"/>
            </w:tcBorders>
            <w:noWrap w:val="0"/>
            <w:vAlign w:val="center"/>
          </w:tcPr>
          <w:p w14:paraId="716CE33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25.0 </w:t>
            </w:r>
          </w:p>
        </w:tc>
        <w:tc>
          <w:tcPr>
            <w:tcW w:w="1885" w:type="dxa"/>
            <w:tcBorders>
              <w:top w:val="single" w:color="000000" w:sz="4" w:space="0"/>
              <w:left w:val="single" w:color="000000" w:sz="4" w:space="0"/>
              <w:bottom w:val="single" w:color="000000" w:sz="4" w:space="0"/>
              <w:right w:val="single" w:color="000000" w:sz="4" w:space="0"/>
            </w:tcBorders>
            <w:noWrap w:val="0"/>
            <w:vAlign w:val="center"/>
          </w:tcPr>
          <w:p w14:paraId="662A8C9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2012-05-01</w:t>
            </w:r>
          </w:p>
        </w:tc>
        <w:tc>
          <w:tcPr>
            <w:tcW w:w="1839" w:type="dxa"/>
            <w:tcBorders>
              <w:top w:val="single" w:color="000000" w:sz="4" w:space="0"/>
              <w:left w:val="single" w:color="000000" w:sz="4" w:space="0"/>
              <w:bottom w:val="single" w:color="000000" w:sz="4" w:space="0"/>
              <w:right w:val="single" w:color="000000" w:sz="4" w:space="0"/>
            </w:tcBorders>
            <w:noWrap w:val="0"/>
            <w:vAlign w:val="center"/>
          </w:tcPr>
          <w:p w14:paraId="27E951E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33.3</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WNW</w:t>
            </w:r>
          </w:p>
        </w:tc>
      </w:tr>
      <w:tr w14:paraId="38FB4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00F9182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多年平均风速</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m/s</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396380D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eastAsia" w:ascii="Times New Roman" w:hAnsi="Times New Roman" w:eastAsia="宋体" w:cs="Times New Roman"/>
                <w:b w:val="0"/>
                <w:bCs/>
                <w:snapToGrid w:val="0"/>
                <w:color w:val="auto"/>
                <w:sz w:val="21"/>
                <w:highlight w:val="none"/>
                <w:lang w:val="en-US" w:eastAsia="zh-CN"/>
              </w:rPr>
              <w:t>2.6</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28283DB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7B693A9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791AC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0A3CFC8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多年主导风向、风向频率</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14D2BCF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WNW</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10.8%</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75727B6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58BF9D6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36460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3882D2E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多年静风频率</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风速&lt;=0.2m/s</w:t>
            </w:r>
            <w:r>
              <w:rPr>
                <w:rFonts w:hint="eastAsia" w:ascii="Times New Roman" w:hAnsi="Times New Roman" w:eastAsia="宋体" w:cs="Times New Roman"/>
                <w:b w:val="0"/>
                <w:bCs/>
                <w:snapToGrid w:val="0"/>
                <w:color w:val="auto"/>
                <w:sz w:val="21"/>
                <w:highlight w:val="none"/>
                <w:lang w:val="en-US" w:eastAsia="zh-CN"/>
              </w:rPr>
              <w:t>）（</w:t>
            </w:r>
            <w:r>
              <w:rPr>
                <w:rFonts w:hint="default" w:ascii="Times New Roman" w:hAnsi="Times New Roman" w:eastAsia="宋体" w:cs="Times New Roman"/>
                <w:b w:val="0"/>
                <w:bCs/>
                <w:snapToGrid w:val="0"/>
                <w:color w:val="auto"/>
                <w:sz w:val="21"/>
                <w:highlight w:val="none"/>
                <w:lang w:val="en-US" w:eastAsia="zh-CN"/>
              </w:rPr>
              <w:t>%</w:t>
            </w:r>
            <w:r>
              <w:rPr>
                <w:rFonts w:hint="eastAsia" w:ascii="Times New Roman" w:hAnsi="Times New Roman" w:eastAsia="宋体" w:cs="Times New Roman"/>
                <w:b w:val="0"/>
                <w:bCs/>
                <w:snapToGrid w:val="0"/>
                <w:color w:val="auto"/>
                <w:sz w:val="21"/>
                <w:highlight w:val="none"/>
                <w:lang w:val="en-US" w:eastAsia="zh-CN"/>
              </w:rPr>
              <w:t>）</w:t>
            </w:r>
          </w:p>
        </w:tc>
        <w:tc>
          <w:tcPr>
            <w:tcW w:w="1758" w:type="dxa"/>
            <w:tcBorders>
              <w:top w:val="single" w:color="000000" w:sz="4" w:space="0"/>
              <w:left w:val="single" w:color="000000" w:sz="4" w:space="0"/>
              <w:bottom w:val="single" w:color="000000" w:sz="4" w:space="0"/>
              <w:right w:val="single" w:color="000000" w:sz="4" w:space="0"/>
            </w:tcBorders>
            <w:noWrap w:val="0"/>
            <w:vAlign w:val="top"/>
          </w:tcPr>
          <w:p w14:paraId="3F610BB9">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5.4 </w:t>
            </w:r>
          </w:p>
        </w:tc>
        <w:tc>
          <w:tcPr>
            <w:tcW w:w="1885" w:type="dxa"/>
            <w:tcBorders>
              <w:top w:val="single" w:color="000000" w:sz="4" w:space="0"/>
              <w:left w:val="single" w:color="000000" w:sz="4" w:space="0"/>
              <w:bottom w:val="single" w:color="000000" w:sz="4" w:space="0"/>
              <w:right w:val="single" w:color="000000" w:sz="4" w:space="0"/>
            </w:tcBorders>
            <w:noWrap w:val="0"/>
            <w:vAlign w:val="top"/>
          </w:tcPr>
          <w:p w14:paraId="38BAB16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4BB9077C">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p>
        </w:tc>
      </w:tr>
      <w:tr w14:paraId="3BC7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315" w:type="dxa"/>
            <w:gridSpan w:val="2"/>
            <w:tcBorders>
              <w:top w:val="single" w:color="000000" w:sz="4" w:space="0"/>
              <w:left w:val="single" w:color="000000" w:sz="4" w:space="0"/>
              <w:bottom w:val="single" w:color="000000" w:sz="4" w:space="0"/>
              <w:right w:val="single" w:color="000000" w:sz="4" w:space="0"/>
            </w:tcBorders>
            <w:noWrap w:val="0"/>
            <w:vAlign w:val="center"/>
          </w:tcPr>
          <w:p w14:paraId="0C25C48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*统计值代表均值</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**极值代表极端值</w:t>
            </w:r>
          </w:p>
        </w:tc>
        <w:tc>
          <w:tcPr>
            <w:tcW w:w="1758" w:type="dxa"/>
            <w:tcBorders>
              <w:top w:val="single" w:color="000000" w:sz="4" w:space="0"/>
              <w:left w:val="single" w:color="000000" w:sz="4" w:space="0"/>
              <w:bottom w:val="single" w:color="000000" w:sz="4" w:space="0"/>
              <w:right w:val="single" w:color="000000" w:sz="4" w:space="0"/>
            </w:tcBorders>
            <w:noWrap w:val="0"/>
            <w:vAlign w:val="center"/>
          </w:tcPr>
          <w:p w14:paraId="0892E7E0">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举例：累年极端最高气温</w:t>
            </w:r>
          </w:p>
        </w:tc>
        <w:tc>
          <w:tcPr>
            <w:tcW w:w="1885" w:type="dxa"/>
            <w:tcBorders>
              <w:top w:val="single" w:color="000000" w:sz="4" w:space="0"/>
              <w:left w:val="single" w:color="000000" w:sz="4" w:space="0"/>
              <w:bottom w:val="single" w:color="000000" w:sz="4" w:space="0"/>
              <w:right w:val="single" w:color="000000" w:sz="4" w:space="0"/>
            </w:tcBorders>
            <w:noWrap w:val="0"/>
            <w:vAlign w:val="center"/>
          </w:tcPr>
          <w:p w14:paraId="6DE3B8B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*代表极端最高气</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温的累年平均值</w:t>
            </w:r>
          </w:p>
        </w:tc>
        <w:tc>
          <w:tcPr>
            <w:tcW w:w="1839" w:type="dxa"/>
            <w:tcBorders>
              <w:top w:val="single" w:color="000000" w:sz="4" w:space="0"/>
              <w:left w:val="single" w:color="000000" w:sz="4" w:space="0"/>
              <w:bottom w:val="single" w:color="000000" w:sz="4" w:space="0"/>
              <w:right w:val="single" w:color="000000" w:sz="4" w:space="0"/>
            </w:tcBorders>
            <w:noWrap w:val="0"/>
            <w:vAlign w:val="top"/>
          </w:tcPr>
          <w:p w14:paraId="596A03D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**代表极端最高气温的累年最高值</w:t>
            </w:r>
          </w:p>
        </w:tc>
      </w:tr>
    </w:tbl>
    <w:p w14:paraId="4A41FC74">
      <w:pPr>
        <w:pStyle w:val="5"/>
        <w:numPr>
          <w:ilvl w:val="3"/>
          <w:numId w:val="0"/>
        </w:numPr>
        <w:bidi w:val="0"/>
        <w:ind w:leftChars="0"/>
        <w:rPr>
          <w:rFonts w:hint="eastAsia"/>
          <w:color w:val="auto"/>
          <w:highlight w:val="none"/>
        </w:rPr>
      </w:pPr>
      <w:r>
        <w:rPr>
          <w:rFonts w:hint="eastAsia"/>
          <w:color w:val="auto"/>
          <w:highlight w:val="none"/>
        </w:rPr>
        <w:t>5.</w:t>
      </w:r>
      <w:r>
        <w:rPr>
          <w:rFonts w:hint="eastAsia"/>
          <w:color w:val="auto"/>
          <w:highlight w:val="none"/>
          <w:lang w:val="en-US" w:eastAsia="zh-CN"/>
        </w:rPr>
        <w:t xml:space="preserve">3.1.2 </w:t>
      </w:r>
      <w:r>
        <w:rPr>
          <w:rFonts w:hint="eastAsia"/>
          <w:color w:val="auto"/>
          <w:highlight w:val="none"/>
        </w:rPr>
        <w:t>气象站风观测数据统计</w:t>
      </w:r>
    </w:p>
    <w:p w14:paraId="727AE6DB">
      <w:pPr>
        <w:pStyle w:val="1336"/>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月平均风速</w:t>
      </w:r>
    </w:p>
    <w:p w14:paraId="05354F1E">
      <w:pPr>
        <w:pStyle w:val="1336"/>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闽侯气象站月平均风速如表</w:t>
      </w:r>
      <w:r>
        <w:rPr>
          <w:rFonts w:hint="eastAsia" w:ascii="Times New Roman" w:hAnsi="Times New Roman" w:eastAsia="宋体" w:cs="Times New Roman"/>
          <w:color w:val="auto"/>
          <w:highlight w:val="none"/>
          <w:lang w:val="en-US" w:eastAsia="zh-CN"/>
        </w:rPr>
        <w:t>5.3-2</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09月平均风速最大</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2.3米/秒</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06月风最小</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1.7米/秒</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482A1933">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Hans"/>
        </w:rPr>
        <w:t>表5.</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Hans"/>
        </w:rPr>
        <w:t>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Hans"/>
        </w:rPr>
        <w:t>闽侯气象站月平均风速统计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eastAsia="zh-Hans"/>
        </w:rPr>
        <w:t>单位m/s</w:t>
      </w:r>
      <w:r>
        <w:rPr>
          <w:rFonts w:hint="default" w:ascii="Times New Roman" w:hAnsi="Times New Roman" w:cs="Times New Roman"/>
          <w:color w:val="auto"/>
          <w:highlight w:val="none"/>
          <w:lang w:eastAsia="zh-CN"/>
        </w:rPr>
        <w:t>）</w:t>
      </w:r>
    </w:p>
    <w:tbl>
      <w:tblPr>
        <w:tblStyle w:val="1311"/>
        <w:tblW w:w="88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661"/>
        <w:gridCol w:w="674"/>
        <w:gridCol w:w="688"/>
        <w:gridCol w:w="688"/>
        <w:gridCol w:w="674"/>
        <w:gridCol w:w="661"/>
        <w:gridCol w:w="703"/>
        <w:gridCol w:w="674"/>
        <w:gridCol w:w="674"/>
        <w:gridCol w:w="674"/>
        <w:gridCol w:w="676"/>
        <w:gridCol w:w="710"/>
      </w:tblGrid>
      <w:tr w14:paraId="621A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96" w:type="dxa"/>
            <w:noWrap w:val="0"/>
            <w:vAlign w:val="top"/>
          </w:tcPr>
          <w:p w14:paraId="5692F2D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月份</w:t>
            </w:r>
          </w:p>
        </w:tc>
        <w:tc>
          <w:tcPr>
            <w:tcW w:w="661" w:type="dxa"/>
            <w:noWrap w:val="0"/>
            <w:vAlign w:val="top"/>
          </w:tcPr>
          <w:p w14:paraId="0F0AC77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w:t>
            </w:r>
          </w:p>
        </w:tc>
        <w:tc>
          <w:tcPr>
            <w:tcW w:w="674" w:type="dxa"/>
            <w:noWrap w:val="0"/>
            <w:vAlign w:val="top"/>
          </w:tcPr>
          <w:p w14:paraId="69CE1A1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w:t>
            </w:r>
          </w:p>
        </w:tc>
        <w:tc>
          <w:tcPr>
            <w:tcW w:w="688" w:type="dxa"/>
            <w:noWrap w:val="0"/>
            <w:vAlign w:val="top"/>
          </w:tcPr>
          <w:p w14:paraId="4C23626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3</w:t>
            </w:r>
          </w:p>
        </w:tc>
        <w:tc>
          <w:tcPr>
            <w:tcW w:w="688" w:type="dxa"/>
            <w:noWrap w:val="0"/>
            <w:vAlign w:val="top"/>
          </w:tcPr>
          <w:p w14:paraId="403DB2B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4</w:t>
            </w:r>
          </w:p>
        </w:tc>
        <w:tc>
          <w:tcPr>
            <w:tcW w:w="674" w:type="dxa"/>
            <w:noWrap w:val="0"/>
            <w:vAlign w:val="top"/>
          </w:tcPr>
          <w:p w14:paraId="4DCF5D87">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5</w:t>
            </w:r>
          </w:p>
        </w:tc>
        <w:tc>
          <w:tcPr>
            <w:tcW w:w="661" w:type="dxa"/>
            <w:noWrap w:val="0"/>
            <w:vAlign w:val="top"/>
          </w:tcPr>
          <w:p w14:paraId="41E20DFD">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6</w:t>
            </w:r>
          </w:p>
        </w:tc>
        <w:tc>
          <w:tcPr>
            <w:tcW w:w="703" w:type="dxa"/>
            <w:noWrap w:val="0"/>
            <w:vAlign w:val="top"/>
          </w:tcPr>
          <w:p w14:paraId="5BFFC3D5">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7</w:t>
            </w:r>
          </w:p>
        </w:tc>
        <w:tc>
          <w:tcPr>
            <w:tcW w:w="674" w:type="dxa"/>
            <w:noWrap w:val="0"/>
            <w:vAlign w:val="top"/>
          </w:tcPr>
          <w:p w14:paraId="6F8EB29C">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8</w:t>
            </w:r>
          </w:p>
        </w:tc>
        <w:tc>
          <w:tcPr>
            <w:tcW w:w="674" w:type="dxa"/>
            <w:noWrap w:val="0"/>
            <w:vAlign w:val="top"/>
          </w:tcPr>
          <w:p w14:paraId="0DEE9E2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9</w:t>
            </w:r>
          </w:p>
        </w:tc>
        <w:tc>
          <w:tcPr>
            <w:tcW w:w="674" w:type="dxa"/>
            <w:noWrap w:val="0"/>
            <w:vAlign w:val="top"/>
          </w:tcPr>
          <w:p w14:paraId="5D27D6C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10</w:t>
            </w:r>
          </w:p>
        </w:tc>
        <w:tc>
          <w:tcPr>
            <w:tcW w:w="676" w:type="dxa"/>
            <w:noWrap w:val="0"/>
            <w:vAlign w:val="top"/>
          </w:tcPr>
          <w:p w14:paraId="1725E6D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11</w:t>
            </w:r>
          </w:p>
        </w:tc>
        <w:tc>
          <w:tcPr>
            <w:tcW w:w="710" w:type="dxa"/>
            <w:noWrap w:val="0"/>
            <w:vAlign w:val="top"/>
          </w:tcPr>
          <w:p w14:paraId="79426F65">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12</w:t>
            </w:r>
          </w:p>
        </w:tc>
      </w:tr>
      <w:tr w14:paraId="27733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96" w:type="dxa"/>
            <w:noWrap w:val="0"/>
            <w:vAlign w:val="top"/>
          </w:tcPr>
          <w:p w14:paraId="1DF9415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平均</w:t>
            </w:r>
          </w:p>
          <w:p w14:paraId="074FCC38">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风速</w:t>
            </w:r>
          </w:p>
        </w:tc>
        <w:tc>
          <w:tcPr>
            <w:tcW w:w="661" w:type="dxa"/>
            <w:noWrap w:val="0"/>
            <w:vAlign w:val="top"/>
          </w:tcPr>
          <w:p w14:paraId="71943BF2">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w:t>
            </w:r>
          </w:p>
        </w:tc>
        <w:tc>
          <w:tcPr>
            <w:tcW w:w="674" w:type="dxa"/>
            <w:noWrap w:val="0"/>
            <w:vAlign w:val="top"/>
          </w:tcPr>
          <w:p w14:paraId="3A30FD2B">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w:t>
            </w:r>
          </w:p>
        </w:tc>
        <w:tc>
          <w:tcPr>
            <w:tcW w:w="688" w:type="dxa"/>
            <w:noWrap w:val="0"/>
            <w:vAlign w:val="top"/>
          </w:tcPr>
          <w:p w14:paraId="22ABAE0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w:t>
            </w:r>
          </w:p>
        </w:tc>
        <w:tc>
          <w:tcPr>
            <w:tcW w:w="688" w:type="dxa"/>
            <w:noWrap w:val="0"/>
            <w:vAlign w:val="top"/>
          </w:tcPr>
          <w:p w14:paraId="03D58E5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w:t>
            </w:r>
          </w:p>
        </w:tc>
        <w:tc>
          <w:tcPr>
            <w:tcW w:w="674" w:type="dxa"/>
            <w:noWrap w:val="0"/>
            <w:vAlign w:val="top"/>
          </w:tcPr>
          <w:p w14:paraId="4A449684">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1.8</w:t>
            </w:r>
          </w:p>
        </w:tc>
        <w:tc>
          <w:tcPr>
            <w:tcW w:w="661" w:type="dxa"/>
            <w:noWrap w:val="0"/>
            <w:vAlign w:val="top"/>
          </w:tcPr>
          <w:p w14:paraId="7D68B5CF">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1.7</w:t>
            </w:r>
          </w:p>
        </w:tc>
        <w:tc>
          <w:tcPr>
            <w:tcW w:w="703" w:type="dxa"/>
            <w:noWrap w:val="0"/>
            <w:vAlign w:val="top"/>
          </w:tcPr>
          <w:p w14:paraId="5E2937F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2.0</w:t>
            </w:r>
          </w:p>
        </w:tc>
        <w:tc>
          <w:tcPr>
            <w:tcW w:w="674" w:type="dxa"/>
            <w:noWrap w:val="0"/>
            <w:vAlign w:val="top"/>
          </w:tcPr>
          <w:p w14:paraId="1003C89A">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2.1</w:t>
            </w:r>
          </w:p>
        </w:tc>
        <w:tc>
          <w:tcPr>
            <w:tcW w:w="674" w:type="dxa"/>
            <w:noWrap w:val="0"/>
            <w:vAlign w:val="top"/>
          </w:tcPr>
          <w:p w14:paraId="078B1B61">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2.3</w:t>
            </w:r>
          </w:p>
        </w:tc>
        <w:tc>
          <w:tcPr>
            <w:tcW w:w="674" w:type="dxa"/>
            <w:noWrap w:val="0"/>
            <w:vAlign w:val="top"/>
          </w:tcPr>
          <w:p w14:paraId="29A3D866">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2.1</w:t>
            </w:r>
          </w:p>
        </w:tc>
        <w:tc>
          <w:tcPr>
            <w:tcW w:w="676" w:type="dxa"/>
            <w:noWrap w:val="0"/>
            <w:vAlign w:val="top"/>
          </w:tcPr>
          <w:p w14:paraId="00BF244E">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2.2</w:t>
            </w:r>
          </w:p>
        </w:tc>
        <w:tc>
          <w:tcPr>
            <w:tcW w:w="710" w:type="dxa"/>
            <w:noWrap w:val="0"/>
            <w:vAlign w:val="top"/>
          </w:tcPr>
          <w:p w14:paraId="1A8997A3">
            <w:pPr>
              <w:pStyle w:val="292"/>
              <w:keepNext w:val="0"/>
              <w:keepLines w:val="0"/>
              <w:pageBreakBefore w:val="0"/>
              <w:widowControl w:val="0"/>
              <w:kinsoku/>
              <w:wordWrap/>
              <w:overflowPunct/>
              <w:topLinePunct w:val="0"/>
              <w:autoSpaceDE/>
              <w:autoSpaceDN/>
              <w:bidi w:val="0"/>
              <w:adjustRightInd w:val="0"/>
              <w:snapToGrid w:val="0"/>
              <w:spacing w:before="0" w:after="0" w:line="240" w:lineRule="auto"/>
              <w:ind w:left="0"/>
              <w:jc w:val="center"/>
              <w:textAlignment w:val="auto"/>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2.3</w:t>
            </w:r>
          </w:p>
        </w:tc>
      </w:tr>
    </w:tbl>
    <w:p w14:paraId="7FBC6C85">
      <w:pPr>
        <w:pStyle w:val="1336"/>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风向特征</w:t>
      </w:r>
    </w:p>
    <w:p w14:paraId="41549A96">
      <w:pPr>
        <w:pStyle w:val="1336"/>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近20年资料分析的风向玫瑰图如图</w:t>
      </w:r>
      <w:r>
        <w:rPr>
          <w:rFonts w:hint="eastAsia" w:ascii="Times New Roman" w:hAnsi="Times New Roman" w:eastAsia="宋体" w:cs="Times New Roman"/>
          <w:color w:val="auto"/>
          <w:highlight w:val="none"/>
          <w:lang w:val="en-US" w:eastAsia="zh-CN"/>
        </w:rPr>
        <w:t>5.3.</w:t>
      </w:r>
      <w:r>
        <w:rPr>
          <w:rFonts w:hint="default" w:ascii="Times New Roman" w:hAnsi="Times New Roman" w:eastAsia="宋体" w:cs="Times New Roman"/>
          <w:color w:val="auto"/>
          <w:highlight w:val="none"/>
        </w:rPr>
        <w:t>1所示，闽侯气象站主要风向为WNW和ESE、SE、E</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占42.4%</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其中以WNW为主风向，占到全年10.8%左右。</w:t>
      </w:r>
    </w:p>
    <w:p w14:paraId="15F88EC3">
      <w:pPr>
        <w:pStyle w:val="292"/>
        <w:jc w:val="center"/>
        <w:rPr>
          <w:color w:val="auto"/>
          <w:highlight w:val="none"/>
        </w:rPr>
      </w:pPr>
      <w:r>
        <w:rPr>
          <w:color w:val="auto"/>
          <w:highlight w:val="none"/>
        </w:rPr>
        <w:drawing>
          <wp:inline distT="0" distB="0" distL="114300" distR="114300">
            <wp:extent cx="5577840" cy="4183380"/>
            <wp:effectExtent l="0" t="0" r="3810" b="7620"/>
            <wp:docPr id="275"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557"/>
                    <pic:cNvPicPr>
                      <a:picLocks noChangeAspect="1"/>
                    </pic:cNvPicPr>
                  </pic:nvPicPr>
                  <pic:blipFill>
                    <a:blip r:embed="rId64"/>
                    <a:stretch>
                      <a:fillRect/>
                    </a:stretch>
                  </pic:blipFill>
                  <pic:spPr>
                    <a:xfrm>
                      <a:off x="0" y="0"/>
                      <a:ext cx="5577840" cy="4183380"/>
                    </a:xfrm>
                    <a:prstGeom prst="rect">
                      <a:avLst/>
                    </a:prstGeom>
                    <a:noFill/>
                    <a:ln>
                      <a:noFill/>
                    </a:ln>
                  </pic:spPr>
                </pic:pic>
              </a:graphicData>
            </a:graphic>
          </wp:inline>
        </w:drawing>
      </w:r>
    </w:p>
    <w:p w14:paraId="6D9210CD">
      <w:pPr>
        <w:pStyle w:val="8"/>
        <w:bidi w:val="0"/>
        <w:rPr>
          <w:rFonts w:hint="default" w:ascii="Times New Roman" w:hAnsi="Times New Roman" w:cs="Times New Roman"/>
          <w:color w:val="auto"/>
          <w:highlight w:val="none"/>
          <w:lang w:eastAsia="zh-Hans"/>
        </w:rPr>
      </w:pPr>
      <w:r>
        <w:rPr>
          <w:rFonts w:hint="default" w:ascii="Times New Roman" w:hAnsi="Times New Roman" w:cs="Times New Roman"/>
          <w:color w:val="auto"/>
          <w:highlight w:val="none"/>
          <w:lang w:val="en-US" w:eastAsia="zh-CN"/>
        </w:rPr>
        <w:t>图5.3-1  闽侯风向玫瑰图（静风频率 5.4 %）</w:t>
      </w:r>
    </w:p>
    <w:p w14:paraId="1945A516">
      <w:pPr>
        <w:rPr>
          <w:rFonts w:hint="default"/>
          <w:color w:val="auto"/>
          <w:highlight w:val="none"/>
          <w:lang w:val="en-US" w:eastAsia="zh-CN"/>
        </w:rPr>
      </w:pPr>
      <w:r>
        <w:rPr>
          <w:rFonts w:hint="default"/>
          <w:color w:val="auto"/>
          <w:highlight w:val="none"/>
          <w:lang w:val="en-US" w:eastAsia="zh-CN"/>
        </w:rPr>
        <w:t>各月风向频率如表5.</w:t>
      </w:r>
      <w:r>
        <w:rPr>
          <w:rFonts w:hint="eastAsia"/>
          <w:color w:val="auto"/>
          <w:highlight w:val="none"/>
          <w:lang w:val="en-US" w:eastAsia="zh-CN"/>
        </w:rPr>
        <w:t>3-3</w:t>
      </w:r>
      <w:r>
        <w:rPr>
          <w:rFonts w:hint="default"/>
          <w:color w:val="auto"/>
          <w:highlight w:val="none"/>
          <w:lang w:val="en-US" w:eastAsia="zh-CN"/>
        </w:rPr>
        <w:t>。</w:t>
      </w:r>
    </w:p>
    <w:p w14:paraId="3B98A097">
      <w:pPr>
        <w:pStyle w:val="1336"/>
        <w:ind w:firstLine="480"/>
        <w:rPr>
          <w:rFonts w:hint="default" w:ascii="Times New Roman" w:hAnsi="Times New Roman" w:cs="Times New Roman"/>
          <w:color w:val="auto"/>
          <w:highlight w:val="none"/>
        </w:rPr>
      </w:pPr>
    </w:p>
    <w:p w14:paraId="3DB951F9">
      <w:pPr>
        <w:pStyle w:val="1336"/>
        <w:ind w:firstLine="480"/>
        <w:rPr>
          <w:color w:val="auto"/>
          <w:highlight w:val="none"/>
        </w:rPr>
        <w:sectPr>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2E9F8634">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Hans"/>
        </w:rPr>
        <w:t>表</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Hans"/>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Hans"/>
        </w:rPr>
        <w:t>-</w:t>
      </w:r>
      <w:r>
        <w:rPr>
          <w:rFonts w:hint="default" w:ascii="Times New Roman" w:hAnsi="Times New Roman" w:cs="Times New Roman"/>
          <w:color w:val="auto"/>
          <w:highlight w:val="none"/>
          <w:lang w:val="en-US" w:eastAsia="zh-CN"/>
        </w:rPr>
        <w:t xml:space="preserve">3  </w:t>
      </w:r>
      <w:r>
        <w:rPr>
          <w:rFonts w:hint="default" w:ascii="Times New Roman" w:hAnsi="Times New Roman" w:cs="Times New Roman"/>
          <w:color w:val="auto"/>
          <w:highlight w:val="none"/>
          <w:lang w:eastAsia="zh-Hans"/>
        </w:rPr>
        <w:t>闽侯气象站年风向频率统计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eastAsia="zh-Hans"/>
        </w:rPr>
        <w:t>单位%</w:t>
      </w:r>
      <w:r>
        <w:rPr>
          <w:rFonts w:hint="default" w:ascii="Times New Roman" w:hAnsi="Times New Roman" w:cs="Times New Roman"/>
          <w:color w:val="auto"/>
          <w:highlight w:val="none"/>
          <w:lang w:eastAsia="zh-CN"/>
        </w:rPr>
        <w:t>）</w:t>
      </w:r>
    </w:p>
    <w:tbl>
      <w:tblPr>
        <w:tblStyle w:val="80"/>
        <w:tblW w:w="14235" w:type="dxa"/>
        <w:jc w:val="center"/>
        <w:tblBorders>
          <w:top w:val="none" w:color="auto" w:sz="4" w:space="0"/>
          <w:left w:val="none" w:color="auto" w:sz="4" w:space="0"/>
          <w:bottom w:val="single" w:color="auto" w:sz="4" w:space="0"/>
          <w:right w:val="none" w:color="auto" w:sz="4" w:space="0"/>
          <w:insideH w:val="none" w:color="auto" w:sz="4" w:space="0"/>
          <w:insideV w:val="none" w:color="auto" w:sz="4" w:space="0"/>
        </w:tblBorders>
        <w:tblLayout w:type="fixed"/>
        <w:tblCellMar>
          <w:top w:w="0" w:type="dxa"/>
          <w:left w:w="10" w:type="dxa"/>
          <w:bottom w:w="0" w:type="dxa"/>
          <w:right w:w="10" w:type="dxa"/>
        </w:tblCellMar>
      </w:tblPr>
      <w:tblGrid>
        <w:gridCol w:w="1120"/>
        <w:gridCol w:w="763"/>
        <w:gridCol w:w="768"/>
        <w:gridCol w:w="768"/>
        <w:gridCol w:w="768"/>
        <w:gridCol w:w="768"/>
        <w:gridCol w:w="768"/>
        <w:gridCol w:w="768"/>
        <w:gridCol w:w="768"/>
        <w:gridCol w:w="768"/>
        <w:gridCol w:w="768"/>
        <w:gridCol w:w="768"/>
        <w:gridCol w:w="768"/>
        <w:gridCol w:w="768"/>
        <w:gridCol w:w="768"/>
        <w:gridCol w:w="768"/>
        <w:gridCol w:w="800"/>
        <w:gridCol w:w="800"/>
      </w:tblGrid>
      <w:tr w14:paraId="7A5FB3C5">
        <w:tblPrEx>
          <w:tblBorders>
            <w:top w:val="non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447" w:hRule="exact"/>
          <w:jc w:val="center"/>
        </w:trPr>
        <w:tc>
          <w:tcPr>
            <w:tcW w:w="1120" w:type="dxa"/>
            <w:tcBorders>
              <w:top w:val="single" w:color="auto" w:sz="4" w:space="0"/>
            </w:tcBorders>
            <w:shd w:val="clear" w:color="auto" w:fill="FFFFFF"/>
            <w:noWrap w:val="0"/>
            <w:vAlign w:val="top"/>
          </w:tcPr>
          <w:p w14:paraId="1F85C01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风向</w:t>
            </w:r>
          </w:p>
        </w:tc>
        <w:tc>
          <w:tcPr>
            <w:tcW w:w="763" w:type="dxa"/>
            <w:tcBorders>
              <w:top w:val="single" w:color="auto" w:sz="4" w:space="0"/>
              <w:left w:val="single" w:color="auto" w:sz="4" w:space="0"/>
            </w:tcBorders>
            <w:shd w:val="clear" w:color="auto" w:fill="FFFFFF"/>
            <w:noWrap w:val="0"/>
            <w:vAlign w:val="top"/>
          </w:tcPr>
          <w:p w14:paraId="1FAC0CC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w:t>
            </w:r>
          </w:p>
        </w:tc>
        <w:tc>
          <w:tcPr>
            <w:tcW w:w="768" w:type="dxa"/>
            <w:tcBorders>
              <w:top w:val="single" w:color="auto" w:sz="4" w:space="0"/>
              <w:left w:val="single" w:color="auto" w:sz="4" w:space="0"/>
            </w:tcBorders>
            <w:shd w:val="clear" w:color="auto" w:fill="FFFFFF"/>
            <w:noWrap w:val="0"/>
            <w:vAlign w:val="top"/>
          </w:tcPr>
          <w:p w14:paraId="2927E2C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NNE</w:t>
            </w:r>
          </w:p>
        </w:tc>
        <w:tc>
          <w:tcPr>
            <w:tcW w:w="768" w:type="dxa"/>
            <w:tcBorders>
              <w:top w:val="single" w:color="auto" w:sz="4" w:space="0"/>
              <w:left w:val="single" w:color="auto" w:sz="4" w:space="0"/>
            </w:tcBorders>
            <w:shd w:val="clear" w:color="auto" w:fill="FFFFFF"/>
            <w:noWrap w:val="0"/>
            <w:vAlign w:val="top"/>
          </w:tcPr>
          <w:p w14:paraId="5042D85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NE</w:t>
            </w:r>
          </w:p>
        </w:tc>
        <w:tc>
          <w:tcPr>
            <w:tcW w:w="768" w:type="dxa"/>
            <w:tcBorders>
              <w:top w:val="single" w:color="auto" w:sz="4" w:space="0"/>
              <w:left w:val="single" w:color="auto" w:sz="4" w:space="0"/>
            </w:tcBorders>
            <w:shd w:val="clear" w:color="auto" w:fill="FFFFFF"/>
            <w:noWrap w:val="0"/>
            <w:vAlign w:val="top"/>
          </w:tcPr>
          <w:p w14:paraId="1B38B62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ENE</w:t>
            </w:r>
          </w:p>
        </w:tc>
        <w:tc>
          <w:tcPr>
            <w:tcW w:w="768" w:type="dxa"/>
            <w:tcBorders>
              <w:top w:val="single" w:color="auto" w:sz="4" w:space="0"/>
              <w:left w:val="single" w:color="auto" w:sz="4" w:space="0"/>
            </w:tcBorders>
            <w:shd w:val="clear" w:color="auto" w:fill="FFFFFF"/>
            <w:noWrap w:val="0"/>
            <w:vAlign w:val="top"/>
          </w:tcPr>
          <w:p w14:paraId="4F8A53B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w:t>
            </w:r>
          </w:p>
        </w:tc>
        <w:tc>
          <w:tcPr>
            <w:tcW w:w="768" w:type="dxa"/>
            <w:tcBorders>
              <w:top w:val="single" w:color="auto" w:sz="4" w:space="0"/>
              <w:left w:val="single" w:color="auto" w:sz="4" w:space="0"/>
            </w:tcBorders>
            <w:shd w:val="clear" w:color="auto" w:fill="FFFFFF"/>
            <w:noWrap w:val="0"/>
            <w:vAlign w:val="top"/>
          </w:tcPr>
          <w:p w14:paraId="4AEC42C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ESE</w:t>
            </w:r>
          </w:p>
        </w:tc>
        <w:tc>
          <w:tcPr>
            <w:tcW w:w="768" w:type="dxa"/>
            <w:tcBorders>
              <w:top w:val="single" w:color="auto" w:sz="4" w:space="0"/>
              <w:left w:val="single" w:color="auto" w:sz="4" w:space="0"/>
            </w:tcBorders>
            <w:shd w:val="clear" w:color="auto" w:fill="FFFFFF"/>
            <w:noWrap w:val="0"/>
            <w:vAlign w:val="top"/>
          </w:tcPr>
          <w:p w14:paraId="34537E4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SE</w:t>
            </w:r>
          </w:p>
        </w:tc>
        <w:tc>
          <w:tcPr>
            <w:tcW w:w="768" w:type="dxa"/>
            <w:tcBorders>
              <w:top w:val="single" w:color="auto" w:sz="4" w:space="0"/>
              <w:left w:val="single" w:color="auto" w:sz="4" w:space="0"/>
            </w:tcBorders>
            <w:shd w:val="clear" w:color="auto" w:fill="FFFFFF"/>
            <w:noWrap w:val="0"/>
            <w:vAlign w:val="top"/>
          </w:tcPr>
          <w:p w14:paraId="01CA045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SSE</w:t>
            </w:r>
          </w:p>
        </w:tc>
        <w:tc>
          <w:tcPr>
            <w:tcW w:w="768" w:type="dxa"/>
            <w:tcBorders>
              <w:top w:val="single" w:color="auto" w:sz="4" w:space="0"/>
              <w:left w:val="single" w:color="auto" w:sz="4" w:space="0"/>
            </w:tcBorders>
            <w:shd w:val="clear" w:color="auto" w:fill="FFFFFF"/>
            <w:noWrap w:val="0"/>
            <w:vAlign w:val="top"/>
          </w:tcPr>
          <w:p w14:paraId="16A40F6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w:t>
            </w:r>
          </w:p>
        </w:tc>
        <w:tc>
          <w:tcPr>
            <w:tcW w:w="768" w:type="dxa"/>
            <w:tcBorders>
              <w:top w:val="single" w:color="auto" w:sz="4" w:space="0"/>
              <w:left w:val="single" w:color="auto" w:sz="4" w:space="0"/>
            </w:tcBorders>
            <w:shd w:val="clear" w:color="auto" w:fill="FFFFFF"/>
            <w:noWrap w:val="0"/>
            <w:vAlign w:val="top"/>
          </w:tcPr>
          <w:p w14:paraId="0507696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SSW</w:t>
            </w:r>
          </w:p>
        </w:tc>
        <w:tc>
          <w:tcPr>
            <w:tcW w:w="768" w:type="dxa"/>
            <w:tcBorders>
              <w:top w:val="single" w:color="auto" w:sz="4" w:space="0"/>
              <w:left w:val="single" w:color="auto" w:sz="4" w:space="0"/>
            </w:tcBorders>
            <w:shd w:val="clear" w:color="auto" w:fill="FFFFFF"/>
            <w:noWrap w:val="0"/>
            <w:vAlign w:val="top"/>
          </w:tcPr>
          <w:p w14:paraId="7DE0C8F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SW</w:t>
            </w:r>
          </w:p>
        </w:tc>
        <w:tc>
          <w:tcPr>
            <w:tcW w:w="768" w:type="dxa"/>
            <w:tcBorders>
              <w:top w:val="single" w:color="auto" w:sz="4" w:space="0"/>
              <w:left w:val="single" w:color="auto" w:sz="4" w:space="0"/>
            </w:tcBorders>
            <w:shd w:val="clear" w:color="auto" w:fill="FFFFFF"/>
            <w:noWrap w:val="0"/>
            <w:vAlign w:val="top"/>
          </w:tcPr>
          <w:p w14:paraId="753EAD3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WSW</w:t>
            </w:r>
          </w:p>
        </w:tc>
        <w:tc>
          <w:tcPr>
            <w:tcW w:w="768" w:type="dxa"/>
            <w:tcBorders>
              <w:top w:val="single" w:color="auto" w:sz="4" w:space="0"/>
              <w:left w:val="single" w:color="auto" w:sz="4" w:space="0"/>
            </w:tcBorders>
            <w:shd w:val="clear" w:color="auto" w:fill="FFFFFF"/>
            <w:noWrap w:val="0"/>
            <w:vAlign w:val="top"/>
          </w:tcPr>
          <w:p w14:paraId="6A1ED3D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w:t>
            </w:r>
          </w:p>
        </w:tc>
        <w:tc>
          <w:tcPr>
            <w:tcW w:w="768" w:type="dxa"/>
            <w:tcBorders>
              <w:top w:val="single" w:color="auto" w:sz="4" w:space="0"/>
              <w:left w:val="single" w:color="auto" w:sz="4" w:space="0"/>
            </w:tcBorders>
            <w:shd w:val="clear" w:color="auto" w:fill="FFFFFF"/>
            <w:noWrap w:val="0"/>
            <w:vAlign w:val="top"/>
          </w:tcPr>
          <w:p w14:paraId="22A2DFA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WNW</w:t>
            </w:r>
          </w:p>
        </w:tc>
        <w:tc>
          <w:tcPr>
            <w:tcW w:w="768" w:type="dxa"/>
            <w:tcBorders>
              <w:top w:val="single" w:color="auto" w:sz="4" w:space="0"/>
              <w:left w:val="single" w:color="auto" w:sz="4" w:space="0"/>
            </w:tcBorders>
            <w:shd w:val="clear" w:color="auto" w:fill="FFFFFF"/>
            <w:noWrap w:val="0"/>
            <w:vAlign w:val="top"/>
          </w:tcPr>
          <w:p w14:paraId="0D22392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NW</w:t>
            </w:r>
          </w:p>
        </w:tc>
        <w:tc>
          <w:tcPr>
            <w:tcW w:w="800" w:type="dxa"/>
            <w:tcBorders>
              <w:top w:val="single" w:color="auto" w:sz="4" w:space="0"/>
              <w:left w:val="single" w:color="auto" w:sz="4" w:space="0"/>
            </w:tcBorders>
            <w:shd w:val="clear" w:color="auto" w:fill="FFFFFF"/>
            <w:noWrap w:val="0"/>
            <w:vAlign w:val="top"/>
          </w:tcPr>
          <w:p w14:paraId="253676C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NNW</w:t>
            </w:r>
          </w:p>
        </w:tc>
        <w:tc>
          <w:tcPr>
            <w:tcW w:w="800" w:type="dxa"/>
            <w:tcBorders>
              <w:top w:val="single" w:color="auto" w:sz="4" w:space="0"/>
              <w:left w:val="single" w:color="auto" w:sz="4" w:space="0"/>
            </w:tcBorders>
            <w:shd w:val="clear" w:color="auto" w:fill="FFFFFF"/>
            <w:noWrap w:val="0"/>
            <w:vAlign w:val="top"/>
          </w:tcPr>
          <w:p w14:paraId="4EEBA95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C</w:t>
            </w:r>
          </w:p>
        </w:tc>
      </w:tr>
      <w:tr w14:paraId="08544988">
        <w:tblPrEx>
          <w:tblBorders>
            <w:top w:val="non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457" w:hRule="exact"/>
          <w:jc w:val="center"/>
        </w:trPr>
        <w:tc>
          <w:tcPr>
            <w:tcW w:w="1120" w:type="dxa"/>
            <w:tcBorders>
              <w:top w:val="single" w:color="auto" w:sz="4" w:space="0"/>
            </w:tcBorders>
            <w:shd w:val="clear" w:color="auto" w:fill="FFFFFF"/>
            <w:noWrap w:val="0"/>
            <w:vAlign w:val="center"/>
          </w:tcPr>
          <w:p w14:paraId="77E741A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频率</w:t>
            </w:r>
          </w:p>
        </w:tc>
        <w:tc>
          <w:tcPr>
            <w:tcW w:w="763" w:type="dxa"/>
            <w:tcBorders>
              <w:top w:val="single" w:color="auto" w:sz="4" w:space="0"/>
              <w:left w:val="single" w:color="auto" w:sz="4" w:space="0"/>
            </w:tcBorders>
            <w:shd w:val="clear" w:color="auto" w:fill="FFFFFF"/>
            <w:noWrap w:val="0"/>
            <w:vAlign w:val="top"/>
          </w:tcPr>
          <w:p w14:paraId="44EA3F6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3.1 </w:t>
            </w:r>
          </w:p>
        </w:tc>
        <w:tc>
          <w:tcPr>
            <w:tcW w:w="768" w:type="dxa"/>
            <w:tcBorders>
              <w:top w:val="single" w:color="auto" w:sz="4" w:space="0"/>
              <w:left w:val="single" w:color="auto" w:sz="4" w:space="0"/>
            </w:tcBorders>
            <w:shd w:val="clear" w:color="auto" w:fill="FFFFFF"/>
            <w:noWrap w:val="0"/>
            <w:vAlign w:val="top"/>
          </w:tcPr>
          <w:p w14:paraId="4B7A48E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3.1 </w:t>
            </w:r>
          </w:p>
        </w:tc>
        <w:tc>
          <w:tcPr>
            <w:tcW w:w="768" w:type="dxa"/>
            <w:tcBorders>
              <w:top w:val="single" w:color="auto" w:sz="4" w:space="0"/>
              <w:left w:val="single" w:color="auto" w:sz="4" w:space="0"/>
            </w:tcBorders>
            <w:shd w:val="clear" w:color="auto" w:fill="FFFFFF"/>
            <w:noWrap w:val="0"/>
            <w:vAlign w:val="top"/>
          </w:tcPr>
          <w:p w14:paraId="64EC7B6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4.3 </w:t>
            </w:r>
          </w:p>
        </w:tc>
        <w:tc>
          <w:tcPr>
            <w:tcW w:w="768" w:type="dxa"/>
            <w:tcBorders>
              <w:top w:val="single" w:color="auto" w:sz="4" w:space="0"/>
              <w:left w:val="single" w:color="auto" w:sz="4" w:space="0"/>
            </w:tcBorders>
            <w:shd w:val="clear" w:color="auto" w:fill="FFFFFF"/>
            <w:noWrap w:val="0"/>
            <w:vAlign w:val="top"/>
          </w:tcPr>
          <w:p w14:paraId="23CF8C5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7.1 </w:t>
            </w:r>
          </w:p>
        </w:tc>
        <w:tc>
          <w:tcPr>
            <w:tcW w:w="768" w:type="dxa"/>
            <w:tcBorders>
              <w:top w:val="single" w:color="auto" w:sz="4" w:space="0"/>
              <w:left w:val="single" w:color="auto" w:sz="4" w:space="0"/>
            </w:tcBorders>
            <w:shd w:val="clear" w:color="auto" w:fill="FFFFFF"/>
            <w:noWrap w:val="0"/>
            <w:vAlign w:val="top"/>
          </w:tcPr>
          <w:p w14:paraId="70E11D1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10.1 </w:t>
            </w:r>
          </w:p>
        </w:tc>
        <w:tc>
          <w:tcPr>
            <w:tcW w:w="768" w:type="dxa"/>
            <w:tcBorders>
              <w:top w:val="single" w:color="auto" w:sz="4" w:space="0"/>
              <w:left w:val="single" w:color="auto" w:sz="4" w:space="0"/>
            </w:tcBorders>
            <w:shd w:val="clear" w:color="auto" w:fill="FFFFFF"/>
            <w:noWrap w:val="0"/>
            <w:vAlign w:val="top"/>
          </w:tcPr>
          <w:p w14:paraId="17C01F4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10.8 </w:t>
            </w:r>
          </w:p>
        </w:tc>
        <w:tc>
          <w:tcPr>
            <w:tcW w:w="768" w:type="dxa"/>
            <w:tcBorders>
              <w:top w:val="single" w:color="auto" w:sz="4" w:space="0"/>
              <w:left w:val="single" w:color="auto" w:sz="4" w:space="0"/>
            </w:tcBorders>
            <w:shd w:val="clear" w:color="auto" w:fill="FFFFFF"/>
            <w:noWrap w:val="0"/>
            <w:vAlign w:val="top"/>
          </w:tcPr>
          <w:p w14:paraId="0A64C81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10.7 </w:t>
            </w:r>
          </w:p>
        </w:tc>
        <w:tc>
          <w:tcPr>
            <w:tcW w:w="768" w:type="dxa"/>
            <w:tcBorders>
              <w:top w:val="single" w:color="auto" w:sz="4" w:space="0"/>
              <w:left w:val="single" w:color="auto" w:sz="4" w:space="0"/>
            </w:tcBorders>
            <w:shd w:val="clear" w:color="auto" w:fill="FFFFFF"/>
            <w:noWrap w:val="0"/>
            <w:vAlign w:val="top"/>
          </w:tcPr>
          <w:p w14:paraId="3F89ED8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9.1 </w:t>
            </w:r>
          </w:p>
        </w:tc>
        <w:tc>
          <w:tcPr>
            <w:tcW w:w="768" w:type="dxa"/>
            <w:tcBorders>
              <w:top w:val="single" w:color="auto" w:sz="4" w:space="0"/>
              <w:left w:val="single" w:color="auto" w:sz="4" w:space="0"/>
            </w:tcBorders>
            <w:shd w:val="clear" w:color="auto" w:fill="FFFFFF"/>
            <w:noWrap w:val="0"/>
            <w:vAlign w:val="top"/>
          </w:tcPr>
          <w:p w14:paraId="131F3D0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3.4 </w:t>
            </w:r>
          </w:p>
        </w:tc>
        <w:tc>
          <w:tcPr>
            <w:tcW w:w="768" w:type="dxa"/>
            <w:tcBorders>
              <w:top w:val="single" w:color="auto" w:sz="4" w:space="0"/>
              <w:left w:val="single" w:color="auto" w:sz="4" w:space="0"/>
            </w:tcBorders>
            <w:shd w:val="clear" w:color="auto" w:fill="FFFFFF"/>
            <w:noWrap w:val="0"/>
            <w:vAlign w:val="top"/>
          </w:tcPr>
          <w:p w14:paraId="1249B04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1.9 </w:t>
            </w:r>
          </w:p>
        </w:tc>
        <w:tc>
          <w:tcPr>
            <w:tcW w:w="768" w:type="dxa"/>
            <w:tcBorders>
              <w:top w:val="single" w:color="auto" w:sz="4" w:space="0"/>
              <w:left w:val="single" w:color="auto" w:sz="4" w:space="0"/>
            </w:tcBorders>
            <w:shd w:val="clear" w:color="auto" w:fill="FFFFFF"/>
            <w:noWrap w:val="0"/>
            <w:vAlign w:val="top"/>
          </w:tcPr>
          <w:p w14:paraId="1B4AD3B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1.6 </w:t>
            </w:r>
          </w:p>
        </w:tc>
        <w:tc>
          <w:tcPr>
            <w:tcW w:w="768" w:type="dxa"/>
            <w:tcBorders>
              <w:top w:val="single" w:color="auto" w:sz="4" w:space="0"/>
              <w:left w:val="single" w:color="auto" w:sz="4" w:space="0"/>
            </w:tcBorders>
            <w:shd w:val="clear" w:color="auto" w:fill="FFFFFF"/>
            <w:noWrap w:val="0"/>
            <w:vAlign w:val="top"/>
          </w:tcPr>
          <w:p w14:paraId="7D68E6B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68" w:type="dxa"/>
            <w:tcBorders>
              <w:top w:val="single" w:color="auto" w:sz="4" w:space="0"/>
              <w:left w:val="single" w:color="auto" w:sz="4" w:space="0"/>
            </w:tcBorders>
            <w:shd w:val="clear" w:color="auto" w:fill="FFFFFF"/>
            <w:noWrap w:val="0"/>
            <w:vAlign w:val="top"/>
          </w:tcPr>
          <w:p w14:paraId="74D7FA4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6.1 </w:t>
            </w:r>
          </w:p>
        </w:tc>
        <w:tc>
          <w:tcPr>
            <w:tcW w:w="768" w:type="dxa"/>
            <w:tcBorders>
              <w:top w:val="single" w:color="auto" w:sz="4" w:space="0"/>
              <w:left w:val="single" w:color="auto" w:sz="4" w:space="0"/>
            </w:tcBorders>
            <w:shd w:val="clear" w:color="auto" w:fill="FFFFFF"/>
            <w:noWrap w:val="0"/>
            <w:vAlign w:val="top"/>
          </w:tcPr>
          <w:p w14:paraId="52D4B62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10.8 </w:t>
            </w:r>
          </w:p>
        </w:tc>
        <w:tc>
          <w:tcPr>
            <w:tcW w:w="768" w:type="dxa"/>
            <w:tcBorders>
              <w:top w:val="single" w:color="auto" w:sz="4" w:space="0"/>
              <w:left w:val="single" w:color="auto" w:sz="4" w:space="0"/>
            </w:tcBorders>
            <w:shd w:val="clear" w:color="auto" w:fill="FFFFFF"/>
            <w:noWrap w:val="0"/>
            <w:vAlign w:val="top"/>
          </w:tcPr>
          <w:p w14:paraId="415457A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7.0 </w:t>
            </w:r>
          </w:p>
        </w:tc>
        <w:tc>
          <w:tcPr>
            <w:tcW w:w="800" w:type="dxa"/>
            <w:tcBorders>
              <w:top w:val="single" w:color="auto" w:sz="4" w:space="0"/>
              <w:left w:val="single" w:color="auto" w:sz="4" w:space="0"/>
            </w:tcBorders>
            <w:shd w:val="clear" w:color="auto" w:fill="FFFFFF"/>
            <w:noWrap w:val="0"/>
            <w:vAlign w:val="top"/>
          </w:tcPr>
          <w:p w14:paraId="53C8ADD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3.5 </w:t>
            </w:r>
          </w:p>
        </w:tc>
        <w:tc>
          <w:tcPr>
            <w:tcW w:w="800" w:type="dxa"/>
            <w:tcBorders>
              <w:top w:val="single" w:color="auto" w:sz="4" w:space="0"/>
              <w:left w:val="single" w:color="auto" w:sz="4" w:space="0"/>
            </w:tcBorders>
            <w:shd w:val="clear" w:color="auto" w:fill="FFFFFF"/>
            <w:noWrap w:val="0"/>
            <w:vAlign w:val="top"/>
          </w:tcPr>
          <w:p w14:paraId="0683835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5.4 </w:t>
            </w:r>
          </w:p>
        </w:tc>
      </w:tr>
    </w:tbl>
    <w:p w14:paraId="254CEEAF">
      <w:pPr>
        <w:pStyle w:val="1356"/>
        <w:keepNext w:val="0"/>
        <w:keepLines w:val="0"/>
        <w:pageBreakBefore w:val="0"/>
        <w:widowControl w:val="0"/>
        <w:kinsoku/>
        <w:wordWrap/>
        <w:overflowPunct/>
        <w:topLinePunct w:val="0"/>
        <w:autoSpaceDE/>
        <w:autoSpaceDN/>
        <w:bidi w:val="0"/>
        <w:adjustRightInd/>
        <w:snapToGrid/>
        <w:jc w:val="center"/>
        <w:textAlignment w:val="auto"/>
        <w:outlineLvl w:val="6"/>
        <w:rPr>
          <w:rFonts w:hint="eastAsia" w:ascii="Times New Roman" w:hAnsi="Times New Roman" w:cs="Times New Roman"/>
          <w:color w:val="auto"/>
          <w:highlight w:val="none"/>
          <w:lang w:eastAsia="zh-Hans"/>
        </w:rPr>
      </w:pPr>
      <w:r>
        <w:rPr>
          <w:rStyle w:val="152"/>
          <w:rFonts w:hint="default" w:ascii="Times New Roman" w:hAnsi="Times New Roman" w:cs="Times New Roman"/>
          <w:color w:val="auto"/>
          <w:highlight w:val="none"/>
          <w:lang w:eastAsia="zh-Hans"/>
        </w:rPr>
        <w:t>表5.</w:t>
      </w:r>
      <w:r>
        <w:rPr>
          <w:rStyle w:val="152"/>
          <w:rFonts w:hint="default" w:ascii="Times New Roman" w:hAnsi="Times New Roman" w:cs="Times New Roman"/>
          <w:color w:val="auto"/>
          <w:highlight w:val="none"/>
          <w:lang w:val="en-US" w:eastAsia="zh-CN"/>
        </w:rPr>
        <w:t>3</w:t>
      </w:r>
      <w:r>
        <w:rPr>
          <w:rStyle w:val="152"/>
          <w:rFonts w:hint="default" w:ascii="Times New Roman" w:hAnsi="Times New Roman" w:cs="Times New Roman"/>
          <w:color w:val="auto"/>
          <w:highlight w:val="none"/>
          <w:lang w:eastAsia="zh-Hans"/>
        </w:rPr>
        <w:t>-</w:t>
      </w:r>
      <w:r>
        <w:rPr>
          <w:rStyle w:val="152"/>
          <w:rFonts w:hint="default" w:ascii="Times New Roman" w:hAnsi="Times New Roman" w:cs="Times New Roman"/>
          <w:color w:val="auto"/>
          <w:highlight w:val="none"/>
          <w:lang w:val="en-US" w:eastAsia="zh-CN"/>
        </w:rPr>
        <w:t xml:space="preserve">4  </w:t>
      </w:r>
      <w:r>
        <w:rPr>
          <w:rStyle w:val="152"/>
          <w:rFonts w:hint="default" w:ascii="Times New Roman" w:hAnsi="Times New Roman" w:cs="Times New Roman"/>
          <w:color w:val="auto"/>
          <w:highlight w:val="none"/>
          <w:lang w:eastAsia="zh-Hans"/>
        </w:rPr>
        <w:t>闽侯气象站月风向频率统计</w:t>
      </w:r>
      <w:r>
        <w:rPr>
          <w:rStyle w:val="152"/>
          <w:rFonts w:hint="default" w:ascii="Times New Roman" w:hAnsi="Times New Roman" w:cs="Times New Roman"/>
          <w:color w:val="auto"/>
          <w:highlight w:val="none"/>
          <w:lang w:eastAsia="zh-CN"/>
        </w:rPr>
        <w:t>（</w:t>
      </w:r>
      <w:r>
        <w:rPr>
          <w:rStyle w:val="152"/>
          <w:rFonts w:hint="default" w:ascii="Times New Roman" w:hAnsi="Times New Roman" w:cs="Times New Roman"/>
          <w:color w:val="auto"/>
          <w:highlight w:val="none"/>
          <w:lang w:eastAsia="zh-Hans"/>
        </w:rPr>
        <w:t>单位%</w:t>
      </w:r>
      <w:r>
        <w:rPr>
          <w:rStyle w:val="152"/>
          <w:rFonts w:hint="default" w:ascii="Times New Roman" w:hAnsi="Times New Roman" w:cs="Times New Roman"/>
          <w:color w:val="auto"/>
          <w:highlight w:val="none"/>
          <w:lang w:eastAsia="zh-CN"/>
        </w:rPr>
        <w:t>）</w:t>
      </w:r>
      <w:r>
        <w:rPr>
          <w:rStyle w:val="152"/>
          <w:rFonts w:hint="default" w:ascii="Times New Roman" w:hAnsi="Times New Roman" w:cs="Times New Roman"/>
          <w:color w:val="auto"/>
          <w:highlight w:val="none"/>
          <w:lang w:eastAsia="zh-Hans"/>
        </w:rPr>
        <w:tab/>
      </w:r>
      <w:r>
        <w:rPr>
          <w:rFonts w:hint="eastAsia" w:ascii="Times New Roman" w:hAnsi="Times New Roman" w:cs="Times New Roman"/>
          <w:color w:val="auto"/>
          <w:highlight w:val="none"/>
          <w:lang w:eastAsia="zh-Hans"/>
        </w:rPr>
        <w:tab/>
      </w:r>
      <w:r>
        <w:rPr>
          <w:rFonts w:hint="eastAsia" w:ascii="Times New Roman" w:hAnsi="Times New Roman" w:cs="Times New Roman"/>
          <w:color w:val="auto"/>
          <w:highlight w:val="none"/>
          <w:lang w:eastAsia="zh-Hans"/>
        </w:rPr>
        <w:tab/>
      </w:r>
      <w:r>
        <w:rPr>
          <w:rFonts w:hint="eastAsia" w:ascii="Times New Roman" w:hAnsi="Times New Roman" w:cs="Times New Roman"/>
          <w:color w:val="auto"/>
          <w:highlight w:val="none"/>
          <w:lang w:eastAsia="zh-Hans"/>
        </w:rPr>
        <w:tab/>
      </w:r>
    </w:p>
    <w:tbl>
      <w:tblPr>
        <w:tblStyle w:val="80"/>
        <w:tblW w:w="14278" w:type="dxa"/>
        <w:jc w:val="center"/>
        <w:tblLayout w:type="fixed"/>
        <w:tblCellMar>
          <w:top w:w="0" w:type="dxa"/>
          <w:left w:w="10" w:type="dxa"/>
          <w:bottom w:w="0" w:type="dxa"/>
          <w:right w:w="10" w:type="dxa"/>
        </w:tblCellMar>
      </w:tblPr>
      <w:tblGrid>
        <w:gridCol w:w="1123"/>
        <w:gridCol w:w="773"/>
        <w:gridCol w:w="773"/>
        <w:gridCol w:w="768"/>
        <w:gridCol w:w="773"/>
        <w:gridCol w:w="773"/>
        <w:gridCol w:w="773"/>
        <w:gridCol w:w="787"/>
        <w:gridCol w:w="754"/>
        <w:gridCol w:w="773"/>
        <w:gridCol w:w="773"/>
        <w:gridCol w:w="773"/>
        <w:gridCol w:w="773"/>
        <w:gridCol w:w="773"/>
        <w:gridCol w:w="768"/>
        <w:gridCol w:w="773"/>
        <w:gridCol w:w="773"/>
        <w:gridCol w:w="802"/>
      </w:tblGrid>
      <w:tr w14:paraId="4050FEE0">
        <w:tblPrEx>
          <w:tblCellMar>
            <w:top w:w="0" w:type="dxa"/>
            <w:left w:w="10" w:type="dxa"/>
            <w:bottom w:w="0" w:type="dxa"/>
            <w:right w:w="10" w:type="dxa"/>
          </w:tblCellMar>
        </w:tblPrEx>
        <w:trPr>
          <w:trHeight w:val="454" w:hRule="exact"/>
          <w:jc w:val="center"/>
        </w:trPr>
        <w:tc>
          <w:tcPr>
            <w:tcW w:w="1123" w:type="dxa"/>
            <w:tcBorders>
              <w:top w:val="single" w:color="auto" w:sz="4" w:space="0"/>
            </w:tcBorders>
            <w:shd w:val="clear" w:color="auto" w:fill="FFFFFF"/>
            <w:noWrap w:val="0"/>
            <w:vAlign w:val="center"/>
          </w:tcPr>
          <w:p w14:paraId="471A98F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风向</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频率</w:t>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br w:type="textWrapping"/>
            </w:r>
            <w:r>
              <w:rPr>
                <w:rFonts w:hint="default" w:ascii="Times New Roman" w:hAnsi="Times New Roman" w:eastAsia="宋体" w:cs="Times New Roman"/>
                <w:b w:val="0"/>
                <w:bCs/>
                <w:snapToGrid w:val="0"/>
                <w:color w:val="auto"/>
                <w:sz w:val="21"/>
                <w:highlight w:val="none"/>
                <w:lang w:val="en-US" w:eastAsia="zh-CN"/>
              </w:rPr>
              <w:t>月份</w:t>
            </w:r>
          </w:p>
        </w:tc>
        <w:tc>
          <w:tcPr>
            <w:tcW w:w="773" w:type="dxa"/>
            <w:tcBorders>
              <w:top w:val="single" w:color="auto" w:sz="4" w:space="0"/>
              <w:left w:val="single" w:color="auto" w:sz="4" w:space="0"/>
            </w:tcBorders>
            <w:shd w:val="clear" w:color="auto" w:fill="FFFFFF"/>
            <w:noWrap w:val="0"/>
            <w:vAlign w:val="center"/>
          </w:tcPr>
          <w:p w14:paraId="1BCF18E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w:t>
            </w:r>
          </w:p>
        </w:tc>
        <w:tc>
          <w:tcPr>
            <w:tcW w:w="773" w:type="dxa"/>
            <w:tcBorders>
              <w:top w:val="single" w:color="auto" w:sz="4" w:space="0"/>
              <w:left w:val="single" w:color="auto" w:sz="4" w:space="0"/>
            </w:tcBorders>
            <w:shd w:val="clear" w:color="auto" w:fill="FFFFFF"/>
            <w:noWrap w:val="0"/>
            <w:vAlign w:val="center"/>
          </w:tcPr>
          <w:p w14:paraId="58220EB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NNE</w:t>
            </w:r>
          </w:p>
        </w:tc>
        <w:tc>
          <w:tcPr>
            <w:tcW w:w="768" w:type="dxa"/>
            <w:tcBorders>
              <w:top w:val="single" w:color="auto" w:sz="4" w:space="0"/>
              <w:left w:val="single" w:color="auto" w:sz="4" w:space="0"/>
            </w:tcBorders>
            <w:shd w:val="clear" w:color="auto" w:fill="FFFFFF"/>
            <w:noWrap w:val="0"/>
            <w:vAlign w:val="center"/>
          </w:tcPr>
          <w:p w14:paraId="7298493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NE</w:t>
            </w:r>
          </w:p>
        </w:tc>
        <w:tc>
          <w:tcPr>
            <w:tcW w:w="773" w:type="dxa"/>
            <w:tcBorders>
              <w:top w:val="single" w:color="auto" w:sz="4" w:space="0"/>
              <w:left w:val="single" w:color="auto" w:sz="4" w:space="0"/>
            </w:tcBorders>
            <w:shd w:val="clear" w:color="auto" w:fill="FFFFFF"/>
            <w:noWrap w:val="0"/>
            <w:vAlign w:val="center"/>
          </w:tcPr>
          <w:p w14:paraId="7C4263E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ENE</w:t>
            </w:r>
          </w:p>
        </w:tc>
        <w:tc>
          <w:tcPr>
            <w:tcW w:w="773" w:type="dxa"/>
            <w:tcBorders>
              <w:top w:val="single" w:color="auto" w:sz="4" w:space="0"/>
              <w:left w:val="single" w:color="auto" w:sz="4" w:space="0"/>
            </w:tcBorders>
            <w:shd w:val="clear" w:color="auto" w:fill="FFFFFF"/>
            <w:noWrap w:val="0"/>
            <w:vAlign w:val="center"/>
          </w:tcPr>
          <w:p w14:paraId="568C983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w:t>
            </w:r>
          </w:p>
        </w:tc>
        <w:tc>
          <w:tcPr>
            <w:tcW w:w="773" w:type="dxa"/>
            <w:tcBorders>
              <w:top w:val="single" w:color="auto" w:sz="4" w:space="0"/>
              <w:left w:val="single" w:color="auto" w:sz="4" w:space="0"/>
            </w:tcBorders>
            <w:shd w:val="clear" w:color="auto" w:fill="FFFFFF"/>
            <w:noWrap w:val="0"/>
            <w:vAlign w:val="center"/>
          </w:tcPr>
          <w:p w14:paraId="76C2C94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ESE</w:t>
            </w:r>
          </w:p>
        </w:tc>
        <w:tc>
          <w:tcPr>
            <w:tcW w:w="787" w:type="dxa"/>
            <w:tcBorders>
              <w:top w:val="single" w:color="auto" w:sz="4" w:space="0"/>
              <w:left w:val="single" w:color="auto" w:sz="4" w:space="0"/>
            </w:tcBorders>
            <w:shd w:val="clear" w:color="auto" w:fill="FFFFFF"/>
            <w:noWrap w:val="0"/>
            <w:vAlign w:val="center"/>
          </w:tcPr>
          <w:p w14:paraId="777CFE9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SE</w:t>
            </w:r>
          </w:p>
        </w:tc>
        <w:tc>
          <w:tcPr>
            <w:tcW w:w="754" w:type="dxa"/>
            <w:tcBorders>
              <w:top w:val="single" w:color="auto" w:sz="4" w:space="0"/>
              <w:left w:val="single" w:color="auto" w:sz="4" w:space="0"/>
            </w:tcBorders>
            <w:shd w:val="clear" w:color="auto" w:fill="FFFFFF"/>
            <w:noWrap w:val="0"/>
            <w:vAlign w:val="center"/>
          </w:tcPr>
          <w:p w14:paraId="7AA515B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SSE</w:t>
            </w:r>
          </w:p>
        </w:tc>
        <w:tc>
          <w:tcPr>
            <w:tcW w:w="773" w:type="dxa"/>
            <w:tcBorders>
              <w:top w:val="single" w:color="auto" w:sz="4" w:space="0"/>
              <w:left w:val="single" w:color="auto" w:sz="4" w:space="0"/>
            </w:tcBorders>
            <w:shd w:val="clear" w:color="auto" w:fill="FFFFFF"/>
            <w:noWrap w:val="0"/>
            <w:vAlign w:val="center"/>
          </w:tcPr>
          <w:p w14:paraId="3A26337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w:t>
            </w:r>
          </w:p>
        </w:tc>
        <w:tc>
          <w:tcPr>
            <w:tcW w:w="773" w:type="dxa"/>
            <w:tcBorders>
              <w:top w:val="single" w:color="auto" w:sz="4" w:space="0"/>
              <w:left w:val="single" w:color="auto" w:sz="4" w:space="0"/>
            </w:tcBorders>
            <w:shd w:val="clear" w:color="auto" w:fill="FFFFFF"/>
            <w:noWrap w:val="0"/>
            <w:vAlign w:val="center"/>
          </w:tcPr>
          <w:p w14:paraId="675FFC0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SSW</w:t>
            </w:r>
          </w:p>
        </w:tc>
        <w:tc>
          <w:tcPr>
            <w:tcW w:w="773" w:type="dxa"/>
            <w:tcBorders>
              <w:top w:val="single" w:color="auto" w:sz="4" w:space="0"/>
              <w:left w:val="single" w:color="auto" w:sz="4" w:space="0"/>
            </w:tcBorders>
            <w:shd w:val="clear" w:color="auto" w:fill="FFFFFF"/>
            <w:noWrap w:val="0"/>
            <w:vAlign w:val="center"/>
          </w:tcPr>
          <w:p w14:paraId="6A3E0CA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SW</w:t>
            </w:r>
          </w:p>
        </w:tc>
        <w:tc>
          <w:tcPr>
            <w:tcW w:w="773" w:type="dxa"/>
            <w:tcBorders>
              <w:top w:val="single" w:color="auto" w:sz="4" w:space="0"/>
              <w:left w:val="single" w:color="auto" w:sz="4" w:space="0"/>
            </w:tcBorders>
            <w:shd w:val="clear" w:color="auto" w:fill="FFFFFF"/>
            <w:noWrap w:val="0"/>
            <w:vAlign w:val="center"/>
          </w:tcPr>
          <w:p w14:paraId="0BA4216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WSW</w:t>
            </w:r>
          </w:p>
        </w:tc>
        <w:tc>
          <w:tcPr>
            <w:tcW w:w="773" w:type="dxa"/>
            <w:tcBorders>
              <w:top w:val="single" w:color="auto" w:sz="4" w:space="0"/>
              <w:left w:val="single" w:color="auto" w:sz="4" w:space="0"/>
            </w:tcBorders>
            <w:shd w:val="clear" w:color="auto" w:fill="FFFFFF"/>
            <w:noWrap w:val="0"/>
            <w:vAlign w:val="center"/>
          </w:tcPr>
          <w:p w14:paraId="186F3CF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w:t>
            </w:r>
          </w:p>
        </w:tc>
        <w:tc>
          <w:tcPr>
            <w:tcW w:w="768" w:type="dxa"/>
            <w:tcBorders>
              <w:top w:val="single" w:color="auto" w:sz="4" w:space="0"/>
              <w:left w:val="single" w:color="auto" w:sz="4" w:space="0"/>
            </w:tcBorders>
            <w:shd w:val="clear" w:color="auto" w:fill="FFFFFF"/>
            <w:noWrap w:val="0"/>
            <w:vAlign w:val="center"/>
          </w:tcPr>
          <w:p w14:paraId="565969F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WNW</w:t>
            </w:r>
          </w:p>
        </w:tc>
        <w:tc>
          <w:tcPr>
            <w:tcW w:w="773" w:type="dxa"/>
            <w:tcBorders>
              <w:top w:val="single" w:color="auto" w:sz="4" w:space="0"/>
              <w:left w:val="single" w:color="auto" w:sz="4" w:space="0"/>
            </w:tcBorders>
            <w:shd w:val="clear" w:color="auto" w:fill="FFFFFF"/>
            <w:noWrap w:val="0"/>
            <w:vAlign w:val="center"/>
          </w:tcPr>
          <w:p w14:paraId="221FE0D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NW</w:t>
            </w:r>
          </w:p>
        </w:tc>
        <w:tc>
          <w:tcPr>
            <w:tcW w:w="773" w:type="dxa"/>
            <w:tcBorders>
              <w:top w:val="single" w:color="auto" w:sz="4" w:space="0"/>
              <w:left w:val="single" w:color="auto" w:sz="4" w:space="0"/>
            </w:tcBorders>
            <w:shd w:val="clear" w:color="auto" w:fill="FFFFFF"/>
            <w:noWrap w:val="0"/>
            <w:vAlign w:val="center"/>
          </w:tcPr>
          <w:p w14:paraId="1EB5A98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NNW</w:t>
            </w:r>
          </w:p>
        </w:tc>
        <w:tc>
          <w:tcPr>
            <w:tcW w:w="802" w:type="dxa"/>
            <w:tcBorders>
              <w:top w:val="single" w:color="auto" w:sz="4" w:space="0"/>
              <w:left w:val="single" w:color="auto" w:sz="4" w:space="0"/>
            </w:tcBorders>
            <w:shd w:val="clear" w:color="auto" w:fill="FFFFFF"/>
            <w:noWrap w:val="0"/>
            <w:vAlign w:val="center"/>
          </w:tcPr>
          <w:p w14:paraId="0D38156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C</w:t>
            </w:r>
          </w:p>
        </w:tc>
      </w:tr>
      <w:tr w14:paraId="26C13147">
        <w:tblPrEx>
          <w:tblCellMar>
            <w:top w:w="0" w:type="dxa"/>
            <w:left w:w="10" w:type="dxa"/>
            <w:bottom w:w="0" w:type="dxa"/>
            <w:right w:w="10" w:type="dxa"/>
          </w:tblCellMar>
        </w:tblPrEx>
        <w:trPr>
          <w:trHeight w:val="454" w:hRule="exact"/>
          <w:jc w:val="center"/>
        </w:trPr>
        <w:tc>
          <w:tcPr>
            <w:tcW w:w="1123" w:type="dxa"/>
            <w:tcBorders>
              <w:top w:val="single" w:color="auto" w:sz="4" w:space="0"/>
            </w:tcBorders>
            <w:shd w:val="clear" w:color="auto" w:fill="FFFFFF"/>
            <w:noWrap w:val="0"/>
            <w:vAlign w:val="top"/>
          </w:tcPr>
          <w:p w14:paraId="219369C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01 </w:t>
            </w:r>
          </w:p>
        </w:tc>
        <w:tc>
          <w:tcPr>
            <w:tcW w:w="773" w:type="dxa"/>
            <w:tcBorders>
              <w:top w:val="single" w:color="auto" w:sz="4" w:space="0"/>
              <w:left w:val="single" w:color="auto" w:sz="4" w:space="0"/>
            </w:tcBorders>
            <w:shd w:val="clear" w:color="auto" w:fill="FFFFFF"/>
            <w:noWrap w:val="0"/>
            <w:vAlign w:val="top"/>
          </w:tcPr>
          <w:p w14:paraId="1356A0B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2.6 </w:t>
            </w:r>
          </w:p>
        </w:tc>
        <w:tc>
          <w:tcPr>
            <w:tcW w:w="773" w:type="dxa"/>
            <w:tcBorders>
              <w:top w:val="single" w:color="auto" w:sz="4" w:space="0"/>
              <w:left w:val="single" w:color="auto" w:sz="4" w:space="0"/>
            </w:tcBorders>
            <w:shd w:val="clear" w:color="auto" w:fill="FFFFFF"/>
            <w:noWrap w:val="0"/>
            <w:vAlign w:val="top"/>
          </w:tcPr>
          <w:p w14:paraId="2A6D160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2.5 </w:t>
            </w:r>
          </w:p>
        </w:tc>
        <w:tc>
          <w:tcPr>
            <w:tcW w:w="768" w:type="dxa"/>
            <w:tcBorders>
              <w:top w:val="single" w:color="auto" w:sz="4" w:space="0"/>
              <w:left w:val="single" w:color="auto" w:sz="4" w:space="0"/>
            </w:tcBorders>
            <w:shd w:val="clear" w:color="auto" w:fill="FFFFFF"/>
            <w:noWrap w:val="0"/>
            <w:vAlign w:val="top"/>
          </w:tcPr>
          <w:p w14:paraId="79449E7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3.6 </w:t>
            </w:r>
          </w:p>
        </w:tc>
        <w:tc>
          <w:tcPr>
            <w:tcW w:w="773" w:type="dxa"/>
            <w:tcBorders>
              <w:top w:val="single" w:color="auto" w:sz="4" w:space="0"/>
              <w:left w:val="single" w:color="auto" w:sz="4" w:space="0"/>
            </w:tcBorders>
            <w:shd w:val="clear" w:color="auto" w:fill="FFFFFF"/>
            <w:noWrap w:val="0"/>
            <w:vAlign w:val="top"/>
          </w:tcPr>
          <w:p w14:paraId="5AA9050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7.0 </w:t>
            </w:r>
          </w:p>
        </w:tc>
        <w:tc>
          <w:tcPr>
            <w:tcW w:w="773" w:type="dxa"/>
            <w:tcBorders>
              <w:top w:val="single" w:color="auto" w:sz="4" w:space="0"/>
              <w:left w:val="single" w:color="auto" w:sz="4" w:space="0"/>
            </w:tcBorders>
            <w:shd w:val="clear" w:color="auto" w:fill="FFFFFF"/>
            <w:noWrap w:val="0"/>
            <w:vAlign w:val="top"/>
          </w:tcPr>
          <w:p w14:paraId="3371AA5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9.4 </w:t>
            </w:r>
          </w:p>
        </w:tc>
        <w:tc>
          <w:tcPr>
            <w:tcW w:w="773" w:type="dxa"/>
            <w:tcBorders>
              <w:top w:val="single" w:color="auto" w:sz="4" w:space="0"/>
              <w:left w:val="single" w:color="auto" w:sz="4" w:space="0"/>
            </w:tcBorders>
            <w:shd w:val="clear" w:color="auto" w:fill="FFFFFF"/>
            <w:noWrap w:val="0"/>
            <w:vAlign w:val="top"/>
          </w:tcPr>
          <w:p w14:paraId="05EF40D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10.9 </w:t>
            </w:r>
          </w:p>
        </w:tc>
        <w:tc>
          <w:tcPr>
            <w:tcW w:w="787" w:type="dxa"/>
            <w:tcBorders>
              <w:top w:val="single" w:color="auto" w:sz="4" w:space="0"/>
              <w:left w:val="single" w:color="auto" w:sz="4" w:space="0"/>
            </w:tcBorders>
            <w:shd w:val="clear" w:color="auto" w:fill="FFFFFF"/>
            <w:noWrap w:val="0"/>
            <w:vAlign w:val="top"/>
          </w:tcPr>
          <w:p w14:paraId="757828C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11.6 </w:t>
            </w:r>
          </w:p>
        </w:tc>
        <w:tc>
          <w:tcPr>
            <w:tcW w:w="754" w:type="dxa"/>
            <w:tcBorders>
              <w:top w:val="single" w:color="auto" w:sz="4" w:space="0"/>
              <w:left w:val="single" w:color="auto" w:sz="4" w:space="0"/>
            </w:tcBorders>
            <w:shd w:val="clear" w:color="auto" w:fill="FFFFFF"/>
            <w:noWrap w:val="0"/>
            <w:vAlign w:val="top"/>
          </w:tcPr>
          <w:p w14:paraId="70BE701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9.4 </w:t>
            </w:r>
          </w:p>
        </w:tc>
        <w:tc>
          <w:tcPr>
            <w:tcW w:w="773" w:type="dxa"/>
            <w:tcBorders>
              <w:top w:val="single" w:color="auto" w:sz="4" w:space="0"/>
              <w:left w:val="single" w:color="auto" w:sz="4" w:space="0"/>
            </w:tcBorders>
            <w:shd w:val="clear" w:color="auto" w:fill="FFFFFF"/>
            <w:noWrap w:val="0"/>
            <w:vAlign w:val="top"/>
          </w:tcPr>
          <w:p w14:paraId="6ED2454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2.6 </w:t>
            </w:r>
          </w:p>
        </w:tc>
        <w:tc>
          <w:tcPr>
            <w:tcW w:w="773" w:type="dxa"/>
            <w:tcBorders>
              <w:top w:val="single" w:color="auto" w:sz="4" w:space="0"/>
              <w:left w:val="single" w:color="auto" w:sz="4" w:space="0"/>
            </w:tcBorders>
            <w:shd w:val="clear" w:color="auto" w:fill="FFFFFF"/>
            <w:noWrap w:val="0"/>
            <w:vAlign w:val="top"/>
          </w:tcPr>
          <w:p w14:paraId="75ABB08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 </w:t>
            </w:r>
          </w:p>
        </w:tc>
        <w:tc>
          <w:tcPr>
            <w:tcW w:w="773" w:type="dxa"/>
            <w:tcBorders>
              <w:top w:val="single" w:color="auto" w:sz="4" w:space="0"/>
              <w:left w:val="single" w:color="auto" w:sz="4" w:space="0"/>
            </w:tcBorders>
            <w:shd w:val="clear" w:color="auto" w:fill="FFFFFF"/>
            <w:noWrap w:val="0"/>
            <w:vAlign w:val="top"/>
          </w:tcPr>
          <w:p w14:paraId="3DDC11E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 </w:t>
            </w:r>
          </w:p>
        </w:tc>
        <w:tc>
          <w:tcPr>
            <w:tcW w:w="773" w:type="dxa"/>
            <w:tcBorders>
              <w:top w:val="single" w:color="auto" w:sz="4" w:space="0"/>
              <w:left w:val="single" w:color="auto" w:sz="4" w:space="0"/>
            </w:tcBorders>
            <w:shd w:val="clear" w:color="auto" w:fill="FFFFFF"/>
            <w:noWrap w:val="0"/>
            <w:vAlign w:val="top"/>
          </w:tcPr>
          <w:p w14:paraId="6F286E3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2.5 </w:t>
            </w:r>
          </w:p>
        </w:tc>
        <w:tc>
          <w:tcPr>
            <w:tcW w:w="773" w:type="dxa"/>
            <w:tcBorders>
              <w:top w:val="single" w:color="auto" w:sz="4" w:space="0"/>
              <w:left w:val="single" w:color="auto" w:sz="4" w:space="0"/>
            </w:tcBorders>
            <w:shd w:val="clear" w:color="auto" w:fill="FFFFFF"/>
            <w:noWrap w:val="0"/>
            <w:vAlign w:val="top"/>
          </w:tcPr>
          <w:p w14:paraId="147C346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6.7 </w:t>
            </w:r>
          </w:p>
        </w:tc>
        <w:tc>
          <w:tcPr>
            <w:tcW w:w="768" w:type="dxa"/>
            <w:tcBorders>
              <w:top w:val="single" w:color="auto" w:sz="4" w:space="0"/>
              <w:left w:val="single" w:color="auto" w:sz="4" w:space="0"/>
            </w:tcBorders>
            <w:shd w:val="clear" w:color="auto" w:fill="FFFFFF"/>
            <w:noWrap w:val="0"/>
            <w:vAlign w:val="top"/>
          </w:tcPr>
          <w:p w14:paraId="3C7E498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12.1 </w:t>
            </w:r>
          </w:p>
        </w:tc>
        <w:tc>
          <w:tcPr>
            <w:tcW w:w="773" w:type="dxa"/>
            <w:tcBorders>
              <w:top w:val="single" w:color="auto" w:sz="4" w:space="0"/>
              <w:left w:val="single" w:color="auto" w:sz="4" w:space="0"/>
            </w:tcBorders>
            <w:shd w:val="clear" w:color="auto" w:fill="FFFFFF"/>
            <w:noWrap w:val="0"/>
            <w:vAlign w:val="top"/>
          </w:tcPr>
          <w:p w14:paraId="7E5EF4F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7.0 </w:t>
            </w:r>
          </w:p>
        </w:tc>
        <w:tc>
          <w:tcPr>
            <w:tcW w:w="773" w:type="dxa"/>
            <w:tcBorders>
              <w:top w:val="single" w:color="auto" w:sz="4" w:space="0"/>
              <w:left w:val="single" w:color="auto" w:sz="4" w:space="0"/>
            </w:tcBorders>
            <w:shd w:val="clear" w:color="auto" w:fill="FFFFFF"/>
            <w:noWrap w:val="0"/>
            <w:vAlign w:val="top"/>
          </w:tcPr>
          <w:p w14:paraId="7155ED5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2.4 </w:t>
            </w:r>
          </w:p>
        </w:tc>
        <w:tc>
          <w:tcPr>
            <w:tcW w:w="802" w:type="dxa"/>
            <w:tcBorders>
              <w:top w:val="single" w:color="auto" w:sz="4" w:space="0"/>
              <w:left w:val="single" w:color="auto" w:sz="4" w:space="0"/>
            </w:tcBorders>
            <w:shd w:val="clear" w:color="auto" w:fill="FFFFFF"/>
            <w:noWrap w:val="0"/>
            <w:vAlign w:val="top"/>
          </w:tcPr>
          <w:p w14:paraId="73314C1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6.3 </w:t>
            </w:r>
          </w:p>
        </w:tc>
      </w:tr>
      <w:tr w14:paraId="5C99E3E8">
        <w:tblPrEx>
          <w:tblCellMar>
            <w:top w:w="0" w:type="dxa"/>
            <w:left w:w="10" w:type="dxa"/>
            <w:bottom w:w="0" w:type="dxa"/>
            <w:right w:w="10" w:type="dxa"/>
          </w:tblCellMar>
        </w:tblPrEx>
        <w:trPr>
          <w:trHeight w:val="454" w:hRule="exact"/>
          <w:jc w:val="center"/>
        </w:trPr>
        <w:tc>
          <w:tcPr>
            <w:tcW w:w="1123" w:type="dxa"/>
            <w:tcBorders>
              <w:top w:val="single" w:color="auto" w:sz="4" w:space="0"/>
            </w:tcBorders>
            <w:shd w:val="clear" w:color="auto" w:fill="FFFFFF"/>
            <w:noWrap w:val="0"/>
            <w:vAlign w:val="top"/>
          </w:tcPr>
          <w:p w14:paraId="3453757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02 </w:t>
            </w:r>
          </w:p>
        </w:tc>
        <w:tc>
          <w:tcPr>
            <w:tcW w:w="773" w:type="dxa"/>
            <w:tcBorders>
              <w:top w:val="single" w:color="auto" w:sz="4" w:space="0"/>
              <w:left w:val="single" w:color="auto" w:sz="4" w:space="0"/>
            </w:tcBorders>
            <w:shd w:val="clear" w:color="auto" w:fill="FFFFFF"/>
            <w:noWrap w:val="0"/>
            <w:vAlign w:val="top"/>
          </w:tcPr>
          <w:p w14:paraId="15D0F57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2.3 </w:t>
            </w:r>
          </w:p>
        </w:tc>
        <w:tc>
          <w:tcPr>
            <w:tcW w:w="773" w:type="dxa"/>
            <w:tcBorders>
              <w:top w:val="single" w:color="auto" w:sz="4" w:space="0"/>
              <w:left w:val="single" w:color="auto" w:sz="4" w:space="0"/>
            </w:tcBorders>
            <w:shd w:val="clear" w:color="auto" w:fill="FFFFFF"/>
            <w:noWrap w:val="0"/>
            <w:vAlign w:val="top"/>
          </w:tcPr>
          <w:p w14:paraId="25CF208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2.7 </w:t>
            </w:r>
          </w:p>
        </w:tc>
        <w:tc>
          <w:tcPr>
            <w:tcW w:w="768" w:type="dxa"/>
            <w:tcBorders>
              <w:top w:val="single" w:color="auto" w:sz="4" w:space="0"/>
              <w:left w:val="single" w:color="auto" w:sz="4" w:space="0"/>
            </w:tcBorders>
            <w:shd w:val="clear" w:color="auto" w:fill="FFFFFF"/>
            <w:noWrap w:val="0"/>
            <w:vAlign w:val="top"/>
          </w:tcPr>
          <w:p w14:paraId="316A897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3.6 </w:t>
            </w:r>
          </w:p>
        </w:tc>
        <w:tc>
          <w:tcPr>
            <w:tcW w:w="773" w:type="dxa"/>
            <w:tcBorders>
              <w:top w:val="single" w:color="auto" w:sz="4" w:space="0"/>
              <w:left w:val="single" w:color="auto" w:sz="4" w:space="0"/>
            </w:tcBorders>
            <w:shd w:val="clear" w:color="auto" w:fill="FFFFFF"/>
            <w:noWrap w:val="0"/>
            <w:vAlign w:val="top"/>
          </w:tcPr>
          <w:p w14:paraId="28E7D5D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5.4 </w:t>
            </w:r>
          </w:p>
        </w:tc>
        <w:tc>
          <w:tcPr>
            <w:tcW w:w="773" w:type="dxa"/>
            <w:tcBorders>
              <w:top w:val="single" w:color="auto" w:sz="4" w:space="0"/>
              <w:left w:val="single" w:color="auto" w:sz="4" w:space="0"/>
            </w:tcBorders>
            <w:shd w:val="clear" w:color="auto" w:fill="FFFFFF"/>
            <w:noWrap w:val="0"/>
            <w:vAlign w:val="top"/>
          </w:tcPr>
          <w:p w14:paraId="26F233E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8.9 </w:t>
            </w:r>
          </w:p>
        </w:tc>
        <w:tc>
          <w:tcPr>
            <w:tcW w:w="773" w:type="dxa"/>
            <w:tcBorders>
              <w:top w:val="single" w:color="auto" w:sz="4" w:space="0"/>
              <w:left w:val="single" w:color="auto" w:sz="4" w:space="0"/>
            </w:tcBorders>
            <w:shd w:val="clear" w:color="auto" w:fill="FFFFFF"/>
            <w:noWrap w:val="0"/>
            <w:vAlign w:val="top"/>
          </w:tcPr>
          <w:p w14:paraId="10461CA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13.2 </w:t>
            </w:r>
          </w:p>
        </w:tc>
        <w:tc>
          <w:tcPr>
            <w:tcW w:w="787" w:type="dxa"/>
            <w:tcBorders>
              <w:top w:val="single" w:color="auto" w:sz="4" w:space="0"/>
              <w:left w:val="single" w:color="auto" w:sz="4" w:space="0"/>
            </w:tcBorders>
            <w:shd w:val="clear" w:color="auto" w:fill="FFFFFF"/>
            <w:noWrap w:val="0"/>
            <w:vAlign w:val="top"/>
          </w:tcPr>
          <w:p w14:paraId="2BFDDC5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14.6 </w:t>
            </w:r>
          </w:p>
        </w:tc>
        <w:tc>
          <w:tcPr>
            <w:tcW w:w="754" w:type="dxa"/>
            <w:tcBorders>
              <w:top w:val="single" w:color="auto" w:sz="4" w:space="0"/>
              <w:left w:val="single" w:color="auto" w:sz="4" w:space="0"/>
            </w:tcBorders>
            <w:shd w:val="clear" w:color="auto" w:fill="FFFFFF"/>
            <w:noWrap w:val="0"/>
            <w:vAlign w:val="top"/>
          </w:tcPr>
          <w:p w14:paraId="30ACC93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11.7 </w:t>
            </w:r>
          </w:p>
        </w:tc>
        <w:tc>
          <w:tcPr>
            <w:tcW w:w="773" w:type="dxa"/>
            <w:tcBorders>
              <w:top w:val="single" w:color="auto" w:sz="4" w:space="0"/>
              <w:left w:val="single" w:color="auto" w:sz="4" w:space="0"/>
            </w:tcBorders>
            <w:shd w:val="clear" w:color="auto" w:fill="FFFFFF"/>
            <w:noWrap w:val="0"/>
            <w:vAlign w:val="top"/>
          </w:tcPr>
          <w:p w14:paraId="1B5E2AD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4.0 </w:t>
            </w:r>
          </w:p>
        </w:tc>
        <w:tc>
          <w:tcPr>
            <w:tcW w:w="773" w:type="dxa"/>
            <w:tcBorders>
              <w:top w:val="single" w:color="auto" w:sz="4" w:space="0"/>
              <w:left w:val="single" w:color="auto" w:sz="4" w:space="0"/>
            </w:tcBorders>
            <w:shd w:val="clear" w:color="auto" w:fill="FFFFFF"/>
            <w:noWrap w:val="0"/>
            <w:vAlign w:val="top"/>
          </w:tcPr>
          <w:p w14:paraId="11A2756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73" w:type="dxa"/>
            <w:tcBorders>
              <w:top w:val="single" w:color="auto" w:sz="4" w:space="0"/>
              <w:left w:val="single" w:color="auto" w:sz="4" w:space="0"/>
            </w:tcBorders>
            <w:shd w:val="clear" w:color="auto" w:fill="FFFFFF"/>
            <w:noWrap w:val="0"/>
            <w:vAlign w:val="top"/>
          </w:tcPr>
          <w:p w14:paraId="6B974B1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 </w:t>
            </w:r>
          </w:p>
        </w:tc>
        <w:tc>
          <w:tcPr>
            <w:tcW w:w="773" w:type="dxa"/>
            <w:tcBorders>
              <w:top w:val="single" w:color="auto" w:sz="4" w:space="0"/>
              <w:left w:val="single" w:color="auto" w:sz="4" w:space="0"/>
            </w:tcBorders>
            <w:shd w:val="clear" w:color="auto" w:fill="FFFFFF"/>
            <w:noWrap w:val="0"/>
            <w:vAlign w:val="top"/>
          </w:tcPr>
          <w:p w14:paraId="117BE00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1.6 </w:t>
            </w:r>
          </w:p>
        </w:tc>
        <w:tc>
          <w:tcPr>
            <w:tcW w:w="773" w:type="dxa"/>
            <w:tcBorders>
              <w:top w:val="single" w:color="auto" w:sz="4" w:space="0"/>
              <w:left w:val="single" w:color="auto" w:sz="4" w:space="0"/>
            </w:tcBorders>
            <w:shd w:val="clear" w:color="auto" w:fill="FFFFFF"/>
            <w:noWrap w:val="0"/>
            <w:vAlign w:val="top"/>
          </w:tcPr>
          <w:p w14:paraId="47D28B0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4.8 </w:t>
            </w:r>
          </w:p>
        </w:tc>
        <w:tc>
          <w:tcPr>
            <w:tcW w:w="768" w:type="dxa"/>
            <w:tcBorders>
              <w:top w:val="single" w:color="auto" w:sz="4" w:space="0"/>
              <w:left w:val="single" w:color="auto" w:sz="4" w:space="0"/>
            </w:tcBorders>
            <w:shd w:val="clear" w:color="auto" w:fill="FFFFFF"/>
            <w:noWrap w:val="0"/>
            <w:vAlign w:val="top"/>
          </w:tcPr>
          <w:p w14:paraId="378854F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8.8 </w:t>
            </w:r>
          </w:p>
        </w:tc>
        <w:tc>
          <w:tcPr>
            <w:tcW w:w="773" w:type="dxa"/>
            <w:tcBorders>
              <w:top w:val="single" w:color="auto" w:sz="4" w:space="0"/>
              <w:left w:val="single" w:color="auto" w:sz="4" w:space="0"/>
            </w:tcBorders>
            <w:shd w:val="clear" w:color="auto" w:fill="FFFFFF"/>
            <w:noWrap w:val="0"/>
            <w:vAlign w:val="top"/>
          </w:tcPr>
          <w:p w14:paraId="31C75B1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6.4 </w:t>
            </w:r>
          </w:p>
        </w:tc>
        <w:tc>
          <w:tcPr>
            <w:tcW w:w="773" w:type="dxa"/>
            <w:tcBorders>
              <w:top w:val="single" w:color="auto" w:sz="4" w:space="0"/>
              <w:left w:val="single" w:color="auto" w:sz="4" w:space="0"/>
            </w:tcBorders>
            <w:shd w:val="clear" w:color="auto" w:fill="FFFFFF"/>
            <w:noWrap w:val="0"/>
            <w:vAlign w:val="top"/>
          </w:tcPr>
          <w:p w14:paraId="35AD09A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3.0 </w:t>
            </w:r>
          </w:p>
        </w:tc>
        <w:tc>
          <w:tcPr>
            <w:tcW w:w="802" w:type="dxa"/>
            <w:tcBorders>
              <w:top w:val="single" w:color="auto" w:sz="4" w:space="0"/>
              <w:left w:val="single" w:color="auto" w:sz="4" w:space="0"/>
            </w:tcBorders>
            <w:shd w:val="clear" w:color="auto" w:fill="FFFFFF"/>
            <w:noWrap w:val="0"/>
            <w:vAlign w:val="top"/>
          </w:tcPr>
          <w:p w14:paraId="787D8E6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5.3 </w:t>
            </w:r>
          </w:p>
        </w:tc>
      </w:tr>
      <w:tr w14:paraId="63DFB66F">
        <w:tblPrEx>
          <w:tblCellMar>
            <w:top w:w="0" w:type="dxa"/>
            <w:left w:w="10" w:type="dxa"/>
            <w:bottom w:w="0" w:type="dxa"/>
            <w:right w:w="10" w:type="dxa"/>
          </w:tblCellMar>
        </w:tblPrEx>
        <w:trPr>
          <w:trHeight w:val="454" w:hRule="exact"/>
          <w:jc w:val="center"/>
        </w:trPr>
        <w:tc>
          <w:tcPr>
            <w:tcW w:w="1123" w:type="dxa"/>
            <w:tcBorders>
              <w:top w:val="single" w:color="auto" w:sz="4" w:space="0"/>
            </w:tcBorders>
            <w:shd w:val="clear" w:color="auto" w:fill="FFFFFF"/>
            <w:noWrap w:val="0"/>
            <w:vAlign w:val="top"/>
          </w:tcPr>
          <w:p w14:paraId="5FF3E82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03 </w:t>
            </w:r>
          </w:p>
        </w:tc>
        <w:tc>
          <w:tcPr>
            <w:tcW w:w="773" w:type="dxa"/>
            <w:tcBorders>
              <w:top w:val="single" w:color="auto" w:sz="4" w:space="0"/>
              <w:left w:val="single" w:color="auto" w:sz="4" w:space="0"/>
            </w:tcBorders>
            <w:shd w:val="clear" w:color="auto" w:fill="FFFFFF"/>
            <w:noWrap w:val="0"/>
            <w:vAlign w:val="top"/>
          </w:tcPr>
          <w:p w14:paraId="4B9619A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2.6 </w:t>
            </w:r>
          </w:p>
        </w:tc>
        <w:tc>
          <w:tcPr>
            <w:tcW w:w="773" w:type="dxa"/>
            <w:tcBorders>
              <w:top w:val="single" w:color="auto" w:sz="4" w:space="0"/>
              <w:left w:val="single" w:color="auto" w:sz="4" w:space="0"/>
            </w:tcBorders>
            <w:shd w:val="clear" w:color="auto" w:fill="FFFFFF"/>
            <w:noWrap w:val="0"/>
            <w:vAlign w:val="top"/>
          </w:tcPr>
          <w:p w14:paraId="180E933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2.4 </w:t>
            </w:r>
          </w:p>
        </w:tc>
        <w:tc>
          <w:tcPr>
            <w:tcW w:w="768" w:type="dxa"/>
            <w:tcBorders>
              <w:top w:val="single" w:color="auto" w:sz="4" w:space="0"/>
              <w:left w:val="single" w:color="auto" w:sz="4" w:space="0"/>
            </w:tcBorders>
            <w:shd w:val="clear" w:color="auto" w:fill="FFFFFF"/>
            <w:noWrap w:val="0"/>
            <w:vAlign w:val="top"/>
          </w:tcPr>
          <w:p w14:paraId="173C4D3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4.6 </w:t>
            </w:r>
          </w:p>
        </w:tc>
        <w:tc>
          <w:tcPr>
            <w:tcW w:w="773" w:type="dxa"/>
            <w:tcBorders>
              <w:top w:val="single" w:color="auto" w:sz="4" w:space="0"/>
              <w:left w:val="single" w:color="auto" w:sz="4" w:space="0"/>
            </w:tcBorders>
            <w:shd w:val="clear" w:color="auto" w:fill="FFFFFF"/>
            <w:noWrap w:val="0"/>
            <w:vAlign w:val="top"/>
          </w:tcPr>
          <w:p w14:paraId="344E5D8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6.9 </w:t>
            </w:r>
          </w:p>
        </w:tc>
        <w:tc>
          <w:tcPr>
            <w:tcW w:w="773" w:type="dxa"/>
            <w:tcBorders>
              <w:top w:val="single" w:color="auto" w:sz="4" w:space="0"/>
              <w:left w:val="single" w:color="auto" w:sz="4" w:space="0"/>
            </w:tcBorders>
            <w:shd w:val="clear" w:color="auto" w:fill="FFFFFF"/>
            <w:noWrap w:val="0"/>
            <w:vAlign w:val="top"/>
          </w:tcPr>
          <w:p w14:paraId="145C0AD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9.3 </w:t>
            </w:r>
          </w:p>
        </w:tc>
        <w:tc>
          <w:tcPr>
            <w:tcW w:w="773" w:type="dxa"/>
            <w:tcBorders>
              <w:top w:val="single" w:color="auto" w:sz="4" w:space="0"/>
              <w:left w:val="single" w:color="auto" w:sz="4" w:space="0"/>
            </w:tcBorders>
            <w:shd w:val="clear" w:color="auto" w:fill="FFFFFF"/>
            <w:noWrap w:val="0"/>
            <w:vAlign w:val="top"/>
          </w:tcPr>
          <w:p w14:paraId="5EBD739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11.4 </w:t>
            </w:r>
          </w:p>
        </w:tc>
        <w:tc>
          <w:tcPr>
            <w:tcW w:w="787" w:type="dxa"/>
            <w:tcBorders>
              <w:top w:val="single" w:color="auto" w:sz="4" w:space="0"/>
              <w:left w:val="single" w:color="auto" w:sz="4" w:space="0"/>
            </w:tcBorders>
            <w:shd w:val="clear" w:color="auto" w:fill="FFFFFF"/>
            <w:noWrap w:val="0"/>
            <w:vAlign w:val="top"/>
          </w:tcPr>
          <w:p w14:paraId="25DE925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14.6 </w:t>
            </w:r>
          </w:p>
        </w:tc>
        <w:tc>
          <w:tcPr>
            <w:tcW w:w="754" w:type="dxa"/>
            <w:tcBorders>
              <w:top w:val="single" w:color="auto" w:sz="4" w:space="0"/>
              <w:left w:val="single" w:color="auto" w:sz="4" w:space="0"/>
            </w:tcBorders>
            <w:shd w:val="clear" w:color="auto" w:fill="FFFFFF"/>
            <w:noWrap w:val="0"/>
            <w:vAlign w:val="top"/>
          </w:tcPr>
          <w:p w14:paraId="21E0FD6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12.4 </w:t>
            </w:r>
          </w:p>
        </w:tc>
        <w:tc>
          <w:tcPr>
            <w:tcW w:w="773" w:type="dxa"/>
            <w:tcBorders>
              <w:top w:val="single" w:color="auto" w:sz="4" w:space="0"/>
              <w:left w:val="single" w:color="auto" w:sz="4" w:space="0"/>
            </w:tcBorders>
            <w:shd w:val="clear" w:color="auto" w:fill="FFFFFF"/>
            <w:noWrap w:val="0"/>
            <w:vAlign w:val="top"/>
          </w:tcPr>
          <w:p w14:paraId="1465C2C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3.6 </w:t>
            </w:r>
          </w:p>
        </w:tc>
        <w:tc>
          <w:tcPr>
            <w:tcW w:w="773" w:type="dxa"/>
            <w:tcBorders>
              <w:top w:val="single" w:color="auto" w:sz="4" w:space="0"/>
              <w:left w:val="single" w:color="auto" w:sz="4" w:space="0"/>
            </w:tcBorders>
            <w:shd w:val="clear" w:color="auto" w:fill="FFFFFF"/>
            <w:noWrap w:val="0"/>
            <w:vAlign w:val="top"/>
          </w:tcPr>
          <w:p w14:paraId="188862D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2.2 </w:t>
            </w:r>
          </w:p>
        </w:tc>
        <w:tc>
          <w:tcPr>
            <w:tcW w:w="773" w:type="dxa"/>
            <w:tcBorders>
              <w:top w:val="single" w:color="auto" w:sz="4" w:space="0"/>
              <w:left w:val="single" w:color="auto" w:sz="4" w:space="0"/>
            </w:tcBorders>
            <w:shd w:val="clear" w:color="auto" w:fill="FFFFFF"/>
            <w:noWrap w:val="0"/>
            <w:vAlign w:val="top"/>
          </w:tcPr>
          <w:p w14:paraId="5CDFEA3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 </w:t>
            </w:r>
          </w:p>
        </w:tc>
        <w:tc>
          <w:tcPr>
            <w:tcW w:w="773" w:type="dxa"/>
            <w:tcBorders>
              <w:top w:val="single" w:color="auto" w:sz="4" w:space="0"/>
              <w:left w:val="single" w:color="auto" w:sz="4" w:space="0"/>
            </w:tcBorders>
            <w:shd w:val="clear" w:color="auto" w:fill="FFFFFF"/>
            <w:noWrap w:val="0"/>
            <w:vAlign w:val="top"/>
          </w:tcPr>
          <w:p w14:paraId="65D6D19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2.2 </w:t>
            </w:r>
          </w:p>
        </w:tc>
        <w:tc>
          <w:tcPr>
            <w:tcW w:w="773" w:type="dxa"/>
            <w:tcBorders>
              <w:top w:val="single" w:color="auto" w:sz="4" w:space="0"/>
              <w:left w:val="single" w:color="auto" w:sz="4" w:space="0"/>
            </w:tcBorders>
            <w:shd w:val="clear" w:color="auto" w:fill="FFFFFF"/>
            <w:noWrap w:val="0"/>
            <w:vAlign w:val="top"/>
          </w:tcPr>
          <w:p w14:paraId="6CBD08F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4.8 </w:t>
            </w:r>
          </w:p>
        </w:tc>
        <w:tc>
          <w:tcPr>
            <w:tcW w:w="768" w:type="dxa"/>
            <w:tcBorders>
              <w:top w:val="single" w:color="auto" w:sz="4" w:space="0"/>
              <w:left w:val="single" w:color="auto" w:sz="4" w:space="0"/>
            </w:tcBorders>
            <w:shd w:val="clear" w:color="auto" w:fill="FFFFFF"/>
            <w:noWrap w:val="0"/>
            <w:vAlign w:val="top"/>
          </w:tcPr>
          <w:p w14:paraId="47CE3EA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7.0 </w:t>
            </w:r>
          </w:p>
        </w:tc>
        <w:tc>
          <w:tcPr>
            <w:tcW w:w="773" w:type="dxa"/>
            <w:tcBorders>
              <w:top w:val="single" w:color="auto" w:sz="4" w:space="0"/>
              <w:left w:val="single" w:color="auto" w:sz="4" w:space="0"/>
            </w:tcBorders>
            <w:shd w:val="clear" w:color="auto" w:fill="FFFFFF"/>
            <w:noWrap w:val="0"/>
            <w:vAlign w:val="top"/>
          </w:tcPr>
          <w:p w14:paraId="62D7D34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5.2 </w:t>
            </w:r>
          </w:p>
        </w:tc>
        <w:tc>
          <w:tcPr>
            <w:tcW w:w="773" w:type="dxa"/>
            <w:tcBorders>
              <w:top w:val="single" w:color="auto" w:sz="4" w:space="0"/>
              <w:left w:val="single" w:color="auto" w:sz="4" w:space="0"/>
            </w:tcBorders>
            <w:shd w:val="clear" w:color="auto" w:fill="FFFFFF"/>
            <w:noWrap w:val="0"/>
            <w:vAlign w:val="top"/>
          </w:tcPr>
          <w:p w14:paraId="0EAF908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2.7 </w:t>
            </w:r>
          </w:p>
        </w:tc>
        <w:tc>
          <w:tcPr>
            <w:tcW w:w="802" w:type="dxa"/>
            <w:tcBorders>
              <w:top w:val="single" w:color="auto" w:sz="4" w:space="0"/>
              <w:left w:val="single" w:color="auto" w:sz="4" w:space="0"/>
            </w:tcBorders>
            <w:shd w:val="clear" w:color="auto" w:fill="FFFFFF"/>
            <w:noWrap w:val="0"/>
            <w:vAlign w:val="top"/>
          </w:tcPr>
          <w:p w14:paraId="130FE08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6.7 </w:t>
            </w:r>
          </w:p>
        </w:tc>
      </w:tr>
      <w:tr w14:paraId="74D1F7B2">
        <w:tblPrEx>
          <w:tblCellMar>
            <w:top w:w="0" w:type="dxa"/>
            <w:left w:w="10" w:type="dxa"/>
            <w:bottom w:w="0" w:type="dxa"/>
            <w:right w:w="10" w:type="dxa"/>
          </w:tblCellMar>
        </w:tblPrEx>
        <w:trPr>
          <w:trHeight w:val="454" w:hRule="exact"/>
          <w:jc w:val="center"/>
        </w:trPr>
        <w:tc>
          <w:tcPr>
            <w:tcW w:w="1123" w:type="dxa"/>
            <w:tcBorders>
              <w:top w:val="single" w:color="auto" w:sz="4" w:space="0"/>
            </w:tcBorders>
            <w:shd w:val="clear" w:color="auto" w:fill="FFFFFF"/>
            <w:noWrap w:val="0"/>
            <w:vAlign w:val="top"/>
          </w:tcPr>
          <w:p w14:paraId="17B6AE9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04 </w:t>
            </w:r>
          </w:p>
        </w:tc>
        <w:tc>
          <w:tcPr>
            <w:tcW w:w="773" w:type="dxa"/>
            <w:tcBorders>
              <w:top w:val="single" w:color="auto" w:sz="4" w:space="0"/>
              <w:left w:val="single" w:color="auto" w:sz="4" w:space="0"/>
            </w:tcBorders>
            <w:shd w:val="clear" w:color="auto" w:fill="FFFFFF"/>
            <w:noWrap w:val="0"/>
            <w:vAlign w:val="top"/>
          </w:tcPr>
          <w:p w14:paraId="367A945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3.3 </w:t>
            </w:r>
          </w:p>
        </w:tc>
        <w:tc>
          <w:tcPr>
            <w:tcW w:w="773" w:type="dxa"/>
            <w:tcBorders>
              <w:top w:val="single" w:color="auto" w:sz="4" w:space="0"/>
              <w:left w:val="single" w:color="auto" w:sz="4" w:space="0"/>
            </w:tcBorders>
            <w:shd w:val="clear" w:color="auto" w:fill="FFFFFF"/>
            <w:noWrap w:val="0"/>
            <w:vAlign w:val="top"/>
          </w:tcPr>
          <w:p w14:paraId="542D697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2.3 </w:t>
            </w:r>
          </w:p>
        </w:tc>
        <w:tc>
          <w:tcPr>
            <w:tcW w:w="768" w:type="dxa"/>
            <w:tcBorders>
              <w:top w:val="single" w:color="auto" w:sz="4" w:space="0"/>
              <w:left w:val="single" w:color="auto" w:sz="4" w:space="0"/>
            </w:tcBorders>
            <w:shd w:val="clear" w:color="auto" w:fill="FFFFFF"/>
            <w:noWrap w:val="0"/>
            <w:vAlign w:val="top"/>
          </w:tcPr>
          <w:p w14:paraId="61348A0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3.8 </w:t>
            </w:r>
          </w:p>
        </w:tc>
        <w:tc>
          <w:tcPr>
            <w:tcW w:w="773" w:type="dxa"/>
            <w:tcBorders>
              <w:top w:val="single" w:color="auto" w:sz="4" w:space="0"/>
              <w:left w:val="single" w:color="auto" w:sz="4" w:space="0"/>
            </w:tcBorders>
            <w:shd w:val="clear" w:color="auto" w:fill="FFFFFF"/>
            <w:noWrap w:val="0"/>
            <w:vAlign w:val="top"/>
          </w:tcPr>
          <w:p w14:paraId="0433DBF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6.2 </w:t>
            </w:r>
          </w:p>
        </w:tc>
        <w:tc>
          <w:tcPr>
            <w:tcW w:w="773" w:type="dxa"/>
            <w:tcBorders>
              <w:top w:val="single" w:color="auto" w:sz="4" w:space="0"/>
              <w:left w:val="single" w:color="auto" w:sz="4" w:space="0"/>
            </w:tcBorders>
            <w:shd w:val="clear" w:color="auto" w:fill="FFFFFF"/>
            <w:noWrap w:val="0"/>
            <w:vAlign w:val="top"/>
          </w:tcPr>
          <w:p w14:paraId="4194763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9.8 </w:t>
            </w:r>
          </w:p>
        </w:tc>
        <w:tc>
          <w:tcPr>
            <w:tcW w:w="773" w:type="dxa"/>
            <w:tcBorders>
              <w:top w:val="single" w:color="auto" w:sz="4" w:space="0"/>
              <w:left w:val="single" w:color="auto" w:sz="4" w:space="0"/>
            </w:tcBorders>
            <w:shd w:val="clear" w:color="auto" w:fill="FFFFFF"/>
            <w:noWrap w:val="0"/>
            <w:vAlign w:val="top"/>
          </w:tcPr>
          <w:p w14:paraId="0DA7D03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12.6 </w:t>
            </w:r>
          </w:p>
        </w:tc>
        <w:tc>
          <w:tcPr>
            <w:tcW w:w="787" w:type="dxa"/>
            <w:tcBorders>
              <w:top w:val="single" w:color="auto" w:sz="4" w:space="0"/>
              <w:left w:val="single" w:color="auto" w:sz="4" w:space="0"/>
            </w:tcBorders>
            <w:shd w:val="clear" w:color="auto" w:fill="FFFFFF"/>
            <w:noWrap w:val="0"/>
            <w:vAlign w:val="top"/>
          </w:tcPr>
          <w:p w14:paraId="0CB3406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13.9 </w:t>
            </w:r>
          </w:p>
        </w:tc>
        <w:tc>
          <w:tcPr>
            <w:tcW w:w="754" w:type="dxa"/>
            <w:tcBorders>
              <w:top w:val="single" w:color="auto" w:sz="4" w:space="0"/>
              <w:left w:val="single" w:color="auto" w:sz="4" w:space="0"/>
            </w:tcBorders>
            <w:shd w:val="clear" w:color="auto" w:fill="FFFFFF"/>
            <w:noWrap w:val="0"/>
            <w:vAlign w:val="top"/>
          </w:tcPr>
          <w:p w14:paraId="3C77733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11.8 </w:t>
            </w:r>
          </w:p>
        </w:tc>
        <w:tc>
          <w:tcPr>
            <w:tcW w:w="773" w:type="dxa"/>
            <w:tcBorders>
              <w:top w:val="single" w:color="auto" w:sz="4" w:space="0"/>
              <w:left w:val="single" w:color="auto" w:sz="4" w:space="0"/>
            </w:tcBorders>
            <w:shd w:val="clear" w:color="auto" w:fill="FFFFFF"/>
            <w:noWrap w:val="0"/>
            <w:vAlign w:val="top"/>
          </w:tcPr>
          <w:p w14:paraId="37EE7AF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4.0 </w:t>
            </w:r>
          </w:p>
        </w:tc>
        <w:tc>
          <w:tcPr>
            <w:tcW w:w="773" w:type="dxa"/>
            <w:tcBorders>
              <w:top w:val="single" w:color="auto" w:sz="4" w:space="0"/>
              <w:left w:val="single" w:color="auto" w:sz="4" w:space="0"/>
            </w:tcBorders>
            <w:shd w:val="clear" w:color="auto" w:fill="FFFFFF"/>
            <w:noWrap w:val="0"/>
            <w:vAlign w:val="top"/>
          </w:tcPr>
          <w:p w14:paraId="5375D08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2.3 </w:t>
            </w:r>
          </w:p>
        </w:tc>
        <w:tc>
          <w:tcPr>
            <w:tcW w:w="773" w:type="dxa"/>
            <w:tcBorders>
              <w:top w:val="single" w:color="auto" w:sz="4" w:space="0"/>
              <w:left w:val="single" w:color="auto" w:sz="4" w:space="0"/>
            </w:tcBorders>
            <w:shd w:val="clear" w:color="auto" w:fill="FFFFFF"/>
            <w:noWrap w:val="0"/>
            <w:vAlign w:val="top"/>
          </w:tcPr>
          <w:p w14:paraId="3B71A30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 </w:t>
            </w:r>
          </w:p>
        </w:tc>
        <w:tc>
          <w:tcPr>
            <w:tcW w:w="773" w:type="dxa"/>
            <w:tcBorders>
              <w:top w:val="single" w:color="auto" w:sz="4" w:space="0"/>
              <w:left w:val="single" w:color="auto" w:sz="4" w:space="0"/>
            </w:tcBorders>
            <w:shd w:val="clear" w:color="auto" w:fill="FFFFFF"/>
            <w:noWrap w:val="0"/>
            <w:vAlign w:val="top"/>
          </w:tcPr>
          <w:p w14:paraId="10526B7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2.0 </w:t>
            </w:r>
          </w:p>
        </w:tc>
        <w:tc>
          <w:tcPr>
            <w:tcW w:w="773" w:type="dxa"/>
            <w:tcBorders>
              <w:top w:val="single" w:color="auto" w:sz="4" w:space="0"/>
              <w:left w:val="single" w:color="auto" w:sz="4" w:space="0"/>
            </w:tcBorders>
            <w:shd w:val="clear" w:color="auto" w:fill="FFFFFF"/>
            <w:noWrap w:val="0"/>
            <w:vAlign w:val="top"/>
          </w:tcPr>
          <w:p w14:paraId="01594AB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4.5 </w:t>
            </w:r>
          </w:p>
        </w:tc>
        <w:tc>
          <w:tcPr>
            <w:tcW w:w="768" w:type="dxa"/>
            <w:tcBorders>
              <w:top w:val="single" w:color="auto" w:sz="4" w:space="0"/>
              <w:left w:val="single" w:color="auto" w:sz="4" w:space="0"/>
            </w:tcBorders>
            <w:shd w:val="clear" w:color="auto" w:fill="FFFFFF"/>
            <w:noWrap w:val="0"/>
            <w:vAlign w:val="top"/>
          </w:tcPr>
          <w:p w14:paraId="387BD0D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7.6 </w:t>
            </w:r>
          </w:p>
        </w:tc>
        <w:tc>
          <w:tcPr>
            <w:tcW w:w="773" w:type="dxa"/>
            <w:tcBorders>
              <w:top w:val="single" w:color="auto" w:sz="4" w:space="0"/>
              <w:left w:val="single" w:color="auto" w:sz="4" w:space="0"/>
            </w:tcBorders>
            <w:shd w:val="clear" w:color="auto" w:fill="FFFFFF"/>
            <w:noWrap w:val="0"/>
            <w:vAlign w:val="top"/>
          </w:tcPr>
          <w:p w14:paraId="3D652F2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5.8 </w:t>
            </w:r>
          </w:p>
        </w:tc>
        <w:tc>
          <w:tcPr>
            <w:tcW w:w="773" w:type="dxa"/>
            <w:tcBorders>
              <w:top w:val="single" w:color="auto" w:sz="4" w:space="0"/>
              <w:left w:val="single" w:color="auto" w:sz="4" w:space="0"/>
            </w:tcBorders>
            <w:shd w:val="clear" w:color="auto" w:fill="FFFFFF"/>
            <w:noWrap w:val="0"/>
            <w:vAlign w:val="top"/>
          </w:tcPr>
          <w:p w14:paraId="329A33D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2.9 </w:t>
            </w:r>
          </w:p>
        </w:tc>
        <w:tc>
          <w:tcPr>
            <w:tcW w:w="802" w:type="dxa"/>
            <w:tcBorders>
              <w:top w:val="single" w:color="auto" w:sz="4" w:space="0"/>
              <w:left w:val="single" w:color="auto" w:sz="4" w:space="0"/>
            </w:tcBorders>
            <w:shd w:val="clear" w:color="auto" w:fill="FFFFFF"/>
            <w:noWrap w:val="0"/>
            <w:vAlign w:val="top"/>
          </w:tcPr>
          <w:p w14:paraId="261CB3D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5.8 </w:t>
            </w:r>
          </w:p>
        </w:tc>
      </w:tr>
      <w:tr w14:paraId="073C13EF">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3CCDD82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05 </w:t>
            </w:r>
          </w:p>
        </w:tc>
        <w:tc>
          <w:tcPr>
            <w:tcW w:w="773" w:type="dxa"/>
            <w:tcBorders>
              <w:top w:val="single" w:color="auto" w:sz="4" w:space="0"/>
              <w:left w:val="single" w:color="auto" w:sz="4" w:space="0"/>
              <w:bottom w:val="single" w:color="auto" w:sz="4" w:space="0"/>
            </w:tcBorders>
            <w:shd w:val="clear" w:color="auto" w:fill="FFFFFF"/>
            <w:noWrap w:val="0"/>
            <w:vAlign w:val="top"/>
          </w:tcPr>
          <w:p w14:paraId="6439089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2.9 </w:t>
            </w:r>
          </w:p>
        </w:tc>
        <w:tc>
          <w:tcPr>
            <w:tcW w:w="773" w:type="dxa"/>
            <w:tcBorders>
              <w:top w:val="single" w:color="auto" w:sz="4" w:space="0"/>
              <w:left w:val="single" w:color="auto" w:sz="4" w:space="0"/>
              <w:bottom w:val="single" w:color="auto" w:sz="4" w:space="0"/>
            </w:tcBorders>
            <w:shd w:val="clear" w:color="auto" w:fill="FFFFFF"/>
            <w:noWrap w:val="0"/>
            <w:vAlign w:val="top"/>
          </w:tcPr>
          <w:p w14:paraId="7E9F0D5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2.6 </w:t>
            </w:r>
          </w:p>
        </w:tc>
        <w:tc>
          <w:tcPr>
            <w:tcW w:w="768" w:type="dxa"/>
            <w:tcBorders>
              <w:top w:val="single" w:color="auto" w:sz="4" w:space="0"/>
              <w:left w:val="single" w:color="auto" w:sz="4" w:space="0"/>
              <w:bottom w:val="single" w:color="auto" w:sz="4" w:space="0"/>
            </w:tcBorders>
            <w:shd w:val="clear" w:color="auto" w:fill="FFFFFF"/>
            <w:noWrap w:val="0"/>
            <w:vAlign w:val="top"/>
          </w:tcPr>
          <w:p w14:paraId="3BCB33E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3.6 </w:t>
            </w:r>
          </w:p>
        </w:tc>
        <w:tc>
          <w:tcPr>
            <w:tcW w:w="773" w:type="dxa"/>
            <w:tcBorders>
              <w:top w:val="single" w:color="auto" w:sz="4" w:space="0"/>
              <w:left w:val="single" w:color="auto" w:sz="4" w:space="0"/>
              <w:bottom w:val="single" w:color="auto" w:sz="4" w:space="0"/>
            </w:tcBorders>
            <w:shd w:val="clear" w:color="auto" w:fill="FFFFFF"/>
            <w:noWrap w:val="0"/>
            <w:vAlign w:val="top"/>
          </w:tcPr>
          <w:p w14:paraId="4BB247E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6.2 </w:t>
            </w:r>
          </w:p>
        </w:tc>
        <w:tc>
          <w:tcPr>
            <w:tcW w:w="773" w:type="dxa"/>
            <w:tcBorders>
              <w:top w:val="single" w:color="auto" w:sz="4" w:space="0"/>
              <w:left w:val="single" w:color="auto" w:sz="4" w:space="0"/>
              <w:bottom w:val="single" w:color="auto" w:sz="4" w:space="0"/>
            </w:tcBorders>
            <w:shd w:val="clear" w:color="auto" w:fill="FFFFFF"/>
            <w:noWrap w:val="0"/>
            <w:vAlign w:val="top"/>
          </w:tcPr>
          <w:p w14:paraId="297D7AD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8.6 </w:t>
            </w:r>
          </w:p>
        </w:tc>
        <w:tc>
          <w:tcPr>
            <w:tcW w:w="773" w:type="dxa"/>
            <w:tcBorders>
              <w:top w:val="single" w:color="auto" w:sz="4" w:space="0"/>
              <w:left w:val="single" w:color="auto" w:sz="4" w:space="0"/>
              <w:bottom w:val="single" w:color="auto" w:sz="4" w:space="0"/>
            </w:tcBorders>
            <w:shd w:val="clear" w:color="auto" w:fill="FFFFFF"/>
            <w:noWrap w:val="0"/>
            <w:vAlign w:val="top"/>
          </w:tcPr>
          <w:p w14:paraId="783A160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11.6 </w:t>
            </w:r>
          </w:p>
        </w:tc>
        <w:tc>
          <w:tcPr>
            <w:tcW w:w="787" w:type="dxa"/>
            <w:tcBorders>
              <w:top w:val="single" w:color="auto" w:sz="4" w:space="0"/>
              <w:left w:val="single" w:color="auto" w:sz="4" w:space="0"/>
              <w:bottom w:val="single" w:color="auto" w:sz="4" w:space="0"/>
            </w:tcBorders>
            <w:shd w:val="clear" w:color="auto" w:fill="FFFFFF"/>
            <w:noWrap w:val="0"/>
            <w:vAlign w:val="top"/>
          </w:tcPr>
          <w:p w14:paraId="10377E4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13.5 </w:t>
            </w:r>
          </w:p>
        </w:tc>
        <w:tc>
          <w:tcPr>
            <w:tcW w:w="754" w:type="dxa"/>
            <w:tcBorders>
              <w:top w:val="single" w:color="auto" w:sz="4" w:space="0"/>
              <w:left w:val="single" w:color="auto" w:sz="4" w:space="0"/>
              <w:bottom w:val="single" w:color="auto" w:sz="4" w:space="0"/>
            </w:tcBorders>
            <w:shd w:val="clear" w:color="auto" w:fill="FFFFFF"/>
            <w:noWrap w:val="0"/>
            <w:vAlign w:val="top"/>
          </w:tcPr>
          <w:p w14:paraId="4C11ED9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12.0 </w:t>
            </w:r>
          </w:p>
        </w:tc>
        <w:tc>
          <w:tcPr>
            <w:tcW w:w="773" w:type="dxa"/>
            <w:tcBorders>
              <w:top w:val="single" w:color="auto" w:sz="4" w:space="0"/>
              <w:left w:val="single" w:color="auto" w:sz="4" w:space="0"/>
              <w:bottom w:val="single" w:color="auto" w:sz="4" w:space="0"/>
            </w:tcBorders>
            <w:shd w:val="clear" w:color="auto" w:fill="FFFFFF"/>
            <w:noWrap w:val="0"/>
            <w:vAlign w:val="top"/>
          </w:tcPr>
          <w:p w14:paraId="4846749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3.9 </w:t>
            </w:r>
          </w:p>
        </w:tc>
        <w:tc>
          <w:tcPr>
            <w:tcW w:w="773" w:type="dxa"/>
            <w:tcBorders>
              <w:top w:val="single" w:color="auto" w:sz="4" w:space="0"/>
              <w:left w:val="single" w:color="auto" w:sz="4" w:space="0"/>
              <w:bottom w:val="single" w:color="auto" w:sz="4" w:space="0"/>
            </w:tcBorders>
            <w:shd w:val="clear" w:color="auto" w:fill="FFFFFF"/>
            <w:noWrap w:val="0"/>
            <w:vAlign w:val="top"/>
          </w:tcPr>
          <w:p w14:paraId="354F0C8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2.0 </w:t>
            </w:r>
          </w:p>
        </w:tc>
        <w:tc>
          <w:tcPr>
            <w:tcW w:w="773" w:type="dxa"/>
            <w:tcBorders>
              <w:top w:val="single" w:color="auto" w:sz="4" w:space="0"/>
              <w:left w:val="single" w:color="auto" w:sz="4" w:space="0"/>
              <w:bottom w:val="single" w:color="auto" w:sz="4" w:space="0"/>
            </w:tcBorders>
            <w:shd w:val="clear" w:color="auto" w:fill="FFFFFF"/>
            <w:noWrap w:val="0"/>
            <w:vAlign w:val="top"/>
          </w:tcPr>
          <w:p w14:paraId="7409AEA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2.2 </w:t>
            </w:r>
          </w:p>
        </w:tc>
        <w:tc>
          <w:tcPr>
            <w:tcW w:w="773" w:type="dxa"/>
            <w:tcBorders>
              <w:top w:val="single" w:color="auto" w:sz="4" w:space="0"/>
              <w:left w:val="single" w:color="auto" w:sz="4" w:space="0"/>
              <w:bottom w:val="single" w:color="auto" w:sz="4" w:space="0"/>
            </w:tcBorders>
            <w:shd w:val="clear" w:color="auto" w:fill="FFFFFF"/>
            <w:noWrap w:val="0"/>
            <w:vAlign w:val="top"/>
          </w:tcPr>
          <w:p w14:paraId="62C4279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2.3 </w:t>
            </w:r>
          </w:p>
        </w:tc>
        <w:tc>
          <w:tcPr>
            <w:tcW w:w="773" w:type="dxa"/>
            <w:tcBorders>
              <w:top w:val="single" w:color="auto" w:sz="4" w:space="0"/>
              <w:left w:val="single" w:color="auto" w:sz="4" w:space="0"/>
              <w:bottom w:val="single" w:color="auto" w:sz="4" w:space="0"/>
            </w:tcBorders>
            <w:shd w:val="clear" w:color="auto" w:fill="FFFFFF"/>
            <w:noWrap w:val="0"/>
            <w:vAlign w:val="top"/>
          </w:tcPr>
          <w:p w14:paraId="5CC39E9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5.4 </w:t>
            </w:r>
          </w:p>
        </w:tc>
        <w:tc>
          <w:tcPr>
            <w:tcW w:w="768" w:type="dxa"/>
            <w:tcBorders>
              <w:top w:val="single" w:color="auto" w:sz="4" w:space="0"/>
              <w:left w:val="single" w:color="auto" w:sz="4" w:space="0"/>
              <w:bottom w:val="single" w:color="auto" w:sz="4" w:space="0"/>
            </w:tcBorders>
            <w:shd w:val="clear" w:color="auto" w:fill="FFFFFF"/>
            <w:noWrap w:val="0"/>
            <w:vAlign w:val="top"/>
          </w:tcPr>
          <w:p w14:paraId="0C0B18F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7.1 </w:t>
            </w:r>
          </w:p>
        </w:tc>
        <w:tc>
          <w:tcPr>
            <w:tcW w:w="773" w:type="dxa"/>
            <w:tcBorders>
              <w:top w:val="single" w:color="auto" w:sz="4" w:space="0"/>
              <w:left w:val="single" w:color="auto" w:sz="4" w:space="0"/>
              <w:bottom w:val="single" w:color="auto" w:sz="4" w:space="0"/>
            </w:tcBorders>
            <w:shd w:val="clear" w:color="auto" w:fill="FFFFFF"/>
            <w:noWrap w:val="0"/>
            <w:vAlign w:val="top"/>
          </w:tcPr>
          <w:p w14:paraId="3460439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c>
          <w:tcPr>
            <w:tcW w:w="773" w:type="dxa"/>
            <w:tcBorders>
              <w:top w:val="single" w:color="auto" w:sz="4" w:space="0"/>
              <w:left w:val="single" w:color="auto" w:sz="4" w:space="0"/>
              <w:bottom w:val="single" w:color="auto" w:sz="4" w:space="0"/>
            </w:tcBorders>
            <w:shd w:val="clear" w:color="auto" w:fill="FFFFFF"/>
            <w:noWrap w:val="0"/>
            <w:vAlign w:val="top"/>
          </w:tcPr>
          <w:p w14:paraId="79916F0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3.5 </w:t>
            </w:r>
          </w:p>
        </w:tc>
        <w:tc>
          <w:tcPr>
            <w:tcW w:w="802" w:type="dxa"/>
            <w:tcBorders>
              <w:top w:val="single" w:color="auto" w:sz="4" w:space="0"/>
              <w:left w:val="single" w:color="auto" w:sz="4" w:space="0"/>
              <w:bottom w:val="single" w:color="auto" w:sz="4" w:space="0"/>
            </w:tcBorders>
            <w:shd w:val="clear" w:color="auto" w:fill="FFFFFF"/>
            <w:noWrap w:val="0"/>
            <w:vAlign w:val="top"/>
          </w:tcPr>
          <w:p w14:paraId="5132B02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7.5 </w:t>
            </w:r>
          </w:p>
        </w:tc>
      </w:tr>
      <w:tr w14:paraId="49B63D21">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77C40DC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06 </w:t>
            </w:r>
          </w:p>
        </w:tc>
        <w:tc>
          <w:tcPr>
            <w:tcW w:w="773" w:type="dxa"/>
            <w:tcBorders>
              <w:top w:val="single" w:color="auto" w:sz="4" w:space="0"/>
              <w:left w:val="single" w:color="auto" w:sz="4" w:space="0"/>
              <w:bottom w:val="single" w:color="auto" w:sz="4" w:space="0"/>
            </w:tcBorders>
            <w:shd w:val="clear" w:color="auto" w:fill="FFFFFF"/>
            <w:noWrap w:val="0"/>
            <w:vAlign w:val="top"/>
          </w:tcPr>
          <w:p w14:paraId="510DCA7F">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2.9 </w:t>
            </w:r>
          </w:p>
        </w:tc>
        <w:tc>
          <w:tcPr>
            <w:tcW w:w="773" w:type="dxa"/>
            <w:tcBorders>
              <w:top w:val="single" w:color="auto" w:sz="4" w:space="0"/>
              <w:left w:val="single" w:color="auto" w:sz="4" w:space="0"/>
              <w:bottom w:val="single" w:color="auto" w:sz="4" w:space="0"/>
            </w:tcBorders>
            <w:shd w:val="clear" w:color="auto" w:fill="FFFFFF"/>
            <w:noWrap w:val="0"/>
            <w:vAlign w:val="top"/>
          </w:tcPr>
          <w:p w14:paraId="63438DFC">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3.7 </w:t>
            </w:r>
          </w:p>
        </w:tc>
        <w:tc>
          <w:tcPr>
            <w:tcW w:w="768" w:type="dxa"/>
            <w:tcBorders>
              <w:top w:val="single" w:color="auto" w:sz="4" w:space="0"/>
              <w:left w:val="single" w:color="auto" w:sz="4" w:space="0"/>
              <w:bottom w:val="single" w:color="auto" w:sz="4" w:space="0"/>
            </w:tcBorders>
            <w:shd w:val="clear" w:color="auto" w:fill="FFFFFF"/>
            <w:noWrap w:val="0"/>
            <w:vAlign w:val="top"/>
          </w:tcPr>
          <w:p w14:paraId="2BCEED4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3.8 </w:t>
            </w:r>
          </w:p>
        </w:tc>
        <w:tc>
          <w:tcPr>
            <w:tcW w:w="773" w:type="dxa"/>
            <w:tcBorders>
              <w:top w:val="single" w:color="auto" w:sz="4" w:space="0"/>
              <w:left w:val="single" w:color="auto" w:sz="4" w:space="0"/>
              <w:bottom w:val="single" w:color="auto" w:sz="4" w:space="0"/>
            </w:tcBorders>
            <w:shd w:val="clear" w:color="auto" w:fill="FFFFFF"/>
            <w:noWrap w:val="0"/>
            <w:vAlign w:val="top"/>
          </w:tcPr>
          <w:p w14:paraId="3CFEFD4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7.2 </w:t>
            </w:r>
          </w:p>
        </w:tc>
        <w:tc>
          <w:tcPr>
            <w:tcW w:w="773" w:type="dxa"/>
            <w:tcBorders>
              <w:top w:val="single" w:color="auto" w:sz="4" w:space="0"/>
              <w:left w:val="single" w:color="auto" w:sz="4" w:space="0"/>
              <w:bottom w:val="single" w:color="auto" w:sz="4" w:space="0"/>
            </w:tcBorders>
            <w:shd w:val="clear" w:color="auto" w:fill="FFFFFF"/>
            <w:noWrap w:val="0"/>
            <w:vAlign w:val="top"/>
          </w:tcPr>
          <w:p w14:paraId="4E1A63F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10.1 </w:t>
            </w:r>
          </w:p>
        </w:tc>
        <w:tc>
          <w:tcPr>
            <w:tcW w:w="773" w:type="dxa"/>
            <w:tcBorders>
              <w:top w:val="single" w:color="auto" w:sz="4" w:space="0"/>
              <w:left w:val="single" w:color="auto" w:sz="4" w:space="0"/>
              <w:bottom w:val="single" w:color="auto" w:sz="4" w:space="0"/>
            </w:tcBorders>
            <w:shd w:val="clear" w:color="auto" w:fill="FFFFFF"/>
            <w:noWrap w:val="0"/>
            <w:vAlign w:val="top"/>
          </w:tcPr>
          <w:p w14:paraId="784086B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11.7 </w:t>
            </w:r>
          </w:p>
        </w:tc>
        <w:tc>
          <w:tcPr>
            <w:tcW w:w="787" w:type="dxa"/>
            <w:tcBorders>
              <w:top w:val="single" w:color="auto" w:sz="4" w:space="0"/>
              <w:left w:val="single" w:color="auto" w:sz="4" w:space="0"/>
              <w:bottom w:val="single" w:color="auto" w:sz="4" w:space="0"/>
            </w:tcBorders>
            <w:shd w:val="clear" w:color="auto" w:fill="FFFFFF"/>
            <w:noWrap w:val="0"/>
            <w:vAlign w:val="top"/>
          </w:tcPr>
          <w:p w14:paraId="49C6FD8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12.6 </w:t>
            </w:r>
          </w:p>
        </w:tc>
        <w:tc>
          <w:tcPr>
            <w:tcW w:w="754" w:type="dxa"/>
            <w:tcBorders>
              <w:top w:val="single" w:color="auto" w:sz="4" w:space="0"/>
              <w:left w:val="single" w:color="auto" w:sz="4" w:space="0"/>
              <w:bottom w:val="single" w:color="auto" w:sz="4" w:space="0"/>
            </w:tcBorders>
            <w:shd w:val="clear" w:color="auto" w:fill="FFFFFF"/>
            <w:noWrap w:val="0"/>
            <w:vAlign w:val="top"/>
          </w:tcPr>
          <w:p w14:paraId="6E4343C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10.5 </w:t>
            </w:r>
          </w:p>
        </w:tc>
        <w:tc>
          <w:tcPr>
            <w:tcW w:w="773" w:type="dxa"/>
            <w:tcBorders>
              <w:top w:val="single" w:color="auto" w:sz="4" w:space="0"/>
              <w:left w:val="single" w:color="auto" w:sz="4" w:space="0"/>
              <w:bottom w:val="single" w:color="auto" w:sz="4" w:space="0"/>
            </w:tcBorders>
            <w:shd w:val="clear" w:color="auto" w:fill="FFFFFF"/>
            <w:noWrap w:val="0"/>
            <w:vAlign w:val="top"/>
          </w:tcPr>
          <w:p w14:paraId="437EC80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4.6 </w:t>
            </w:r>
          </w:p>
        </w:tc>
        <w:tc>
          <w:tcPr>
            <w:tcW w:w="773" w:type="dxa"/>
            <w:tcBorders>
              <w:top w:val="single" w:color="auto" w:sz="4" w:space="0"/>
              <w:left w:val="single" w:color="auto" w:sz="4" w:space="0"/>
              <w:bottom w:val="single" w:color="auto" w:sz="4" w:space="0"/>
            </w:tcBorders>
            <w:shd w:val="clear" w:color="auto" w:fill="FFFFFF"/>
            <w:noWrap w:val="0"/>
            <w:vAlign w:val="top"/>
          </w:tcPr>
          <w:p w14:paraId="7CB0F47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2.7 </w:t>
            </w:r>
          </w:p>
        </w:tc>
        <w:tc>
          <w:tcPr>
            <w:tcW w:w="773" w:type="dxa"/>
            <w:tcBorders>
              <w:top w:val="single" w:color="auto" w:sz="4" w:space="0"/>
              <w:left w:val="single" w:color="auto" w:sz="4" w:space="0"/>
              <w:bottom w:val="single" w:color="auto" w:sz="4" w:space="0"/>
            </w:tcBorders>
            <w:shd w:val="clear" w:color="auto" w:fill="FFFFFF"/>
            <w:noWrap w:val="0"/>
            <w:vAlign w:val="top"/>
          </w:tcPr>
          <w:p w14:paraId="5F80173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73" w:type="dxa"/>
            <w:tcBorders>
              <w:top w:val="single" w:color="auto" w:sz="4" w:space="0"/>
              <w:left w:val="single" w:color="auto" w:sz="4" w:space="0"/>
              <w:bottom w:val="single" w:color="auto" w:sz="4" w:space="0"/>
            </w:tcBorders>
            <w:shd w:val="clear" w:color="auto" w:fill="FFFFFF"/>
            <w:noWrap w:val="0"/>
            <w:vAlign w:val="top"/>
          </w:tcPr>
          <w:p w14:paraId="247B5D1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 </w:t>
            </w:r>
          </w:p>
        </w:tc>
        <w:tc>
          <w:tcPr>
            <w:tcW w:w="773" w:type="dxa"/>
            <w:tcBorders>
              <w:top w:val="single" w:color="auto" w:sz="4" w:space="0"/>
              <w:left w:val="single" w:color="auto" w:sz="4" w:space="0"/>
              <w:bottom w:val="single" w:color="auto" w:sz="4" w:space="0"/>
            </w:tcBorders>
            <w:shd w:val="clear" w:color="auto" w:fill="FFFFFF"/>
            <w:noWrap w:val="0"/>
            <w:vAlign w:val="top"/>
          </w:tcPr>
          <w:p w14:paraId="69ECAC4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4.6 </w:t>
            </w:r>
          </w:p>
        </w:tc>
        <w:tc>
          <w:tcPr>
            <w:tcW w:w="768" w:type="dxa"/>
            <w:tcBorders>
              <w:top w:val="single" w:color="auto" w:sz="4" w:space="0"/>
              <w:left w:val="single" w:color="auto" w:sz="4" w:space="0"/>
              <w:bottom w:val="single" w:color="auto" w:sz="4" w:space="0"/>
            </w:tcBorders>
            <w:shd w:val="clear" w:color="auto" w:fill="FFFFFF"/>
            <w:noWrap w:val="0"/>
            <w:vAlign w:val="top"/>
          </w:tcPr>
          <w:p w14:paraId="2C6D459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6.5 </w:t>
            </w:r>
          </w:p>
        </w:tc>
        <w:tc>
          <w:tcPr>
            <w:tcW w:w="773" w:type="dxa"/>
            <w:tcBorders>
              <w:top w:val="single" w:color="auto" w:sz="4" w:space="0"/>
              <w:left w:val="single" w:color="auto" w:sz="4" w:space="0"/>
              <w:bottom w:val="single" w:color="auto" w:sz="4" w:space="0"/>
            </w:tcBorders>
            <w:shd w:val="clear" w:color="auto" w:fill="FFFFFF"/>
            <w:noWrap w:val="0"/>
            <w:vAlign w:val="top"/>
          </w:tcPr>
          <w:p w14:paraId="4364462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4.6 </w:t>
            </w:r>
          </w:p>
        </w:tc>
        <w:tc>
          <w:tcPr>
            <w:tcW w:w="773" w:type="dxa"/>
            <w:tcBorders>
              <w:top w:val="single" w:color="auto" w:sz="4" w:space="0"/>
              <w:left w:val="single" w:color="auto" w:sz="4" w:space="0"/>
              <w:bottom w:val="single" w:color="auto" w:sz="4" w:space="0"/>
            </w:tcBorders>
            <w:shd w:val="clear" w:color="auto" w:fill="FFFFFF"/>
            <w:noWrap w:val="0"/>
            <w:vAlign w:val="top"/>
          </w:tcPr>
          <w:p w14:paraId="155FC56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3.5 </w:t>
            </w:r>
          </w:p>
        </w:tc>
        <w:tc>
          <w:tcPr>
            <w:tcW w:w="802" w:type="dxa"/>
            <w:tcBorders>
              <w:top w:val="single" w:color="auto" w:sz="4" w:space="0"/>
              <w:left w:val="single" w:color="auto" w:sz="4" w:space="0"/>
              <w:bottom w:val="single" w:color="auto" w:sz="4" w:space="0"/>
            </w:tcBorders>
            <w:shd w:val="clear" w:color="auto" w:fill="FFFFFF"/>
            <w:noWrap w:val="0"/>
            <w:vAlign w:val="top"/>
          </w:tcPr>
          <w:p w14:paraId="37758D9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7.3 </w:t>
            </w:r>
          </w:p>
        </w:tc>
      </w:tr>
      <w:tr w14:paraId="050B0A22">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72BAFFA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07 </w:t>
            </w:r>
          </w:p>
        </w:tc>
        <w:tc>
          <w:tcPr>
            <w:tcW w:w="773" w:type="dxa"/>
            <w:tcBorders>
              <w:top w:val="single" w:color="auto" w:sz="4" w:space="0"/>
              <w:left w:val="single" w:color="auto" w:sz="4" w:space="0"/>
              <w:bottom w:val="single" w:color="auto" w:sz="4" w:space="0"/>
            </w:tcBorders>
            <w:shd w:val="clear" w:color="auto" w:fill="FFFFFF"/>
            <w:noWrap w:val="0"/>
            <w:vAlign w:val="top"/>
          </w:tcPr>
          <w:p w14:paraId="75B4F2B6">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2.7 </w:t>
            </w:r>
          </w:p>
        </w:tc>
        <w:tc>
          <w:tcPr>
            <w:tcW w:w="773" w:type="dxa"/>
            <w:tcBorders>
              <w:top w:val="single" w:color="auto" w:sz="4" w:space="0"/>
              <w:left w:val="single" w:color="auto" w:sz="4" w:space="0"/>
              <w:bottom w:val="single" w:color="auto" w:sz="4" w:space="0"/>
            </w:tcBorders>
            <w:shd w:val="clear" w:color="auto" w:fill="FFFFFF"/>
            <w:noWrap w:val="0"/>
            <w:vAlign w:val="top"/>
          </w:tcPr>
          <w:p w14:paraId="151AACA9">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4.0 </w:t>
            </w:r>
          </w:p>
        </w:tc>
        <w:tc>
          <w:tcPr>
            <w:tcW w:w="768" w:type="dxa"/>
            <w:tcBorders>
              <w:top w:val="single" w:color="auto" w:sz="4" w:space="0"/>
              <w:left w:val="single" w:color="auto" w:sz="4" w:space="0"/>
              <w:bottom w:val="single" w:color="auto" w:sz="4" w:space="0"/>
            </w:tcBorders>
            <w:shd w:val="clear" w:color="auto" w:fill="FFFFFF"/>
            <w:noWrap w:val="0"/>
            <w:vAlign w:val="top"/>
          </w:tcPr>
          <w:p w14:paraId="7DB0D91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c>
          <w:tcPr>
            <w:tcW w:w="773" w:type="dxa"/>
            <w:tcBorders>
              <w:top w:val="single" w:color="auto" w:sz="4" w:space="0"/>
              <w:left w:val="single" w:color="auto" w:sz="4" w:space="0"/>
              <w:bottom w:val="single" w:color="auto" w:sz="4" w:space="0"/>
            </w:tcBorders>
            <w:shd w:val="clear" w:color="auto" w:fill="FFFFFF"/>
            <w:noWrap w:val="0"/>
            <w:vAlign w:val="top"/>
          </w:tcPr>
          <w:p w14:paraId="1C8A4FC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9.8 </w:t>
            </w:r>
          </w:p>
        </w:tc>
        <w:tc>
          <w:tcPr>
            <w:tcW w:w="773" w:type="dxa"/>
            <w:tcBorders>
              <w:top w:val="single" w:color="auto" w:sz="4" w:space="0"/>
              <w:left w:val="single" w:color="auto" w:sz="4" w:space="0"/>
              <w:bottom w:val="single" w:color="auto" w:sz="4" w:space="0"/>
            </w:tcBorders>
            <w:shd w:val="clear" w:color="auto" w:fill="FFFFFF"/>
            <w:noWrap w:val="0"/>
            <w:vAlign w:val="top"/>
          </w:tcPr>
          <w:p w14:paraId="5A98090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12.2 </w:t>
            </w:r>
          </w:p>
        </w:tc>
        <w:tc>
          <w:tcPr>
            <w:tcW w:w="773" w:type="dxa"/>
            <w:tcBorders>
              <w:top w:val="single" w:color="auto" w:sz="4" w:space="0"/>
              <w:left w:val="single" w:color="auto" w:sz="4" w:space="0"/>
              <w:bottom w:val="single" w:color="auto" w:sz="4" w:space="0"/>
            </w:tcBorders>
            <w:shd w:val="clear" w:color="auto" w:fill="FFFFFF"/>
            <w:noWrap w:val="0"/>
            <w:vAlign w:val="top"/>
          </w:tcPr>
          <w:p w14:paraId="7BEC52E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11.8 </w:t>
            </w:r>
          </w:p>
        </w:tc>
        <w:tc>
          <w:tcPr>
            <w:tcW w:w="787" w:type="dxa"/>
            <w:tcBorders>
              <w:top w:val="single" w:color="auto" w:sz="4" w:space="0"/>
              <w:left w:val="single" w:color="auto" w:sz="4" w:space="0"/>
              <w:bottom w:val="single" w:color="auto" w:sz="4" w:space="0"/>
            </w:tcBorders>
            <w:shd w:val="clear" w:color="auto" w:fill="FFFFFF"/>
            <w:noWrap w:val="0"/>
            <w:vAlign w:val="top"/>
          </w:tcPr>
          <w:p w14:paraId="2B83988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8.2 </w:t>
            </w:r>
          </w:p>
        </w:tc>
        <w:tc>
          <w:tcPr>
            <w:tcW w:w="754" w:type="dxa"/>
            <w:tcBorders>
              <w:top w:val="single" w:color="auto" w:sz="4" w:space="0"/>
              <w:left w:val="single" w:color="auto" w:sz="4" w:space="0"/>
              <w:bottom w:val="single" w:color="auto" w:sz="4" w:space="0"/>
            </w:tcBorders>
            <w:shd w:val="clear" w:color="auto" w:fill="FFFFFF"/>
            <w:noWrap w:val="0"/>
            <w:vAlign w:val="top"/>
          </w:tcPr>
          <w:p w14:paraId="3EF573D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7.1 </w:t>
            </w:r>
          </w:p>
        </w:tc>
        <w:tc>
          <w:tcPr>
            <w:tcW w:w="773" w:type="dxa"/>
            <w:tcBorders>
              <w:top w:val="single" w:color="auto" w:sz="4" w:space="0"/>
              <w:left w:val="single" w:color="auto" w:sz="4" w:space="0"/>
              <w:bottom w:val="single" w:color="auto" w:sz="4" w:space="0"/>
            </w:tcBorders>
            <w:shd w:val="clear" w:color="auto" w:fill="FFFFFF"/>
            <w:noWrap w:val="0"/>
            <w:vAlign w:val="top"/>
          </w:tcPr>
          <w:p w14:paraId="5DB0B08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3.5 </w:t>
            </w:r>
          </w:p>
        </w:tc>
        <w:tc>
          <w:tcPr>
            <w:tcW w:w="773" w:type="dxa"/>
            <w:tcBorders>
              <w:top w:val="single" w:color="auto" w:sz="4" w:space="0"/>
              <w:left w:val="single" w:color="auto" w:sz="4" w:space="0"/>
              <w:bottom w:val="single" w:color="auto" w:sz="4" w:space="0"/>
            </w:tcBorders>
            <w:shd w:val="clear" w:color="auto" w:fill="FFFFFF"/>
            <w:noWrap w:val="0"/>
            <w:vAlign w:val="top"/>
          </w:tcPr>
          <w:p w14:paraId="18AB188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2.6 </w:t>
            </w:r>
          </w:p>
        </w:tc>
        <w:tc>
          <w:tcPr>
            <w:tcW w:w="773" w:type="dxa"/>
            <w:tcBorders>
              <w:top w:val="single" w:color="auto" w:sz="4" w:space="0"/>
              <w:left w:val="single" w:color="auto" w:sz="4" w:space="0"/>
              <w:bottom w:val="single" w:color="auto" w:sz="4" w:space="0"/>
            </w:tcBorders>
            <w:shd w:val="clear" w:color="auto" w:fill="FFFFFF"/>
            <w:noWrap w:val="0"/>
            <w:vAlign w:val="top"/>
          </w:tcPr>
          <w:p w14:paraId="7AE67FA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1.9 </w:t>
            </w:r>
          </w:p>
        </w:tc>
        <w:tc>
          <w:tcPr>
            <w:tcW w:w="773" w:type="dxa"/>
            <w:tcBorders>
              <w:top w:val="single" w:color="auto" w:sz="4" w:space="0"/>
              <w:left w:val="single" w:color="auto" w:sz="4" w:space="0"/>
              <w:bottom w:val="single" w:color="auto" w:sz="4" w:space="0"/>
            </w:tcBorders>
            <w:shd w:val="clear" w:color="auto" w:fill="FFFFFF"/>
            <w:noWrap w:val="0"/>
            <w:vAlign w:val="top"/>
          </w:tcPr>
          <w:p w14:paraId="64786F7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1.9 </w:t>
            </w:r>
          </w:p>
        </w:tc>
        <w:tc>
          <w:tcPr>
            <w:tcW w:w="773" w:type="dxa"/>
            <w:tcBorders>
              <w:top w:val="single" w:color="auto" w:sz="4" w:space="0"/>
              <w:left w:val="single" w:color="auto" w:sz="4" w:space="0"/>
              <w:bottom w:val="single" w:color="auto" w:sz="4" w:space="0"/>
            </w:tcBorders>
            <w:shd w:val="clear" w:color="auto" w:fill="FFFFFF"/>
            <w:noWrap w:val="0"/>
            <w:vAlign w:val="top"/>
          </w:tcPr>
          <w:p w14:paraId="3158289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c>
          <w:tcPr>
            <w:tcW w:w="768" w:type="dxa"/>
            <w:tcBorders>
              <w:top w:val="single" w:color="auto" w:sz="4" w:space="0"/>
              <w:left w:val="single" w:color="auto" w:sz="4" w:space="0"/>
              <w:bottom w:val="single" w:color="auto" w:sz="4" w:space="0"/>
            </w:tcBorders>
            <w:shd w:val="clear" w:color="auto" w:fill="FFFFFF"/>
            <w:noWrap w:val="0"/>
            <w:vAlign w:val="top"/>
          </w:tcPr>
          <w:p w14:paraId="4245E98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8.6 </w:t>
            </w:r>
          </w:p>
        </w:tc>
        <w:tc>
          <w:tcPr>
            <w:tcW w:w="773" w:type="dxa"/>
            <w:tcBorders>
              <w:top w:val="single" w:color="auto" w:sz="4" w:space="0"/>
              <w:left w:val="single" w:color="auto" w:sz="4" w:space="0"/>
              <w:bottom w:val="single" w:color="auto" w:sz="4" w:space="0"/>
            </w:tcBorders>
            <w:shd w:val="clear" w:color="auto" w:fill="FFFFFF"/>
            <w:noWrap w:val="0"/>
            <w:vAlign w:val="top"/>
          </w:tcPr>
          <w:p w14:paraId="1EE7DCF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5.9 </w:t>
            </w:r>
          </w:p>
        </w:tc>
        <w:tc>
          <w:tcPr>
            <w:tcW w:w="773" w:type="dxa"/>
            <w:tcBorders>
              <w:top w:val="single" w:color="auto" w:sz="4" w:space="0"/>
              <w:left w:val="single" w:color="auto" w:sz="4" w:space="0"/>
              <w:bottom w:val="single" w:color="auto" w:sz="4" w:space="0"/>
            </w:tcBorders>
            <w:shd w:val="clear" w:color="auto" w:fill="FFFFFF"/>
            <w:noWrap w:val="0"/>
            <w:vAlign w:val="top"/>
          </w:tcPr>
          <w:p w14:paraId="0DAD1F9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4.4 </w:t>
            </w:r>
          </w:p>
        </w:tc>
        <w:tc>
          <w:tcPr>
            <w:tcW w:w="802" w:type="dxa"/>
            <w:tcBorders>
              <w:top w:val="single" w:color="auto" w:sz="4" w:space="0"/>
              <w:left w:val="single" w:color="auto" w:sz="4" w:space="0"/>
              <w:bottom w:val="single" w:color="auto" w:sz="4" w:space="0"/>
            </w:tcBorders>
            <w:shd w:val="clear" w:color="auto" w:fill="FFFFFF"/>
            <w:noWrap w:val="0"/>
            <w:vAlign w:val="top"/>
          </w:tcPr>
          <w:p w14:paraId="208BE22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r>
      <w:tr w14:paraId="22914469">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24AE38B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08 </w:t>
            </w:r>
          </w:p>
        </w:tc>
        <w:tc>
          <w:tcPr>
            <w:tcW w:w="773" w:type="dxa"/>
            <w:tcBorders>
              <w:top w:val="single" w:color="auto" w:sz="4" w:space="0"/>
              <w:left w:val="single" w:color="auto" w:sz="4" w:space="0"/>
              <w:bottom w:val="single" w:color="auto" w:sz="4" w:space="0"/>
            </w:tcBorders>
            <w:shd w:val="clear" w:color="auto" w:fill="FFFFFF"/>
            <w:noWrap w:val="0"/>
            <w:vAlign w:val="top"/>
          </w:tcPr>
          <w:p w14:paraId="3FB0B853">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4.1 </w:t>
            </w:r>
          </w:p>
        </w:tc>
        <w:tc>
          <w:tcPr>
            <w:tcW w:w="773" w:type="dxa"/>
            <w:tcBorders>
              <w:top w:val="single" w:color="auto" w:sz="4" w:space="0"/>
              <w:left w:val="single" w:color="auto" w:sz="4" w:space="0"/>
              <w:bottom w:val="single" w:color="auto" w:sz="4" w:space="0"/>
            </w:tcBorders>
            <w:shd w:val="clear" w:color="auto" w:fill="FFFFFF"/>
            <w:noWrap w:val="0"/>
            <w:vAlign w:val="top"/>
          </w:tcPr>
          <w:p w14:paraId="26BA4F2F">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3.7 </w:t>
            </w:r>
          </w:p>
        </w:tc>
        <w:tc>
          <w:tcPr>
            <w:tcW w:w="768" w:type="dxa"/>
            <w:tcBorders>
              <w:top w:val="single" w:color="auto" w:sz="4" w:space="0"/>
              <w:left w:val="single" w:color="auto" w:sz="4" w:space="0"/>
              <w:bottom w:val="single" w:color="auto" w:sz="4" w:space="0"/>
            </w:tcBorders>
            <w:shd w:val="clear" w:color="auto" w:fill="FFFFFF"/>
            <w:noWrap w:val="0"/>
            <w:vAlign w:val="top"/>
          </w:tcPr>
          <w:p w14:paraId="76B8A16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6.1 </w:t>
            </w:r>
          </w:p>
        </w:tc>
        <w:tc>
          <w:tcPr>
            <w:tcW w:w="773" w:type="dxa"/>
            <w:tcBorders>
              <w:top w:val="single" w:color="auto" w:sz="4" w:space="0"/>
              <w:left w:val="single" w:color="auto" w:sz="4" w:space="0"/>
              <w:bottom w:val="single" w:color="auto" w:sz="4" w:space="0"/>
            </w:tcBorders>
            <w:shd w:val="clear" w:color="auto" w:fill="FFFFFF"/>
            <w:noWrap w:val="0"/>
            <w:vAlign w:val="top"/>
          </w:tcPr>
          <w:p w14:paraId="5FF04BF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8.2 </w:t>
            </w:r>
          </w:p>
        </w:tc>
        <w:tc>
          <w:tcPr>
            <w:tcW w:w="773" w:type="dxa"/>
            <w:tcBorders>
              <w:top w:val="single" w:color="auto" w:sz="4" w:space="0"/>
              <w:left w:val="single" w:color="auto" w:sz="4" w:space="0"/>
              <w:bottom w:val="single" w:color="auto" w:sz="4" w:space="0"/>
            </w:tcBorders>
            <w:shd w:val="clear" w:color="auto" w:fill="FFFFFF"/>
            <w:noWrap w:val="0"/>
            <w:vAlign w:val="top"/>
          </w:tcPr>
          <w:p w14:paraId="5C8F4E3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11.9 </w:t>
            </w:r>
          </w:p>
        </w:tc>
        <w:tc>
          <w:tcPr>
            <w:tcW w:w="773" w:type="dxa"/>
            <w:tcBorders>
              <w:top w:val="single" w:color="auto" w:sz="4" w:space="0"/>
              <w:left w:val="single" w:color="auto" w:sz="4" w:space="0"/>
              <w:bottom w:val="single" w:color="auto" w:sz="4" w:space="0"/>
            </w:tcBorders>
            <w:shd w:val="clear" w:color="auto" w:fill="FFFFFF"/>
            <w:noWrap w:val="0"/>
            <w:vAlign w:val="top"/>
          </w:tcPr>
          <w:p w14:paraId="280F6F8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10.9 </w:t>
            </w:r>
          </w:p>
        </w:tc>
        <w:tc>
          <w:tcPr>
            <w:tcW w:w="787" w:type="dxa"/>
            <w:tcBorders>
              <w:top w:val="single" w:color="auto" w:sz="4" w:space="0"/>
              <w:left w:val="single" w:color="auto" w:sz="4" w:space="0"/>
              <w:bottom w:val="single" w:color="auto" w:sz="4" w:space="0"/>
            </w:tcBorders>
            <w:shd w:val="clear" w:color="auto" w:fill="FFFFFF"/>
            <w:noWrap w:val="0"/>
            <w:vAlign w:val="top"/>
          </w:tcPr>
          <w:p w14:paraId="62F39F3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7.8 </w:t>
            </w:r>
          </w:p>
        </w:tc>
        <w:tc>
          <w:tcPr>
            <w:tcW w:w="754" w:type="dxa"/>
            <w:tcBorders>
              <w:top w:val="single" w:color="auto" w:sz="4" w:space="0"/>
              <w:left w:val="single" w:color="auto" w:sz="4" w:space="0"/>
              <w:bottom w:val="single" w:color="auto" w:sz="4" w:space="0"/>
            </w:tcBorders>
            <w:shd w:val="clear" w:color="auto" w:fill="FFFFFF"/>
            <w:noWrap w:val="0"/>
            <w:vAlign w:val="top"/>
          </w:tcPr>
          <w:p w14:paraId="0F9FF60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6.4 </w:t>
            </w:r>
          </w:p>
        </w:tc>
        <w:tc>
          <w:tcPr>
            <w:tcW w:w="773" w:type="dxa"/>
            <w:tcBorders>
              <w:top w:val="single" w:color="auto" w:sz="4" w:space="0"/>
              <w:left w:val="single" w:color="auto" w:sz="4" w:space="0"/>
              <w:bottom w:val="single" w:color="auto" w:sz="4" w:space="0"/>
            </w:tcBorders>
            <w:shd w:val="clear" w:color="auto" w:fill="FFFFFF"/>
            <w:noWrap w:val="0"/>
            <w:vAlign w:val="top"/>
          </w:tcPr>
          <w:p w14:paraId="306A34A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2.5 </w:t>
            </w:r>
          </w:p>
        </w:tc>
        <w:tc>
          <w:tcPr>
            <w:tcW w:w="773" w:type="dxa"/>
            <w:tcBorders>
              <w:top w:val="single" w:color="auto" w:sz="4" w:space="0"/>
              <w:left w:val="single" w:color="auto" w:sz="4" w:space="0"/>
              <w:bottom w:val="single" w:color="auto" w:sz="4" w:space="0"/>
            </w:tcBorders>
            <w:shd w:val="clear" w:color="auto" w:fill="FFFFFF"/>
            <w:noWrap w:val="0"/>
            <w:vAlign w:val="top"/>
          </w:tcPr>
          <w:p w14:paraId="6FCD73D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1.7 </w:t>
            </w:r>
          </w:p>
        </w:tc>
        <w:tc>
          <w:tcPr>
            <w:tcW w:w="773" w:type="dxa"/>
            <w:tcBorders>
              <w:top w:val="single" w:color="auto" w:sz="4" w:space="0"/>
              <w:left w:val="single" w:color="auto" w:sz="4" w:space="0"/>
              <w:bottom w:val="single" w:color="auto" w:sz="4" w:space="0"/>
            </w:tcBorders>
            <w:shd w:val="clear" w:color="auto" w:fill="FFFFFF"/>
            <w:noWrap w:val="0"/>
            <w:vAlign w:val="top"/>
          </w:tcPr>
          <w:p w14:paraId="388504E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 </w:t>
            </w:r>
          </w:p>
        </w:tc>
        <w:tc>
          <w:tcPr>
            <w:tcW w:w="773" w:type="dxa"/>
            <w:tcBorders>
              <w:top w:val="single" w:color="auto" w:sz="4" w:space="0"/>
              <w:left w:val="single" w:color="auto" w:sz="4" w:space="0"/>
              <w:bottom w:val="single" w:color="auto" w:sz="4" w:space="0"/>
            </w:tcBorders>
            <w:shd w:val="clear" w:color="auto" w:fill="FFFFFF"/>
            <w:noWrap w:val="0"/>
            <w:vAlign w:val="top"/>
          </w:tcPr>
          <w:p w14:paraId="4127661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2.0 </w:t>
            </w:r>
          </w:p>
        </w:tc>
        <w:tc>
          <w:tcPr>
            <w:tcW w:w="773" w:type="dxa"/>
            <w:tcBorders>
              <w:top w:val="single" w:color="auto" w:sz="4" w:space="0"/>
              <w:left w:val="single" w:color="auto" w:sz="4" w:space="0"/>
              <w:bottom w:val="single" w:color="auto" w:sz="4" w:space="0"/>
            </w:tcBorders>
            <w:shd w:val="clear" w:color="auto" w:fill="FFFFFF"/>
            <w:noWrap w:val="0"/>
            <w:vAlign w:val="top"/>
          </w:tcPr>
          <w:p w14:paraId="363075C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5.7 </w:t>
            </w:r>
          </w:p>
        </w:tc>
        <w:tc>
          <w:tcPr>
            <w:tcW w:w="768" w:type="dxa"/>
            <w:tcBorders>
              <w:top w:val="single" w:color="auto" w:sz="4" w:space="0"/>
              <w:left w:val="single" w:color="auto" w:sz="4" w:space="0"/>
              <w:bottom w:val="single" w:color="auto" w:sz="4" w:space="0"/>
            </w:tcBorders>
            <w:shd w:val="clear" w:color="auto" w:fill="FFFFFF"/>
            <w:noWrap w:val="0"/>
            <w:vAlign w:val="top"/>
          </w:tcPr>
          <w:p w14:paraId="5DACAA8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11.6 </w:t>
            </w:r>
          </w:p>
        </w:tc>
        <w:tc>
          <w:tcPr>
            <w:tcW w:w="773" w:type="dxa"/>
            <w:tcBorders>
              <w:top w:val="single" w:color="auto" w:sz="4" w:space="0"/>
              <w:left w:val="single" w:color="auto" w:sz="4" w:space="0"/>
              <w:bottom w:val="single" w:color="auto" w:sz="4" w:space="0"/>
            </w:tcBorders>
            <w:shd w:val="clear" w:color="auto" w:fill="FFFFFF"/>
            <w:noWrap w:val="0"/>
            <w:vAlign w:val="top"/>
          </w:tcPr>
          <w:p w14:paraId="7DE881A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7.1 </w:t>
            </w:r>
          </w:p>
        </w:tc>
        <w:tc>
          <w:tcPr>
            <w:tcW w:w="773" w:type="dxa"/>
            <w:tcBorders>
              <w:top w:val="single" w:color="auto" w:sz="4" w:space="0"/>
              <w:left w:val="single" w:color="auto" w:sz="4" w:space="0"/>
              <w:bottom w:val="single" w:color="auto" w:sz="4" w:space="0"/>
            </w:tcBorders>
            <w:shd w:val="clear" w:color="auto" w:fill="FFFFFF"/>
            <w:noWrap w:val="0"/>
            <w:vAlign w:val="top"/>
          </w:tcPr>
          <w:p w14:paraId="5999D64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4.1 </w:t>
            </w:r>
          </w:p>
        </w:tc>
        <w:tc>
          <w:tcPr>
            <w:tcW w:w="802" w:type="dxa"/>
            <w:tcBorders>
              <w:top w:val="single" w:color="auto" w:sz="4" w:space="0"/>
              <w:left w:val="single" w:color="auto" w:sz="4" w:space="0"/>
              <w:bottom w:val="single" w:color="auto" w:sz="4" w:space="0"/>
            </w:tcBorders>
            <w:shd w:val="clear" w:color="auto" w:fill="FFFFFF"/>
            <w:noWrap w:val="0"/>
            <w:vAlign w:val="top"/>
          </w:tcPr>
          <w:p w14:paraId="1BB93F2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r>
      <w:tr w14:paraId="64721CE7">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03650DA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09 </w:t>
            </w:r>
          </w:p>
        </w:tc>
        <w:tc>
          <w:tcPr>
            <w:tcW w:w="773" w:type="dxa"/>
            <w:tcBorders>
              <w:top w:val="single" w:color="auto" w:sz="4" w:space="0"/>
              <w:left w:val="single" w:color="auto" w:sz="4" w:space="0"/>
              <w:bottom w:val="single" w:color="auto" w:sz="4" w:space="0"/>
            </w:tcBorders>
            <w:shd w:val="clear" w:color="auto" w:fill="FFFFFF"/>
            <w:noWrap w:val="0"/>
            <w:vAlign w:val="top"/>
          </w:tcPr>
          <w:p w14:paraId="268DD131">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3.5 </w:t>
            </w:r>
          </w:p>
        </w:tc>
        <w:tc>
          <w:tcPr>
            <w:tcW w:w="773" w:type="dxa"/>
            <w:tcBorders>
              <w:top w:val="single" w:color="auto" w:sz="4" w:space="0"/>
              <w:left w:val="single" w:color="auto" w:sz="4" w:space="0"/>
              <w:bottom w:val="single" w:color="auto" w:sz="4" w:space="0"/>
            </w:tcBorders>
            <w:shd w:val="clear" w:color="auto" w:fill="FFFFFF"/>
            <w:noWrap w:val="0"/>
            <w:vAlign w:val="top"/>
          </w:tcPr>
          <w:p w14:paraId="006C223A">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3.9 </w:t>
            </w:r>
          </w:p>
        </w:tc>
        <w:tc>
          <w:tcPr>
            <w:tcW w:w="768" w:type="dxa"/>
            <w:tcBorders>
              <w:top w:val="single" w:color="auto" w:sz="4" w:space="0"/>
              <w:left w:val="single" w:color="auto" w:sz="4" w:space="0"/>
              <w:bottom w:val="single" w:color="auto" w:sz="4" w:space="0"/>
            </w:tcBorders>
            <w:shd w:val="clear" w:color="auto" w:fill="FFFFFF"/>
            <w:noWrap w:val="0"/>
            <w:vAlign w:val="top"/>
          </w:tcPr>
          <w:p w14:paraId="07417A1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5.2 </w:t>
            </w:r>
          </w:p>
        </w:tc>
        <w:tc>
          <w:tcPr>
            <w:tcW w:w="773" w:type="dxa"/>
            <w:tcBorders>
              <w:top w:val="single" w:color="auto" w:sz="4" w:space="0"/>
              <w:left w:val="single" w:color="auto" w:sz="4" w:space="0"/>
              <w:bottom w:val="single" w:color="auto" w:sz="4" w:space="0"/>
            </w:tcBorders>
            <w:shd w:val="clear" w:color="auto" w:fill="FFFFFF"/>
            <w:noWrap w:val="0"/>
            <w:vAlign w:val="top"/>
          </w:tcPr>
          <w:p w14:paraId="12734FE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7.9 </w:t>
            </w:r>
          </w:p>
        </w:tc>
        <w:tc>
          <w:tcPr>
            <w:tcW w:w="773" w:type="dxa"/>
            <w:tcBorders>
              <w:top w:val="single" w:color="auto" w:sz="4" w:space="0"/>
              <w:left w:val="single" w:color="auto" w:sz="4" w:space="0"/>
              <w:bottom w:val="single" w:color="auto" w:sz="4" w:space="0"/>
            </w:tcBorders>
            <w:shd w:val="clear" w:color="auto" w:fill="FFFFFF"/>
            <w:noWrap w:val="0"/>
            <w:vAlign w:val="top"/>
          </w:tcPr>
          <w:p w14:paraId="313CDF8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11.4 </w:t>
            </w:r>
          </w:p>
        </w:tc>
        <w:tc>
          <w:tcPr>
            <w:tcW w:w="773" w:type="dxa"/>
            <w:tcBorders>
              <w:top w:val="single" w:color="auto" w:sz="4" w:space="0"/>
              <w:left w:val="single" w:color="auto" w:sz="4" w:space="0"/>
              <w:bottom w:val="single" w:color="auto" w:sz="4" w:space="0"/>
            </w:tcBorders>
            <w:shd w:val="clear" w:color="auto" w:fill="FFFFFF"/>
            <w:noWrap w:val="0"/>
            <w:vAlign w:val="top"/>
          </w:tcPr>
          <w:p w14:paraId="271BBC0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8.6 </w:t>
            </w:r>
          </w:p>
        </w:tc>
        <w:tc>
          <w:tcPr>
            <w:tcW w:w="787" w:type="dxa"/>
            <w:tcBorders>
              <w:top w:val="single" w:color="auto" w:sz="4" w:space="0"/>
              <w:left w:val="single" w:color="auto" w:sz="4" w:space="0"/>
              <w:bottom w:val="single" w:color="auto" w:sz="4" w:space="0"/>
            </w:tcBorders>
            <w:shd w:val="clear" w:color="auto" w:fill="FFFFFF"/>
            <w:noWrap w:val="0"/>
            <w:vAlign w:val="top"/>
          </w:tcPr>
          <w:p w14:paraId="406F425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8.3 </w:t>
            </w:r>
          </w:p>
        </w:tc>
        <w:tc>
          <w:tcPr>
            <w:tcW w:w="754" w:type="dxa"/>
            <w:tcBorders>
              <w:top w:val="single" w:color="auto" w:sz="4" w:space="0"/>
              <w:left w:val="single" w:color="auto" w:sz="4" w:space="0"/>
              <w:bottom w:val="single" w:color="auto" w:sz="4" w:space="0"/>
            </w:tcBorders>
            <w:shd w:val="clear" w:color="auto" w:fill="FFFFFF"/>
            <w:noWrap w:val="0"/>
            <w:vAlign w:val="top"/>
          </w:tcPr>
          <w:p w14:paraId="5A7C2BE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7.6 </w:t>
            </w:r>
          </w:p>
        </w:tc>
        <w:tc>
          <w:tcPr>
            <w:tcW w:w="773" w:type="dxa"/>
            <w:tcBorders>
              <w:top w:val="single" w:color="auto" w:sz="4" w:space="0"/>
              <w:left w:val="single" w:color="auto" w:sz="4" w:space="0"/>
              <w:bottom w:val="single" w:color="auto" w:sz="4" w:space="0"/>
            </w:tcBorders>
            <w:shd w:val="clear" w:color="auto" w:fill="FFFFFF"/>
            <w:noWrap w:val="0"/>
            <w:vAlign w:val="top"/>
          </w:tcPr>
          <w:p w14:paraId="326935B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2.4 </w:t>
            </w:r>
          </w:p>
        </w:tc>
        <w:tc>
          <w:tcPr>
            <w:tcW w:w="773" w:type="dxa"/>
            <w:tcBorders>
              <w:top w:val="single" w:color="auto" w:sz="4" w:space="0"/>
              <w:left w:val="single" w:color="auto" w:sz="4" w:space="0"/>
              <w:bottom w:val="single" w:color="auto" w:sz="4" w:space="0"/>
            </w:tcBorders>
            <w:shd w:val="clear" w:color="auto" w:fill="FFFFFF"/>
            <w:noWrap w:val="0"/>
            <w:vAlign w:val="top"/>
          </w:tcPr>
          <w:p w14:paraId="6015A87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1.4 </w:t>
            </w:r>
          </w:p>
        </w:tc>
        <w:tc>
          <w:tcPr>
            <w:tcW w:w="773" w:type="dxa"/>
            <w:tcBorders>
              <w:top w:val="single" w:color="auto" w:sz="4" w:space="0"/>
              <w:left w:val="single" w:color="auto" w:sz="4" w:space="0"/>
              <w:bottom w:val="single" w:color="auto" w:sz="4" w:space="0"/>
            </w:tcBorders>
            <w:shd w:val="clear" w:color="auto" w:fill="FFFFFF"/>
            <w:noWrap w:val="0"/>
            <w:vAlign w:val="top"/>
          </w:tcPr>
          <w:p w14:paraId="3806616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1.6 </w:t>
            </w:r>
          </w:p>
        </w:tc>
        <w:tc>
          <w:tcPr>
            <w:tcW w:w="773" w:type="dxa"/>
            <w:tcBorders>
              <w:top w:val="single" w:color="auto" w:sz="4" w:space="0"/>
              <w:left w:val="single" w:color="auto" w:sz="4" w:space="0"/>
              <w:bottom w:val="single" w:color="auto" w:sz="4" w:space="0"/>
            </w:tcBorders>
            <w:shd w:val="clear" w:color="auto" w:fill="FFFFFF"/>
            <w:noWrap w:val="0"/>
            <w:vAlign w:val="top"/>
          </w:tcPr>
          <w:p w14:paraId="7DD06B8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73" w:type="dxa"/>
            <w:tcBorders>
              <w:top w:val="single" w:color="auto" w:sz="4" w:space="0"/>
              <w:left w:val="single" w:color="auto" w:sz="4" w:space="0"/>
              <w:bottom w:val="single" w:color="auto" w:sz="4" w:space="0"/>
            </w:tcBorders>
            <w:shd w:val="clear" w:color="auto" w:fill="FFFFFF"/>
            <w:noWrap w:val="0"/>
            <w:vAlign w:val="top"/>
          </w:tcPr>
          <w:p w14:paraId="11AEE42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6.6 </w:t>
            </w:r>
          </w:p>
        </w:tc>
        <w:tc>
          <w:tcPr>
            <w:tcW w:w="768" w:type="dxa"/>
            <w:tcBorders>
              <w:top w:val="single" w:color="auto" w:sz="4" w:space="0"/>
              <w:left w:val="single" w:color="auto" w:sz="4" w:space="0"/>
              <w:bottom w:val="single" w:color="auto" w:sz="4" w:space="0"/>
            </w:tcBorders>
            <w:shd w:val="clear" w:color="auto" w:fill="FFFFFF"/>
            <w:noWrap w:val="0"/>
            <w:vAlign w:val="top"/>
          </w:tcPr>
          <w:p w14:paraId="5835515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12.3 </w:t>
            </w:r>
          </w:p>
        </w:tc>
        <w:tc>
          <w:tcPr>
            <w:tcW w:w="773" w:type="dxa"/>
            <w:tcBorders>
              <w:top w:val="single" w:color="auto" w:sz="4" w:space="0"/>
              <w:left w:val="single" w:color="auto" w:sz="4" w:space="0"/>
              <w:bottom w:val="single" w:color="auto" w:sz="4" w:space="0"/>
            </w:tcBorders>
            <w:shd w:val="clear" w:color="auto" w:fill="FFFFFF"/>
            <w:noWrap w:val="0"/>
            <w:vAlign w:val="top"/>
          </w:tcPr>
          <w:p w14:paraId="062C8AA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7.6 </w:t>
            </w:r>
          </w:p>
        </w:tc>
        <w:tc>
          <w:tcPr>
            <w:tcW w:w="773" w:type="dxa"/>
            <w:tcBorders>
              <w:top w:val="single" w:color="auto" w:sz="4" w:space="0"/>
              <w:left w:val="single" w:color="auto" w:sz="4" w:space="0"/>
              <w:bottom w:val="single" w:color="auto" w:sz="4" w:space="0"/>
            </w:tcBorders>
            <w:shd w:val="clear" w:color="auto" w:fill="FFFFFF"/>
            <w:noWrap w:val="0"/>
            <w:vAlign w:val="top"/>
          </w:tcPr>
          <w:p w14:paraId="7840681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4.8 </w:t>
            </w:r>
          </w:p>
        </w:tc>
        <w:tc>
          <w:tcPr>
            <w:tcW w:w="802" w:type="dxa"/>
            <w:tcBorders>
              <w:top w:val="single" w:color="auto" w:sz="4" w:space="0"/>
              <w:left w:val="single" w:color="auto" w:sz="4" w:space="0"/>
              <w:bottom w:val="single" w:color="auto" w:sz="4" w:space="0"/>
            </w:tcBorders>
            <w:shd w:val="clear" w:color="auto" w:fill="FFFFFF"/>
            <w:noWrap w:val="0"/>
            <w:vAlign w:val="top"/>
          </w:tcPr>
          <w:p w14:paraId="643ACB9B">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4.8 </w:t>
            </w:r>
          </w:p>
        </w:tc>
      </w:tr>
      <w:tr w14:paraId="333668C1">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023C094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 </w:t>
            </w:r>
          </w:p>
        </w:tc>
        <w:tc>
          <w:tcPr>
            <w:tcW w:w="773" w:type="dxa"/>
            <w:tcBorders>
              <w:top w:val="single" w:color="auto" w:sz="4" w:space="0"/>
              <w:left w:val="single" w:color="auto" w:sz="4" w:space="0"/>
              <w:bottom w:val="single" w:color="auto" w:sz="4" w:space="0"/>
            </w:tcBorders>
            <w:shd w:val="clear" w:color="auto" w:fill="FFFFFF"/>
            <w:noWrap w:val="0"/>
            <w:vAlign w:val="top"/>
          </w:tcPr>
          <w:p w14:paraId="3B7C4DAD">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4.4 </w:t>
            </w:r>
          </w:p>
        </w:tc>
        <w:tc>
          <w:tcPr>
            <w:tcW w:w="773" w:type="dxa"/>
            <w:tcBorders>
              <w:top w:val="single" w:color="auto" w:sz="4" w:space="0"/>
              <w:left w:val="single" w:color="auto" w:sz="4" w:space="0"/>
              <w:bottom w:val="single" w:color="auto" w:sz="4" w:space="0"/>
            </w:tcBorders>
            <w:shd w:val="clear" w:color="auto" w:fill="FFFFFF"/>
            <w:noWrap w:val="0"/>
            <w:vAlign w:val="top"/>
          </w:tcPr>
          <w:p w14:paraId="4E89F1C9">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3.8 </w:t>
            </w:r>
          </w:p>
        </w:tc>
        <w:tc>
          <w:tcPr>
            <w:tcW w:w="768" w:type="dxa"/>
            <w:tcBorders>
              <w:top w:val="single" w:color="auto" w:sz="4" w:space="0"/>
              <w:left w:val="single" w:color="auto" w:sz="4" w:space="0"/>
              <w:bottom w:val="single" w:color="auto" w:sz="4" w:space="0"/>
            </w:tcBorders>
            <w:shd w:val="clear" w:color="auto" w:fill="FFFFFF"/>
            <w:noWrap w:val="0"/>
            <w:vAlign w:val="top"/>
          </w:tcPr>
          <w:p w14:paraId="7BF703A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5.1 </w:t>
            </w:r>
          </w:p>
        </w:tc>
        <w:tc>
          <w:tcPr>
            <w:tcW w:w="773" w:type="dxa"/>
            <w:tcBorders>
              <w:top w:val="single" w:color="auto" w:sz="4" w:space="0"/>
              <w:left w:val="single" w:color="auto" w:sz="4" w:space="0"/>
              <w:bottom w:val="single" w:color="auto" w:sz="4" w:space="0"/>
            </w:tcBorders>
            <w:shd w:val="clear" w:color="auto" w:fill="FFFFFF"/>
            <w:noWrap w:val="0"/>
            <w:vAlign w:val="top"/>
          </w:tcPr>
          <w:p w14:paraId="4EAC2270">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7.3 </w:t>
            </w:r>
          </w:p>
        </w:tc>
        <w:tc>
          <w:tcPr>
            <w:tcW w:w="773" w:type="dxa"/>
            <w:tcBorders>
              <w:top w:val="single" w:color="auto" w:sz="4" w:space="0"/>
              <w:left w:val="single" w:color="auto" w:sz="4" w:space="0"/>
              <w:bottom w:val="single" w:color="auto" w:sz="4" w:space="0"/>
            </w:tcBorders>
            <w:shd w:val="clear" w:color="auto" w:fill="FFFFFF"/>
            <w:noWrap w:val="0"/>
            <w:vAlign w:val="top"/>
          </w:tcPr>
          <w:p w14:paraId="3DCCB10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11.5 </w:t>
            </w:r>
          </w:p>
        </w:tc>
        <w:tc>
          <w:tcPr>
            <w:tcW w:w="773" w:type="dxa"/>
            <w:tcBorders>
              <w:top w:val="single" w:color="auto" w:sz="4" w:space="0"/>
              <w:left w:val="single" w:color="auto" w:sz="4" w:space="0"/>
              <w:bottom w:val="single" w:color="auto" w:sz="4" w:space="0"/>
            </w:tcBorders>
            <w:shd w:val="clear" w:color="auto" w:fill="FFFFFF"/>
            <w:noWrap w:val="0"/>
            <w:vAlign w:val="top"/>
          </w:tcPr>
          <w:p w14:paraId="4DCD2F8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10.5 </w:t>
            </w:r>
          </w:p>
        </w:tc>
        <w:tc>
          <w:tcPr>
            <w:tcW w:w="787" w:type="dxa"/>
            <w:tcBorders>
              <w:top w:val="single" w:color="auto" w:sz="4" w:space="0"/>
              <w:left w:val="single" w:color="auto" w:sz="4" w:space="0"/>
              <w:bottom w:val="single" w:color="auto" w:sz="4" w:space="0"/>
            </w:tcBorders>
            <w:shd w:val="clear" w:color="auto" w:fill="FFFFFF"/>
            <w:noWrap w:val="0"/>
            <w:vAlign w:val="top"/>
          </w:tcPr>
          <w:p w14:paraId="39A08A5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8.1 </w:t>
            </w:r>
          </w:p>
        </w:tc>
        <w:tc>
          <w:tcPr>
            <w:tcW w:w="754" w:type="dxa"/>
            <w:tcBorders>
              <w:top w:val="single" w:color="auto" w:sz="4" w:space="0"/>
              <w:left w:val="single" w:color="auto" w:sz="4" w:space="0"/>
              <w:bottom w:val="single" w:color="auto" w:sz="4" w:space="0"/>
            </w:tcBorders>
            <w:shd w:val="clear" w:color="auto" w:fill="FFFFFF"/>
            <w:noWrap w:val="0"/>
            <w:vAlign w:val="top"/>
          </w:tcPr>
          <w:p w14:paraId="69ACA8A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7.0 </w:t>
            </w:r>
          </w:p>
        </w:tc>
        <w:tc>
          <w:tcPr>
            <w:tcW w:w="773" w:type="dxa"/>
            <w:tcBorders>
              <w:top w:val="single" w:color="auto" w:sz="4" w:space="0"/>
              <w:left w:val="single" w:color="auto" w:sz="4" w:space="0"/>
              <w:bottom w:val="single" w:color="auto" w:sz="4" w:space="0"/>
            </w:tcBorders>
            <w:shd w:val="clear" w:color="auto" w:fill="FFFFFF"/>
            <w:noWrap w:val="0"/>
            <w:vAlign w:val="top"/>
          </w:tcPr>
          <w:p w14:paraId="5CD0F58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2.9 </w:t>
            </w:r>
          </w:p>
        </w:tc>
        <w:tc>
          <w:tcPr>
            <w:tcW w:w="773" w:type="dxa"/>
            <w:tcBorders>
              <w:top w:val="single" w:color="auto" w:sz="4" w:space="0"/>
              <w:left w:val="single" w:color="auto" w:sz="4" w:space="0"/>
              <w:bottom w:val="single" w:color="auto" w:sz="4" w:space="0"/>
            </w:tcBorders>
            <w:shd w:val="clear" w:color="auto" w:fill="FFFFFF"/>
            <w:noWrap w:val="0"/>
            <w:vAlign w:val="top"/>
          </w:tcPr>
          <w:p w14:paraId="316D8C0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1.3 </w:t>
            </w:r>
          </w:p>
        </w:tc>
        <w:tc>
          <w:tcPr>
            <w:tcW w:w="773" w:type="dxa"/>
            <w:tcBorders>
              <w:top w:val="single" w:color="auto" w:sz="4" w:space="0"/>
              <w:left w:val="single" w:color="auto" w:sz="4" w:space="0"/>
              <w:bottom w:val="single" w:color="auto" w:sz="4" w:space="0"/>
            </w:tcBorders>
            <w:shd w:val="clear" w:color="auto" w:fill="FFFFFF"/>
            <w:noWrap w:val="0"/>
            <w:vAlign w:val="top"/>
          </w:tcPr>
          <w:p w14:paraId="327CFF0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1.6 </w:t>
            </w:r>
          </w:p>
        </w:tc>
        <w:tc>
          <w:tcPr>
            <w:tcW w:w="773" w:type="dxa"/>
            <w:tcBorders>
              <w:top w:val="single" w:color="auto" w:sz="4" w:space="0"/>
              <w:left w:val="single" w:color="auto" w:sz="4" w:space="0"/>
              <w:bottom w:val="single" w:color="auto" w:sz="4" w:space="0"/>
            </w:tcBorders>
            <w:shd w:val="clear" w:color="auto" w:fill="FFFFFF"/>
            <w:noWrap w:val="0"/>
            <w:vAlign w:val="top"/>
          </w:tcPr>
          <w:p w14:paraId="4E4F449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1.9 </w:t>
            </w:r>
          </w:p>
        </w:tc>
        <w:tc>
          <w:tcPr>
            <w:tcW w:w="773" w:type="dxa"/>
            <w:tcBorders>
              <w:top w:val="single" w:color="auto" w:sz="4" w:space="0"/>
              <w:left w:val="single" w:color="auto" w:sz="4" w:space="0"/>
              <w:bottom w:val="single" w:color="auto" w:sz="4" w:space="0"/>
            </w:tcBorders>
            <w:shd w:val="clear" w:color="auto" w:fill="FFFFFF"/>
            <w:noWrap w:val="0"/>
            <w:vAlign w:val="top"/>
          </w:tcPr>
          <w:p w14:paraId="08F4A3B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7.9 </w:t>
            </w:r>
          </w:p>
        </w:tc>
        <w:tc>
          <w:tcPr>
            <w:tcW w:w="768" w:type="dxa"/>
            <w:tcBorders>
              <w:top w:val="single" w:color="auto" w:sz="4" w:space="0"/>
              <w:left w:val="single" w:color="auto" w:sz="4" w:space="0"/>
              <w:bottom w:val="single" w:color="auto" w:sz="4" w:space="0"/>
            </w:tcBorders>
            <w:shd w:val="clear" w:color="auto" w:fill="FFFFFF"/>
            <w:noWrap w:val="0"/>
            <w:vAlign w:val="top"/>
          </w:tcPr>
          <w:p w14:paraId="646E07A6">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12.0 </w:t>
            </w:r>
          </w:p>
        </w:tc>
        <w:tc>
          <w:tcPr>
            <w:tcW w:w="773" w:type="dxa"/>
            <w:tcBorders>
              <w:top w:val="single" w:color="auto" w:sz="4" w:space="0"/>
              <w:left w:val="single" w:color="auto" w:sz="4" w:space="0"/>
              <w:bottom w:val="single" w:color="auto" w:sz="4" w:space="0"/>
            </w:tcBorders>
            <w:shd w:val="clear" w:color="auto" w:fill="FFFFFF"/>
            <w:noWrap w:val="0"/>
            <w:vAlign w:val="top"/>
          </w:tcPr>
          <w:p w14:paraId="1FBF3253">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8.1 </w:t>
            </w:r>
          </w:p>
        </w:tc>
        <w:tc>
          <w:tcPr>
            <w:tcW w:w="773" w:type="dxa"/>
            <w:tcBorders>
              <w:top w:val="single" w:color="auto" w:sz="4" w:space="0"/>
              <w:left w:val="single" w:color="auto" w:sz="4" w:space="0"/>
              <w:bottom w:val="single" w:color="auto" w:sz="4" w:space="0"/>
            </w:tcBorders>
            <w:shd w:val="clear" w:color="auto" w:fill="FFFFFF"/>
            <w:noWrap w:val="0"/>
            <w:vAlign w:val="top"/>
          </w:tcPr>
          <w:p w14:paraId="3F1F19B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3.6 </w:t>
            </w:r>
          </w:p>
        </w:tc>
        <w:tc>
          <w:tcPr>
            <w:tcW w:w="802" w:type="dxa"/>
            <w:tcBorders>
              <w:top w:val="single" w:color="auto" w:sz="4" w:space="0"/>
              <w:left w:val="single" w:color="auto" w:sz="4" w:space="0"/>
              <w:bottom w:val="single" w:color="auto" w:sz="4" w:space="0"/>
            </w:tcBorders>
            <w:shd w:val="clear" w:color="auto" w:fill="FFFFFF"/>
            <w:noWrap w:val="0"/>
            <w:vAlign w:val="top"/>
          </w:tcPr>
          <w:p w14:paraId="3B323DA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3.2 </w:t>
            </w:r>
          </w:p>
        </w:tc>
      </w:tr>
      <w:tr w14:paraId="5959CF5D">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74A7BC7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 </w:t>
            </w:r>
          </w:p>
        </w:tc>
        <w:tc>
          <w:tcPr>
            <w:tcW w:w="773" w:type="dxa"/>
            <w:tcBorders>
              <w:top w:val="single" w:color="auto" w:sz="4" w:space="0"/>
              <w:left w:val="single" w:color="auto" w:sz="4" w:space="0"/>
              <w:bottom w:val="single" w:color="auto" w:sz="4" w:space="0"/>
            </w:tcBorders>
            <w:shd w:val="clear" w:color="auto" w:fill="FFFFFF"/>
            <w:noWrap w:val="0"/>
            <w:vAlign w:val="top"/>
          </w:tcPr>
          <w:p w14:paraId="002177A6">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3.1 </w:t>
            </w:r>
          </w:p>
        </w:tc>
        <w:tc>
          <w:tcPr>
            <w:tcW w:w="773" w:type="dxa"/>
            <w:tcBorders>
              <w:top w:val="single" w:color="auto" w:sz="4" w:space="0"/>
              <w:left w:val="single" w:color="auto" w:sz="4" w:space="0"/>
              <w:bottom w:val="single" w:color="auto" w:sz="4" w:space="0"/>
            </w:tcBorders>
            <w:shd w:val="clear" w:color="auto" w:fill="FFFFFF"/>
            <w:noWrap w:val="0"/>
            <w:vAlign w:val="top"/>
          </w:tcPr>
          <w:p w14:paraId="0810C911">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2.9 </w:t>
            </w:r>
          </w:p>
        </w:tc>
        <w:tc>
          <w:tcPr>
            <w:tcW w:w="768" w:type="dxa"/>
            <w:tcBorders>
              <w:top w:val="single" w:color="auto" w:sz="4" w:space="0"/>
              <w:left w:val="single" w:color="auto" w:sz="4" w:space="0"/>
              <w:bottom w:val="single" w:color="auto" w:sz="4" w:space="0"/>
            </w:tcBorders>
            <w:shd w:val="clear" w:color="auto" w:fill="FFFFFF"/>
            <w:noWrap w:val="0"/>
            <w:vAlign w:val="top"/>
          </w:tcPr>
          <w:p w14:paraId="10547FF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3.1 </w:t>
            </w:r>
          </w:p>
        </w:tc>
        <w:tc>
          <w:tcPr>
            <w:tcW w:w="773" w:type="dxa"/>
            <w:tcBorders>
              <w:top w:val="single" w:color="auto" w:sz="4" w:space="0"/>
              <w:left w:val="single" w:color="auto" w:sz="4" w:space="0"/>
              <w:bottom w:val="single" w:color="auto" w:sz="4" w:space="0"/>
            </w:tcBorders>
            <w:shd w:val="clear" w:color="auto" w:fill="FFFFFF"/>
            <w:noWrap w:val="0"/>
            <w:vAlign w:val="top"/>
          </w:tcPr>
          <w:p w14:paraId="7CC15A2D">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6.4 </w:t>
            </w:r>
          </w:p>
        </w:tc>
        <w:tc>
          <w:tcPr>
            <w:tcW w:w="773" w:type="dxa"/>
            <w:tcBorders>
              <w:top w:val="single" w:color="auto" w:sz="4" w:space="0"/>
              <w:left w:val="single" w:color="auto" w:sz="4" w:space="0"/>
              <w:bottom w:val="single" w:color="auto" w:sz="4" w:space="0"/>
            </w:tcBorders>
            <w:shd w:val="clear" w:color="auto" w:fill="FFFFFF"/>
            <w:noWrap w:val="0"/>
            <w:vAlign w:val="top"/>
          </w:tcPr>
          <w:p w14:paraId="19FDAE3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9.2 </w:t>
            </w:r>
          </w:p>
        </w:tc>
        <w:tc>
          <w:tcPr>
            <w:tcW w:w="773" w:type="dxa"/>
            <w:tcBorders>
              <w:top w:val="single" w:color="auto" w:sz="4" w:space="0"/>
              <w:left w:val="single" w:color="auto" w:sz="4" w:space="0"/>
              <w:bottom w:val="single" w:color="auto" w:sz="4" w:space="0"/>
            </w:tcBorders>
            <w:shd w:val="clear" w:color="auto" w:fill="FFFFFF"/>
            <w:noWrap w:val="0"/>
            <w:vAlign w:val="top"/>
          </w:tcPr>
          <w:p w14:paraId="66A4599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8.0 </w:t>
            </w:r>
          </w:p>
        </w:tc>
        <w:tc>
          <w:tcPr>
            <w:tcW w:w="787" w:type="dxa"/>
            <w:tcBorders>
              <w:top w:val="single" w:color="auto" w:sz="4" w:space="0"/>
              <w:left w:val="single" w:color="auto" w:sz="4" w:space="0"/>
              <w:bottom w:val="single" w:color="auto" w:sz="4" w:space="0"/>
            </w:tcBorders>
            <w:shd w:val="clear" w:color="auto" w:fill="FFFFFF"/>
            <w:noWrap w:val="0"/>
            <w:vAlign w:val="top"/>
          </w:tcPr>
          <w:p w14:paraId="319F569A">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7.3 </w:t>
            </w:r>
          </w:p>
        </w:tc>
        <w:tc>
          <w:tcPr>
            <w:tcW w:w="754" w:type="dxa"/>
            <w:tcBorders>
              <w:top w:val="single" w:color="auto" w:sz="4" w:space="0"/>
              <w:left w:val="single" w:color="auto" w:sz="4" w:space="0"/>
              <w:bottom w:val="single" w:color="auto" w:sz="4" w:space="0"/>
            </w:tcBorders>
            <w:shd w:val="clear" w:color="auto" w:fill="FFFFFF"/>
            <w:noWrap w:val="0"/>
            <w:vAlign w:val="top"/>
          </w:tcPr>
          <w:p w14:paraId="12BD79E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7.1 </w:t>
            </w:r>
          </w:p>
        </w:tc>
        <w:tc>
          <w:tcPr>
            <w:tcW w:w="773" w:type="dxa"/>
            <w:tcBorders>
              <w:top w:val="single" w:color="auto" w:sz="4" w:space="0"/>
              <w:left w:val="single" w:color="auto" w:sz="4" w:space="0"/>
              <w:bottom w:val="single" w:color="auto" w:sz="4" w:space="0"/>
            </w:tcBorders>
            <w:shd w:val="clear" w:color="auto" w:fill="FFFFFF"/>
            <w:noWrap w:val="0"/>
            <w:vAlign w:val="top"/>
          </w:tcPr>
          <w:p w14:paraId="37CC6A2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3.9 </w:t>
            </w:r>
          </w:p>
        </w:tc>
        <w:tc>
          <w:tcPr>
            <w:tcW w:w="773" w:type="dxa"/>
            <w:tcBorders>
              <w:top w:val="single" w:color="auto" w:sz="4" w:space="0"/>
              <w:left w:val="single" w:color="auto" w:sz="4" w:space="0"/>
              <w:bottom w:val="single" w:color="auto" w:sz="4" w:space="0"/>
            </w:tcBorders>
            <w:shd w:val="clear" w:color="auto" w:fill="FFFFFF"/>
            <w:noWrap w:val="0"/>
            <w:vAlign w:val="top"/>
          </w:tcPr>
          <w:p w14:paraId="7CD9618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1.1 </w:t>
            </w:r>
          </w:p>
        </w:tc>
        <w:tc>
          <w:tcPr>
            <w:tcW w:w="773" w:type="dxa"/>
            <w:tcBorders>
              <w:top w:val="single" w:color="auto" w:sz="4" w:space="0"/>
              <w:left w:val="single" w:color="auto" w:sz="4" w:space="0"/>
              <w:bottom w:val="single" w:color="auto" w:sz="4" w:space="0"/>
            </w:tcBorders>
            <w:shd w:val="clear" w:color="auto" w:fill="FFFFFF"/>
            <w:noWrap w:val="0"/>
            <w:vAlign w:val="top"/>
          </w:tcPr>
          <w:p w14:paraId="38E2D61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 </w:t>
            </w:r>
          </w:p>
        </w:tc>
        <w:tc>
          <w:tcPr>
            <w:tcW w:w="773" w:type="dxa"/>
            <w:tcBorders>
              <w:top w:val="single" w:color="auto" w:sz="4" w:space="0"/>
              <w:left w:val="single" w:color="auto" w:sz="4" w:space="0"/>
              <w:bottom w:val="single" w:color="auto" w:sz="4" w:space="0"/>
            </w:tcBorders>
            <w:shd w:val="clear" w:color="auto" w:fill="FFFFFF"/>
            <w:noWrap w:val="0"/>
            <w:vAlign w:val="top"/>
          </w:tcPr>
          <w:p w14:paraId="495AE0D5">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1.7 </w:t>
            </w:r>
          </w:p>
        </w:tc>
        <w:tc>
          <w:tcPr>
            <w:tcW w:w="773" w:type="dxa"/>
            <w:tcBorders>
              <w:top w:val="single" w:color="auto" w:sz="4" w:space="0"/>
              <w:left w:val="single" w:color="auto" w:sz="4" w:space="0"/>
              <w:bottom w:val="single" w:color="auto" w:sz="4" w:space="0"/>
            </w:tcBorders>
            <w:shd w:val="clear" w:color="auto" w:fill="FFFFFF"/>
            <w:noWrap w:val="0"/>
            <w:vAlign w:val="top"/>
          </w:tcPr>
          <w:p w14:paraId="799E088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8.4 </w:t>
            </w:r>
          </w:p>
        </w:tc>
        <w:tc>
          <w:tcPr>
            <w:tcW w:w="768" w:type="dxa"/>
            <w:tcBorders>
              <w:top w:val="single" w:color="auto" w:sz="4" w:space="0"/>
              <w:left w:val="single" w:color="auto" w:sz="4" w:space="0"/>
              <w:bottom w:val="single" w:color="auto" w:sz="4" w:space="0"/>
            </w:tcBorders>
            <w:shd w:val="clear" w:color="auto" w:fill="FFFFFF"/>
            <w:noWrap w:val="0"/>
            <w:vAlign w:val="top"/>
          </w:tcPr>
          <w:p w14:paraId="0ECEA55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18.5 </w:t>
            </w:r>
          </w:p>
        </w:tc>
        <w:tc>
          <w:tcPr>
            <w:tcW w:w="773" w:type="dxa"/>
            <w:tcBorders>
              <w:top w:val="single" w:color="auto" w:sz="4" w:space="0"/>
              <w:left w:val="single" w:color="auto" w:sz="4" w:space="0"/>
              <w:bottom w:val="single" w:color="auto" w:sz="4" w:space="0"/>
            </w:tcBorders>
            <w:shd w:val="clear" w:color="auto" w:fill="FFFFFF"/>
            <w:noWrap w:val="0"/>
            <w:vAlign w:val="top"/>
          </w:tcPr>
          <w:p w14:paraId="13A99DD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9.9 </w:t>
            </w:r>
          </w:p>
        </w:tc>
        <w:tc>
          <w:tcPr>
            <w:tcW w:w="773" w:type="dxa"/>
            <w:tcBorders>
              <w:top w:val="single" w:color="auto" w:sz="4" w:space="0"/>
              <w:left w:val="single" w:color="auto" w:sz="4" w:space="0"/>
              <w:bottom w:val="single" w:color="auto" w:sz="4" w:space="0"/>
            </w:tcBorders>
            <w:shd w:val="clear" w:color="auto" w:fill="FFFFFF"/>
            <w:noWrap w:val="0"/>
            <w:vAlign w:val="top"/>
          </w:tcPr>
          <w:p w14:paraId="1C376328">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3.2 </w:t>
            </w:r>
          </w:p>
        </w:tc>
        <w:tc>
          <w:tcPr>
            <w:tcW w:w="802" w:type="dxa"/>
            <w:tcBorders>
              <w:top w:val="single" w:color="auto" w:sz="4" w:space="0"/>
              <w:left w:val="single" w:color="auto" w:sz="4" w:space="0"/>
              <w:bottom w:val="single" w:color="auto" w:sz="4" w:space="0"/>
            </w:tcBorders>
            <w:shd w:val="clear" w:color="auto" w:fill="FFFFFF"/>
            <w:noWrap w:val="0"/>
            <w:vAlign w:val="top"/>
          </w:tcPr>
          <w:p w14:paraId="49C0F169">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4.4 </w:t>
            </w:r>
          </w:p>
        </w:tc>
      </w:tr>
      <w:tr w14:paraId="29207F3F">
        <w:tblPrEx>
          <w:tblCellMar>
            <w:top w:w="0" w:type="dxa"/>
            <w:left w:w="10" w:type="dxa"/>
            <w:bottom w:w="0" w:type="dxa"/>
            <w:right w:w="10" w:type="dxa"/>
          </w:tblCellMar>
        </w:tblPrEx>
        <w:trPr>
          <w:trHeight w:val="454" w:hRule="exact"/>
          <w:jc w:val="center"/>
        </w:trPr>
        <w:tc>
          <w:tcPr>
            <w:tcW w:w="1123" w:type="dxa"/>
            <w:tcBorders>
              <w:top w:val="single" w:color="auto" w:sz="4" w:space="0"/>
              <w:bottom w:val="single" w:color="auto" w:sz="4" w:space="0"/>
            </w:tcBorders>
            <w:shd w:val="clear" w:color="auto" w:fill="FFFFFF"/>
            <w:noWrap w:val="0"/>
            <w:vAlign w:val="top"/>
          </w:tcPr>
          <w:p w14:paraId="39398C7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12 </w:t>
            </w:r>
          </w:p>
        </w:tc>
        <w:tc>
          <w:tcPr>
            <w:tcW w:w="773" w:type="dxa"/>
            <w:tcBorders>
              <w:top w:val="single" w:color="auto" w:sz="4" w:space="0"/>
              <w:left w:val="single" w:color="auto" w:sz="4" w:space="0"/>
              <w:bottom w:val="single" w:color="auto" w:sz="4" w:space="0"/>
            </w:tcBorders>
            <w:shd w:val="clear" w:color="auto" w:fill="FFFFFF"/>
            <w:noWrap w:val="0"/>
            <w:vAlign w:val="top"/>
          </w:tcPr>
          <w:p w14:paraId="4D616FE1">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73" w:type="dxa"/>
            <w:tcBorders>
              <w:top w:val="single" w:color="auto" w:sz="4" w:space="0"/>
              <w:left w:val="single" w:color="auto" w:sz="4" w:space="0"/>
              <w:bottom w:val="single" w:color="auto" w:sz="4" w:space="0"/>
            </w:tcBorders>
            <w:shd w:val="clear" w:color="auto" w:fill="FFFFFF"/>
            <w:noWrap w:val="0"/>
            <w:vAlign w:val="top"/>
          </w:tcPr>
          <w:p w14:paraId="30C12A4A">
            <w:pPr>
              <w:pStyle w:val="292"/>
              <w:jc w:val="center"/>
              <w:rPr>
                <w:rFonts w:hint="default" w:ascii="Times New Roman" w:hAnsi="Times New Roman" w:eastAsia="宋体" w:cs="Times New Roman"/>
                <w:b w:val="0"/>
                <w:bCs/>
                <w:snapToGrid w:val="0"/>
                <w:color w:val="auto"/>
                <w:sz w:val="21"/>
                <w:highlight w:val="none"/>
                <w:lang w:val="en-US" w:eastAsia="en-US"/>
              </w:rPr>
            </w:pPr>
            <w:r>
              <w:rPr>
                <w:rFonts w:hint="default" w:ascii="Times New Roman" w:hAnsi="Times New Roman" w:eastAsia="宋体" w:cs="Times New Roman"/>
                <w:b w:val="0"/>
                <w:bCs/>
                <w:snapToGrid w:val="0"/>
                <w:color w:val="auto"/>
                <w:sz w:val="21"/>
                <w:highlight w:val="none"/>
                <w:lang w:val="en-US" w:eastAsia="zh-CN"/>
              </w:rPr>
              <w:t xml:space="preserve">2.1 </w:t>
            </w:r>
          </w:p>
        </w:tc>
        <w:tc>
          <w:tcPr>
            <w:tcW w:w="768" w:type="dxa"/>
            <w:tcBorders>
              <w:top w:val="single" w:color="auto" w:sz="4" w:space="0"/>
              <w:left w:val="single" w:color="auto" w:sz="4" w:space="0"/>
              <w:bottom w:val="single" w:color="auto" w:sz="4" w:space="0"/>
            </w:tcBorders>
            <w:shd w:val="clear" w:color="auto" w:fill="FFFFFF"/>
            <w:noWrap w:val="0"/>
            <w:vAlign w:val="top"/>
          </w:tcPr>
          <w:p w14:paraId="7E04F5D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3.3 </w:t>
            </w:r>
          </w:p>
        </w:tc>
        <w:tc>
          <w:tcPr>
            <w:tcW w:w="773" w:type="dxa"/>
            <w:tcBorders>
              <w:top w:val="single" w:color="auto" w:sz="4" w:space="0"/>
              <w:left w:val="single" w:color="auto" w:sz="4" w:space="0"/>
              <w:bottom w:val="single" w:color="auto" w:sz="4" w:space="0"/>
            </w:tcBorders>
            <w:shd w:val="clear" w:color="auto" w:fill="FFFFFF"/>
            <w:noWrap w:val="0"/>
            <w:vAlign w:val="top"/>
          </w:tcPr>
          <w:p w14:paraId="1C25E14E">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6.4 </w:t>
            </w:r>
          </w:p>
        </w:tc>
        <w:tc>
          <w:tcPr>
            <w:tcW w:w="773" w:type="dxa"/>
            <w:tcBorders>
              <w:top w:val="single" w:color="auto" w:sz="4" w:space="0"/>
              <w:left w:val="single" w:color="auto" w:sz="4" w:space="0"/>
              <w:bottom w:val="single" w:color="auto" w:sz="4" w:space="0"/>
            </w:tcBorders>
            <w:shd w:val="clear" w:color="auto" w:fill="FFFFFF"/>
            <w:noWrap w:val="0"/>
            <w:vAlign w:val="top"/>
          </w:tcPr>
          <w:p w14:paraId="25F1508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8.4 </w:t>
            </w:r>
          </w:p>
        </w:tc>
        <w:tc>
          <w:tcPr>
            <w:tcW w:w="773" w:type="dxa"/>
            <w:tcBorders>
              <w:top w:val="single" w:color="auto" w:sz="4" w:space="0"/>
              <w:left w:val="single" w:color="auto" w:sz="4" w:space="0"/>
              <w:bottom w:val="single" w:color="auto" w:sz="4" w:space="0"/>
            </w:tcBorders>
            <w:shd w:val="clear" w:color="auto" w:fill="FFFFFF"/>
            <w:noWrap w:val="0"/>
            <w:vAlign w:val="top"/>
          </w:tcPr>
          <w:p w14:paraId="1769B0D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8.4 </w:t>
            </w:r>
          </w:p>
        </w:tc>
        <w:tc>
          <w:tcPr>
            <w:tcW w:w="787" w:type="dxa"/>
            <w:tcBorders>
              <w:top w:val="single" w:color="auto" w:sz="4" w:space="0"/>
              <w:left w:val="single" w:color="auto" w:sz="4" w:space="0"/>
              <w:bottom w:val="single" w:color="auto" w:sz="4" w:space="0"/>
            </w:tcBorders>
            <w:shd w:val="clear" w:color="auto" w:fill="FFFFFF"/>
            <w:noWrap w:val="0"/>
            <w:vAlign w:val="top"/>
          </w:tcPr>
          <w:p w14:paraId="533DFB3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8.0 </w:t>
            </w:r>
          </w:p>
        </w:tc>
        <w:tc>
          <w:tcPr>
            <w:tcW w:w="754" w:type="dxa"/>
            <w:tcBorders>
              <w:top w:val="single" w:color="auto" w:sz="4" w:space="0"/>
              <w:left w:val="single" w:color="auto" w:sz="4" w:space="0"/>
              <w:bottom w:val="single" w:color="auto" w:sz="4" w:space="0"/>
            </w:tcBorders>
            <w:shd w:val="clear" w:color="auto" w:fill="FFFFFF"/>
            <w:noWrap w:val="0"/>
            <w:vAlign w:val="top"/>
          </w:tcPr>
          <w:p w14:paraId="74D0D761">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6.8 </w:t>
            </w:r>
          </w:p>
        </w:tc>
        <w:tc>
          <w:tcPr>
            <w:tcW w:w="773" w:type="dxa"/>
            <w:tcBorders>
              <w:top w:val="single" w:color="auto" w:sz="4" w:space="0"/>
              <w:left w:val="single" w:color="auto" w:sz="4" w:space="0"/>
              <w:bottom w:val="single" w:color="auto" w:sz="4" w:space="0"/>
            </w:tcBorders>
            <w:shd w:val="clear" w:color="auto" w:fill="FFFFFF"/>
            <w:noWrap w:val="0"/>
            <w:vAlign w:val="top"/>
          </w:tcPr>
          <w:p w14:paraId="01254DA2">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3.4 </w:t>
            </w:r>
          </w:p>
        </w:tc>
        <w:tc>
          <w:tcPr>
            <w:tcW w:w="773" w:type="dxa"/>
            <w:tcBorders>
              <w:top w:val="single" w:color="auto" w:sz="4" w:space="0"/>
              <w:left w:val="single" w:color="auto" w:sz="4" w:space="0"/>
              <w:bottom w:val="single" w:color="auto" w:sz="4" w:space="0"/>
            </w:tcBorders>
            <w:shd w:val="clear" w:color="auto" w:fill="FFFFFF"/>
            <w:noWrap w:val="0"/>
            <w:vAlign w:val="top"/>
          </w:tcPr>
          <w:p w14:paraId="4058ED14">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1.8 </w:t>
            </w:r>
          </w:p>
        </w:tc>
        <w:tc>
          <w:tcPr>
            <w:tcW w:w="773" w:type="dxa"/>
            <w:tcBorders>
              <w:top w:val="single" w:color="auto" w:sz="4" w:space="0"/>
              <w:left w:val="single" w:color="auto" w:sz="4" w:space="0"/>
              <w:bottom w:val="single" w:color="auto" w:sz="4" w:space="0"/>
            </w:tcBorders>
            <w:shd w:val="clear" w:color="auto" w:fill="FFFFFF"/>
            <w:noWrap w:val="0"/>
            <w:vAlign w:val="top"/>
          </w:tcPr>
          <w:p w14:paraId="5F399AE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2.0 </w:t>
            </w:r>
          </w:p>
        </w:tc>
        <w:tc>
          <w:tcPr>
            <w:tcW w:w="773" w:type="dxa"/>
            <w:tcBorders>
              <w:top w:val="single" w:color="auto" w:sz="4" w:space="0"/>
              <w:left w:val="single" w:color="auto" w:sz="4" w:space="0"/>
              <w:bottom w:val="single" w:color="auto" w:sz="4" w:space="0"/>
            </w:tcBorders>
            <w:shd w:val="clear" w:color="auto" w:fill="FFFFFF"/>
            <w:noWrap w:val="0"/>
            <w:vAlign w:val="top"/>
          </w:tcPr>
          <w:p w14:paraId="6731FF8F">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2.7 </w:t>
            </w:r>
          </w:p>
        </w:tc>
        <w:tc>
          <w:tcPr>
            <w:tcW w:w="773" w:type="dxa"/>
            <w:tcBorders>
              <w:top w:val="single" w:color="auto" w:sz="4" w:space="0"/>
              <w:left w:val="single" w:color="auto" w:sz="4" w:space="0"/>
              <w:bottom w:val="single" w:color="auto" w:sz="4" w:space="0"/>
            </w:tcBorders>
            <w:shd w:val="clear" w:color="auto" w:fill="FFFFFF"/>
            <w:noWrap w:val="0"/>
            <w:vAlign w:val="top"/>
          </w:tcPr>
          <w:p w14:paraId="5330864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9.0 </w:t>
            </w:r>
          </w:p>
        </w:tc>
        <w:tc>
          <w:tcPr>
            <w:tcW w:w="768" w:type="dxa"/>
            <w:tcBorders>
              <w:top w:val="single" w:color="auto" w:sz="4" w:space="0"/>
              <w:left w:val="single" w:color="auto" w:sz="4" w:space="0"/>
              <w:bottom w:val="single" w:color="auto" w:sz="4" w:space="0"/>
            </w:tcBorders>
            <w:shd w:val="clear" w:color="auto" w:fill="FFFFFF"/>
            <w:noWrap w:val="0"/>
            <w:vAlign w:val="top"/>
          </w:tcPr>
          <w:p w14:paraId="11DD8927">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17.6 </w:t>
            </w:r>
          </w:p>
        </w:tc>
        <w:tc>
          <w:tcPr>
            <w:tcW w:w="773" w:type="dxa"/>
            <w:tcBorders>
              <w:top w:val="single" w:color="auto" w:sz="4" w:space="0"/>
              <w:left w:val="single" w:color="auto" w:sz="4" w:space="0"/>
              <w:bottom w:val="single" w:color="auto" w:sz="4" w:space="0"/>
            </w:tcBorders>
            <w:shd w:val="clear" w:color="auto" w:fill="FFFFFF"/>
            <w:noWrap w:val="0"/>
            <w:vAlign w:val="top"/>
          </w:tcPr>
          <w:p w14:paraId="68AD43A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10.8 </w:t>
            </w:r>
          </w:p>
        </w:tc>
        <w:tc>
          <w:tcPr>
            <w:tcW w:w="773" w:type="dxa"/>
            <w:tcBorders>
              <w:top w:val="single" w:color="auto" w:sz="4" w:space="0"/>
              <w:left w:val="single" w:color="auto" w:sz="4" w:space="0"/>
              <w:bottom w:val="single" w:color="auto" w:sz="4" w:space="0"/>
            </w:tcBorders>
            <w:shd w:val="clear" w:color="auto" w:fill="FFFFFF"/>
            <w:noWrap w:val="0"/>
            <w:vAlign w:val="top"/>
          </w:tcPr>
          <w:p w14:paraId="3DD8677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4.0 </w:t>
            </w:r>
          </w:p>
        </w:tc>
        <w:tc>
          <w:tcPr>
            <w:tcW w:w="802" w:type="dxa"/>
            <w:tcBorders>
              <w:top w:val="single" w:color="auto" w:sz="4" w:space="0"/>
              <w:left w:val="single" w:color="auto" w:sz="4" w:space="0"/>
              <w:bottom w:val="single" w:color="auto" w:sz="4" w:space="0"/>
            </w:tcBorders>
            <w:shd w:val="clear" w:color="auto" w:fill="FFFFFF"/>
            <w:noWrap w:val="0"/>
            <w:vAlign w:val="top"/>
          </w:tcPr>
          <w:p w14:paraId="5D99A81C">
            <w:pPr>
              <w:pStyle w:val="292"/>
              <w:jc w:val="center"/>
              <w:rPr>
                <w:rFonts w:hint="default" w:ascii="Times New Roman" w:hAnsi="Times New Roman" w:eastAsia="宋体" w:cs="Times New Roman"/>
                <w:b w:val="0"/>
                <w:bCs/>
                <w:snapToGrid w:val="0"/>
                <w:color w:val="auto"/>
                <w:sz w:val="21"/>
                <w:highlight w:val="none"/>
                <w:lang w:val="en-US" w:eastAsia="zh-CN"/>
              </w:rPr>
            </w:pPr>
            <w:r>
              <w:rPr>
                <w:rFonts w:hint="default" w:ascii="Times New Roman" w:hAnsi="Times New Roman" w:eastAsia="宋体" w:cs="Times New Roman"/>
                <w:b w:val="0"/>
                <w:bCs/>
                <w:snapToGrid w:val="0"/>
                <w:color w:val="auto"/>
                <w:sz w:val="21"/>
                <w:highlight w:val="none"/>
                <w:lang w:val="en-US" w:eastAsia="zh-CN"/>
              </w:rPr>
              <w:t xml:space="preserve">3.2 </w:t>
            </w:r>
          </w:p>
        </w:tc>
      </w:tr>
    </w:tbl>
    <w:p w14:paraId="39F9D928">
      <w:pPr>
        <w:pStyle w:val="1336"/>
        <w:ind w:firstLine="480"/>
        <w:rPr>
          <w:color w:val="auto"/>
          <w:highlight w:val="none"/>
        </w:rPr>
        <w:sectPr>
          <w:pgSz w:w="16838" w:h="11906" w:orient="landscape"/>
          <w:pgMar w:top="1701" w:right="158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063B3CAA">
      <w:pPr>
        <w:widowControl w:val="0"/>
        <w:ind w:left="0" w:leftChars="0" w:firstLine="0" w:firstLineChars="0"/>
        <w:jc w:val="center"/>
        <w:rPr>
          <w:color w:val="auto"/>
          <w:highlight w:val="none"/>
        </w:rPr>
      </w:pPr>
      <w:r>
        <w:rPr>
          <w:color w:val="auto"/>
          <w:highlight w:val="none"/>
        </w:rPr>
        <w:drawing>
          <wp:inline distT="0" distB="0" distL="114300" distR="114300">
            <wp:extent cx="5576570" cy="8504555"/>
            <wp:effectExtent l="0" t="0" r="5080" b="10795"/>
            <wp:docPr id="276"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558"/>
                    <pic:cNvPicPr>
                      <a:picLocks noChangeAspect="1"/>
                    </pic:cNvPicPr>
                  </pic:nvPicPr>
                  <pic:blipFill>
                    <a:blip r:embed="rId65"/>
                    <a:stretch>
                      <a:fillRect/>
                    </a:stretch>
                  </pic:blipFill>
                  <pic:spPr>
                    <a:xfrm>
                      <a:off x="0" y="0"/>
                      <a:ext cx="5576570" cy="8504555"/>
                    </a:xfrm>
                    <a:prstGeom prst="rect">
                      <a:avLst/>
                    </a:prstGeom>
                    <a:noFill/>
                    <a:ln>
                      <a:noFill/>
                    </a:ln>
                  </pic:spPr>
                </pic:pic>
              </a:graphicData>
            </a:graphic>
          </wp:inline>
        </w:drawing>
      </w:r>
      <w:r>
        <w:rPr>
          <w:color w:val="auto"/>
          <w:highlight w:val="none"/>
        </w:rPr>
        <w:drawing>
          <wp:inline distT="0" distB="0" distL="114300" distR="114300">
            <wp:extent cx="5543550" cy="4267200"/>
            <wp:effectExtent l="0" t="0" r="0" b="0"/>
            <wp:docPr id="277"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559"/>
                    <pic:cNvPicPr>
                      <a:picLocks noChangeAspect="1"/>
                    </pic:cNvPicPr>
                  </pic:nvPicPr>
                  <pic:blipFill>
                    <a:blip r:embed="rId66"/>
                    <a:stretch>
                      <a:fillRect/>
                    </a:stretch>
                  </pic:blipFill>
                  <pic:spPr>
                    <a:xfrm>
                      <a:off x="0" y="0"/>
                      <a:ext cx="5543550" cy="4267200"/>
                    </a:xfrm>
                    <a:prstGeom prst="rect">
                      <a:avLst/>
                    </a:prstGeom>
                    <a:noFill/>
                    <a:ln>
                      <a:noFill/>
                    </a:ln>
                  </pic:spPr>
                </pic:pic>
              </a:graphicData>
            </a:graphic>
          </wp:inline>
        </w:drawing>
      </w:r>
    </w:p>
    <w:p w14:paraId="05FC6208">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图5.3-2  闽侯月风向玫瑰图</w:t>
      </w:r>
    </w:p>
    <w:p w14:paraId="08C41C81">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val="en-US" w:eastAsia="zh-CN"/>
        </w:rPr>
      </w:pPr>
      <w:r>
        <w:rPr>
          <w:rFonts w:hint="eastAsia" w:ascii="Times New Roman Regular" w:hAnsi="Times New Roman Regular" w:eastAsia="宋体" w:cs="Times New Roman Regular"/>
          <w:color w:val="auto"/>
          <w:spacing w:val="0"/>
          <w:w w:val="100"/>
          <w:position w:val="0"/>
          <w:sz w:val="24"/>
          <w:szCs w:val="24"/>
          <w:highlight w:val="none"/>
          <w:lang w:val="en-US" w:eastAsia="zh-CN"/>
        </w:rPr>
        <w:t>（3）风速年际变化特征与周期分析</w:t>
      </w:r>
    </w:p>
    <w:p w14:paraId="586E2568">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val="en-US" w:eastAsia="zh-CN"/>
        </w:rPr>
      </w:pPr>
      <w:r>
        <w:rPr>
          <w:rFonts w:hint="eastAsia" w:ascii="Times New Roman Regular" w:hAnsi="Times New Roman Regular" w:eastAsia="宋体" w:cs="Times New Roman Regular"/>
          <w:color w:val="auto"/>
          <w:spacing w:val="0"/>
          <w:w w:val="100"/>
          <w:position w:val="0"/>
          <w:sz w:val="24"/>
          <w:szCs w:val="24"/>
          <w:highlight w:val="none"/>
          <w:lang w:val="en-US" w:eastAsia="zh-CN"/>
        </w:rPr>
        <w:t>根据近20年资料分析，闽侯气象站风速呈现下降趋势，每年下降0.02%，2009年年平均风速最大（2.3米/秒），2020年年平均风速最小（1.8米/秒），周期为5年。</w:t>
      </w:r>
    </w:p>
    <w:p w14:paraId="7DB5BA7B">
      <w:pPr>
        <w:pStyle w:val="1356"/>
        <w:rPr>
          <w:color w:val="auto"/>
          <w:highlight w:val="none"/>
        </w:rPr>
      </w:pPr>
      <w:r>
        <w:rPr>
          <w:color w:val="auto"/>
          <w:highlight w:val="none"/>
        </w:rPr>
        <w:drawing>
          <wp:inline distT="0" distB="0" distL="114300" distR="114300">
            <wp:extent cx="4930140" cy="3430270"/>
            <wp:effectExtent l="0" t="0" r="3810" b="17780"/>
            <wp:docPr id="278"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561"/>
                    <pic:cNvPicPr>
                      <a:picLocks noChangeAspect="1"/>
                    </pic:cNvPicPr>
                  </pic:nvPicPr>
                  <pic:blipFill>
                    <a:blip r:embed="rId67"/>
                    <a:srcRect t="7230"/>
                    <a:stretch>
                      <a:fillRect/>
                    </a:stretch>
                  </pic:blipFill>
                  <pic:spPr>
                    <a:xfrm>
                      <a:off x="0" y="0"/>
                      <a:ext cx="4930140" cy="3430270"/>
                    </a:xfrm>
                    <a:prstGeom prst="rect">
                      <a:avLst/>
                    </a:prstGeom>
                    <a:noFill/>
                    <a:ln>
                      <a:noFill/>
                    </a:ln>
                  </pic:spPr>
                </pic:pic>
              </a:graphicData>
            </a:graphic>
          </wp:inline>
        </w:drawing>
      </w:r>
    </w:p>
    <w:p w14:paraId="1D48175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图5.3-3  闽侯（2004-2023）年平均风速（单位：m/s，虚线为趋势线）</w:t>
      </w:r>
    </w:p>
    <w:p w14:paraId="65D44CCB">
      <w:pPr>
        <w:pStyle w:val="5"/>
        <w:numPr>
          <w:ilvl w:val="3"/>
          <w:numId w:val="0"/>
        </w:numPr>
        <w:bidi w:val="0"/>
        <w:ind w:leftChars="0"/>
        <w:rPr>
          <w:rFonts w:hint="eastAsia"/>
          <w:color w:val="auto"/>
          <w:highlight w:val="none"/>
          <w:lang w:val="en-US" w:eastAsia="zh-CN"/>
        </w:rPr>
      </w:pPr>
      <w:r>
        <w:rPr>
          <w:rFonts w:hint="eastAsia"/>
          <w:color w:val="auto"/>
          <w:highlight w:val="none"/>
          <w:lang w:val="en-US" w:eastAsia="zh-CN"/>
        </w:rPr>
        <w:t>5.3.1.3 气象站温度分析</w:t>
      </w:r>
    </w:p>
    <w:p w14:paraId="553B9DC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（1）月平均气温与极端气温</w:t>
      </w:r>
    </w:p>
    <w:p w14:paraId="4E6EB8DA">
      <w:pPr>
        <w:bidi w:val="0"/>
        <w:rPr>
          <w:rFonts w:hint="eastAsia"/>
          <w:color w:val="auto"/>
          <w:highlight w:val="none"/>
          <w:lang w:val="en-US" w:eastAsia="zh-CN"/>
        </w:rPr>
      </w:pPr>
      <w:r>
        <w:rPr>
          <w:rFonts w:hint="default" w:ascii="Times New Roman" w:hAnsi="Times New Roman" w:cs="Times New Roman"/>
          <w:color w:val="auto"/>
          <w:highlight w:val="none"/>
          <w:lang w:val="en-US" w:eastAsia="zh-CN"/>
        </w:rPr>
        <w:t>闽侯气象站07月气温最高（29.7℃），01月气温最低（11.4℃），近20年极端最高气温出现在2022-08-22（41.4℃），近20年极端最低气温出现在2016-01-25（-2.2℃）</w:t>
      </w:r>
      <w:r>
        <w:rPr>
          <w:rFonts w:hint="eastAsia"/>
          <w:color w:val="auto"/>
          <w:highlight w:val="none"/>
          <w:lang w:val="en-US" w:eastAsia="zh-CN"/>
        </w:rPr>
        <w:t>。</w:t>
      </w:r>
    </w:p>
    <w:p w14:paraId="78DA5343">
      <w:pPr>
        <w:pStyle w:val="1356"/>
        <w:rPr>
          <w:color w:val="auto"/>
          <w:highlight w:val="none"/>
        </w:rPr>
      </w:pPr>
      <w:r>
        <w:rPr>
          <w:color w:val="auto"/>
          <w:highlight w:val="none"/>
        </w:rPr>
        <w:drawing>
          <wp:inline distT="0" distB="0" distL="114300" distR="114300">
            <wp:extent cx="4721860" cy="3303270"/>
            <wp:effectExtent l="0" t="0" r="2540" b="11430"/>
            <wp:docPr id="279"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562"/>
                    <pic:cNvPicPr>
                      <a:picLocks noChangeAspect="1"/>
                    </pic:cNvPicPr>
                  </pic:nvPicPr>
                  <pic:blipFill>
                    <a:blip r:embed="rId68"/>
                    <a:srcRect t="6725"/>
                    <a:stretch>
                      <a:fillRect/>
                    </a:stretch>
                  </pic:blipFill>
                  <pic:spPr>
                    <a:xfrm>
                      <a:off x="0" y="0"/>
                      <a:ext cx="4721860" cy="3303270"/>
                    </a:xfrm>
                    <a:prstGeom prst="rect">
                      <a:avLst/>
                    </a:prstGeom>
                    <a:noFill/>
                    <a:ln>
                      <a:noFill/>
                    </a:ln>
                  </pic:spPr>
                </pic:pic>
              </a:graphicData>
            </a:graphic>
          </wp:inline>
        </w:drawing>
      </w:r>
    </w:p>
    <w:p w14:paraId="172D6C0B">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图5.3-4  闽侯月平均气温（单位：℃）</w:t>
      </w:r>
    </w:p>
    <w:p w14:paraId="09A96D12">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rPr>
      </w:pPr>
      <w:r>
        <w:rPr>
          <w:rFonts w:hint="default" w:ascii="Times New Roman Regular" w:hAnsi="Times New Roman Regular" w:eastAsia="宋体" w:cs="Times New Roman Regular"/>
          <w:color w:val="auto"/>
          <w:spacing w:val="0"/>
          <w:w w:val="100"/>
          <w:position w:val="0"/>
          <w:sz w:val="24"/>
          <w:szCs w:val="24"/>
          <w:highlight w:val="none"/>
        </w:rPr>
        <w:t>（2）温度年际变化趋势与周期分析</w:t>
      </w:r>
    </w:p>
    <w:p w14:paraId="36CD34E1">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rPr>
      </w:pPr>
      <w:r>
        <w:rPr>
          <w:rFonts w:hint="default" w:ascii="Times New Roman Regular" w:hAnsi="Times New Roman Regular" w:eastAsia="宋体" w:cs="Times New Roman Regular"/>
          <w:color w:val="auto"/>
          <w:spacing w:val="0"/>
          <w:w w:val="100"/>
          <w:position w:val="0"/>
          <w:sz w:val="24"/>
          <w:szCs w:val="24"/>
          <w:highlight w:val="none"/>
        </w:rPr>
        <w:t>闽侯气象站近20年气温呈现上升趋势</w:t>
      </w:r>
      <w:r>
        <w:rPr>
          <w:rFonts w:hint="eastAsia" w:ascii="Times New Roman Regular" w:hAnsi="Times New Roman Regular"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每年上升0.05%，2020年年平均气温最高（21.4℃），2011年年平均气温最低（20.0℃），周期为10年。</w:t>
      </w:r>
    </w:p>
    <w:p w14:paraId="0B991FCC">
      <w:pPr>
        <w:pStyle w:val="1356"/>
        <w:keepNext w:val="0"/>
        <w:keepLines w:val="0"/>
        <w:pageBreakBefore w:val="0"/>
        <w:widowControl w:val="0"/>
        <w:kinsoku/>
        <w:wordWrap/>
        <w:overflowPunct/>
        <w:topLinePunct w:val="0"/>
        <w:autoSpaceDE/>
        <w:autoSpaceDN/>
        <w:bidi w:val="0"/>
        <w:adjustRightInd/>
        <w:snapToGrid/>
        <w:textAlignment w:val="auto"/>
        <w:outlineLvl w:val="6"/>
        <w:rPr>
          <w:rFonts w:hint="eastAsia" w:ascii="Times New Roman" w:hAnsi="Times New Roman" w:cs="Times New Roman"/>
          <w:color w:val="auto"/>
          <w:highlight w:val="none"/>
          <w:lang w:val="en-US" w:eastAsia="zh-CN"/>
        </w:rPr>
      </w:pPr>
      <w:r>
        <w:rPr>
          <w:rStyle w:val="152"/>
          <w:rFonts w:hint="default" w:ascii="Times New Roman" w:hAnsi="Times New Roman" w:cs="Times New Roman"/>
          <w:color w:val="auto"/>
          <w:highlight w:val="none"/>
          <w:lang w:val="en-US" w:eastAsia="zh-CN"/>
        </w:rPr>
        <w:t>图5.3-5  闽侯（2004-2023）年平均气温（单位：℃，虚线为趋势线）</w:t>
      </w:r>
      <w:r>
        <w:rPr>
          <w:rFonts w:hint="eastAsia" w:ascii="Times New Roman" w:hAnsi="Times New Roman" w:cs="Times New Roman"/>
          <w:color w:val="auto"/>
          <w:highlight w:val="none"/>
          <w:lang w:val="en-US" w:eastAsia="zh-CN"/>
        </w:rPr>
        <w:drawing>
          <wp:anchor distT="0" distB="0" distL="114300" distR="114300" simplePos="0" relativeHeight="251679744" behindDoc="0" locked="0" layoutInCell="1" allowOverlap="1">
            <wp:simplePos x="0" y="0"/>
            <wp:positionH relativeFrom="column">
              <wp:posOffset>228600</wp:posOffset>
            </wp:positionH>
            <wp:positionV relativeFrom="paragraph">
              <wp:posOffset>32385</wp:posOffset>
            </wp:positionV>
            <wp:extent cx="4754245" cy="3598545"/>
            <wp:effectExtent l="0" t="0" r="8255" b="1905"/>
            <wp:wrapTopAndBottom/>
            <wp:docPr id="280" name="图片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1274"/>
                    <pic:cNvPicPr>
                      <a:picLocks noChangeAspect="1"/>
                    </pic:cNvPicPr>
                  </pic:nvPicPr>
                  <pic:blipFill>
                    <a:blip r:embed="rId69"/>
                    <a:srcRect t="5025" r="5898"/>
                    <a:stretch>
                      <a:fillRect/>
                    </a:stretch>
                  </pic:blipFill>
                  <pic:spPr>
                    <a:xfrm>
                      <a:off x="0" y="0"/>
                      <a:ext cx="4754245" cy="3598545"/>
                    </a:xfrm>
                    <a:prstGeom prst="rect">
                      <a:avLst/>
                    </a:prstGeom>
                    <a:noFill/>
                    <a:ln>
                      <a:noFill/>
                    </a:ln>
                  </pic:spPr>
                </pic:pic>
              </a:graphicData>
            </a:graphic>
          </wp:anchor>
        </w:drawing>
      </w:r>
    </w:p>
    <w:p w14:paraId="519195C7">
      <w:pPr>
        <w:pStyle w:val="5"/>
        <w:numPr>
          <w:ilvl w:val="3"/>
          <w:numId w:val="0"/>
        </w:numPr>
        <w:bidi w:val="0"/>
        <w:ind w:leftChars="0"/>
        <w:rPr>
          <w:rFonts w:hint="default"/>
          <w:color w:val="auto"/>
          <w:highlight w:val="none"/>
          <w:lang w:val="en-US" w:eastAsia="zh-CN"/>
        </w:rPr>
      </w:pPr>
      <w:r>
        <w:rPr>
          <w:rFonts w:hint="default"/>
          <w:color w:val="auto"/>
          <w:highlight w:val="none"/>
          <w:lang w:val="en-US" w:eastAsia="zh-CN"/>
        </w:rPr>
        <w:t>5.</w:t>
      </w:r>
      <w:r>
        <w:rPr>
          <w:rFonts w:hint="eastAsia"/>
          <w:color w:val="auto"/>
          <w:highlight w:val="none"/>
          <w:lang w:val="en-US" w:eastAsia="zh-CN"/>
        </w:rPr>
        <w:t>3.</w:t>
      </w:r>
      <w:r>
        <w:rPr>
          <w:rFonts w:hint="default"/>
          <w:color w:val="auto"/>
          <w:highlight w:val="none"/>
          <w:lang w:val="en-US" w:eastAsia="zh-CN"/>
        </w:rPr>
        <w:t>1.4</w:t>
      </w:r>
      <w:r>
        <w:rPr>
          <w:rFonts w:hint="eastAsia"/>
          <w:color w:val="auto"/>
          <w:highlight w:val="none"/>
          <w:lang w:val="en-US" w:eastAsia="zh-CN"/>
        </w:rPr>
        <w:t xml:space="preserve"> </w:t>
      </w:r>
      <w:r>
        <w:rPr>
          <w:rFonts w:hint="default"/>
          <w:color w:val="auto"/>
          <w:highlight w:val="none"/>
          <w:lang w:val="en-US" w:eastAsia="zh-CN"/>
        </w:rPr>
        <w:t>气象站降水分析</w:t>
      </w:r>
    </w:p>
    <w:p w14:paraId="2E8F4BE9">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rPr>
      </w:pP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1</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月平均降水与极端降水</w:t>
      </w:r>
    </w:p>
    <w:p w14:paraId="51DCCEE2">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rPr>
      </w:pPr>
      <w:r>
        <w:rPr>
          <w:rFonts w:hint="default" w:ascii="Times New Roman Regular" w:hAnsi="Times New Roman Regular" w:eastAsia="宋体" w:cs="Times New Roman Regular"/>
          <w:color w:val="auto"/>
          <w:spacing w:val="0"/>
          <w:w w:val="100"/>
          <w:position w:val="0"/>
          <w:sz w:val="24"/>
          <w:szCs w:val="24"/>
          <w:highlight w:val="none"/>
        </w:rPr>
        <w:t>闽侯气象站06月降水量最大</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239.8毫米</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10月降水量最小</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48.4毫米</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近20年极端最大日降水出现在2005-10-03</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180.2毫米</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default" w:ascii="Times New Roman Regular" w:hAnsi="Times New Roman Regular" w:eastAsia="宋体" w:cs="Times New Roman Regular"/>
          <w:color w:val="auto"/>
          <w:spacing w:val="0"/>
          <w:w w:val="100"/>
          <w:position w:val="0"/>
          <w:sz w:val="24"/>
          <w:szCs w:val="24"/>
          <w:highlight w:val="none"/>
        </w:rPr>
        <w:t>。</w:t>
      </w:r>
    </w:p>
    <w:p w14:paraId="54840874">
      <w:pPr>
        <w:pStyle w:val="1356"/>
        <w:rPr>
          <w:rFonts w:hint="eastAsia" w:ascii="Times New Roman" w:hAnsi="Times New Roman" w:eastAsia="黑体" w:cs="Times New Roman"/>
          <w:color w:val="auto"/>
          <w:highlight w:val="none"/>
          <w:lang w:val="en-US" w:eastAsia="zh-CN"/>
        </w:rPr>
      </w:pPr>
      <w:r>
        <w:rPr>
          <w:rFonts w:hint="eastAsia" w:ascii="Times New Roman" w:hAnsi="Times New Roman" w:eastAsia="黑体" w:cs="Times New Roman"/>
          <w:color w:val="auto"/>
          <w:highlight w:val="none"/>
          <w:lang w:val="en-US" w:eastAsia="zh-CN"/>
        </w:rPr>
        <w:drawing>
          <wp:inline distT="0" distB="0" distL="114300" distR="114300">
            <wp:extent cx="5575935" cy="4186555"/>
            <wp:effectExtent l="0" t="0" r="5715" b="4445"/>
            <wp:docPr id="329" name="图片 329" descr="8e4cdd5d835df088f5443f9c8ec29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8e4cdd5d835df088f5443f9c8ec29154"/>
                    <pic:cNvPicPr>
                      <a:picLocks noChangeAspect="1"/>
                    </pic:cNvPicPr>
                  </pic:nvPicPr>
                  <pic:blipFill>
                    <a:blip r:embed="rId70"/>
                    <a:stretch>
                      <a:fillRect/>
                    </a:stretch>
                  </pic:blipFill>
                  <pic:spPr>
                    <a:xfrm>
                      <a:off x="0" y="0"/>
                      <a:ext cx="5575935" cy="4186555"/>
                    </a:xfrm>
                    <a:prstGeom prst="rect">
                      <a:avLst/>
                    </a:prstGeom>
                  </pic:spPr>
                </pic:pic>
              </a:graphicData>
            </a:graphic>
          </wp:inline>
        </w:drawing>
      </w:r>
    </w:p>
    <w:p w14:paraId="36FBFD3E">
      <w:pPr>
        <w:pStyle w:val="8"/>
        <w:bidi w:val="0"/>
        <w:rPr>
          <w:rFonts w:hint="default"/>
          <w:color w:val="auto"/>
          <w:highlight w:val="none"/>
          <w:lang w:val="en-US" w:eastAsia="en-US"/>
        </w:rPr>
      </w:pPr>
      <w:r>
        <w:rPr>
          <w:rFonts w:hint="default"/>
          <w:color w:val="auto"/>
          <w:highlight w:val="none"/>
          <w:lang w:val="en-US" w:eastAsia="en-US"/>
        </w:rPr>
        <w:t>图5.</w:t>
      </w:r>
      <w:r>
        <w:rPr>
          <w:rFonts w:hint="eastAsia"/>
          <w:color w:val="auto"/>
          <w:highlight w:val="none"/>
          <w:lang w:val="en-US" w:eastAsia="zh-CN"/>
        </w:rPr>
        <w:t>3-</w:t>
      </w:r>
      <w:r>
        <w:rPr>
          <w:rFonts w:hint="default"/>
          <w:color w:val="auto"/>
          <w:highlight w:val="none"/>
          <w:lang w:val="en-US" w:eastAsia="en-US"/>
        </w:rPr>
        <w:t xml:space="preserve">6 </w:t>
      </w:r>
      <w:r>
        <w:rPr>
          <w:rFonts w:hint="eastAsia"/>
          <w:color w:val="auto"/>
          <w:highlight w:val="none"/>
          <w:lang w:val="en-US" w:eastAsia="zh-CN"/>
        </w:rPr>
        <w:t xml:space="preserve"> </w:t>
      </w:r>
      <w:r>
        <w:rPr>
          <w:rFonts w:hint="default"/>
          <w:color w:val="auto"/>
          <w:highlight w:val="none"/>
          <w:lang w:val="en-US" w:eastAsia="en-US"/>
        </w:rPr>
        <w:t>闽侯月平均降水量（单位：毫米）</w:t>
      </w:r>
    </w:p>
    <w:p w14:paraId="021AC04E">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lang w:val="en-US" w:eastAsia="en-US"/>
        </w:rPr>
      </w:pP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2</w:t>
      </w: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降水年际变化趋势与周期分析</w:t>
      </w:r>
    </w:p>
    <w:p w14:paraId="0064D9A9">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lang w:val="en-US" w:eastAsia="en-US"/>
        </w:rPr>
      </w:pPr>
      <w:r>
        <w:rPr>
          <w:rFonts w:hint="default" w:ascii="Times New Roman Regular" w:hAnsi="Times New Roman Regular" w:eastAsia="宋体" w:cs="Times New Roman Regular"/>
          <w:color w:val="auto"/>
          <w:spacing w:val="0"/>
          <w:w w:val="100"/>
          <w:position w:val="0"/>
          <w:sz w:val="24"/>
          <w:szCs w:val="24"/>
          <w:highlight w:val="none"/>
          <w:lang w:val="en-US" w:eastAsia="en-US"/>
        </w:rPr>
        <w:t>闽侯气象站近20年年降水总量无明显变化趋势，2016年年总降水量最大</w:t>
      </w: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2090.3毫米</w:t>
      </w: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2004年年总降水量最小</w:t>
      </w: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930.8毫米</w:t>
      </w:r>
      <w:r>
        <w:rPr>
          <w:rFonts w:hint="eastAsia" w:ascii="Times New Roman Regular" w:hAnsi="Times New Roman Regular" w:eastAsia="宋体" w:cs="Times New Roman Regular"/>
          <w:color w:val="auto"/>
          <w:spacing w:val="0"/>
          <w:w w:val="100"/>
          <w:position w:val="0"/>
          <w:sz w:val="24"/>
          <w:szCs w:val="24"/>
          <w:highlight w:val="none"/>
          <w:lang w:val="en-US" w:eastAsia="zh-CN"/>
        </w:rPr>
        <w:t>），</w:t>
      </w:r>
      <w:r>
        <w:rPr>
          <w:rFonts w:hint="default" w:ascii="Times New Roman Regular" w:hAnsi="Times New Roman Regular" w:eastAsia="宋体" w:cs="Times New Roman Regular"/>
          <w:color w:val="auto"/>
          <w:spacing w:val="0"/>
          <w:w w:val="100"/>
          <w:position w:val="0"/>
          <w:sz w:val="24"/>
          <w:szCs w:val="24"/>
          <w:highlight w:val="none"/>
          <w:lang w:val="en-US" w:eastAsia="en-US"/>
        </w:rPr>
        <w:t>周期为2-3年。</w:t>
      </w:r>
    </w:p>
    <w:p w14:paraId="5EC3775A">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3B60FB7E">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7B49746C">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7F085B52">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35A56569">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18CC818A">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2BD1DA16">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64903E3B">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4FEF87EA">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468D1FE8">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4706A860">
      <w:pPr>
        <w:pStyle w:val="1422"/>
        <w:keepNext w:val="0"/>
        <w:keepLines w:val="0"/>
        <w:widowControl w:val="0"/>
        <w:shd w:val="clear" w:color="auto" w:fill="auto"/>
        <w:bidi w:val="0"/>
        <w:spacing w:before="0" w:after="0" w:line="468" w:lineRule="exact"/>
        <w:ind w:left="0" w:right="0" w:firstLine="480"/>
        <w:jc w:val="both"/>
        <w:rPr>
          <w:color w:val="auto"/>
          <w:highlight w:val="none"/>
        </w:rPr>
      </w:pPr>
    </w:p>
    <w:p w14:paraId="27F8A8D4">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lang w:val="en-US" w:eastAsia="en-US"/>
        </w:rPr>
      </w:pPr>
      <w:r>
        <w:rPr>
          <w:color w:val="auto"/>
          <w:highlight w:val="none"/>
        </w:rPr>
        <w:drawing>
          <wp:anchor distT="0" distB="0" distL="114300" distR="114300" simplePos="0" relativeHeight="251680768" behindDoc="0" locked="0" layoutInCell="1" allowOverlap="1">
            <wp:simplePos x="0" y="0"/>
            <wp:positionH relativeFrom="column">
              <wp:posOffset>304800</wp:posOffset>
            </wp:positionH>
            <wp:positionV relativeFrom="paragraph">
              <wp:posOffset>-3190875</wp:posOffset>
            </wp:positionV>
            <wp:extent cx="4800600" cy="3429000"/>
            <wp:effectExtent l="0" t="0" r="0" b="0"/>
            <wp:wrapSquare wrapText="bothSides"/>
            <wp:docPr id="282" name="图片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1279"/>
                    <pic:cNvPicPr>
                      <a:picLocks noChangeAspect="1"/>
                    </pic:cNvPicPr>
                  </pic:nvPicPr>
                  <pic:blipFill>
                    <a:blip r:embed="rId71"/>
                    <a:stretch>
                      <a:fillRect/>
                    </a:stretch>
                  </pic:blipFill>
                  <pic:spPr>
                    <a:xfrm>
                      <a:off x="0" y="0"/>
                      <a:ext cx="4800600" cy="3429000"/>
                    </a:xfrm>
                    <a:prstGeom prst="rect">
                      <a:avLst/>
                    </a:prstGeom>
                    <a:noFill/>
                    <a:ln>
                      <a:noFill/>
                    </a:ln>
                  </pic:spPr>
                </pic:pic>
              </a:graphicData>
            </a:graphic>
          </wp:anchor>
        </w:drawing>
      </w:r>
    </w:p>
    <w:p w14:paraId="181C1171">
      <w:pPr>
        <w:pStyle w:val="1356"/>
        <w:rPr>
          <w:rFonts w:hint="default" w:ascii="Times New Roman" w:hAnsi="Times New Roman" w:cs="Times New Roman"/>
          <w:color w:val="auto"/>
          <w:highlight w:val="none"/>
          <w:lang w:val="en-US" w:eastAsia="en-US"/>
        </w:rPr>
      </w:pPr>
    </w:p>
    <w:p w14:paraId="2483A03C">
      <w:pPr>
        <w:pStyle w:val="1356"/>
        <w:rPr>
          <w:rFonts w:hint="default" w:ascii="Times New Roman" w:hAnsi="Times New Roman" w:cs="Times New Roman"/>
          <w:color w:val="auto"/>
          <w:highlight w:val="none"/>
          <w:lang w:val="en-US" w:eastAsia="en-US"/>
        </w:rPr>
      </w:pPr>
    </w:p>
    <w:p w14:paraId="3CD85B14">
      <w:pPr>
        <w:pStyle w:val="1356"/>
        <w:rPr>
          <w:rFonts w:hint="default" w:ascii="Times New Roman" w:hAnsi="Times New Roman" w:cs="Times New Roman"/>
          <w:color w:val="auto"/>
          <w:highlight w:val="none"/>
          <w:lang w:val="en-US" w:eastAsia="en-US"/>
        </w:rPr>
      </w:pPr>
    </w:p>
    <w:p w14:paraId="79158938">
      <w:pPr>
        <w:pStyle w:val="1356"/>
        <w:rPr>
          <w:rFonts w:hint="default" w:ascii="Times New Roman" w:hAnsi="Times New Roman" w:cs="Times New Roman"/>
          <w:color w:val="auto"/>
          <w:highlight w:val="none"/>
          <w:lang w:val="en-US" w:eastAsia="en-US"/>
        </w:rPr>
      </w:pPr>
    </w:p>
    <w:p w14:paraId="440D737F">
      <w:pPr>
        <w:pStyle w:val="1356"/>
        <w:rPr>
          <w:rFonts w:hint="default" w:ascii="Times New Roman" w:hAnsi="Times New Roman" w:cs="Times New Roman"/>
          <w:color w:val="auto"/>
          <w:highlight w:val="none"/>
          <w:lang w:val="en-US" w:eastAsia="en-US"/>
        </w:rPr>
      </w:pPr>
    </w:p>
    <w:p w14:paraId="47B3FECA">
      <w:pPr>
        <w:pStyle w:val="1356"/>
        <w:rPr>
          <w:rFonts w:hint="default" w:ascii="Times New Roman" w:hAnsi="Times New Roman" w:cs="Times New Roman"/>
          <w:color w:val="auto"/>
          <w:highlight w:val="none"/>
          <w:lang w:val="en-US" w:eastAsia="en-US"/>
        </w:rPr>
      </w:pPr>
    </w:p>
    <w:p w14:paraId="0A9F9376">
      <w:pPr>
        <w:pStyle w:val="1356"/>
        <w:rPr>
          <w:rFonts w:hint="default" w:ascii="Times New Roman" w:hAnsi="Times New Roman" w:cs="Times New Roman"/>
          <w:color w:val="auto"/>
          <w:highlight w:val="none"/>
          <w:lang w:val="en-US" w:eastAsia="en-US"/>
        </w:rPr>
      </w:pPr>
    </w:p>
    <w:p w14:paraId="3FABD31D">
      <w:pPr>
        <w:pStyle w:val="1356"/>
        <w:rPr>
          <w:rFonts w:hint="default" w:ascii="Times New Roman" w:hAnsi="Times New Roman" w:cs="Times New Roman"/>
          <w:color w:val="auto"/>
          <w:highlight w:val="none"/>
          <w:lang w:val="en-US" w:eastAsia="en-US"/>
        </w:rPr>
      </w:pPr>
    </w:p>
    <w:p w14:paraId="4FC5A2EF">
      <w:pPr>
        <w:pStyle w:val="1356"/>
        <w:rPr>
          <w:rFonts w:hint="default" w:ascii="Times New Roman" w:hAnsi="Times New Roman" w:cs="Times New Roman"/>
          <w:color w:val="auto"/>
          <w:highlight w:val="none"/>
          <w:lang w:val="en-US" w:eastAsia="en-US"/>
        </w:rPr>
      </w:pPr>
    </w:p>
    <w:p w14:paraId="63DDDCC5">
      <w:pPr>
        <w:pStyle w:val="1356"/>
        <w:rPr>
          <w:rFonts w:hint="default" w:ascii="Times New Roman" w:hAnsi="Times New Roman" w:cs="Times New Roman"/>
          <w:color w:val="auto"/>
          <w:highlight w:val="none"/>
          <w:lang w:val="en-US" w:eastAsia="en-US"/>
        </w:rPr>
      </w:pPr>
    </w:p>
    <w:p w14:paraId="28C9C81E">
      <w:pPr>
        <w:pStyle w:val="1356"/>
        <w:rPr>
          <w:rFonts w:hint="default" w:ascii="Times New Roman" w:hAnsi="Times New Roman" w:cs="Times New Roman"/>
          <w:color w:val="auto"/>
          <w:highlight w:val="none"/>
          <w:lang w:val="en-US" w:eastAsia="en-US"/>
        </w:rPr>
      </w:pPr>
    </w:p>
    <w:p w14:paraId="0AB50593">
      <w:pPr>
        <w:pStyle w:val="8"/>
        <w:bidi w:val="0"/>
        <w:rPr>
          <w:rFonts w:hint="default"/>
          <w:color w:val="auto"/>
          <w:highlight w:val="none"/>
          <w:lang w:val="en-US" w:eastAsia="en-US"/>
        </w:rPr>
      </w:pPr>
      <w:r>
        <w:rPr>
          <w:rFonts w:hint="default"/>
          <w:color w:val="auto"/>
          <w:highlight w:val="none"/>
          <w:lang w:val="en-US" w:eastAsia="en-US"/>
        </w:rPr>
        <w:t>图5.</w:t>
      </w:r>
      <w:r>
        <w:rPr>
          <w:rFonts w:hint="eastAsia"/>
          <w:color w:val="auto"/>
          <w:highlight w:val="none"/>
          <w:lang w:val="en-US" w:eastAsia="zh-CN"/>
        </w:rPr>
        <w:t>3-</w:t>
      </w:r>
      <w:r>
        <w:rPr>
          <w:rFonts w:hint="default"/>
          <w:color w:val="auto"/>
          <w:highlight w:val="none"/>
          <w:lang w:val="en-US" w:eastAsia="en-US"/>
        </w:rPr>
        <w:t xml:space="preserve">7 </w:t>
      </w:r>
      <w:r>
        <w:rPr>
          <w:rFonts w:hint="eastAsia"/>
          <w:color w:val="auto"/>
          <w:highlight w:val="none"/>
          <w:lang w:val="en-US" w:eastAsia="zh-CN"/>
        </w:rPr>
        <w:t xml:space="preserve"> </w:t>
      </w:r>
      <w:r>
        <w:rPr>
          <w:rFonts w:hint="default"/>
          <w:color w:val="auto"/>
          <w:highlight w:val="none"/>
          <w:lang w:val="en-US" w:eastAsia="en-US"/>
        </w:rPr>
        <w:t>闽侯（2004-2023）年总降水量（单位：毫米，虚线为趋势线）</w:t>
      </w:r>
    </w:p>
    <w:p w14:paraId="18E220AF">
      <w:pPr>
        <w:pStyle w:val="5"/>
        <w:numPr>
          <w:ilvl w:val="3"/>
          <w:numId w:val="0"/>
        </w:numPr>
        <w:bidi w:val="0"/>
        <w:ind w:leftChars="0"/>
        <w:rPr>
          <w:rFonts w:hint="default"/>
          <w:color w:val="auto"/>
          <w:highlight w:val="none"/>
          <w:lang w:val="en-US" w:eastAsia="en-US"/>
        </w:rPr>
      </w:pPr>
      <w:r>
        <w:rPr>
          <w:rFonts w:hint="default"/>
          <w:color w:val="auto"/>
          <w:highlight w:val="none"/>
          <w:lang w:val="en-US" w:eastAsia="en-US"/>
        </w:rPr>
        <w:t>5.</w:t>
      </w:r>
      <w:r>
        <w:rPr>
          <w:rFonts w:hint="eastAsia"/>
          <w:color w:val="auto"/>
          <w:highlight w:val="none"/>
          <w:lang w:val="en-US" w:eastAsia="zh-CN"/>
        </w:rPr>
        <w:t>3.</w:t>
      </w:r>
      <w:r>
        <w:rPr>
          <w:rFonts w:hint="default"/>
          <w:color w:val="auto"/>
          <w:highlight w:val="none"/>
          <w:lang w:val="en-US" w:eastAsia="en-US"/>
        </w:rPr>
        <w:t>1.5 气象站日照分析</w:t>
      </w:r>
    </w:p>
    <w:p w14:paraId="68E23C3C">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lang w:val="en-US" w:eastAsia="en-US"/>
        </w:rPr>
      </w:pPr>
      <w:r>
        <w:rPr>
          <w:rFonts w:hint="default" w:ascii="Times New Roman Regular" w:hAnsi="Times New Roman Regular" w:eastAsia="宋体" w:cs="Times New Roman Regular"/>
          <w:color w:val="auto"/>
          <w:spacing w:val="0"/>
          <w:w w:val="100"/>
          <w:position w:val="0"/>
          <w:sz w:val="24"/>
          <w:szCs w:val="24"/>
          <w:highlight w:val="none"/>
          <w:lang w:val="en-US" w:eastAsia="en-US"/>
        </w:rPr>
        <w:t>（1）月日照时数</w:t>
      </w:r>
    </w:p>
    <w:p w14:paraId="02BCCEAD">
      <w:pPr>
        <w:pStyle w:val="1422"/>
        <w:keepNext w:val="0"/>
        <w:keepLines w:val="0"/>
        <w:widowControl w:val="0"/>
        <w:shd w:val="clear" w:color="auto" w:fill="auto"/>
        <w:bidi w:val="0"/>
        <w:spacing w:before="0" w:after="0" w:line="468" w:lineRule="exact"/>
        <w:ind w:left="0" w:right="0" w:firstLine="480"/>
        <w:jc w:val="both"/>
        <w:rPr>
          <w:rFonts w:hint="default" w:ascii="Times New Roman Regular" w:hAnsi="Times New Roman Regular" w:eastAsia="宋体" w:cs="Times New Roman Regular"/>
          <w:color w:val="auto"/>
          <w:spacing w:val="0"/>
          <w:w w:val="100"/>
          <w:position w:val="0"/>
          <w:sz w:val="24"/>
          <w:szCs w:val="24"/>
          <w:highlight w:val="none"/>
          <w:lang w:val="en-US" w:eastAsia="en-US"/>
        </w:rPr>
      </w:pPr>
      <w:r>
        <w:rPr>
          <w:rFonts w:hint="default" w:ascii="Times New Roman Regular" w:hAnsi="Times New Roman Regular" w:eastAsia="宋体" w:cs="Times New Roman Regular"/>
          <w:color w:val="auto"/>
          <w:spacing w:val="0"/>
          <w:w w:val="100"/>
          <w:position w:val="0"/>
          <w:sz w:val="24"/>
          <w:szCs w:val="24"/>
          <w:highlight w:val="none"/>
          <w:lang w:val="en-US" w:eastAsia="en-US"/>
        </w:rPr>
        <w:t>闽侯气象站 07 月日照最长（242.9 小时），02 月日照最短（88.1 小时）。</w:t>
      </w:r>
    </w:p>
    <w:p w14:paraId="7F1A90B2">
      <w:pPr>
        <w:pStyle w:val="1356"/>
        <w:rPr>
          <w:rFonts w:hint="eastAsia" w:ascii="Times New Roman" w:hAnsi="Times New Roman" w:cs="Times New Roman"/>
          <w:color w:val="auto"/>
          <w:highlight w:val="none"/>
          <w:lang w:eastAsia="zh-Hans"/>
        </w:rPr>
      </w:pPr>
      <w:r>
        <w:rPr>
          <w:color w:val="auto"/>
          <w:highlight w:val="none"/>
        </w:rPr>
        <w:drawing>
          <wp:inline distT="0" distB="0" distL="114300" distR="114300">
            <wp:extent cx="5577840" cy="4183380"/>
            <wp:effectExtent l="0" t="0" r="3810" b="7620"/>
            <wp:docPr id="28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573"/>
                    <pic:cNvPicPr>
                      <a:picLocks noChangeAspect="1"/>
                    </pic:cNvPicPr>
                  </pic:nvPicPr>
                  <pic:blipFill>
                    <a:blip r:embed="rId72"/>
                    <a:stretch>
                      <a:fillRect/>
                    </a:stretch>
                  </pic:blipFill>
                  <pic:spPr>
                    <a:xfrm>
                      <a:off x="0" y="0"/>
                      <a:ext cx="5577840" cy="4183380"/>
                    </a:xfrm>
                    <a:prstGeom prst="rect">
                      <a:avLst/>
                    </a:prstGeom>
                    <a:noFill/>
                    <a:ln>
                      <a:noFill/>
                    </a:ln>
                  </pic:spPr>
                </pic:pic>
              </a:graphicData>
            </a:graphic>
          </wp:inline>
        </w:drawing>
      </w:r>
    </w:p>
    <w:p w14:paraId="03CE2A0C">
      <w:pPr>
        <w:pStyle w:val="8"/>
        <w:bidi w:val="0"/>
        <w:rPr>
          <w:rFonts w:hint="eastAsia"/>
          <w:color w:val="auto"/>
          <w:highlight w:val="none"/>
          <w:lang w:val="en-US" w:eastAsia="zh-Hans"/>
        </w:rPr>
      </w:pPr>
      <w:r>
        <w:rPr>
          <w:rFonts w:hint="eastAsia"/>
          <w:color w:val="auto"/>
          <w:highlight w:val="none"/>
          <w:lang w:val="en-US" w:eastAsia="zh-Hans"/>
        </w:rPr>
        <w:t>图5.</w:t>
      </w:r>
      <w:r>
        <w:rPr>
          <w:rFonts w:hint="eastAsia"/>
          <w:color w:val="auto"/>
          <w:highlight w:val="none"/>
          <w:lang w:val="en-US" w:eastAsia="zh-CN"/>
        </w:rPr>
        <w:t>3-</w:t>
      </w:r>
      <w:r>
        <w:rPr>
          <w:rFonts w:hint="eastAsia"/>
          <w:color w:val="auto"/>
          <w:highlight w:val="none"/>
          <w:lang w:val="en-US" w:eastAsia="zh-Hans"/>
        </w:rPr>
        <w:t>8</w:t>
      </w:r>
      <w:r>
        <w:rPr>
          <w:rFonts w:hint="eastAsia"/>
          <w:color w:val="auto"/>
          <w:highlight w:val="none"/>
          <w:lang w:val="en-US" w:eastAsia="zh-CN"/>
        </w:rPr>
        <w:t xml:space="preserve">  </w:t>
      </w:r>
      <w:r>
        <w:rPr>
          <w:rFonts w:hint="eastAsia"/>
          <w:color w:val="auto"/>
          <w:highlight w:val="none"/>
          <w:lang w:val="en-US" w:eastAsia="zh-Hans"/>
        </w:rPr>
        <w:t>闽侯月日照时数（单位：小时）</w:t>
      </w:r>
    </w:p>
    <w:p w14:paraId="323C27F1">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2</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日照时数年际变化趋势与周期分析</w:t>
      </w:r>
    </w:p>
    <w:p w14:paraId="1C3B45FA">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Hans"/>
        </w:rPr>
        <w:t>闽侯气象站近20年年日照时数呈现上升趋势，每年上升33.77%</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2023年年日照时数最长</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2618.7小时</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2015年年日照时数最短</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1408.4小时</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无明显周期。</w:t>
      </w:r>
    </w:p>
    <w:p w14:paraId="7975BBD3">
      <w:pPr>
        <w:pStyle w:val="1356"/>
        <w:rPr>
          <w:rFonts w:hint="eastAsia" w:ascii="Times New Roman" w:hAnsi="Times New Roman" w:cs="Times New Roman"/>
          <w:color w:val="auto"/>
          <w:highlight w:val="none"/>
          <w:lang w:eastAsia="zh-Hans"/>
        </w:rPr>
      </w:pPr>
      <w:r>
        <w:rPr>
          <w:color w:val="auto"/>
          <w:highlight w:val="none"/>
        </w:rPr>
        <w:drawing>
          <wp:inline distT="0" distB="0" distL="114300" distR="114300">
            <wp:extent cx="5577840" cy="4183380"/>
            <wp:effectExtent l="0" t="0" r="3810" b="7620"/>
            <wp:docPr id="284"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575"/>
                    <pic:cNvPicPr>
                      <a:picLocks noChangeAspect="1"/>
                    </pic:cNvPicPr>
                  </pic:nvPicPr>
                  <pic:blipFill>
                    <a:blip r:embed="rId73"/>
                    <a:stretch>
                      <a:fillRect/>
                    </a:stretch>
                  </pic:blipFill>
                  <pic:spPr>
                    <a:xfrm>
                      <a:off x="0" y="0"/>
                      <a:ext cx="5577840" cy="4183380"/>
                    </a:xfrm>
                    <a:prstGeom prst="rect">
                      <a:avLst/>
                    </a:prstGeom>
                    <a:noFill/>
                    <a:ln>
                      <a:noFill/>
                    </a:ln>
                  </pic:spPr>
                </pic:pic>
              </a:graphicData>
            </a:graphic>
          </wp:inline>
        </w:drawing>
      </w:r>
    </w:p>
    <w:p w14:paraId="03D29153">
      <w:pPr>
        <w:pStyle w:val="8"/>
        <w:bidi w:val="0"/>
        <w:rPr>
          <w:rFonts w:hint="eastAsia"/>
          <w:color w:val="auto"/>
          <w:highlight w:val="none"/>
          <w:lang w:eastAsia="zh-Hans"/>
        </w:rPr>
      </w:pPr>
      <w:r>
        <w:rPr>
          <w:rFonts w:hint="eastAsia"/>
          <w:color w:val="auto"/>
          <w:highlight w:val="none"/>
          <w:lang w:eastAsia="zh-Hans"/>
        </w:rPr>
        <w:t>图5.</w:t>
      </w:r>
      <w:r>
        <w:rPr>
          <w:rFonts w:hint="eastAsia"/>
          <w:color w:val="auto"/>
          <w:highlight w:val="none"/>
          <w:lang w:val="en-US" w:eastAsia="zh-CN"/>
        </w:rPr>
        <w:t>3-</w:t>
      </w:r>
      <w:r>
        <w:rPr>
          <w:rFonts w:hint="eastAsia"/>
          <w:color w:val="auto"/>
          <w:highlight w:val="none"/>
          <w:lang w:eastAsia="zh-Hans"/>
        </w:rPr>
        <w:t xml:space="preserve">9 </w:t>
      </w:r>
      <w:r>
        <w:rPr>
          <w:rFonts w:hint="eastAsia"/>
          <w:color w:val="auto"/>
          <w:highlight w:val="none"/>
          <w:lang w:val="en-US" w:eastAsia="zh-CN"/>
        </w:rPr>
        <w:t xml:space="preserve"> </w:t>
      </w:r>
      <w:r>
        <w:rPr>
          <w:rFonts w:hint="eastAsia"/>
          <w:color w:val="auto"/>
          <w:highlight w:val="none"/>
          <w:lang w:eastAsia="zh-Hans"/>
        </w:rPr>
        <w:t>闽侯（2004-2023）年日照时长（单位：小时，虚线为趋势线）</w:t>
      </w:r>
    </w:p>
    <w:p w14:paraId="0B4446F5">
      <w:pPr>
        <w:pStyle w:val="5"/>
        <w:numPr>
          <w:ilvl w:val="3"/>
          <w:numId w:val="0"/>
        </w:numPr>
        <w:bidi w:val="0"/>
        <w:ind w:leftChars="0"/>
        <w:rPr>
          <w:rFonts w:hint="eastAsia"/>
          <w:color w:val="auto"/>
          <w:highlight w:val="none"/>
          <w:lang w:val="en-US" w:eastAsia="zh-Hans"/>
        </w:rPr>
      </w:pPr>
      <w:r>
        <w:rPr>
          <w:rFonts w:hint="eastAsia"/>
          <w:color w:val="auto"/>
          <w:highlight w:val="none"/>
          <w:lang w:val="en-US" w:eastAsia="zh-Hans"/>
        </w:rPr>
        <w:t>5.</w:t>
      </w:r>
      <w:r>
        <w:rPr>
          <w:rFonts w:hint="eastAsia"/>
          <w:color w:val="auto"/>
          <w:highlight w:val="none"/>
          <w:lang w:val="en-US" w:eastAsia="zh-CN"/>
        </w:rPr>
        <w:t>3.1.</w:t>
      </w:r>
      <w:r>
        <w:rPr>
          <w:rFonts w:hint="eastAsia"/>
          <w:color w:val="auto"/>
          <w:highlight w:val="none"/>
          <w:lang w:val="en-US" w:eastAsia="zh-Hans"/>
        </w:rPr>
        <w:t>6 气象站相对湿度分析</w:t>
      </w:r>
    </w:p>
    <w:p w14:paraId="5863529B">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Hans"/>
        </w:rPr>
        <w:t>（1）月相对湿度分析</w:t>
      </w:r>
    </w:p>
    <w:p w14:paraId="5430B06F">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Hans"/>
        </w:rPr>
        <w:t>闽侯气象站06月平均相对湿度最大（81.6%），10月平均相对湿度最小（70.4%）。</w:t>
      </w:r>
    </w:p>
    <w:p w14:paraId="41BC6AE2">
      <w:pPr>
        <w:pStyle w:val="1362"/>
        <w:bidi w:val="0"/>
        <w:ind w:left="0" w:leftChars="0" w:firstLine="0" w:firstLineChars="0"/>
        <w:jc w:val="both"/>
        <w:rPr>
          <w:rFonts w:hint="eastAsia" w:ascii="Times New Roman" w:hAnsi="Times New Roman" w:cs="Times New Roman"/>
          <w:color w:val="auto"/>
          <w:highlight w:val="none"/>
          <w:lang w:val="en-US" w:eastAsia="zh-CN"/>
        </w:rPr>
      </w:pPr>
    </w:p>
    <w:p w14:paraId="55B0804D">
      <w:pPr>
        <w:pStyle w:val="1362"/>
        <w:bidi w:val="0"/>
        <w:ind w:left="0" w:leftChars="0" w:firstLine="0" w:firstLineChars="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drawing>
          <wp:inline distT="0" distB="0" distL="114300" distR="114300">
            <wp:extent cx="5075555" cy="3938270"/>
            <wp:effectExtent l="0" t="0" r="0" b="0"/>
            <wp:docPr id="330" name="图片 330" descr="cdbeaff5bc2fa450f46fae6bbdd73c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cdbeaff5bc2fa450f46fae6bbdd73cd9"/>
                    <pic:cNvPicPr>
                      <a:picLocks noChangeAspect="1"/>
                    </pic:cNvPicPr>
                  </pic:nvPicPr>
                  <pic:blipFill>
                    <a:blip r:embed="rId74"/>
                    <a:srcRect b="50471"/>
                    <a:stretch>
                      <a:fillRect/>
                    </a:stretch>
                  </pic:blipFill>
                  <pic:spPr>
                    <a:xfrm>
                      <a:off x="0" y="0"/>
                      <a:ext cx="5075555" cy="3938270"/>
                    </a:xfrm>
                    <a:prstGeom prst="rect">
                      <a:avLst/>
                    </a:prstGeom>
                  </pic:spPr>
                </pic:pic>
              </a:graphicData>
            </a:graphic>
          </wp:inline>
        </w:drawing>
      </w:r>
    </w:p>
    <w:p w14:paraId="0FDD792B">
      <w:pPr>
        <w:pStyle w:val="8"/>
        <w:bidi w:val="0"/>
        <w:rPr>
          <w:rFonts w:hint="eastAsia"/>
          <w:color w:val="auto"/>
          <w:highlight w:val="none"/>
          <w:lang w:eastAsia="zh-Hans"/>
        </w:rPr>
      </w:pPr>
      <w:r>
        <w:rPr>
          <w:rFonts w:hint="eastAsia"/>
          <w:color w:val="auto"/>
          <w:highlight w:val="none"/>
          <w:lang w:val="en-US" w:eastAsia="zh-CN"/>
        </w:rPr>
        <w:t>图</w:t>
      </w:r>
      <w:r>
        <w:rPr>
          <w:rFonts w:hint="eastAsia"/>
          <w:color w:val="auto"/>
          <w:highlight w:val="none"/>
          <w:lang w:eastAsia="zh-Hans"/>
        </w:rPr>
        <w:t>5.</w:t>
      </w:r>
      <w:r>
        <w:rPr>
          <w:rFonts w:hint="eastAsia"/>
          <w:color w:val="auto"/>
          <w:highlight w:val="none"/>
          <w:lang w:val="en-US" w:eastAsia="zh-CN"/>
        </w:rPr>
        <w:t>3-</w:t>
      </w:r>
      <w:r>
        <w:rPr>
          <w:rFonts w:hint="eastAsia"/>
          <w:color w:val="auto"/>
          <w:highlight w:val="none"/>
          <w:lang w:eastAsia="zh-Hans"/>
        </w:rPr>
        <w:t xml:space="preserve">10 </w:t>
      </w:r>
      <w:r>
        <w:rPr>
          <w:rFonts w:hint="eastAsia"/>
          <w:color w:val="auto"/>
          <w:highlight w:val="none"/>
          <w:lang w:val="en-US" w:eastAsia="zh-CN"/>
        </w:rPr>
        <w:t xml:space="preserve"> </w:t>
      </w:r>
      <w:r>
        <w:rPr>
          <w:rFonts w:hint="eastAsia"/>
          <w:color w:val="auto"/>
          <w:highlight w:val="none"/>
          <w:lang w:eastAsia="zh-Hans"/>
        </w:rPr>
        <w:t>闽侯月平均相对湿度（纵轴为百分比）</w:t>
      </w:r>
    </w:p>
    <w:p w14:paraId="6396241D">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val="en-US" w:eastAsia="zh-CN"/>
        </w:rPr>
        <w:t>2</w:t>
      </w:r>
      <w:r>
        <w:rPr>
          <w:rFonts w:hint="eastAsia" w:ascii="Times New Roman Regular" w:hAnsi="Times New Roman Regular" w:eastAsia="宋体" w:cs="Times New Roman Regular"/>
          <w:color w:val="auto"/>
          <w:spacing w:val="0"/>
          <w:w w:val="100"/>
          <w:position w:val="0"/>
          <w:sz w:val="24"/>
          <w:szCs w:val="24"/>
          <w:highlight w:val="none"/>
          <w:lang w:eastAsia="zh-CN"/>
        </w:rPr>
        <w:t>）</w:t>
      </w:r>
      <w:r>
        <w:rPr>
          <w:rFonts w:hint="eastAsia" w:ascii="Times New Roman Regular" w:hAnsi="Times New Roman Regular" w:eastAsia="宋体" w:cs="Times New Roman Regular"/>
          <w:color w:val="auto"/>
          <w:spacing w:val="0"/>
          <w:w w:val="100"/>
          <w:position w:val="0"/>
          <w:sz w:val="24"/>
          <w:szCs w:val="24"/>
          <w:highlight w:val="none"/>
          <w:lang w:eastAsia="zh-Hans"/>
        </w:rPr>
        <w:t>相对湿度年际变化趋势与周期分析</w:t>
      </w:r>
    </w:p>
    <w:p w14:paraId="47BEE2C3">
      <w:pPr>
        <w:pStyle w:val="1422"/>
        <w:keepNext w:val="0"/>
        <w:keepLines w:val="0"/>
        <w:widowControl w:val="0"/>
        <w:shd w:val="clear" w:color="auto" w:fill="auto"/>
        <w:bidi w:val="0"/>
        <w:spacing w:before="0" w:after="0" w:line="468" w:lineRule="exact"/>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Hans"/>
        </w:rPr>
      </w:pPr>
      <w:r>
        <w:rPr>
          <w:rFonts w:hint="eastAsia" w:ascii="Times New Roman Regular" w:hAnsi="Times New Roman Regular" w:eastAsia="宋体" w:cs="Times New Roman Regular"/>
          <w:color w:val="auto"/>
          <w:spacing w:val="0"/>
          <w:w w:val="100"/>
          <w:position w:val="0"/>
          <w:sz w:val="24"/>
          <w:szCs w:val="24"/>
          <w:highlight w:val="none"/>
          <w:lang w:eastAsia="zh-Hans"/>
        </w:rPr>
        <w:t>闽侯气象站近20年年平均相对湿度无明显变化趋势，2012年年平均相对湿度最大（81.0%），2009年年平均相对湿度最小（70.0%），无明显周期。</w:t>
      </w:r>
    </w:p>
    <w:p w14:paraId="54EA0ABE">
      <w:pPr>
        <w:pStyle w:val="1422"/>
        <w:keepNext w:val="0"/>
        <w:keepLines w:val="0"/>
        <w:widowControl w:val="0"/>
        <w:shd w:val="clear" w:color="auto" w:fill="auto"/>
        <w:bidi w:val="0"/>
        <w:spacing w:before="0" w:after="0" w:line="240" w:lineRule="auto"/>
        <w:ind w:left="0" w:right="0" w:firstLine="480"/>
        <w:jc w:val="both"/>
        <w:rPr>
          <w:rFonts w:hint="eastAsia" w:ascii="Times New Roman Regular" w:hAnsi="Times New Roman Regular" w:eastAsia="宋体" w:cs="Times New Roman Regular"/>
          <w:color w:val="auto"/>
          <w:spacing w:val="0"/>
          <w:w w:val="100"/>
          <w:position w:val="0"/>
          <w:sz w:val="24"/>
          <w:szCs w:val="24"/>
          <w:highlight w:val="none"/>
          <w:lang w:eastAsia="zh-CN"/>
        </w:rPr>
      </w:pPr>
    </w:p>
    <w:p w14:paraId="0268B7AC">
      <w:pPr>
        <w:pStyle w:val="1422"/>
        <w:keepNext w:val="0"/>
        <w:keepLines w:val="0"/>
        <w:widowControl w:val="0"/>
        <w:shd w:val="clear" w:color="auto" w:fill="auto"/>
        <w:bidi w:val="0"/>
        <w:spacing w:before="0" w:after="0" w:line="240" w:lineRule="auto"/>
        <w:ind w:left="0" w:leftChars="0" w:right="0" w:firstLine="0" w:firstLineChars="0"/>
        <w:jc w:val="both"/>
        <w:rPr>
          <w:rFonts w:hint="eastAsia" w:ascii="Times New Roman Regular" w:hAnsi="Times New Roman Regular" w:eastAsia="宋体" w:cs="Times New Roman Regular"/>
          <w:color w:val="auto"/>
          <w:spacing w:val="0"/>
          <w:w w:val="100"/>
          <w:position w:val="0"/>
          <w:sz w:val="24"/>
          <w:szCs w:val="24"/>
          <w:highlight w:val="none"/>
          <w:lang w:eastAsia="zh-CN"/>
        </w:rPr>
      </w:pPr>
      <w:r>
        <w:rPr>
          <w:rFonts w:hint="eastAsia" w:ascii="Times New Roman Regular" w:hAnsi="Times New Roman Regular" w:eastAsia="宋体" w:cs="Times New Roman Regular"/>
          <w:color w:val="auto"/>
          <w:spacing w:val="0"/>
          <w:w w:val="100"/>
          <w:position w:val="0"/>
          <w:sz w:val="24"/>
          <w:szCs w:val="24"/>
          <w:highlight w:val="none"/>
          <w:lang w:eastAsia="zh-CN"/>
        </w:rPr>
        <w:drawing>
          <wp:inline distT="0" distB="0" distL="114300" distR="114300">
            <wp:extent cx="5575935" cy="3550285"/>
            <wp:effectExtent l="0" t="0" r="0" b="0"/>
            <wp:docPr id="331" name="图片 331" descr="cdbeaff5bc2fa450f46fae6bbdd73c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descr="cdbeaff5bc2fa450f46fae6bbdd73cd9"/>
                    <pic:cNvPicPr>
                      <a:picLocks noChangeAspect="1"/>
                    </pic:cNvPicPr>
                  </pic:nvPicPr>
                  <pic:blipFill>
                    <a:blip r:embed="rId74"/>
                    <a:srcRect t="59356"/>
                    <a:stretch>
                      <a:fillRect/>
                    </a:stretch>
                  </pic:blipFill>
                  <pic:spPr>
                    <a:xfrm>
                      <a:off x="0" y="0"/>
                      <a:ext cx="5575935" cy="3550285"/>
                    </a:xfrm>
                    <a:prstGeom prst="rect">
                      <a:avLst/>
                    </a:prstGeom>
                  </pic:spPr>
                </pic:pic>
              </a:graphicData>
            </a:graphic>
          </wp:inline>
        </w:drawing>
      </w:r>
    </w:p>
    <w:p w14:paraId="7D2345CF">
      <w:pPr>
        <w:pStyle w:val="8"/>
        <w:bidi w:val="0"/>
        <w:rPr>
          <w:rFonts w:hint="eastAsia"/>
          <w:color w:val="auto"/>
          <w:highlight w:val="none"/>
          <w:lang w:eastAsia="zh-Hans"/>
        </w:rPr>
      </w:pPr>
      <w:r>
        <w:rPr>
          <w:rFonts w:hint="eastAsia"/>
          <w:color w:val="auto"/>
          <w:highlight w:val="none"/>
          <w:lang w:eastAsia="zh-Hans"/>
        </w:rPr>
        <w:t>图5.</w:t>
      </w:r>
      <w:r>
        <w:rPr>
          <w:rFonts w:hint="eastAsia"/>
          <w:color w:val="auto"/>
          <w:highlight w:val="none"/>
          <w:lang w:val="en-US" w:eastAsia="zh-CN"/>
        </w:rPr>
        <w:t>3-</w:t>
      </w:r>
      <w:r>
        <w:rPr>
          <w:rFonts w:hint="eastAsia"/>
          <w:color w:val="auto"/>
          <w:highlight w:val="none"/>
          <w:lang w:eastAsia="zh-Hans"/>
        </w:rPr>
        <w:t xml:space="preserve">11 </w:t>
      </w:r>
      <w:r>
        <w:rPr>
          <w:rFonts w:hint="eastAsia"/>
          <w:color w:val="auto"/>
          <w:highlight w:val="none"/>
          <w:lang w:val="en-US" w:eastAsia="zh-CN"/>
        </w:rPr>
        <w:t xml:space="preserve"> </w:t>
      </w:r>
      <w:r>
        <w:rPr>
          <w:rFonts w:hint="eastAsia"/>
          <w:color w:val="auto"/>
          <w:highlight w:val="none"/>
          <w:lang w:eastAsia="zh-Hans"/>
        </w:rPr>
        <w:t>闽侯（2004-2023）年平均相对湿度（纵轴为百分比，虚线为趋势线）</w:t>
      </w:r>
    </w:p>
    <w:p w14:paraId="10E9AB72">
      <w:pPr>
        <w:pStyle w:val="4"/>
        <w:numPr>
          <w:ilvl w:val="2"/>
          <w:numId w:val="0"/>
        </w:numPr>
        <w:tabs>
          <w:tab w:val="clear" w:pos="720"/>
        </w:tabs>
        <w:bidi w:val="0"/>
        <w:rPr>
          <w:color w:val="auto"/>
          <w:highlight w:val="none"/>
        </w:rPr>
      </w:pPr>
      <w:bookmarkStart w:id="505" w:name="_Toc17127"/>
      <w:r>
        <w:rPr>
          <w:color w:val="auto"/>
          <w:highlight w:val="none"/>
        </w:rPr>
        <w:t>5.3.2</w:t>
      </w:r>
      <w:r>
        <w:rPr>
          <w:rFonts w:hint="eastAsia"/>
          <w:color w:val="auto"/>
          <w:highlight w:val="none"/>
          <w:lang w:val="en-US" w:eastAsia="zh-CN"/>
        </w:rPr>
        <w:t xml:space="preserve"> </w:t>
      </w:r>
      <w:r>
        <w:rPr>
          <w:color w:val="auto"/>
          <w:highlight w:val="none"/>
        </w:rPr>
        <w:t>大气环境影响预测</w:t>
      </w:r>
      <w:bookmarkEnd w:id="505"/>
    </w:p>
    <w:p w14:paraId="3A06ADDD">
      <w:pPr>
        <w:pStyle w:val="1354"/>
        <w:rPr>
          <w:color w:val="auto"/>
          <w:highlight w:val="none"/>
        </w:rPr>
      </w:pPr>
      <w:r>
        <w:rPr>
          <w:color w:val="auto"/>
          <w:highlight w:val="none"/>
        </w:rPr>
        <w:t>（1）评价因子与评价标准确定</w:t>
      </w:r>
    </w:p>
    <w:p w14:paraId="3F99D063">
      <w:pPr>
        <w:pStyle w:val="1354"/>
        <w:rPr>
          <w:color w:val="auto"/>
          <w:highlight w:val="none"/>
        </w:rPr>
      </w:pPr>
      <w:r>
        <w:rPr>
          <w:color w:val="auto"/>
          <w:highlight w:val="none"/>
        </w:rPr>
        <w:t>根据工程分析污染物排放种类，确定大气环境影响评价因子：非甲烷总烃</w:t>
      </w:r>
      <w:r>
        <w:rPr>
          <w:rFonts w:hint="eastAsia"/>
          <w:color w:val="auto"/>
          <w:highlight w:val="none"/>
          <w:lang w:eastAsia="zh-CN"/>
        </w:rPr>
        <w:t>（</w:t>
      </w:r>
      <w:r>
        <w:rPr>
          <w:rFonts w:hint="eastAsia"/>
          <w:color w:val="auto"/>
          <w:highlight w:val="none"/>
          <w:lang w:val="en-US" w:eastAsia="zh-CN"/>
        </w:rPr>
        <w:t>含乙酸丁酯</w:t>
      </w:r>
      <w:r>
        <w:rPr>
          <w:rFonts w:hint="eastAsia"/>
          <w:color w:val="auto"/>
          <w:highlight w:val="none"/>
          <w:lang w:eastAsia="zh-CN"/>
        </w:rPr>
        <w:t>）、</w:t>
      </w:r>
      <w:r>
        <w:rPr>
          <w:rFonts w:hint="eastAsia"/>
          <w:color w:val="auto"/>
          <w:highlight w:val="none"/>
          <w:lang w:val="en-US" w:eastAsia="zh-CN"/>
        </w:rPr>
        <w:t>颗粒物、二甲苯、二氧化硫、氮氧化物</w:t>
      </w:r>
      <w:r>
        <w:rPr>
          <w:color w:val="auto"/>
          <w:highlight w:val="none"/>
        </w:rPr>
        <w:t>。评价因子和评价标准表见表5.3-</w:t>
      </w:r>
      <w:r>
        <w:rPr>
          <w:rFonts w:hint="eastAsia"/>
          <w:color w:val="auto"/>
          <w:highlight w:val="none"/>
          <w:lang w:val="en-US" w:eastAsia="zh-CN"/>
        </w:rPr>
        <w:t>5</w:t>
      </w:r>
      <w:r>
        <w:rPr>
          <w:color w:val="auto"/>
          <w:highlight w:val="none"/>
        </w:rPr>
        <w:t>。</w:t>
      </w:r>
    </w:p>
    <w:p w14:paraId="1F519AEB">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表5.3-</w:t>
      </w:r>
      <w:r>
        <w:rPr>
          <w:rFonts w:hint="eastAsia" w:cs="Times New Roman"/>
          <w:color w:val="auto"/>
          <w:highlight w:val="none"/>
          <w:lang w:val="en-US" w:eastAsia="zh-CN"/>
        </w:rPr>
        <w:t>5</w:t>
      </w:r>
      <w:r>
        <w:rPr>
          <w:rFonts w:hint="default" w:ascii="Times New Roman" w:hAnsi="Times New Roman" w:cs="Times New Roman"/>
          <w:color w:val="auto"/>
          <w:highlight w:val="none"/>
        </w:rPr>
        <w:t xml:space="preserve">  评价因子和评价标准表</w:t>
      </w:r>
    </w:p>
    <w:tbl>
      <w:tblPr>
        <w:tblStyle w:val="8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965"/>
        <w:gridCol w:w="1216"/>
        <w:gridCol w:w="4322"/>
      </w:tblGrid>
      <w:tr w14:paraId="7AB81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noWrap w:val="0"/>
            <w:vAlign w:val="center"/>
          </w:tcPr>
          <w:p w14:paraId="53AF52F9">
            <w:pPr>
              <w:pStyle w:val="1321"/>
              <w:rPr>
                <w:color w:val="auto"/>
                <w:highlight w:val="none"/>
              </w:rPr>
            </w:pPr>
            <w:r>
              <w:rPr>
                <w:color w:val="auto"/>
                <w:highlight w:val="none"/>
              </w:rPr>
              <w:t>评价因子</w:t>
            </w:r>
          </w:p>
        </w:tc>
        <w:tc>
          <w:tcPr>
            <w:tcW w:w="1091" w:type="pct"/>
            <w:noWrap w:val="0"/>
            <w:vAlign w:val="center"/>
          </w:tcPr>
          <w:p w14:paraId="7D50F98D">
            <w:pPr>
              <w:pStyle w:val="1321"/>
              <w:rPr>
                <w:color w:val="auto"/>
                <w:highlight w:val="none"/>
              </w:rPr>
            </w:pPr>
            <w:r>
              <w:rPr>
                <w:color w:val="auto"/>
                <w:highlight w:val="none"/>
              </w:rPr>
              <w:t>平均时段</w:t>
            </w:r>
          </w:p>
        </w:tc>
        <w:tc>
          <w:tcPr>
            <w:tcW w:w="675" w:type="pct"/>
            <w:noWrap w:val="0"/>
            <w:vAlign w:val="center"/>
          </w:tcPr>
          <w:p w14:paraId="6562B341">
            <w:pPr>
              <w:pStyle w:val="1321"/>
              <w:rPr>
                <w:color w:val="auto"/>
                <w:highlight w:val="none"/>
              </w:rPr>
            </w:pPr>
            <w:r>
              <w:rPr>
                <w:color w:val="auto"/>
                <w:highlight w:val="none"/>
              </w:rPr>
              <w:t>标准值</w:t>
            </w:r>
          </w:p>
        </w:tc>
        <w:tc>
          <w:tcPr>
            <w:tcW w:w="2400" w:type="pct"/>
            <w:tcBorders>
              <w:right w:val="nil"/>
            </w:tcBorders>
            <w:noWrap w:val="0"/>
            <w:vAlign w:val="center"/>
          </w:tcPr>
          <w:p w14:paraId="486F79A8">
            <w:pPr>
              <w:pStyle w:val="1321"/>
              <w:rPr>
                <w:color w:val="auto"/>
                <w:highlight w:val="none"/>
              </w:rPr>
            </w:pPr>
            <w:r>
              <w:rPr>
                <w:color w:val="auto"/>
                <w:highlight w:val="none"/>
              </w:rPr>
              <w:t>标准来源</w:t>
            </w:r>
          </w:p>
        </w:tc>
      </w:tr>
      <w:tr w14:paraId="22816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noWrap w:val="0"/>
            <w:vAlign w:val="center"/>
          </w:tcPr>
          <w:p w14:paraId="18DF2A34">
            <w:pPr>
              <w:pStyle w:val="1358"/>
              <w:rPr>
                <w:color w:val="auto"/>
                <w:highlight w:val="none"/>
                <w:lang w:bidi="ar"/>
              </w:rPr>
            </w:pPr>
            <w:r>
              <w:rPr>
                <w:rFonts w:hint="default" w:ascii="Times New Roman" w:hAnsi="Times New Roman" w:eastAsia="宋体" w:cs="Times New Roman"/>
                <w:color w:val="auto"/>
                <w:highlight w:val="none"/>
                <w:lang w:val="en-US" w:eastAsia="zh-CN" w:bidi="ar"/>
              </w:rPr>
              <w:t>NMHC</w:t>
            </w:r>
            <w:r>
              <w:rPr>
                <w:rFonts w:hint="eastAsia"/>
                <w:color w:val="auto"/>
                <w:highlight w:val="none"/>
                <w:lang w:eastAsia="zh-CN"/>
              </w:rPr>
              <w:t>（</w:t>
            </w:r>
            <w:r>
              <w:rPr>
                <w:rFonts w:hint="eastAsia"/>
                <w:color w:val="auto"/>
                <w:highlight w:val="none"/>
                <w:lang w:val="en-US" w:eastAsia="zh-CN"/>
              </w:rPr>
              <w:t>含乙酸丁酯</w:t>
            </w:r>
            <w:r>
              <w:rPr>
                <w:rFonts w:hint="eastAsia"/>
                <w:color w:val="auto"/>
                <w:highlight w:val="none"/>
                <w:lang w:eastAsia="zh-CN"/>
              </w:rPr>
              <w:t>）</w:t>
            </w:r>
          </w:p>
        </w:tc>
        <w:tc>
          <w:tcPr>
            <w:tcW w:w="1091" w:type="pct"/>
            <w:noWrap w:val="0"/>
            <w:vAlign w:val="center"/>
          </w:tcPr>
          <w:p w14:paraId="7E77C256">
            <w:pPr>
              <w:pStyle w:val="1358"/>
              <w:rPr>
                <w:color w:val="auto"/>
                <w:highlight w:val="none"/>
              </w:rPr>
            </w:pPr>
            <w:r>
              <w:rPr>
                <w:color w:val="auto"/>
                <w:highlight w:val="none"/>
              </w:rPr>
              <w:t>一次最高允许浓度</w:t>
            </w:r>
          </w:p>
        </w:tc>
        <w:tc>
          <w:tcPr>
            <w:tcW w:w="675" w:type="pct"/>
            <w:noWrap w:val="0"/>
            <w:vAlign w:val="center"/>
          </w:tcPr>
          <w:p w14:paraId="78669375">
            <w:pPr>
              <w:pStyle w:val="1358"/>
              <w:rPr>
                <w:color w:val="auto"/>
                <w:highlight w:val="none"/>
              </w:rPr>
            </w:pPr>
            <w:r>
              <w:rPr>
                <w:color w:val="auto"/>
                <w:highlight w:val="none"/>
              </w:rPr>
              <w:t>2.0mg/m</w:t>
            </w:r>
            <w:r>
              <w:rPr>
                <w:color w:val="auto"/>
                <w:highlight w:val="none"/>
                <w:vertAlign w:val="superscript"/>
              </w:rPr>
              <w:t>3</w:t>
            </w:r>
          </w:p>
        </w:tc>
        <w:tc>
          <w:tcPr>
            <w:tcW w:w="2400" w:type="pct"/>
            <w:tcBorders>
              <w:right w:val="nil"/>
            </w:tcBorders>
            <w:noWrap w:val="0"/>
            <w:vAlign w:val="center"/>
          </w:tcPr>
          <w:p w14:paraId="0BCF6EF8">
            <w:pPr>
              <w:pStyle w:val="1358"/>
              <w:rPr>
                <w:color w:val="auto"/>
                <w:highlight w:val="none"/>
              </w:rPr>
            </w:pPr>
            <w:r>
              <w:rPr>
                <w:color w:val="auto"/>
                <w:highlight w:val="none"/>
              </w:rPr>
              <w:t>《大气污染物综合排放标准详解》</w:t>
            </w:r>
          </w:p>
        </w:tc>
      </w:tr>
      <w:tr w14:paraId="5A6C16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noWrap w:val="0"/>
            <w:vAlign w:val="center"/>
          </w:tcPr>
          <w:p w14:paraId="1E1C90E8">
            <w:pPr>
              <w:pStyle w:val="1358"/>
              <w:ind w:firstLine="0" w:firstLineChars="0"/>
              <w:rPr>
                <w:rFonts w:hint="eastAsia" w:eastAsia="宋体"/>
                <w:color w:val="auto"/>
                <w:highlight w:val="none"/>
                <w:lang w:val="en-US" w:eastAsia="zh-CN" w:bidi="ar"/>
              </w:rPr>
            </w:pPr>
            <w:r>
              <w:rPr>
                <w:rFonts w:hint="eastAsia" w:cs="Times New Roman"/>
                <w:color w:val="auto"/>
                <w:highlight w:val="none"/>
                <w:lang w:val="en-US" w:eastAsia="zh-CN" w:bidi="ar"/>
              </w:rPr>
              <w:t>二甲苯</w:t>
            </w:r>
          </w:p>
        </w:tc>
        <w:tc>
          <w:tcPr>
            <w:tcW w:w="1091" w:type="pct"/>
            <w:noWrap w:val="0"/>
            <w:vAlign w:val="center"/>
          </w:tcPr>
          <w:p w14:paraId="39F2B753">
            <w:pPr>
              <w:pStyle w:val="1358"/>
              <w:ind w:firstLine="0" w:firstLineChars="0"/>
              <w:rPr>
                <w:color w:val="auto"/>
                <w:highlight w:val="none"/>
              </w:rPr>
            </w:pPr>
            <w:r>
              <w:rPr>
                <w:rFonts w:ascii="Times New Roman" w:hAnsi="Times New Roman" w:eastAsia="宋体" w:cs="Times New Roman"/>
                <w:color w:val="auto"/>
                <w:highlight w:val="none"/>
              </w:rPr>
              <w:t>1小时平均</w:t>
            </w:r>
          </w:p>
        </w:tc>
        <w:tc>
          <w:tcPr>
            <w:tcW w:w="675" w:type="pct"/>
            <w:noWrap w:val="0"/>
            <w:vAlign w:val="center"/>
          </w:tcPr>
          <w:p w14:paraId="33E4230C">
            <w:pPr>
              <w:pStyle w:val="1358"/>
              <w:ind w:firstLine="0" w:firstLineChars="0"/>
              <w:rPr>
                <w:color w:val="auto"/>
                <w:highlight w:val="none"/>
              </w:rPr>
            </w:pPr>
            <w:r>
              <w:rPr>
                <w:rFonts w:hint="eastAsia" w:cs="Times New Roman"/>
                <w:color w:val="auto"/>
                <w:highlight w:val="none"/>
                <w:lang w:val="en-US" w:eastAsia="zh-CN"/>
              </w:rPr>
              <w:t>0.2</w:t>
            </w:r>
            <w:r>
              <w:rPr>
                <w:rFonts w:ascii="Times New Roman" w:hAnsi="Times New Roman" w:eastAsia="宋体" w:cs="Times New Roman"/>
                <w:color w:val="auto"/>
                <w:highlight w:val="none"/>
              </w:rPr>
              <w:t>mg/m</w:t>
            </w:r>
            <w:r>
              <w:rPr>
                <w:rFonts w:ascii="Times New Roman" w:hAnsi="Times New Roman" w:eastAsia="宋体" w:cs="Times New Roman"/>
                <w:color w:val="auto"/>
                <w:highlight w:val="none"/>
                <w:vertAlign w:val="superscript"/>
              </w:rPr>
              <w:t>3</w:t>
            </w:r>
          </w:p>
        </w:tc>
        <w:tc>
          <w:tcPr>
            <w:tcW w:w="2400" w:type="pct"/>
            <w:tcBorders>
              <w:right w:val="nil"/>
            </w:tcBorders>
            <w:noWrap w:val="0"/>
            <w:vAlign w:val="center"/>
          </w:tcPr>
          <w:p w14:paraId="796F41E1">
            <w:pPr>
              <w:pStyle w:val="1358"/>
              <w:rPr>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环境影响</w:t>
            </w:r>
            <w:r>
              <w:rPr>
                <w:rFonts w:hint="eastAsia" w:ascii="Times New Roman" w:hAnsi="Times New Roman" w:eastAsia="宋体" w:cs="Times New Roman"/>
                <w:color w:val="auto"/>
                <w:highlight w:val="none"/>
              </w:rPr>
              <w:t>评价技术导则</w:t>
            </w:r>
            <w:r>
              <w:rPr>
                <w:rFonts w:hint="eastAsia" w:cs="Times New Roman"/>
                <w:color w:val="auto"/>
                <w:highlight w:val="none"/>
                <w:lang w:eastAsia="zh-CN"/>
              </w:rPr>
              <w:t xml:space="preserve"> </w:t>
            </w:r>
            <w:r>
              <w:rPr>
                <w:rFonts w:hint="eastAsia" w:ascii="Times New Roman" w:hAnsi="Times New Roman" w:eastAsia="宋体" w:cs="Times New Roman"/>
                <w:color w:val="auto"/>
                <w:highlight w:val="none"/>
              </w:rPr>
              <w:t>大气环境》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附录D表D.1其他污染物</w:t>
            </w:r>
            <w:r>
              <w:rPr>
                <w:rFonts w:hint="eastAsia" w:ascii="Times New Roman" w:hAnsi="Times New Roman" w:eastAsia="宋体" w:cs="Times New Roman"/>
                <w:color w:val="auto"/>
                <w:highlight w:val="none"/>
                <w:lang w:eastAsia="zh-CN"/>
              </w:rPr>
              <w:t>空气质量</w:t>
            </w:r>
            <w:r>
              <w:rPr>
                <w:rFonts w:hint="eastAsia" w:ascii="Times New Roman" w:hAnsi="Times New Roman" w:eastAsia="宋体" w:cs="Times New Roman"/>
                <w:color w:val="auto"/>
                <w:highlight w:val="none"/>
              </w:rPr>
              <w:t>浓度参考限值</w:t>
            </w:r>
          </w:p>
        </w:tc>
      </w:tr>
      <w:tr w14:paraId="0E0BBE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shd w:val="clear" w:color="auto" w:fill="auto"/>
            <w:noWrap w:val="0"/>
            <w:vAlign w:val="center"/>
          </w:tcPr>
          <w:p w14:paraId="4ACB020B">
            <w:pPr>
              <w:pStyle w:val="1358"/>
              <w:ind w:firstLine="0" w:firstLineChars="0"/>
              <w:rPr>
                <w:rFonts w:hint="eastAsia" w:ascii="Times New Roman" w:hAnsi="Times New Roman" w:eastAsia="宋体" w:cs="Times New Roman"/>
                <w:color w:val="auto"/>
                <w:kern w:val="2"/>
                <w:sz w:val="21"/>
                <w:szCs w:val="24"/>
                <w:highlight w:val="none"/>
                <w:lang w:val="en-US" w:eastAsia="zh-CN" w:bidi="ar"/>
              </w:rPr>
            </w:pPr>
            <w:r>
              <w:rPr>
                <w:rFonts w:hint="eastAsia"/>
                <w:color w:val="auto"/>
                <w:highlight w:val="none"/>
                <w:lang w:val="en-US" w:eastAsia="zh-CN" w:bidi="ar"/>
              </w:rPr>
              <w:t>TSP</w:t>
            </w:r>
          </w:p>
        </w:tc>
        <w:tc>
          <w:tcPr>
            <w:tcW w:w="1091" w:type="pct"/>
            <w:shd w:val="clear" w:color="auto" w:fill="auto"/>
            <w:noWrap w:val="0"/>
            <w:vAlign w:val="center"/>
          </w:tcPr>
          <w:p w14:paraId="76A824D6">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24</w:t>
            </w:r>
            <w:r>
              <w:rPr>
                <w:color w:val="auto"/>
                <w:highlight w:val="none"/>
              </w:rPr>
              <w:t>小时平均</w:t>
            </w:r>
          </w:p>
        </w:tc>
        <w:tc>
          <w:tcPr>
            <w:tcW w:w="675" w:type="pct"/>
            <w:shd w:val="clear" w:color="auto" w:fill="auto"/>
            <w:noWrap w:val="0"/>
            <w:vAlign w:val="center"/>
          </w:tcPr>
          <w:p w14:paraId="3FA4B05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300</w:t>
            </w:r>
            <w:r>
              <w:rPr>
                <w:color w:val="auto"/>
                <w:highlight w:val="none"/>
              </w:rPr>
              <w:t>μg/m</w:t>
            </w:r>
            <w:r>
              <w:rPr>
                <w:color w:val="auto"/>
                <w:highlight w:val="none"/>
                <w:vertAlign w:val="superscript"/>
              </w:rPr>
              <w:t>3</w:t>
            </w:r>
          </w:p>
        </w:tc>
        <w:tc>
          <w:tcPr>
            <w:tcW w:w="2400" w:type="pct"/>
            <w:vMerge w:val="restart"/>
            <w:tcBorders>
              <w:right w:val="nil"/>
            </w:tcBorders>
            <w:noWrap w:val="0"/>
            <w:vAlign w:val="center"/>
          </w:tcPr>
          <w:p w14:paraId="6014CCF8">
            <w:pPr>
              <w:pStyle w:val="1358"/>
              <w:rPr>
                <w:color w:val="auto"/>
                <w:highlight w:val="none"/>
              </w:rPr>
            </w:pPr>
            <w:r>
              <w:rPr>
                <w:rFonts w:ascii="Times New Roman" w:hAnsi="Times New Roman" w:eastAsia="宋体" w:cs="Times New Roman"/>
                <w:color w:val="auto"/>
                <w:highlight w:val="none"/>
              </w:rPr>
              <w:t>《环境空气质量标准》</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GB3095-20</w:t>
            </w:r>
            <w:r>
              <w:rPr>
                <w:rFonts w:hint="eastAsia" w:cs="Times New Roman"/>
                <w:color w:val="auto"/>
                <w:highlight w:val="none"/>
                <w:lang w:val="en-US" w:eastAsia="zh-CN"/>
              </w:rPr>
              <w:t>26</w:t>
            </w:r>
            <w:r>
              <w:rPr>
                <w:rFonts w:hint="eastAsia" w:ascii="Times New Roman" w:hAnsi="Times New Roman" w:eastAsia="宋体" w:cs="Times New Roman"/>
                <w:color w:val="auto"/>
                <w:highlight w:val="none"/>
                <w:lang w:eastAsia="zh-CN"/>
              </w:rPr>
              <w:t>）</w:t>
            </w:r>
          </w:p>
        </w:tc>
      </w:tr>
      <w:tr w14:paraId="641594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noWrap w:val="0"/>
            <w:vAlign w:val="center"/>
          </w:tcPr>
          <w:p w14:paraId="11312A4D">
            <w:pPr>
              <w:pStyle w:val="1358"/>
              <w:rPr>
                <w:rFonts w:hint="eastAsia"/>
                <w:color w:val="auto"/>
                <w:highlight w:val="none"/>
                <w:lang w:val="en-US" w:eastAsia="zh-CN" w:bidi="ar"/>
              </w:rPr>
            </w:pPr>
            <w:r>
              <w:rPr>
                <w:rFonts w:ascii="Times New Roman" w:hAnsi="Times New Roman" w:eastAsia="宋体" w:cs="Times New Roman"/>
                <w:color w:val="auto"/>
                <w:highlight w:val="none"/>
              </w:rPr>
              <w:t>SO</w:t>
            </w:r>
            <w:r>
              <w:rPr>
                <w:rFonts w:ascii="Times New Roman" w:hAnsi="Times New Roman" w:eastAsia="宋体" w:cs="Times New Roman"/>
                <w:color w:val="auto"/>
                <w:highlight w:val="none"/>
                <w:vertAlign w:val="subscript"/>
              </w:rPr>
              <w:t>2</w:t>
            </w:r>
          </w:p>
        </w:tc>
        <w:tc>
          <w:tcPr>
            <w:tcW w:w="1091" w:type="pct"/>
            <w:shd w:val="clear" w:color="auto" w:fill="auto"/>
            <w:noWrap w:val="0"/>
            <w:vAlign w:val="center"/>
          </w:tcPr>
          <w:p w14:paraId="7E37C0E4">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highlight w:val="none"/>
              </w:rPr>
              <w:t>1小时平均</w:t>
            </w:r>
          </w:p>
        </w:tc>
        <w:tc>
          <w:tcPr>
            <w:tcW w:w="675" w:type="pct"/>
            <w:shd w:val="clear" w:color="auto" w:fill="auto"/>
            <w:noWrap w:val="0"/>
            <w:vAlign w:val="center"/>
          </w:tcPr>
          <w:p w14:paraId="1658258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highlight w:val="none"/>
              </w:rPr>
              <w:t>500μg/m</w:t>
            </w:r>
            <w:r>
              <w:rPr>
                <w:rFonts w:ascii="Times New Roman" w:hAnsi="Times New Roman" w:eastAsia="宋体" w:cs="Times New Roman"/>
                <w:color w:val="auto"/>
                <w:highlight w:val="none"/>
                <w:vertAlign w:val="superscript"/>
              </w:rPr>
              <w:t>3</w:t>
            </w:r>
          </w:p>
        </w:tc>
        <w:tc>
          <w:tcPr>
            <w:tcW w:w="2400" w:type="pct"/>
            <w:vMerge w:val="continue"/>
            <w:tcBorders>
              <w:right w:val="nil"/>
            </w:tcBorders>
            <w:noWrap w:val="0"/>
            <w:vAlign w:val="center"/>
          </w:tcPr>
          <w:p w14:paraId="463C1896">
            <w:pPr>
              <w:pStyle w:val="1358"/>
              <w:rPr>
                <w:color w:val="auto"/>
                <w:highlight w:val="none"/>
              </w:rPr>
            </w:pPr>
          </w:p>
        </w:tc>
      </w:tr>
      <w:tr w14:paraId="5C657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3" w:type="pct"/>
            <w:tcBorders>
              <w:left w:val="nil"/>
            </w:tcBorders>
            <w:noWrap w:val="0"/>
            <w:vAlign w:val="center"/>
          </w:tcPr>
          <w:p w14:paraId="70B56F89">
            <w:pPr>
              <w:pStyle w:val="1358"/>
              <w:rPr>
                <w:rFonts w:hint="eastAsia" w:eastAsia="宋体"/>
                <w:color w:val="auto"/>
                <w:highlight w:val="none"/>
                <w:lang w:val="en-US" w:eastAsia="zh-CN" w:bidi="ar"/>
              </w:rPr>
            </w:pPr>
            <w:r>
              <w:rPr>
                <w:rFonts w:ascii="Times New Roman" w:hAnsi="Times New Roman" w:eastAsia="宋体" w:cs="Times New Roman"/>
                <w:color w:val="auto"/>
                <w:highlight w:val="none"/>
              </w:rPr>
              <w:t>NO</w:t>
            </w:r>
            <w:r>
              <w:rPr>
                <w:rFonts w:hint="eastAsia" w:ascii="Times New Roman" w:hAnsi="Times New Roman" w:eastAsia="宋体" w:cs="Times New Roman"/>
                <w:color w:val="auto"/>
                <w:highlight w:val="none"/>
                <w:vertAlign w:val="subscript"/>
                <w:lang w:val="en-US" w:eastAsia="zh-CN"/>
              </w:rPr>
              <w:t>x</w:t>
            </w:r>
          </w:p>
        </w:tc>
        <w:tc>
          <w:tcPr>
            <w:tcW w:w="1091" w:type="pct"/>
            <w:shd w:val="clear" w:color="auto" w:fill="auto"/>
            <w:noWrap w:val="0"/>
            <w:vAlign w:val="center"/>
          </w:tcPr>
          <w:p w14:paraId="6A0E36EC">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highlight w:val="none"/>
              </w:rPr>
              <w:t>1小时平均</w:t>
            </w:r>
          </w:p>
        </w:tc>
        <w:tc>
          <w:tcPr>
            <w:tcW w:w="675" w:type="pct"/>
            <w:shd w:val="clear" w:color="auto" w:fill="auto"/>
            <w:noWrap w:val="0"/>
            <w:vAlign w:val="center"/>
          </w:tcPr>
          <w:p w14:paraId="0066C3CB">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25</w:t>
            </w:r>
            <w:r>
              <w:rPr>
                <w:rFonts w:ascii="Times New Roman" w:hAnsi="Times New Roman" w:eastAsia="宋体" w:cs="Times New Roman"/>
                <w:color w:val="auto"/>
                <w:highlight w:val="none"/>
              </w:rPr>
              <w:t>0μg/m</w:t>
            </w:r>
            <w:r>
              <w:rPr>
                <w:rFonts w:ascii="Times New Roman" w:hAnsi="Times New Roman" w:eastAsia="宋体" w:cs="Times New Roman"/>
                <w:color w:val="auto"/>
                <w:highlight w:val="none"/>
                <w:vertAlign w:val="superscript"/>
              </w:rPr>
              <w:t>3</w:t>
            </w:r>
          </w:p>
        </w:tc>
        <w:tc>
          <w:tcPr>
            <w:tcW w:w="2400" w:type="pct"/>
            <w:vMerge w:val="continue"/>
            <w:tcBorders>
              <w:right w:val="nil"/>
            </w:tcBorders>
            <w:noWrap w:val="0"/>
            <w:vAlign w:val="center"/>
          </w:tcPr>
          <w:p w14:paraId="4E81933B">
            <w:pPr>
              <w:pStyle w:val="1358"/>
              <w:rPr>
                <w:color w:val="auto"/>
                <w:highlight w:val="none"/>
              </w:rPr>
            </w:pPr>
          </w:p>
        </w:tc>
      </w:tr>
    </w:tbl>
    <w:p w14:paraId="71EB1161">
      <w:pPr>
        <w:pStyle w:val="1319"/>
        <w:ind w:firstLine="480"/>
        <w:rPr>
          <w:color w:val="auto"/>
          <w:highlight w:val="none"/>
        </w:rPr>
      </w:pPr>
      <w:r>
        <w:rPr>
          <w:color w:val="auto"/>
          <w:highlight w:val="none"/>
        </w:rPr>
        <w:t>（2）评价范围</w:t>
      </w:r>
    </w:p>
    <w:p w14:paraId="335FE2EA">
      <w:pPr>
        <w:pStyle w:val="1319"/>
        <w:ind w:firstLine="480"/>
        <w:rPr>
          <w:color w:val="auto"/>
          <w:highlight w:val="none"/>
        </w:rPr>
      </w:pPr>
      <w:r>
        <w:rPr>
          <w:color w:val="auto"/>
          <w:highlight w:val="none"/>
        </w:rPr>
        <w:t>预测范围覆盖评价范围，</w:t>
      </w:r>
      <w:r>
        <w:rPr>
          <w:rFonts w:hint="eastAsia"/>
          <w:color w:val="auto"/>
          <w:highlight w:val="none"/>
          <w:lang w:eastAsia="zh-CN"/>
        </w:rPr>
        <w:t>即</w:t>
      </w:r>
      <w:r>
        <w:rPr>
          <w:color w:val="auto"/>
          <w:highlight w:val="none"/>
        </w:rPr>
        <w:t>以厂址为中心，边长为5km的矩形区域。</w:t>
      </w:r>
    </w:p>
    <w:p w14:paraId="608B761B">
      <w:pPr>
        <w:pStyle w:val="1319"/>
        <w:ind w:firstLine="480"/>
        <w:rPr>
          <w:color w:val="auto"/>
          <w:highlight w:val="none"/>
        </w:rPr>
      </w:pPr>
      <w:r>
        <w:rPr>
          <w:color w:val="auto"/>
          <w:highlight w:val="none"/>
        </w:rPr>
        <w:t>（3）估算模型及参数</w:t>
      </w:r>
    </w:p>
    <w:p w14:paraId="41F35505">
      <w:pPr>
        <w:pStyle w:val="1319"/>
        <w:ind w:firstLine="480"/>
        <w:rPr>
          <w:color w:val="auto"/>
          <w:highlight w:val="none"/>
        </w:rPr>
      </w:pPr>
      <w:r>
        <w:rPr>
          <w:rFonts w:hint="eastAsia" w:ascii="宋体" w:hAnsi="宋体" w:cs="宋体"/>
          <w:color w:val="auto"/>
          <w:highlight w:val="none"/>
        </w:rPr>
        <w:t>①</w:t>
      </w:r>
      <w:r>
        <w:rPr>
          <w:color w:val="auto"/>
          <w:highlight w:val="none"/>
        </w:rPr>
        <w:t>估算模型</w:t>
      </w:r>
    </w:p>
    <w:p w14:paraId="2BF6F643">
      <w:pPr>
        <w:pStyle w:val="1336"/>
        <w:ind w:firstLine="480"/>
        <w:rPr>
          <w:color w:val="auto"/>
          <w:highlight w:val="none"/>
        </w:rPr>
      </w:pPr>
      <w:r>
        <w:rPr>
          <w:color w:val="auto"/>
          <w:highlight w:val="none"/>
        </w:rPr>
        <w:t>本项目采用《环境影响评价技术导则-大气环境》</w:t>
      </w:r>
      <w:r>
        <w:rPr>
          <w:rFonts w:hint="eastAsia"/>
          <w:color w:val="auto"/>
          <w:highlight w:val="none"/>
          <w:lang w:eastAsia="zh-CN"/>
        </w:rPr>
        <w:t>（</w:t>
      </w:r>
      <w:r>
        <w:rPr>
          <w:color w:val="auto"/>
          <w:highlight w:val="none"/>
        </w:rPr>
        <w:t>HJ2.2-2018</w:t>
      </w:r>
      <w:r>
        <w:rPr>
          <w:rFonts w:hint="eastAsia"/>
          <w:color w:val="auto"/>
          <w:highlight w:val="none"/>
          <w:lang w:eastAsia="zh-CN"/>
        </w:rPr>
        <w:t>）</w:t>
      </w:r>
      <w:r>
        <w:rPr>
          <w:color w:val="auto"/>
          <w:highlight w:val="none"/>
        </w:rPr>
        <w:t>中附录A 推荐模式中的AERSCREEN 估算模式。</w:t>
      </w:r>
    </w:p>
    <w:p w14:paraId="77C2F7DC">
      <w:pPr>
        <w:pStyle w:val="1319"/>
        <w:ind w:firstLine="480"/>
        <w:rPr>
          <w:color w:val="auto"/>
          <w:highlight w:val="none"/>
        </w:rPr>
      </w:pPr>
      <w:r>
        <w:rPr>
          <w:rFonts w:hint="eastAsia" w:ascii="宋体" w:hAnsi="宋体" w:cs="宋体"/>
          <w:color w:val="auto"/>
          <w:highlight w:val="none"/>
        </w:rPr>
        <w:t>②</w:t>
      </w:r>
      <w:r>
        <w:rPr>
          <w:color w:val="auto"/>
          <w:highlight w:val="none"/>
        </w:rPr>
        <w:t>参数</w:t>
      </w:r>
    </w:p>
    <w:p w14:paraId="52AACDC0">
      <w:pPr>
        <w:pStyle w:val="1354"/>
        <w:rPr>
          <w:color w:val="auto"/>
          <w:highlight w:val="none"/>
        </w:rPr>
      </w:pPr>
      <w:r>
        <w:rPr>
          <w:color w:val="auto"/>
          <w:highlight w:val="none"/>
        </w:rPr>
        <w:t>根据《环境影响评价技术导则－大气环境》（HJ2.2-2018）附录C，估算模型AERSCREEN所需参数详见表5.3-</w:t>
      </w:r>
      <w:r>
        <w:rPr>
          <w:rFonts w:hint="eastAsia"/>
          <w:color w:val="auto"/>
          <w:highlight w:val="none"/>
          <w:lang w:val="en-US" w:eastAsia="zh-CN"/>
        </w:rPr>
        <w:t>6</w:t>
      </w:r>
      <w:r>
        <w:rPr>
          <w:color w:val="auto"/>
          <w:highlight w:val="none"/>
        </w:rPr>
        <w:t>。</w:t>
      </w:r>
    </w:p>
    <w:p w14:paraId="5C55CBC7">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表5.3-</w:t>
      </w:r>
      <w:r>
        <w:rPr>
          <w:rFonts w:hint="eastAsia" w:cs="Times New Roman"/>
          <w:color w:val="auto"/>
          <w:highlight w:val="none"/>
          <w:lang w:val="en-US" w:eastAsia="zh-CN"/>
        </w:rPr>
        <w:t>6</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 估算模型参数表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3916"/>
        <w:gridCol w:w="2948"/>
      </w:tblGrid>
      <w:tr w14:paraId="2AE82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05DCB927">
            <w:pPr>
              <w:pStyle w:val="1358"/>
              <w:rPr>
                <w:color w:val="auto"/>
                <w:highlight w:val="none"/>
              </w:rPr>
            </w:pPr>
            <w:r>
              <w:rPr>
                <w:color w:val="auto"/>
                <w:highlight w:val="none"/>
              </w:rPr>
              <w:t>参数</w:t>
            </w:r>
          </w:p>
        </w:tc>
        <w:tc>
          <w:tcPr>
            <w:tcW w:w="1667" w:type="pct"/>
            <w:tcBorders>
              <w:tl2br w:val="nil"/>
              <w:tr2bl w:val="nil"/>
            </w:tcBorders>
            <w:noWrap w:val="0"/>
            <w:tcMar>
              <w:left w:w="28" w:type="dxa"/>
              <w:right w:w="28" w:type="dxa"/>
            </w:tcMar>
            <w:vAlign w:val="center"/>
          </w:tcPr>
          <w:p w14:paraId="5F69A230">
            <w:pPr>
              <w:pStyle w:val="1358"/>
              <w:rPr>
                <w:color w:val="auto"/>
                <w:highlight w:val="none"/>
              </w:rPr>
            </w:pPr>
            <w:r>
              <w:rPr>
                <w:color w:val="auto"/>
                <w:highlight w:val="none"/>
              </w:rPr>
              <w:t>取值</w:t>
            </w:r>
          </w:p>
        </w:tc>
      </w:tr>
      <w:tr w14:paraId="710CC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7506D620">
            <w:pPr>
              <w:pStyle w:val="1358"/>
              <w:rPr>
                <w:color w:val="auto"/>
                <w:highlight w:val="none"/>
              </w:rPr>
            </w:pPr>
            <w:r>
              <w:rPr>
                <w:color w:val="auto"/>
                <w:highlight w:val="none"/>
              </w:rPr>
              <w:t>城市/农村选项</w:t>
            </w:r>
          </w:p>
        </w:tc>
        <w:tc>
          <w:tcPr>
            <w:tcW w:w="2214" w:type="pct"/>
            <w:tcBorders>
              <w:tl2br w:val="nil"/>
              <w:tr2bl w:val="nil"/>
            </w:tcBorders>
            <w:noWrap w:val="0"/>
            <w:tcMar>
              <w:left w:w="28" w:type="dxa"/>
              <w:right w:w="28" w:type="dxa"/>
            </w:tcMar>
            <w:vAlign w:val="center"/>
          </w:tcPr>
          <w:p w14:paraId="334BB68C">
            <w:pPr>
              <w:pStyle w:val="1358"/>
              <w:rPr>
                <w:color w:val="auto"/>
                <w:highlight w:val="none"/>
              </w:rPr>
            </w:pPr>
            <w:r>
              <w:rPr>
                <w:color w:val="auto"/>
                <w:highlight w:val="none"/>
              </w:rPr>
              <w:t>城市/农村</w:t>
            </w:r>
          </w:p>
        </w:tc>
        <w:tc>
          <w:tcPr>
            <w:tcW w:w="1667" w:type="pct"/>
            <w:tcBorders>
              <w:tl2br w:val="nil"/>
              <w:tr2bl w:val="nil"/>
            </w:tcBorders>
            <w:noWrap w:val="0"/>
            <w:tcMar>
              <w:left w:w="28" w:type="dxa"/>
              <w:right w:w="28" w:type="dxa"/>
            </w:tcMar>
            <w:vAlign w:val="center"/>
          </w:tcPr>
          <w:p w14:paraId="30A1B48D">
            <w:pPr>
              <w:pStyle w:val="1358"/>
              <w:rPr>
                <w:color w:val="auto"/>
                <w:highlight w:val="none"/>
              </w:rPr>
            </w:pPr>
            <w:r>
              <w:rPr>
                <w:color w:val="auto"/>
                <w:highlight w:val="none"/>
              </w:rPr>
              <w:t>城市</w:t>
            </w:r>
          </w:p>
        </w:tc>
      </w:tr>
      <w:tr w14:paraId="35786C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761EEF7B">
            <w:pPr>
              <w:pStyle w:val="1358"/>
              <w:rPr>
                <w:color w:val="auto"/>
                <w:highlight w:val="none"/>
              </w:rPr>
            </w:pPr>
          </w:p>
        </w:tc>
        <w:tc>
          <w:tcPr>
            <w:tcW w:w="2214" w:type="pct"/>
            <w:tcBorders>
              <w:tl2br w:val="nil"/>
              <w:tr2bl w:val="nil"/>
            </w:tcBorders>
            <w:noWrap w:val="0"/>
            <w:tcMar>
              <w:left w:w="28" w:type="dxa"/>
              <w:right w:w="28" w:type="dxa"/>
            </w:tcMar>
            <w:vAlign w:val="center"/>
          </w:tcPr>
          <w:p w14:paraId="2CA802D5">
            <w:pPr>
              <w:pStyle w:val="1358"/>
              <w:rPr>
                <w:color w:val="auto"/>
                <w:highlight w:val="none"/>
              </w:rPr>
            </w:pPr>
            <w:r>
              <w:rPr>
                <w:color w:val="auto"/>
                <w:highlight w:val="none"/>
              </w:rPr>
              <w:t>人口数（城市选项时）</w:t>
            </w:r>
          </w:p>
        </w:tc>
        <w:tc>
          <w:tcPr>
            <w:tcW w:w="1667" w:type="pct"/>
            <w:tcBorders>
              <w:tl2br w:val="nil"/>
              <w:tr2bl w:val="nil"/>
            </w:tcBorders>
            <w:noWrap w:val="0"/>
            <w:tcMar>
              <w:left w:w="28" w:type="dxa"/>
              <w:right w:w="28" w:type="dxa"/>
            </w:tcMar>
            <w:vAlign w:val="center"/>
          </w:tcPr>
          <w:p w14:paraId="4A52F830">
            <w:pPr>
              <w:pStyle w:val="1358"/>
              <w:rPr>
                <w:color w:val="auto"/>
                <w:highlight w:val="none"/>
              </w:rPr>
            </w:pPr>
            <w:r>
              <w:rPr>
                <w:rFonts w:hint="eastAsia"/>
                <w:color w:val="auto"/>
                <w:highlight w:val="none"/>
                <w:lang w:val="en-US" w:eastAsia="zh-CN"/>
              </w:rPr>
              <w:t>102.4</w:t>
            </w:r>
            <w:r>
              <w:rPr>
                <w:color w:val="auto"/>
                <w:highlight w:val="none"/>
              </w:rPr>
              <w:t>万</w:t>
            </w:r>
          </w:p>
        </w:tc>
      </w:tr>
      <w:tr w14:paraId="70AF7D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5CF3C4BE">
            <w:pPr>
              <w:pStyle w:val="1358"/>
              <w:rPr>
                <w:color w:val="auto"/>
                <w:highlight w:val="none"/>
              </w:rPr>
            </w:pPr>
            <w:r>
              <w:rPr>
                <w:color w:val="auto"/>
                <w:highlight w:val="none"/>
              </w:rPr>
              <w:t>最高环境温度/℃</w:t>
            </w:r>
          </w:p>
        </w:tc>
        <w:tc>
          <w:tcPr>
            <w:tcW w:w="2948" w:type="dxa"/>
            <w:tcBorders>
              <w:tl2br w:val="nil"/>
              <w:tr2bl w:val="nil"/>
            </w:tcBorders>
            <w:noWrap w:val="0"/>
            <w:tcMar>
              <w:left w:w="28" w:type="dxa"/>
              <w:right w:w="28" w:type="dxa"/>
            </w:tcMar>
            <w:vAlign w:val="center"/>
          </w:tcPr>
          <w:p w14:paraId="22D713C5">
            <w:pPr>
              <w:pStyle w:val="1358"/>
              <w:ind w:firstLine="0" w:firstLineChars="0"/>
              <w:rPr>
                <w:rFonts w:hint="default" w:eastAsia="宋体"/>
                <w:color w:val="auto"/>
                <w:highlight w:val="none"/>
                <w:lang w:val="en-US" w:eastAsia="zh-CN"/>
              </w:rPr>
            </w:pPr>
            <w:r>
              <w:rPr>
                <w:rFonts w:hint="eastAsia"/>
                <w:color w:val="auto"/>
                <w:highlight w:val="none"/>
                <w:lang w:val="en-US" w:eastAsia="zh-CN"/>
              </w:rPr>
              <w:t>39.4</w:t>
            </w:r>
          </w:p>
        </w:tc>
      </w:tr>
      <w:tr w14:paraId="03C0B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4DE88C35">
            <w:pPr>
              <w:pStyle w:val="1358"/>
              <w:rPr>
                <w:color w:val="auto"/>
                <w:highlight w:val="none"/>
              </w:rPr>
            </w:pPr>
            <w:r>
              <w:rPr>
                <w:color w:val="auto"/>
                <w:highlight w:val="none"/>
              </w:rPr>
              <w:t>最低环境温度/℃</w:t>
            </w:r>
          </w:p>
        </w:tc>
        <w:tc>
          <w:tcPr>
            <w:tcW w:w="2948" w:type="dxa"/>
            <w:tcBorders>
              <w:tl2br w:val="nil"/>
              <w:tr2bl w:val="nil"/>
            </w:tcBorders>
            <w:noWrap w:val="0"/>
            <w:tcMar>
              <w:left w:w="28" w:type="dxa"/>
              <w:right w:w="28" w:type="dxa"/>
            </w:tcMar>
            <w:vAlign w:val="center"/>
          </w:tcPr>
          <w:p w14:paraId="7F23BD06">
            <w:pPr>
              <w:pStyle w:val="1358"/>
              <w:ind w:firstLine="0" w:firstLineChars="0"/>
              <w:rPr>
                <w:rFonts w:hint="default" w:eastAsia="宋体"/>
                <w:color w:val="auto"/>
                <w:highlight w:val="none"/>
                <w:lang w:val="en-US" w:eastAsia="zh-CN"/>
              </w:rPr>
            </w:pPr>
            <w:r>
              <w:rPr>
                <w:rFonts w:hint="eastAsia"/>
                <w:color w:val="auto"/>
                <w:highlight w:val="none"/>
                <w:lang w:val="en-US" w:eastAsia="zh-CN"/>
              </w:rPr>
              <w:t>1.2</w:t>
            </w:r>
          </w:p>
        </w:tc>
      </w:tr>
      <w:tr w14:paraId="50101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4319DF24">
            <w:pPr>
              <w:pStyle w:val="1358"/>
              <w:rPr>
                <w:color w:val="auto"/>
                <w:highlight w:val="none"/>
              </w:rPr>
            </w:pPr>
            <w:r>
              <w:rPr>
                <w:color w:val="auto"/>
                <w:highlight w:val="none"/>
              </w:rPr>
              <w:t>土地利用类型</w:t>
            </w:r>
          </w:p>
        </w:tc>
        <w:tc>
          <w:tcPr>
            <w:tcW w:w="1667" w:type="pct"/>
            <w:tcBorders>
              <w:tl2br w:val="nil"/>
              <w:tr2bl w:val="nil"/>
            </w:tcBorders>
            <w:noWrap w:val="0"/>
            <w:tcMar>
              <w:left w:w="28" w:type="dxa"/>
              <w:right w:w="28" w:type="dxa"/>
            </w:tcMar>
            <w:vAlign w:val="center"/>
          </w:tcPr>
          <w:p w14:paraId="21E5DB33">
            <w:pPr>
              <w:pStyle w:val="1358"/>
              <w:rPr>
                <w:color w:val="auto"/>
                <w:highlight w:val="none"/>
              </w:rPr>
            </w:pPr>
            <w:r>
              <w:rPr>
                <w:bCs/>
                <w:color w:val="auto"/>
                <w:highlight w:val="none"/>
              </w:rPr>
              <w:t>城市</w:t>
            </w:r>
          </w:p>
        </w:tc>
      </w:tr>
      <w:tr w14:paraId="4FBFC0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2"/>
            <w:tcBorders>
              <w:tl2br w:val="nil"/>
              <w:tr2bl w:val="nil"/>
            </w:tcBorders>
            <w:noWrap w:val="0"/>
            <w:tcMar>
              <w:left w:w="28" w:type="dxa"/>
              <w:right w:w="28" w:type="dxa"/>
            </w:tcMar>
            <w:vAlign w:val="center"/>
          </w:tcPr>
          <w:p w14:paraId="215FE60E">
            <w:pPr>
              <w:pStyle w:val="1358"/>
              <w:rPr>
                <w:color w:val="auto"/>
                <w:highlight w:val="none"/>
              </w:rPr>
            </w:pPr>
            <w:r>
              <w:rPr>
                <w:color w:val="auto"/>
                <w:highlight w:val="none"/>
              </w:rPr>
              <w:t>区域湿度条件</w:t>
            </w:r>
          </w:p>
        </w:tc>
        <w:tc>
          <w:tcPr>
            <w:tcW w:w="1667" w:type="pct"/>
            <w:tcBorders>
              <w:tl2br w:val="nil"/>
              <w:tr2bl w:val="nil"/>
            </w:tcBorders>
            <w:noWrap w:val="0"/>
            <w:tcMar>
              <w:left w:w="28" w:type="dxa"/>
              <w:right w:w="28" w:type="dxa"/>
            </w:tcMar>
            <w:vAlign w:val="center"/>
          </w:tcPr>
          <w:p w14:paraId="3F1F98F3">
            <w:pPr>
              <w:pStyle w:val="1358"/>
              <w:rPr>
                <w:color w:val="auto"/>
                <w:highlight w:val="none"/>
              </w:rPr>
            </w:pPr>
            <w:r>
              <w:rPr>
                <w:bCs/>
                <w:color w:val="auto"/>
                <w:highlight w:val="none"/>
              </w:rPr>
              <w:t>潮湿气候</w:t>
            </w:r>
          </w:p>
        </w:tc>
      </w:tr>
      <w:tr w14:paraId="4E9885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38F5D986">
            <w:pPr>
              <w:pStyle w:val="1358"/>
              <w:rPr>
                <w:color w:val="auto"/>
                <w:highlight w:val="none"/>
              </w:rPr>
            </w:pPr>
            <w:r>
              <w:rPr>
                <w:color w:val="auto"/>
                <w:highlight w:val="none"/>
              </w:rPr>
              <w:t>是否考虑地形</w:t>
            </w:r>
          </w:p>
        </w:tc>
        <w:tc>
          <w:tcPr>
            <w:tcW w:w="2214" w:type="pct"/>
            <w:tcBorders>
              <w:tl2br w:val="nil"/>
              <w:tr2bl w:val="nil"/>
            </w:tcBorders>
            <w:noWrap w:val="0"/>
            <w:tcMar>
              <w:left w:w="28" w:type="dxa"/>
              <w:right w:w="28" w:type="dxa"/>
            </w:tcMar>
            <w:vAlign w:val="center"/>
          </w:tcPr>
          <w:p w14:paraId="5DA67C38">
            <w:pPr>
              <w:pStyle w:val="1358"/>
              <w:rPr>
                <w:color w:val="auto"/>
                <w:highlight w:val="none"/>
              </w:rPr>
            </w:pPr>
            <w:r>
              <w:rPr>
                <w:color w:val="auto"/>
                <w:highlight w:val="none"/>
              </w:rPr>
              <w:t>考虑地形</w:t>
            </w:r>
          </w:p>
        </w:tc>
        <w:tc>
          <w:tcPr>
            <w:tcW w:w="1667" w:type="pct"/>
            <w:tcBorders>
              <w:tl2br w:val="nil"/>
              <w:tr2bl w:val="nil"/>
            </w:tcBorders>
            <w:noWrap w:val="0"/>
            <w:tcMar>
              <w:left w:w="28" w:type="dxa"/>
              <w:right w:w="28" w:type="dxa"/>
            </w:tcMar>
            <w:vAlign w:val="center"/>
          </w:tcPr>
          <w:p w14:paraId="20D80BC0">
            <w:pPr>
              <w:pStyle w:val="1358"/>
              <w:rPr>
                <w:rFonts w:hint="eastAsia" w:eastAsia="宋体"/>
                <w:color w:val="auto"/>
                <w:highlight w:val="none"/>
                <w:lang w:eastAsia="zh-CN"/>
              </w:rPr>
            </w:pPr>
            <w:r>
              <w:rPr>
                <w:rFonts w:hint="eastAsia"/>
                <w:color w:val="auto"/>
                <w:highlight w:val="none"/>
                <w:lang w:val="en-US" w:eastAsia="zh-CN"/>
              </w:rPr>
              <w:t>否</w:t>
            </w:r>
          </w:p>
        </w:tc>
      </w:tr>
      <w:tr w14:paraId="56C61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5B0CFA16">
            <w:pPr>
              <w:pStyle w:val="1358"/>
              <w:rPr>
                <w:color w:val="auto"/>
                <w:highlight w:val="none"/>
              </w:rPr>
            </w:pPr>
          </w:p>
        </w:tc>
        <w:tc>
          <w:tcPr>
            <w:tcW w:w="2214" w:type="pct"/>
            <w:tcBorders>
              <w:tl2br w:val="nil"/>
              <w:tr2bl w:val="nil"/>
            </w:tcBorders>
            <w:noWrap w:val="0"/>
            <w:tcMar>
              <w:left w:w="28" w:type="dxa"/>
              <w:right w:w="28" w:type="dxa"/>
            </w:tcMar>
            <w:vAlign w:val="center"/>
          </w:tcPr>
          <w:p w14:paraId="247FD438">
            <w:pPr>
              <w:pStyle w:val="1358"/>
              <w:rPr>
                <w:color w:val="auto"/>
                <w:highlight w:val="none"/>
              </w:rPr>
            </w:pPr>
            <w:r>
              <w:rPr>
                <w:color w:val="auto"/>
                <w:highlight w:val="none"/>
              </w:rPr>
              <w:t>地形数据分辨率/m</w:t>
            </w:r>
          </w:p>
        </w:tc>
        <w:tc>
          <w:tcPr>
            <w:tcW w:w="1667" w:type="pct"/>
            <w:tcBorders>
              <w:tl2br w:val="nil"/>
              <w:tr2bl w:val="nil"/>
            </w:tcBorders>
            <w:noWrap w:val="0"/>
            <w:tcMar>
              <w:left w:w="28" w:type="dxa"/>
              <w:right w:w="28" w:type="dxa"/>
            </w:tcMar>
            <w:vAlign w:val="center"/>
          </w:tcPr>
          <w:p w14:paraId="32A94E1A">
            <w:pPr>
              <w:pStyle w:val="1358"/>
              <w:rPr>
                <w:rFonts w:hint="eastAsia" w:eastAsia="宋体"/>
                <w:color w:val="auto"/>
                <w:highlight w:val="none"/>
                <w:lang w:eastAsia="zh-CN"/>
              </w:rPr>
            </w:pPr>
            <w:r>
              <w:rPr>
                <w:rFonts w:hint="eastAsia"/>
                <w:color w:val="auto"/>
                <w:highlight w:val="none"/>
                <w:lang w:val="en-US" w:eastAsia="zh-CN"/>
              </w:rPr>
              <w:t>/</w:t>
            </w:r>
          </w:p>
        </w:tc>
      </w:tr>
      <w:tr w14:paraId="34AD99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restart"/>
            <w:tcBorders>
              <w:tl2br w:val="nil"/>
              <w:tr2bl w:val="nil"/>
            </w:tcBorders>
            <w:noWrap w:val="0"/>
            <w:tcMar>
              <w:left w:w="28" w:type="dxa"/>
              <w:right w:w="28" w:type="dxa"/>
            </w:tcMar>
            <w:vAlign w:val="center"/>
          </w:tcPr>
          <w:p w14:paraId="52440CFC">
            <w:pPr>
              <w:pStyle w:val="1358"/>
              <w:rPr>
                <w:color w:val="auto"/>
                <w:highlight w:val="none"/>
              </w:rPr>
            </w:pPr>
            <w:r>
              <w:rPr>
                <w:color w:val="auto"/>
                <w:highlight w:val="none"/>
              </w:rPr>
              <w:t>是否考虑岸线熏烟</w:t>
            </w:r>
          </w:p>
        </w:tc>
        <w:tc>
          <w:tcPr>
            <w:tcW w:w="2214" w:type="pct"/>
            <w:tcBorders>
              <w:tl2br w:val="nil"/>
              <w:tr2bl w:val="nil"/>
            </w:tcBorders>
            <w:noWrap w:val="0"/>
            <w:tcMar>
              <w:left w:w="28" w:type="dxa"/>
              <w:right w:w="28" w:type="dxa"/>
            </w:tcMar>
            <w:vAlign w:val="center"/>
          </w:tcPr>
          <w:p w14:paraId="7D8A002C">
            <w:pPr>
              <w:pStyle w:val="1358"/>
              <w:rPr>
                <w:color w:val="auto"/>
                <w:highlight w:val="none"/>
              </w:rPr>
            </w:pPr>
            <w:r>
              <w:rPr>
                <w:color w:val="auto"/>
                <w:highlight w:val="none"/>
              </w:rPr>
              <w:t>考虑岸线熏烟</w:t>
            </w:r>
          </w:p>
        </w:tc>
        <w:tc>
          <w:tcPr>
            <w:tcW w:w="1667" w:type="pct"/>
            <w:tcBorders>
              <w:tl2br w:val="nil"/>
              <w:tr2bl w:val="nil"/>
            </w:tcBorders>
            <w:noWrap w:val="0"/>
            <w:tcMar>
              <w:left w:w="28" w:type="dxa"/>
              <w:right w:w="28" w:type="dxa"/>
            </w:tcMar>
            <w:vAlign w:val="center"/>
          </w:tcPr>
          <w:p w14:paraId="2601F62A">
            <w:pPr>
              <w:pStyle w:val="1358"/>
              <w:rPr>
                <w:color w:val="auto"/>
                <w:highlight w:val="none"/>
              </w:rPr>
            </w:pPr>
            <w:r>
              <w:rPr>
                <w:color w:val="auto"/>
                <w:highlight w:val="none"/>
              </w:rPr>
              <w:t>否</w:t>
            </w:r>
          </w:p>
        </w:tc>
      </w:tr>
      <w:tr w14:paraId="72C3E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1212959C">
            <w:pPr>
              <w:pStyle w:val="1358"/>
              <w:rPr>
                <w:color w:val="auto"/>
                <w:highlight w:val="none"/>
              </w:rPr>
            </w:pPr>
          </w:p>
        </w:tc>
        <w:tc>
          <w:tcPr>
            <w:tcW w:w="2214" w:type="pct"/>
            <w:tcBorders>
              <w:tl2br w:val="nil"/>
              <w:tr2bl w:val="nil"/>
            </w:tcBorders>
            <w:noWrap w:val="0"/>
            <w:tcMar>
              <w:left w:w="28" w:type="dxa"/>
              <w:right w:w="28" w:type="dxa"/>
            </w:tcMar>
            <w:vAlign w:val="center"/>
          </w:tcPr>
          <w:p w14:paraId="1E7B429D">
            <w:pPr>
              <w:pStyle w:val="1358"/>
              <w:rPr>
                <w:color w:val="auto"/>
                <w:highlight w:val="none"/>
              </w:rPr>
            </w:pPr>
            <w:r>
              <w:rPr>
                <w:color w:val="auto"/>
                <w:highlight w:val="none"/>
              </w:rPr>
              <w:t>岸线距离/km</w:t>
            </w:r>
          </w:p>
        </w:tc>
        <w:tc>
          <w:tcPr>
            <w:tcW w:w="1667" w:type="pct"/>
            <w:tcBorders>
              <w:tl2br w:val="nil"/>
              <w:tr2bl w:val="nil"/>
            </w:tcBorders>
            <w:noWrap w:val="0"/>
            <w:tcMar>
              <w:left w:w="28" w:type="dxa"/>
              <w:right w:w="28" w:type="dxa"/>
            </w:tcMar>
            <w:vAlign w:val="center"/>
          </w:tcPr>
          <w:p w14:paraId="3B10AD35">
            <w:pPr>
              <w:pStyle w:val="1358"/>
              <w:rPr>
                <w:color w:val="auto"/>
                <w:highlight w:val="none"/>
              </w:rPr>
            </w:pPr>
            <w:r>
              <w:rPr>
                <w:color w:val="auto"/>
                <w:highlight w:val="none"/>
              </w:rPr>
              <w:t>/</w:t>
            </w:r>
          </w:p>
        </w:tc>
      </w:tr>
      <w:tr w14:paraId="23B483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pct"/>
            <w:vMerge w:val="continue"/>
            <w:tcBorders>
              <w:tl2br w:val="nil"/>
              <w:tr2bl w:val="nil"/>
            </w:tcBorders>
            <w:noWrap w:val="0"/>
            <w:tcMar>
              <w:left w:w="28" w:type="dxa"/>
              <w:right w:w="28" w:type="dxa"/>
            </w:tcMar>
            <w:vAlign w:val="center"/>
          </w:tcPr>
          <w:p w14:paraId="3A18A51A">
            <w:pPr>
              <w:pStyle w:val="1358"/>
              <w:rPr>
                <w:color w:val="auto"/>
                <w:highlight w:val="none"/>
              </w:rPr>
            </w:pPr>
          </w:p>
        </w:tc>
        <w:tc>
          <w:tcPr>
            <w:tcW w:w="2214" w:type="pct"/>
            <w:tcBorders>
              <w:tl2br w:val="nil"/>
              <w:tr2bl w:val="nil"/>
            </w:tcBorders>
            <w:noWrap w:val="0"/>
            <w:tcMar>
              <w:left w:w="28" w:type="dxa"/>
              <w:right w:w="28" w:type="dxa"/>
            </w:tcMar>
            <w:vAlign w:val="center"/>
          </w:tcPr>
          <w:p w14:paraId="32CA9BB4">
            <w:pPr>
              <w:pStyle w:val="1358"/>
              <w:rPr>
                <w:color w:val="auto"/>
                <w:highlight w:val="none"/>
              </w:rPr>
            </w:pPr>
            <w:r>
              <w:rPr>
                <w:color w:val="auto"/>
                <w:highlight w:val="none"/>
              </w:rPr>
              <w:t>岸线方向/°</w:t>
            </w:r>
          </w:p>
        </w:tc>
        <w:tc>
          <w:tcPr>
            <w:tcW w:w="1667" w:type="pct"/>
            <w:tcBorders>
              <w:tl2br w:val="nil"/>
              <w:tr2bl w:val="nil"/>
            </w:tcBorders>
            <w:noWrap w:val="0"/>
            <w:tcMar>
              <w:left w:w="28" w:type="dxa"/>
              <w:right w:w="28" w:type="dxa"/>
            </w:tcMar>
            <w:vAlign w:val="center"/>
          </w:tcPr>
          <w:p w14:paraId="0CC0E756">
            <w:pPr>
              <w:pStyle w:val="1358"/>
              <w:rPr>
                <w:color w:val="auto"/>
                <w:highlight w:val="none"/>
              </w:rPr>
            </w:pPr>
            <w:r>
              <w:rPr>
                <w:color w:val="auto"/>
                <w:highlight w:val="none"/>
              </w:rPr>
              <w:t>/</w:t>
            </w:r>
          </w:p>
        </w:tc>
      </w:tr>
    </w:tbl>
    <w:p w14:paraId="34155317">
      <w:pPr>
        <w:pStyle w:val="1319"/>
        <w:ind w:firstLine="480"/>
        <w:rPr>
          <w:color w:val="auto"/>
          <w:highlight w:val="none"/>
        </w:rPr>
      </w:pPr>
      <w:r>
        <w:rPr>
          <w:color w:val="auto"/>
          <w:highlight w:val="none"/>
        </w:rPr>
        <w:t>（4）预测源强</w:t>
      </w:r>
    </w:p>
    <w:p w14:paraId="39EA79F8">
      <w:pPr>
        <w:pStyle w:val="1354"/>
        <w:rPr>
          <w:color w:val="auto"/>
          <w:highlight w:val="none"/>
        </w:rPr>
      </w:pPr>
      <w:r>
        <w:rPr>
          <w:color w:val="auto"/>
          <w:highlight w:val="none"/>
        </w:rPr>
        <w:t>项目废气污染源包括</w:t>
      </w:r>
      <w:r>
        <w:rPr>
          <w:rFonts w:hint="eastAsia"/>
          <w:color w:val="auto"/>
          <w:highlight w:val="none"/>
          <w:lang w:val="en-US" w:eastAsia="zh-CN"/>
        </w:rPr>
        <w:t>调漆、喷漆、流平、烘干、点补、注塑、挂具去除及天然气燃烧</w:t>
      </w:r>
      <w:r>
        <w:rPr>
          <w:color w:val="auto"/>
          <w:highlight w:val="none"/>
        </w:rPr>
        <w:t>废气。项目点源及面源排放参数见表5.3-</w:t>
      </w:r>
      <w:r>
        <w:rPr>
          <w:rFonts w:hint="eastAsia"/>
          <w:color w:val="auto"/>
          <w:highlight w:val="none"/>
          <w:lang w:val="en-US" w:eastAsia="zh-CN"/>
        </w:rPr>
        <w:t>7</w:t>
      </w:r>
      <w:r>
        <w:rPr>
          <w:color w:val="auto"/>
          <w:highlight w:val="none"/>
        </w:rPr>
        <w:t>~5.3-</w:t>
      </w:r>
      <w:r>
        <w:rPr>
          <w:rFonts w:hint="eastAsia"/>
          <w:color w:val="auto"/>
          <w:highlight w:val="none"/>
          <w:lang w:val="en-US" w:eastAsia="zh-CN"/>
        </w:rPr>
        <w:t>8</w:t>
      </w:r>
      <w:r>
        <w:rPr>
          <w:color w:val="auto"/>
          <w:highlight w:val="none"/>
        </w:rPr>
        <w:t>。</w:t>
      </w:r>
    </w:p>
    <w:p w14:paraId="676D5858">
      <w:pPr>
        <w:pStyle w:val="8"/>
        <w:bidi w:val="0"/>
        <w:rPr>
          <w:color w:val="auto"/>
          <w:highlight w:val="none"/>
        </w:rPr>
      </w:pPr>
      <w:r>
        <w:rPr>
          <w:color w:val="auto"/>
          <w:highlight w:val="none"/>
        </w:rPr>
        <w:t>表5.3-</w:t>
      </w:r>
      <w:r>
        <w:rPr>
          <w:rFonts w:hint="eastAsia"/>
          <w:color w:val="auto"/>
          <w:highlight w:val="none"/>
          <w:lang w:val="en-US" w:eastAsia="zh-CN"/>
        </w:rPr>
        <w:t>7</w:t>
      </w:r>
      <w:r>
        <w:rPr>
          <w:color w:val="auto"/>
          <w:highlight w:val="none"/>
        </w:rPr>
        <w:t xml:space="preserve">  点源参数表</w:t>
      </w:r>
    </w:p>
    <w:tbl>
      <w:tblPr>
        <w:tblStyle w:val="80"/>
        <w:tblW w:w="4997"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860"/>
        <w:gridCol w:w="965"/>
        <w:gridCol w:w="900"/>
        <w:gridCol w:w="876"/>
        <w:gridCol w:w="765"/>
        <w:gridCol w:w="720"/>
        <w:gridCol w:w="765"/>
        <w:gridCol w:w="804"/>
        <w:gridCol w:w="1481"/>
        <w:gridCol w:w="862"/>
      </w:tblGrid>
      <w:tr w14:paraId="3309EEB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777F5217">
            <w:pPr>
              <w:pStyle w:val="1369"/>
              <w:rPr>
                <w:color w:val="auto"/>
                <w:highlight w:val="none"/>
              </w:rPr>
            </w:pPr>
            <w:r>
              <w:rPr>
                <w:color w:val="auto"/>
                <w:highlight w:val="none"/>
              </w:rPr>
              <w:t>污染源名称</w:t>
            </w:r>
          </w:p>
        </w:tc>
        <w:tc>
          <w:tcPr>
            <w:tcW w:w="1036" w:type="pct"/>
            <w:gridSpan w:val="2"/>
            <w:tcBorders>
              <w:tl2br w:val="nil"/>
              <w:tr2bl w:val="nil"/>
            </w:tcBorders>
            <w:noWrap w:val="0"/>
            <w:vAlign w:val="center"/>
          </w:tcPr>
          <w:p w14:paraId="1B7006BE">
            <w:pPr>
              <w:pStyle w:val="1369"/>
              <w:rPr>
                <w:rFonts w:hint="eastAsia" w:eastAsia="宋体"/>
                <w:color w:val="auto"/>
                <w:highlight w:val="none"/>
                <w:lang w:eastAsia="zh-CN"/>
              </w:rPr>
            </w:pPr>
            <w:r>
              <w:rPr>
                <w:color w:val="auto"/>
                <w:highlight w:val="none"/>
              </w:rPr>
              <w:t>排气筒底部中心坐标</w:t>
            </w:r>
          </w:p>
        </w:tc>
        <w:tc>
          <w:tcPr>
            <w:tcW w:w="486" w:type="pct"/>
            <w:vMerge w:val="restart"/>
            <w:tcBorders>
              <w:tl2br w:val="nil"/>
              <w:tr2bl w:val="nil"/>
            </w:tcBorders>
            <w:noWrap w:val="0"/>
            <w:vAlign w:val="center"/>
          </w:tcPr>
          <w:p w14:paraId="625F7303">
            <w:pPr>
              <w:pStyle w:val="1369"/>
              <w:rPr>
                <w:rFonts w:hint="eastAsia" w:eastAsia="宋体"/>
                <w:color w:val="auto"/>
                <w:highlight w:val="none"/>
                <w:lang w:eastAsia="zh-CN"/>
              </w:rPr>
            </w:pPr>
            <w:r>
              <w:rPr>
                <w:color w:val="auto"/>
                <w:highlight w:val="none"/>
              </w:rPr>
              <w:t>排气筒底部</w:t>
            </w:r>
            <w:r>
              <w:rPr>
                <w:rFonts w:hint="eastAsia"/>
                <w:color w:val="auto"/>
                <w:highlight w:val="none"/>
                <w:lang w:eastAsia="zh-CN"/>
              </w:rPr>
              <w:t>海拔（</w:t>
            </w:r>
            <w:r>
              <w:rPr>
                <w:color w:val="auto"/>
                <w:highlight w:val="none"/>
              </w:rPr>
              <w:t>m</w:t>
            </w:r>
            <w:r>
              <w:rPr>
                <w:rFonts w:hint="eastAsia"/>
                <w:color w:val="auto"/>
                <w:highlight w:val="none"/>
                <w:lang w:eastAsia="zh-CN"/>
              </w:rPr>
              <w:t>）</w:t>
            </w:r>
          </w:p>
        </w:tc>
        <w:tc>
          <w:tcPr>
            <w:tcW w:w="1697" w:type="pct"/>
            <w:gridSpan w:val="4"/>
            <w:tcBorders>
              <w:tl2br w:val="nil"/>
              <w:tr2bl w:val="nil"/>
            </w:tcBorders>
            <w:noWrap w:val="0"/>
            <w:vAlign w:val="center"/>
          </w:tcPr>
          <w:p w14:paraId="2EEAC13A">
            <w:pPr>
              <w:pStyle w:val="1369"/>
              <w:rPr>
                <w:color w:val="auto"/>
                <w:highlight w:val="none"/>
              </w:rPr>
            </w:pPr>
            <w:r>
              <w:rPr>
                <w:color w:val="auto"/>
                <w:highlight w:val="none"/>
              </w:rPr>
              <w:t>排气筒参数</w:t>
            </w:r>
          </w:p>
        </w:tc>
        <w:tc>
          <w:tcPr>
            <w:tcW w:w="1301" w:type="pct"/>
            <w:gridSpan w:val="2"/>
            <w:tcBorders>
              <w:tl2br w:val="nil"/>
              <w:tr2bl w:val="nil"/>
            </w:tcBorders>
            <w:noWrap w:val="0"/>
            <w:vAlign w:val="center"/>
          </w:tcPr>
          <w:p w14:paraId="101A9901">
            <w:pPr>
              <w:pStyle w:val="1369"/>
              <w:rPr>
                <w:rFonts w:hint="eastAsia" w:eastAsia="宋体"/>
                <w:color w:val="auto"/>
                <w:highlight w:val="none"/>
                <w:lang w:eastAsia="zh-CN"/>
              </w:rPr>
            </w:pPr>
            <w:r>
              <w:rPr>
                <w:color w:val="auto"/>
                <w:highlight w:val="none"/>
              </w:rPr>
              <w:t>污染物排放速率</w:t>
            </w:r>
            <w:r>
              <w:rPr>
                <w:rFonts w:hint="eastAsia"/>
                <w:color w:val="auto"/>
                <w:highlight w:val="none"/>
                <w:lang w:eastAsia="zh-CN"/>
              </w:rPr>
              <w:t>（</w:t>
            </w:r>
            <w:r>
              <w:rPr>
                <w:color w:val="auto"/>
                <w:highlight w:val="none"/>
              </w:rPr>
              <w:t>kg/h</w:t>
            </w:r>
            <w:r>
              <w:rPr>
                <w:rFonts w:hint="eastAsia"/>
                <w:color w:val="auto"/>
                <w:highlight w:val="none"/>
                <w:lang w:eastAsia="zh-CN"/>
              </w:rPr>
              <w:t>）</w:t>
            </w:r>
          </w:p>
        </w:tc>
      </w:tr>
      <w:tr w14:paraId="5EB8C2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19266639">
            <w:pPr>
              <w:pStyle w:val="1369"/>
              <w:rPr>
                <w:color w:val="auto"/>
                <w:highlight w:val="none"/>
              </w:rPr>
            </w:pPr>
          </w:p>
        </w:tc>
        <w:tc>
          <w:tcPr>
            <w:tcW w:w="536" w:type="pct"/>
            <w:tcBorders>
              <w:tl2br w:val="nil"/>
              <w:tr2bl w:val="nil"/>
            </w:tcBorders>
            <w:noWrap w:val="0"/>
            <w:vAlign w:val="center"/>
          </w:tcPr>
          <w:p w14:paraId="3B191660">
            <w:pPr>
              <w:pStyle w:val="1369"/>
              <w:rPr>
                <w:color w:val="auto"/>
                <w:highlight w:val="none"/>
              </w:rPr>
            </w:pPr>
            <w:r>
              <w:rPr>
                <w:color w:val="auto"/>
                <w:highlight w:val="none"/>
              </w:rPr>
              <w:t>经度</w:t>
            </w:r>
          </w:p>
        </w:tc>
        <w:tc>
          <w:tcPr>
            <w:tcW w:w="500" w:type="pct"/>
            <w:tcBorders>
              <w:tl2br w:val="nil"/>
              <w:tr2bl w:val="nil"/>
            </w:tcBorders>
            <w:noWrap w:val="0"/>
            <w:vAlign w:val="center"/>
          </w:tcPr>
          <w:p w14:paraId="59E53F36">
            <w:pPr>
              <w:pStyle w:val="1369"/>
              <w:rPr>
                <w:color w:val="auto"/>
                <w:highlight w:val="none"/>
              </w:rPr>
            </w:pPr>
            <w:r>
              <w:rPr>
                <w:color w:val="auto"/>
                <w:highlight w:val="none"/>
              </w:rPr>
              <w:t>纬度</w:t>
            </w:r>
          </w:p>
        </w:tc>
        <w:tc>
          <w:tcPr>
            <w:tcW w:w="486" w:type="pct"/>
            <w:vMerge w:val="continue"/>
            <w:tcBorders>
              <w:tl2br w:val="nil"/>
              <w:tr2bl w:val="nil"/>
            </w:tcBorders>
            <w:noWrap w:val="0"/>
            <w:vAlign w:val="center"/>
          </w:tcPr>
          <w:p w14:paraId="1D76374E">
            <w:pPr>
              <w:pStyle w:val="1369"/>
              <w:rPr>
                <w:color w:val="auto"/>
                <w:highlight w:val="none"/>
              </w:rPr>
            </w:pPr>
          </w:p>
        </w:tc>
        <w:tc>
          <w:tcPr>
            <w:tcW w:w="425" w:type="pct"/>
            <w:tcBorders>
              <w:tl2br w:val="nil"/>
              <w:tr2bl w:val="nil"/>
            </w:tcBorders>
            <w:noWrap w:val="0"/>
            <w:vAlign w:val="center"/>
          </w:tcPr>
          <w:p w14:paraId="4A3D68A7">
            <w:pPr>
              <w:pStyle w:val="1369"/>
              <w:rPr>
                <w:rFonts w:hint="eastAsia" w:eastAsia="宋体"/>
                <w:color w:val="auto"/>
                <w:highlight w:val="none"/>
                <w:lang w:eastAsia="zh-CN"/>
              </w:rPr>
            </w:pPr>
            <w:r>
              <w:rPr>
                <w:color w:val="auto"/>
                <w:highlight w:val="none"/>
              </w:rPr>
              <w:t>高度</w:t>
            </w: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400" w:type="pct"/>
            <w:tcBorders>
              <w:tl2br w:val="nil"/>
              <w:tr2bl w:val="nil"/>
            </w:tcBorders>
            <w:noWrap w:val="0"/>
            <w:vAlign w:val="center"/>
          </w:tcPr>
          <w:p w14:paraId="057DB590">
            <w:pPr>
              <w:pStyle w:val="1369"/>
              <w:rPr>
                <w:rFonts w:hint="eastAsia" w:eastAsia="宋体"/>
                <w:color w:val="auto"/>
                <w:highlight w:val="none"/>
                <w:lang w:eastAsia="zh-CN"/>
              </w:rPr>
            </w:pPr>
            <w:r>
              <w:rPr>
                <w:color w:val="auto"/>
                <w:highlight w:val="none"/>
              </w:rPr>
              <w:t>内径</w:t>
            </w: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425" w:type="pct"/>
            <w:tcBorders>
              <w:tl2br w:val="nil"/>
              <w:tr2bl w:val="nil"/>
            </w:tcBorders>
            <w:noWrap w:val="0"/>
            <w:vAlign w:val="center"/>
          </w:tcPr>
          <w:p w14:paraId="1EB8AAA3">
            <w:pPr>
              <w:pStyle w:val="1369"/>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温度</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p>
        </w:tc>
        <w:tc>
          <w:tcPr>
            <w:tcW w:w="446" w:type="pct"/>
            <w:tcBorders>
              <w:tl2br w:val="nil"/>
              <w:tr2bl w:val="nil"/>
            </w:tcBorders>
            <w:noWrap w:val="0"/>
            <w:vAlign w:val="center"/>
          </w:tcPr>
          <w:p w14:paraId="4E4DCE39">
            <w:pPr>
              <w:pStyle w:val="1369"/>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烟气流量</w:t>
            </w:r>
            <w:r>
              <w:rPr>
                <w:rFonts w:hint="default" w:ascii="Times New Roman" w:hAnsi="Times New Roman" w:eastAsia="宋体" w:cs="Times New Roman"/>
                <w:color w:val="auto"/>
                <w:highlight w:val="none"/>
                <w:lang w:val="en-US" w:eastAsia="zh-CN"/>
              </w:rPr>
              <w:t>/Nm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/h</w:t>
            </w:r>
          </w:p>
        </w:tc>
        <w:tc>
          <w:tcPr>
            <w:tcW w:w="822" w:type="pct"/>
            <w:tcBorders>
              <w:tl2br w:val="nil"/>
              <w:tr2bl w:val="nil"/>
            </w:tcBorders>
            <w:noWrap w:val="0"/>
            <w:vAlign w:val="center"/>
          </w:tcPr>
          <w:p w14:paraId="5251349B">
            <w:pPr>
              <w:pStyle w:val="1369"/>
              <w:rPr>
                <w:rFonts w:hint="eastAsia" w:eastAsia="宋体"/>
                <w:color w:val="auto"/>
                <w:highlight w:val="none"/>
                <w:lang w:val="en-US" w:eastAsia="zh-CN"/>
              </w:rPr>
            </w:pPr>
            <w:r>
              <w:rPr>
                <w:rFonts w:hint="eastAsia"/>
                <w:color w:val="auto"/>
                <w:highlight w:val="none"/>
                <w:lang w:val="en-US" w:eastAsia="zh-CN"/>
              </w:rPr>
              <w:t>污染物</w:t>
            </w:r>
          </w:p>
        </w:tc>
        <w:tc>
          <w:tcPr>
            <w:tcW w:w="478" w:type="pct"/>
            <w:tcBorders>
              <w:tl2br w:val="nil"/>
              <w:tr2bl w:val="nil"/>
            </w:tcBorders>
            <w:noWrap w:val="0"/>
            <w:vAlign w:val="center"/>
          </w:tcPr>
          <w:p w14:paraId="42CA9F61">
            <w:pPr>
              <w:pStyle w:val="1369"/>
              <w:rPr>
                <w:rFonts w:hint="default" w:eastAsia="宋体"/>
                <w:color w:val="auto"/>
                <w:highlight w:val="none"/>
                <w:lang w:val="en-US" w:eastAsia="zh-CN"/>
              </w:rPr>
            </w:pPr>
            <w:r>
              <w:rPr>
                <w:rFonts w:hint="eastAsia"/>
                <w:color w:val="auto"/>
                <w:highlight w:val="none"/>
                <w:lang w:val="en-US" w:eastAsia="zh-CN"/>
              </w:rPr>
              <w:t>排放速率</w:t>
            </w:r>
          </w:p>
        </w:tc>
      </w:tr>
      <w:tr w14:paraId="137167E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7857D55F">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DA001</w:t>
            </w:r>
          </w:p>
        </w:tc>
        <w:tc>
          <w:tcPr>
            <w:tcW w:w="536" w:type="pct"/>
            <w:vMerge w:val="restart"/>
            <w:tcBorders>
              <w:tl2br w:val="nil"/>
              <w:tr2bl w:val="nil"/>
            </w:tcBorders>
            <w:noWrap w:val="0"/>
            <w:vAlign w:val="center"/>
          </w:tcPr>
          <w:p w14:paraId="0BE7D8BB">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119°20′46.889″</w:t>
            </w:r>
          </w:p>
        </w:tc>
        <w:tc>
          <w:tcPr>
            <w:tcW w:w="500" w:type="pct"/>
            <w:vMerge w:val="restart"/>
            <w:tcBorders>
              <w:tl2br w:val="nil"/>
              <w:tr2bl w:val="nil"/>
            </w:tcBorders>
            <w:noWrap w:val="0"/>
            <w:vAlign w:val="center"/>
          </w:tcPr>
          <w:p w14:paraId="13C57CE0">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25°52′44.065″</w:t>
            </w:r>
          </w:p>
        </w:tc>
        <w:tc>
          <w:tcPr>
            <w:tcW w:w="486" w:type="pct"/>
            <w:vMerge w:val="restart"/>
            <w:tcBorders>
              <w:tl2br w:val="nil"/>
              <w:tr2bl w:val="nil"/>
            </w:tcBorders>
            <w:noWrap w:val="0"/>
            <w:vAlign w:val="center"/>
          </w:tcPr>
          <w:p w14:paraId="5136C1C6">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425" w:type="pct"/>
            <w:vMerge w:val="restart"/>
            <w:tcBorders>
              <w:tl2br w:val="nil"/>
              <w:tr2bl w:val="nil"/>
            </w:tcBorders>
            <w:noWrap w:val="0"/>
            <w:vAlign w:val="center"/>
          </w:tcPr>
          <w:p w14:paraId="3D050F6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c>
          <w:tcPr>
            <w:tcW w:w="400" w:type="pct"/>
            <w:vMerge w:val="restart"/>
            <w:tcBorders>
              <w:tl2br w:val="nil"/>
              <w:tr2bl w:val="nil"/>
            </w:tcBorders>
            <w:noWrap w:val="0"/>
            <w:vAlign w:val="center"/>
          </w:tcPr>
          <w:p w14:paraId="1C1D5C70">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425" w:type="pct"/>
            <w:vMerge w:val="restart"/>
            <w:tcBorders>
              <w:tl2br w:val="nil"/>
              <w:tr2bl w:val="nil"/>
            </w:tcBorders>
            <w:noWrap w:val="0"/>
            <w:vAlign w:val="center"/>
          </w:tcPr>
          <w:p w14:paraId="04973F79">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vMerge w:val="restart"/>
            <w:tcBorders>
              <w:tl2br w:val="nil"/>
              <w:tr2bl w:val="nil"/>
            </w:tcBorders>
            <w:noWrap w:val="0"/>
            <w:vAlign w:val="center"/>
          </w:tcPr>
          <w:p w14:paraId="774E16F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6000</w:t>
            </w:r>
          </w:p>
        </w:tc>
        <w:tc>
          <w:tcPr>
            <w:tcW w:w="822" w:type="pct"/>
            <w:tcBorders>
              <w:tl2br w:val="nil"/>
              <w:tr2bl w:val="nil"/>
            </w:tcBorders>
            <w:shd w:val="clear" w:color="auto" w:fill="auto"/>
            <w:noWrap w:val="0"/>
            <w:vAlign w:val="center"/>
          </w:tcPr>
          <w:p w14:paraId="5AF5D544">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478" w:type="pct"/>
            <w:tcBorders>
              <w:tl2br w:val="nil"/>
              <w:tr2bl w:val="nil"/>
            </w:tcBorders>
            <w:shd w:val="clear" w:color="auto" w:fill="auto"/>
            <w:noWrap w:val="0"/>
            <w:vAlign w:val="center"/>
          </w:tcPr>
          <w:p w14:paraId="13F45033">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0.0362 </w:t>
            </w:r>
          </w:p>
        </w:tc>
      </w:tr>
      <w:tr w14:paraId="562E94C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05327A6C">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782D962E">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3499619C">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512CE7F1">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0FCD3313">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45A084EC">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0AD1B221">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618A2515">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5510A17F">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NMHC（含乙酸丁酯）</w:t>
            </w:r>
          </w:p>
        </w:tc>
        <w:tc>
          <w:tcPr>
            <w:tcW w:w="478" w:type="pct"/>
            <w:tcBorders>
              <w:tl2br w:val="nil"/>
              <w:tr2bl w:val="nil"/>
            </w:tcBorders>
            <w:shd w:val="clear" w:color="auto" w:fill="auto"/>
            <w:noWrap w:val="0"/>
            <w:vAlign w:val="center"/>
          </w:tcPr>
          <w:p w14:paraId="0533EB86">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0.0727 </w:t>
            </w:r>
          </w:p>
        </w:tc>
      </w:tr>
      <w:tr w14:paraId="5E40BB4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72BD0753">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25D10A2A">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42681B0B">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1E798154">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00EBA2FB">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0930E01D">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35B1C6B7">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6789A7B6">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7ABF94CA">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二氧化硫</w:t>
            </w:r>
          </w:p>
        </w:tc>
        <w:tc>
          <w:tcPr>
            <w:tcW w:w="478" w:type="pct"/>
            <w:tcBorders>
              <w:tl2br w:val="nil"/>
              <w:tr2bl w:val="nil"/>
            </w:tcBorders>
            <w:shd w:val="clear" w:color="auto" w:fill="auto"/>
            <w:noWrap w:val="0"/>
            <w:vAlign w:val="center"/>
          </w:tcPr>
          <w:p w14:paraId="712282A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0.0090 </w:t>
            </w:r>
          </w:p>
        </w:tc>
      </w:tr>
      <w:tr w14:paraId="573B3E3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25C75FE5">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78F9DC9D">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690194E6">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6F883FA0">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33323D6B">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350938F7">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32270EEA">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093F3714">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43155E0B">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颗粒物</w:t>
            </w:r>
          </w:p>
        </w:tc>
        <w:tc>
          <w:tcPr>
            <w:tcW w:w="478" w:type="pct"/>
            <w:tcBorders>
              <w:tl2br w:val="nil"/>
              <w:tr2bl w:val="nil"/>
            </w:tcBorders>
            <w:shd w:val="clear" w:color="auto" w:fill="auto"/>
            <w:noWrap w:val="0"/>
            <w:vAlign w:val="center"/>
          </w:tcPr>
          <w:p w14:paraId="0D2D2181">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0.0374 </w:t>
            </w:r>
          </w:p>
        </w:tc>
      </w:tr>
      <w:tr w14:paraId="14C75B9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38B4AED5">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7917D107">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531F26EE">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23777F48">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1C53E2D9">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7C891FDC">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D5D4E7F">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50FC1B52">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5B02C9B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氮氧化物</w:t>
            </w:r>
          </w:p>
        </w:tc>
        <w:tc>
          <w:tcPr>
            <w:tcW w:w="478" w:type="pct"/>
            <w:tcBorders>
              <w:tl2br w:val="nil"/>
              <w:tr2bl w:val="nil"/>
            </w:tcBorders>
            <w:shd w:val="clear" w:color="auto" w:fill="auto"/>
            <w:noWrap w:val="0"/>
            <w:vAlign w:val="center"/>
          </w:tcPr>
          <w:p w14:paraId="51BF97A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0.0842 </w:t>
            </w:r>
          </w:p>
        </w:tc>
      </w:tr>
      <w:tr w14:paraId="580632F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784A681F">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DA002</w:t>
            </w:r>
          </w:p>
        </w:tc>
        <w:tc>
          <w:tcPr>
            <w:tcW w:w="536" w:type="pct"/>
            <w:vMerge w:val="restart"/>
            <w:tcBorders>
              <w:tl2br w:val="nil"/>
              <w:tr2bl w:val="nil"/>
            </w:tcBorders>
            <w:noWrap w:val="0"/>
            <w:vAlign w:val="center"/>
          </w:tcPr>
          <w:p w14:paraId="565776A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119°20′47.382″ </w:t>
            </w:r>
          </w:p>
        </w:tc>
        <w:tc>
          <w:tcPr>
            <w:tcW w:w="500" w:type="pct"/>
            <w:vMerge w:val="restart"/>
            <w:tcBorders>
              <w:tl2br w:val="nil"/>
              <w:tr2bl w:val="nil"/>
            </w:tcBorders>
            <w:noWrap w:val="0"/>
            <w:vAlign w:val="center"/>
          </w:tcPr>
          <w:p w14:paraId="1936CFD1">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25°52′43.592″</w:t>
            </w:r>
          </w:p>
        </w:tc>
        <w:tc>
          <w:tcPr>
            <w:tcW w:w="486" w:type="pct"/>
            <w:vMerge w:val="restart"/>
            <w:tcBorders>
              <w:tl2br w:val="nil"/>
              <w:tr2bl w:val="nil"/>
            </w:tcBorders>
            <w:noWrap w:val="0"/>
            <w:vAlign w:val="center"/>
          </w:tcPr>
          <w:p w14:paraId="3F49148D">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p w14:paraId="4C2B6CDE">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restart"/>
            <w:tcBorders>
              <w:tl2br w:val="nil"/>
              <w:tr2bl w:val="nil"/>
            </w:tcBorders>
            <w:noWrap w:val="0"/>
            <w:vAlign w:val="center"/>
          </w:tcPr>
          <w:p w14:paraId="26AC4162">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c>
          <w:tcPr>
            <w:tcW w:w="400" w:type="pct"/>
            <w:vMerge w:val="restart"/>
            <w:tcBorders>
              <w:tl2br w:val="nil"/>
              <w:tr2bl w:val="nil"/>
            </w:tcBorders>
            <w:noWrap w:val="0"/>
            <w:vAlign w:val="center"/>
          </w:tcPr>
          <w:p w14:paraId="7E17DE50">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0.8</w:t>
            </w:r>
          </w:p>
        </w:tc>
        <w:tc>
          <w:tcPr>
            <w:tcW w:w="425" w:type="pct"/>
            <w:vMerge w:val="restart"/>
            <w:tcBorders>
              <w:tl2br w:val="nil"/>
              <w:tr2bl w:val="nil"/>
            </w:tcBorders>
            <w:noWrap w:val="0"/>
            <w:vAlign w:val="center"/>
          </w:tcPr>
          <w:p w14:paraId="3399CE8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vMerge w:val="restart"/>
            <w:tcBorders>
              <w:tl2br w:val="nil"/>
              <w:tr2bl w:val="nil"/>
            </w:tcBorders>
            <w:noWrap w:val="0"/>
            <w:vAlign w:val="center"/>
          </w:tcPr>
          <w:p w14:paraId="6FD4FD8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25000</w:t>
            </w:r>
          </w:p>
        </w:tc>
        <w:tc>
          <w:tcPr>
            <w:tcW w:w="822" w:type="pct"/>
            <w:tcBorders>
              <w:tl2br w:val="nil"/>
              <w:tr2bl w:val="nil"/>
            </w:tcBorders>
            <w:shd w:val="clear" w:color="auto" w:fill="auto"/>
            <w:noWrap w:val="0"/>
            <w:vAlign w:val="center"/>
          </w:tcPr>
          <w:p w14:paraId="1990E577">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478" w:type="pct"/>
            <w:tcBorders>
              <w:tl2br w:val="nil"/>
              <w:tr2bl w:val="nil"/>
            </w:tcBorders>
            <w:shd w:val="clear" w:color="auto" w:fill="auto"/>
            <w:noWrap w:val="0"/>
            <w:vAlign w:val="center"/>
          </w:tcPr>
          <w:p w14:paraId="4B208B5E">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0.0177 </w:t>
            </w:r>
          </w:p>
        </w:tc>
      </w:tr>
      <w:tr w14:paraId="24DBA31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26A53B96">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67B83B68">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5EA36888">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249119E7">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4D65E1EE">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63CB0B6A">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47872D7F">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198D9C44">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60A89EF3">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478" w:type="pct"/>
            <w:tcBorders>
              <w:tl2br w:val="nil"/>
              <w:tr2bl w:val="nil"/>
            </w:tcBorders>
            <w:shd w:val="clear" w:color="auto" w:fill="auto"/>
            <w:noWrap w:val="0"/>
            <w:vAlign w:val="center"/>
          </w:tcPr>
          <w:p w14:paraId="4BFE9AA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0.0426 </w:t>
            </w:r>
          </w:p>
        </w:tc>
      </w:tr>
      <w:tr w14:paraId="20ADB1B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58D6E365">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DA003</w:t>
            </w:r>
          </w:p>
        </w:tc>
        <w:tc>
          <w:tcPr>
            <w:tcW w:w="536" w:type="pct"/>
            <w:vMerge w:val="restart"/>
            <w:tcBorders>
              <w:tl2br w:val="nil"/>
              <w:tr2bl w:val="nil"/>
            </w:tcBorders>
            <w:noWrap w:val="0"/>
            <w:vAlign w:val="center"/>
          </w:tcPr>
          <w:p w14:paraId="1D60708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119°20′48.048″</w:t>
            </w:r>
          </w:p>
        </w:tc>
        <w:tc>
          <w:tcPr>
            <w:tcW w:w="500" w:type="pct"/>
            <w:vMerge w:val="restart"/>
            <w:tcBorders>
              <w:tl2br w:val="nil"/>
              <w:tr2bl w:val="nil"/>
            </w:tcBorders>
            <w:noWrap w:val="0"/>
            <w:vAlign w:val="center"/>
          </w:tcPr>
          <w:p w14:paraId="298553E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25°52′45.562″</w:t>
            </w:r>
          </w:p>
        </w:tc>
        <w:tc>
          <w:tcPr>
            <w:tcW w:w="486" w:type="pct"/>
            <w:vMerge w:val="restart"/>
            <w:tcBorders>
              <w:tl2br w:val="nil"/>
              <w:tr2bl w:val="nil"/>
            </w:tcBorders>
            <w:noWrap w:val="0"/>
            <w:vAlign w:val="center"/>
          </w:tcPr>
          <w:p w14:paraId="7AE9B1D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p w14:paraId="7F1FD479">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restart"/>
            <w:tcBorders>
              <w:tl2br w:val="nil"/>
              <w:tr2bl w:val="nil"/>
            </w:tcBorders>
            <w:noWrap w:val="0"/>
            <w:vAlign w:val="center"/>
          </w:tcPr>
          <w:p w14:paraId="6D06203B">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c>
          <w:tcPr>
            <w:tcW w:w="400" w:type="pct"/>
            <w:vMerge w:val="restart"/>
            <w:tcBorders>
              <w:tl2br w:val="nil"/>
              <w:tr2bl w:val="nil"/>
            </w:tcBorders>
            <w:noWrap w:val="0"/>
            <w:vAlign w:val="center"/>
          </w:tcPr>
          <w:p w14:paraId="5A469956">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425" w:type="pct"/>
            <w:vMerge w:val="restart"/>
            <w:tcBorders>
              <w:tl2br w:val="nil"/>
              <w:tr2bl w:val="nil"/>
            </w:tcBorders>
            <w:noWrap w:val="0"/>
            <w:vAlign w:val="center"/>
          </w:tcPr>
          <w:p w14:paraId="1B59C35D">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vMerge w:val="restart"/>
            <w:tcBorders>
              <w:tl2br w:val="nil"/>
              <w:tr2bl w:val="nil"/>
            </w:tcBorders>
            <w:noWrap w:val="0"/>
            <w:vAlign w:val="center"/>
          </w:tcPr>
          <w:p w14:paraId="2453928C">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15000</w:t>
            </w:r>
          </w:p>
        </w:tc>
        <w:tc>
          <w:tcPr>
            <w:tcW w:w="822" w:type="pct"/>
            <w:tcBorders>
              <w:tl2br w:val="nil"/>
              <w:tr2bl w:val="nil"/>
            </w:tcBorders>
            <w:noWrap w:val="0"/>
            <w:vAlign w:val="center"/>
          </w:tcPr>
          <w:p w14:paraId="3D9D58BF">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漆雾（颗粒物）</w:t>
            </w:r>
          </w:p>
        </w:tc>
        <w:tc>
          <w:tcPr>
            <w:tcW w:w="478" w:type="pct"/>
            <w:tcBorders>
              <w:tl2br w:val="nil"/>
              <w:tr2bl w:val="nil"/>
            </w:tcBorders>
            <w:noWrap w:val="0"/>
            <w:vAlign w:val="center"/>
          </w:tcPr>
          <w:p w14:paraId="04CC6ADD">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0.0004 </w:t>
            </w:r>
          </w:p>
        </w:tc>
      </w:tr>
      <w:tr w14:paraId="1EA826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15364277">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7E731A3A">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16A4F553">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777D56CA">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5C312E83">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0F7A87BA">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4A306451">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604D8AE6">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345CCFF6">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478" w:type="pct"/>
            <w:tcBorders>
              <w:tl2br w:val="nil"/>
              <w:tr2bl w:val="nil"/>
            </w:tcBorders>
            <w:noWrap w:val="0"/>
            <w:vAlign w:val="center"/>
          </w:tcPr>
          <w:p w14:paraId="20935A50">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0.0100 </w:t>
            </w:r>
          </w:p>
        </w:tc>
      </w:tr>
      <w:tr w14:paraId="43F810A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75231677">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00C7A4CA">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647D93A4">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5B091135">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465F1FF5">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24440F61">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2A7D2A4">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56F20873">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shd w:val="clear" w:color="auto" w:fill="auto"/>
            <w:noWrap w:val="0"/>
            <w:vAlign w:val="center"/>
          </w:tcPr>
          <w:p w14:paraId="31E27AA0">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NMHC（含乙酸丁酯）</w:t>
            </w:r>
          </w:p>
        </w:tc>
        <w:tc>
          <w:tcPr>
            <w:tcW w:w="478" w:type="pct"/>
            <w:tcBorders>
              <w:tl2br w:val="nil"/>
              <w:tr2bl w:val="nil"/>
            </w:tcBorders>
            <w:noWrap w:val="0"/>
            <w:vAlign w:val="center"/>
          </w:tcPr>
          <w:p w14:paraId="276D580B">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0.0194 </w:t>
            </w:r>
          </w:p>
        </w:tc>
      </w:tr>
      <w:tr w14:paraId="25479C4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tcBorders>
              <w:tl2br w:val="nil"/>
              <w:tr2bl w:val="nil"/>
            </w:tcBorders>
            <w:noWrap w:val="0"/>
            <w:vAlign w:val="center"/>
          </w:tcPr>
          <w:p w14:paraId="2C93A295">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DA004</w:t>
            </w:r>
          </w:p>
        </w:tc>
        <w:tc>
          <w:tcPr>
            <w:tcW w:w="536" w:type="pct"/>
            <w:tcBorders>
              <w:tl2br w:val="nil"/>
              <w:tr2bl w:val="nil"/>
            </w:tcBorders>
            <w:noWrap w:val="0"/>
            <w:vAlign w:val="center"/>
          </w:tcPr>
          <w:p w14:paraId="72056261">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119°20′50.404″</w:t>
            </w:r>
          </w:p>
        </w:tc>
        <w:tc>
          <w:tcPr>
            <w:tcW w:w="500" w:type="pct"/>
            <w:tcBorders>
              <w:tl2br w:val="nil"/>
              <w:tr2bl w:val="nil"/>
            </w:tcBorders>
            <w:noWrap w:val="0"/>
            <w:vAlign w:val="center"/>
          </w:tcPr>
          <w:p w14:paraId="1A8FA0C6">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25°52′46.315″</w:t>
            </w:r>
          </w:p>
        </w:tc>
        <w:tc>
          <w:tcPr>
            <w:tcW w:w="486" w:type="pct"/>
            <w:tcBorders>
              <w:tl2br w:val="nil"/>
              <w:tr2bl w:val="nil"/>
            </w:tcBorders>
            <w:noWrap w:val="0"/>
            <w:vAlign w:val="center"/>
          </w:tcPr>
          <w:p w14:paraId="35E3EE91">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425" w:type="pct"/>
            <w:tcBorders>
              <w:tl2br w:val="nil"/>
              <w:tr2bl w:val="nil"/>
            </w:tcBorders>
            <w:noWrap w:val="0"/>
            <w:vAlign w:val="center"/>
          </w:tcPr>
          <w:p w14:paraId="36E7D599">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c>
          <w:tcPr>
            <w:tcW w:w="400" w:type="pct"/>
            <w:tcBorders>
              <w:tl2br w:val="nil"/>
              <w:tr2bl w:val="nil"/>
            </w:tcBorders>
            <w:noWrap w:val="0"/>
            <w:vAlign w:val="center"/>
          </w:tcPr>
          <w:p w14:paraId="7DBCBA5D">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425" w:type="pct"/>
            <w:tcBorders>
              <w:tl2br w:val="nil"/>
              <w:tr2bl w:val="nil"/>
            </w:tcBorders>
            <w:noWrap w:val="0"/>
            <w:vAlign w:val="center"/>
          </w:tcPr>
          <w:p w14:paraId="1328D05A">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tcBorders>
              <w:tl2br w:val="nil"/>
              <w:tr2bl w:val="nil"/>
            </w:tcBorders>
            <w:noWrap w:val="0"/>
            <w:vAlign w:val="center"/>
          </w:tcPr>
          <w:p w14:paraId="3DEB96F3">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12000</w:t>
            </w:r>
          </w:p>
        </w:tc>
        <w:tc>
          <w:tcPr>
            <w:tcW w:w="822" w:type="pct"/>
            <w:tcBorders>
              <w:tl2br w:val="nil"/>
              <w:tr2bl w:val="nil"/>
            </w:tcBorders>
            <w:shd w:val="clear" w:color="auto" w:fill="auto"/>
            <w:noWrap w:val="0"/>
            <w:vAlign w:val="center"/>
          </w:tcPr>
          <w:p w14:paraId="2040BAEB">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NMHC</w:t>
            </w:r>
          </w:p>
        </w:tc>
        <w:tc>
          <w:tcPr>
            <w:tcW w:w="478" w:type="pct"/>
            <w:tcBorders>
              <w:tl2br w:val="nil"/>
              <w:tr2bl w:val="nil"/>
            </w:tcBorders>
            <w:shd w:val="clear" w:color="auto" w:fill="auto"/>
            <w:noWrap w:val="0"/>
            <w:vAlign w:val="center"/>
          </w:tcPr>
          <w:p w14:paraId="6CDEF780">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0.0530 </w:t>
            </w:r>
          </w:p>
        </w:tc>
      </w:tr>
      <w:tr w14:paraId="4696B1B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5BECE99C">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DA005</w:t>
            </w:r>
          </w:p>
        </w:tc>
        <w:tc>
          <w:tcPr>
            <w:tcW w:w="536" w:type="pct"/>
            <w:vMerge w:val="restart"/>
            <w:tcBorders>
              <w:tl2br w:val="nil"/>
              <w:tr2bl w:val="nil"/>
            </w:tcBorders>
            <w:noWrap w:val="0"/>
            <w:vAlign w:val="center"/>
          </w:tcPr>
          <w:p w14:paraId="00A22372">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119°20′47.169″</w:t>
            </w:r>
          </w:p>
        </w:tc>
        <w:tc>
          <w:tcPr>
            <w:tcW w:w="500" w:type="pct"/>
            <w:vMerge w:val="restart"/>
            <w:tcBorders>
              <w:tl2br w:val="nil"/>
              <w:tr2bl w:val="nil"/>
            </w:tcBorders>
            <w:noWrap w:val="0"/>
            <w:vAlign w:val="center"/>
          </w:tcPr>
          <w:p w14:paraId="7F58CAFC">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25°52′43.776″</w:t>
            </w:r>
          </w:p>
        </w:tc>
        <w:tc>
          <w:tcPr>
            <w:tcW w:w="486" w:type="pct"/>
            <w:vMerge w:val="restart"/>
            <w:tcBorders>
              <w:tl2br w:val="nil"/>
              <w:tr2bl w:val="nil"/>
            </w:tcBorders>
            <w:noWrap w:val="0"/>
            <w:vAlign w:val="center"/>
          </w:tcPr>
          <w:p w14:paraId="773D44DB">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425" w:type="pct"/>
            <w:vMerge w:val="restart"/>
            <w:tcBorders>
              <w:tl2br w:val="nil"/>
              <w:tr2bl w:val="nil"/>
            </w:tcBorders>
            <w:noWrap w:val="0"/>
            <w:vAlign w:val="center"/>
          </w:tcPr>
          <w:p w14:paraId="1213E559">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400" w:type="pct"/>
            <w:vMerge w:val="restart"/>
            <w:tcBorders>
              <w:tl2br w:val="nil"/>
              <w:tr2bl w:val="nil"/>
            </w:tcBorders>
            <w:noWrap w:val="0"/>
            <w:vAlign w:val="center"/>
          </w:tcPr>
          <w:p w14:paraId="6C9D3D08">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425" w:type="pct"/>
            <w:vMerge w:val="restart"/>
            <w:tcBorders>
              <w:tl2br w:val="nil"/>
              <w:tr2bl w:val="nil"/>
            </w:tcBorders>
            <w:noWrap w:val="0"/>
            <w:vAlign w:val="center"/>
          </w:tcPr>
          <w:p w14:paraId="3D8759C5">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vMerge w:val="restart"/>
            <w:tcBorders>
              <w:tl2br w:val="nil"/>
              <w:tr2bl w:val="nil"/>
            </w:tcBorders>
            <w:noWrap w:val="0"/>
            <w:vAlign w:val="center"/>
          </w:tcPr>
          <w:p w14:paraId="3C78CBDB">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w:t>
            </w:r>
            <w:r>
              <w:rPr>
                <w:rFonts w:hint="eastAsia" w:cs="Times New Roman"/>
                <w:color w:val="auto"/>
                <w:highlight w:val="none"/>
                <w:lang w:val="en-US" w:eastAsia="zh-CN"/>
              </w:rPr>
              <w:t>8</w:t>
            </w:r>
          </w:p>
        </w:tc>
        <w:tc>
          <w:tcPr>
            <w:tcW w:w="822" w:type="pct"/>
            <w:tcBorders>
              <w:tl2br w:val="nil"/>
              <w:tr2bl w:val="nil"/>
            </w:tcBorders>
            <w:noWrap w:val="0"/>
            <w:vAlign w:val="center"/>
          </w:tcPr>
          <w:p w14:paraId="0C58ABC2">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478" w:type="pct"/>
            <w:tcBorders>
              <w:tl2br w:val="nil"/>
              <w:tr2bl w:val="nil"/>
            </w:tcBorders>
            <w:noWrap w:val="0"/>
            <w:vAlign w:val="center"/>
          </w:tcPr>
          <w:p w14:paraId="3414F9D7">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0.0020 </w:t>
            </w:r>
          </w:p>
        </w:tc>
      </w:tr>
      <w:tr w14:paraId="5DF451E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437E1024">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49F82A23">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2CFF82C9">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6E3237B2">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496A6372">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3FB45E33">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35AF3B95">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7656DD1F">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74938AE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478" w:type="pct"/>
            <w:tcBorders>
              <w:tl2br w:val="nil"/>
              <w:tr2bl w:val="nil"/>
            </w:tcBorders>
            <w:noWrap w:val="0"/>
            <w:vAlign w:val="center"/>
          </w:tcPr>
          <w:p w14:paraId="183498BD">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0.0003 </w:t>
            </w:r>
          </w:p>
        </w:tc>
      </w:tr>
      <w:tr w14:paraId="057B958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24EB6855">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19E853E1">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618F224B">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578AC6E7">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120A91AA">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1AC1AEAB">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08D6B81">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4F5B3383">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1B16EE5C">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478" w:type="pct"/>
            <w:tcBorders>
              <w:tl2br w:val="nil"/>
              <w:tr2bl w:val="nil"/>
            </w:tcBorders>
            <w:noWrap w:val="0"/>
            <w:vAlign w:val="center"/>
          </w:tcPr>
          <w:p w14:paraId="3E04395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0.0070 </w:t>
            </w:r>
          </w:p>
        </w:tc>
      </w:tr>
      <w:tr w14:paraId="139D714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restart"/>
            <w:tcBorders>
              <w:tl2br w:val="nil"/>
              <w:tr2bl w:val="nil"/>
            </w:tcBorders>
            <w:noWrap w:val="0"/>
            <w:vAlign w:val="center"/>
          </w:tcPr>
          <w:p w14:paraId="5EE051D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DA006</w:t>
            </w:r>
          </w:p>
        </w:tc>
        <w:tc>
          <w:tcPr>
            <w:tcW w:w="536" w:type="pct"/>
            <w:vMerge w:val="restart"/>
            <w:tcBorders>
              <w:tl2br w:val="nil"/>
              <w:tr2bl w:val="nil"/>
            </w:tcBorders>
            <w:noWrap w:val="0"/>
            <w:vAlign w:val="center"/>
          </w:tcPr>
          <w:p w14:paraId="4347BBD8">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119°20′46.426″</w:t>
            </w:r>
          </w:p>
        </w:tc>
        <w:tc>
          <w:tcPr>
            <w:tcW w:w="500" w:type="pct"/>
            <w:vMerge w:val="restart"/>
            <w:tcBorders>
              <w:tl2br w:val="nil"/>
              <w:tr2bl w:val="nil"/>
            </w:tcBorders>
            <w:noWrap w:val="0"/>
            <w:vAlign w:val="center"/>
          </w:tcPr>
          <w:p w14:paraId="0B21A445">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 25°52′44.548″</w:t>
            </w:r>
          </w:p>
        </w:tc>
        <w:tc>
          <w:tcPr>
            <w:tcW w:w="486" w:type="pct"/>
            <w:vMerge w:val="restart"/>
            <w:tcBorders>
              <w:tl2br w:val="nil"/>
              <w:tr2bl w:val="nil"/>
            </w:tcBorders>
            <w:noWrap w:val="0"/>
            <w:vAlign w:val="center"/>
          </w:tcPr>
          <w:p w14:paraId="28CC9AF4">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425" w:type="pct"/>
            <w:vMerge w:val="restart"/>
            <w:tcBorders>
              <w:tl2br w:val="nil"/>
              <w:tr2bl w:val="nil"/>
            </w:tcBorders>
            <w:noWrap w:val="0"/>
            <w:vAlign w:val="center"/>
          </w:tcPr>
          <w:p w14:paraId="6E92CEB6">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c>
          <w:tcPr>
            <w:tcW w:w="400" w:type="pct"/>
            <w:vMerge w:val="restart"/>
            <w:tcBorders>
              <w:tl2br w:val="nil"/>
              <w:tr2bl w:val="nil"/>
            </w:tcBorders>
            <w:noWrap w:val="0"/>
            <w:vAlign w:val="center"/>
          </w:tcPr>
          <w:p w14:paraId="36345F77">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c>
          <w:tcPr>
            <w:tcW w:w="425" w:type="pct"/>
            <w:vMerge w:val="restart"/>
            <w:tcBorders>
              <w:tl2br w:val="nil"/>
              <w:tr2bl w:val="nil"/>
            </w:tcBorders>
            <w:noWrap w:val="0"/>
            <w:vAlign w:val="center"/>
          </w:tcPr>
          <w:p w14:paraId="5857A93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w:t>
            </w:r>
          </w:p>
        </w:tc>
        <w:tc>
          <w:tcPr>
            <w:tcW w:w="446" w:type="pct"/>
            <w:vMerge w:val="restart"/>
            <w:tcBorders>
              <w:tl2br w:val="nil"/>
              <w:tr2bl w:val="nil"/>
            </w:tcBorders>
            <w:noWrap w:val="0"/>
            <w:vAlign w:val="center"/>
          </w:tcPr>
          <w:p w14:paraId="0AB3DDE3">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15000</w:t>
            </w:r>
          </w:p>
        </w:tc>
        <w:tc>
          <w:tcPr>
            <w:tcW w:w="822" w:type="pct"/>
            <w:tcBorders>
              <w:tl2br w:val="nil"/>
              <w:tr2bl w:val="nil"/>
            </w:tcBorders>
            <w:noWrap w:val="0"/>
            <w:vAlign w:val="center"/>
          </w:tcPr>
          <w:p w14:paraId="644EAA0D">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NMHC</w:t>
            </w:r>
          </w:p>
        </w:tc>
        <w:tc>
          <w:tcPr>
            <w:tcW w:w="478" w:type="pct"/>
            <w:tcBorders>
              <w:tl2br w:val="nil"/>
              <w:tr2bl w:val="nil"/>
            </w:tcBorders>
            <w:noWrap w:val="0"/>
            <w:vAlign w:val="center"/>
          </w:tcPr>
          <w:p w14:paraId="2D732715">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0.4658 </w:t>
            </w:r>
          </w:p>
        </w:tc>
      </w:tr>
      <w:tr w14:paraId="24D599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4596395F">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16229D2F">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4B30115C">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22812121">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74C0461">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35F1943C">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1FCE398D">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55E91CE7">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436159C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478" w:type="pct"/>
            <w:tcBorders>
              <w:tl2br w:val="nil"/>
              <w:tr2bl w:val="nil"/>
            </w:tcBorders>
            <w:noWrap w:val="0"/>
            <w:vAlign w:val="center"/>
          </w:tcPr>
          <w:p w14:paraId="48B46E97">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0.0030 </w:t>
            </w:r>
          </w:p>
        </w:tc>
      </w:tr>
      <w:tr w14:paraId="20388C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2A2340D8">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6B4D0ADD">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2567A10F">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0CA8CF00">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3F90F909">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2ECDDB99">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BDACB8D">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4BA40364">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1AD7A2D3">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478" w:type="pct"/>
            <w:tcBorders>
              <w:tl2br w:val="nil"/>
              <w:tr2bl w:val="nil"/>
            </w:tcBorders>
            <w:noWrap w:val="0"/>
            <w:vAlign w:val="center"/>
          </w:tcPr>
          <w:p w14:paraId="3E1E180A">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0.0043 </w:t>
            </w:r>
          </w:p>
        </w:tc>
      </w:tr>
      <w:tr w14:paraId="6E3904B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77" w:type="pct"/>
            <w:vMerge w:val="continue"/>
            <w:tcBorders>
              <w:tl2br w:val="nil"/>
              <w:tr2bl w:val="nil"/>
            </w:tcBorders>
            <w:noWrap w:val="0"/>
            <w:vAlign w:val="center"/>
          </w:tcPr>
          <w:p w14:paraId="2CB0D72A">
            <w:pPr>
              <w:pStyle w:val="1358"/>
              <w:ind w:firstLine="0" w:firstLineChars="0"/>
              <w:rPr>
                <w:rFonts w:hint="eastAsia" w:ascii="Times New Roman" w:hAnsi="Times New Roman" w:eastAsia="宋体" w:cs="Times New Roman"/>
                <w:color w:val="auto"/>
                <w:highlight w:val="none"/>
                <w:lang w:val="en-US" w:eastAsia="zh-CN"/>
              </w:rPr>
            </w:pPr>
          </w:p>
        </w:tc>
        <w:tc>
          <w:tcPr>
            <w:tcW w:w="536" w:type="pct"/>
            <w:vMerge w:val="continue"/>
            <w:tcBorders>
              <w:tl2br w:val="nil"/>
              <w:tr2bl w:val="nil"/>
            </w:tcBorders>
            <w:noWrap w:val="0"/>
            <w:vAlign w:val="center"/>
          </w:tcPr>
          <w:p w14:paraId="478621CD">
            <w:pPr>
              <w:pStyle w:val="1358"/>
              <w:ind w:firstLine="0" w:firstLineChars="0"/>
              <w:rPr>
                <w:rFonts w:hint="eastAsia" w:ascii="Times New Roman" w:hAnsi="Times New Roman" w:eastAsia="宋体" w:cs="Times New Roman"/>
                <w:color w:val="auto"/>
                <w:highlight w:val="none"/>
                <w:lang w:val="en-US" w:eastAsia="zh-CN"/>
              </w:rPr>
            </w:pPr>
          </w:p>
        </w:tc>
        <w:tc>
          <w:tcPr>
            <w:tcW w:w="500" w:type="pct"/>
            <w:vMerge w:val="continue"/>
            <w:tcBorders>
              <w:tl2br w:val="nil"/>
              <w:tr2bl w:val="nil"/>
            </w:tcBorders>
            <w:noWrap w:val="0"/>
            <w:vAlign w:val="center"/>
          </w:tcPr>
          <w:p w14:paraId="53844A9D">
            <w:pPr>
              <w:pStyle w:val="1358"/>
              <w:ind w:firstLine="0" w:firstLineChars="0"/>
              <w:rPr>
                <w:rFonts w:hint="eastAsia" w:ascii="Times New Roman" w:hAnsi="Times New Roman" w:eastAsia="宋体" w:cs="Times New Roman"/>
                <w:color w:val="auto"/>
                <w:highlight w:val="none"/>
                <w:lang w:val="en-US" w:eastAsia="zh-CN"/>
              </w:rPr>
            </w:pPr>
          </w:p>
        </w:tc>
        <w:tc>
          <w:tcPr>
            <w:tcW w:w="486" w:type="pct"/>
            <w:vMerge w:val="continue"/>
            <w:tcBorders>
              <w:tl2br w:val="nil"/>
              <w:tr2bl w:val="nil"/>
            </w:tcBorders>
            <w:noWrap w:val="0"/>
            <w:vAlign w:val="center"/>
          </w:tcPr>
          <w:p w14:paraId="6785BA87">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23B5EB80">
            <w:pPr>
              <w:pStyle w:val="1358"/>
              <w:ind w:firstLine="0" w:firstLineChars="0"/>
              <w:rPr>
                <w:rFonts w:hint="eastAsia" w:ascii="Times New Roman" w:hAnsi="Times New Roman" w:eastAsia="宋体" w:cs="Times New Roman"/>
                <w:color w:val="auto"/>
                <w:highlight w:val="none"/>
                <w:lang w:val="en-US" w:eastAsia="zh-CN"/>
              </w:rPr>
            </w:pPr>
          </w:p>
        </w:tc>
        <w:tc>
          <w:tcPr>
            <w:tcW w:w="400" w:type="pct"/>
            <w:vMerge w:val="continue"/>
            <w:tcBorders>
              <w:tl2br w:val="nil"/>
              <w:tr2bl w:val="nil"/>
            </w:tcBorders>
            <w:noWrap w:val="0"/>
            <w:vAlign w:val="center"/>
          </w:tcPr>
          <w:p w14:paraId="0F2E8776">
            <w:pPr>
              <w:pStyle w:val="1358"/>
              <w:ind w:firstLine="0" w:firstLineChars="0"/>
              <w:rPr>
                <w:rFonts w:hint="eastAsia" w:ascii="Times New Roman" w:hAnsi="Times New Roman" w:eastAsia="宋体" w:cs="Times New Roman"/>
                <w:color w:val="auto"/>
                <w:highlight w:val="none"/>
                <w:lang w:val="en-US" w:eastAsia="zh-CN"/>
              </w:rPr>
            </w:pPr>
          </w:p>
        </w:tc>
        <w:tc>
          <w:tcPr>
            <w:tcW w:w="425" w:type="pct"/>
            <w:vMerge w:val="continue"/>
            <w:tcBorders>
              <w:tl2br w:val="nil"/>
              <w:tr2bl w:val="nil"/>
            </w:tcBorders>
            <w:noWrap w:val="0"/>
            <w:vAlign w:val="center"/>
          </w:tcPr>
          <w:p w14:paraId="78BD6F12">
            <w:pPr>
              <w:pStyle w:val="1358"/>
              <w:ind w:firstLine="0" w:firstLineChars="0"/>
              <w:rPr>
                <w:rFonts w:hint="eastAsia" w:ascii="Times New Roman" w:hAnsi="Times New Roman" w:eastAsia="宋体" w:cs="Times New Roman"/>
                <w:color w:val="auto"/>
                <w:highlight w:val="none"/>
                <w:lang w:val="en-US" w:eastAsia="zh-CN"/>
              </w:rPr>
            </w:pPr>
          </w:p>
        </w:tc>
        <w:tc>
          <w:tcPr>
            <w:tcW w:w="446" w:type="pct"/>
            <w:vMerge w:val="continue"/>
            <w:tcBorders>
              <w:tl2br w:val="nil"/>
              <w:tr2bl w:val="nil"/>
            </w:tcBorders>
            <w:noWrap w:val="0"/>
            <w:vAlign w:val="center"/>
          </w:tcPr>
          <w:p w14:paraId="69E755F8">
            <w:pPr>
              <w:pStyle w:val="1358"/>
              <w:ind w:firstLine="0" w:firstLineChars="0"/>
              <w:rPr>
                <w:rFonts w:hint="eastAsia" w:ascii="Times New Roman" w:hAnsi="Times New Roman" w:eastAsia="宋体" w:cs="Times New Roman"/>
                <w:color w:val="auto"/>
                <w:highlight w:val="none"/>
                <w:lang w:val="en-US" w:eastAsia="zh-CN"/>
              </w:rPr>
            </w:pPr>
          </w:p>
        </w:tc>
        <w:tc>
          <w:tcPr>
            <w:tcW w:w="822" w:type="pct"/>
            <w:tcBorders>
              <w:tl2br w:val="nil"/>
              <w:tr2bl w:val="nil"/>
            </w:tcBorders>
            <w:noWrap w:val="0"/>
            <w:vAlign w:val="center"/>
          </w:tcPr>
          <w:p w14:paraId="431C53D7">
            <w:pPr>
              <w:pStyle w:val="1358"/>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478" w:type="pct"/>
            <w:tcBorders>
              <w:tl2br w:val="nil"/>
              <w:tr2bl w:val="nil"/>
            </w:tcBorders>
            <w:noWrap w:val="0"/>
            <w:vAlign w:val="center"/>
          </w:tcPr>
          <w:p w14:paraId="69E3D56F">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0.0281 </w:t>
            </w:r>
          </w:p>
        </w:tc>
      </w:tr>
    </w:tbl>
    <w:p w14:paraId="7DCFE022">
      <w:pPr>
        <w:pStyle w:val="8"/>
        <w:bidi w:val="0"/>
        <w:rPr>
          <w:color w:val="auto"/>
          <w:highlight w:val="none"/>
        </w:rPr>
      </w:pPr>
      <w:r>
        <w:rPr>
          <w:color w:val="auto"/>
          <w:highlight w:val="none"/>
        </w:rPr>
        <w:t>表5.3-</w:t>
      </w:r>
      <w:r>
        <w:rPr>
          <w:rFonts w:hint="eastAsia"/>
          <w:color w:val="auto"/>
          <w:highlight w:val="none"/>
          <w:lang w:val="en-US" w:eastAsia="zh-CN"/>
        </w:rPr>
        <w:t>8</w:t>
      </w:r>
      <w:r>
        <w:rPr>
          <w:color w:val="auto"/>
          <w:highlight w:val="none"/>
        </w:rPr>
        <w:t xml:space="preserve">  无组织面源参数表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728"/>
        <w:gridCol w:w="1170"/>
        <w:gridCol w:w="1140"/>
        <w:gridCol w:w="750"/>
        <w:gridCol w:w="782"/>
        <w:gridCol w:w="733"/>
        <w:gridCol w:w="795"/>
        <w:gridCol w:w="870"/>
        <w:gridCol w:w="1230"/>
        <w:gridCol w:w="805"/>
      </w:tblGrid>
      <w:tr w14:paraId="031D27F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restart"/>
            <w:tcBorders>
              <w:tl2br w:val="nil"/>
              <w:tr2bl w:val="nil"/>
            </w:tcBorders>
            <w:noWrap w:val="0"/>
            <w:vAlign w:val="center"/>
          </w:tcPr>
          <w:p w14:paraId="04400296">
            <w:pPr>
              <w:pStyle w:val="1358"/>
              <w:rPr>
                <w:color w:val="auto"/>
                <w:highlight w:val="none"/>
              </w:rPr>
            </w:pPr>
            <w:r>
              <w:rPr>
                <w:color w:val="auto"/>
                <w:highlight w:val="none"/>
              </w:rPr>
              <w:t>污染源名称</w:t>
            </w:r>
          </w:p>
        </w:tc>
        <w:tc>
          <w:tcPr>
            <w:tcW w:w="1282" w:type="pct"/>
            <w:gridSpan w:val="2"/>
            <w:tcBorders>
              <w:tl2br w:val="nil"/>
              <w:tr2bl w:val="nil"/>
            </w:tcBorders>
            <w:noWrap w:val="0"/>
            <w:vAlign w:val="center"/>
          </w:tcPr>
          <w:p w14:paraId="1F1BD2EA">
            <w:pPr>
              <w:pStyle w:val="1358"/>
              <w:rPr>
                <w:rFonts w:hint="eastAsia" w:eastAsia="宋体"/>
                <w:color w:val="auto"/>
                <w:highlight w:val="none"/>
                <w:lang w:eastAsia="zh-CN"/>
              </w:rPr>
            </w:pPr>
            <w:r>
              <w:rPr>
                <w:color w:val="auto"/>
                <w:highlight w:val="none"/>
              </w:rPr>
              <w:t>坐标</w:t>
            </w:r>
            <w:r>
              <w:rPr>
                <w:rFonts w:hint="eastAsia"/>
                <w:color w:val="auto"/>
                <w:highlight w:val="none"/>
                <w:lang w:eastAsia="zh-CN"/>
              </w:rPr>
              <w:t>（</w:t>
            </w:r>
            <w:r>
              <w:rPr>
                <w:color w:val="auto"/>
                <w:highlight w:val="none"/>
              </w:rPr>
              <w:t>°</w:t>
            </w:r>
            <w:r>
              <w:rPr>
                <w:rFonts w:hint="eastAsia"/>
                <w:color w:val="auto"/>
                <w:highlight w:val="none"/>
                <w:lang w:eastAsia="zh-CN"/>
              </w:rPr>
              <w:t>）</w:t>
            </w:r>
          </w:p>
        </w:tc>
        <w:tc>
          <w:tcPr>
            <w:tcW w:w="416" w:type="pct"/>
            <w:vMerge w:val="restart"/>
            <w:tcBorders>
              <w:tl2br w:val="nil"/>
              <w:tr2bl w:val="nil"/>
            </w:tcBorders>
            <w:noWrap w:val="0"/>
            <w:vAlign w:val="center"/>
          </w:tcPr>
          <w:p w14:paraId="792E5760">
            <w:pPr>
              <w:pStyle w:val="1358"/>
              <w:rPr>
                <w:rFonts w:hint="eastAsia" w:eastAsia="宋体"/>
                <w:color w:val="auto"/>
                <w:highlight w:val="none"/>
                <w:lang w:eastAsia="zh-CN"/>
              </w:rPr>
            </w:pPr>
            <w:r>
              <w:rPr>
                <w:rFonts w:hint="eastAsia"/>
                <w:color w:val="auto"/>
                <w:highlight w:val="none"/>
                <w:lang w:eastAsia="zh-CN"/>
              </w:rPr>
              <w:t>海拔（</w:t>
            </w:r>
            <w:r>
              <w:rPr>
                <w:color w:val="auto"/>
                <w:highlight w:val="none"/>
              </w:rPr>
              <w:t>m</w:t>
            </w:r>
            <w:r>
              <w:rPr>
                <w:rFonts w:hint="eastAsia"/>
                <w:color w:val="auto"/>
                <w:highlight w:val="none"/>
                <w:lang w:eastAsia="zh-CN"/>
              </w:rPr>
              <w:t>）</w:t>
            </w:r>
          </w:p>
        </w:tc>
        <w:tc>
          <w:tcPr>
            <w:tcW w:w="1766" w:type="pct"/>
            <w:gridSpan w:val="4"/>
            <w:tcBorders>
              <w:tl2br w:val="nil"/>
              <w:tr2bl w:val="nil"/>
            </w:tcBorders>
            <w:noWrap w:val="0"/>
            <w:vAlign w:val="center"/>
          </w:tcPr>
          <w:p w14:paraId="510A32F9">
            <w:pPr>
              <w:pStyle w:val="1358"/>
              <w:rPr>
                <w:color w:val="auto"/>
                <w:highlight w:val="none"/>
              </w:rPr>
            </w:pPr>
            <w:r>
              <w:rPr>
                <w:color w:val="auto"/>
                <w:highlight w:val="none"/>
              </w:rPr>
              <w:t>矩形面源</w:t>
            </w:r>
          </w:p>
        </w:tc>
        <w:tc>
          <w:tcPr>
            <w:tcW w:w="1130" w:type="pct"/>
            <w:gridSpan w:val="2"/>
            <w:tcBorders>
              <w:tl2br w:val="nil"/>
              <w:tr2bl w:val="nil"/>
            </w:tcBorders>
            <w:noWrap w:val="0"/>
            <w:vAlign w:val="center"/>
          </w:tcPr>
          <w:p w14:paraId="3D988C82">
            <w:pPr>
              <w:pStyle w:val="1369"/>
              <w:ind w:firstLine="0" w:firstLineChars="0"/>
              <w:rPr>
                <w:rFonts w:hint="eastAsia" w:eastAsia="宋体"/>
                <w:color w:val="auto"/>
                <w:highlight w:val="none"/>
                <w:lang w:eastAsia="zh-CN"/>
              </w:rPr>
            </w:pPr>
            <w:r>
              <w:rPr>
                <w:color w:val="auto"/>
                <w:highlight w:val="none"/>
              </w:rPr>
              <w:t>污染物排放速率</w:t>
            </w:r>
            <w:r>
              <w:rPr>
                <w:rFonts w:hint="eastAsia"/>
                <w:color w:val="auto"/>
                <w:highlight w:val="none"/>
                <w:lang w:eastAsia="zh-CN"/>
              </w:rPr>
              <w:t>（</w:t>
            </w:r>
            <w:r>
              <w:rPr>
                <w:color w:val="auto"/>
                <w:highlight w:val="none"/>
              </w:rPr>
              <w:t>kg/h</w:t>
            </w:r>
            <w:r>
              <w:rPr>
                <w:rFonts w:hint="eastAsia"/>
                <w:color w:val="auto"/>
                <w:highlight w:val="none"/>
                <w:lang w:eastAsia="zh-CN"/>
              </w:rPr>
              <w:t>）</w:t>
            </w:r>
          </w:p>
        </w:tc>
      </w:tr>
      <w:tr w14:paraId="4F768E0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continue"/>
            <w:tcBorders>
              <w:tl2br w:val="nil"/>
              <w:tr2bl w:val="nil"/>
            </w:tcBorders>
            <w:noWrap w:val="0"/>
            <w:vAlign w:val="center"/>
          </w:tcPr>
          <w:p w14:paraId="618659AD">
            <w:pPr>
              <w:pStyle w:val="1358"/>
              <w:rPr>
                <w:color w:val="auto"/>
                <w:highlight w:val="none"/>
              </w:rPr>
            </w:pPr>
          </w:p>
        </w:tc>
        <w:tc>
          <w:tcPr>
            <w:tcW w:w="649" w:type="pct"/>
            <w:tcBorders>
              <w:tl2br w:val="nil"/>
              <w:tr2bl w:val="nil"/>
            </w:tcBorders>
            <w:noWrap w:val="0"/>
            <w:vAlign w:val="center"/>
          </w:tcPr>
          <w:p w14:paraId="59067D18">
            <w:pPr>
              <w:pStyle w:val="1358"/>
              <w:rPr>
                <w:color w:val="auto"/>
                <w:highlight w:val="none"/>
              </w:rPr>
            </w:pPr>
            <w:r>
              <w:rPr>
                <w:color w:val="auto"/>
                <w:highlight w:val="none"/>
              </w:rPr>
              <w:t>经度</w:t>
            </w:r>
          </w:p>
        </w:tc>
        <w:tc>
          <w:tcPr>
            <w:tcW w:w="633" w:type="pct"/>
            <w:tcBorders>
              <w:tl2br w:val="nil"/>
              <w:tr2bl w:val="nil"/>
            </w:tcBorders>
            <w:noWrap w:val="0"/>
            <w:vAlign w:val="center"/>
          </w:tcPr>
          <w:p w14:paraId="2D8E5999">
            <w:pPr>
              <w:pStyle w:val="1358"/>
              <w:rPr>
                <w:color w:val="auto"/>
                <w:highlight w:val="none"/>
              </w:rPr>
            </w:pPr>
            <w:r>
              <w:rPr>
                <w:color w:val="auto"/>
                <w:highlight w:val="none"/>
              </w:rPr>
              <w:t>纬度</w:t>
            </w:r>
          </w:p>
        </w:tc>
        <w:tc>
          <w:tcPr>
            <w:tcW w:w="416" w:type="pct"/>
            <w:vMerge w:val="continue"/>
            <w:tcBorders>
              <w:tl2br w:val="nil"/>
              <w:tr2bl w:val="nil"/>
            </w:tcBorders>
            <w:noWrap w:val="0"/>
            <w:vAlign w:val="center"/>
          </w:tcPr>
          <w:p w14:paraId="1EC43469">
            <w:pPr>
              <w:pStyle w:val="1358"/>
              <w:rPr>
                <w:color w:val="auto"/>
                <w:highlight w:val="none"/>
              </w:rPr>
            </w:pPr>
          </w:p>
        </w:tc>
        <w:tc>
          <w:tcPr>
            <w:tcW w:w="434" w:type="pct"/>
            <w:tcBorders>
              <w:tl2br w:val="nil"/>
              <w:tr2bl w:val="nil"/>
            </w:tcBorders>
            <w:noWrap w:val="0"/>
            <w:vAlign w:val="center"/>
          </w:tcPr>
          <w:p w14:paraId="57A74CC1">
            <w:pPr>
              <w:pStyle w:val="1358"/>
              <w:rPr>
                <w:rFonts w:hint="eastAsia" w:eastAsia="宋体"/>
                <w:color w:val="auto"/>
                <w:highlight w:val="none"/>
                <w:lang w:eastAsia="zh-CN"/>
              </w:rPr>
            </w:pPr>
            <w:r>
              <w:rPr>
                <w:color w:val="auto"/>
                <w:highlight w:val="none"/>
              </w:rPr>
              <w:t>长度</w:t>
            </w: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407" w:type="pct"/>
            <w:tcBorders>
              <w:tl2br w:val="nil"/>
              <w:tr2bl w:val="nil"/>
            </w:tcBorders>
            <w:noWrap w:val="0"/>
            <w:vAlign w:val="center"/>
          </w:tcPr>
          <w:p w14:paraId="4049E721">
            <w:pPr>
              <w:pStyle w:val="1358"/>
              <w:rPr>
                <w:rFonts w:hint="eastAsia" w:eastAsia="宋体"/>
                <w:color w:val="auto"/>
                <w:highlight w:val="none"/>
                <w:lang w:eastAsia="zh-CN"/>
              </w:rPr>
            </w:pPr>
            <w:r>
              <w:rPr>
                <w:color w:val="auto"/>
                <w:highlight w:val="none"/>
              </w:rPr>
              <w:t>宽度</w:t>
            </w: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441" w:type="pct"/>
            <w:tcBorders>
              <w:tl2br w:val="nil"/>
              <w:tr2bl w:val="nil"/>
            </w:tcBorders>
            <w:noWrap w:val="0"/>
            <w:vAlign w:val="center"/>
          </w:tcPr>
          <w:p w14:paraId="2A78DF21">
            <w:pPr>
              <w:pStyle w:val="1358"/>
              <w:rPr>
                <w:rFonts w:hint="eastAsia" w:eastAsia="宋体"/>
                <w:color w:val="auto"/>
                <w:highlight w:val="none"/>
                <w:lang w:eastAsia="zh-CN"/>
              </w:rPr>
            </w:pPr>
            <w:r>
              <w:rPr>
                <w:color w:val="auto"/>
                <w:highlight w:val="none"/>
              </w:rPr>
              <w:t>高度</w:t>
            </w:r>
            <w:r>
              <w:rPr>
                <w:rFonts w:hint="eastAsia"/>
                <w:color w:val="auto"/>
                <w:highlight w:val="none"/>
                <w:lang w:eastAsia="zh-CN"/>
              </w:rPr>
              <w:t>（</w:t>
            </w:r>
            <w:r>
              <w:rPr>
                <w:color w:val="auto"/>
                <w:highlight w:val="none"/>
              </w:rPr>
              <w:t>m</w:t>
            </w:r>
            <w:r>
              <w:rPr>
                <w:rFonts w:hint="eastAsia"/>
                <w:color w:val="auto"/>
                <w:highlight w:val="none"/>
                <w:lang w:eastAsia="zh-CN"/>
              </w:rPr>
              <w:t>）</w:t>
            </w:r>
          </w:p>
        </w:tc>
        <w:tc>
          <w:tcPr>
            <w:tcW w:w="483" w:type="pct"/>
            <w:tcBorders>
              <w:tl2br w:val="nil"/>
              <w:tr2bl w:val="nil"/>
            </w:tcBorders>
            <w:noWrap w:val="0"/>
            <w:vAlign w:val="center"/>
          </w:tcPr>
          <w:p w14:paraId="779CC419">
            <w:pPr>
              <w:pStyle w:val="1358"/>
              <w:rPr>
                <w:color w:val="auto"/>
                <w:highlight w:val="none"/>
              </w:rPr>
            </w:pPr>
            <w:r>
              <w:rPr>
                <w:color w:val="auto"/>
                <w:highlight w:val="none"/>
              </w:rPr>
              <w:t>与正北</w:t>
            </w:r>
          </w:p>
          <w:p w14:paraId="6D65D78B">
            <w:pPr>
              <w:pStyle w:val="1358"/>
              <w:rPr>
                <w:color w:val="auto"/>
                <w:highlight w:val="none"/>
              </w:rPr>
            </w:pPr>
            <w:r>
              <w:rPr>
                <w:color w:val="auto"/>
                <w:highlight w:val="none"/>
              </w:rPr>
              <w:t>向夹角</w:t>
            </w:r>
          </w:p>
          <w:p w14:paraId="6E110687">
            <w:pPr>
              <w:pStyle w:val="1358"/>
              <w:rPr>
                <w:color w:val="auto"/>
                <w:highlight w:val="none"/>
              </w:rPr>
            </w:pPr>
            <w:r>
              <w:rPr>
                <w:color w:val="auto"/>
                <w:highlight w:val="none"/>
              </w:rPr>
              <w:t>（度）</w:t>
            </w:r>
          </w:p>
        </w:tc>
        <w:tc>
          <w:tcPr>
            <w:tcW w:w="683" w:type="pct"/>
            <w:tcBorders>
              <w:tl2br w:val="nil"/>
              <w:tr2bl w:val="nil"/>
            </w:tcBorders>
            <w:noWrap w:val="0"/>
            <w:vAlign w:val="center"/>
          </w:tcPr>
          <w:p w14:paraId="01586E61">
            <w:pPr>
              <w:pStyle w:val="1369"/>
              <w:ind w:firstLine="0" w:firstLineChars="0"/>
              <w:rPr>
                <w:color w:val="auto"/>
                <w:highlight w:val="none"/>
              </w:rPr>
            </w:pPr>
            <w:r>
              <w:rPr>
                <w:rFonts w:hint="eastAsia"/>
                <w:color w:val="auto"/>
                <w:highlight w:val="none"/>
                <w:lang w:val="en-US" w:eastAsia="zh-CN"/>
              </w:rPr>
              <w:t>污染物</w:t>
            </w:r>
          </w:p>
        </w:tc>
        <w:tc>
          <w:tcPr>
            <w:tcW w:w="447" w:type="pct"/>
            <w:tcBorders>
              <w:tl2br w:val="nil"/>
              <w:tr2bl w:val="nil"/>
            </w:tcBorders>
            <w:noWrap w:val="0"/>
            <w:vAlign w:val="center"/>
          </w:tcPr>
          <w:p w14:paraId="7CB40D6A">
            <w:pPr>
              <w:pStyle w:val="1369"/>
              <w:ind w:firstLine="0" w:firstLineChars="0"/>
              <w:rPr>
                <w:color w:val="auto"/>
                <w:highlight w:val="none"/>
              </w:rPr>
            </w:pPr>
            <w:r>
              <w:rPr>
                <w:rFonts w:hint="eastAsia"/>
                <w:color w:val="auto"/>
                <w:highlight w:val="none"/>
                <w:lang w:val="en-US" w:eastAsia="zh-CN"/>
              </w:rPr>
              <w:t>排放速率</w:t>
            </w:r>
          </w:p>
        </w:tc>
      </w:tr>
      <w:tr w14:paraId="5361B39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restart"/>
            <w:tcBorders>
              <w:tl2br w:val="nil"/>
              <w:tr2bl w:val="nil"/>
            </w:tcBorders>
            <w:noWrap w:val="0"/>
            <w:vAlign w:val="center"/>
          </w:tcPr>
          <w:p w14:paraId="3B1365DD">
            <w:pPr>
              <w:pStyle w:val="1358"/>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A库</w:t>
            </w:r>
            <w:r>
              <w:rPr>
                <w:rFonts w:hint="eastAsia" w:ascii="Times New Roman" w:hAnsi="Times New Roman" w:eastAsia="宋体" w:cs="Times New Roman"/>
                <w:color w:val="auto"/>
                <w:highlight w:val="none"/>
                <w:lang w:val="en-US" w:eastAsia="zh-CN"/>
              </w:rPr>
              <w:t>厂房</w:t>
            </w:r>
          </w:p>
        </w:tc>
        <w:tc>
          <w:tcPr>
            <w:tcW w:w="649" w:type="pct"/>
            <w:vMerge w:val="restart"/>
            <w:tcBorders>
              <w:tl2br w:val="nil"/>
              <w:tr2bl w:val="nil"/>
            </w:tcBorders>
            <w:noWrap w:val="0"/>
            <w:vAlign w:val="center"/>
          </w:tcPr>
          <w:p w14:paraId="36F24B3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119°20′48.038″</w:t>
            </w:r>
          </w:p>
        </w:tc>
        <w:tc>
          <w:tcPr>
            <w:tcW w:w="633" w:type="pct"/>
            <w:vMerge w:val="restart"/>
            <w:tcBorders>
              <w:tl2br w:val="nil"/>
              <w:tr2bl w:val="nil"/>
            </w:tcBorders>
            <w:noWrap w:val="0"/>
            <w:vAlign w:val="center"/>
          </w:tcPr>
          <w:p w14:paraId="2DECE830">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25°52′44.471″</w:t>
            </w:r>
          </w:p>
        </w:tc>
        <w:tc>
          <w:tcPr>
            <w:tcW w:w="416" w:type="pct"/>
            <w:vMerge w:val="restart"/>
            <w:tcBorders>
              <w:tl2br w:val="nil"/>
              <w:tr2bl w:val="nil"/>
            </w:tcBorders>
            <w:noWrap w:val="0"/>
            <w:vAlign w:val="center"/>
          </w:tcPr>
          <w:p w14:paraId="643A39CB">
            <w:pPr>
              <w:pStyle w:val="1358"/>
              <w:rPr>
                <w:color w:val="auto"/>
                <w:highlight w:val="none"/>
              </w:rPr>
            </w:pPr>
            <w:r>
              <w:rPr>
                <w:rFonts w:hint="eastAsia"/>
                <w:color w:val="auto"/>
                <w:highlight w:val="none"/>
                <w:lang w:val="en-US" w:eastAsia="zh-CN"/>
              </w:rPr>
              <w:t>1</w:t>
            </w:r>
          </w:p>
        </w:tc>
        <w:tc>
          <w:tcPr>
            <w:tcW w:w="434" w:type="pct"/>
            <w:vMerge w:val="restart"/>
            <w:tcBorders>
              <w:tl2br w:val="nil"/>
              <w:tr2bl w:val="nil"/>
            </w:tcBorders>
            <w:noWrap w:val="0"/>
            <w:vAlign w:val="center"/>
          </w:tcPr>
          <w:p w14:paraId="382E57AA">
            <w:pPr>
              <w:pStyle w:val="1358"/>
              <w:rPr>
                <w:rFonts w:hint="default" w:eastAsia="宋体"/>
                <w:color w:val="auto"/>
                <w:highlight w:val="none"/>
                <w:lang w:val="en-US" w:eastAsia="zh-CN"/>
              </w:rPr>
            </w:pPr>
            <w:r>
              <w:rPr>
                <w:rFonts w:hint="eastAsia"/>
                <w:color w:val="auto"/>
                <w:highlight w:val="none"/>
                <w:lang w:val="en-US" w:eastAsia="zh-CN"/>
              </w:rPr>
              <w:t>48</w:t>
            </w:r>
          </w:p>
        </w:tc>
        <w:tc>
          <w:tcPr>
            <w:tcW w:w="407" w:type="pct"/>
            <w:vMerge w:val="restart"/>
            <w:tcBorders>
              <w:tl2br w:val="nil"/>
              <w:tr2bl w:val="nil"/>
            </w:tcBorders>
            <w:noWrap w:val="0"/>
            <w:vAlign w:val="center"/>
          </w:tcPr>
          <w:p w14:paraId="5BC00B5C">
            <w:pPr>
              <w:pStyle w:val="1358"/>
              <w:rPr>
                <w:rFonts w:hint="default" w:eastAsia="宋体"/>
                <w:color w:val="auto"/>
                <w:highlight w:val="none"/>
                <w:lang w:val="en-US" w:eastAsia="zh-CN"/>
              </w:rPr>
            </w:pPr>
            <w:r>
              <w:rPr>
                <w:rFonts w:hint="eastAsia"/>
                <w:color w:val="auto"/>
                <w:highlight w:val="none"/>
                <w:lang w:val="en-US" w:eastAsia="zh-CN"/>
              </w:rPr>
              <w:t>45</w:t>
            </w:r>
          </w:p>
        </w:tc>
        <w:tc>
          <w:tcPr>
            <w:tcW w:w="441" w:type="pct"/>
            <w:vMerge w:val="restart"/>
            <w:tcBorders>
              <w:tl2br w:val="nil"/>
              <w:tr2bl w:val="nil"/>
            </w:tcBorders>
            <w:noWrap w:val="0"/>
            <w:vAlign w:val="center"/>
          </w:tcPr>
          <w:p w14:paraId="670E3F21">
            <w:pPr>
              <w:pStyle w:val="1358"/>
              <w:rPr>
                <w:rFonts w:hint="default" w:eastAsia="宋体"/>
                <w:color w:val="auto"/>
                <w:highlight w:val="none"/>
                <w:lang w:val="en-US" w:eastAsia="zh-CN"/>
              </w:rPr>
            </w:pPr>
            <w:r>
              <w:rPr>
                <w:rFonts w:hint="eastAsia"/>
                <w:color w:val="auto"/>
                <w:highlight w:val="none"/>
                <w:lang w:val="en-US" w:eastAsia="zh-CN"/>
              </w:rPr>
              <w:t>20</w:t>
            </w:r>
          </w:p>
        </w:tc>
        <w:tc>
          <w:tcPr>
            <w:tcW w:w="483" w:type="pct"/>
            <w:vMerge w:val="restart"/>
            <w:tcBorders>
              <w:tl2br w:val="nil"/>
              <w:tr2bl w:val="nil"/>
            </w:tcBorders>
            <w:noWrap w:val="0"/>
            <w:vAlign w:val="center"/>
          </w:tcPr>
          <w:p w14:paraId="0AE4422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w:t>
            </w:r>
          </w:p>
        </w:tc>
        <w:tc>
          <w:tcPr>
            <w:tcW w:w="683" w:type="pct"/>
            <w:tcBorders>
              <w:tl2br w:val="nil"/>
              <w:tr2bl w:val="nil"/>
            </w:tcBorders>
            <w:noWrap w:val="0"/>
            <w:vAlign w:val="center"/>
          </w:tcPr>
          <w:p w14:paraId="7CC9CD8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漆雾（颗粒物）</w:t>
            </w:r>
          </w:p>
        </w:tc>
        <w:tc>
          <w:tcPr>
            <w:tcW w:w="447" w:type="pct"/>
            <w:tcBorders>
              <w:tl2br w:val="nil"/>
              <w:tr2bl w:val="nil"/>
            </w:tcBorders>
            <w:noWrap w:val="0"/>
            <w:vAlign w:val="center"/>
          </w:tcPr>
          <w:p w14:paraId="3A0B84FC">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0.2732 </w:t>
            </w:r>
          </w:p>
        </w:tc>
      </w:tr>
      <w:tr w14:paraId="692AFCC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continue"/>
            <w:tcBorders>
              <w:tl2br w:val="nil"/>
              <w:tr2bl w:val="nil"/>
            </w:tcBorders>
            <w:noWrap w:val="0"/>
            <w:vAlign w:val="center"/>
          </w:tcPr>
          <w:p w14:paraId="7D9E59C7">
            <w:pPr>
              <w:pStyle w:val="1358"/>
              <w:rPr>
                <w:rFonts w:hint="eastAsia" w:cs="Times New Roman"/>
                <w:color w:val="auto"/>
                <w:highlight w:val="none"/>
                <w:lang w:val="en-US" w:eastAsia="zh-CN"/>
              </w:rPr>
            </w:pPr>
          </w:p>
        </w:tc>
        <w:tc>
          <w:tcPr>
            <w:tcW w:w="649" w:type="pct"/>
            <w:vMerge w:val="continue"/>
            <w:tcBorders>
              <w:tl2br w:val="nil"/>
              <w:tr2bl w:val="nil"/>
            </w:tcBorders>
            <w:noWrap w:val="0"/>
            <w:vAlign w:val="center"/>
          </w:tcPr>
          <w:p w14:paraId="10B32BC0">
            <w:pPr>
              <w:pStyle w:val="1358"/>
              <w:rPr>
                <w:rFonts w:hint="eastAsia" w:ascii="Times New Roman" w:hAnsi="Times New Roman" w:eastAsia="宋体" w:cs="Times New Roman"/>
                <w:color w:val="auto"/>
                <w:highlight w:val="none"/>
                <w:lang w:val="en-US" w:eastAsia="zh-CN"/>
              </w:rPr>
            </w:pPr>
          </w:p>
        </w:tc>
        <w:tc>
          <w:tcPr>
            <w:tcW w:w="633" w:type="pct"/>
            <w:vMerge w:val="continue"/>
            <w:tcBorders>
              <w:tl2br w:val="nil"/>
              <w:tr2bl w:val="nil"/>
            </w:tcBorders>
            <w:noWrap w:val="0"/>
            <w:vAlign w:val="center"/>
          </w:tcPr>
          <w:p w14:paraId="7B044B42">
            <w:pPr>
              <w:pStyle w:val="1358"/>
              <w:rPr>
                <w:rFonts w:ascii="Times New Roman" w:hAnsi="Times New Roman" w:eastAsia="宋体" w:cs="Times New Roman"/>
                <w:color w:val="auto"/>
                <w:highlight w:val="none"/>
              </w:rPr>
            </w:pPr>
          </w:p>
        </w:tc>
        <w:tc>
          <w:tcPr>
            <w:tcW w:w="416" w:type="pct"/>
            <w:vMerge w:val="continue"/>
            <w:tcBorders>
              <w:tl2br w:val="nil"/>
              <w:tr2bl w:val="nil"/>
            </w:tcBorders>
            <w:noWrap w:val="0"/>
            <w:vAlign w:val="center"/>
          </w:tcPr>
          <w:p w14:paraId="2DC75AE6">
            <w:pPr>
              <w:pStyle w:val="1358"/>
              <w:rPr>
                <w:rFonts w:hint="eastAsia"/>
                <w:color w:val="auto"/>
                <w:highlight w:val="none"/>
                <w:lang w:val="en-US" w:eastAsia="zh-CN"/>
              </w:rPr>
            </w:pPr>
          </w:p>
        </w:tc>
        <w:tc>
          <w:tcPr>
            <w:tcW w:w="434" w:type="pct"/>
            <w:vMerge w:val="continue"/>
            <w:tcBorders>
              <w:tl2br w:val="nil"/>
              <w:tr2bl w:val="nil"/>
            </w:tcBorders>
            <w:noWrap w:val="0"/>
            <w:vAlign w:val="center"/>
          </w:tcPr>
          <w:p w14:paraId="44B60CA1">
            <w:pPr>
              <w:pStyle w:val="1358"/>
              <w:rPr>
                <w:rFonts w:hint="eastAsia"/>
                <w:color w:val="auto"/>
                <w:highlight w:val="none"/>
                <w:lang w:val="en-US" w:eastAsia="zh-CN"/>
              </w:rPr>
            </w:pPr>
          </w:p>
        </w:tc>
        <w:tc>
          <w:tcPr>
            <w:tcW w:w="407" w:type="pct"/>
            <w:vMerge w:val="continue"/>
            <w:tcBorders>
              <w:tl2br w:val="nil"/>
              <w:tr2bl w:val="nil"/>
            </w:tcBorders>
            <w:noWrap w:val="0"/>
            <w:vAlign w:val="center"/>
          </w:tcPr>
          <w:p w14:paraId="58DBD9A0">
            <w:pPr>
              <w:pStyle w:val="1358"/>
              <w:rPr>
                <w:rFonts w:hint="eastAsia"/>
                <w:color w:val="auto"/>
                <w:highlight w:val="none"/>
                <w:lang w:val="en-US" w:eastAsia="zh-CN"/>
              </w:rPr>
            </w:pPr>
          </w:p>
        </w:tc>
        <w:tc>
          <w:tcPr>
            <w:tcW w:w="441" w:type="pct"/>
            <w:vMerge w:val="continue"/>
            <w:tcBorders>
              <w:tl2br w:val="nil"/>
              <w:tr2bl w:val="nil"/>
            </w:tcBorders>
            <w:noWrap w:val="0"/>
            <w:vAlign w:val="center"/>
          </w:tcPr>
          <w:p w14:paraId="45FACC6D">
            <w:pPr>
              <w:pStyle w:val="1358"/>
              <w:rPr>
                <w:rFonts w:hint="eastAsia"/>
                <w:color w:val="auto"/>
                <w:highlight w:val="none"/>
                <w:lang w:val="en-US" w:eastAsia="zh-CN"/>
              </w:rPr>
            </w:pPr>
          </w:p>
        </w:tc>
        <w:tc>
          <w:tcPr>
            <w:tcW w:w="483" w:type="pct"/>
            <w:vMerge w:val="continue"/>
            <w:tcBorders>
              <w:tl2br w:val="nil"/>
              <w:tr2bl w:val="nil"/>
            </w:tcBorders>
            <w:noWrap w:val="0"/>
            <w:vAlign w:val="center"/>
          </w:tcPr>
          <w:p w14:paraId="3FE396D6">
            <w:pPr>
              <w:pStyle w:val="1358"/>
              <w:rPr>
                <w:rFonts w:hint="eastAsia" w:ascii="Times New Roman" w:hAnsi="Times New Roman" w:eastAsia="宋体" w:cs="Times New Roman"/>
                <w:color w:val="auto"/>
                <w:highlight w:val="none"/>
                <w:lang w:val="en-US" w:eastAsia="zh-CN"/>
              </w:rPr>
            </w:pPr>
          </w:p>
        </w:tc>
        <w:tc>
          <w:tcPr>
            <w:tcW w:w="683" w:type="pct"/>
            <w:tcBorders>
              <w:tl2br w:val="nil"/>
              <w:tr2bl w:val="nil"/>
            </w:tcBorders>
            <w:noWrap w:val="0"/>
            <w:vAlign w:val="center"/>
          </w:tcPr>
          <w:p w14:paraId="20BFD2E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447" w:type="pct"/>
            <w:tcBorders>
              <w:tl2br w:val="nil"/>
              <w:tr2bl w:val="nil"/>
            </w:tcBorders>
            <w:noWrap w:val="0"/>
            <w:vAlign w:val="center"/>
          </w:tcPr>
          <w:p w14:paraId="33461F4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0.2133 </w:t>
            </w:r>
          </w:p>
        </w:tc>
      </w:tr>
      <w:tr w14:paraId="55DB424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continue"/>
            <w:tcBorders>
              <w:tl2br w:val="nil"/>
              <w:tr2bl w:val="nil"/>
            </w:tcBorders>
            <w:noWrap w:val="0"/>
            <w:vAlign w:val="center"/>
          </w:tcPr>
          <w:p w14:paraId="6BAE1518">
            <w:pPr>
              <w:pStyle w:val="1358"/>
              <w:rPr>
                <w:rFonts w:hint="eastAsia" w:cs="Times New Roman"/>
                <w:color w:val="auto"/>
                <w:highlight w:val="none"/>
                <w:lang w:val="en-US" w:eastAsia="zh-CN"/>
              </w:rPr>
            </w:pPr>
          </w:p>
        </w:tc>
        <w:tc>
          <w:tcPr>
            <w:tcW w:w="649" w:type="pct"/>
            <w:vMerge w:val="continue"/>
            <w:tcBorders>
              <w:tl2br w:val="nil"/>
              <w:tr2bl w:val="nil"/>
            </w:tcBorders>
            <w:noWrap w:val="0"/>
            <w:vAlign w:val="center"/>
          </w:tcPr>
          <w:p w14:paraId="492B1452">
            <w:pPr>
              <w:pStyle w:val="1358"/>
              <w:rPr>
                <w:rFonts w:hint="eastAsia" w:ascii="Times New Roman" w:hAnsi="Times New Roman" w:eastAsia="宋体" w:cs="Times New Roman"/>
                <w:color w:val="auto"/>
                <w:highlight w:val="none"/>
                <w:lang w:val="en-US" w:eastAsia="zh-CN"/>
              </w:rPr>
            </w:pPr>
          </w:p>
        </w:tc>
        <w:tc>
          <w:tcPr>
            <w:tcW w:w="633" w:type="pct"/>
            <w:vMerge w:val="continue"/>
            <w:tcBorders>
              <w:tl2br w:val="nil"/>
              <w:tr2bl w:val="nil"/>
            </w:tcBorders>
            <w:noWrap w:val="0"/>
            <w:vAlign w:val="center"/>
          </w:tcPr>
          <w:p w14:paraId="3BDF18C5">
            <w:pPr>
              <w:pStyle w:val="1358"/>
              <w:rPr>
                <w:rFonts w:ascii="Times New Roman" w:hAnsi="Times New Roman" w:eastAsia="宋体" w:cs="Times New Roman"/>
                <w:color w:val="auto"/>
                <w:highlight w:val="none"/>
              </w:rPr>
            </w:pPr>
          </w:p>
        </w:tc>
        <w:tc>
          <w:tcPr>
            <w:tcW w:w="416" w:type="pct"/>
            <w:vMerge w:val="continue"/>
            <w:tcBorders>
              <w:tl2br w:val="nil"/>
              <w:tr2bl w:val="nil"/>
            </w:tcBorders>
            <w:noWrap w:val="0"/>
            <w:vAlign w:val="center"/>
          </w:tcPr>
          <w:p w14:paraId="711E25D0">
            <w:pPr>
              <w:pStyle w:val="1358"/>
              <w:rPr>
                <w:rFonts w:hint="eastAsia"/>
                <w:color w:val="auto"/>
                <w:highlight w:val="none"/>
                <w:lang w:val="en-US" w:eastAsia="zh-CN"/>
              </w:rPr>
            </w:pPr>
          </w:p>
        </w:tc>
        <w:tc>
          <w:tcPr>
            <w:tcW w:w="434" w:type="pct"/>
            <w:vMerge w:val="continue"/>
            <w:tcBorders>
              <w:tl2br w:val="nil"/>
              <w:tr2bl w:val="nil"/>
            </w:tcBorders>
            <w:noWrap w:val="0"/>
            <w:vAlign w:val="center"/>
          </w:tcPr>
          <w:p w14:paraId="6983BE4E">
            <w:pPr>
              <w:pStyle w:val="1358"/>
              <w:rPr>
                <w:rFonts w:hint="eastAsia"/>
                <w:color w:val="auto"/>
                <w:highlight w:val="none"/>
                <w:lang w:val="en-US" w:eastAsia="zh-CN"/>
              </w:rPr>
            </w:pPr>
          </w:p>
        </w:tc>
        <w:tc>
          <w:tcPr>
            <w:tcW w:w="407" w:type="pct"/>
            <w:vMerge w:val="continue"/>
            <w:tcBorders>
              <w:tl2br w:val="nil"/>
              <w:tr2bl w:val="nil"/>
            </w:tcBorders>
            <w:noWrap w:val="0"/>
            <w:vAlign w:val="center"/>
          </w:tcPr>
          <w:p w14:paraId="1EFDCC10">
            <w:pPr>
              <w:pStyle w:val="1358"/>
              <w:rPr>
                <w:rFonts w:hint="eastAsia"/>
                <w:color w:val="auto"/>
                <w:highlight w:val="none"/>
                <w:lang w:val="en-US" w:eastAsia="zh-CN"/>
              </w:rPr>
            </w:pPr>
          </w:p>
        </w:tc>
        <w:tc>
          <w:tcPr>
            <w:tcW w:w="441" w:type="pct"/>
            <w:vMerge w:val="continue"/>
            <w:tcBorders>
              <w:tl2br w:val="nil"/>
              <w:tr2bl w:val="nil"/>
            </w:tcBorders>
            <w:noWrap w:val="0"/>
            <w:vAlign w:val="center"/>
          </w:tcPr>
          <w:p w14:paraId="71DBEBFE">
            <w:pPr>
              <w:pStyle w:val="1358"/>
              <w:rPr>
                <w:rFonts w:hint="eastAsia"/>
                <w:color w:val="auto"/>
                <w:highlight w:val="none"/>
                <w:lang w:val="en-US" w:eastAsia="zh-CN"/>
              </w:rPr>
            </w:pPr>
          </w:p>
        </w:tc>
        <w:tc>
          <w:tcPr>
            <w:tcW w:w="483" w:type="pct"/>
            <w:vMerge w:val="continue"/>
            <w:tcBorders>
              <w:tl2br w:val="nil"/>
              <w:tr2bl w:val="nil"/>
            </w:tcBorders>
            <w:noWrap w:val="0"/>
            <w:vAlign w:val="center"/>
          </w:tcPr>
          <w:p w14:paraId="212157A8">
            <w:pPr>
              <w:pStyle w:val="1358"/>
              <w:rPr>
                <w:rFonts w:hint="eastAsia" w:ascii="Times New Roman" w:hAnsi="Times New Roman" w:eastAsia="宋体" w:cs="Times New Roman"/>
                <w:color w:val="auto"/>
                <w:highlight w:val="none"/>
                <w:lang w:val="en-US" w:eastAsia="zh-CN"/>
              </w:rPr>
            </w:pPr>
          </w:p>
        </w:tc>
        <w:tc>
          <w:tcPr>
            <w:tcW w:w="683" w:type="pct"/>
            <w:tcBorders>
              <w:tl2br w:val="nil"/>
              <w:tr2bl w:val="nil"/>
            </w:tcBorders>
            <w:noWrap w:val="0"/>
            <w:vAlign w:val="center"/>
          </w:tcPr>
          <w:p w14:paraId="0DDC7BD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NMHC（含乙酸丁酯）</w:t>
            </w:r>
          </w:p>
        </w:tc>
        <w:tc>
          <w:tcPr>
            <w:tcW w:w="447" w:type="pct"/>
            <w:tcBorders>
              <w:tl2br w:val="nil"/>
              <w:tr2bl w:val="nil"/>
            </w:tcBorders>
            <w:noWrap w:val="0"/>
            <w:vAlign w:val="center"/>
          </w:tcPr>
          <w:p w14:paraId="448FD1FA">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0.8973 </w:t>
            </w:r>
          </w:p>
        </w:tc>
      </w:tr>
      <w:tr w14:paraId="3308AF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restart"/>
            <w:tcBorders>
              <w:tl2br w:val="nil"/>
              <w:tr2bl w:val="nil"/>
            </w:tcBorders>
            <w:noWrap w:val="0"/>
            <w:vAlign w:val="center"/>
          </w:tcPr>
          <w:p w14:paraId="5EFB253F">
            <w:pPr>
              <w:pStyle w:val="1358"/>
              <w:rPr>
                <w:rFonts w:hint="eastAsia" w:cs="Times New Roman"/>
                <w:color w:val="auto"/>
                <w:highlight w:val="none"/>
                <w:lang w:val="en-US" w:eastAsia="zh-CN"/>
              </w:rPr>
            </w:pPr>
            <w:r>
              <w:rPr>
                <w:rFonts w:hint="eastAsia" w:cs="Times New Roman"/>
                <w:color w:val="auto"/>
                <w:highlight w:val="none"/>
                <w:lang w:val="en-US" w:eastAsia="zh-CN"/>
              </w:rPr>
              <w:t>B库</w:t>
            </w:r>
            <w:r>
              <w:rPr>
                <w:rFonts w:hint="eastAsia" w:ascii="Times New Roman" w:hAnsi="Times New Roman" w:eastAsia="宋体" w:cs="Times New Roman"/>
                <w:color w:val="auto"/>
                <w:highlight w:val="none"/>
                <w:lang w:val="en-US" w:eastAsia="zh-CN"/>
              </w:rPr>
              <w:t>厂房</w:t>
            </w:r>
          </w:p>
        </w:tc>
        <w:tc>
          <w:tcPr>
            <w:tcW w:w="649" w:type="pct"/>
            <w:vMerge w:val="restart"/>
            <w:tcBorders>
              <w:tl2br w:val="nil"/>
              <w:tr2bl w:val="nil"/>
            </w:tcBorders>
            <w:noWrap w:val="0"/>
            <w:vAlign w:val="center"/>
          </w:tcPr>
          <w:p w14:paraId="2EF51EB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119°20′49.361″</w:t>
            </w:r>
          </w:p>
        </w:tc>
        <w:tc>
          <w:tcPr>
            <w:tcW w:w="633" w:type="pct"/>
            <w:vMerge w:val="restart"/>
            <w:tcBorders>
              <w:tl2br w:val="nil"/>
              <w:tr2bl w:val="nil"/>
            </w:tcBorders>
            <w:noWrap w:val="0"/>
            <w:vAlign w:val="center"/>
          </w:tcPr>
          <w:p w14:paraId="1DE3F4E0">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25°52′45.890″</w:t>
            </w:r>
          </w:p>
        </w:tc>
        <w:tc>
          <w:tcPr>
            <w:tcW w:w="416" w:type="pct"/>
            <w:vMerge w:val="restart"/>
            <w:tcBorders>
              <w:tl2br w:val="nil"/>
              <w:tr2bl w:val="nil"/>
            </w:tcBorders>
            <w:noWrap w:val="0"/>
            <w:vAlign w:val="center"/>
          </w:tcPr>
          <w:p w14:paraId="57451326">
            <w:pPr>
              <w:pStyle w:val="1358"/>
              <w:rPr>
                <w:rFonts w:hint="default"/>
                <w:color w:val="auto"/>
                <w:highlight w:val="none"/>
                <w:lang w:val="en-US" w:eastAsia="zh-CN"/>
              </w:rPr>
            </w:pPr>
            <w:r>
              <w:rPr>
                <w:rFonts w:hint="eastAsia"/>
                <w:color w:val="auto"/>
                <w:highlight w:val="none"/>
                <w:lang w:val="en-US" w:eastAsia="zh-CN"/>
              </w:rPr>
              <w:t>1</w:t>
            </w:r>
          </w:p>
        </w:tc>
        <w:tc>
          <w:tcPr>
            <w:tcW w:w="434" w:type="pct"/>
            <w:vMerge w:val="restart"/>
            <w:tcBorders>
              <w:tl2br w:val="nil"/>
              <w:tr2bl w:val="nil"/>
            </w:tcBorders>
            <w:noWrap w:val="0"/>
            <w:vAlign w:val="center"/>
          </w:tcPr>
          <w:p w14:paraId="25D54336">
            <w:pPr>
              <w:pStyle w:val="1358"/>
              <w:rPr>
                <w:rFonts w:hint="eastAsia"/>
                <w:color w:val="auto"/>
                <w:highlight w:val="none"/>
                <w:lang w:val="en-US" w:eastAsia="zh-CN"/>
              </w:rPr>
            </w:pPr>
            <w:r>
              <w:rPr>
                <w:rFonts w:hint="eastAsia" w:ascii="Times New Roman" w:hAnsi="Times New Roman" w:eastAsia="宋体" w:cs="Times New Roman"/>
                <w:color w:val="auto"/>
                <w:highlight w:val="none"/>
                <w:lang w:val="en-US" w:eastAsia="zh-CN"/>
              </w:rPr>
              <w:t>106</w:t>
            </w:r>
          </w:p>
        </w:tc>
        <w:tc>
          <w:tcPr>
            <w:tcW w:w="407" w:type="pct"/>
            <w:vMerge w:val="restart"/>
            <w:tcBorders>
              <w:tl2br w:val="nil"/>
              <w:tr2bl w:val="nil"/>
            </w:tcBorders>
            <w:noWrap w:val="0"/>
            <w:vAlign w:val="center"/>
          </w:tcPr>
          <w:p w14:paraId="2EFB185D">
            <w:pPr>
              <w:pStyle w:val="1358"/>
              <w:rPr>
                <w:rFonts w:hint="default"/>
                <w:color w:val="auto"/>
                <w:highlight w:val="none"/>
                <w:lang w:val="en-US" w:eastAsia="zh-CN"/>
              </w:rPr>
            </w:pPr>
            <w:r>
              <w:rPr>
                <w:rFonts w:hint="eastAsia"/>
                <w:color w:val="auto"/>
                <w:highlight w:val="none"/>
                <w:lang w:val="en-US" w:eastAsia="zh-CN"/>
              </w:rPr>
              <w:t>49</w:t>
            </w:r>
          </w:p>
        </w:tc>
        <w:tc>
          <w:tcPr>
            <w:tcW w:w="441" w:type="pct"/>
            <w:vMerge w:val="restart"/>
            <w:tcBorders>
              <w:tl2br w:val="nil"/>
              <w:tr2bl w:val="nil"/>
            </w:tcBorders>
            <w:noWrap w:val="0"/>
            <w:vAlign w:val="center"/>
          </w:tcPr>
          <w:p w14:paraId="21A6B990">
            <w:pPr>
              <w:pStyle w:val="1358"/>
              <w:rPr>
                <w:rFonts w:hint="default"/>
                <w:color w:val="auto"/>
                <w:highlight w:val="none"/>
                <w:lang w:val="en-US" w:eastAsia="zh-CN"/>
              </w:rPr>
            </w:pPr>
            <w:r>
              <w:rPr>
                <w:rFonts w:hint="eastAsia"/>
                <w:color w:val="auto"/>
                <w:highlight w:val="none"/>
                <w:lang w:val="en-US" w:eastAsia="zh-CN"/>
              </w:rPr>
              <w:t>20</w:t>
            </w:r>
          </w:p>
        </w:tc>
        <w:tc>
          <w:tcPr>
            <w:tcW w:w="483" w:type="pct"/>
            <w:vMerge w:val="restart"/>
            <w:tcBorders>
              <w:tl2br w:val="nil"/>
              <w:tr2bl w:val="nil"/>
            </w:tcBorders>
            <w:noWrap w:val="0"/>
            <w:vAlign w:val="center"/>
          </w:tcPr>
          <w:p w14:paraId="30BB4D99">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w:t>
            </w:r>
          </w:p>
        </w:tc>
        <w:tc>
          <w:tcPr>
            <w:tcW w:w="683" w:type="pct"/>
            <w:tcBorders>
              <w:tl2br w:val="nil"/>
              <w:tr2bl w:val="nil"/>
            </w:tcBorders>
            <w:noWrap w:val="0"/>
            <w:vAlign w:val="center"/>
          </w:tcPr>
          <w:p w14:paraId="0C4BB0A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NMHC</w:t>
            </w:r>
          </w:p>
        </w:tc>
        <w:tc>
          <w:tcPr>
            <w:tcW w:w="447" w:type="pct"/>
            <w:tcBorders>
              <w:tl2br w:val="nil"/>
              <w:tr2bl w:val="nil"/>
            </w:tcBorders>
            <w:noWrap w:val="0"/>
            <w:vAlign w:val="center"/>
          </w:tcPr>
          <w:p w14:paraId="0E0765C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0.0530 </w:t>
            </w:r>
          </w:p>
        </w:tc>
      </w:tr>
      <w:tr w14:paraId="127C92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404" w:type="pct"/>
            <w:vMerge w:val="continue"/>
            <w:tcBorders>
              <w:tl2br w:val="nil"/>
              <w:tr2bl w:val="nil"/>
            </w:tcBorders>
            <w:noWrap w:val="0"/>
            <w:vAlign w:val="center"/>
          </w:tcPr>
          <w:p w14:paraId="6BF3CC90">
            <w:pPr>
              <w:pStyle w:val="1358"/>
              <w:rPr>
                <w:rFonts w:hint="eastAsia" w:ascii="Times New Roman" w:hAnsi="Times New Roman" w:eastAsia="宋体" w:cs="Times New Roman"/>
                <w:color w:val="auto"/>
                <w:highlight w:val="none"/>
                <w:lang w:val="en-US" w:eastAsia="zh-CN"/>
              </w:rPr>
            </w:pPr>
          </w:p>
        </w:tc>
        <w:tc>
          <w:tcPr>
            <w:tcW w:w="649" w:type="pct"/>
            <w:vMerge w:val="continue"/>
            <w:tcBorders>
              <w:tl2br w:val="nil"/>
              <w:tr2bl w:val="nil"/>
            </w:tcBorders>
            <w:noWrap w:val="0"/>
            <w:vAlign w:val="center"/>
          </w:tcPr>
          <w:p w14:paraId="2295BC7F">
            <w:pPr>
              <w:pStyle w:val="1358"/>
              <w:rPr>
                <w:rFonts w:hint="eastAsia" w:ascii="Times New Roman" w:hAnsi="Times New Roman" w:eastAsia="宋体" w:cs="Times New Roman"/>
                <w:color w:val="auto"/>
                <w:highlight w:val="none"/>
                <w:lang w:val="en-US" w:eastAsia="zh-CN"/>
              </w:rPr>
            </w:pPr>
          </w:p>
        </w:tc>
        <w:tc>
          <w:tcPr>
            <w:tcW w:w="633" w:type="pct"/>
            <w:vMerge w:val="continue"/>
            <w:tcBorders>
              <w:tl2br w:val="nil"/>
              <w:tr2bl w:val="nil"/>
            </w:tcBorders>
            <w:noWrap w:val="0"/>
            <w:vAlign w:val="center"/>
          </w:tcPr>
          <w:p w14:paraId="00775058">
            <w:pPr>
              <w:pStyle w:val="1358"/>
              <w:rPr>
                <w:rFonts w:hint="eastAsia" w:ascii="Times New Roman" w:hAnsi="Times New Roman" w:eastAsia="宋体" w:cs="Times New Roman"/>
                <w:color w:val="auto"/>
                <w:highlight w:val="none"/>
              </w:rPr>
            </w:pPr>
          </w:p>
        </w:tc>
        <w:tc>
          <w:tcPr>
            <w:tcW w:w="416" w:type="pct"/>
            <w:vMerge w:val="continue"/>
            <w:tcBorders>
              <w:tl2br w:val="nil"/>
              <w:tr2bl w:val="nil"/>
            </w:tcBorders>
            <w:noWrap w:val="0"/>
            <w:vAlign w:val="center"/>
          </w:tcPr>
          <w:p w14:paraId="6D53606A">
            <w:pPr>
              <w:pStyle w:val="1358"/>
              <w:rPr>
                <w:rFonts w:hint="eastAsia"/>
                <w:color w:val="auto"/>
                <w:highlight w:val="none"/>
                <w:lang w:val="en-US" w:eastAsia="zh-CN"/>
              </w:rPr>
            </w:pPr>
          </w:p>
        </w:tc>
        <w:tc>
          <w:tcPr>
            <w:tcW w:w="434" w:type="pct"/>
            <w:vMerge w:val="continue"/>
            <w:tcBorders>
              <w:tl2br w:val="nil"/>
              <w:tr2bl w:val="nil"/>
            </w:tcBorders>
            <w:noWrap w:val="0"/>
            <w:vAlign w:val="center"/>
          </w:tcPr>
          <w:p w14:paraId="1ECDCD72">
            <w:pPr>
              <w:pStyle w:val="1358"/>
              <w:rPr>
                <w:rFonts w:hint="eastAsia"/>
                <w:color w:val="auto"/>
                <w:highlight w:val="none"/>
                <w:lang w:val="en-US" w:eastAsia="zh-CN"/>
              </w:rPr>
            </w:pPr>
          </w:p>
        </w:tc>
        <w:tc>
          <w:tcPr>
            <w:tcW w:w="407" w:type="pct"/>
            <w:vMerge w:val="continue"/>
            <w:tcBorders>
              <w:tl2br w:val="nil"/>
              <w:tr2bl w:val="nil"/>
            </w:tcBorders>
            <w:noWrap w:val="0"/>
            <w:vAlign w:val="center"/>
          </w:tcPr>
          <w:p w14:paraId="6BC9F9DD">
            <w:pPr>
              <w:pStyle w:val="1358"/>
              <w:rPr>
                <w:rFonts w:hint="eastAsia"/>
                <w:color w:val="auto"/>
                <w:highlight w:val="none"/>
                <w:lang w:val="en-US" w:eastAsia="zh-CN"/>
              </w:rPr>
            </w:pPr>
          </w:p>
        </w:tc>
        <w:tc>
          <w:tcPr>
            <w:tcW w:w="441" w:type="pct"/>
            <w:vMerge w:val="continue"/>
            <w:tcBorders>
              <w:tl2br w:val="nil"/>
              <w:tr2bl w:val="nil"/>
            </w:tcBorders>
            <w:noWrap w:val="0"/>
            <w:vAlign w:val="center"/>
          </w:tcPr>
          <w:p w14:paraId="2CC63B64">
            <w:pPr>
              <w:pStyle w:val="1358"/>
              <w:rPr>
                <w:rFonts w:hint="eastAsia"/>
                <w:color w:val="auto"/>
                <w:highlight w:val="none"/>
                <w:lang w:val="en-US" w:eastAsia="zh-CN"/>
              </w:rPr>
            </w:pPr>
          </w:p>
        </w:tc>
        <w:tc>
          <w:tcPr>
            <w:tcW w:w="483" w:type="pct"/>
            <w:vMerge w:val="continue"/>
            <w:tcBorders>
              <w:tl2br w:val="nil"/>
              <w:tr2bl w:val="nil"/>
            </w:tcBorders>
            <w:noWrap w:val="0"/>
            <w:vAlign w:val="center"/>
          </w:tcPr>
          <w:p w14:paraId="3F4613AA">
            <w:pPr>
              <w:pStyle w:val="1358"/>
              <w:rPr>
                <w:rFonts w:hint="eastAsia" w:ascii="Times New Roman" w:hAnsi="Times New Roman" w:eastAsia="宋体" w:cs="Times New Roman"/>
                <w:color w:val="auto"/>
                <w:highlight w:val="none"/>
                <w:lang w:val="en-US" w:eastAsia="zh-CN"/>
              </w:rPr>
            </w:pPr>
          </w:p>
        </w:tc>
        <w:tc>
          <w:tcPr>
            <w:tcW w:w="683" w:type="pct"/>
            <w:tcBorders>
              <w:tl2br w:val="nil"/>
              <w:tr2bl w:val="nil"/>
            </w:tcBorders>
            <w:noWrap w:val="0"/>
            <w:vAlign w:val="center"/>
          </w:tcPr>
          <w:p w14:paraId="07F1B7F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447" w:type="pct"/>
            <w:tcBorders>
              <w:tl2br w:val="nil"/>
              <w:tr2bl w:val="nil"/>
            </w:tcBorders>
            <w:shd w:val="clear" w:color="auto" w:fill="auto"/>
            <w:noWrap w:val="0"/>
            <w:vAlign w:val="center"/>
          </w:tcPr>
          <w:p w14:paraId="7AB79964">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0.0461 </w:t>
            </w:r>
          </w:p>
        </w:tc>
      </w:tr>
    </w:tbl>
    <w:p w14:paraId="0D1DC99F">
      <w:pPr>
        <w:pStyle w:val="1336"/>
        <w:ind w:firstLine="480"/>
        <w:rPr>
          <w:color w:val="auto"/>
          <w:highlight w:val="none"/>
        </w:rPr>
      </w:pPr>
      <w:r>
        <w:rPr>
          <w:color w:val="auto"/>
          <w:highlight w:val="none"/>
        </w:rPr>
        <w:t>（5）评价等级评定</w:t>
      </w:r>
    </w:p>
    <w:p w14:paraId="15A95FDC">
      <w:pPr>
        <w:pStyle w:val="1336"/>
        <w:ind w:firstLine="480"/>
        <w:rPr>
          <w:color w:val="auto"/>
          <w:highlight w:val="none"/>
        </w:rPr>
      </w:pPr>
      <w:r>
        <w:rPr>
          <w:color w:val="auto"/>
          <w:highlight w:val="none"/>
        </w:rPr>
        <w:t>根据《环境影响评价技术导则大 气环境》</w:t>
      </w:r>
      <w:r>
        <w:rPr>
          <w:rFonts w:hint="eastAsia"/>
          <w:color w:val="auto"/>
          <w:highlight w:val="none"/>
          <w:lang w:eastAsia="zh-CN"/>
        </w:rPr>
        <w:t>（</w:t>
      </w:r>
      <w:r>
        <w:rPr>
          <w:color w:val="auto"/>
          <w:highlight w:val="none"/>
        </w:rPr>
        <w:t>HJ2.2-2018</w:t>
      </w:r>
      <w:r>
        <w:rPr>
          <w:rFonts w:hint="eastAsia"/>
          <w:color w:val="auto"/>
          <w:highlight w:val="none"/>
          <w:lang w:eastAsia="zh-CN"/>
        </w:rPr>
        <w:t>）</w:t>
      </w:r>
      <w:r>
        <w:rPr>
          <w:color w:val="auto"/>
          <w:highlight w:val="none"/>
        </w:rPr>
        <w:t xml:space="preserve"> 推荐估算模式AERSCREEN 预测污染物的最大影响程度和最远影响范围，其最大地面浓度占标率 </w:t>
      </w:r>
      <w:r>
        <w:rPr>
          <w:rFonts w:hint="eastAsia"/>
          <w:color w:val="auto"/>
          <w:highlight w:val="none"/>
          <w:lang w:eastAsia="zh-CN"/>
        </w:rPr>
        <w:t>（</w:t>
      </w:r>
      <w:r>
        <w:rPr>
          <w:color w:val="auto"/>
          <w:highlight w:val="none"/>
        </w:rPr>
        <w:t>Pi 值</w:t>
      </w:r>
      <w:r>
        <w:rPr>
          <w:rFonts w:hint="eastAsia"/>
          <w:color w:val="auto"/>
          <w:highlight w:val="none"/>
          <w:lang w:eastAsia="zh-CN"/>
        </w:rPr>
        <w:t>）</w:t>
      </w:r>
      <w:r>
        <w:rPr>
          <w:color w:val="auto"/>
          <w:highlight w:val="none"/>
        </w:rPr>
        <w:t>按下式计算：</w:t>
      </w:r>
    </w:p>
    <w:p w14:paraId="6E922E23">
      <w:pPr>
        <w:pStyle w:val="1336"/>
        <w:ind w:firstLine="480"/>
        <w:rPr>
          <w:color w:val="auto"/>
          <w:highlight w:val="none"/>
        </w:rPr>
      </w:pPr>
      <w:r>
        <w:rPr>
          <w:color w:val="auto"/>
          <w:highlight w:val="none"/>
        </w:rPr>
        <w:t>P</w:t>
      </w:r>
      <w:r>
        <w:rPr>
          <w:color w:val="auto"/>
          <w:highlight w:val="none"/>
          <w:vertAlign w:val="subscript"/>
        </w:rPr>
        <w:t>i</w:t>
      </w:r>
      <w:r>
        <w:rPr>
          <w:color w:val="auto"/>
          <w:highlight w:val="none"/>
        </w:rPr>
        <w:t>＝</w:t>
      </w:r>
      <w:r>
        <w:rPr>
          <w:rFonts w:hint="eastAsia"/>
          <w:color w:val="auto"/>
          <w:highlight w:val="none"/>
          <w:lang w:eastAsia="zh-CN"/>
        </w:rPr>
        <w:t>（</w:t>
      </w:r>
      <w:r>
        <w:rPr>
          <w:color w:val="auto"/>
          <w:highlight w:val="none"/>
        </w:rPr>
        <w:t>C</w:t>
      </w:r>
      <w:r>
        <w:rPr>
          <w:color w:val="auto"/>
          <w:sz w:val="16"/>
          <w:szCs w:val="16"/>
          <w:highlight w:val="none"/>
        </w:rPr>
        <w:t>i</w:t>
      </w:r>
      <w:r>
        <w:rPr>
          <w:color w:val="auto"/>
          <w:highlight w:val="none"/>
        </w:rPr>
        <w:t>/C</w:t>
      </w:r>
      <w:r>
        <w:rPr>
          <w:color w:val="auto"/>
          <w:sz w:val="16"/>
          <w:szCs w:val="16"/>
          <w:highlight w:val="none"/>
        </w:rPr>
        <w:t>0i</w:t>
      </w:r>
      <w:r>
        <w:rPr>
          <w:rFonts w:hint="eastAsia"/>
          <w:color w:val="auto"/>
          <w:highlight w:val="none"/>
          <w:lang w:eastAsia="zh-CN"/>
        </w:rPr>
        <w:t>）</w:t>
      </w:r>
      <w:r>
        <w:rPr>
          <w:color w:val="auto"/>
          <w:highlight w:val="none"/>
        </w:rPr>
        <w:t>×100%</w:t>
      </w:r>
    </w:p>
    <w:p w14:paraId="58BFA987">
      <w:pPr>
        <w:pStyle w:val="1336"/>
        <w:ind w:firstLine="480"/>
        <w:rPr>
          <w:color w:val="auto"/>
          <w:highlight w:val="none"/>
        </w:rPr>
      </w:pPr>
      <w:r>
        <w:rPr>
          <w:color w:val="auto"/>
          <w:highlight w:val="none"/>
        </w:rPr>
        <w:t>式中：P</w:t>
      </w:r>
      <w:r>
        <w:rPr>
          <w:color w:val="auto"/>
          <w:highlight w:val="none"/>
          <w:vertAlign w:val="subscript"/>
        </w:rPr>
        <w:t>i</w:t>
      </w:r>
      <w:r>
        <w:rPr>
          <w:color w:val="auto"/>
          <w:highlight w:val="none"/>
        </w:rPr>
        <w:t>－第i 个污染物的最大地面空气质量浓度占标率，%；</w:t>
      </w:r>
    </w:p>
    <w:p w14:paraId="13610407">
      <w:pPr>
        <w:pStyle w:val="1336"/>
        <w:ind w:firstLine="480"/>
        <w:rPr>
          <w:color w:val="auto"/>
          <w:highlight w:val="none"/>
        </w:rPr>
      </w:pPr>
      <w:r>
        <w:rPr>
          <w:color w:val="auto"/>
          <w:highlight w:val="none"/>
        </w:rPr>
        <w:t>C</w:t>
      </w:r>
      <w:r>
        <w:rPr>
          <w:color w:val="auto"/>
          <w:highlight w:val="none"/>
          <w:vertAlign w:val="subscript"/>
        </w:rPr>
        <w:t>i</w:t>
      </w:r>
      <w:r>
        <w:rPr>
          <w:color w:val="auto"/>
          <w:highlight w:val="none"/>
        </w:rPr>
        <w:t>－采用估算模型计算出的第i 个污染物的最大1h 地面空气质量浓度，μg/m</w:t>
      </w:r>
      <w:r>
        <w:rPr>
          <w:color w:val="auto"/>
          <w:szCs w:val="16"/>
          <w:highlight w:val="none"/>
          <w:vertAlign w:val="superscript"/>
        </w:rPr>
        <w:t>3</w:t>
      </w:r>
      <w:r>
        <w:rPr>
          <w:color w:val="auto"/>
          <w:highlight w:val="none"/>
        </w:rPr>
        <w:t>；</w:t>
      </w:r>
    </w:p>
    <w:p w14:paraId="7E360EAD">
      <w:pPr>
        <w:pStyle w:val="1336"/>
        <w:ind w:firstLine="480"/>
        <w:rPr>
          <w:color w:val="auto"/>
          <w:highlight w:val="none"/>
        </w:rPr>
      </w:pPr>
      <w:r>
        <w:rPr>
          <w:color w:val="auto"/>
          <w:highlight w:val="none"/>
        </w:rPr>
        <w:t>C</w:t>
      </w:r>
      <w:r>
        <w:rPr>
          <w:color w:val="auto"/>
          <w:highlight w:val="none"/>
          <w:vertAlign w:val="subscript"/>
        </w:rPr>
        <w:t>0i</w:t>
      </w:r>
      <w:r>
        <w:rPr>
          <w:color w:val="auto"/>
          <w:highlight w:val="none"/>
        </w:rPr>
        <w:t>－第i 个污染物的环境</w:t>
      </w:r>
      <w:r>
        <w:rPr>
          <w:rFonts w:hint="eastAsia"/>
          <w:color w:val="auto"/>
          <w:highlight w:val="none"/>
          <w:lang w:eastAsia="zh-CN"/>
        </w:rPr>
        <w:t>空气</w:t>
      </w:r>
      <w:r>
        <w:rPr>
          <w:color w:val="auto"/>
          <w:highlight w:val="none"/>
        </w:rPr>
        <w:t>质量浓度标准，μg/m</w:t>
      </w:r>
      <w:r>
        <w:rPr>
          <w:color w:val="auto"/>
          <w:szCs w:val="16"/>
          <w:highlight w:val="none"/>
          <w:vertAlign w:val="superscript"/>
        </w:rPr>
        <w:t>3</w:t>
      </w:r>
      <w:r>
        <w:rPr>
          <w:color w:val="auto"/>
          <w:highlight w:val="none"/>
        </w:rPr>
        <w:t>。</w:t>
      </w:r>
    </w:p>
    <w:p w14:paraId="422CFE79">
      <w:pPr>
        <w:pStyle w:val="1336"/>
        <w:ind w:firstLine="480"/>
        <w:rPr>
          <w:color w:val="auto"/>
          <w:highlight w:val="none"/>
        </w:rPr>
      </w:pPr>
      <w:r>
        <w:rPr>
          <w:color w:val="auto"/>
          <w:highlight w:val="none"/>
        </w:rPr>
        <w:t>评价工作等级的判定依据见表5.3-</w:t>
      </w:r>
      <w:r>
        <w:rPr>
          <w:rFonts w:hint="eastAsia"/>
          <w:color w:val="auto"/>
          <w:highlight w:val="none"/>
          <w:lang w:val="en-US" w:eastAsia="zh-CN"/>
        </w:rPr>
        <w:t>9</w:t>
      </w:r>
      <w:r>
        <w:rPr>
          <w:color w:val="auto"/>
          <w:highlight w:val="none"/>
        </w:rPr>
        <w:t>。</w:t>
      </w:r>
    </w:p>
    <w:p w14:paraId="62FC9845">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表5.3-</w:t>
      </w:r>
      <w:r>
        <w:rPr>
          <w:rFonts w:hint="eastAsia" w:cs="Times New Roman"/>
          <w:color w:val="auto"/>
          <w:highlight w:val="none"/>
          <w:lang w:val="en-US" w:eastAsia="zh-CN"/>
        </w:rPr>
        <w:t>9</w:t>
      </w:r>
      <w:r>
        <w:rPr>
          <w:rFonts w:hint="default" w:ascii="Times New Roman" w:hAnsi="Times New Roman" w:cs="Times New Roman"/>
          <w:color w:val="auto"/>
          <w:highlight w:val="none"/>
        </w:rPr>
        <w:t xml:space="preserve"> </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大气环境影响评价等级判别表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HJ2.2-2018表2</w:t>
      </w:r>
      <w:r>
        <w:rPr>
          <w:rFonts w:hint="default" w:ascii="Times New Roman" w:hAnsi="Times New Roman" w:cs="Times New Roman"/>
          <w:color w:val="auto"/>
          <w:highlight w:val="none"/>
          <w:lang w:eastAsia="zh-CN"/>
        </w:rPr>
        <w:t>）</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6831"/>
      </w:tblGrid>
      <w:tr w14:paraId="06353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6" w:type="pct"/>
            <w:tcBorders>
              <w:tl2br w:val="nil"/>
              <w:tr2bl w:val="nil"/>
            </w:tcBorders>
            <w:noWrap w:val="0"/>
            <w:vAlign w:val="center"/>
          </w:tcPr>
          <w:p w14:paraId="3AF67335">
            <w:pPr>
              <w:pStyle w:val="1369"/>
              <w:rPr>
                <w:color w:val="auto"/>
                <w:highlight w:val="none"/>
              </w:rPr>
            </w:pPr>
            <w:r>
              <w:rPr>
                <w:color w:val="auto"/>
                <w:highlight w:val="none"/>
              </w:rPr>
              <w:t>评价工作等级</w:t>
            </w:r>
          </w:p>
        </w:tc>
        <w:tc>
          <w:tcPr>
            <w:tcW w:w="3794" w:type="pct"/>
            <w:tcBorders>
              <w:tl2br w:val="nil"/>
              <w:tr2bl w:val="nil"/>
            </w:tcBorders>
            <w:noWrap w:val="0"/>
            <w:vAlign w:val="center"/>
          </w:tcPr>
          <w:p w14:paraId="570E5DE1">
            <w:pPr>
              <w:pStyle w:val="1369"/>
              <w:rPr>
                <w:color w:val="auto"/>
                <w:highlight w:val="none"/>
              </w:rPr>
            </w:pPr>
            <w:r>
              <w:rPr>
                <w:color w:val="auto"/>
                <w:highlight w:val="none"/>
              </w:rPr>
              <w:t>评价工作分级判据</w:t>
            </w:r>
          </w:p>
        </w:tc>
      </w:tr>
      <w:tr w14:paraId="031B3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6" w:type="pct"/>
            <w:tcBorders>
              <w:tl2br w:val="nil"/>
              <w:tr2bl w:val="nil"/>
            </w:tcBorders>
            <w:noWrap w:val="0"/>
            <w:vAlign w:val="center"/>
          </w:tcPr>
          <w:p w14:paraId="4B45F05A">
            <w:pPr>
              <w:pStyle w:val="1369"/>
              <w:rPr>
                <w:color w:val="auto"/>
                <w:highlight w:val="none"/>
              </w:rPr>
            </w:pPr>
            <w:r>
              <w:rPr>
                <w:color w:val="auto"/>
                <w:highlight w:val="none"/>
              </w:rPr>
              <w:t>一级</w:t>
            </w:r>
          </w:p>
        </w:tc>
        <w:tc>
          <w:tcPr>
            <w:tcW w:w="3794" w:type="pct"/>
            <w:tcBorders>
              <w:tl2br w:val="nil"/>
              <w:tr2bl w:val="nil"/>
            </w:tcBorders>
            <w:noWrap w:val="0"/>
            <w:vAlign w:val="center"/>
          </w:tcPr>
          <w:p w14:paraId="66E99FAD">
            <w:pPr>
              <w:pStyle w:val="1369"/>
              <w:rPr>
                <w:color w:val="auto"/>
                <w:highlight w:val="none"/>
              </w:rPr>
            </w:pPr>
            <w:r>
              <w:rPr>
                <w:color w:val="auto"/>
                <w:highlight w:val="none"/>
              </w:rPr>
              <w:t>Pmax≥10%</w:t>
            </w:r>
          </w:p>
        </w:tc>
      </w:tr>
      <w:tr w14:paraId="3018F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6" w:type="pct"/>
            <w:tcBorders>
              <w:tl2br w:val="nil"/>
              <w:tr2bl w:val="nil"/>
            </w:tcBorders>
            <w:noWrap w:val="0"/>
            <w:vAlign w:val="center"/>
          </w:tcPr>
          <w:p w14:paraId="2331E832">
            <w:pPr>
              <w:pStyle w:val="1369"/>
              <w:rPr>
                <w:color w:val="auto"/>
                <w:highlight w:val="none"/>
              </w:rPr>
            </w:pPr>
            <w:r>
              <w:rPr>
                <w:color w:val="auto"/>
                <w:highlight w:val="none"/>
              </w:rPr>
              <w:t>二级</w:t>
            </w:r>
          </w:p>
        </w:tc>
        <w:tc>
          <w:tcPr>
            <w:tcW w:w="3794" w:type="pct"/>
            <w:tcBorders>
              <w:tl2br w:val="nil"/>
              <w:tr2bl w:val="nil"/>
            </w:tcBorders>
            <w:noWrap w:val="0"/>
            <w:vAlign w:val="center"/>
          </w:tcPr>
          <w:p w14:paraId="5A538355">
            <w:pPr>
              <w:pStyle w:val="1369"/>
              <w:rPr>
                <w:color w:val="auto"/>
                <w:highlight w:val="none"/>
              </w:rPr>
            </w:pPr>
            <w:r>
              <w:rPr>
                <w:color w:val="auto"/>
                <w:highlight w:val="none"/>
              </w:rPr>
              <w:t>1%≤Pmax＜10%</w:t>
            </w:r>
          </w:p>
        </w:tc>
      </w:tr>
      <w:tr w14:paraId="7AD97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6" w:type="pct"/>
            <w:tcBorders>
              <w:tl2br w:val="nil"/>
              <w:tr2bl w:val="nil"/>
            </w:tcBorders>
            <w:noWrap w:val="0"/>
            <w:vAlign w:val="center"/>
          </w:tcPr>
          <w:p w14:paraId="3DC447AC">
            <w:pPr>
              <w:pStyle w:val="1369"/>
              <w:rPr>
                <w:color w:val="auto"/>
                <w:highlight w:val="none"/>
              </w:rPr>
            </w:pPr>
            <w:r>
              <w:rPr>
                <w:color w:val="auto"/>
                <w:highlight w:val="none"/>
              </w:rPr>
              <w:t>三级</w:t>
            </w:r>
          </w:p>
        </w:tc>
        <w:tc>
          <w:tcPr>
            <w:tcW w:w="3794" w:type="pct"/>
            <w:tcBorders>
              <w:tl2br w:val="nil"/>
              <w:tr2bl w:val="nil"/>
            </w:tcBorders>
            <w:noWrap w:val="0"/>
            <w:vAlign w:val="center"/>
          </w:tcPr>
          <w:p w14:paraId="7449DC3C">
            <w:pPr>
              <w:pStyle w:val="1369"/>
              <w:rPr>
                <w:color w:val="auto"/>
                <w:highlight w:val="none"/>
              </w:rPr>
            </w:pPr>
            <w:r>
              <w:rPr>
                <w:color w:val="auto"/>
                <w:highlight w:val="none"/>
              </w:rPr>
              <w:t>Pmax＜1%</w:t>
            </w:r>
          </w:p>
        </w:tc>
      </w:tr>
    </w:tbl>
    <w:p w14:paraId="6172A203">
      <w:pPr>
        <w:pStyle w:val="1354"/>
        <w:rPr>
          <w:color w:val="auto"/>
          <w:highlight w:val="none"/>
        </w:rPr>
      </w:pPr>
      <w:r>
        <w:rPr>
          <w:color w:val="auto"/>
          <w:highlight w:val="none"/>
        </w:rPr>
        <w:t>（6）估算模式计算结果</w:t>
      </w:r>
    </w:p>
    <w:p w14:paraId="5D18A2A0">
      <w:pPr>
        <w:pStyle w:val="1336"/>
        <w:ind w:firstLine="480"/>
        <w:rPr>
          <w:color w:val="auto"/>
          <w:highlight w:val="none"/>
        </w:rPr>
      </w:pPr>
      <w:r>
        <w:rPr>
          <w:color w:val="auto"/>
          <w:highlight w:val="none"/>
        </w:rPr>
        <w:t>本项目所有污染源的正常排放的污染物的P</w:t>
      </w:r>
      <w:r>
        <w:rPr>
          <w:color w:val="auto"/>
          <w:highlight w:val="none"/>
          <w:vertAlign w:val="subscript"/>
        </w:rPr>
        <w:t>max</w:t>
      </w:r>
      <w:r>
        <w:rPr>
          <w:color w:val="auto"/>
          <w:highlight w:val="none"/>
        </w:rPr>
        <w:t xml:space="preserve"> 和D</w:t>
      </w:r>
      <w:r>
        <w:rPr>
          <w:color w:val="auto"/>
          <w:sz w:val="16"/>
          <w:szCs w:val="16"/>
          <w:highlight w:val="none"/>
          <w:vertAlign w:val="subscript"/>
        </w:rPr>
        <w:t>10</w:t>
      </w:r>
      <w:r>
        <w:rPr>
          <w:color w:val="auto"/>
          <w:highlight w:val="none"/>
          <w:vertAlign w:val="subscript"/>
        </w:rPr>
        <w:t>%</w:t>
      </w:r>
      <w:r>
        <w:rPr>
          <w:color w:val="auto"/>
          <w:highlight w:val="none"/>
        </w:rPr>
        <w:t>预测结果见表5.3-</w:t>
      </w:r>
      <w:r>
        <w:rPr>
          <w:rFonts w:hint="eastAsia"/>
          <w:color w:val="auto"/>
          <w:highlight w:val="none"/>
          <w:lang w:val="en-US" w:eastAsia="zh-CN"/>
        </w:rPr>
        <w:t>10</w:t>
      </w:r>
      <w:r>
        <w:rPr>
          <w:color w:val="auto"/>
          <w:highlight w:val="none"/>
        </w:rPr>
        <w:t>。</w:t>
      </w:r>
    </w:p>
    <w:p w14:paraId="1EBA3335">
      <w:pPr>
        <w:pStyle w:val="8"/>
        <w:bidi w:val="0"/>
        <w:rPr>
          <w:rFonts w:hint="default" w:ascii="Times New Roman" w:hAnsi="Times New Roman" w:cs="Times New Roman"/>
          <w:color w:val="auto"/>
          <w:highlight w:val="none"/>
        </w:rPr>
        <w:sectPr>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2E5D7DF0">
      <w:pPr>
        <w:pStyle w:val="8"/>
        <w:bidi w:val="0"/>
        <w:rPr>
          <w:color w:val="auto"/>
          <w:highlight w:val="none"/>
        </w:rPr>
      </w:pPr>
      <w:r>
        <w:rPr>
          <w:color w:val="auto"/>
          <w:highlight w:val="none"/>
        </w:rPr>
        <w:t>表5.3-</w:t>
      </w:r>
      <w:r>
        <w:rPr>
          <w:rFonts w:hint="eastAsia"/>
          <w:color w:val="auto"/>
          <w:highlight w:val="none"/>
          <w:lang w:val="en-US" w:eastAsia="zh-CN"/>
        </w:rPr>
        <w:t xml:space="preserve">10  </w:t>
      </w:r>
      <w:r>
        <w:rPr>
          <w:color w:val="auto"/>
          <w:highlight w:val="none"/>
        </w:rPr>
        <w:t>Pmax和D10%预测和计算结果一览表</w:t>
      </w:r>
    </w:p>
    <w:tbl>
      <w:tblPr>
        <w:tblStyle w:val="80"/>
        <w:tblW w:w="13896" w:type="dxa"/>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938"/>
        <w:gridCol w:w="2524"/>
        <w:gridCol w:w="2145"/>
        <w:gridCol w:w="2310"/>
        <w:gridCol w:w="2250"/>
        <w:gridCol w:w="2729"/>
      </w:tblGrid>
      <w:tr w14:paraId="39383F4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tcBorders>
              <w:tl2br w:val="nil"/>
              <w:tr2bl w:val="nil"/>
            </w:tcBorders>
            <w:noWrap w:val="0"/>
            <w:vAlign w:val="center"/>
          </w:tcPr>
          <w:p w14:paraId="1544AEA2">
            <w:pPr>
              <w:pStyle w:val="1358"/>
              <w:rPr>
                <w:color w:val="auto"/>
                <w:highlight w:val="none"/>
              </w:rPr>
            </w:pPr>
            <w:r>
              <w:rPr>
                <w:color w:val="auto"/>
                <w:highlight w:val="none"/>
              </w:rPr>
              <w:t>污染源名称</w:t>
            </w:r>
          </w:p>
        </w:tc>
        <w:tc>
          <w:tcPr>
            <w:tcW w:w="2524" w:type="dxa"/>
            <w:tcBorders>
              <w:tl2br w:val="nil"/>
              <w:tr2bl w:val="nil"/>
            </w:tcBorders>
            <w:noWrap w:val="0"/>
            <w:vAlign w:val="center"/>
          </w:tcPr>
          <w:p w14:paraId="70558C90">
            <w:pPr>
              <w:pStyle w:val="1358"/>
              <w:rPr>
                <w:color w:val="auto"/>
                <w:highlight w:val="none"/>
              </w:rPr>
            </w:pPr>
            <w:r>
              <w:rPr>
                <w:color w:val="auto"/>
                <w:highlight w:val="none"/>
              </w:rPr>
              <w:t>评价因子</w:t>
            </w:r>
          </w:p>
        </w:tc>
        <w:tc>
          <w:tcPr>
            <w:tcW w:w="2145" w:type="dxa"/>
            <w:tcBorders>
              <w:tl2br w:val="nil"/>
              <w:tr2bl w:val="nil"/>
            </w:tcBorders>
            <w:noWrap w:val="0"/>
            <w:vAlign w:val="center"/>
          </w:tcPr>
          <w:p w14:paraId="7798D437">
            <w:pPr>
              <w:pStyle w:val="1358"/>
              <w:rPr>
                <w:rFonts w:hint="eastAsia" w:eastAsia="宋体"/>
                <w:color w:val="auto"/>
                <w:highlight w:val="none"/>
                <w:lang w:eastAsia="zh-CN"/>
              </w:rPr>
            </w:pPr>
            <w:r>
              <w:rPr>
                <w:color w:val="auto"/>
                <w:highlight w:val="none"/>
              </w:rPr>
              <w:t>评价标准</w:t>
            </w:r>
            <w:r>
              <w:rPr>
                <w:rFonts w:hint="eastAsia"/>
                <w:color w:val="auto"/>
                <w:highlight w:val="none"/>
                <w:lang w:eastAsia="zh-CN"/>
              </w:rPr>
              <w:t>（</w:t>
            </w:r>
            <w:r>
              <w:rPr>
                <w:color w:val="auto"/>
                <w:highlight w:val="none"/>
              </w:rPr>
              <w:t>μg/m³</w:t>
            </w:r>
            <w:r>
              <w:rPr>
                <w:rFonts w:hint="eastAsia"/>
                <w:color w:val="auto"/>
                <w:highlight w:val="none"/>
                <w:lang w:eastAsia="zh-CN"/>
              </w:rPr>
              <w:t>）</w:t>
            </w:r>
          </w:p>
        </w:tc>
        <w:tc>
          <w:tcPr>
            <w:tcW w:w="2310" w:type="dxa"/>
            <w:tcBorders>
              <w:tl2br w:val="nil"/>
              <w:tr2bl w:val="nil"/>
            </w:tcBorders>
            <w:noWrap w:val="0"/>
            <w:vAlign w:val="center"/>
          </w:tcPr>
          <w:p w14:paraId="6F72AB7C">
            <w:pPr>
              <w:pStyle w:val="1358"/>
              <w:rPr>
                <w:rFonts w:hint="eastAsia" w:eastAsia="宋体"/>
                <w:color w:val="auto"/>
                <w:highlight w:val="none"/>
                <w:lang w:eastAsia="zh-CN"/>
              </w:rPr>
            </w:pPr>
            <w:r>
              <w:rPr>
                <w:color w:val="auto"/>
                <w:highlight w:val="none"/>
              </w:rPr>
              <w:t>Cmax</w:t>
            </w:r>
            <w:r>
              <w:rPr>
                <w:rFonts w:hint="eastAsia"/>
                <w:color w:val="auto"/>
                <w:highlight w:val="none"/>
                <w:lang w:eastAsia="zh-CN"/>
              </w:rPr>
              <w:t>（</w:t>
            </w:r>
            <w:r>
              <w:rPr>
                <w:color w:val="auto"/>
                <w:highlight w:val="none"/>
              </w:rPr>
              <w:t>μg/m³</w:t>
            </w:r>
            <w:r>
              <w:rPr>
                <w:rFonts w:hint="eastAsia"/>
                <w:color w:val="auto"/>
                <w:highlight w:val="none"/>
                <w:lang w:eastAsia="zh-CN"/>
              </w:rPr>
              <w:t>）</w:t>
            </w:r>
          </w:p>
        </w:tc>
        <w:tc>
          <w:tcPr>
            <w:tcW w:w="2250" w:type="dxa"/>
            <w:tcBorders>
              <w:tl2br w:val="nil"/>
              <w:tr2bl w:val="nil"/>
            </w:tcBorders>
            <w:noWrap w:val="0"/>
            <w:vAlign w:val="center"/>
          </w:tcPr>
          <w:p w14:paraId="285A074F">
            <w:pPr>
              <w:pStyle w:val="1358"/>
              <w:rPr>
                <w:rFonts w:hint="eastAsia" w:eastAsia="宋体"/>
                <w:color w:val="auto"/>
                <w:highlight w:val="none"/>
                <w:lang w:eastAsia="zh-CN"/>
              </w:rPr>
            </w:pPr>
            <w:r>
              <w:rPr>
                <w:color w:val="auto"/>
                <w:highlight w:val="none"/>
              </w:rPr>
              <w:t>Pmax</w:t>
            </w:r>
            <w:r>
              <w:rPr>
                <w:rFonts w:hint="eastAsia"/>
                <w:color w:val="auto"/>
                <w:highlight w:val="none"/>
                <w:lang w:eastAsia="zh-CN"/>
              </w:rPr>
              <w:t>（</w:t>
            </w:r>
            <w:r>
              <w:rPr>
                <w:color w:val="auto"/>
                <w:highlight w:val="none"/>
              </w:rPr>
              <w:t>%</w:t>
            </w:r>
            <w:r>
              <w:rPr>
                <w:rFonts w:hint="eastAsia"/>
                <w:color w:val="auto"/>
                <w:highlight w:val="none"/>
                <w:lang w:eastAsia="zh-CN"/>
              </w:rPr>
              <w:t>）</w:t>
            </w:r>
          </w:p>
        </w:tc>
        <w:tc>
          <w:tcPr>
            <w:tcW w:w="2729" w:type="dxa"/>
            <w:tcBorders>
              <w:tl2br w:val="nil"/>
              <w:tr2bl w:val="nil"/>
            </w:tcBorders>
            <w:noWrap w:val="0"/>
            <w:vAlign w:val="center"/>
          </w:tcPr>
          <w:p w14:paraId="1AA31A3F">
            <w:pPr>
              <w:pStyle w:val="1358"/>
              <w:rPr>
                <w:rFonts w:hint="eastAsia" w:eastAsia="宋体"/>
                <w:color w:val="auto"/>
                <w:highlight w:val="none"/>
                <w:lang w:eastAsia="zh-CN"/>
              </w:rPr>
            </w:pPr>
            <w:r>
              <w:rPr>
                <w:color w:val="auto"/>
                <w:highlight w:val="none"/>
              </w:rPr>
              <w:t>D10%</w:t>
            </w:r>
            <w:r>
              <w:rPr>
                <w:rFonts w:hint="eastAsia"/>
                <w:color w:val="auto"/>
                <w:highlight w:val="none"/>
                <w:lang w:eastAsia="zh-CN"/>
              </w:rPr>
              <w:t>（</w:t>
            </w:r>
            <w:r>
              <w:rPr>
                <w:color w:val="auto"/>
                <w:highlight w:val="none"/>
              </w:rPr>
              <w:t>m</w:t>
            </w:r>
            <w:r>
              <w:rPr>
                <w:rFonts w:hint="eastAsia"/>
                <w:color w:val="auto"/>
                <w:highlight w:val="none"/>
                <w:lang w:eastAsia="zh-CN"/>
              </w:rPr>
              <w:t>）</w:t>
            </w:r>
          </w:p>
        </w:tc>
      </w:tr>
      <w:tr w14:paraId="0CF5E45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58D1C890">
            <w:pPr>
              <w:pStyle w:val="1358"/>
              <w:ind w:firstLine="0" w:firstLineChars="0"/>
              <w:rPr>
                <w:rFonts w:hint="default" w:eastAsia="宋体"/>
                <w:color w:val="auto"/>
                <w:highlight w:val="none"/>
                <w:lang w:val="en-US" w:eastAsia="zh-CN"/>
              </w:rPr>
            </w:pPr>
            <w:r>
              <w:rPr>
                <w:rFonts w:hint="eastAsia" w:ascii="Times New Roman" w:hAnsi="Times New Roman" w:eastAsia="宋体" w:cs="Times New Roman"/>
                <w:color w:val="auto"/>
                <w:highlight w:val="none"/>
                <w:lang w:val="en-US" w:eastAsia="zh-CN"/>
              </w:rPr>
              <w:t>DA001</w:t>
            </w:r>
          </w:p>
        </w:tc>
        <w:tc>
          <w:tcPr>
            <w:tcW w:w="2524" w:type="dxa"/>
            <w:tcBorders>
              <w:tl2br w:val="nil"/>
              <w:tr2bl w:val="nil"/>
            </w:tcBorders>
            <w:shd w:val="clear" w:color="auto" w:fill="auto"/>
            <w:noWrap w:val="0"/>
            <w:vAlign w:val="center"/>
          </w:tcPr>
          <w:p w14:paraId="4096D2E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2145" w:type="dxa"/>
            <w:tcBorders>
              <w:tl2br w:val="nil"/>
              <w:tr2bl w:val="nil"/>
            </w:tcBorders>
            <w:noWrap w:val="0"/>
            <w:vAlign w:val="center"/>
          </w:tcPr>
          <w:p w14:paraId="3B13260B">
            <w:pPr>
              <w:pStyle w:val="1358"/>
              <w:rPr>
                <w:rFonts w:hint="default" w:eastAsia="宋体"/>
                <w:color w:val="auto"/>
                <w:highlight w:val="none"/>
                <w:lang w:val="en-US" w:eastAsia="zh-CN"/>
              </w:rPr>
            </w:pPr>
            <w:r>
              <w:rPr>
                <w:rFonts w:hint="eastAsia"/>
                <w:color w:val="auto"/>
                <w:highlight w:val="none"/>
                <w:lang w:val="en-US" w:eastAsia="zh-CN"/>
              </w:rPr>
              <w:t>200</w:t>
            </w:r>
          </w:p>
        </w:tc>
        <w:tc>
          <w:tcPr>
            <w:tcW w:w="2310" w:type="dxa"/>
            <w:tcBorders>
              <w:tl2br w:val="nil"/>
              <w:tr2bl w:val="nil"/>
            </w:tcBorders>
            <w:shd w:val="clear" w:color="auto" w:fill="auto"/>
            <w:noWrap w:val="0"/>
            <w:vAlign w:val="center"/>
          </w:tcPr>
          <w:p w14:paraId="638E3366">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eastAsia="宋体"/>
                <w:color w:val="auto"/>
                <w:highlight w:val="none"/>
                <w:lang w:val="en-US" w:eastAsia="zh-CN"/>
              </w:rPr>
              <w:t>0.00061</w:t>
            </w:r>
            <w:r>
              <w:rPr>
                <w:rFonts w:hint="eastAsia"/>
                <w:color w:val="auto"/>
                <w:highlight w:val="none"/>
                <w:lang w:val="en-US" w:eastAsia="zh-CN"/>
              </w:rPr>
              <w:t>9</w:t>
            </w:r>
          </w:p>
        </w:tc>
        <w:tc>
          <w:tcPr>
            <w:tcW w:w="2250" w:type="dxa"/>
            <w:tcBorders>
              <w:tl2br w:val="nil"/>
              <w:tr2bl w:val="nil"/>
            </w:tcBorders>
            <w:shd w:val="clear" w:color="auto" w:fill="auto"/>
            <w:noWrap w:val="0"/>
            <w:vAlign w:val="center"/>
          </w:tcPr>
          <w:p w14:paraId="474066C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0.31</w:t>
            </w:r>
          </w:p>
        </w:tc>
        <w:tc>
          <w:tcPr>
            <w:tcW w:w="2729" w:type="dxa"/>
            <w:tcBorders>
              <w:tl2br w:val="nil"/>
              <w:tr2bl w:val="nil"/>
            </w:tcBorders>
            <w:noWrap w:val="0"/>
            <w:vAlign w:val="center"/>
          </w:tcPr>
          <w:p w14:paraId="446B74E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8F816C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5BFFEC4E">
            <w:pPr>
              <w:pStyle w:val="1358"/>
              <w:rPr>
                <w:color w:val="auto"/>
                <w:highlight w:val="none"/>
              </w:rPr>
            </w:pPr>
          </w:p>
        </w:tc>
        <w:tc>
          <w:tcPr>
            <w:tcW w:w="2524" w:type="dxa"/>
            <w:tcBorders>
              <w:tl2br w:val="nil"/>
              <w:tr2bl w:val="nil"/>
            </w:tcBorders>
            <w:shd w:val="clear" w:color="auto" w:fill="auto"/>
            <w:noWrap w:val="0"/>
            <w:vAlign w:val="center"/>
          </w:tcPr>
          <w:p w14:paraId="73233B81">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2145" w:type="dxa"/>
            <w:tcBorders>
              <w:tl2br w:val="nil"/>
              <w:tr2bl w:val="nil"/>
            </w:tcBorders>
            <w:noWrap w:val="0"/>
            <w:vAlign w:val="center"/>
          </w:tcPr>
          <w:p w14:paraId="2CB4B81C">
            <w:pPr>
              <w:pStyle w:val="1358"/>
              <w:rPr>
                <w:rFonts w:hint="default" w:eastAsia="宋体"/>
                <w:color w:val="auto"/>
                <w:highlight w:val="none"/>
                <w:lang w:val="en-US" w:eastAsia="zh-CN"/>
              </w:rPr>
            </w:pPr>
            <w:r>
              <w:rPr>
                <w:rFonts w:hint="eastAsia" w:eastAsia="宋体"/>
                <w:color w:val="auto"/>
                <w:highlight w:val="none"/>
                <w:lang w:val="en-US" w:eastAsia="zh-CN"/>
              </w:rPr>
              <w:t>2000</w:t>
            </w:r>
          </w:p>
        </w:tc>
        <w:tc>
          <w:tcPr>
            <w:tcW w:w="2310" w:type="dxa"/>
            <w:tcBorders>
              <w:tl2br w:val="nil"/>
              <w:tr2bl w:val="nil"/>
            </w:tcBorders>
            <w:shd w:val="clear" w:color="auto" w:fill="auto"/>
            <w:noWrap w:val="0"/>
            <w:vAlign w:val="center"/>
          </w:tcPr>
          <w:p w14:paraId="25DAFF4A">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eastAsia="宋体"/>
                <w:color w:val="auto"/>
                <w:highlight w:val="none"/>
                <w:lang w:val="en-US" w:eastAsia="zh-CN"/>
              </w:rPr>
              <w:t>0.00123</w:t>
            </w:r>
            <w:r>
              <w:rPr>
                <w:rFonts w:hint="eastAsia"/>
                <w:color w:val="auto"/>
                <w:highlight w:val="none"/>
                <w:lang w:val="en-US" w:eastAsia="zh-CN"/>
              </w:rPr>
              <w:t>8</w:t>
            </w:r>
          </w:p>
        </w:tc>
        <w:tc>
          <w:tcPr>
            <w:tcW w:w="2250" w:type="dxa"/>
            <w:tcBorders>
              <w:tl2br w:val="nil"/>
              <w:tr2bl w:val="nil"/>
            </w:tcBorders>
            <w:shd w:val="clear" w:color="auto" w:fill="auto"/>
            <w:noWrap w:val="0"/>
            <w:vAlign w:val="center"/>
          </w:tcPr>
          <w:p w14:paraId="09C13FC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0.06</w:t>
            </w:r>
          </w:p>
        </w:tc>
        <w:tc>
          <w:tcPr>
            <w:tcW w:w="2729" w:type="dxa"/>
            <w:tcBorders>
              <w:tl2br w:val="nil"/>
              <w:tr2bl w:val="nil"/>
            </w:tcBorders>
            <w:noWrap w:val="0"/>
            <w:vAlign w:val="center"/>
          </w:tcPr>
          <w:p w14:paraId="36952B1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7EE61A2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02D9C0EA">
            <w:pPr>
              <w:pStyle w:val="1358"/>
              <w:ind w:firstLine="0" w:firstLineChars="0"/>
              <w:rPr>
                <w:rFonts w:hint="default" w:eastAsia="宋体"/>
                <w:color w:val="auto"/>
                <w:highlight w:val="none"/>
                <w:lang w:val="en-US" w:eastAsia="zh-CN"/>
              </w:rPr>
            </w:pPr>
            <w:r>
              <w:rPr>
                <w:rFonts w:hint="eastAsia" w:ascii="Times New Roman" w:hAnsi="Times New Roman" w:eastAsia="宋体" w:cs="Times New Roman"/>
                <w:color w:val="auto"/>
                <w:highlight w:val="none"/>
                <w:lang w:val="en-US" w:eastAsia="zh-CN"/>
              </w:rPr>
              <w:t>DA002</w:t>
            </w:r>
          </w:p>
        </w:tc>
        <w:tc>
          <w:tcPr>
            <w:tcW w:w="2524" w:type="dxa"/>
            <w:tcBorders>
              <w:tl2br w:val="nil"/>
              <w:tr2bl w:val="nil"/>
            </w:tcBorders>
            <w:shd w:val="clear" w:color="auto" w:fill="auto"/>
            <w:noWrap w:val="0"/>
            <w:vAlign w:val="center"/>
          </w:tcPr>
          <w:p w14:paraId="160FC5C7">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2145" w:type="dxa"/>
            <w:tcBorders>
              <w:tl2br w:val="nil"/>
              <w:tr2bl w:val="nil"/>
            </w:tcBorders>
            <w:shd w:val="clear" w:color="auto" w:fill="auto"/>
            <w:noWrap w:val="0"/>
            <w:vAlign w:val="center"/>
          </w:tcPr>
          <w:p w14:paraId="4C052E9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200</w:t>
            </w:r>
          </w:p>
        </w:tc>
        <w:tc>
          <w:tcPr>
            <w:tcW w:w="2310" w:type="dxa"/>
            <w:tcBorders>
              <w:tl2br w:val="nil"/>
              <w:tr2bl w:val="nil"/>
            </w:tcBorders>
            <w:shd w:val="clear" w:color="auto" w:fill="auto"/>
            <w:noWrap w:val="0"/>
            <w:vAlign w:val="center"/>
          </w:tcPr>
          <w:p w14:paraId="7749082E">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eastAsia="宋体"/>
                <w:color w:val="auto"/>
                <w:highlight w:val="none"/>
                <w:lang w:val="en-US" w:eastAsia="zh-CN"/>
              </w:rPr>
              <w:t>0.0003</w:t>
            </w:r>
          </w:p>
        </w:tc>
        <w:tc>
          <w:tcPr>
            <w:tcW w:w="2250" w:type="dxa"/>
            <w:tcBorders>
              <w:tl2br w:val="nil"/>
              <w:tr2bl w:val="nil"/>
            </w:tcBorders>
            <w:shd w:val="clear" w:color="auto" w:fill="auto"/>
            <w:noWrap w:val="0"/>
            <w:vAlign w:val="center"/>
          </w:tcPr>
          <w:p w14:paraId="10A6C060">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0.15</w:t>
            </w:r>
          </w:p>
        </w:tc>
        <w:tc>
          <w:tcPr>
            <w:tcW w:w="2729" w:type="dxa"/>
            <w:tcBorders>
              <w:tl2br w:val="nil"/>
              <w:tr2bl w:val="nil"/>
            </w:tcBorders>
            <w:noWrap w:val="0"/>
            <w:vAlign w:val="center"/>
          </w:tcPr>
          <w:p w14:paraId="7A57381F">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963629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0C83B71C">
            <w:pPr>
              <w:pStyle w:val="1358"/>
              <w:rPr>
                <w:color w:val="auto"/>
                <w:highlight w:val="none"/>
              </w:rPr>
            </w:pPr>
          </w:p>
        </w:tc>
        <w:tc>
          <w:tcPr>
            <w:tcW w:w="2524" w:type="dxa"/>
            <w:tcBorders>
              <w:tl2br w:val="nil"/>
              <w:tr2bl w:val="nil"/>
            </w:tcBorders>
            <w:shd w:val="clear" w:color="auto" w:fill="auto"/>
            <w:noWrap w:val="0"/>
            <w:vAlign w:val="center"/>
          </w:tcPr>
          <w:p w14:paraId="3DC86B29">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NMHC（含乙酸丁酯）</w:t>
            </w:r>
          </w:p>
        </w:tc>
        <w:tc>
          <w:tcPr>
            <w:tcW w:w="2145" w:type="dxa"/>
            <w:tcBorders>
              <w:tl2br w:val="nil"/>
              <w:tr2bl w:val="nil"/>
            </w:tcBorders>
            <w:shd w:val="clear" w:color="auto" w:fill="auto"/>
            <w:noWrap w:val="0"/>
            <w:vAlign w:val="center"/>
          </w:tcPr>
          <w:p w14:paraId="0F0004F4">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eastAsia="宋体"/>
                <w:color w:val="auto"/>
                <w:highlight w:val="none"/>
                <w:lang w:val="en-US" w:eastAsia="zh-CN"/>
              </w:rPr>
              <w:t>2000</w:t>
            </w:r>
          </w:p>
        </w:tc>
        <w:tc>
          <w:tcPr>
            <w:tcW w:w="2310" w:type="dxa"/>
            <w:tcBorders>
              <w:tl2br w:val="nil"/>
              <w:tr2bl w:val="nil"/>
            </w:tcBorders>
            <w:shd w:val="clear" w:color="auto" w:fill="auto"/>
            <w:noWrap w:val="0"/>
            <w:vAlign w:val="center"/>
          </w:tcPr>
          <w:p w14:paraId="1FAA767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eastAsia="宋体"/>
                <w:color w:val="auto"/>
                <w:highlight w:val="none"/>
                <w:lang w:val="en-US" w:eastAsia="zh-CN"/>
              </w:rPr>
              <w:t>0.000732</w:t>
            </w:r>
          </w:p>
        </w:tc>
        <w:tc>
          <w:tcPr>
            <w:tcW w:w="2250" w:type="dxa"/>
            <w:tcBorders>
              <w:tl2br w:val="nil"/>
              <w:tr2bl w:val="nil"/>
            </w:tcBorders>
            <w:shd w:val="clear" w:color="auto" w:fill="auto"/>
            <w:noWrap w:val="0"/>
            <w:vAlign w:val="center"/>
          </w:tcPr>
          <w:p w14:paraId="3D569D9C">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0.04</w:t>
            </w:r>
          </w:p>
        </w:tc>
        <w:tc>
          <w:tcPr>
            <w:tcW w:w="2729" w:type="dxa"/>
            <w:tcBorders>
              <w:tl2br w:val="nil"/>
              <w:tr2bl w:val="nil"/>
            </w:tcBorders>
            <w:noWrap w:val="0"/>
            <w:vAlign w:val="center"/>
          </w:tcPr>
          <w:p w14:paraId="6319AE0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5AABEB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CD11F86">
            <w:pPr>
              <w:pStyle w:val="1358"/>
              <w:rPr>
                <w:color w:val="auto"/>
                <w:highlight w:val="none"/>
              </w:rPr>
            </w:pPr>
          </w:p>
        </w:tc>
        <w:tc>
          <w:tcPr>
            <w:tcW w:w="2524" w:type="dxa"/>
            <w:tcBorders>
              <w:tl2br w:val="nil"/>
              <w:tr2bl w:val="nil"/>
            </w:tcBorders>
            <w:shd w:val="clear" w:color="auto" w:fill="auto"/>
            <w:noWrap w:val="0"/>
            <w:vAlign w:val="center"/>
          </w:tcPr>
          <w:p w14:paraId="2B3EBCEA">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二氧化硫</w:t>
            </w:r>
          </w:p>
        </w:tc>
        <w:tc>
          <w:tcPr>
            <w:tcW w:w="2145" w:type="dxa"/>
            <w:tcBorders>
              <w:tl2br w:val="nil"/>
              <w:tr2bl w:val="nil"/>
            </w:tcBorders>
            <w:noWrap w:val="0"/>
            <w:vAlign w:val="center"/>
          </w:tcPr>
          <w:p w14:paraId="16806601">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500</w:t>
            </w:r>
          </w:p>
        </w:tc>
        <w:tc>
          <w:tcPr>
            <w:tcW w:w="2310" w:type="dxa"/>
            <w:tcBorders>
              <w:tl2br w:val="nil"/>
              <w:tr2bl w:val="nil"/>
            </w:tcBorders>
            <w:noWrap w:val="0"/>
            <w:vAlign w:val="center"/>
          </w:tcPr>
          <w:p w14:paraId="2A2823BC">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0.000701</w:t>
            </w:r>
          </w:p>
        </w:tc>
        <w:tc>
          <w:tcPr>
            <w:tcW w:w="2250" w:type="dxa"/>
            <w:tcBorders>
              <w:tl2br w:val="nil"/>
              <w:tr2bl w:val="nil"/>
            </w:tcBorders>
            <w:noWrap w:val="0"/>
            <w:vAlign w:val="center"/>
          </w:tcPr>
          <w:p w14:paraId="0A7C1B2E">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r>
              <w:rPr>
                <w:rFonts w:hint="eastAsia" w:cs="Times New Roman"/>
                <w:color w:val="000000" w:themeColor="text1"/>
                <w:highlight w:val="none"/>
                <w:lang w:val="en-US" w:eastAsia="zh-CN"/>
                <w14:textFill>
                  <w14:solidFill>
                    <w14:schemeClr w14:val="tx1"/>
                  </w14:solidFill>
                </w14:textFill>
              </w:rPr>
              <w:t>5</w:t>
            </w:r>
          </w:p>
        </w:tc>
        <w:tc>
          <w:tcPr>
            <w:tcW w:w="2729" w:type="dxa"/>
            <w:tcBorders>
              <w:tl2br w:val="nil"/>
              <w:tr2bl w:val="nil"/>
            </w:tcBorders>
            <w:noWrap w:val="0"/>
            <w:vAlign w:val="center"/>
          </w:tcPr>
          <w:p w14:paraId="0876458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418C90A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002253D">
            <w:pPr>
              <w:pStyle w:val="1358"/>
              <w:rPr>
                <w:color w:val="auto"/>
                <w:highlight w:val="none"/>
              </w:rPr>
            </w:pPr>
          </w:p>
        </w:tc>
        <w:tc>
          <w:tcPr>
            <w:tcW w:w="2524" w:type="dxa"/>
            <w:tcBorders>
              <w:tl2br w:val="nil"/>
              <w:tr2bl w:val="nil"/>
            </w:tcBorders>
            <w:shd w:val="clear" w:color="auto" w:fill="auto"/>
            <w:noWrap w:val="0"/>
            <w:vAlign w:val="center"/>
          </w:tcPr>
          <w:p w14:paraId="2B1CA3D0">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2145" w:type="dxa"/>
            <w:tcBorders>
              <w:tl2br w:val="nil"/>
              <w:tr2bl w:val="nil"/>
            </w:tcBorders>
            <w:noWrap w:val="0"/>
            <w:vAlign w:val="center"/>
          </w:tcPr>
          <w:p w14:paraId="7E80A02E">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300</w:t>
            </w:r>
          </w:p>
        </w:tc>
        <w:tc>
          <w:tcPr>
            <w:tcW w:w="2310" w:type="dxa"/>
            <w:tcBorders>
              <w:tl2br w:val="nil"/>
              <w:tr2bl w:val="nil"/>
            </w:tcBorders>
            <w:noWrap w:val="0"/>
            <w:vAlign w:val="center"/>
          </w:tcPr>
          <w:p w14:paraId="31654FB4">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0.0014</w:t>
            </w:r>
            <w:r>
              <w:rPr>
                <w:rFonts w:hint="eastAsia"/>
                <w:color w:val="000000" w:themeColor="text1"/>
                <w:highlight w:val="none"/>
                <w:lang w:val="en-US" w:eastAsia="zh-CN"/>
                <w14:textFill>
                  <w14:solidFill>
                    <w14:schemeClr w14:val="tx1"/>
                  </w14:solidFill>
                </w14:textFill>
              </w:rPr>
              <w:t>03</w:t>
            </w:r>
          </w:p>
        </w:tc>
        <w:tc>
          <w:tcPr>
            <w:tcW w:w="2250" w:type="dxa"/>
            <w:tcBorders>
              <w:tl2br w:val="nil"/>
              <w:tr2bl w:val="nil"/>
            </w:tcBorders>
            <w:noWrap w:val="0"/>
            <w:vAlign w:val="center"/>
          </w:tcPr>
          <w:p w14:paraId="0DF38826">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2729" w:type="dxa"/>
            <w:tcBorders>
              <w:tl2br w:val="nil"/>
              <w:tr2bl w:val="nil"/>
            </w:tcBorders>
            <w:noWrap w:val="0"/>
            <w:vAlign w:val="center"/>
          </w:tcPr>
          <w:p w14:paraId="2BC1187D">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762748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0D6AD70">
            <w:pPr>
              <w:pStyle w:val="1358"/>
              <w:rPr>
                <w:color w:val="auto"/>
                <w:highlight w:val="none"/>
              </w:rPr>
            </w:pPr>
          </w:p>
        </w:tc>
        <w:tc>
          <w:tcPr>
            <w:tcW w:w="2524" w:type="dxa"/>
            <w:tcBorders>
              <w:tl2br w:val="nil"/>
              <w:tr2bl w:val="nil"/>
            </w:tcBorders>
            <w:shd w:val="clear" w:color="auto" w:fill="auto"/>
            <w:noWrap w:val="0"/>
            <w:vAlign w:val="center"/>
          </w:tcPr>
          <w:p w14:paraId="1AADD736">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氮氧化物</w:t>
            </w:r>
          </w:p>
        </w:tc>
        <w:tc>
          <w:tcPr>
            <w:tcW w:w="2145" w:type="dxa"/>
            <w:tcBorders>
              <w:tl2br w:val="nil"/>
              <w:tr2bl w:val="nil"/>
            </w:tcBorders>
            <w:noWrap w:val="0"/>
            <w:vAlign w:val="center"/>
          </w:tcPr>
          <w:p w14:paraId="5544E58B">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250</w:t>
            </w:r>
          </w:p>
        </w:tc>
        <w:tc>
          <w:tcPr>
            <w:tcW w:w="2310" w:type="dxa"/>
            <w:tcBorders>
              <w:tl2br w:val="nil"/>
              <w:tr2bl w:val="nil"/>
            </w:tcBorders>
            <w:noWrap w:val="0"/>
            <w:vAlign w:val="center"/>
          </w:tcPr>
          <w:p w14:paraId="7E688164">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0.0065</w:t>
            </w:r>
            <w:r>
              <w:rPr>
                <w:rFonts w:hint="eastAsia"/>
                <w:color w:val="000000" w:themeColor="text1"/>
                <w:highlight w:val="none"/>
                <w:lang w:val="en-US" w:eastAsia="zh-CN"/>
                <w14:textFill>
                  <w14:solidFill>
                    <w14:schemeClr w14:val="tx1"/>
                  </w14:solidFill>
                </w14:textFill>
              </w:rPr>
              <w:t>86</w:t>
            </w:r>
          </w:p>
        </w:tc>
        <w:tc>
          <w:tcPr>
            <w:tcW w:w="2250" w:type="dxa"/>
            <w:tcBorders>
              <w:tl2br w:val="nil"/>
              <w:tr2bl w:val="nil"/>
            </w:tcBorders>
            <w:noWrap w:val="0"/>
            <w:vAlign w:val="center"/>
          </w:tcPr>
          <w:p w14:paraId="43FC5570">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3.28</w:t>
            </w:r>
            <w:r>
              <w:rPr>
                <w:rFonts w:hint="eastAsia" w:cs="Times New Roman"/>
                <w:color w:val="000000" w:themeColor="text1"/>
                <w:highlight w:val="none"/>
                <w:lang w:val="en-US" w:eastAsia="zh-CN"/>
                <w14:textFill>
                  <w14:solidFill>
                    <w14:schemeClr w14:val="tx1"/>
                  </w14:solidFill>
                </w14:textFill>
              </w:rPr>
              <w:t>9</w:t>
            </w:r>
          </w:p>
        </w:tc>
        <w:tc>
          <w:tcPr>
            <w:tcW w:w="2729" w:type="dxa"/>
            <w:tcBorders>
              <w:tl2br w:val="nil"/>
              <w:tr2bl w:val="nil"/>
            </w:tcBorders>
            <w:noWrap w:val="0"/>
            <w:vAlign w:val="center"/>
          </w:tcPr>
          <w:p w14:paraId="0FE6DD8C">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1CFD5C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7BFFA99A">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DA003</w:t>
            </w:r>
          </w:p>
        </w:tc>
        <w:tc>
          <w:tcPr>
            <w:tcW w:w="2524" w:type="dxa"/>
            <w:tcBorders>
              <w:tl2br w:val="nil"/>
              <w:tr2bl w:val="nil"/>
            </w:tcBorders>
            <w:shd w:val="clear" w:color="auto" w:fill="auto"/>
            <w:noWrap w:val="0"/>
            <w:vAlign w:val="center"/>
          </w:tcPr>
          <w:p w14:paraId="7ADDAE41">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漆雾（颗粒物）</w:t>
            </w:r>
          </w:p>
        </w:tc>
        <w:tc>
          <w:tcPr>
            <w:tcW w:w="2145" w:type="dxa"/>
            <w:tcBorders>
              <w:tl2br w:val="nil"/>
              <w:tr2bl w:val="nil"/>
            </w:tcBorders>
            <w:noWrap w:val="0"/>
            <w:vAlign w:val="center"/>
          </w:tcPr>
          <w:p w14:paraId="03B9D2C8">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300</w:t>
            </w:r>
          </w:p>
        </w:tc>
        <w:tc>
          <w:tcPr>
            <w:tcW w:w="2310" w:type="dxa"/>
            <w:tcBorders>
              <w:tl2br w:val="nil"/>
              <w:tr2bl w:val="nil"/>
            </w:tcBorders>
            <w:noWrap w:val="0"/>
            <w:vAlign w:val="center"/>
          </w:tcPr>
          <w:p w14:paraId="65AC3373">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0.000009</w:t>
            </w:r>
          </w:p>
        </w:tc>
        <w:tc>
          <w:tcPr>
            <w:tcW w:w="2250" w:type="dxa"/>
            <w:tcBorders>
              <w:tl2br w:val="nil"/>
              <w:tr2bl w:val="nil"/>
            </w:tcBorders>
            <w:noWrap w:val="0"/>
            <w:vAlign w:val="center"/>
          </w:tcPr>
          <w:p w14:paraId="744A000C">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p>
        </w:tc>
        <w:tc>
          <w:tcPr>
            <w:tcW w:w="2729" w:type="dxa"/>
            <w:tcBorders>
              <w:tl2br w:val="nil"/>
              <w:tr2bl w:val="nil"/>
            </w:tcBorders>
            <w:noWrap w:val="0"/>
            <w:vAlign w:val="center"/>
          </w:tcPr>
          <w:p w14:paraId="05E101B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A6A9F7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5181D08">
            <w:pPr>
              <w:pStyle w:val="1358"/>
              <w:rPr>
                <w:color w:val="auto"/>
                <w:highlight w:val="none"/>
              </w:rPr>
            </w:pPr>
          </w:p>
        </w:tc>
        <w:tc>
          <w:tcPr>
            <w:tcW w:w="2524" w:type="dxa"/>
            <w:tcBorders>
              <w:tl2br w:val="nil"/>
              <w:tr2bl w:val="nil"/>
            </w:tcBorders>
            <w:shd w:val="clear" w:color="auto" w:fill="auto"/>
            <w:noWrap w:val="0"/>
            <w:vAlign w:val="center"/>
          </w:tcPr>
          <w:p w14:paraId="74D2D067">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二甲苯</w:t>
            </w:r>
          </w:p>
        </w:tc>
        <w:tc>
          <w:tcPr>
            <w:tcW w:w="2145" w:type="dxa"/>
            <w:tcBorders>
              <w:tl2br w:val="nil"/>
              <w:tr2bl w:val="nil"/>
            </w:tcBorders>
            <w:noWrap w:val="0"/>
            <w:vAlign w:val="center"/>
          </w:tcPr>
          <w:p w14:paraId="0E3E87A9">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200</w:t>
            </w:r>
          </w:p>
        </w:tc>
        <w:tc>
          <w:tcPr>
            <w:tcW w:w="2310" w:type="dxa"/>
            <w:tcBorders>
              <w:tl2br w:val="nil"/>
              <w:tr2bl w:val="nil"/>
            </w:tcBorders>
            <w:noWrap w:val="0"/>
            <w:vAlign w:val="center"/>
          </w:tcPr>
          <w:p w14:paraId="17401C09">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0.000214</w:t>
            </w:r>
          </w:p>
        </w:tc>
        <w:tc>
          <w:tcPr>
            <w:tcW w:w="2250" w:type="dxa"/>
            <w:tcBorders>
              <w:tl2br w:val="nil"/>
              <w:tr2bl w:val="nil"/>
            </w:tcBorders>
            <w:noWrap w:val="0"/>
            <w:vAlign w:val="center"/>
          </w:tcPr>
          <w:p w14:paraId="62EFDFCF">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0.11</w:t>
            </w:r>
          </w:p>
        </w:tc>
        <w:tc>
          <w:tcPr>
            <w:tcW w:w="2729" w:type="dxa"/>
            <w:tcBorders>
              <w:tl2br w:val="nil"/>
              <w:tr2bl w:val="nil"/>
            </w:tcBorders>
            <w:noWrap w:val="0"/>
            <w:vAlign w:val="center"/>
          </w:tcPr>
          <w:p w14:paraId="0F9E800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B83560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094BC92B">
            <w:pPr>
              <w:pStyle w:val="1358"/>
              <w:rPr>
                <w:color w:val="auto"/>
                <w:highlight w:val="none"/>
              </w:rPr>
            </w:pPr>
          </w:p>
        </w:tc>
        <w:tc>
          <w:tcPr>
            <w:tcW w:w="2524" w:type="dxa"/>
            <w:tcBorders>
              <w:tl2br w:val="nil"/>
              <w:tr2bl w:val="nil"/>
            </w:tcBorders>
            <w:shd w:val="clear" w:color="auto" w:fill="auto"/>
            <w:noWrap w:val="0"/>
            <w:vAlign w:val="center"/>
          </w:tcPr>
          <w:p w14:paraId="131F6CAD">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NMHC（含乙酸丁酯）</w:t>
            </w:r>
          </w:p>
        </w:tc>
        <w:tc>
          <w:tcPr>
            <w:tcW w:w="2145" w:type="dxa"/>
            <w:tcBorders>
              <w:tl2br w:val="nil"/>
              <w:tr2bl w:val="nil"/>
            </w:tcBorders>
            <w:noWrap w:val="0"/>
            <w:vAlign w:val="center"/>
          </w:tcPr>
          <w:p w14:paraId="3C4863AB">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2000</w:t>
            </w:r>
          </w:p>
        </w:tc>
        <w:tc>
          <w:tcPr>
            <w:tcW w:w="2310" w:type="dxa"/>
            <w:tcBorders>
              <w:tl2br w:val="nil"/>
              <w:tr2bl w:val="nil"/>
            </w:tcBorders>
            <w:noWrap w:val="0"/>
            <w:vAlign w:val="center"/>
          </w:tcPr>
          <w:p w14:paraId="08E5E92E">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0.000416</w:t>
            </w:r>
          </w:p>
        </w:tc>
        <w:tc>
          <w:tcPr>
            <w:tcW w:w="2250" w:type="dxa"/>
            <w:tcBorders>
              <w:tl2br w:val="nil"/>
              <w:tr2bl w:val="nil"/>
            </w:tcBorders>
            <w:noWrap w:val="0"/>
            <w:vAlign w:val="center"/>
          </w:tcPr>
          <w:p w14:paraId="2661D1AA">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0.02</w:t>
            </w:r>
          </w:p>
        </w:tc>
        <w:tc>
          <w:tcPr>
            <w:tcW w:w="2729" w:type="dxa"/>
            <w:tcBorders>
              <w:tl2br w:val="nil"/>
              <w:tr2bl w:val="nil"/>
            </w:tcBorders>
            <w:noWrap w:val="0"/>
            <w:vAlign w:val="center"/>
          </w:tcPr>
          <w:p w14:paraId="70E2064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5BC8A66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tcBorders>
              <w:tl2br w:val="nil"/>
              <w:tr2bl w:val="nil"/>
            </w:tcBorders>
            <w:noWrap w:val="0"/>
            <w:vAlign w:val="center"/>
          </w:tcPr>
          <w:p w14:paraId="00102EC3">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DA004</w:t>
            </w:r>
          </w:p>
        </w:tc>
        <w:tc>
          <w:tcPr>
            <w:tcW w:w="2524" w:type="dxa"/>
            <w:tcBorders>
              <w:tl2br w:val="nil"/>
              <w:tr2bl w:val="nil"/>
            </w:tcBorders>
            <w:shd w:val="clear" w:color="auto" w:fill="auto"/>
            <w:noWrap w:val="0"/>
            <w:vAlign w:val="center"/>
          </w:tcPr>
          <w:p w14:paraId="5B393830">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NMHC</w:t>
            </w:r>
          </w:p>
        </w:tc>
        <w:tc>
          <w:tcPr>
            <w:tcW w:w="2145" w:type="dxa"/>
            <w:tcBorders>
              <w:tl2br w:val="nil"/>
              <w:tr2bl w:val="nil"/>
            </w:tcBorders>
            <w:noWrap w:val="0"/>
            <w:vAlign w:val="center"/>
          </w:tcPr>
          <w:p w14:paraId="244A37D1">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2000</w:t>
            </w:r>
          </w:p>
        </w:tc>
        <w:tc>
          <w:tcPr>
            <w:tcW w:w="2310" w:type="dxa"/>
            <w:tcBorders>
              <w:tl2br w:val="nil"/>
              <w:tr2bl w:val="nil"/>
            </w:tcBorders>
            <w:noWrap w:val="0"/>
            <w:vAlign w:val="center"/>
          </w:tcPr>
          <w:p w14:paraId="4B634835">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0.001262</w:t>
            </w:r>
          </w:p>
        </w:tc>
        <w:tc>
          <w:tcPr>
            <w:tcW w:w="2250" w:type="dxa"/>
            <w:tcBorders>
              <w:tl2br w:val="nil"/>
              <w:tr2bl w:val="nil"/>
            </w:tcBorders>
            <w:noWrap w:val="0"/>
            <w:vAlign w:val="center"/>
          </w:tcPr>
          <w:p w14:paraId="782FA783">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0.06</w:t>
            </w:r>
          </w:p>
        </w:tc>
        <w:tc>
          <w:tcPr>
            <w:tcW w:w="2729" w:type="dxa"/>
            <w:tcBorders>
              <w:tl2br w:val="nil"/>
              <w:tr2bl w:val="nil"/>
            </w:tcBorders>
            <w:noWrap w:val="0"/>
            <w:vAlign w:val="center"/>
          </w:tcPr>
          <w:p w14:paraId="4CD2DDF3">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57D6FAC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25251032">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DA005</w:t>
            </w:r>
          </w:p>
        </w:tc>
        <w:tc>
          <w:tcPr>
            <w:tcW w:w="2524" w:type="dxa"/>
            <w:tcBorders>
              <w:tl2br w:val="nil"/>
              <w:tr2bl w:val="nil"/>
            </w:tcBorders>
            <w:shd w:val="clear" w:color="auto" w:fill="auto"/>
            <w:noWrap w:val="0"/>
            <w:vAlign w:val="center"/>
          </w:tcPr>
          <w:p w14:paraId="7AEC313D">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二氧化硫</w:t>
            </w:r>
          </w:p>
        </w:tc>
        <w:tc>
          <w:tcPr>
            <w:tcW w:w="2145" w:type="dxa"/>
            <w:tcBorders>
              <w:tl2br w:val="nil"/>
              <w:tr2bl w:val="nil"/>
            </w:tcBorders>
            <w:noWrap w:val="0"/>
            <w:vAlign w:val="center"/>
          </w:tcPr>
          <w:p w14:paraId="5B9DF82D">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500</w:t>
            </w:r>
          </w:p>
        </w:tc>
        <w:tc>
          <w:tcPr>
            <w:tcW w:w="2310" w:type="dxa"/>
            <w:tcBorders>
              <w:tl2br w:val="nil"/>
              <w:tr2bl w:val="nil"/>
            </w:tcBorders>
            <w:noWrap w:val="0"/>
            <w:vAlign w:val="center"/>
          </w:tcPr>
          <w:p w14:paraId="607590C1">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0.004</w:t>
            </w:r>
            <w:r>
              <w:rPr>
                <w:rFonts w:hint="eastAsia"/>
                <w:color w:val="000000" w:themeColor="text1"/>
                <w:highlight w:val="none"/>
                <w:lang w:val="en-US" w:eastAsia="zh-CN"/>
                <w14:textFill>
                  <w14:solidFill>
                    <w14:schemeClr w14:val="tx1"/>
                  </w14:solidFill>
                </w14:textFill>
              </w:rPr>
              <w:t>62</w:t>
            </w:r>
          </w:p>
        </w:tc>
        <w:tc>
          <w:tcPr>
            <w:tcW w:w="2250" w:type="dxa"/>
            <w:tcBorders>
              <w:tl2br w:val="nil"/>
              <w:tr2bl w:val="nil"/>
            </w:tcBorders>
            <w:noWrap w:val="0"/>
            <w:vAlign w:val="center"/>
          </w:tcPr>
          <w:p w14:paraId="3095CE24">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0.09</w:t>
            </w:r>
          </w:p>
        </w:tc>
        <w:tc>
          <w:tcPr>
            <w:tcW w:w="2729" w:type="dxa"/>
            <w:tcBorders>
              <w:tl2br w:val="nil"/>
              <w:tr2bl w:val="nil"/>
            </w:tcBorders>
            <w:noWrap w:val="0"/>
            <w:vAlign w:val="center"/>
          </w:tcPr>
          <w:p w14:paraId="51CFE4D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D406A2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46915D63">
            <w:pPr>
              <w:pStyle w:val="1358"/>
              <w:rPr>
                <w:color w:val="auto"/>
                <w:highlight w:val="none"/>
              </w:rPr>
            </w:pPr>
          </w:p>
        </w:tc>
        <w:tc>
          <w:tcPr>
            <w:tcW w:w="2524" w:type="dxa"/>
            <w:tcBorders>
              <w:tl2br w:val="nil"/>
              <w:tr2bl w:val="nil"/>
            </w:tcBorders>
            <w:shd w:val="clear" w:color="auto" w:fill="auto"/>
            <w:noWrap w:val="0"/>
            <w:vAlign w:val="center"/>
          </w:tcPr>
          <w:p w14:paraId="2CFB5797">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2145" w:type="dxa"/>
            <w:tcBorders>
              <w:tl2br w:val="nil"/>
              <w:tr2bl w:val="nil"/>
            </w:tcBorders>
            <w:noWrap w:val="0"/>
            <w:vAlign w:val="center"/>
          </w:tcPr>
          <w:p w14:paraId="556FD1E7">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300</w:t>
            </w:r>
          </w:p>
        </w:tc>
        <w:tc>
          <w:tcPr>
            <w:tcW w:w="2310" w:type="dxa"/>
            <w:tcBorders>
              <w:tl2br w:val="nil"/>
              <w:tr2bl w:val="nil"/>
            </w:tcBorders>
            <w:noWrap w:val="0"/>
            <w:vAlign w:val="center"/>
          </w:tcPr>
          <w:p w14:paraId="0663142C">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00069</w:t>
            </w:r>
          </w:p>
        </w:tc>
        <w:tc>
          <w:tcPr>
            <w:tcW w:w="2250" w:type="dxa"/>
            <w:tcBorders>
              <w:tl2br w:val="nil"/>
              <w:tr2bl w:val="nil"/>
            </w:tcBorders>
            <w:noWrap w:val="0"/>
            <w:vAlign w:val="center"/>
          </w:tcPr>
          <w:p w14:paraId="335209B8">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1</w:t>
            </w:r>
          </w:p>
        </w:tc>
        <w:tc>
          <w:tcPr>
            <w:tcW w:w="2729" w:type="dxa"/>
            <w:tcBorders>
              <w:tl2br w:val="nil"/>
              <w:tr2bl w:val="nil"/>
            </w:tcBorders>
            <w:noWrap w:val="0"/>
            <w:vAlign w:val="center"/>
          </w:tcPr>
          <w:p w14:paraId="0D15DA6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62D68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53722D19">
            <w:pPr>
              <w:pStyle w:val="1358"/>
              <w:rPr>
                <w:color w:val="auto"/>
                <w:highlight w:val="none"/>
              </w:rPr>
            </w:pPr>
          </w:p>
        </w:tc>
        <w:tc>
          <w:tcPr>
            <w:tcW w:w="2524" w:type="dxa"/>
            <w:tcBorders>
              <w:tl2br w:val="nil"/>
              <w:tr2bl w:val="nil"/>
            </w:tcBorders>
            <w:shd w:val="clear" w:color="auto" w:fill="auto"/>
            <w:noWrap w:val="0"/>
            <w:vAlign w:val="center"/>
          </w:tcPr>
          <w:p w14:paraId="6B3F78CC">
            <w:pPr>
              <w:pStyle w:val="1358"/>
              <w:ind w:firstLine="0" w:firstLineChars="0"/>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氮氧化物</w:t>
            </w:r>
          </w:p>
        </w:tc>
        <w:tc>
          <w:tcPr>
            <w:tcW w:w="2145" w:type="dxa"/>
            <w:tcBorders>
              <w:tl2br w:val="nil"/>
              <w:tr2bl w:val="nil"/>
            </w:tcBorders>
            <w:noWrap w:val="0"/>
            <w:vAlign w:val="center"/>
          </w:tcPr>
          <w:p w14:paraId="6159D83A">
            <w:pPr>
              <w:pStyle w:val="135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250</w:t>
            </w:r>
          </w:p>
        </w:tc>
        <w:tc>
          <w:tcPr>
            <w:tcW w:w="2310" w:type="dxa"/>
            <w:tcBorders>
              <w:tl2br w:val="nil"/>
              <w:tr2bl w:val="nil"/>
            </w:tcBorders>
            <w:noWrap w:val="0"/>
            <w:vAlign w:val="center"/>
          </w:tcPr>
          <w:p w14:paraId="2F455E98">
            <w:pPr>
              <w:pStyle w:val="1358"/>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1613</w:t>
            </w:r>
          </w:p>
        </w:tc>
        <w:tc>
          <w:tcPr>
            <w:tcW w:w="2250" w:type="dxa"/>
            <w:tcBorders>
              <w:tl2br w:val="nil"/>
              <w:tr2bl w:val="nil"/>
            </w:tcBorders>
            <w:noWrap w:val="0"/>
            <w:vAlign w:val="center"/>
          </w:tcPr>
          <w:p w14:paraId="14C2E4D2">
            <w:pPr>
              <w:pStyle w:val="1358"/>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0.81</w:t>
            </w:r>
          </w:p>
        </w:tc>
        <w:tc>
          <w:tcPr>
            <w:tcW w:w="2729" w:type="dxa"/>
            <w:tcBorders>
              <w:tl2br w:val="nil"/>
              <w:tr2bl w:val="nil"/>
            </w:tcBorders>
            <w:noWrap w:val="0"/>
            <w:vAlign w:val="center"/>
          </w:tcPr>
          <w:p w14:paraId="473175B1">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9174F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0BBD4FCE">
            <w:pPr>
              <w:pStyle w:val="1358"/>
              <w:ind w:firstLine="0" w:firstLineChars="0"/>
              <w:rPr>
                <w:color w:val="auto"/>
                <w:highlight w:val="none"/>
              </w:rPr>
            </w:pPr>
            <w:r>
              <w:rPr>
                <w:rFonts w:hint="eastAsia" w:ascii="Times New Roman" w:hAnsi="Times New Roman" w:eastAsia="宋体" w:cs="Times New Roman"/>
                <w:color w:val="auto"/>
                <w:highlight w:val="none"/>
                <w:lang w:val="en-US" w:eastAsia="zh-CN"/>
              </w:rPr>
              <w:t>DA006</w:t>
            </w:r>
          </w:p>
        </w:tc>
        <w:tc>
          <w:tcPr>
            <w:tcW w:w="2524" w:type="dxa"/>
            <w:tcBorders>
              <w:tl2br w:val="nil"/>
              <w:tr2bl w:val="nil"/>
            </w:tcBorders>
            <w:shd w:val="clear" w:color="auto" w:fill="auto"/>
            <w:noWrap w:val="0"/>
            <w:vAlign w:val="center"/>
          </w:tcPr>
          <w:p w14:paraId="184A5FCA">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w:t>
            </w:r>
          </w:p>
        </w:tc>
        <w:tc>
          <w:tcPr>
            <w:tcW w:w="2145" w:type="dxa"/>
            <w:tcBorders>
              <w:tl2br w:val="nil"/>
              <w:tr2bl w:val="nil"/>
            </w:tcBorders>
            <w:noWrap w:val="0"/>
            <w:vAlign w:val="center"/>
          </w:tcPr>
          <w:p w14:paraId="14D4E030">
            <w:pPr>
              <w:pStyle w:val="1358"/>
              <w:rPr>
                <w:rFonts w:hint="default" w:eastAsia="宋体"/>
                <w:color w:val="auto"/>
                <w:highlight w:val="none"/>
                <w:lang w:val="en-US" w:eastAsia="zh-CN"/>
              </w:rPr>
            </w:pPr>
            <w:r>
              <w:rPr>
                <w:rFonts w:hint="eastAsia" w:eastAsia="宋体"/>
                <w:color w:val="auto"/>
                <w:highlight w:val="none"/>
                <w:lang w:val="en-US" w:eastAsia="zh-CN"/>
              </w:rPr>
              <w:t>2000</w:t>
            </w:r>
          </w:p>
        </w:tc>
        <w:tc>
          <w:tcPr>
            <w:tcW w:w="2310" w:type="dxa"/>
            <w:tcBorders>
              <w:tl2br w:val="nil"/>
              <w:tr2bl w:val="nil"/>
            </w:tcBorders>
            <w:noWrap w:val="0"/>
            <w:vAlign w:val="center"/>
          </w:tcPr>
          <w:p w14:paraId="41FC270D">
            <w:pPr>
              <w:pStyle w:val="1358"/>
              <w:rPr>
                <w:rFonts w:hint="default" w:eastAsia="宋体"/>
                <w:color w:val="auto"/>
                <w:highlight w:val="none"/>
                <w:lang w:val="en-US" w:eastAsia="zh-CN"/>
              </w:rPr>
            </w:pPr>
            <w:r>
              <w:rPr>
                <w:rFonts w:hint="default" w:eastAsia="宋体"/>
                <w:color w:val="auto"/>
                <w:highlight w:val="none"/>
                <w:lang w:val="en-US" w:eastAsia="zh-CN"/>
              </w:rPr>
              <w:t>0.006817</w:t>
            </w:r>
          </w:p>
        </w:tc>
        <w:tc>
          <w:tcPr>
            <w:tcW w:w="2250" w:type="dxa"/>
            <w:tcBorders>
              <w:tl2br w:val="nil"/>
              <w:tr2bl w:val="nil"/>
            </w:tcBorders>
            <w:noWrap w:val="0"/>
            <w:vAlign w:val="center"/>
          </w:tcPr>
          <w:p w14:paraId="60ED73A6">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0.34</w:t>
            </w:r>
          </w:p>
        </w:tc>
        <w:tc>
          <w:tcPr>
            <w:tcW w:w="2729" w:type="dxa"/>
            <w:tcBorders>
              <w:tl2br w:val="nil"/>
              <w:tr2bl w:val="nil"/>
            </w:tcBorders>
            <w:noWrap w:val="0"/>
            <w:vAlign w:val="center"/>
          </w:tcPr>
          <w:p w14:paraId="1052C652">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3F4A42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4E533F3">
            <w:pPr>
              <w:pStyle w:val="1358"/>
              <w:rPr>
                <w:color w:val="auto"/>
                <w:highlight w:val="none"/>
              </w:rPr>
            </w:pPr>
          </w:p>
        </w:tc>
        <w:tc>
          <w:tcPr>
            <w:tcW w:w="2524" w:type="dxa"/>
            <w:tcBorders>
              <w:tl2br w:val="nil"/>
              <w:tr2bl w:val="nil"/>
            </w:tcBorders>
            <w:shd w:val="clear" w:color="auto" w:fill="auto"/>
            <w:noWrap w:val="0"/>
            <w:vAlign w:val="center"/>
          </w:tcPr>
          <w:p w14:paraId="773362A4">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二氧化硫</w:t>
            </w:r>
          </w:p>
        </w:tc>
        <w:tc>
          <w:tcPr>
            <w:tcW w:w="2145" w:type="dxa"/>
            <w:tcBorders>
              <w:tl2br w:val="nil"/>
              <w:tr2bl w:val="nil"/>
            </w:tcBorders>
            <w:noWrap w:val="0"/>
            <w:vAlign w:val="center"/>
          </w:tcPr>
          <w:p w14:paraId="4F58B4B7">
            <w:pPr>
              <w:pStyle w:val="1358"/>
              <w:rPr>
                <w:rFonts w:hint="default" w:eastAsia="宋体"/>
                <w:color w:val="auto"/>
                <w:highlight w:val="none"/>
                <w:lang w:val="en-US" w:eastAsia="zh-CN"/>
              </w:rPr>
            </w:pPr>
            <w:r>
              <w:rPr>
                <w:rFonts w:hint="eastAsia" w:eastAsia="宋体"/>
                <w:color w:val="auto"/>
                <w:highlight w:val="none"/>
                <w:lang w:val="en-US" w:eastAsia="zh-CN"/>
              </w:rPr>
              <w:t>500</w:t>
            </w:r>
          </w:p>
        </w:tc>
        <w:tc>
          <w:tcPr>
            <w:tcW w:w="2310" w:type="dxa"/>
            <w:tcBorders>
              <w:tl2br w:val="nil"/>
              <w:tr2bl w:val="nil"/>
            </w:tcBorders>
            <w:noWrap w:val="0"/>
            <w:vAlign w:val="center"/>
          </w:tcPr>
          <w:p w14:paraId="2AC12720">
            <w:pPr>
              <w:pStyle w:val="1358"/>
              <w:rPr>
                <w:rFonts w:hint="default" w:eastAsia="宋体"/>
                <w:color w:val="auto"/>
                <w:highlight w:val="none"/>
                <w:lang w:val="en-US" w:eastAsia="zh-CN"/>
              </w:rPr>
            </w:pPr>
            <w:r>
              <w:rPr>
                <w:rFonts w:hint="default" w:eastAsia="宋体"/>
                <w:color w:val="auto"/>
                <w:highlight w:val="none"/>
                <w:lang w:val="en-US" w:eastAsia="zh-CN"/>
              </w:rPr>
              <w:t>0.000044</w:t>
            </w:r>
          </w:p>
        </w:tc>
        <w:tc>
          <w:tcPr>
            <w:tcW w:w="2250" w:type="dxa"/>
            <w:tcBorders>
              <w:tl2br w:val="nil"/>
              <w:tr2bl w:val="nil"/>
            </w:tcBorders>
            <w:noWrap w:val="0"/>
            <w:vAlign w:val="center"/>
          </w:tcPr>
          <w:p w14:paraId="17F8DD5D">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0.01</w:t>
            </w:r>
          </w:p>
        </w:tc>
        <w:tc>
          <w:tcPr>
            <w:tcW w:w="2729" w:type="dxa"/>
            <w:tcBorders>
              <w:tl2br w:val="nil"/>
              <w:tr2bl w:val="nil"/>
            </w:tcBorders>
            <w:noWrap w:val="0"/>
            <w:vAlign w:val="center"/>
          </w:tcPr>
          <w:p w14:paraId="4A31BB0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6EBEBC9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09009A1">
            <w:pPr>
              <w:pStyle w:val="1358"/>
              <w:rPr>
                <w:color w:val="auto"/>
                <w:highlight w:val="none"/>
              </w:rPr>
            </w:pPr>
          </w:p>
        </w:tc>
        <w:tc>
          <w:tcPr>
            <w:tcW w:w="2524" w:type="dxa"/>
            <w:tcBorders>
              <w:tl2br w:val="nil"/>
              <w:tr2bl w:val="nil"/>
            </w:tcBorders>
            <w:shd w:val="clear" w:color="auto" w:fill="auto"/>
            <w:noWrap w:val="0"/>
            <w:vAlign w:val="center"/>
          </w:tcPr>
          <w:p w14:paraId="3579154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颗粒物</w:t>
            </w:r>
          </w:p>
        </w:tc>
        <w:tc>
          <w:tcPr>
            <w:tcW w:w="2145" w:type="dxa"/>
            <w:tcBorders>
              <w:tl2br w:val="nil"/>
              <w:tr2bl w:val="nil"/>
            </w:tcBorders>
            <w:noWrap w:val="0"/>
            <w:vAlign w:val="center"/>
          </w:tcPr>
          <w:p w14:paraId="304673AE">
            <w:pPr>
              <w:pStyle w:val="1358"/>
              <w:rPr>
                <w:rFonts w:hint="default" w:eastAsia="宋体"/>
                <w:color w:val="auto"/>
                <w:highlight w:val="none"/>
                <w:lang w:val="en-US" w:eastAsia="zh-CN"/>
              </w:rPr>
            </w:pPr>
            <w:r>
              <w:rPr>
                <w:rFonts w:hint="eastAsia" w:eastAsia="宋体"/>
                <w:color w:val="auto"/>
                <w:highlight w:val="none"/>
                <w:lang w:val="en-US" w:eastAsia="zh-CN"/>
              </w:rPr>
              <w:t>300</w:t>
            </w:r>
          </w:p>
        </w:tc>
        <w:tc>
          <w:tcPr>
            <w:tcW w:w="2310" w:type="dxa"/>
            <w:tcBorders>
              <w:tl2br w:val="nil"/>
              <w:tr2bl w:val="nil"/>
            </w:tcBorders>
            <w:noWrap w:val="0"/>
            <w:vAlign w:val="center"/>
          </w:tcPr>
          <w:p w14:paraId="5C04EA84">
            <w:pPr>
              <w:pStyle w:val="1358"/>
              <w:rPr>
                <w:rFonts w:hint="default" w:eastAsia="宋体"/>
                <w:color w:val="auto"/>
                <w:highlight w:val="none"/>
                <w:lang w:val="en-US" w:eastAsia="zh-CN"/>
              </w:rPr>
            </w:pPr>
            <w:r>
              <w:rPr>
                <w:rFonts w:hint="default" w:eastAsia="宋体"/>
                <w:color w:val="auto"/>
                <w:highlight w:val="none"/>
                <w:lang w:val="en-US" w:eastAsia="zh-CN"/>
              </w:rPr>
              <w:t>0.000063</w:t>
            </w:r>
          </w:p>
        </w:tc>
        <w:tc>
          <w:tcPr>
            <w:tcW w:w="2250" w:type="dxa"/>
            <w:tcBorders>
              <w:tl2br w:val="nil"/>
              <w:tr2bl w:val="nil"/>
            </w:tcBorders>
            <w:noWrap w:val="0"/>
            <w:vAlign w:val="center"/>
          </w:tcPr>
          <w:p w14:paraId="65F2EF1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0.01</w:t>
            </w:r>
          </w:p>
        </w:tc>
        <w:tc>
          <w:tcPr>
            <w:tcW w:w="2729" w:type="dxa"/>
            <w:tcBorders>
              <w:tl2br w:val="nil"/>
              <w:tr2bl w:val="nil"/>
            </w:tcBorders>
            <w:noWrap w:val="0"/>
            <w:vAlign w:val="center"/>
          </w:tcPr>
          <w:p w14:paraId="4918BCA0">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6D9E44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6946025D">
            <w:pPr>
              <w:pStyle w:val="1358"/>
              <w:rPr>
                <w:color w:val="auto"/>
                <w:highlight w:val="none"/>
              </w:rPr>
            </w:pPr>
          </w:p>
        </w:tc>
        <w:tc>
          <w:tcPr>
            <w:tcW w:w="2524" w:type="dxa"/>
            <w:tcBorders>
              <w:tl2br w:val="nil"/>
              <w:tr2bl w:val="nil"/>
            </w:tcBorders>
            <w:shd w:val="clear" w:color="auto" w:fill="auto"/>
            <w:noWrap w:val="0"/>
            <w:vAlign w:val="center"/>
          </w:tcPr>
          <w:p w14:paraId="2AEC0880">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氮氧化物</w:t>
            </w:r>
          </w:p>
        </w:tc>
        <w:tc>
          <w:tcPr>
            <w:tcW w:w="2145" w:type="dxa"/>
            <w:tcBorders>
              <w:tl2br w:val="nil"/>
              <w:tr2bl w:val="nil"/>
            </w:tcBorders>
            <w:noWrap w:val="0"/>
            <w:vAlign w:val="center"/>
          </w:tcPr>
          <w:p w14:paraId="67C74BDA">
            <w:pPr>
              <w:pStyle w:val="1358"/>
              <w:rPr>
                <w:rFonts w:hint="default" w:eastAsia="宋体"/>
                <w:color w:val="auto"/>
                <w:highlight w:val="none"/>
                <w:lang w:val="en-US" w:eastAsia="zh-CN"/>
              </w:rPr>
            </w:pPr>
            <w:r>
              <w:rPr>
                <w:rFonts w:hint="eastAsia" w:eastAsia="宋体"/>
                <w:color w:val="auto"/>
                <w:highlight w:val="none"/>
                <w:lang w:val="en-US" w:eastAsia="zh-CN"/>
              </w:rPr>
              <w:t>250</w:t>
            </w:r>
          </w:p>
        </w:tc>
        <w:tc>
          <w:tcPr>
            <w:tcW w:w="2310" w:type="dxa"/>
            <w:tcBorders>
              <w:tl2br w:val="nil"/>
              <w:tr2bl w:val="nil"/>
            </w:tcBorders>
            <w:noWrap w:val="0"/>
            <w:vAlign w:val="center"/>
          </w:tcPr>
          <w:p w14:paraId="0482D800">
            <w:pPr>
              <w:pStyle w:val="1358"/>
              <w:rPr>
                <w:rFonts w:hint="default" w:eastAsia="宋体"/>
                <w:color w:val="auto"/>
                <w:highlight w:val="none"/>
                <w:lang w:val="en-US" w:eastAsia="zh-CN"/>
              </w:rPr>
            </w:pPr>
            <w:r>
              <w:rPr>
                <w:rFonts w:hint="default" w:eastAsia="宋体"/>
                <w:color w:val="auto"/>
                <w:highlight w:val="none"/>
                <w:lang w:val="en-US" w:eastAsia="zh-CN"/>
              </w:rPr>
              <w:t>0.000411</w:t>
            </w:r>
          </w:p>
        </w:tc>
        <w:tc>
          <w:tcPr>
            <w:tcW w:w="2250" w:type="dxa"/>
            <w:tcBorders>
              <w:tl2br w:val="nil"/>
              <w:tr2bl w:val="nil"/>
            </w:tcBorders>
            <w:noWrap w:val="0"/>
            <w:vAlign w:val="center"/>
          </w:tcPr>
          <w:p w14:paraId="5E4123F5">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0.21</w:t>
            </w:r>
          </w:p>
        </w:tc>
        <w:tc>
          <w:tcPr>
            <w:tcW w:w="2729" w:type="dxa"/>
            <w:tcBorders>
              <w:tl2br w:val="nil"/>
              <w:tr2bl w:val="nil"/>
            </w:tcBorders>
            <w:noWrap w:val="0"/>
            <w:vAlign w:val="center"/>
          </w:tcPr>
          <w:p w14:paraId="149A259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2553882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21E327BC">
            <w:pPr>
              <w:pStyle w:val="1358"/>
              <w:ind w:firstLine="0" w:firstLineChars="0"/>
              <w:rPr>
                <w:color w:val="auto"/>
                <w:highlight w:val="none"/>
              </w:rPr>
            </w:pPr>
            <w:r>
              <w:rPr>
                <w:rFonts w:hint="eastAsia" w:cs="Times New Roman"/>
                <w:color w:val="auto"/>
                <w:highlight w:val="none"/>
                <w:lang w:val="en-US" w:eastAsia="zh-CN"/>
              </w:rPr>
              <w:t>A库</w:t>
            </w:r>
            <w:r>
              <w:rPr>
                <w:rFonts w:hint="eastAsia" w:ascii="Times New Roman" w:hAnsi="Times New Roman" w:eastAsia="宋体" w:cs="Times New Roman"/>
                <w:color w:val="auto"/>
                <w:highlight w:val="none"/>
                <w:lang w:val="en-US" w:eastAsia="zh-CN"/>
              </w:rPr>
              <w:t>厂房</w:t>
            </w:r>
          </w:p>
        </w:tc>
        <w:tc>
          <w:tcPr>
            <w:tcW w:w="2524" w:type="dxa"/>
            <w:tcBorders>
              <w:tl2br w:val="nil"/>
              <w:tr2bl w:val="nil"/>
            </w:tcBorders>
            <w:shd w:val="clear" w:color="auto" w:fill="auto"/>
            <w:noWrap w:val="0"/>
            <w:vAlign w:val="center"/>
          </w:tcPr>
          <w:p w14:paraId="611EEEF1">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漆雾（颗粒物）</w:t>
            </w:r>
          </w:p>
        </w:tc>
        <w:tc>
          <w:tcPr>
            <w:tcW w:w="2145" w:type="dxa"/>
            <w:tcBorders>
              <w:tl2br w:val="nil"/>
              <w:tr2bl w:val="nil"/>
            </w:tcBorders>
            <w:noWrap w:val="0"/>
            <w:vAlign w:val="center"/>
          </w:tcPr>
          <w:p w14:paraId="2435F8C0">
            <w:pPr>
              <w:pStyle w:val="1358"/>
              <w:rPr>
                <w:rFonts w:hint="default" w:eastAsia="宋体"/>
                <w:color w:val="auto"/>
                <w:highlight w:val="none"/>
                <w:lang w:val="en-US" w:eastAsia="zh-CN"/>
              </w:rPr>
            </w:pPr>
            <w:r>
              <w:rPr>
                <w:rFonts w:hint="eastAsia" w:eastAsia="宋体"/>
                <w:color w:val="auto"/>
                <w:highlight w:val="none"/>
                <w:lang w:val="en-US" w:eastAsia="zh-CN"/>
              </w:rPr>
              <w:t>300</w:t>
            </w:r>
          </w:p>
        </w:tc>
        <w:tc>
          <w:tcPr>
            <w:tcW w:w="2310" w:type="dxa"/>
            <w:tcBorders>
              <w:tl2br w:val="nil"/>
              <w:tr2bl w:val="nil"/>
            </w:tcBorders>
            <w:noWrap w:val="0"/>
            <w:vAlign w:val="center"/>
          </w:tcPr>
          <w:p w14:paraId="5C0A4A21">
            <w:pPr>
              <w:pStyle w:val="1358"/>
              <w:rPr>
                <w:rFonts w:hint="default" w:eastAsia="宋体"/>
                <w:color w:val="auto"/>
                <w:highlight w:val="none"/>
                <w:lang w:val="en-US" w:eastAsia="zh-CN"/>
              </w:rPr>
            </w:pPr>
            <w:r>
              <w:rPr>
                <w:rFonts w:hint="default" w:eastAsia="宋体"/>
                <w:color w:val="auto"/>
                <w:highlight w:val="none"/>
                <w:lang w:val="en-US" w:eastAsia="zh-CN"/>
              </w:rPr>
              <w:t>0.020302</w:t>
            </w:r>
          </w:p>
        </w:tc>
        <w:tc>
          <w:tcPr>
            <w:tcW w:w="2250" w:type="dxa"/>
            <w:tcBorders>
              <w:tl2br w:val="nil"/>
              <w:tr2bl w:val="nil"/>
            </w:tcBorders>
            <w:noWrap w:val="0"/>
            <w:vAlign w:val="center"/>
          </w:tcPr>
          <w:p w14:paraId="27430C4C">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2.26</w:t>
            </w:r>
          </w:p>
        </w:tc>
        <w:tc>
          <w:tcPr>
            <w:tcW w:w="2729" w:type="dxa"/>
            <w:tcBorders>
              <w:tl2br w:val="nil"/>
              <w:tr2bl w:val="nil"/>
            </w:tcBorders>
            <w:noWrap w:val="0"/>
            <w:vAlign w:val="center"/>
          </w:tcPr>
          <w:p w14:paraId="3E933B8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3AE4598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79E55276">
            <w:pPr>
              <w:pStyle w:val="1358"/>
              <w:rPr>
                <w:color w:val="auto"/>
                <w:highlight w:val="none"/>
              </w:rPr>
            </w:pPr>
          </w:p>
        </w:tc>
        <w:tc>
          <w:tcPr>
            <w:tcW w:w="2524" w:type="dxa"/>
            <w:tcBorders>
              <w:tl2br w:val="nil"/>
              <w:tr2bl w:val="nil"/>
            </w:tcBorders>
            <w:shd w:val="clear" w:color="auto" w:fill="auto"/>
            <w:noWrap w:val="0"/>
            <w:vAlign w:val="center"/>
          </w:tcPr>
          <w:p w14:paraId="613AB866">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二甲苯</w:t>
            </w:r>
          </w:p>
        </w:tc>
        <w:tc>
          <w:tcPr>
            <w:tcW w:w="2145" w:type="dxa"/>
            <w:tcBorders>
              <w:tl2br w:val="nil"/>
              <w:tr2bl w:val="nil"/>
            </w:tcBorders>
            <w:noWrap w:val="0"/>
            <w:vAlign w:val="center"/>
          </w:tcPr>
          <w:p w14:paraId="2610750E">
            <w:pPr>
              <w:pStyle w:val="1358"/>
              <w:rPr>
                <w:rFonts w:hint="default" w:eastAsia="宋体"/>
                <w:color w:val="auto"/>
                <w:highlight w:val="none"/>
                <w:lang w:val="en-US" w:eastAsia="zh-CN"/>
              </w:rPr>
            </w:pPr>
            <w:r>
              <w:rPr>
                <w:rFonts w:hint="eastAsia" w:eastAsia="宋体"/>
                <w:color w:val="auto"/>
                <w:highlight w:val="none"/>
                <w:lang w:val="en-US" w:eastAsia="zh-CN"/>
              </w:rPr>
              <w:t>200</w:t>
            </w:r>
          </w:p>
        </w:tc>
        <w:tc>
          <w:tcPr>
            <w:tcW w:w="2310" w:type="dxa"/>
            <w:tcBorders>
              <w:tl2br w:val="nil"/>
              <w:tr2bl w:val="nil"/>
            </w:tcBorders>
            <w:noWrap w:val="0"/>
            <w:vAlign w:val="center"/>
          </w:tcPr>
          <w:p w14:paraId="6DDB81F3">
            <w:pPr>
              <w:pStyle w:val="1358"/>
              <w:rPr>
                <w:rFonts w:hint="default" w:eastAsia="宋体"/>
                <w:color w:val="auto"/>
                <w:highlight w:val="none"/>
                <w:lang w:val="en-US" w:eastAsia="zh-CN"/>
              </w:rPr>
            </w:pPr>
            <w:r>
              <w:rPr>
                <w:rFonts w:hint="default" w:eastAsia="宋体"/>
                <w:color w:val="auto"/>
                <w:highlight w:val="none"/>
                <w:lang w:val="en-US" w:eastAsia="zh-CN"/>
              </w:rPr>
              <w:t>0.015851</w:t>
            </w:r>
          </w:p>
        </w:tc>
        <w:tc>
          <w:tcPr>
            <w:tcW w:w="2250" w:type="dxa"/>
            <w:tcBorders>
              <w:tl2br w:val="nil"/>
              <w:tr2bl w:val="nil"/>
            </w:tcBorders>
            <w:noWrap w:val="0"/>
            <w:vAlign w:val="center"/>
          </w:tcPr>
          <w:p w14:paraId="1ABFCD40">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7.93</w:t>
            </w:r>
          </w:p>
        </w:tc>
        <w:tc>
          <w:tcPr>
            <w:tcW w:w="2729" w:type="dxa"/>
            <w:tcBorders>
              <w:tl2br w:val="nil"/>
              <w:tr2bl w:val="nil"/>
            </w:tcBorders>
            <w:noWrap w:val="0"/>
            <w:vAlign w:val="center"/>
          </w:tcPr>
          <w:p w14:paraId="5E9B554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43C7A45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4BC68D4F">
            <w:pPr>
              <w:pStyle w:val="1358"/>
              <w:rPr>
                <w:color w:val="auto"/>
                <w:highlight w:val="none"/>
              </w:rPr>
            </w:pPr>
          </w:p>
        </w:tc>
        <w:tc>
          <w:tcPr>
            <w:tcW w:w="2524" w:type="dxa"/>
            <w:tcBorders>
              <w:tl2br w:val="nil"/>
              <w:tr2bl w:val="nil"/>
            </w:tcBorders>
            <w:shd w:val="clear" w:color="auto" w:fill="auto"/>
            <w:noWrap w:val="0"/>
            <w:vAlign w:val="center"/>
          </w:tcPr>
          <w:p w14:paraId="3690019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NMHC（含乙酸丁酯）</w:t>
            </w:r>
          </w:p>
        </w:tc>
        <w:tc>
          <w:tcPr>
            <w:tcW w:w="2145" w:type="dxa"/>
            <w:tcBorders>
              <w:tl2br w:val="nil"/>
              <w:tr2bl w:val="nil"/>
            </w:tcBorders>
            <w:noWrap w:val="0"/>
            <w:vAlign w:val="center"/>
          </w:tcPr>
          <w:p w14:paraId="63846AD7">
            <w:pPr>
              <w:pStyle w:val="1358"/>
              <w:rPr>
                <w:rFonts w:hint="default" w:eastAsia="宋体"/>
                <w:color w:val="auto"/>
                <w:highlight w:val="none"/>
                <w:lang w:val="en-US" w:eastAsia="zh-CN"/>
              </w:rPr>
            </w:pPr>
            <w:r>
              <w:rPr>
                <w:rFonts w:hint="eastAsia" w:eastAsia="宋体"/>
                <w:color w:val="auto"/>
                <w:highlight w:val="none"/>
                <w:lang w:val="en-US" w:eastAsia="zh-CN"/>
              </w:rPr>
              <w:t>2000</w:t>
            </w:r>
          </w:p>
        </w:tc>
        <w:tc>
          <w:tcPr>
            <w:tcW w:w="2310" w:type="dxa"/>
            <w:tcBorders>
              <w:tl2br w:val="nil"/>
              <w:tr2bl w:val="nil"/>
            </w:tcBorders>
            <w:noWrap w:val="0"/>
            <w:vAlign w:val="center"/>
          </w:tcPr>
          <w:p w14:paraId="7CF6F21B">
            <w:pPr>
              <w:pStyle w:val="1358"/>
              <w:rPr>
                <w:rFonts w:hint="default" w:eastAsia="宋体"/>
                <w:color w:val="auto"/>
                <w:highlight w:val="none"/>
                <w:lang w:val="en-US" w:eastAsia="zh-CN"/>
              </w:rPr>
            </w:pPr>
            <w:r>
              <w:rPr>
                <w:rFonts w:hint="default" w:eastAsia="宋体"/>
                <w:color w:val="auto"/>
                <w:highlight w:val="none"/>
                <w:lang w:val="en-US" w:eastAsia="zh-CN"/>
              </w:rPr>
              <w:t>0.06668</w:t>
            </w:r>
          </w:p>
        </w:tc>
        <w:tc>
          <w:tcPr>
            <w:tcW w:w="2250" w:type="dxa"/>
            <w:tcBorders>
              <w:tl2br w:val="nil"/>
              <w:tr2bl w:val="nil"/>
            </w:tcBorders>
            <w:noWrap w:val="0"/>
            <w:vAlign w:val="center"/>
          </w:tcPr>
          <w:p w14:paraId="22652358">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3.33</w:t>
            </w:r>
          </w:p>
        </w:tc>
        <w:tc>
          <w:tcPr>
            <w:tcW w:w="2729" w:type="dxa"/>
            <w:tcBorders>
              <w:tl2br w:val="nil"/>
              <w:tr2bl w:val="nil"/>
            </w:tcBorders>
            <w:noWrap w:val="0"/>
            <w:vAlign w:val="center"/>
          </w:tcPr>
          <w:p w14:paraId="29A37AE6">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0B71E4B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restart"/>
            <w:tcBorders>
              <w:tl2br w:val="nil"/>
              <w:tr2bl w:val="nil"/>
            </w:tcBorders>
            <w:noWrap w:val="0"/>
            <w:vAlign w:val="center"/>
          </w:tcPr>
          <w:p w14:paraId="2BC1DB03">
            <w:pPr>
              <w:pStyle w:val="1358"/>
              <w:ind w:firstLine="0" w:firstLineChars="0"/>
              <w:rPr>
                <w:color w:val="auto"/>
                <w:highlight w:val="none"/>
              </w:rPr>
            </w:pPr>
            <w:r>
              <w:rPr>
                <w:rFonts w:hint="eastAsia" w:cs="Times New Roman"/>
                <w:color w:val="auto"/>
                <w:highlight w:val="none"/>
                <w:lang w:val="en-US" w:eastAsia="zh-CN"/>
              </w:rPr>
              <w:t>B库</w:t>
            </w:r>
            <w:r>
              <w:rPr>
                <w:rFonts w:hint="eastAsia" w:ascii="Times New Roman" w:hAnsi="Times New Roman" w:eastAsia="宋体" w:cs="Times New Roman"/>
                <w:color w:val="auto"/>
                <w:highlight w:val="none"/>
                <w:lang w:val="en-US" w:eastAsia="zh-CN"/>
              </w:rPr>
              <w:t>厂房</w:t>
            </w:r>
          </w:p>
        </w:tc>
        <w:tc>
          <w:tcPr>
            <w:tcW w:w="2524" w:type="dxa"/>
            <w:tcBorders>
              <w:tl2br w:val="nil"/>
              <w:tr2bl w:val="nil"/>
            </w:tcBorders>
            <w:shd w:val="clear" w:color="auto" w:fill="auto"/>
            <w:noWrap w:val="0"/>
            <w:vAlign w:val="center"/>
          </w:tcPr>
          <w:p w14:paraId="3BBD2941">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NMHC</w:t>
            </w:r>
          </w:p>
        </w:tc>
        <w:tc>
          <w:tcPr>
            <w:tcW w:w="2145" w:type="dxa"/>
            <w:tcBorders>
              <w:tl2br w:val="nil"/>
              <w:tr2bl w:val="nil"/>
            </w:tcBorders>
            <w:noWrap w:val="0"/>
            <w:vAlign w:val="center"/>
          </w:tcPr>
          <w:p w14:paraId="3642AFAE">
            <w:pPr>
              <w:pStyle w:val="1358"/>
              <w:rPr>
                <w:rFonts w:hint="default" w:eastAsia="宋体"/>
                <w:color w:val="auto"/>
                <w:highlight w:val="none"/>
                <w:lang w:val="en-US" w:eastAsia="zh-CN"/>
              </w:rPr>
            </w:pPr>
            <w:r>
              <w:rPr>
                <w:rFonts w:hint="eastAsia" w:eastAsia="宋体"/>
                <w:color w:val="auto"/>
                <w:highlight w:val="none"/>
                <w:lang w:val="en-US" w:eastAsia="zh-CN"/>
              </w:rPr>
              <w:t>2000</w:t>
            </w:r>
          </w:p>
        </w:tc>
        <w:tc>
          <w:tcPr>
            <w:tcW w:w="2310" w:type="dxa"/>
            <w:tcBorders>
              <w:tl2br w:val="nil"/>
              <w:tr2bl w:val="nil"/>
            </w:tcBorders>
            <w:noWrap w:val="0"/>
            <w:vAlign w:val="center"/>
          </w:tcPr>
          <w:p w14:paraId="2356DF37">
            <w:pPr>
              <w:pStyle w:val="1358"/>
              <w:rPr>
                <w:rFonts w:hint="default" w:eastAsia="宋体"/>
                <w:color w:val="auto"/>
                <w:highlight w:val="none"/>
                <w:lang w:val="en-US" w:eastAsia="zh-CN"/>
              </w:rPr>
            </w:pPr>
            <w:r>
              <w:rPr>
                <w:rFonts w:hint="default" w:eastAsia="宋体"/>
                <w:color w:val="auto"/>
                <w:highlight w:val="none"/>
                <w:lang w:val="en-US" w:eastAsia="zh-CN"/>
              </w:rPr>
              <w:t>0.002974</w:t>
            </w:r>
          </w:p>
        </w:tc>
        <w:tc>
          <w:tcPr>
            <w:tcW w:w="2250" w:type="dxa"/>
            <w:tcBorders>
              <w:tl2br w:val="nil"/>
              <w:tr2bl w:val="nil"/>
            </w:tcBorders>
            <w:noWrap w:val="0"/>
            <w:vAlign w:val="center"/>
          </w:tcPr>
          <w:p w14:paraId="62DD8E0B">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0.15</w:t>
            </w:r>
          </w:p>
        </w:tc>
        <w:tc>
          <w:tcPr>
            <w:tcW w:w="2729" w:type="dxa"/>
            <w:tcBorders>
              <w:tl2br w:val="nil"/>
              <w:tr2bl w:val="nil"/>
            </w:tcBorders>
            <w:noWrap w:val="0"/>
            <w:vAlign w:val="center"/>
          </w:tcPr>
          <w:p w14:paraId="4D7A3394">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r w14:paraId="3C57274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938" w:type="dxa"/>
            <w:vMerge w:val="continue"/>
            <w:tcBorders>
              <w:tl2br w:val="nil"/>
              <w:tr2bl w:val="nil"/>
            </w:tcBorders>
            <w:noWrap w:val="0"/>
            <w:vAlign w:val="center"/>
          </w:tcPr>
          <w:p w14:paraId="67769306">
            <w:pPr>
              <w:pStyle w:val="1358"/>
              <w:rPr>
                <w:color w:val="auto"/>
                <w:highlight w:val="none"/>
              </w:rPr>
            </w:pPr>
          </w:p>
        </w:tc>
        <w:tc>
          <w:tcPr>
            <w:tcW w:w="2524" w:type="dxa"/>
            <w:tcBorders>
              <w:tl2br w:val="nil"/>
              <w:tr2bl w:val="nil"/>
            </w:tcBorders>
            <w:shd w:val="clear" w:color="auto" w:fill="auto"/>
            <w:noWrap w:val="0"/>
            <w:vAlign w:val="center"/>
          </w:tcPr>
          <w:p w14:paraId="519F10D1">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颗粒物</w:t>
            </w:r>
          </w:p>
        </w:tc>
        <w:tc>
          <w:tcPr>
            <w:tcW w:w="2145" w:type="dxa"/>
            <w:tcBorders>
              <w:tl2br w:val="nil"/>
              <w:tr2bl w:val="nil"/>
            </w:tcBorders>
            <w:noWrap w:val="0"/>
            <w:vAlign w:val="center"/>
          </w:tcPr>
          <w:p w14:paraId="2AD37504">
            <w:pPr>
              <w:pStyle w:val="1358"/>
              <w:rPr>
                <w:rFonts w:hint="default" w:eastAsia="宋体"/>
                <w:color w:val="auto"/>
                <w:highlight w:val="none"/>
                <w:lang w:val="en-US" w:eastAsia="zh-CN"/>
              </w:rPr>
            </w:pPr>
            <w:r>
              <w:rPr>
                <w:rFonts w:hint="eastAsia" w:eastAsia="宋体"/>
                <w:color w:val="auto"/>
                <w:highlight w:val="none"/>
                <w:lang w:val="en-US" w:eastAsia="zh-CN"/>
              </w:rPr>
              <w:t>300</w:t>
            </w:r>
          </w:p>
        </w:tc>
        <w:tc>
          <w:tcPr>
            <w:tcW w:w="2310" w:type="dxa"/>
            <w:tcBorders>
              <w:tl2br w:val="nil"/>
              <w:tr2bl w:val="nil"/>
            </w:tcBorders>
            <w:noWrap w:val="0"/>
            <w:vAlign w:val="center"/>
          </w:tcPr>
          <w:p w14:paraId="4A14EA44">
            <w:pPr>
              <w:pStyle w:val="1358"/>
              <w:rPr>
                <w:rFonts w:hint="default" w:eastAsia="宋体"/>
                <w:color w:val="auto"/>
                <w:highlight w:val="none"/>
                <w:lang w:val="en-US" w:eastAsia="zh-CN"/>
              </w:rPr>
            </w:pPr>
            <w:r>
              <w:rPr>
                <w:rFonts w:hint="default" w:eastAsia="宋体"/>
                <w:color w:val="auto"/>
                <w:highlight w:val="none"/>
                <w:lang w:val="en-US" w:eastAsia="zh-CN"/>
              </w:rPr>
              <w:t>0.000432</w:t>
            </w:r>
          </w:p>
        </w:tc>
        <w:tc>
          <w:tcPr>
            <w:tcW w:w="2250" w:type="dxa"/>
            <w:tcBorders>
              <w:tl2br w:val="nil"/>
              <w:tr2bl w:val="nil"/>
            </w:tcBorders>
            <w:noWrap w:val="0"/>
            <w:vAlign w:val="center"/>
          </w:tcPr>
          <w:p w14:paraId="4C41E912">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0.05</w:t>
            </w:r>
          </w:p>
        </w:tc>
        <w:tc>
          <w:tcPr>
            <w:tcW w:w="2729" w:type="dxa"/>
            <w:tcBorders>
              <w:tl2br w:val="nil"/>
              <w:tr2bl w:val="nil"/>
            </w:tcBorders>
            <w:noWrap w:val="0"/>
            <w:vAlign w:val="center"/>
          </w:tcPr>
          <w:p w14:paraId="52CD35AB">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r>
    </w:tbl>
    <w:p w14:paraId="7B6FC50C">
      <w:pPr>
        <w:pStyle w:val="8"/>
        <w:bidi w:val="0"/>
        <w:rPr>
          <w:rFonts w:hint="default" w:ascii="Times New Roman" w:hAnsi="Times New Roman" w:cs="Times New Roman"/>
          <w:color w:val="auto"/>
          <w:highlight w:val="none"/>
        </w:rPr>
        <w:sectPr>
          <w:pgSz w:w="16838" w:h="11906" w:orient="landscape"/>
          <w:pgMar w:top="1701" w:right="158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0303892C">
      <w:pPr>
        <w:pStyle w:val="1336"/>
        <w:ind w:firstLine="480"/>
        <w:rPr>
          <w:color w:val="auto"/>
          <w:highlight w:val="none"/>
        </w:rPr>
      </w:pPr>
      <w:r>
        <w:rPr>
          <w:rFonts w:hint="eastAsia"/>
          <w:color w:val="auto"/>
          <w:highlight w:val="none"/>
        </w:rPr>
        <w:t>根据预测结果可知，项目建成后各污染源排放的污染物最大占标率为A库厂房二甲苯7.93%，根据《环境影响评价技术导则 大气环境》（HJ2.2-2018）分级判据，确定本项目大气环境影响评价工作等级为二级。</w:t>
      </w:r>
      <w:r>
        <w:rPr>
          <w:color w:val="auto"/>
          <w:highlight w:val="none"/>
        </w:rPr>
        <w:t xml:space="preserve"> </w:t>
      </w:r>
    </w:p>
    <w:p w14:paraId="2CA83395">
      <w:pPr>
        <w:pStyle w:val="4"/>
        <w:numPr>
          <w:ilvl w:val="2"/>
          <w:numId w:val="0"/>
        </w:numPr>
        <w:tabs>
          <w:tab w:val="clear" w:pos="720"/>
        </w:tabs>
        <w:bidi w:val="0"/>
        <w:rPr>
          <w:color w:val="auto"/>
          <w:highlight w:val="none"/>
        </w:rPr>
      </w:pPr>
      <w:bookmarkStart w:id="506" w:name="_Toc29595"/>
      <w:r>
        <w:rPr>
          <w:color w:val="auto"/>
          <w:highlight w:val="none"/>
        </w:rPr>
        <w:t>5.3.3</w:t>
      </w:r>
      <w:r>
        <w:rPr>
          <w:rFonts w:hint="eastAsia"/>
          <w:color w:val="auto"/>
          <w:highlight w:val="none"/>
          <w:lang w:val="en-US" w:eastAsia="zh-CN"/>
        </w:rPr>
        <w:t xml:space="preserve"> </w:t>
      </w:r>
      <w:r>
        <w:rPr>
          <w:color w:val="auto"/>
          <w:highlight w:val="none"/>
        </w:rPr>
        <w:t>污染物排放量核算</w:t>
      </w:r>
      <w:bookmarkEnd w:id="506"/>
    </w:p>
    <w:p w14:paraId="7EEECB26">
      <w:pPr>
        <w:pStyle w:val="1336"/>
        <w:ind w:firstLine="480"/>
        <w:rPr>
          <w:rFonts w:hint="eastAsia" w:eastAsia="宋体"/>
          <w:color w:val="auto"/>
          <w:highlight w:val="none"/>
          <w:lang w:eastAsia="zh-CN"/>
        </w:rPr>
      </w:pPr>
      <w:r>
        <w:rPr>
          <w:color w:val="auto"/>
          <w:highlight w:val="none"/>
        </w:rPr>
        <w:t>根据《环境影响技术评价技术导则—大气环境》</w:t>
      </w:r>
      <w:r>
        <w:rPr>
          <w:rFonts w:hint="eastAsia"/>
          <w:color w:val="auto"/>
          <w:highlight w:val="none"/>
          <w:lang w:eastAsia="zh-CN"/>
        </w:rPr>
        <w:t>（</w:t>
      </w:r>
      <w:r>
        <w:rPr>
          <w:color w:val="auto"/>
          <w:highlight w:val="none"/>
        </w:rPr>
        <w:t>HJ2.2-2018</w:t>
      </w:r>
      <w:r>
        <w:rPr>
          <w:rFonts w:hint="eastAsia"/>
          <w:color w:val="auto"/>
          <w:highlight w:val="none"/>
          <w:lang w:eastAsia="zh-CN"/>
        </w:rPr>
        <w:t>）</w:t>
      </w:r>
      <w:r>
        <w:rPr>
          <w:color w:val="auto"/>
          <w:highlight w:val="none"/>
        </w:rPr>
        <w:t>中要求：</w:t>
      </w:r>
      <w:r>
        <w:rPr>
          <w:rFonts w:hint="eastAsia"/>
          <w:color w:val="auto"/>
          <w:highlight w:val="none"/>
          <w:lang w:eastAsia="zh-CN"/>
        </w:rPr>
        <w:t>“</w:t>
      </w:r>
      <w:r>
        <w:rPr>
          <w:color w:val="auto"/>
          <w:highlight w:val="none"/>
        </w:rPr>
        <w:t>二级评价项目不进行进一步预测与评价，只对污染物排放量进行核算。</w:t>
      </w:r>
      <w:r>
        <w:rPr>
          <w:rFonts w:hint="eastAsia"/>
          <w:color w:val="auto"/>
          <w:highlight w:val="none"/>
          <w:lang w:eastAsia="zh-CN"/>
        </w:rPr>
        <w:t>”</w:t>
      </w:r>
    </w:p>
    <w:p w14:paraId="6195ACB6">
      <w:pPr>
        <w:pStyle w:val="441"/>
        <w:ind w:firstLine="480"/>
        <w:rPr>
          <w:color w:val="auto"/>
          <w:highlight w:val="none"/>
        </w:rPr>
      </w:pPr>
      <w:r>
        <w:rPr>
          <w:color w:val="auto"/>
          <w:highlight w:val="none"/>
        </w:rPr>
        <w:t>大气污染物年排放量包括各有组织排放源和无组织排放源在正常排放条件下的预测排放量之和，计算公式如下：</w:t>
      </w:r>
    </w:p>
    <w:p w14:paraId="504C6200">
      <w:pPr>
        <w:pStyle w:val="1319"/>
        <w:adjustRightInd/>
        <w:snapToGrid/>
        <w:ind w:firstLine="480"/>
        <w:rPr>
          <w:color w:val="auto"/>
          <w:sz w:val="21"/>
          <w:szCs w:val="21"/>
          <w:highlight w:val="none"/>
        </w:rPr>
      </w:pPr>
      <m:oMathPara>
        <m:oMath>
          <m:nary>
            <m:naryPr>
              <m:chr m:val="∑"/>
              <m:limLoc m:val="undOvr"/>
              <m:subHide m:val="1"/>
              <m:supHide m:val="1"/>
              <m:ctrlPr>
                <w:rPr>
                  <w:rFonts w:ascii="Cambria Math" w:hAnsi="Cambria Math"/>
                  <w:color w:val="auto"/>
                  <w:sz w:val="21"/>
                  <w:szCs w:val="21"/>
                  <w:highlight w:val="none"/>
                </w:rPr>
              </m:ctrlPr>
            </m:naryPr>
            <m:sub>
              <m:ctrlPr>
                <w:rPr>
                  <w:rFonts w:ascii="Cambria Math" w:hAnsi="Cambria Math"/>
                  <w:color w:val="auto"/>
                  <w:sz w:val="21"/>
                  <w:szCs w:val="21"/>
                  <w:highlight w:val="none"/>
                </w:rPr>
              </m:ctrlPr>
            </m:sub>
            <m:sup>
              <m:ctrlPr>
                <w:rPr>
                  <w:rFonts w:ascii="Cambria Math" w:hAnsi="Cambria Math"/>
                  <w:color w:val="auto"/>
                  <w:sz w:val="21"/>
                  <w:szCs w:val="21"/>
                  <w:highlight w:val="none"/>
                </w:rPr>
              </m:ctrlPr>
            </m:sup>
            <m:e>
              <m:r>
                <m:rPr>
                  <m:sty m:val="p"/>
                </m:rPr>
                <w:rPr>
                  <w:rFonts w:ascii="Cambria Math" w:hAnsi="Cambria Math"/>
                  <w:color w:val="auto"/>
                  <w:sz w:val="21"/>
                  <w:szCs w:val="21"/>
                  <w:highlight w:val="none"/>
                </w:rPr>
                <m:t>年排放量</m:t>
              </m:r>
              <m:ctrlPr>
                <w:rPr>
                  <w:rFonts w:ascii="Cambria Math" w:hAnsi="Cambria Math"/>
                  <w:color w:val="auto"/>
                  <w:sz w:val="21"/>
                  <w:szCs w:val="21"/>
                  <w:highlight w:val="none"/>
                </w:rPr>
              </m:ctrlPr>
            </m:e>
          </m:nary>
          <m:r>
            <m:rPr>
              <m:sty m:val="p"/>
            </m:rPr>
            <w:rPr>
              <w:rFonts w:ascii="Cambria Math"/>
              <w:color w:val="auto"/>
              <w:sz w:val="21"/>
              <w:szCs w:val="21"/>
              <w:highlight w:val="none"/>
            </w:rPr>
            <m:t>=</m:t>
          </m:r>
          <m:f>
            <m:fPr>
              <m:ctrlPr>
                <w:rPr>
                  <w:rFonts w:ascii="Cambria Math" w:hAnsi="Cambria Math"/>
                  <w:color w:val="auto"/>
                  <w:sz w:val="21"/>
                  <w:szCs w:val="21"/>
                  <w:highlight w:val="none"/>
                </w:rPr>
              </m:ctrlPr>
            </m:fPr>
            <m:num>
              <m:nary>
                <m:naryPr>
                  <m:chr m:val="∑"/>
                  <m:limLoc m:val="subSup"/>
                  <m:ctrlPr>
                    <w:rPr>
                      <w:rFonts w:ascii="Cambria Math" w:hAnsi="Cambria Math"/>
                      <w:color w:val="auto"/>
                      <w:sz w:val="21"/>
                      <w:szCs w:val="21"/>
                      <w:highlight w:val="none"/>
                    </w:rPr>
                  </m:ctrlPr>
                </m:naryPr>
                <m:sub>
                  <m:r>
                    <m:rPr>
                      <m:sty m:val="p"/>
                    </m:rPr>
                    <w:rPr>
                      <w:rFonts w:ascii="Cambria Math"/>
                      <w:color w:val="auto"/>
                      <w:sz w:val="21"/>
                      <w:szCs w:val="21"/>
                      <w:highlight w:val="none"/>
                    </w:rPr>
                    <m:t>i=1</m:t>
                  </m:r>
                  <m:ctrlPr>
                    <w:rPr>
                      <w:rFonts w:ascii="Cambria Math" w:hAnsi="Cambria Math"/>
                      <w:color w:val="auto"/>
                      <w:sz w:val="21"/>
                      <w:szCs w:val="21"/>
                      <w:highlight w:val="none"/>
                    </w:rPr>
                  </m:ctrlPr>
                </m:sub>
                <m:sup>
                  <m:r>
                    <m:rPr>
                      <m:sty m:val="p"/>
                    </m:rPr>
                    <w:rPr>
                      <w:rFonts w:ascii="Cambria Math"/>
                      <w:color w:val="auto"/>
                      <w:sz w:val="21"/>
                      <w:szCs w:val="21"/>
                      <w:highlight w:val="none"/>
                    </w:rPr>
                    <m:t>n</m:t>
                  </m:r>
                  <m:ctrlPr>
                    <w:rPr>
                      <w:rFonts w:ascii="Cambria Math" w:hAnsi="Cambria Math"/>
                      <w:color w:val="auto"/>
                      <w:sz w:val="21"/>
                      <w:szCs w:val="21"/>
                      <w:highlight w:val="none"/>
                    </w:rPr>
                  </m:ctrlPr>
                </m:sup>
                <m:e>
                  <m:d>
                    <m:dPr>
                      <m:ctrlPr>
                        <w:rPr>
                          <w:rFonts w:ascii="Cambria Math" w:hAnsi="Cambria Math"/>
                          <w:color w:val="auto"/>
                          <w:sz w:val="21"/>
                          <w:szCs w:val="21"/>
                          <w:highlight w:val="none"/>
                        </w:rPr>
                      </m:ctrlPr>
                    </m:dPr>
                    <m:e>
                      <m:r>
                        <m:rPr>
                          <m:sty m:val="p"/>
                        </m:rPr>
                        <w:rPr>
                          <w:rFonts w:ascii="Cambria Math"/>
                          <w:color w:val="auto"/>
                          <w:sz w:val="21"/>
                          <w:szCs w:val="21"/>
                          <w:highlight w:val="none"/>
                        </w:rPr>
                        <m:t>Mi有组织×Hi有组织</m:t>
                      </m:r>
                      <m:ctrlPr>
                        <w:rPr>
                          <w:rFonts w:ascii="Cambria Math" w:hAnsi="Cambria Math"/>
                          <w:color w:val="auto"/>
                          <w:sz w:val="21"/>
                          <w:szCs w:val="21"/>
                          <w:highlight w:val="none"/>
                        </w:rPr>
                      </m:ctrlPr>
                    </m:e>
                  </m:d>
                  <m:ctrlPr>
                    <w:rPr>
                      <w:rFonts w:ascii="Cambria Math" w:hAnsi="Cambria Math"/>
                      <w:color w:val="auto"/>
                      <w:sz w:val="21"/>
                      <w:szCs w:val="21"/>
                      <w:highlight w:val="none"/>
                    </w:rPr>
                  </m:ctrlPr>
                </m:e>
              </m:nary>
              <m:ctrlPr>
                <w:rPr>
                  <w:rFonts w:ascii="Cambria Math" w:hAnsi="Cambria Math"/>
                  <w:color w:val="auto"/>
                  <w:sz w:val="21"/>
                  <w:szCs w:val="21"/>
                  <w:highlight w:val="none"/>
                </w:rPr>
              </m:ctrlPr>
            </m:num>
            <m:den>
              <m:r>
                <m:rPr>
                  <m:sty m:val="p"/>
                </m:rPr>
                <w:rPr>
                  <w:rFonts w:ascii="Cambria Math"/>
                  <w:color w:val="auto"/>
                  <w:sz w:val="21"/>
                  <w:szCs w:val="21"/>
                  <w:highlight w:val="none"/>
                </w:rPr>
                <m:t>1000</m:t>
              </m:r>
              <m:ctrlPr>
                <w:rPr>
                  <w:rFonts w:ascii="Cambria Math" w:hAnsi="Cambria Math"/>
                  <w:color w:val="auto"/>
                  <w:sz w:val="21"/>
                  <w:szCs w:val="21"/>
                  <w:highlight w:val="none"/>
                </w:rPr>
              </m:ctrlPr>
            </m:den>
          </m:f>
          <m:r>
            <m:rPr>
              <m:sty m:val="p"/>
            </m:rPr>
            <w:rPr>
              <w:rFonts w:ascii="Cambria Math"/>
              <w:color w:val="auto"/>
              <w:sz w:val="21"/>
              <w:szCs w:val="21"/>
              <w:highlight w:val="none"/>
            </w:rPr>
            <m:t>+</m:t>
          </m:r>
          <m:nary>
            <m:naryPr>
              <m:chr m:val="∑"/>
              <m:limLoc m:val="subSup"/>
              <m:ctrlPr>
                <w:rPr>
                  <w:rFonts w:ascii="Cambria Math" w:hAnsi="Cambria Math"/>
                  <w:color w:val="auto"/>
                  <w:sz w:val="21"/>
                  <w:szCs w:val="21"/>
                  <w:highlight w:val="none"/>
                </w:rPr>
              </m:ctrlPr>
            </m:naryPr>
            <m:sub>
              <m:r>
                <m:rPr>
                  <m:sty m:val="p"/>
                </m:rPr>
                <w:rPr>
                  <w:rFonts w:ascii="Cambria Math"/>
                  <w:color w:val="auto"/>
                  <w:sz w:val="21"/>
                  <w:szCs w:val="21"/>
                  <w:highlight w:val="none"/>
                </w:rPr>
                <m:t>j=1</m:t>
              </m:r>
              <m:ctrlPr>
                <w:rPr>
                  <w:rFonts w:ascii="Cambria Math" w:hAnsi="Cambria Math"/>
                  <w:color w:val="auto"/>
                  <w:sz w:val="21"/>
                  <w:szCs w:val="21"/>
                  <w:highlight w:val="none"/>
                </w:rPr>
              </m:ctrlPr>
            </m:sub>
            <m:sup>
              <m:r>
                <m:rPr>
                  <m:sty m:val="p"/>
                </m:rPr>
                <w:rPr>
                  <w:rFonts w:ascii="Cambria Math"/>
                  <w:color w:val="auto"/>
                  <w:sz w:val="21"/>
                  <w:szCs w:val="21"/>
                  <w:highlight w:val="none"/>
                </w:rPr>
                <m:t>m</m:t>
              </m:r>
              <m:ctrlPr>
                <w:rPr>
                  <w:rFonts w:ascii="Cambria Math" w:hAnsi="Cambria Math"/>
                  <w:color w:val="auto"/>
                  <w:sz w:val="21"/>
                  <w:szCs w:val="21"/>
                  <w:highlight w:val="none"/>
                </w:rPr>
              </m:ctrlPr>
            </m:sup>
            <m:e>
              <m:r>
                <m:rPr>
                  <m:sty m:val="p"/>
                </m:rPr>
                <w:rPr>
                  <w:rFonts w:ascii="Cambria Math"/>
                  <w:color w:val="auto"/>
                  <w:sz w:val="21"/>
                  <w:szCs w:val="21"/>
                  <w:highlight w:val="none"/>
                </w:rPr>
                <m:t>(</m:t>
              </m:r>
              <m:ctrlPr>
                <w:rPr>
                  <w:rFonts w:ascii="Cambria Math" w:hAnsi="Cambria Math"/>
                  <w:color w:val="auto"/>
                  <w:sz w:val="21"/>
                  <w:szCs w:val="21"/>
                  <w:highlight w:val="none"/>
                </w:rPr>
              </m:ctrlPr>
            </m:e>
          </m:nary>
          <m:r>
            <m:rPr>
              <m:sty m:val="p"/>
            </m:rPr>
            <w:rPr>
              <w:rFonts w:ascii="Cambria Math"/>
              <w:color w:val="auto"/>
              <w:sz w:val="21"/>
              <w:szCs w:val="21"/>
              <w:highlight w:val="none"/>
            </w:rPr>
            <m:t>Mj无组织×Hj无组织）/1000</m:t>
          </m:r>
        </m:oMath>
      </m:oMathPara>
    </w:p>
    <w:p w14:paraId="11A0AF34">
      <w:pPr>
        <w:pStyle w:val="1319"/>
        <w:adjustRightInd/>
        <w:snapToGrid/>
        <w:ind w:firstLine="480"/>
        <w:rPr>
          <w:color w:val="auto"/>
          <w:highlight w:val="none"/>
        </w:rPr>
      </w:pPr>
      <w:r>
        <w:rPr>
          <w:color w:val="auto"/>
          <w:highlight w:val="none"/>
        </w:rPr>
        <w:t>式中：E</w:t>
      </w:r>
      <w:r>
        <w:rPr>
          <w:color w:val="auto"/>
          <w:highlight w:val="none"/>
          <w:vertAlign w:val="subscript"/>
        </w:rPr>
        <w:t>年排放量</w:t>
      </w:r>
      <w:r>
        <w:rPr>
          <w:color w:val="auto"/>
          <w:highlight w:val="none"/>
        </w:rPr>
        <w:t>——项目年排放量，t/a；</w:t>
      </w:r>
    </w:p>
    <w:p w14:paraId="7EE01575">
      <w:pPr>
        <w:pStyle w:val="1319"/>
        <w:adjustRightInd/>
        <w:snapToGrid/>
        <w:ind w:firstLine="480"/>
        <w:rPr>
          <w:color w:val="auto"/>
          <w:highlight w:val="none"/>
        </w:rPr>
      </w:pPr>
      <w:r>
        <w:rPr>
          <w:color w:val="auto"/>
          <w:highlight w:val="none"/>
        </w:rPr>
        <w:t xml:space="preserve">      M</w:t>
      </w:r>
      <w:r>
        <w:rPr>
          <w:color w:val="auto"/>
          <w:highlight w:val="none"/>
          <w:vertAlign w:val="subscript"/>
        </w:rPr>
        <w:t xml:space="preserve">i有组织 </w:t>
      </w:r>
      <w:r>
        <w:rPr>
          <w:color w:val="auto"/>
          <w:highlight w:val="none"/>
        </w:rPr>
        <w:t>——第i个组织排放源排放速率，kg/h；</w:t>
      </w:r>
    </w:p>
    <w:p w14:paraId="5AE3F24A">
      <w:pPr>
        <w:pStyle w:val="1319"/>
        <w:adjustRightInd/>
        <w:snapToGrid/>
        <w:ind w:firstLine="480"/>
        <w:rPr>
          <w:color w:val="auto"/>
          <w:highlight w:val="none"/>
        </w:rPr>
      </w:pPr>
      <w:r>
        <w:rPr>
          <w:color w:val="auto"/>
          <w:highlight w:val="none"/>
        </w:rPr>
        <w:t xml:space="preserve">      H</w:t>
      </w:r>
      <w:r>
        <w:rPr>
          <w:color w:val="auto"/>
          <w:highlight w:val="none"/>
          <w:vertAlign w:val="subscript"/>
        </w:rPr>
        <w:t xml:space="preserve">i有组织 </w:t>
      </w:r>
      <w:r>
        <w:rPr>
          <w:color w:val="auto"/>
          <w:highlight w:val="none"/>
        </w:rPr>
        <w:t>——第i个组织排放源年有效排放小时数，h/a；</w:t>
      </w:r>
    </w:p>
    <w:p w14:paraId="0788229A">
      <w:pPr>
        <w:pStyle w:val="1319"/>
        <w:adjustRightInd/>
        <w:snapToGrid/>
        <w:ind w:firstLine="480"/>
        <w:rPr>
          <w:color w:val="auto"/>
          <w:highlight w:val="none"/>
        </w:rPr>
      </w:pPr>
      <w:r>
        <w:rPr>
          <w:color w:val="auto"/>
          <w:highlight w:val="none"/>
        </w:rPr>
        <w:t xml:space="preserve">      M</w:t>
      </w:r>
      <w:r>
        <w:rPr>
          <w:color w:val="auto"/>
          <w:highlight w:val="none"/>
          <w:vertAlign w:val="subscript"/>
        </w:rPr>
        <w:t xml:space="preserve">j无组织 </w:t>
      </w:r>
      <w:r>
        <w:rPr>
          <w:color w:val="auto"/>
          <w:highlight w:val="none"/>
        </w:rPr>
        <w:t>——第j个组织排放源排放速率，kg/h；</w:t>
      </w:r>
    </w:p>
    <w:p w14:paraId="1B8ED348">
      <w:pPr>
        <w:pStyle w:val="1319"/>
        <w:adjustRightInd/>
        <w:snapToGrid/>
        <w:ind w:firstLine="480"/>
        <w:rPr>
          <w:color w:val="auto"/>
          <w:highlight w:val="none"/>
        </w:rPr>
      </w:pPr>
      <w:r>
        <w:rPr>
          <w:color w:val="auto"/>
          <w:highlight w:val="none"/>
        </w:rPr>
        <w:t xml:space="preserve">      H</w:t>
      </w:r>
      <w:r>
        <w:rPr>
          <w:color w:val="auto"/>
          <w:highlight w:val="none"/>
          <w:vertAlign w:val="subscript"/>
        </w:rPr>
        <w:t xml:space="preserve">j无组织 </w:t>
      </w:r>
      <w:r>
        <w:rPr>
          <w:color w:val="auto"/>
          <w:highlight w:val="none"/>
        </w:rPr>
        <w:t>——第j个组织排放源年有效排放小时数，h/a；</w:t>
      </w:r>
    </w:p>
    <w:p w14:paraId="0EE8E8E1">
      <w:pPr>
        <w:keepNext w:val="0"/>
        <w:keepLines w:val="0"/>
        <w:widowControl/>
        <w:suppressLineNumbers w:val="0"/>
        <w:jc w:val="left"/>
        <w:rPr>
          <w:color w:val="auto"/>
          <w:highlight w:val="none"/>
        </w:rPr>
      </w:pPr>
      <w:r>
        <w:rPr>
          <w:color w:val="auto"/>
          <w:highlight w:val="none"/>
        </w:rPr>
        <w:t>有组织排放量核算见表5.3-</w:t>
      </w:r>
      <w:r>
        <w:rPr>
          <w:rFonts w:hint="eastAsia"/>
          <w:color w:val="auto"/>
          <w:highlight w:val="none"/>
          <w:lang w:val="en-US" w:eastAsia="zh-CN"/>
        </w:rPr>
        <w:t>11，</w:t>
      </w:r>
      <w:r>
        <w:rPr>
          <w:rFonts w:ascii="瀹嬩綋" w:hAnsi="瀹嬩綋" w:eastAsia="瀹嬩綋" w:cs="瀹嬩綋"/>
          <w:color w:val="auto"/>
          <w:kern w:val="0"/>
          <w:sz w:val="24"/>
          <w:szCs w:val="24"/>
          <w:highlight w:val="none"/>
          <w:lang w:val="en-US" w:eastAsia="zh-CN" w:bidi="ar"/>
        </w:rPr>
        <w:t>参考</w:t>
      </w:r>
      <w:r>
        <w:rPr>
          <w:rFonts w:hint="eastAsia"/>
          <w:color w:val="auto"/>
          <w:highlight w:val="none"/>
          <w:lang w:val="en-US" w:eastAsia="zh-CN"/>
        </w:rPr>
        <w:t>《排污许可证申请与核发技术规范 汽车制造业》（HJ 971-2026，自2027年1月1日起实施）</w:t>
      </w:r>
      <w:r>
        <w:rPr>
          <w:rFonts w:hint="default" w:ascii="瀹嬩綋" w:hAnsi="瀹嬩綋" w:eastAsia="瀹嬩綋" w:cs="瀹嬩綋"/>
          <w:color w:val="auto"/>
          <w:kern w:val="0"/>
          <w:sz w:val="24"/>
          <w:szCs w:val="24"/>
          <w:highlight w:val="none"/>
          <w:lang w:val="en-US" w:eastAsia="zh-CN" w:bidi="ar"/>
        </w:rPr>
        <w:t>，喷涂与烘干工序为主要排放口，其余为一般排放口</w:t>
      </w:r>
      <w:r>
        <w:rPr>
          <w:color w:val="auto"/>
          <w:highlight w:val="none"/>
        </w:rPr>
        <w:t>；无组织排放量核算见表5.3-</w:t>
      </w:r>
      <w:r>
        <w:rPr>
          <w:rFonts w:hint="eastAsia"/>
          <w:color w:val="auto"/>
          <w:highlight w:val="none"/>
          <w:lang w:val="en-US" w:eastAsia="zh-CN"/>
        </w:rPr>
        <w:t>12</w:t>
      </w:r>
      <w:r>
        <w:rPr>
          <w:color w:val="auto"/>
          <w:highlight w:val="none"/>
        </w:rPr>
        <w:t>；项目大气污染物年排放量核算见表5.3-</w:t>
      </w:r>
      <w:r>
        <w:rPr>
          <w:rFonts w:hint="eastAsia"/>
          <w:color w:val="auto"/>
          <w:highlight w:val="none"/>
          <w:lang w:val="en-US" w:eastAsia="zh-CN"/>
        </w:rPr>
        <w:t>13</w:t>
      </w:r>
      <w:r>
        <w:rPr>
          <w:color w:val="auto"/>
          <w:highlight w:val="none"/>
        </w:rPr>
        <w:t>。</w:t>
      </w:r>
    </w:p>
    <w:p w14:paraId="29AAD457">
      <w:pPr>
        <w:pStyle w:val="8"/>
        <w:bidi w:val="0"/>
        <w:rPr>
          <w:color w:val="auto"/>
          <w:highlight w:val="none"/>
        </w:rPr>
      </w:pPr>
      <w:r>
        <w:rPr>
          <w:color w:val="auto"/>
          <w:highlight w:val="none"/>
        </w:rPr>
        <w:t>表5.3-</w:t>
      </w:r>
      <w:r>
        <w:rPr>
          <w:rFonts w:hint="eastAsia"/>
          <w:color w:val="auto"/>
          <w:highlight w:val="none"/>
          <w:lang w:val="en-US" w:eastAsia="zh-CN"/>
        </w:rPr>
        <w:t>11</w:t>
      </w:r>
      <w:r>
        <w:rPr>
          <w:color w:val="auto"/>
          <w:highlight w:val="none"/>
        </w:rPr>
        <w:t xml:space="preserve">  大气污染物有组织排放量核算表</w:t>
      </w:r>
    </w:p>
    <w:tbl>
      <w:tblPr>
        <w:tblStyle w:val="80"/>
        <w:tblW w:w="8897"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47"/>
        <w:gridCol w:w="1290"/>
        <w:gridCol w:w="2145"/>
        <w:gridCol w:w="1560"/>
        <w:gridCol w:w="1545"/>
        <w:gridCol w:w="1710"/>
      </w:tblGrid>
      <w:tr w14:paraId="13F173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40" w:hRule="atLeast"/>
        </w:trPr>
        <w:tc>
          <w:tcPr>
            <w:tcW w:w="647" w:type="dxa"/>
            <w:tcBorders>
              <w:tl2br w:val="nil"/>
              <w:tr2bl w:val="nil"/>
            </w:tcBorders>
            <w:shd w:val="clear" w:color="auto" w:fill="auto"/>
            <w:vAlign w:val="center"/>
          </w:tcPr>
          <w:p w14:paraId="0BB24939">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序号</w:t>
            </w:r>
          </w:p>
        </w:tc>
        <w:tc>
          <w:tcPr>
            <w:tcW w:w="1290" w:type="dxa"/>
            <w:tcBorders>
              <w:tl2br w:val="nil"/>
              <w:tr2bl w:val="nil"/>
            </w:tcBorders>
            <w:shd w:val="clear" w:color="auto" w:fill="auto"/>
            <w:vAlign w:val="center"/>
          </w:tcPr>
          <w:p w14:paraId="281E6C77">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排放口编号</w:t>
            </w:r>
          </w:p>
        </w:tc>
        <w:tc>
          <w:tcPr>
            <w:tcW w:w="2145" w:type="dxa"/>
            <w:tcBorders>
              <w:tl2br w:val="nil"/>
              <w:tr2bl w:val="nil"/>
            </w:tcBorders>
            <w:shd w:val="clear" w:color="auto" w:fill="auto"/>
            <w:vAlign w:val="center"/>
          </w:tcPr>
          <w:p w14:paraId="535336ED">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污染物</w:t>
            </w:r>
          </w:p>
        </w:tc>
        <w:tc>
          <w:tcPr>
            <w:tcW w:w="1560" w:type="dxa"/>
            <w:tcBorders>
              <w:tl2br w:val="nil"/>
              <w:tr2bl w:val="nil"/>
            </w:tcBorders>
            <w:shd w:val="clear" w:color="auto" w:fill="auto"/>
            <w:vAlign w:val="center"/>
          </w:tcPr>
          <w:p w14:paraId="708BBD04">
            <w:pPr>
              <w:pStyle w:val="1321"/>
              <w:ind w:firstLine="0" w:firstLineChars="0"/>
              <w:rPr>
                <w:rFonts w:hint="eastAsia" w:ascii="Times New Roman" w:hAnsi="Times New Roman" w:eastAsia="宋体" w:cs="Times New Roman"/>
                <w:color w:val="auto"/>
                <w:highlight w:val="none"/>
                <w:lang w:val="en-US" w:eastAsia="zh-CN"/>
              </w:rPr>
            </w:pPr>
            <w:r>
              <w:rPr>
                <w:color w:val="auto"/>
                <w:highlight w:val="none"/>
              </w:rPr>
              <w:t>核算排放浓度（mg/m</w:t>
            </w:r>
            <w:r>
              <w:rPr>
                <w:color w:val="auto"/>
                <w:highlight w:val="none"/>
                <w:vertAlign w:val="superscript"/>
              </w:rPr>
              <w:t>3</w:t>
            </w:r>
            <w:r>
              <w:rPr>
                <w:color w:val="auto"/>
                <w:highlight w:val="none"/>
              </w:rPr>
              <w:t>）</w:t>
            </w:r>
          </w:p>
        </w:tc>
        <w:tc>
          <w:tcPr>
            <w:tcW w:w="1545" w:type="dxa"/>
            <w:tcBorders>
              <w:tl2br w:val="nil"/>
              <w:tr2bl w:val="nil"/>
            </w:tcBorders>
            <w:shd w:val="clear" w:color="auto" w:fill="auto"/>
            <w:vAlign w:val="center"/>
          </w:tcPr>
          <w:p w14:paraId="2DDECE7C">
            <w:pPr>
              <w:pStyle w:val="1321"/>
              <w:ind w:firstLine="0" w:firstLineChars="0"/>
              <w:rPr>
                <w:rFonts w:hint="eastAsia" w:ascii="Times New Roman" w:hAnsi="Times New Roman" w:eastAsia="宋体" w:cs="Times New Roman"/>
                <w:color w:val="auto"/>
                <w:highlight w:val="none"/>
                <w:lang w:val="en-US" w:eastAsia="zh-CN"/>
              </w:rPr>
            </w:pPr>
            <w:r>
              <w:rPr>
                <w:color w:val="auto"/>
                <w:highlight w:val="none"/>
              </w:rPr>
              <w:t>核算排放速率（kg/h）</w:t>
            </w:r>
          </w:p>
        </w:tc>
        <w:tc>
          <w:tcPr>
            <w:tcW w:w="1710" w:type="dxa"/>
            <w:tcBorders>
              <w:tl2br w:val="nil"/>
              <w:tr2bl w:val="nil"/>
            </w:tcBorders>
            <w:shd w:val="clear" w:color="auto" w:fill="auto"/>
            <w:vAlign w:val="center"/>
          </w:tcPr>
          <w:p w14:paraId="2365C1DD">
            <w:pPr>
              <w:pStyle w:val="1321"/>
              <w:ind w:firstLine="0" w:firstLineChars="0"/>
              <w:rPr>
                <w:rFonts w:hint="eastAsia" w:ascii="Times New Roman" w:hAnsi="Times New Roman" w:eastAsia="宋体" w:cs="Times New Roman"/>
                <w:color w:val="auto"/>
                <w:highlight w:val="none"/>
                <w:lang w:val="en-US" w:eastAsia="zh-CN"/>
              </w:rPr>
            </w:pPr>
            <w:r>
              <w:rPr>
                <w:color w:val="auto"/>
                <w:highlight w:val="none"/>
              </w:rPr>
              <w:t>核算年排放量（t/a）</w:t>
            </w:r>
          </w:p>
        </w:tc>
      </w:tr>
      <w:tr w14:paraId="6BAA84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897" w:type="dxa"/>
            <w:gridSpan w:val="6"/>
            <w:tcBorders>
              <w:tl2br w:val="nil"/>
              <w:tr2bl w:val="nil"/>
            </w:tcBorders>
            <w:shd w:val="clear" w:color="auto" w:fill="auto"/>
            <w:vAlign w:val="center"/>
          </w:tcPr>
          <w:p w14:paraId="7A514D44">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主要排放口</w:t>
            </w:r>
          </w:p>
        </w:tc>
      </w:tr>
      <w:tr w14:paraId="0A0540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647A1BF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1290" w:type="dxa"/>
            <w:vMerge w:val="restart"/>
            <w:tcBorders>
              <w:tl2br w:val="nil"/>
              <w:tr2bl w:val="nil"/>
            </w:tcBorders>
            <w:shd w:val="clear" w:color="auto" w:fill="auto"/>
            <w:vAlign w:val="center"/>
          </w:tcPr>
          <w:p w14:paraId="5303AD3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w:t>
            </w:r>
            <w:r>
              <w:rPr>
                <w:rFonts w:hint="eastAsia" w:cs="Times New Roman"/>
                <w:color w:val="auto"/>
                <w:highlight w:val="none"/>
                <w:lang w:val="en-US" w:eastAsia="zh-CN"/>
              </w:rPr>
              <w:t>1</w:t>
            </w:r>
          </w:p>
        </w:tc>
        <w:tc>
          <w:tcPr>
            <w:tcW w:w="2145" w:type="dxa"/>
            <w:tcBorders>
              <w:tl2br w:val="nil"/>
              <w:tr2bl w:val="nil"/>
            </w:tcBorders>
            <w:shd w:val="clear" w:color="auto" w:fill="auto"/>
            <w:vAlign w:val="center"/>
          </w:tcPr>
          <w:p w14:paraId="04943C2B">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1560" w:type="dxa"/>
            <w:tcBorders>
              <w:tl2br w:val="nil"/>
              <w:tr2bl w:val="nil"/>
            </w:tcBorders>
            <w:shd w:val="clear" w:color="auto" w:fill="auto"/>
            <w:vAlign w:val="center"/>
          </w:tcPr>
          <w:p w14:paraId="406595F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1.4474</w:t>
            </w:r>
          </w:p>
        </w:tc>
        <w:tc>
          <w:tcPr>
            <w:tcW w:w="1545" w:type="dxa"/>
            <w:tcBorders>
              <w:tl2br w:val="nil"/>
              <w:tr2bl w:val="nil"/>
            </w:tcBorders>
            <w:shd w:val="clear" w:color="auto" w:fill="auto"/>
            <w:vAlign w:val="center"/>
          </w:tcPr>
          <w:p w14:paraId="1347F3D2">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0.0362</w:t>
            </w:r>
          </w:p>
        </w:tc>
        <w:tc>
          <w:tcPr>
            <w:tcW w:w="1710" w:type="dxa"/>
            <w:tcBorders>
              <w:tl2br w:val="nil"/>
              <w:tr2bl w:val="nil"/>
            </w:tcBorders>
            <w:shd w:val="clear" w:color="auto" w:fill="auto"/>
            <w:vAlign w:val="center"/>
          </w:tcPr>
          <w:p w14:paraId="7A14399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0.2388</w:t>
            </w:r>
          </w:p>
        </w:tc>
      </w:tr>
      <w:tr w14:paraId="78BE48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516E9179">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p>
        </w:tc>
        <w:tc>
          <w:tcPr>
            <w:tcW w:w="1290" w:type="dxa"/>
            <w:vMerge w:val="continue"/>
            <w:tcBorders>
              <w:tl2br w:val="nil"/>
              <w:tr2bl w:val="nil"/>
            </w:tcBorders>
            <w:shd w:val="clear" w:color="auto" w:fill="auto"/>
            <w:vAlign w:val="center"/>
          </w:tcPr>
          <w:p w14:paraId="5D0601D0">
            <w:pPr>
              <w:pStyle w:val="1321"/>
              <w:rPr>
                <w:rFonts w:hint="default" w:ascii="Times New Roman" w:hAnsi="Times New Roman" w:eastAsia="宋体" w:cs="Times New Roman"/>
                <w:color w:val="auto"/>
                <w:highlight w:val="none"/>
                <w:lang w:val="en-US" w:eastAsia="zh-CN"/>
              </w:rPr>
            </w:pPr>
          </w:p>
        </w:tc>
        <w:tc>
          <w:tcPr>
            <w:tcW w:w="2145" w:type="dxa"/>
            <w:tcBorders>
              <w:tl2br w:val="nil"/>
              <w:tr2bl w:val="nil"/>
            </w:tcBorders>
            <w:shd w:val="clear" w:color="auto" w:fill="auto"/>
            <w:vAlign w:val="center"/>
          </w:tcPr>
          <w:p w14:paraId="54420EAA">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乙酸丁酯</w:t>
            </w:r>
          </w:p>
        </w:tc>
        <w:tc>
          <w:tcPr>
            <w:tcW w:w="1560" w:type="dxa"/>
            <w:tcBorders>
              <w:tl2br w:val="nil"/>
              <w:tr2bl w:val="nil"/>
            </w:tcBorders>
            <w:shd w:val="clear" w:color="auto" w:fill="auto"/>
            <w:vAlign w:val="center"/>
          </w:tcPr>
          <w:p w14:paraId="0360D97D">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2.1229</w:t>
            </w:r>
          </w:p>
        </w:tc>
        <w:tc>
          <w:tcPr>
            <w:tcW w:w="1545" w:type="dxa"/>
            <w:tcBorders>
              <w:tl2br w:val="nil"/>
              <w:tr2bl w:val="nil"/>
            </w:tcBorders>
            <w:shd w:val="clear" w:color="auto" w:fill="auto"/>
            <w:vAlign w:val="center"/>
          </w:tcPr>
          <w:p w14:paraId="7D2AADC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0.0531</w:t>
            </w:r>
          </w:p>
        </w:tc>
        <w:tc>
          <w:tcPr>
            <w:tcW w:w="1710" w:type="dxa"/>
            <w:tcBorders>
              <w:tl2br w:val="nil"/>
              <w:tr2bl w:val="nil"/>
            </w:tcBorders>
            <w:shd w:val="clear" w:color="auto" w:fill="auto"/>
            <w:vAlign w:val="center"/>
          </w:tcPr>
          <w:p w14:paraId="759D899C">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0.3503</w:t>
            </w:r>
          </w:p>
        </w:tc>
      </w:tr>
      <w:tr w14:paraId="17914B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7B0807ED">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w:t>
            </w:r>
          </w:p>
        </w:tc>
        <w:tc>
          <w:tcPr>
            <w:tcW w:w="1290" w:type="dxa"/>
            <w:vMerge w:val="continue"/>
            <w:tcBorders>
              <w:tl2br w:val="nil"/>
              <w:tr2bl w:val="nil"/>
            </w:tcBorders>
            <w:shd w:val="clear" w:color="auto" w:fill="auto"/>
            <w:vAlign w:val="center"/>
          </w:tcPr>
          <w:p w14:paraId="59AFEA5F">
            <w:pPr>
              <w:pStyle w:val="1321"/>
              <w:rPr>
                <w:rFonts w:hint="default" w:ascii="Times New Roman" w:hAnsi="Times New Roman" w:eastAsia="宋体" w:cs="Times New Roman"/>
                <w:color w:val="auto"/>
                <w:highlight w:val="none"/>
                <w:lang w:val="en-US" w:eastAsia="zh-CN"/>
              </w:rPr>
            </w:pPr>
          </w:p>
        </w:tc>
        <w:tc>
          <w:tcPr>
            <w:tcW w:w="2145" w:type="dxa"/>
            <w:tcBorders>
              <w:tl2br w:val="nil"/>
              <w:tr2bl w:val="nil"/>
            </w:tcBorders>
            <w:shd w:val="clear" w:color="auto" w:fill="auto"/>
            <w:vAlign w:val="center"/>
          </w:tcPr>
          <w:p w14:paraId="56005B6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560" w:type="dxa"/>
            <w:tcBorders>
              <w:tl2br w:val="nil"/>
              <w:tr2bl w:val="nil"/>
            </w:tcBorders>
            <w:shd w:val="clear" w:color="auto" w:fill="auto"/>
            <w:vAlign w:val="center"/>
          </w:tcPr>
          <w:p w14:paraId="0FF70C46">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2.9083</w:t>
            </w:r>
          </w:p>
        </w:tc>
        <w:tc>
          <w:tcPr>
            <w:tcW w:w="1545" w:type="dxa"/>
            <w:tcBorders>
              <w:tl2br w:val="nil"/>
              <w:tr2bl w:val="nil"/>
            </w:tcBorders>
            <w:shd w:val="clear" w:color="auto" w:fill="auto"/>
            <w:vAlign w:val="center"/>
          </w:tcPr>
          <w:p w14:paraId="3CC077A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0.0727</w:t>
            </w:r>
          </w:p>
        </w:tc>
        <w:tc>
          <w:tcPr>
            <w:tcW w:w="1710" w:type="dxa"/>
            <w:tcBorders>
              <w:tl2br w:val="nil"/>
              <w:tr2bl w:val="nil"/>
            </w:tcBorders>
            <w:shd w:val="clear" w:color="auto" w:fill="auto"/>
            <w:vAlign w:val="center"/>
          </w:tcPr>
          <w:p w14:paraId="75B3A1E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0.4799</w:t>
            </w:r>
          </w:p>
        </w:tc>
      </w:tr>
      <w:tr w14:paraId="12C78B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43760150">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w:t>
            </w:r>
          </w:p>
        </w:tc>
        <w:tc>
          <w:tcPr>
            <w:tcW w:w="1290" w:type="dxa"/>
            <w:vMerge w:val="continue"/>
            <w:tcBorders>
              <w:tl2br w:val="nil"/>
              <w:tr2bl w:val="nil"/>
            </w:tcBorders>
            <w:shd w:val="clear" w:color="auto" w:fill="auto"/>
            <w:vAlign w:val="center"/>
          </w:tcPr>
          <w:p w14:paraId="3346596C">
            <w:pPr>
              <w:pStyle w:val="1321"/>
              <w:rPr>
                <w:rFonts w:hint="default" w:ascii="Times New Roman" w:hAnsi="Times New Roman" w:eastAsia="宋体" w:cs="Times New Roman"/>
                <w:color w:val="auto"/>
                <w:highlight w:val="none"/>
                <w:lang w:val="en-US" w:eastAsia="zh-CN"/>
              </w:rPr>
            </w:pPr>
          </w:p>
        </w:tc>
        <w:tc>
          <w:tcPr>
            <w:tcW w:w="2145" w:type="dxa"/>
            <w:tcBorders>
              <w:tl2br w:val="nil"/>
              <w:tr2bl w:val="nil"/>
            </w:tcBorders>
            <w:shd w:val="clear" w:color="auto" w:fill="auto"/>
            <w:vAlign w:val="center"/>
          </w:tcPr>
          <w:p w14:paraId="3EDC6F9B">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1560" w:type="dxa"/>
            <w:tcBorders>
              <w:tl2br w:val="nil"/>
              <w:tr2bl w:val="nil"/>
            </w:tcBorders>
            <w:shd w:val="clear" w:color="auto" w:fill="auto"/>
            <w:vAlign w:val="center"/>
          </w:tcPr>
          <w:p w14:paraId="595A83D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1.656</w:t>
            </w:r>
          </w:p>
        </w:tc>
        <w:tc>
          <w:tcPr>
            <w:tcW w:w="1545" w:type="dxa"/>
            <w:tcBorders>
              <w:tl2br w:val="nil"/>
              <w:tr2bl w:val="nil"/>
            </w:tcBorders>
            <w:shd w:val="clear" w:color="auto" w:fill="auto"/>
            <w:vAlign w:val="center"/>
          </w:tcPr>
          <w:p w14:paraId="4BE3253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0.0414</w:t>
            </w:r>
          </w:p>
        </w:tc>
        <w:tc>
          <w:tcPr>
            <w:tcW w:w="1710" w:type="dxa"/>
            <w:tcBorders>
              <w:tl2br w:val="nil"/>
              <w:tr2bl w:val="nil"/>
            </w:tcBorders>
            <w:shd w:val="clear" w:color="auto" w:fill="auto"/>
            <w:vAlign w:val="center"/>
          </w:tcPr>
          <w:p w14:paraId="05C7EBE2">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0.2732</w:t>
            </w:r>
          </w:p>
        </w:tc>
      </w:tr>
      <w:tr w14:paraId="60201E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7E948665">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w:t>
            </w:r>
          </w:p>
        </w:tc>
        <w:tc>
          <w:tcPr>
            <w:tcW w:w="1290" w:type="dxa"/>
            <w:vMerge w:val="continue"/>
            <w:tcBorders>
              <w:tl2br w:val="nil"/>
              <w:tr2bl w:val="nil"/>
            </w:tcBorders>
            <w:shd w:val="clear" w:color="auto" w:fill="auto"/>
            <w:vAlign w:val="center"/>
          </w:tcPr>
          <w:p w14:paraId="0B77A8FD">
            <w:pPr>
              <w:pStyle w:val="1321"/>
              <w:rPr>
                <w:rFonts w:hint="default" w:ascii="Times New Roman" w:hAnsi="Times New Roman" w:eastAsia="宋体" w:cs="Times New Roman"/>
                <w:color w:val="auto"/>
                <w:highlight w:val="none"/>
                <w:lang w:val="en-US" w:eastAsia="zh-CN"/>
              </w:rPr>
            </w:pPr>
          </w:p>
        </w:tc>
        <w:tc>
          <w:tcPr>
            <w:tcW w:w="2145" w:type="dxa"/>
            <w:tcBorders>
              <w:tl2br w:val="nil"/>
              <w:tr2bl w:val="nil"/>
            </w:tcBorders>
            <w:shd w:val="clear" w:color="auto" w:fill="auto"/>
            <w:vAlign w:val="center"/>
          </w:tcPr>
          <w:p w14:paraId="7FB5E58E">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1560" w:type="dxa"/>
            <w:tcBorders>
              <w:tl2br w:val="nil"/>
              <w:tr2bl w:val="nil"/>
            </w:tcBorders>
            <w:shd w:val="clear" w:color="auto" w:fill="auto"/>
            <w:vAlign w:val="center"/>
          </w:tcPr>
          <w:p w14:paraId="47F6F68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3.3508</w:t>
            </w:r>
          </w:p>
        </w:tc>
        <w:tc>
          <w:tcPr>
            <w:tcW w:w="1545" w:type="dxa"/>
            <w:tcBorders>
              <w:tl2br w:val="nil"/>
              <w:tr2bl w:val="nil"/>
            </w:tcBorders>
            <w:shd w:val="clear" w:color="auto" w:fill="auto"/>
            <w:vAlign w:val="center"/>
          </w:tcPr>
          <w:p w14:paraId="5D7B6825">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0.0838</w:t>
            </w:r>
          </w:p>
        </w:tc>
        <w:tc>
          <w:tcPr>
            <w:tcW w:w="1710" w:type="dxa"/>
            <w:tcBorders>
              <w:tl2br w:val="nil"/>
              <w:tr2bl w:val="nil"/>
            </w:tcBorders>
            <w:shd w:val="clear" w:color="auto" w:fill="auto"/>
            <w:vAlign w:val="center"/>
          </w:tcPr>
          <w:p w14:paraId="0A1EE97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0.5529</w:t>
            </w:r>
          </w:p>
        </w:tc>
      </w:tr>
      <w:tr w14:paraId="76ACE8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47" w:type="dxa"/>
            <w:tcBorders>
              <w:tl2br w:val="nil"/>
              <w:tr2bl w:val="nil"/>
            </w:tcBorders>
            <w:shd w:val="clear" w:color="auto" w:fill="auto"/>
            <w:vAlign w:val="center"/>
          </w:tcPr>
          <w:p w14:paraId="2C0963C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w:t>
            </w:r>
          </w:p>
        </w:tc>
        <w:tc>
          <w:tcPr>
            <w:tcW w:w="1290" w:type="dxa"/>
            <w:vMerge w:val="continue"/>
            <w:tcBorders>
              <w:tl2br w:val="nil"/>
              <w:tr2bl w:val="nil"/>
            </w:tcBorders>
            <w:shd w:val="clear" w:color="auto" w:fill="auto"/>
            <w:vAlign w:val="center"/>
          </w:tcPr>
          <w:p w14:paraId="1868EFFA">
            <w:pPr>
              <w:pStyle w:val="1321"/>
              <w:rPr>
                <w:rFonts w:hint="default" w:ascii="Times New Roman" w:hAnsi="Times New Roman" w:eastAsia="宋体" w:cs="Times New Roman"/>
                <w:color w:val="auto"/>
                <w:highlight w:val="none"/>
                <w:lang w:val="en-US" w:eastAsia="zh-CN"/>
              </w:rPr>
            </w:pPr>
          </w:p>
        </w:tc>
        <w:tc>
          <w:tcPr>
            <w:tcW w:w="2145" w:type="dxa"/>
            <w:tcBorders>
              <w:tl2br w:val="nil"/>
              <w:tr2bl w:val="nil"/>
            </w:tcBorders>
            <w:shd w:val="clear" w:color="auto" w:fill="auto"/>
            <w:vAlign w:val="center"/>
          </w:tcPr>
          <w:p w14:paraId="560E951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1560" w:type="dxa"/>
            <w:tcBorders>
              <w:tl2br w:val="nil"/>
              <w:tr2bl w:val="nil"/>
            </w:tcBorders>
            <w:shd w:val="clear" w:color="auto" w:fill="auto"/>
            <w:vAlign w:val="center"/>
          </w:tcPr>
          <w:p w14:paraId="16BAE50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15.4836</w:t>
            </w:r>
          </w:p>
        </w:tc>
        <w:tc>
          <w:tcPr>
            <w:tcW w:w="1545" w:type="dxa"/>
            <w:tcBorders>
              <w:tl2br w:val="nil"/>
              <w:tr2bl w:val="nil"/>
            </w:tcBorders>
            <w:shd w:val="clear" w:color="auto" w:fill="auto"/>
            <w:vAlign w:val="center"/>
          </w:tcPr>
          <w:p w14:paraId="077D566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0.3871</w:t>
            </w:r>
          </w:p>
        </w:tc>
        <w:tc>
          <w:tcPr>
            <w:tcW w:w="1710" w:type="dxa"/>
            <w:tcBorders>
              <w:tl2br w:val="nil"/>
              <w:tr2bl w:val="nil"/>
            </w:tcBorders>
            <w:shd w:val="clear" w:color="auto" w:fill="auto"/>
            <w:vAlign w:val="center"/>
          </w:tcPr>
          <w:p w14:paraId="2E1DB0A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2.5548</w:t>
            </w:r>
          </w:p>
        </w:tc>
      </w:tr>
      <w:tr w14:paraId="4F8923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0C884C7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主要排放口合计</w:t>
            </w:r>
          </w:p>
        </w:tc>
        <w:tc>
          <w:tcPr>
            <w:tcW w:w="5250" w:type="dxa"/>
            <w:gridSpan w:val="3"/>
            <w:tcBorders>
              <w:tl2br w:val="nil"/>
              <w:tr2bl w:val="nil"/>
            </w:tcBorders>
            <w:shd w:val="clear" w:color="auto" w:fill="auto"/>
            <w:vAlign w:val="center"/>
          </w:tcPr>
          <w:p w14:paraId="0FDD6498">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1710" w:type="dxa"/>
            <w:tcBorders>
              <w:tl2br w:val="nil"/>
              <w:tr2bl w:val="nil"/>
            </w:tcBorders>
            <w:shd w:val="clear" w:color="auto" w:fill="auto"/>
            <w:vAlign w:val="center"/>
          </w:tcPr>
          <w:p w14:paraId="5D136543">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0.2388</w:t>
            </w:r>
          </w:p>
        </w:tc>
      </w:tr>
      <w:tr w14:paraId="42AD41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0D609C9D">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634791D0">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乙酸丁酯</w:t>
            </w:r>
          </w:p>
        </w:tc>
        <w:tc>
          <w:tcPr>
            <w:tcW w:w="1710" w:type="dxa"/>
            <w:tcBorders>
              <w:tl2br w:val="nil"/>
              <w:tr2bl w:val="nil"/>
            </w:tcBorders>
            <w:shd w:val="clear" w:color="auto" w:fill="auto"/>
            <w:vAlign w:val="center"/>
          </w:tcPr>
          <w:p w14:paraId="7F17F1B5">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0.3503</w:t>
            </w:r>
          </w:p>
        </w:tc>
      </w:tr>
      <w:tr w14:paraId="4118C5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6A4606BA">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1953182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710" w:type="dxa"/>
            <w:tcBorders>
              <w:tl2br w:val="nil"/>
              <w:tr2bl w:val="nil"/>
            </w:tcBorders>
            <w:shd w:val="clear" w:color="auto" w:fill="auto"/>
            <w:vAlign w:val="center"/>
          </w:tcPr>
          <w:p w14:paraId="31D7CA1E">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0.4799</w:t>
            </w:r>
          </w:p>
        </w:tc>
      </w:tr>
      <w:tr w14:paraId="424DC4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46FA9E8A">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252D53D5">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1710" w:type="dxa"/>
            <w:tcBorders>
              <w:tl2br w:val="nil"/>
              <w:tr2bl w:val="nil"/>
            </w:tcBorders>
            <w:shd w:val="clear" w:color="auto" w:fill="auto"/>
            <w:vAlign w:val="center"/>
          </w:tcPr>
          <w:p w14:paraId="45D2554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0.0594 </w:t>
            </w:r>
          </w:p>
        </w:tc>
      </w:tr>
      <w:tr w14:paraId="0B870E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5EBD247D">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6E3B1F0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1710" w:type="dxa"/>
            <w:tcBorders>
              <w:tl2br w:val="nil"/>
              <w:tr2bl w:val="nil"/>
            </w:tcBorders>
            <w:shd w:val="clear" w:color="auto" w:fill="auto"/>
            <w:vAlign w:val="center"/>
          </w:tcPr>
          <w:p w14:paraId="001473F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0.2471 </w:t>
            </w:r>
          </w:p>
        </w:tc>
      </w:tr>
      <w:tr w14:paraId="0AC0BB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FBDF2FB">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5D6304D5">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1710" w:type="dxa"/>
            <w:tcBorders>
              <w:tl2br w:val="nil"/>
              <w:tr2bl w:val="nil"/>
            </w:tcBorders>
            <w:shd w:val="clear" w:color="auto" w:fill="auto"/>
            <w:vAlign w:val="center"/>
          </w:tcPr>
          <w:p w14:paraId="65B6028A">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0.5554 </w:t>
            </w:r>
          </w:p>
        </w:tc>
      </w:tr>
      <w:tr w14:paraId="655718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897" w:type="dxa"/>
            <w:gridSpan w:val="6"/>
            <w:tcBorders>
              <w:tl2br w:val="nil"/>
              <w:tr2bl w:val="nil"/>
            </w:tcBorders>
            <w:shd w:val="clear" w:color="auto" w:fill="auto"/>
            <w:vAlign w:val="center"/>
          </w:tcPr>
          <w:p w14:paraId="5BFEA69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一般排放口</w:t>
            </w:r>
          </w:p>
        </w:tc>
      </w:tr>
      <w:tr w14:paraId="46F887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40098C19">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w:t>
            </w:r>
            <w:r>
              <w:rPr>
                <w:rFonts w:hint="eastAsia" w:cs="Times New Roman"/>
                <w:color w:val="auto"/>
                <w:highlight w:val="none"/>
                <w:lang w:val="en-US" w:eastAsia="zh-CN"/>
              </w:rPr>
              <w:t>2</w:t>
            </w:r>
          </w:p>
        </w:tc>
        <w:tc>
          <w:tcPr>
            <w:tcW w:w="5250" w:type="dxa"/>
            <w:gridSpan w:val="3"/>
            <w:tcBorders>
              <w:tl2br w:val="nil"/>
              <w:tr2bl w:val="nil"/>
            </w:tcBorders>
            <w:shd w:val="clear" w:color="auto" w:fill="auto"/>
            <w:vAlign w:val="center"/>
          </w:tcPr>
          <w:p w14:paraId="2F25D464">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1710" w:type="dxa"/>
            <w:tcBorders>
              <w:tl2br w:val="nil"/>
              <w:tr2bl w:val="nil"/>
            </w:tcBorders>
            <w:shd w:val="clear" w:color="auto" w:fill="auto"/>
            <w:vAlign w:val="center"/>
          </w:tcPr>
          <w:p w14:paraId="7C35F17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0.1271 </w:t>
            </w:r>
          </w:p>
        </w:tc>
      </w:tr>
      <w:tr w14:paraId="090020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58424895">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0C6D75B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乙酸丁酯</w:t>
            </w:r>
          </w:p>
        </w:tc>
        <w:tc>
          <w:tcPr>
            <w:tcW w:w="1710" w:type="dxa"/>
            <w:tcBorders>
              <w:tl2br w:val="nil"/>
              <w:tr2bl w:val="nil"/>
            </w:tcBorders>
            <w:shd w:val="clear" w:color="auto" w:fill="auto"/>
            <w:vAlign w:val="center"/>
          </w:tcPr>
          <w:p w14:paraId="4F655E7E">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0.2210 </w:t>
            </w:r>
          </w:p>
        </w:tc>
      </w:tr>
      <w:tr w14:paraId="748F09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28E96D42">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7F3B9B4F">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710" w:type="dxa"/>
            <w:tcBorders>
              <w:tl2br w:val="nil"/>
              <w:tr2bl w:val="nil"/>
            </w:tcBorders>
            <w:shd w:val="clear" w:color="auto" w:fill="auto"/>
            <w:vAlign w:val="center"/>
          </w:tcPr>
          <w:p w14:paraId="5A5F909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0.3064 </w:t>
            </w:r>
          </w:p>
        </w:tc>
      </w:tr>
      <w:tr w14:paraId="17D1AF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487A4211">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DA003</w:t>
            </w:r>
          </w:p>
        </w:tc>
        <w:tc>
          <w:tcPr>
            <w:tcW w:w="5250" w:type="dxa"/>
            <w:gridSpan w:val="3"/>
            <w:tcBorders>
              <w:tl2br w:val="nil"/>
              <w:tr2bl w:val="nil"/>
            </w:tcBorders>
            <w:shd w:val="clear" w:color="auto" w:fill="auto"/>
            <w:vAlign w:val="center"/>
          </w:tcPr>
          <w:p w14:paraId="461CA4DB">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漆雾（颗粒物）</w:t>
            </w:r>
          </w:p>
        </w:tc>
        <w:tc>
          <w:tcPr>
            <w:tcW w:w="1710" w:type="dxa"/>
            <w:tcBorders>
              <w:tl2br w:val="nil"/>
              <w:tr2bl w:val="nil"/>
            </w:tcBorders>
            <w:shd w:val="clear" w:color="auto" w:fill="auto"/>
            <w:vAlign w:val="center"/>
          </w:tcPr>
          <w:p w14:paraId="778260B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0.0002 </w:t>
            </w:r>
          </w:p>
        </w:tc>
      </w:tr>
      <w:tr w14:paraId="786E76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93A190D">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4AFA4C6F">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1710" w:type="dxa"/>
            <w:tcBorders>
              <w:tl2br w:val="nil"/>
              <w:tr2bl w:val="nil"/>
            </w:tcBorders>
            <w:shd w:val="clear" w:color="auto" w:fill="auto"/>
            <w:vAlign w:val="center"/>
          </w:tcPr>
          <w:p w14:paraId="21EFD15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0.0060 </w:t>
            </w:r>
          </w:p>
        </w:tc>
      </w:tr>
      <w:tr w14:paraId="2B3A00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7EE530F8">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4F5B108F">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乙酸丁酯</w:t>
            </w:r>
          </w:p>
        </w:tc>
        <w:tc>
          <w:tcPr>
            <w:tcW w:w="1710" w:type="dxa"/>
            <w:tcBorders>
              <w:tl2br w:val="nil"/>
              <w:tr2bl w:val="nil"/>
            </w:tcBorders>
            <w:shd w:val="clear" w:color="auto" w:fill="auto"/>
            <w:vAlign w:val="center"/>
          </w:tcPr>
          <w:p w14:paraId="0541AD90">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0.0084 </w:t>
            </w:r>
          </w:p>
        </w:tc>
      </w:tr>
      <w:tr w14:paraId="0B8FEC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4DF87A20">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416C956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710" w:type="dxa"/>
            <w:tcBorders>
              <w:tl2br w:val="nil"/>
              <w:tr2bl w:val="nil"/>
            </w:tcBorders>
            <w:shd w:val="clear" w:color="auto" w:fill="auto"/>
            <w:vAlign w:val="center"/>
          </w:tcPr>
          <w:p w14:paraId="1E913E2E">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0.0116 </w:t>
            </w:r>
          </w:p>
        </w:tc>
      </w:tr>
      <w:tr w14:paraId="6FB6A8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tcBorders>
              <w:tl2br w:val="nil"/>
              <w:tr2bl w:val="nil"/>
            </w:tcBorders>
            <w:shd w:val="clear" w:color="auto" w:fill="auto"/>
            <w:vAlign w:val="center"/>
          </w:tcPr>
          <w:p w14:paraId="7E98FD9C">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DA004</w:t>
            </w:r>
          </w:p>
        </w:tc>
        <w:tc>
          <w:tcPr>
            <w:tcW w:w="5250" w:type="dxa"/>
            <w:gridSpan w:val="3"/>
            <w:tcBorders>
              <w:tl2br w:val="nil"/>
              <w:tr2bl w:val="nil"/>
            </w:tcBorders>
            <w:shd w:val="clear" w:color="auto" w:fill="auto"/>
            <w:vAlign w:val="center"/>
          </w:tcPr>
          <w:p w14:paraId="438011F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p>
        </w:tc>
        <w:tc>
          <w:tcPr>
            <w:tcW w:w="1710" w:type="dxa"/>
            <w:tcBorders>
              <w:tl2br w:val="nil"/>
              <w:tr2bl w:val="nil"/>
            </w:tcBorders>
            <w:shd w:val="clear" w:color="auto" w:fill="auto"/>
            <w:vAlign w:val="center"/>
          </w:tcPr>
          <w:p w14:paraId="12A7301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0.3817 </w:t>
            </w:r>
          </w:p>
        </w:tc>
      </w:tr>
      <w:tr w14:paraId="639064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724F792E">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DA005</w:t>
            </w:r>
          </w:p>
        </w:tc>
        <w:tc>
          <w:tcPr>
            <w:tcW w:w="5250" w:type="dxa"/>
            <w:gridSpan w:val="3"/>
            <w:tcBorders>
              <w:tl2br w:val="nil"/>
              <w:tr2bl w:val="nil"/>
            </w:tcBorders>
            <w:shd w:val="clear" w:color="auto" w:fill="auto"/>
            <w:vAlign w:val="center"/>
          </w:tcPr>
          <w:p w14:paraId="4566CF6D">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1710" w:type="dxa"/>
            <w:tcBorders>
              <w:tl2br w:val="nil"/>
              <w:tr2bl w:val="nil"/>
            </w:tcBorders>
            <w:shd w:val="clear" w:color="auto" w:fill="auto"/>
            <w:vAlign w:val="center"/>
          </w:tcPr>
          <w:p w14:paraId="0B0E66C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0.0072 </w:t>
            </w:r>
          </w:p>
        </w:tc>
      </w:tr>
      <w:tr w14:paraId="7ADC82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6BD6BE5">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79229934">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1710" w:type="dxa"/>
            <w:tcBorders>
              <w:tl2br w:val="nil"/>
              <w:tr2bl w:val="nil"/>
            </w:tcBorders>
            <w:shd w:val="clear" w:color="auto" w:fill="auto"/>
            <w:vAlign w:val="center"/>
          </w:tcPr>
          <w:p w14:paraId="123699A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0.0011 </w:t>
            </w:r>
          </w:p>
        </w:tc>
      </w:tr>
      <w:tr w14:paraId="606426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4F85D8CD">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3894C9F2">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1710" w:type="dxa"/>
            <w:tcBorders>
              <w:tl2br w:val="nil"/>
              <w:tr2bl w:val="nil"/>
            </w:tcBorders>
            <w:shd w:val="clear" w:color="auto" w:fill="auto"/>
            <w:vAlign w:val="center"/>
          </w:tcPr>
          <w:p w14:paraId="2570ABD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0.0251 </w:t>
            </w:r>
          </w:p>
        </w:tc>
      </w:tr>
      <w:tr w14:paraId="7A73E3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51260200">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DA006</w:t>
            </w:r>
          </w:p>
        </w:tc>
        <w:tc>
          <w:tcPr>
            <w:tcW w:w="5250" w:type="dxa"/>
            <w:gridSpan w:val="3"/>
            <w:tcBorders>
              <w:tl2br w:val="nil"/>
              <w:tr2bl w:val="nil"/>
            </w:tcBorders>
            <w:shd w:val="clear" w:color="auto" w:fill="auto"/>
            <w:vAlign w:val="center"/>
          </w:tcPr>
          <w:p w14:paraId="709EC63B">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p>
        </w:tc>
        <w:tc>
          <w:tcPr>
            <w:tcW w:w="1710" w:type="dxa"/>
            <w:tcBorders>
              <w:tl2br w:val="nil"/>
              <w:tr2bl w:val="nil"/>
            </w:tcBorders>
            <w:shd w:val="clear" w:color="auto" w:fill="auto"/>
            <w:vAlign w:val="center"/>
          </w:tcPr>
          <w:p w14:paraId="6912204E">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0.0335 </w:t>
            </w:r>
          </w:p>
        </w:tc>
      </w:tr>
      <w:tr w14:paraId="39C595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57B656D5">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42D5D40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1710" w:type="dxa"/>
            <w:tcBorders>
              <w:tl2br w:val="nil"/>
              <w:tr2bl w:val="nil"/>
            </w:tcBorders>
            <w:shd w:val="clear" w:color="auto" w:fill="auto"/>
            <w:vAlign w:val="center"/>
          </w:tcPr>
          <w:p w14:paraId="155CEF5A">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0.0002 </w:t>
            </w:r>
          </w:p>
        </w:tc>
      </w:tr>
      <w:tr w14:paraId="550F90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9E338D4">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7106C9DF">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1710" w:type="dxa"/>
            <w:tcBorders>
              <w:tl2br w:val="nil"/>
              <w:tr2bl w:val="nil"/>
            </w:tcBorders>
            <w:shd w:val="clear" w:color="auto" w:fill="auto"/>
            <w:vAlign w:val="center"/>
          </w:tcPr>
          <w:p w14:paraId="23E3AE6A">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0.0003 </w:t>
            </w:r>
          </w:p>
        </w:tc>
      </w:tr>
      <w:tr w14:paraId="5CFDB3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122A294">
            <w:pPr>
              <w:pStyle w:val="1321"/>
              <w:rPr>
                <w:rFonts w:hint="default"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1657AC6F">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1710" w:type="dxa"/>
            <w:tcBorders>
              <w:tl2br w:val="nil"/>
              <w:tr2bl w:val="nil"/>
            </w:tcBorders>
            <w:shd w:val="clear" w:color="auto" w:fill="auto"/>
            <w:vAlign w:val="center"/>
          </w:tcPr>
          <w:p w14:paraId="762A0AEA">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0.0020 </w:t>
            </w:r>
          </w:p>
        </w:tc>
      </w:tr>
      <w:tr w14:paraId="6F0425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8897" w:type="dxa"/>
            <w:gridSpan w:val="6"/>
            <w:tcBorders>
              <w:tl2br w:val="nil"/>
              <w:tr2bl w:val="nil"/>
            </w:tcBorders>
            <w:shd w:val="clear" w:color="auto" w:fill="auto"/>
            <w:vAlign w:val="center"/>
          </w:tcPr>
          <w:p w14:paraId="1DE6AD5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有组织排放总计</w:t>
            </w:r>
          </w:p>
        </w:tc>
      </w:tr>
      <w:tr w14:paraId="4ECB8E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restart"/>
            <w:tcBorders>
              <w:tl2br w:val="nil"/>
              <w:tr2bl w:val="nil"/>
            </w:tcBorders>
            <w:shd w:val="clear" w:color="auto" w:fill="auto"/>
            <w:vAlign w:val="center"/>
          </w:tcPr>
          <w:p w14:paraId="1AF3E161">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有组织排放总计</w:t>
            </w:r>
          </w:p>
        </w:tc>
        <w:tc>
          <w:tcPr>
            <w:tcW w:w="5250" w:type="dxa"/>
            <w:gridSpan w:val="3"/>
            <w:tcBorders>
              <w:tl2br w:val="nil"/>
              <w:tr2bl w:val="nil"/>
            </w:tcBorders>
            <w:shd w:val="clear" w:color="auto" w:fill="auto"/>
            <w:vAlign w:val="center"/>
          </w:tcPr>
          <w:p w14:paraId="6D8F8314">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二甲苯</w:t>
            </w:r>
          </w:p>
        </w:tc>
        <w:tc>
          <w:tcPr>
            <w:tcW w:w="1710" w:type="dxa"/>
            <w:tcBorders>
              <w:tl2br w:val="nil"/>
              <w:tr2bl w:val="nil"/>
            </w:tcBorders>
            <w:shd w:val="clear" w:color="auto" w:fill="auto"/>
            <w:vAlign w:val="center"/>
          </w:tcPr>
          <w:p w14:paraId="688B54E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0.3719 </w:t>
            </w:r>
          </w:p>
        </w:tc>
      </w:tr>
      <w:tr w14:paraId="4C45EA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24E2139F">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090D83A8">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乙酸丁酯</w:t>
            </w:r>
          </w:p>
        </w:tc>
        <w:tc>
          <w:tcPr>
            <w:tcW w:w="1710" w:type="dxa"/>
            <w:tcBorders>
              <w:tl2br w:val="nil"/>
              <w:tr2bl w:val="nil"/>
            </w:tcBorders>
            <w:shd w:val="clear" w:color="auto" w:fill="auto"/>
            <w:vAlign w:val="center"/>
          </w:tcPr>
          <w:p w14:paraId="6768F883">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0.5796 </w:t>
            </w:r>
          </w:p>
        </w:tc>
      </w:tr>
      <w:tr w14:paraId="0E5D18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2A3BC20F">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16D38EE4">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NMHC</w:t>
            </w:r>
            <w:r>
              <w:rPr>
                <w:rFonts w:hint="eastAsia" w:ascii="Times New Roman" w:hAnsi="Times New Roman" w:eastAsia="宋体" w:cs="Times New Roman"/>
                <w:color w:val="auto"/>
                <w:highlight w:val="none"/>
                <w:lang w:val="en-US" w:eastAsia="zh-CN"/>
              </w:rPr>
              <w:t>（含乙酸丁酯）</w:t>
            </w:r>
          </w:p>
        </w:tc>
        <w:tc>
          <w:tcPr>
            <w:tcW w:w="1710" w:type="dxa"/>
            <w:tcBorders>
              <w:tl2br w:val="nil"/>
              <w:tr2bl w:val="nil"/>
            </w:tcBorders>
            <w:shd w:val="clear" w:color="auto" w:fill="auto"/>
            <w:vAlign w:val="center"/>
          </w:tcPr>
          <w:p w14:paraId="5B8C85A7">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1.2132 </w:t>
            </w:r>
          </w:p>
        </w:tc>
      </w:tr>
      <w:tr w14:paraId="0E1049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2E7CC662">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2A9E75F3">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二氧化硫</w:t>
            </w:r>
          </w:p>
        </w:tc>
        <w:tc>
          <w:tcPr>
            <w:tcW w:w="1710" w:type="dxa"/>
            <w:tcBorders>
              <w:tl2br w:val="nil"/>
              <w:tr2bl w:val="nil"/>
            </w:tcBorders>
            <w:shd w:val="clear" w:color="auto" w:fill="auto"/>
            <w:vAlign w:val="center"/>
          </w:tcPr>
          <w:p w14:paraId="1C1F73C8">
            <w:pPr>
              <w:pStyle w:val="132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0.0668 </w:t>
            </w:r>
          </w:p>
        </w:tc>
      </w:tr>
      <w:tr w14:paraId="117B9B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390C221D">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1FA15CBD">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颗粒物</w:t>
            </w:r>
          </w:p>
        </w:tc>
        <w:tc>
          <w:tcPr>
            <w:tcW w:w="1710" w:type="dxa"/>
            <w:tcBorders>
              <w:tl2br w:val="nil"/>
              <w:tr2bl w:val="nil"/>
            </w:tcBorders>
            <w:shd w:val="clear" w:color="auto" w:fill="auto"/>
            <w:vAlign w:val="center"/>
          </w:tcPr>
          <w:p w14:paraId="0682A3B9">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0.2487 </w:t>
            </w:r>
          </w:p>
        </w:tc>
      </w:tr>
      <w:tr w14:paraId="0BB128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937" w:type="dxa"/>
            <w:gridSpan w:val="2"/>
            <w:vMerge w:val="continue"/>
            <w:tcBorders>
              <w:tl2br w:val="nil"/>
              <w:tr2bl w:val="nil"/>
            </w:tcBorders>
            <w:shd w:val="clear" w:color="auto" w:fill="auto"/>
            <w:vAlign w:val="center"/>
          </w:tcPr>
          <w:p w14:paraId="7CE7A0A1">
            <w:pPr>
              <w:pStyle w:val="1321"/>
              <w:rPr>
                <w:rFonts w:hint="eastAsia" w:ascii="Times New Roman" w:hAnsi="Times New Roman" w:eastAsia="宋体" w:cs="Times New Roman"/>
                <w:color w:val="auto"/>
                <w:highlight w:val="none"/>
                <w:lang w:val="en-US" w:eastAsia="zh-CN"/>
              </w:rPr>
            </w:pPr>
          </w:p>
        </w:tc>
        <w:tc>
          <w:tcPr>
            <w:tcW w:w="5250" w:type="dxa"/>
            <w:gridSpan w:val="3"/>
            <w:tcBorders>
              <w:tl2br w:val="nil"/>
              <w:tr2bl w:val="nil"/>
            </w:tcBorders>
            <w:shd w:val="clear" w:color="auto" w:fill="auto"/>
            <w:vAlign w:val="center"/>
          </w:tcPr>
          <w:p w14:paraId="4E7FF896">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氮氧化物</w:t>
            </w:r>
          </w:p>
        </w:tc>
        <w:tc>
          <w:tcPr>
            <w:tcW w:w="1710" w:type="dxa"/>
            <w:tcBorders>
              <w:tl2br w:val="nil"/>
              <w:tr2bl w:val="nil"/>
            </w:tcBorders>
            <w:shd w:val="clear" w:color="auto" w:fill="auto"/>
            <w:noWrap/>
            <w:vAlign w:val="center"/>
          </w:tcPr>
          <w:p w14:paraId="1139B9DE">
            <w:pPr>
              <w:pStyle w:val="1321"/>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0.5825 </w:t>
            </w:r>
          </w:p>
        </w:tc>
      </w:tr>
    </w:tbl>
    <w:p w14:paraId="75520C9F">
      <w:pPr>
        <w:pStyle w:val="8"/>
        <w:bidi w:val="0"/>
        <w:rPr>
          <w:color w:val="auto"/>
          <w:highlight w:val="none"/>
        </w:rPr>
      </w:pPr>
      <w:r>
        <w:rPr>
          <w:color w:val="auto"/>
          <w:highlight w:val="none"/>
        </w:rPr>
        <w:t>表5.3-</w:t>
      </w:r>
      <w:r>
        <w:rPr>
          <w:rFonts w:hint="eastAsia"/>
          <w:color w:val="auto"/>
          <w:highlight w:val="none"/>
          <w:lang w:val="en-US" w:eastAsia="zh-CN"/>
        </w:rPr>
        <w:t>12</w:t>
      </w:r>
      <w:r>
        <w:rPr>
          <w:color w:val="auto"/>
          <w:highlight w:val="none"/>
        </w:rPr>
        <w:t xml:space="preserve">  大气污染物无组织排放量核算表</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709"/>
        <w:gridCol w:w="2190"/>
        <w:gridCol w:w="1120"/>
        <w:gridCol w:w="1819"/>
        <w:gridCol w:w="1379"/>
        <w:gridCol w:w="1226"/>
      </w:tblGrid>
      <w:tr w14:paraId="08E28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Merge w:val="restart"/>
            <w:tcBorders>
              <w:tl2br w:val="nil"/>
              <w:tr2bl w:val="nil"/>
            </w:tcBorders>
            <w:noWrap w:val="0"/>
            <w:vAlign w:val="center"/>
          </w:tcPr>
          <w:p w14:paraId="1EAE329C">
            <w:pPr>
              <w:pStyle w:val="1358"/>
              <w:rPr>
                <w:color w:val="auto"/>
                <w:highlight w:val="none"/>
              </w:rPr>
            </w:pPr>
            <w:r>
              <w:rPr>
                <w:color w:val="auto"/>
                <w:highlight w:val="none"/>
              </w:rPr>
              <w:t>序号</w:t>
            </w:r>
          </w:p>
        </w:tc>
        <w:tc>
          <w:tcPr>
            <w:tcW w:w="394" w:type="pct"/>
            <w:vMerge w:val="restart"/>
            <w:tcBorders>
              <w:tl2br w:val="nil"/>
              <w:tr2bl w:val="nil"/>
            </w:tcBorders>
            <w:noWrap w:val="0"/>
            <w:vAlign w:val="center"/>
          </w:tcPr>
          <w:p w14:paraId="514F8E4E">
            <w:pPr>
              <w:pStyle w:val="1358"/>
              <w:rPr>
                <w:color w:val="auto"/>
                <w:highlight w:val="none"/>
              </w:rPr>
            </w:pPr>
            <w:r>
              <w:rPr>
                <w:color w:val="auto"/>
                <w:highlight w:val="none"/>
              </w:rPr>
              <w:t>产污环节</w:t>
            </w:r>
          </w:p>
        </w:tc>
        <w:tc>
          <w:tcPr>
            <w:tcW w:w="1215" w:type="pct"/>
            <w:vMerge w:val="restart"/>
            <w:tcBorders>
              <w:tl2br w:val="nil"/>
              <w:tr2bl w:val="nil"/>
            </w:tcBorders>
            <w:noWrap w:val="0"/>
            <w:vAlign w:val="center"/>
          </w:tcPr>
          <w:p w14:paraId="750E63BC">
            <w:pPr>
              <w:pStyle w:val="1358"/>
              <w:rPr>
                <w:color w:val="auto"/>
                <w:highlight w:val="none"/>
              </w:rPr>
            </w:pPr>
            <w:r>
              <w:rPr>
                <w:color w:val="auto"/>
                <w:highlight w:val="none"/>
              </w:rPr>
              <w:t>污染物</w:t>
            </w:r>
          </w:p>
        </w:tc>
        <w:tc>
          <w:tcPr>
            <w:tcW w:w="622" w:type="pct"/>
            <w:vMerge w:val="restart"/>
            <w:tcBorders>
              <w:tl2br w:val="nil"/>
              <w:tr2bl w:val="nil"/>
            </w:tcBorders>
            <w:noWrap w:val="0"/>
            <w:vAlign w:val="center"/>
          </w:tcPr>
          <w:p w14:paraId="6313E199">
            <w:pPr>
              <w:pStyle w:val="1358"/>
              <w:rPr>
                <w:color w:val="auto"/>
                <w:highlight w:val="none"/>
              </w:rPr>
            </w:pPr>
            <w:r>
              <w:rPr>
                <w:color w:val="auto"/>
                <w:highlight w:val="none"/>
              </w:rPr>
              <w:t>主要污染防治措施</w:t>
            </w:r>
          </w:p>
        </w:tc>
        <w:tc>
          <w:tcPr>
            <w:tcW w:w="1776" w:type="pct"/>
            <w:gridSpan w:val="2"/>
            <w:tcBorders>
              <w:tl2br w:val="nil"/>
              <w:tr2bl w:val="nil"/>
            </w:tcBorders>
            <w:noWrap w:val="0"/>
            <w:vAlign w:val="center"/>
          </w:tcPr>
          <w:p w14:paraId="61B12AC2">
            <w:pPr>
              <w:pStyle w:val="1358"/>
              <w:rPr>
                <w:color w:val="auto"/>
                <w:highlight w:val="none"/>
              </w:rPr>
            </w:pPr>
            <w:r>
              <w:rPr>
                <w:color w:val="auto"/>
                <w:highlight w:val="none"/>
              </w:rPr>
              <w:t>国家或地方污染物排放标准</w:t>
            </w:r>
          </w:p>
        </w:tc>
        <w:tc>
          <w:tcPr>
            <w:tcW w:w="680" w:type="pct"/>
            <w:vMerge w:val="restart"/>
            <w:tcBorders>
              <w:tl2br w:val="nil"/>
              <w:tr2bl w:val="nil"/>
            </w:tcBorders>
            <w:noWrap w:val="0"/>
            <w:vAlign w:val="center"/>
          </w:tcPr>
          <w:p w14:paraId="609AD409">
            <w:pPr>
              <w:pStyle w:val="1358"/>
              <w:rPr>
                <w:color w:val="auto"/>
                <w:highlight w:val="none"/>
              </w:rPr>
            </w:pPr>
            <w:r>
              <w:rPr>
                <w:color w:val="auto"/>
                <w:highlight w:val="none"/>
              </w:rPr>
              <w:t>排放量（t/a）</w:t>
            </w:r>
          </w:p>
        </w:tc>
      </w:tr>
      <w:tr w14:paraId="2EED3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Merge w:val="continue"/>
            <w:tcBorders>
              <w:tl2br w:val="nil"/>
              <w:tr2bl w:val="nil"/>
            </w:tcBorders>
            <w:noWrap w:val="0"/>
            <w:vAlign w:val="center"/>
          </w:tcPr>
          <w:p w14:paraId="36551D65">
            <w:pPr>
              <w:pStyle w:val="1358"/>
              <w:rPr>
                <w:color w:val="auto"/>
                <w:highlight w:val="none"/>
              </w:rPr>
            </w:pPr>
          </w:p>
        </w:tc>
        <w:tc>
          <w:tcPr>
            <w:tcW w:w="394" w:type="pct"/>
            <w:vMerge w:val="continue"/>
            <w:tcBorders>
              <w:tl2br w:val="nil"/>
              <w:tr2bl w:val="nil"/>
            </w:tcBorders>
            <w:noWrap w:val="0"/>
            <w:vAlign w:val="center"/>
          </w:tcPr>
          <w:p w14:paraId="67968A92">
            <w:pPr>
              <w:pStyle w:val="1358"/>
              <w:rPr>
                <w:color w:val="auto"/>
                <w:highlight w:val="none"/>
              </w:rPr>
            </w:pPr>
          </w:p>
        </w:tc>
        <w:tc>
          <w:tcPr>
            <w:tcW w:w="1215" w:type="pct"/>
            <w:vMerge w:val="continue"/>
            <w:tcBorders>
              <w:tl2br w:val="nil"/>
              <w:tr2bl w:val="nil"/>
            </w:tcBorders>
            <w:noWrap w:val="0"/>
            <w:vAlign w:val="center"/>
          </w:tcPr>
          <w:p w14:paraId="283FB6B3">
            <w:pPr>
              <w:pStyle w:val="1358"/>
              <w:rPr>
                <w:color w:val="auto"/>
                <w:highlight w:val="none"/>
              </w:rPr>
            </w:pPr>
          </w:p>
        </w:tc>
        <w:tc>
          <w:tcPr>
            <w:tcW w:w="622" w:type="pct"/>
            <w:vMerge w:val="continue"/>
            <w:tcBorders>
              <w:tl2br w:val="nil"/>
              <w:tr2bl w:val="nil"/>
            </w:tcBorders>
            <w:noWrap w:val="0"/>
            <w:vAlign w:val="center"/>
          </w:tcPr>
          <w:p w14:paraId="7726F765">
            <w:pPr>
              <w:pStyle w:val="1358"/>
              <w:rPr>
                <w:color w:val="auto"/>
                <w:highlight w:val="none"/>
              </w:rPr>
            </w:pPr>
          </w:p>
        </w:tc>
        <w:tc>
          <w:tcPr>
            <w:tcW w:w="1010" w:type="pct"/>
            <w:tcBorders>
              <w:tl2br w:val="nil"/>
              <w:tr2bl w:val="nil"/>
            </w:tcBorders>
            <w:noWrap w:val="0"/>
            <w:vAlign w:val="center"/>
          </w:tcPr>
          <w:p w14:paraId="351446CA">
            <w:pPr>
              <w:pStyle w:val="1358"/>
              <w:rPr>
                <w:color w:val="auto"/>
                <w:highlight w:val="none"/>
              </w:rPr>
            </w:pPr>
            <w:r>
              <w:rPr>
                <w:color w:val="auto"/>
                <w:highlight w:val="none"/>
              </w:rPr>
              <w:t>标准名称</w:t>
            </w:r>
          </w:p>
        </w:tc>
        <w:tc>
          <w:tcPr>
            <w:tcW w:w="765" w:type="pct"/>
            <w:tcBorders>
              <w:tl2br w:val="nil"/>
              <w:tr2bl w:val="nil"/>
            </w:tcBorders>
            <w:noWrap w:val="0"/>
            <w:vAlign w:val="center"/>
          </w:tcPr>
          <w:p w14:paraId="26CC961B">
            <w:pPr>
              <w:pStyle w:val="1358"/>
              <w:rPr>
                <w:color w:val="auto"/>
                <w:highlight w:val="none"/>
              </w:rPr>
            </w:pPr>
            <w:r>
              <w:rPr>
                <w:color w:val="auto"/>
                <w:highlight w:val="none"/>
              </w:rPr>
              <w:t>浓度限值</w:t>
            </w:r>
          </w:p>
          <w:p w14:paraId="673B863A">
            <w:pPr>
              <w:pStyle w:val="1358"/>
              <w:rPr>
                <w:color w:val="auto"/>
                <w:highlight w:val="none"/>
              </w:rPr>
            </w:pPr>
            <w:r>
              <w:rPr>
                <w:color w:val="auto"/>
                <w:highlight w:val="none"/>
              </w:rPr>
              <w:t>（mg/m</w:t>
            </w:r>
            <w:r>
              <w:rPr>
                <w:color w:val="auto"/>
                <w:highlight w:val="none"/>
                <w:vertAlign w:val="superscript"/>
              </w:rPr>
              <w:t>3</w:t>
            </w:r>
            <w:r>
              <w:rPr>
                <w:color w:val="auto"/>
                <w:highlight w:val="none"/>
              </w:rPr>
              <w:t>）</w:t>
            </w:r>
          </w:p>
        </w:tc>
        <w:tc>
          <w:tcPr>
            <w:tcW w:w="680" w:type="pct"/>
            <w:vMerge w:val="continue"/>
            <w:tcBorders>
              <w:tl2br w:val="nil"/>
              <w:tr2bl w:val="nil"/>
            </w:tcBorders>
            <w:noWrap w:val="0"/>
            <w:vAlign w:val="center"/>
          </w:tcPr>
          <w:p w14:paraId="23B43BB9">
            <w:pPr>
              <w:pStyle w:val="1358"/>
              <w:rPr>
                <w:color w:val="auto"/>
                <w:highlight w:val="none"/>
              </w:rPr>
            </w:pPr>
          </w:p>
        </w:tc>
      </w:tr>
      <w:tr w14:paraId="505A7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71BF7257">
            <w:pPr>
              <w:pStyle w:val="1358"/>
              <w:rPr>
                <w:rFonts w:hint="default" w:eastAsia="宋体"/>
                <w:color w:val="auto"/>
                <w:highlight w:val="none"/>
                <w:lang w:val="en-US" w:eastAsia="zh-CN"/>
              </w:rPr>
            </w:pPr>
            <w:r>
              <w:rPr>
                <w:rFonts w:hint="default" w:eastAsia="宋体"/>
                <w:color w:val="auto"/>
                <w:highlight w:val="none"/>
                <w:lang w:val="en-US" w:eastAsia="zh-CN"/>
              </w:rPr>
              <w:t>1</w:t>
            </w:r>
          </w:p>
        </w:tc>
        <w:tc>
          <w:tcPr>
            <w:tcW w:w="394" w:type="pct"/>
            <w:vMerge w:val="restart"/>
            <w:tcBorders>
              <w:tl2br w:val="nil"/>
              <w:tr2bl w:val="nil"/>
            </w:tcBorders>
            <w:noWrap w:val="0"/>
            <w:vAlign w:val="center"/>
          </w:tcPr>
          <w:p w14:paraId="20C31B5C">
            <w:pPr>
              <w:pStyle w:val="1358"/>
              <w:rPr>
                <w:rFonts w:hint="default" w:eastAsia="宋体"/>
                <w:color w:val="auto"/>
                <w:highlight w:val="none"/>
                <w:lang w:val="en-US" w:eastAsia="zh-CN"/>
              </w:rPr>
            </w:pPr>
            <w:r>
              <w:rPr>
                <w:rFonts w:hint="eastAsia" w:eastAsia="宋体"/>
                <w:color w:val="auto"/>
                <w:highlight w:val="none"/>
                <w:lang w:val="en-US" w:eastAsia="zh-CN"/>
              </w:rPr>
              <w:t>A库厂房</w:t>
            </w:r>
          </w:p>
        </w:tc>
        <w:tc>
          <w:tcPr>
            <w:tcW w:w="1215" w:type="pct"/>
            <w:tcBorders>
              <w:tl2br w:val="nil"/>
              <w:tr2bl w:val="nil"/>
            </w:tcBorders>
            <w:noWrap w:val="0"/>
            <w:vAlign w:val="center"/>
          </w:tcPr>
          <w:p w14:paraId="6B4A41BC">
            <w:pPr>
              <w:pStyle w:val="1358"/>
              <w:rPr>
                <w:rFonts w:hint="default" w:eastAsia="宋体"/>
                <w:color w:val="auto"/>
                <w:highlight w:val="none"/>
                <w:lang w:val="en-US" w:eastAsia="zh-CN"/>
              </w:rPr>
            </w:pPr>
            <w:r>
              <w:rPr>
                <w:rFonts w:hint="eastAsia" w:eastAsia="宋体"/>
                <w:color w:val="auto"/>
                <w:highlight w:val="none"/>
                <w:lang w:val="en-US" w:eastAsia="zh-CN"/>
              </w:rPr>
              <w:t>漆雾（颗粒物）</w:t>
            </w:r>
          </w:p>
        </w:tc>
        <w:tc>
          <w:tcPr>
            <w:tcW w:w="622" w:type="pct"/>
            <w:vMerge w:val="restart"/>
            <w:tcBorders>
              <w:tl2br w:val="nil"/>
              <w:tr2bl w:val="nil"/>
            </w:tcBorders>
            <w:noWrap w:val="0"/>
            <w:vAlign w:val="center"/>
          </w:tcPr>
          <w:p w14:paraId="71C82866">
            <w:pPr>
              <w:pStyle w:val="1358"/>
              <w:rPr>
                <w:rFonts w:hint="default" w:eastAsia="宋体"/>
                <w:color w:val="auto"/>
                <w:highlight w:val="none"/>
                <w:lang w:val="en-US" w:eastAsia="zh-CN"/>
              </w:rPr>
            </w:pPr>
            <w:r>
              <w:rPr>
                <w:rFonts w:hint="default" w:eastAsia="宋体"/>
                <w:color w:val="auto"/>
                <w:highlight w:val="none"/>
                <w:lang w:val="en-US" w:eastAsia="zh-CN"/>
              </w:rPr>
              <w:t>加强集气效率</w:t>
            </w:r>
          </w:p>
        </w:tc>
        <w:tc>
          <w:tcPr>
            <w:tcW w:w="1010" w:type="pct"/>
            <w:tcBorders>
              <w:tl2br w:val="nil"/>
              <w:tr2bl w:val="nil"/>
            </w:tcBorders>
            <w:noWrap w:val="0"/>
            <w:vAlign w:val="center"/>
          </w:tcPr>
          <w:p w14:paraId="0AC52169">
            <w:pPr>
              <w:pStyle w:val="1358"/>
              <w:rPr>
                <w:rFonts w:hint="default" w:eastAsia="宋体"/>
                <w:b/>
                <w:bCs/>
                <w:color w:val="auto"/>
                <w:highlight w:val="none"/>
                <w:lang w:val="en-US" w:eastAsia="zh-CN"/>
              </w:rPr>
            </w:pPr>
            <w:r>
              <w:rPr>
                <w:rFonts w:ascii="Times New Roman" w:hAnsi="Times New Roman" w:eastAsia="宋体" w:cs="Times New Roman"/>
                <w:b w:val="0"/>
                <w:bCs/>
                <w:color w:val="auto"/>
                <w:kern w:val="0"/>
                <w:sz w:val="21"/>
                <w:szCs w:val="22"/>
                <w:highlight w:val="none"/>
                <w:lang w:eastAsia="en-US"/>
              </w:rPr>
              <w:t>GB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16297-1996</w:t>
            </w:r>
          </w:p>
        </w:tc>
        <w:tc>
          <w:tcPr>
            <w:tcW w:w="765" w:type="pct"/>
            <w:tcBorders>
              <w:tl2br w:val="nil"/>
              <w:tr2bl w:val="nil"/>
            </w:tcBorders>
            <w:noWrap w:val="0"/>
            <w:vAlign w:val="center"/>
          </w:tcPr>
          <w:p w14:paraId="428DDBA9">
            <w:pPr>
              <w:pStyle w:val="1358"/>
              <w:rPr>
                <w:rFonts w:hint="default" w:eastAsia="宋体"/>
                <w:color w:val="auto"/>
                <w:highlight w:val="none"/>
                <w:lang w:val="en-US" w:eastAsia="zh-CN"/>
              </w:rPr>
            </w:pPr>
            <w:r>
              <w:rPr>
                <w:rFonts w:hint="eastAsia"/>
                <w:color w:val="auto"/>
                <w:highlight w:val="none"/>
                <w:lang w:val="en-US" w:eastAsia="zh-CN"/>
              </w:rPr>
              <w:t>1.0</w:t>
            </w:r>
          </w:p>
        </w:tc>
        <w:tc>
          <w:tcPr>
            <w:tcW w:w="680" w:type="pct"/>
            <w:tcBorders>
              <w:tl2br w:val="nil"/>
              <w:tr2bl w:val="nil"/>
            </w:tcBorders>
            <w:noWrap w:val="0"/>
            <w:vAlign w:val="center"/>
          </w:tcPr>
          <w:p w14:paraId="754DBA37">
            <w:pPr>
              <w:pStyle w:val="1358"/>
              <w:rPr>
                <w:rFonts w:hint="eastAsia" w:eastAsia="宋体"/>
                <w:color w:val="auto"/>
                <w:highlight w:val="none"/>
                <w:lang w:val="en-US" w:eastAsia="zh-CN"/>
              </w:rPr>
            </w:pPr>
            <w:r>
              <w:rPr>
                <w:rFonts w:hint="default" w:eastAsia="宋体"/>
                <w:color w:val="auto"/>
                <w:highlight w:val="none"/>
                <w:lang w:val="en-US" w:eastAsia="zh-CN"/>
              </w:rPr>
              <w:t xml:space="preserve">1.8249 </w:t>
            </w:r>
          </w:p>
        </w:tc>
      </w:tr>
      <w:tr w14:paraId="11A73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6E5D0B72">
            <w:pPr>
              <w:pStyle w:val="1358"/>
              <w:rPr>
                <w:rFonts w:hint="eastAsia" w:eastAsia="宋体"/>
                <w:color w:val="auto"/>
                <w:highlight w:val="none"/>
                <w:lang w:val="en-US" w:eastAsia="zh-CN"/>
              </w:rPr>
            </w:pPr>
            <w:r>
              <w:rPr>
                <w:rFonts w:hint="eastAsia" w:eastAsia="宋体"/>
                <w:color w:val="auto"/>
                <w:highlight w:val="none"/>
                <w:lang w:val="en-US" w:eastAsia="zh-CN"/>
              </w:rPr>
              <w:t>2</w:t>
            </w:r>
          </w:p>
        </w:tc>
        <w:tc>
          <w:tcPr>
            <w:tcW w:w="394" w:type="pct"/>
            <w:vMerge w:val="continue"/>
            <w:tcBorders>
              <w:tl2br w:val="nil"/>
              <w:tr2bl w:val="nil"/>
            </w:tcBorders>
            <w:noWrap w:val="0"/>
            <w:vAlign w:val="center"/>
          </w:tcPr>
          <w:p w14:paraId="5F9D19A6">
            <w:pPr>
              <w:pStyle w:val="1358"/>
              <w:rPr>
                <w:rFonts w:hint="eastAsia" w:eastAsia="宋体"/>
                <w:color w:val="auto"/>
                <w:highlight w:val="none"/>
                <w:lang w:val="en-US" w:eastAsia="zh-CN"/>
              </w:rPr>
            </w:pPr>
          </w:p>
        </w:tc>
        <w:tc>
          <w:tcPr>
            <w:tcW w:w="1215" w:type="pct"/>
            <w:tcBorders>
              <w:tl2br w:val="nil"/>
              <w:tr2bl w:val="nil"/>
            </w:tcBorders>
            <w:noWrap w:val="0"/>
            <w:vAlign w:val="center"/>
          </w:tcPr>
          <w:p w14:paraId="43DCB34A">
            <w:pPr>
              <w:pStyle w:val="1358"/>
              <w:rPr>
                <w:rFonts w:hint="default" w:eastAsia="宋体"/>
                <w:color w:val="auto"/>
                <w:highlight w:val="none"/>
                <w:lang w:val="en-US" w:eastAsia="zh-CN"/>
              </w:rPr>
            </w:pPr>
            <w:r>
              <w:rPr>
                <w:rFonts w:hint="eastAsia" w:eastAsia="宋体"/>
                <w:color w:val="auto"/>
                <w:highlight w:val="none"/>
                <w:lang w:val="en-US" w:eastAsia="zh-CN"/>
              </w:rPr>
              <w:t>二甲苯</w:t>
            </w:r>
          </w:p>
        </w:tc>
        <w:tc>
          <w:tcPr>
            <w:tcW w:w="622" w:type="pct"/>
            <w:vMerge w:val="continue"/>
            <w:tcBorders>
              <w:tl2br w:val="nil"/>
              <w:tr2bl w:val="nil"/>
            </w:tcBorders>
            <w:noWrap w:val="0"/>
            <w:vAlign w:val="center"/>
          </w:tcPr>
          <w:p w14:paraId="0A8A27C8">
            <w:pPr>
              <w:pStyle w:val="1358"/>
              <w:rPr>
                <w:rFonts w:hint="default" w:eastAsia="宋体"/>
                <w:color w:val="auto"/>
                <w:highlight w:val="none"/>
                <w:lang w:val="en-US" w:eastAsia="zh-CN"/>
              </w:rPr>
            </w:pPr>
          </w:p>
        </w:tc>
        <w:tc>
          <w:tcPr>
            <w:tcW w:w="1010" w:type="pct"/>
            <w:tcBorders>
              <w:tl2br w:val="nil"/>
              <w:tr2bl w:val="nil"/>
            </w:tcBorders>
            <w:noWrap w:val="0"/>
            <w:vAlign w:val="center"/>
          </w:tcPr>
          <w:p w14:paraId="5EF0A813">
            <w:pPr>
              <w:pStyle w:val="1358"/>
              <w:rPr>
                <w:rFonts w:hint="default" w:eastAsia="宋体"/>
                <w:color w:val="auto"/>
                <w:highlight w:val="none"/>
                <w:lang w:val="en-US" w:eastAsia="zh-CN"/>
              </w:rPr>
            </w:pPr>
            <w:r>
              <w:rPr>
                <w:rFonts w:ascii="Times New Roman" w:hAnsi="Times New Roman" w:eastAsia="宋体" w:cs="Times New Roman"/>
                <w:b w:val="0"/>
                <w:bCs/>
                <w:color w:val="auto"/>
                <w:kern w:val="0"/>
                <w:sz w:val="21"/>
                <w:szCs w:val="22"/>
                <w:highlight w:val="none"/>
                <w:lang w:eastAsia="en-US"/>
              </w:rPr>
              <w:t>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765" w:type="pct"/>
            <w:tcBorders>
              <w:tl2br w:val="nil"/>
              <w:tr2bl w:val="nil"/>
            </w:tcBorders>
            <w:noWrap w:val="0"/>
            <w:vAlign w:val="center"/>
          </w:tcPr>
          <w:p w14:paraId="7018012C">
            <w:pPr>
              <w:pStyle w:val="1358"/>
              <w:rPr>
                <w:rFonts w:hint="default" w:eastAsia="宋体"/>
                <w:color w:val="auto"/>
                <w:highlight w:val="none"/>
                <w:lang w:val="en-US" w:eastAsia="zh-CN"/>
              </w:rPr>
            </w:pPr>
            <w:r>
              <w:rPr>
                <w:rFonts w:hint="eastAsia"/>
                <w:color w:val="auto"/>
                <w:highlight w:val="none"/>
                <w:lang w:val="en-US" w:eastAsia="zh-CN"/>
              </w:rPr>
              <w:t>0.2</w:t>
            </w:r>
          </w:p>
        </w:tc>
        <w:tc>
          <w:tcPr>
            <w:tcW w:w="680" w:type="pct"/>
            <w:tcBorders>
              <w:tl2br w:val="nil"/>
              <w:tr2bl w:val="nil"/>
            </w:tcBorders>
            <w:noWrap w:val="0"/>
            <w:vAlign w:val="center"/>
          </w:tcPr>
          <w:p w14:paraId="7E38E83A">
            <w:pPr>
              <w:pStyle w:val="1358"/>
              <w:rPr>
                <w:rFonts w:hint="eastAsia" w:eastAsia="宋体"/>
                <w:color w:val="auto"/>
                <w:highlight w:val="none"/>
                <w:lang w:val="en-US" w:eastAsia="zh-CN"/>
              </w:rPr>
            </w:pPr>
            <w:r>
              <w:rPr>
                <w:rFonts w:hint="default" w:eastAsia="宋体"/>
                <w:color w:val="auto"/>
                <w:highlight w:val="none"/>
                <w:lang w:val="en-US" w:eastAsia="zh-CN"/>
              </w:rPr>
              <w:t xml:space="preserve">1.3860 </w:t>
            </w:r>
          </w:p>
        </w:tc>
      </w:tr>
      <w:tr w14:paraId="1B369D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4AA74895">
            <w:pPr>
              <w:pStyle w:val="1358"/>
              <w:rPr>
                <w:rFonts w:hint="eastAsia" w:eastAsia="宋体"/>
                <w:color w:val="auto"/>
                <w:highlight w:val="none"/>
                <w:lang w:val="en-US" w:eastAsia="zh-CN"/>
              </w:rPr>
            </w:pPr>
            <w:r>
              <w:rPr>
                <w:rFonts w:hint="eastAsia" w:eastAsia="宋体"/>
                <w:color w:val="auto"/>
                <w:highlight w:val="none"/>
                <w:lang w:val="en-US" w:eastAsia="zh-CN"/>
              </w:rPr>
              <w:t>3</w:t>
            </w:r>
          </w:p>
        </w:tc>
        <w:tc>
          <w:tcPr>
            <w:tcW w:w="394" w:type="pct"/>
            <w:vMerge w:val="continue"/>
            <w:tcBorders>
              <w:tl2br w:val="nil"/>
              <w:tr2bl w:val="nil"/>
            </w:tcBorders>
            <w:noWrap w:val="0"/>
            <w:vAlign w:val="center"/>
          </w:tcPr>
          <w:p w14:paraId="46DCF2DC">
            <w:pPr>
              <w:pStyle w:val="1358"/>
              <w:rPr>
                <w:rFonts w:hint="eastAsia" w:eastAsia="宋体"/>
                <w:color w:val="auto"/>
                <w:highlight w:val="none"/>
                <w:lang w:val="en-US" w:eastAsia="zh-CN"/>
              </w:rPr>
            </w:pPr>
          </w:p>
        </w:tc>
        <w:tc>
          <w:tcPr>
            <w:tcW w:w="1215" w:type="pct"/>
            <w:tcBorders>
              <w:tl2br w:val="nil"/>
              <w:tr2bl w:val="nil"/>
            </w:tcBorders>
            <w:noWrap w:val="0"/>
            <w:vAlign w:val="center"/>
          </w:tcPr>
          <w:p w14:paraId="64649005">
            <w:pPr>
              <w:pStyle w:val="1358"/>
              <w:rPr>
                <w:rFonts w:hint="default" w:eastAsia="宋体"/>
                <w:color w:val="auto"/>
                <w:highlight w:val="none"/>
                <w:lang w:val="en-US" w:eastAsia="zh-CN"/>
              </w:rPr>
            </w:pPr>
            <w:r>
              <w:rPr>
                <w:rFonts w:hint="eastAsia" w:eastAsia="宋体"/>
                <w:color w:val="auto"/>
                <w:highlight w:val="none"/>
                <w:lang w:val="en-US" w:eastAsia="zh-CN"/>
              </w:rPr>
              <w:t>乙酸丁酯</w:t>
            </w:r>
          </w:p>
        </w:tc>
        <w:tc>
          <w:tcPr>
            <w:tcW w:w="622" w:type="pct"/>
            <w:vMerge w:val="continue"/>
            <w:tcBorders>
              <w:tl2br w:val="nil"/>
              <w:tr2bl w:val="nil"/>
            </w:tcBorders>
            <w:noWrap w:val="0"/>
            <w:vAlign w:val="center"/>
          </w:tcPr>
          <w:p w14:paraId="5C58B554">
            <w:pPr>
              <w:pStyle w:val="1358"/>
              <w:rPr>
                <w:rFonts w:hint="default" w:eastAsia="宋体"/>
                <w:color w:val="auto"/>
                <w:highlight w:val="none"/>
                <w:lang w:val="en-US" w:eastAsia="zh-CN"/>
              </w:rPr>
            </w:pPr>
          </w:p>
        </w:tc>
        <w:tc>
          <w:tcPr>
            <w:tcW w:w="1010" w:type="pct"/>
            <w:tcBorders>
              <w:tl2br w:val="nil"/>
              <w:tr2bl w:val="nil"/>
            </w:tcBorders>
            <w:noWrap w:val="0"/>
            <w:vAlign w:val="center"/>
          </w:tcPr>
          <w:p w14:paraId="2255F63E">
            <w:pPr>
              <w:pStyle w:val="1358"/>
              <w:rPr>
                <w:rFonts w:hint="default" w:eastAsia="宋体"/>
                <w:color w:val="auto"/>
                <w:highlight w:val="none"/>
                <w:lang w:val="en-US" w:eastAsia="zh-CN"/>
              </w:rPr>
            </w:pPr>
            <w:r>
              <w:rPr>
                <w:rFonts w:ascii="Times New Roman" w:hAnsi="Times New Roman" w:eastAsia="宋体" w:cs="Times New Roman"/>
                <w:b w:val="0"/>
                <w:bCs/>
                <w:color w:val="auto"/>
                <w:kern w:val="0"/>
                <w:sz w:val="21"/>
                <w:szCs w:val="22"/>
                <w:highlight w:val="none"/>
                <w:lang w:eastAsia="en-US"/>
              </w:rPr>
              <w:t>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765" w:type="pct"/>
            <w:tcBorders>
              <w:tl2br w:val="nil"/>
              <w:tr2bl w:val="nil"/>
            </w:tcBorders>
            <w:noWrap w:val="0"/>
            <w:vAlign w:val="center"/>
          </w:tcPr>
          <w:p w14:paraId="367693CB">
            <w:pPr>
              <w:pStyle w:val="1358"/>
              <w:rPr>
                <w:rFonts w:hint="default" w:eastAsia="宋体"/>
                <w:color w:val="auto"/>
                <w:highlight w:val="none"/>
                <w:lang w:val="en-US" w:eastAsia="zh-CN"/>
              </w:rPr>
            </w:pPr>
            <w:r>
              <w:rPr>
                <w:rFonts w:hint="eastAsia"/>
                <w:color w:val="auto"/>
                <w:highlight w:val="none"/>
                <w:lang w:val="en-US" w:eastAsia="zh-CN"/>
              </w:rPr>
              <w:t>1.0</w:t>
            </w:r>
          </w:p>
        </w:tc>
        <w:tc>
          <w:tcPr>
            <w:tcW w:w="680" w:type="pct"/>
            <w:tcBorders>
              <w:tl2br w:val="nil"/>
              <w:tr2bl w:val="nil"/>
            </w:tcBorders>
            <w:noWrap w:val="0"/>
            <w:vAlign w:val="center"/>
          </w:tcPr>
          <w:p w14:paraId="188C46F6">
            <w:pPr>
              <w:pStyle w:val="1358"/>
              <w:rPr>
                <w:rFonts w:hint="eastAsia" w:eastAsia="宋体"/>
                <w:color w:val="auto"/>
                <w:highlight w:val="none"/>
                <w:lang w:val="en-US" w:eastAsia="zh-CN"/>
              </w:rPr>
            </w:pPr>
            <w:r>
              <w:rPr>
                <w:rFonts w:hint="default" w:eastAsia="宋体"/>
                <w:color w:val="auto"/>
                <w:highlight w:val="none"/>
                <w:lang w:val="en-US" w:eastAsia="zh-CN"/>
              </w:rPr>
              <w:t xml:space="preserve">2.0479 </w:t>
            </w:r>
          </w:p>
        </w:tc>
      </w:tr>
      <w:tr w14:paraId="6DDE4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53212A3E">
            <w:pPr>
              <w:pStyle w:val="1358"/>
              <w:rPr>
                <w:rFonts w:hint="eastAsia" w:eastAsia="宋体"/>
                <w:color w:val="auto"/>
                <w:highlight w:val="none"/>
                <w:lang w:val="en-US" w:eastAsia="zh-CN"/>
              </w:rPr>
            </w:pPr>
            <w:r>
              <w:rPr>
                <w:rFonts w:hint="eastAsia" w:eastAsia="宋体"/>
                <w:color w:val="auto"/>
                <w:highlight w:val="none"/>
                <w:lang w:val="en-US" w:eastAsia="zh-CN"/>
              </w:rPr>
              <w:t>4</w:t>
            </w:r>
          </w:p>
        </w:tc>
        <w:tc>
          <w:tcPr>
            <w:tcW w:w="394" w:type="pct"/>
            <w:vMerge w:val="continue"/>
            <w:tcBorders>
              <w:tl2br w:val="nil"/>
              <w:tr2bl w:val="nil"/>
            </w:tcBorders>
            <w:noWrap w:val="0"/>
            <w:vAlign w:val="center"/>
          </w:tcPr>
          <w:p w14:paraId="10ECB485">
            <w:pPr>
              <w:pStyle w:val="1358"/>
              <w:rPr>
                <w:rFonts w:hint="eastAsia" w:eastAsia="宋体"/>
                <w:color w:val="auto"/>
                <w:highlight w:val="none"/>
                <w:lang w:val="en-US" w:eastAsia="zh-CN"/>
              </w:rPr>
            </w:pPr>
          </w:p>
        </w:tc>
        <w:tc>
          <w:tcPr>
            <w:tcW w:w="1215" w:type="pct"/>
            <w:tcBorders>
              <w:tl2br w:val="nil"/>
              <w:tr2bl w:val="nil"/>
            </w:tcBorders>
            <w:noWrap w:val="0"/>
            <w:vAlign w:val="center"/>
          </w:tcPr>
          <w:p w14:paraId="3011A713">
            <w:pPr>
              <w:pStyle w:val="1358"/>
              <w:rPr>
                <w:rFonts w:hint="default" w:eastAsia="宋体"/>
                <w:color w:val="auto"/>
                <w:highlight w:val="none"/>
                <w:lang w:val="en-US" w:eastAsia="zh-CN"/>
              </w:rPr>
            </w:pPr>
            <w:r>
              <w:rPr>
                <w:rFonts w:hint="eastAsia" w:eastAsia="宋体"/>
                <w:color w:val="auto"/>
                <w:highlight w:val="none"/>
                <w:lang w:val="en-US" w:eastAsia="zh-CN"/>
              </w:rPr>
              <w:t>NMHC（含乙酸丁酯）</w:t>
            </w:r>
          </w:p>
        </w:tc>
        <w:tc>
          <w:tcPr>
            <w:tcW w:w="622" w:type="pct"/>
            <w:vMerge w:val="continue"/>
            <w:tcBorders>
              <w:tl2br w:val="nil"/>
              <w:tr2bl w:val="nil"/>
            </w:tcBorders>
            <w:noWrap w:val="0"/>
            <w:vAlign w:val="center"/>
          </w:tcPr>
          <w:p w14:paraId="3D78E634">
            <w:pPr>
              <w:pStyle w:val="1358"/>
              <w:rPr>
                <w:rFonts w:hint="default" w:eastAsia="宋体"/>
                <w:color w:val="auto"/>
                <w:highlight w:val="none"/>
                <w:lang w:val="en-US" w:eastAsia="zh-CN"/>
              </w:rPr>
            </w:pPr>
          </w:p>
        </w:tc>
        <w:tc>
          <w:tcPr>
            <w:tcW w:w="1010" w:type="pct"/>
            <w:tcBorders>
              <w:tl2br w:val="nil"/>
              <w:tr2bl w:val="nil"/>
            </w:tcBorders>
            <w:noWrap w:val="0"/>
            <w:vAlign w:val="center"/>
          </w:tcPr>
          <w:p w14:paraId="62190B8F">
            <w:pPr>
              <w:pStyle w:val="1358"/>
              <w:rPr>
                <w:rFonts w:hint="default" w:eastAsia="宋体"/>
                <w:color w:val="auto"/>
                <w:highlight w:val="none"/>
                <w:lang w:val="en-US" w:eastAsia="zh-CN"/>
              </w:rPr>
            </w:pPr>
            <w:r>
              <w:rPr>
                <w:rFonts w:ascii="Times New Roman" w:hAnsi="Times New Roman" w:eastAsia="宋体" w:cs="Times New Roman"/>
                <w:b w:val="0"/>
                <w:bCs/>
                <w:color w:val="auto"/>
                <w:kern w:val="0"/>
                <w:sz w:val="21"/>
                <w:szCs w:val="22"/>
                <w:highlight w:val="none"/>
                <w:lang w:eastAsia="en-US"/>
              </w:rPr>
              <w:t>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765" w:type="pct"/>
            <w:tcBorders>
              <w:tl2br w:val="nil"/>
              <w:tr2bl w:val="nil"/>
            </w:tcBorders>
            <w:noWrap w:val="0"/>
            <w:vAlign w:val="center"/>
          </w:tcPr>
          <w:p w14:paraId="49B2BDDB">
            <w:pPr>
              <w:pStyle w:val="1358"/>
              <w:rPr>
                <w:rFonts w:hint="default" w:eastAsia="宋体"/>
                <w:color w:val="auto"/>
                <w:highlight w:val="none"/>
                <w:lang w:val="en-US" w:eastAsia="zh-CN"/>
              </w:rPr>
            </w:pPr>
            <w:r>
              <w:rPr>
                <w:rFonts w:hint="eastAsia"/>
                <w:color w:val="auto"/>
                <w:highlight w:val="none"/>
                <w:lang w:val="en-US" w:eastAsia="zh-CN"/>
              </w:rPr>
              <w:t>2.0</w:t>
            </w:r>
          </w:p>
        </w:tc>
        <w:tc>
          <w:tcPr>
            <w:tcW w:w="680" w:type="pct"/>
            <w:tcBorders>
              <w:tl2br w:val="nil"/>
              <w:tr2bl w:val="nil"/>
            </w:tcBorders>
            <w:noWrap w:val="0"/>
            <w:vAlign w:val="center"/>
          </w:tcPr>
          <w:p w14:paraId="32BC506A">
            <w:pPr>
              <w:pStyle w:val="1358"/>
              <w:rPr>
                <w:rFonts w:hint="eastAsia" w:eastAsia="宋体"/>
                <w:color w:val="auto"/>
                <w:highlight w:val="none"/>
                <w:lang w:val="en-US" w:eastAsia="zh-CN"/>
              </w:rPr>
            </w:pPr>
            <w:r>
              <w:rPr>
                <w:rFonts w:hint="default" w:eastAsia="宋体"/>
                <w:color w:val="auto"/>
                <w:highlight w:val="none"/>
                <w:lang w:val="en-US" w:eastAsia="zh-CN"/>
              </w:rPr>
              <w:t xml:space="preserve">2.8073 </w:t>
            </w:r>
          </w:p>
        </w:tc>
      </w:tr>
      <w:tr w14:paraId="1C0253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3C93938C">
            <w:pPr>
              <w:pStyle w:val="1358"/>
              <w:rPr>
                <w:rFonts w:hint="default" w:eastAsia="宋体"/>
                <w:color w:val="auto"/>
                <w:highlight w:val="none"/>
                <w:lang w:val="en-US" w:eastAsia="zh-CN"/>
              </w:rPr>
            </w:pPr>
            <w:r>
              <w:rPr>
                <w:rFonts w:hint="eastAsia" w:eastAsia="宋体"/>
                <w:color w:val="auto"/>
                <w:highlight w:val="none"/>
                <w:lang w:val="en-US" w:eastAsia="zh-CN"/>
              </w:rPr>
              <w:t>1</w:t>
            </w:r>
          </w:p>
        </w:tc>
        <w:tc>
          <w:tcPr>
            <w:tcW w:w="394" w:type="pct"/>
            <w:vMerge w:val="restart"/>
            <w:tcBorders>
              <w:tl2br w:val="nil"/>
              <w:tr2bl w:val="nil"/>
            </w:tcBorders>
            <w:noWrap w:val="0"/>
            <w:vAlign w:val="center"/>
          </w:tcPr>
          <w:p w14:paraId="097397EE">
            <w:pPr>
              <w:pStyle w:val="1358"/>
              <w:rPr>
                <w:rFonts w:hint="eastAsia" w:eastAsia="宋体"/>
                <w:color w:val="auto"/>
                <w:highlight w:val="none"/>
                <w:lang w:val="en-US" w:eastAsia="zh-CN"/>
              </w:rPr>
            </w:pPr>
            <w:r>
              <w:rPr>
                <w:rFonts w:hint="eastAsia" w:eastAsia="宋体"/>
                <w:color w:val="auto"/>
                <w:highlight w:val="none"/>
                <w:lang w:val="en-US" w:eastAsia="zh-CN"/>
              </w:rPr>
              <w:t>B库厂房</w:t>
            </w:r>
          </w:p>
        </w:tc>
        <w:tc>
          <w:tcPr>
            <w:tcW w:w="1215" w:type="pct"/>
            <w:tcBorders>
              <w:tl2br w:val="nil"/>
              <w:tr2bl w:val="nil"/>
            </w:tcBorders>
            <w:noWrap w:val="0"/>
            <w:vAlign w:val="center"/>
          </w:tcPr>
          <w:p w14:paraId="4D97C090">
            <w:pPr>
              <w:pStyle w:val="1358"/>
              <w:rPr>
                <w:rFonts w:hint="eastAsia" w:eastAsia="宋体"/>
                <w:color w:val="auto"/>
                <w:highlight w:val="none"/>
                <w:lang w:val="en-US" w:eastAsia="zh-CN"/>
              </w:rPr>
            </w:pPr>
            <w:r>
              <w:rPr>
                <w:rFonts w:hint="eastAsia" w:eastAsia="宋体"/>
                <w:color w:val="auto"/>
                <w:highlight w:val="none"/>
                <w:lang w:val="en-US" w:eastAsia="zh-CN"/>
              </w:rPr>
              <w:t>NMHC</w:t>
            </w:r>
          </w:p>
        </w:tc>
        <w:tc>
          <w:tcPr>
            <w:tcW w:w="622" w:type="pct"/>
            <w:vMerge w:val="continue"/>
            <w:tcBorders>
              <w:tl2br w:val="nil"/>
              <w:tr2bl w:val="nil"/>
            </w:tcBorders>
            <w:noWrap w:val="0"/>
            <w:vAlign w:val="center"/>
          </w:tcPr>
          <w:p w14:paraId="72B0D370">
            <w:pPr>
              <w:pStyle w:val="1358"/>
              <w:rPr>
                <w:rFonts w:hint="default" w:eastAsia="宋体"/>
                <w:color w:val="auto"/>
                <w:highlight w:val="none"/>
                <w:lang w:val="en-US" w:eastAsia="zh-CN"/>
              </w:rPr>
            </w:pPr>
          </w:p>
        </w:tc>
        <w:tc>
          <w:tcPr>
            <w:tcW w:w="1010" w:type="pct"/>
            <w:tcBorders>
              <w:tl2br w:val="nil"/>
              <w:tr2bl w:val="nil"/>
            </w:tcBorders>
            <w:noWrap w:val="0"/>
            <w:vAlign w:val="center"/>
          </w:tcPr>
          <w:p w14:paraId="6E6FF67B">
            <w:pPr>
              <w:pStyle w:val="1358"/>
              <w:rPr>
                <w:rFonts w:hint="default" w:eastAsia="宋体"/>
                <w:color w:val="auto"/>
                <w:highlight w:val="none"/>
                <w:lang w:val="en-US" w:eastAsia="zh-CN"/>
              </w:rPr>
            </w:pPr>
            <w:r>
              <w:rPr>
                <w:rFonts w:ascii="Times New Roman" w:hAnsi="Times New Roman" w:eastAsia="宋体" w:cs="Times New Roman"/>
                <w:b w:val="0"/>
                <w:bCs/>
                <w:color w:val="auto"/>
                <w:kern w:val="0"/>
                <w:sz w:val="21"/>
                <w:szCs w:val="22"/>
                <w:highlight w:val="none"/>
                <w:lang w:eastAsia="en-US"/>
              </w:rPr>
              <w:t>DB</w:t>
            </w:r>
            <w:r>
              <w:rPr>
                <w:rFonts w:hint="eastAsia" w:ascii="Times New Roman" w:hAnsi="Times New Roman" w:eastAsia="宋体" w:cs="Times New Roman"/>
                <w:b w:val="0"/>
                <w:bCs/>
                <w:color w:val="auto"/>
                <w:kern w:val="0"/>
                <w:sz w:val="21"/>
                <w:szCs w:val="22"/>
                <w:highlight w:val="none"/>
                <w:lang w:val="en-US" w:eastAsia="zh-CN"/>
              </w:rPr>
              <w:t xml:space="preserve"> </w:t>
            </w:r>
            <w:r>
              <w:rPr>
                <w:rFonts w:ascii="Times New Roman" w:hAnsi="Times New Roman" w:eastAsia="宋体" w:cs="Times New Roman"/>
                <w:b w:val="0"/>
                <w:bCs/>
                <w:color w:val="auto"/>
                <w:kern w:val="0"/>
                <w:sz w:val="21"/>
                <w:szCs w:val="22"/>
                <w:highlight w:val="none"/>
                <w:lang w:eastAsia="en-US"/>
              </w:rPr>
              <w:t>35/1783-2018</w:t>
            </w:r>
          </w:p>
        </w:tc>
        <w:tc>
          <w:tcPr>
            <w:tcW w:w="765" w:type="pct"/>
            <w:tcBorders>
              <w:tl2br w:val="nil"/>
              <w:tr2bl w:val="nil"/>
            </w:tcBorders>
            <w:noWrap w:val="0"/>
            <w:vAlign w:val="center"/>
          </w:tcPr>
          <w:p w14:paraId="56C5B311">
            <w:pPr>
              <w:pStyle w:val="1358"/>
              <w:rPr>
                <w:rFonts w:hint="default" w:eastAsia="宋体"/>
                <w:color w:val="auto"/>
                <w:highlight w:val="none"/>
                <w:lang w:val="en-US" w:eastAsia="zh-CN"/>
              </w:rPr>
            </w:pPr>
            <w:r>
              <w:rPr>
                <w:rFonts w:hint="eastAsia"/>
                <w:color w:val="auto"/>
                <w:highlight w:val="none"/>
                <w:lang w:val="en-US" w:eastAsia="zh-CN"/>
              </w:rPr>
              <w:t>2.0</w:t>
            </w:r>
          </w:p>
        </w:tc>
        <w:tc>
          <w:tcPr>
            <w:tcW w:w="680" w:type="pct"/>
            <w:tcBorders>
              <w:tl2br w:val="nil"/>
              <w:tr2bl w:val="nil"/>
            </w:tcBorders>
            <w:noWrap w:val="0"/>
            <w:vAlign w:val="center"/>
          </w:tcPr>
          <w:p w14:paraId="749EA3B4">
            <w:pPr>
              <w:pStyle w:val="1358"/>
              <w:rPr>
                <w:rFonts w:hint="eastAsia" w:eastAsia="宋体"/>
                <w:color w:val="auto"/>
                <w:highlight w:val="none"/>
                <w:lang w:val="en-US" w:eastAsia="zh-CN"/>
              </w:rPr>
            </w:pPr>
            <w:r>
              <w:rPr>
                <w:rFonts w:hint="default" w:eastAsia="宋体"/>
                <w:color w:val="auto"/>
                <w:highlight w:val="none"/>
                <w:lang w:val="en-US" w:eastAsia="zh-CN"/>
              </w:rPr>
              <w:t xml:space="preserve">0.3817 </w:t>
            </w:r>
          </w:p>
        </w:tc>
      </w:tr>
      <w:tr w14:paraId="2B28F4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tcBorders>
              <w:tl2br w:val="nil"/>
              <w:tr2bl w:val="nil"/>
            </w:tcBorders>
            <w:noWrap w:val="0"/>
            <w:vAlign w:val="center"/>
          </w:tcPr>
          <w:p w14:paraId="5E9BC9A2">
            <w:pPr>
              <w:pStyle w:val="1358"/>
              <w:rPr>
                <w:rFonts w:hint="default" w:eastAsia="宋体"/>
                <w:color w:val="auto"/>
                <w:highlight w:val="none"/>
                <w:lang w:val="en-US" w:eastAsia="zh-CN"/>
              </w:rPr>
            </w:pPr>
            <w:r>
              <w:rPr>
                <w:rFonts w:hint="eastAsia" w:eastAsia="宋体"/>
                <w:color w:val="auto"/>
                <w:highlight w:val="none"/>
                <w:lang w:val="en-US" w:eastAsia="zh-CN"/>
              </w:rPr>
              <w:t>2</w:t>
            </w:r>
          </w:p>
        </w:tc>
        <w:tc>
          <w:tcPr>
            <w:tcW w:w="394" w:type="pct"/>
            <w:vMerge w:val="continue"/>
            <w:tcBorders>
              <w:tl2br w:val="nil"/>
              <w:tr2bl w:val="nil"/>
            </w:tcBorders>
            <w:noWrap w:val="0"/>
            <w:vAlign w:val="center"/>
          </w:tcPr>
          <w:p w14:paraId="04FDD28D">
            <w:pPr>
              <w:pStyle w:val="1358"/>
              <w:rPr>
                <w:rFonts w:hint="eastAsia" w:eastAsia="宋体"/>
                <w:color w:val="auto"/>
                <w:highlight w:val="none"/>
                <w:lang w:val="en-US" w:eastAsia="zh-CN"/>
              </w:rPr>
            </w:pPr>
          </w:p>
        </w:tc>
        <w:tc>
          <w:tcPr>
            <w:tcW w:w="1215" w:type="pct"/>
            <w:tcBorders>
              <w:tl2br w:val="nil"/>
              <w:tr2bl w:val="nil"/>
            </w:tcBorders>
            <w:noWrap w:val="0"/>
            <w:vAlign w:val="center"/>
          </w:tcPr>
          <w:p w14:paraId="0D887382">
            <w:pPr>
              <w:pStyle w:val="1358"/>
              <w:rPr>
                <w:rFonts w:hint="eastAsia" w:eastAsia="宋体"/>
                <w:color w:val="auto"/>
                <w:highlight w:val="none"/>
                <w:lang w:val="en-US" w:eastAsia="zh-CN"/>
              </w:rPr>
            </w:pPr>
            <w:r>
              <w:rPr>
                <w:rFonts w:hint="eastAsia" w:eastAsia="宋体"/>
                <w:color w:val="auto"/>
                <w:highlight w:val="none"/>
                <w:lang w:val="en-US" w:eastAsia="zh-CN"/>
              </w:rPr>
              <w:t>颗粒物</w:t>
            </w:r>
          </w:p>
        </w:tc>
        <w:tc>
          <w:tcPr>
            <w:tcW w:w="622" w:type="pct"/>
            <w:vMerge w:val="continue"/>
            <w:tcBorders>
              <w:tl2br w:val="nil"/>
              <w:tr2bl w:val="nil"/>
            </w:tcBorders>
            <w:noWrap w:val="0"/>
            <w:vAlign w:val="center"/>
          </w:tcPr>
          <w:p w14:paraId="687D7A15">
            <w:pPr>
              <w:pStyle w:val="1358"/>
              <w:rPr>
                <w:rFonts w:hint="default" w:eastAsia="宋体"/>
                <w:color w:val="auto"/>
                <w:highlight w:val="none"/>
                <w:lang w:val="en-US" w:eastAsia="zh-CN"/>
              </w:rPr>
            </w:pPr>
          </w:p>
        </w:tc>
        <w:tc>
          <w:tcPr>
            <w:tcW w:w="1010" w:type="pct"/>
            <w:tcBorders>
              <w:tl2br w:val="nil"/>
              <w:tr2bl w:val="nil"/>
            </w:tcBorders>
            <w:noWrap w:val="0"/>
            <w:vAlign w:val="center"/>
          </w:tcPr>
          <w:p w14:paraId="63789F60">
            <w:pPr>
              <w:pStyle w:val="1358"/>
              <w:rPr>
                <w:rFonts w:hint="default" w:eastAsia="宋体"/>
                <w:color w:val="auto"/>
                <w:highlight w:val="none"/>
                <w:lang w:val="en-US" w:eastAsia="zh-CN"/>
              </w:rPr>
            </w:pPr>
            <w:r>
              <w:rPr>
                <w:rFonts w:hint="eastAsia" w:eastAsia="宋体" w:cs="Times New Roman"/>
                <w:b w:val="0"/>
                <w:bCs/>
                <w:color w:val="auto"/>
                <w:kern w:val="0"/>
                <w:sz w:val="21"/>
                <w:szCs w:val="22"/>
                <w:highlight w:val="none"/>
                <w:lang w:val="en-US" w:eastAsia="zh-CN"/>
              </w:rPr>
              <w:t>G</w:t>
            </w:r>
            <w:r>
              <w:rPr>
                <w:rFonts w:ascii="Times New Roman" w:hAnsi="Times New Roman" w:eastAsia="宋体" w:cs="Times New Roman"/>
                <w:b w:val="0"/>
                <w:bCs/>
                <w:color w:val="auto"/>
                <w:kern w:val="0"/>
                <w:sz w:val="21"/>
                <w:szCs w:val="22"/>
                <w:highlight w:val="none"/>
                <w:lang w:eastAsia="en-US"/>
              </w:rPr>
              <w:t>B 31572-2015</w:t>
            </w:r>
          </w:p>
        </w:tc>
        <w:tc>
          <w:tcPr>
            <w:tcW w:w="765" w:type="pct"/>
            <w:tcBorders>
              <w:tl2br w:val="nil"/>
              <w:tr2bl w:val="nil"/>
            </w:tcBorders>
            <w:noWrap w:val="0"/>
            <w:vAlign w:val="center"/>
          </w:tcPr>
          <w:p w14:paraId="1B03BCEB">
            <w:pPr>
              <w:pStyle w:val="1358"/>
              <w:rPr>
                <w:rFonts w:hint="default" w:eastAsia="宋体"/>
                <w:color w:val="auto"/>
                <w:highlight w:val="none"/>
                <w:lang w:val="en-US" w:eastAsia="zh-CN"/>
              </w:rPr>
            </w:pPr>
            <w:r>
              <w:rPr>
                <w:rFonts w:hint="eastAsia"/>
                <w:color w:val="auto"/>
                <w:highlight w:val="none"/>
                <w:lang w:val="en-US" w:eastAsia="zh-CN"/>
              </w:rPr>
              <w:t>1.0</w:t>
            </w:r>
          </w:p>
        </w:tc>
        <w:tc>
          <w:tcPr>
            <w:tcW w:w="680" w:type="pct"/>
            <w:tcBorders>
              <w:tl2br w:val="nil"/>
              <w:tr2bl w:val="nil"/>
            </w:tcBorders>
            <w:shd w:val="clear" w:color="auto" w:fill="auto"/>
            <w:noWrap w:val="0"/>
            <w:vAlign w:val="center"/>
          </w:tcPr>
          <w:p w14:paraId="7B0FC022">
            <w:pPr>
              <w:pStyle w:val="1358"/>
              <w:rPr>
                <w:rFonts w:hint="eastAsia" w:eastAsia="宋体"/>
                <w:color w:val="auto"/>
                <w:highlight w:val="none"/>
                <w:lang w:val="en-US" w:eastAsia="zh-CN"/>
              </w:rPr>
            </w:pPr>
            <w:r>
              <w:rPr>
                <w:rFonts w:hint="eastAsia" w:eastAsia="宋体"/>
                <w:color w:val="auto"/>
                <w:highlight w:val="none"/>
                <w:lang w:val="en-US" w:eastAsia="zh-CN"/>
              </w:rPr>
              <w:t xml:space="preserve">0.0138 </w:t>
            </w:r>
          </w:p>
        </w:tc>
      </w:tr>
      <w:tr w14:paraId="2BDFA6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tcBorders>
              <w:tl2br w:val="nil"/>
              <w:tr2bl w:val="nil"/>
            </w:tcBorders>
            <w:noWrap w:val="0"/>
            <w:vAlign w:val="center"/>
          </w:tcPr>
          <w:p w14:paraId="231C662B">
            <w:pPr>
              <w:pStyle w:val="1358"/>
              <w:rPr>
                <w:rFonts w:hint="default" w:eastAsia="宋体"/>
                <w:color w:val="auto"/>
                <w:highlight w:val="none"/>
                <w:lang w:val="en-US" w:eastAsia="zh-CN"/>
              </w:rPr>
            </w:pPr>
            <w:r>
              <w:rPr>
                <w:rFonts w:hint="default" w:eastAsia="宋体"/>
                <w:color w:val="auto"/>
                <w:highlight w:val="none"/>
                <w:lang w:val="en-US" w:eastAsia="zh-CN"/>
              </w:rPr>
              <w:t>无组织排放总计</w:t>
            </w:r>
          </w:p>
        </w:tc>
      </w:tr>
      <w:tr w14:paraId="22659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1" w:type="pct"/>
            <w:gridSpan w:val="3"/>
            <w:vMerge w:val="restart"/>
            <w:tcBorders>
              <w:tl2br w:val="nil"/>
              <w:tr2bl w:val="nil"/>
            </w:tcBorders>
            <w:noWrap w:val="0"/>
            <w:vAlign w:val="center"/>
          </w:tcPr>
          <w:p w14:paraId="5E9A6084">
            <w:pPr>
              <w:pStyle w:val="1358"/>
              <w:rPr>
                <w:color w:val="auto"/>
                <w:highlight w:val="none"/>
              </w:rPr>
            </w:pPr>
            <w:r>
              <w:rPr>
                <w:color w:val="auto"/>
                <w:highlight w:val="none"/>
              </w:rPr>
              <w:t>无组织排放总计</w:t>
            </w:r>
          </w:p>
        </w:tc>
        <w:tc>
          <w:tcPr>
            <w:tcW w:w="2398" w:type="pct"/>
            <w:gridSpan w:val="3"/>
            <w:tcBorders>
              <w:tl2br w:val="nil"/>
              <w:tr2bl w:val="nil"/>
            </w:tcBorders>
            <w:shd w:val="clear" w:color="auto" w:fill="auto"/>
            <w:noWrap w:val="0"/>
            <w:vAlign w:val="center"/>
          </w:tcPr>
          <w:p w14:paraId="770BF087">
            <w:pPr>
              <w:pStyle w:val="1358"/>
              <w:rPr>
                <w:rFonts w:hint="default" w:eastAsia="宋体"/>
                <w:color w:val="auto"/>
                <w:highlight w:val="none"/>
                <w:lang w:val="en-US" w:eastAsia="zh-CN"/>
              </w:rPr>
            </w:pPr>
            <w:r>
              <w:rPr>
                <w:rFonts w:hint="eastAsia" w:eastAsia="宋体"/>
                <w:color w:val="auto"/>
                <w:highlight w:val="none"/>
                <w:lang w:val="en-US" w:eastAsia="zh-CN"/>
              </w:rPr>
              <w:t>漆雾（颗粒物）</w:t>
            </w:r>
          </w:p>
        </w:tc>
        <w:tc>
          <w:tcPr>
            <w:tcW w:w="680" w:type="pct"/>
            <w:tcBorders>
              <w:tl2br w:val="nil"/>
              <w:tr2bl w:val="nil"/>
            </w:tcBorders>
            <w:noWrap w:val="0"/>
            <w:vAlign w:val="center"/>
          </w:tcPr>
          <w:p w14:paraId="3E4225F6">
            <w:pPr>
              <w:pStyle w:val="1358"/>
              <w:rPr>
                <w:rFonts w:hint="default" w:eastAsia="宋体"/>
                <w:color w:val="auto"/>
                <w:highlight w:val="none"/>
                <w:lang w:val="en-US" w:eastAsia="zh-CN"/>
              </w:rPr>
            </w:pPr>
            <w:r>
              <w:rPr>
                <w:rFonts w:hint="default" w:eastAsia="宋体"/>
                <w:color w:val="auto"/>
                <w:highlight w:val="none"/>
                <w:lang w:val="en-US" w:eastAsia="zh-CN"/>
              </w:rPr>
              <w:t>1.8</w:t>
            </w:r>
            <w:r>
              <w:rPr>
                <w:rFonts w:hint="eastAsia"/>
                <w:color w:val="auto"/>
                <w:highlight w:val="none"/>
                <w:lang w:val="en-US" w:eastAsia="zh-CN"/>
              </w:rPr>
              <w:t>388</w:t>
            </w:r>
          </w:p>
        </w:tc>
      </w:tr>
      <w:tr w14:paraId="080A9D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1" w:type="pct"/>
            <w:gridSpan w:val="3"/>
            <w:vMerge w:val="continue"/>
            <w:tcBorders>
              <w:tl2br w:val="nil"/>
              <w:tr2bl w:val="nil"/>
            </w:tcBorders>
            <w:noWrap w:val="0"/>
            <w:vAlign w:val="center"/>
          </w:tcPr>
          <w:p w14:paraId="44B2F462">
            <w:pPr>
              <w:pStyle w:val="1358"/>
              <w:rPr>
                <w:color w:val="auto"/>
                <w:highlight w:val="none"/>
              </w:rPr>
            </w:pPr>
          </w:p>
        </w:tc>
        <w:tc>
          <w:tcPr>
            <w:tcW w:w="2398" w:type="pct"/>
            <w:gridSpan w:val="3"/>
            <w:tcBorders>
              <w:tl2br w:val="nil"/>
              <w:tr2bl w:val="nil"/>
            </w:tcBorders>
            <w:shd w:val="clear" w:color="auto" w:fill="auto"/>
            <w:noWrap w:val="0"/>
            <w:vAlign w:val="center"/>
          </w:tcPr>
          <w:p w14:paraId="49F356CD">
            <w:pPr>
              <w:pStyle w:val="1358"/>
              <w:rPr>
                <w:rFonts w:hint="default" w:eastAsia="宋体"/>
                <w:color w:val="auto"/>
                <w:highlight w:val="none"/>
                <w:lang w:val="en-US" w:eastAsia="zh-CN"/>
              </w:rPr>
            </w:pPr>
            <w:r>
              <w:rPr>
                <w:rFonts w:hint="eastAsia" w:eastAsia="宋体"/>
                <w:color w:val="auto"/>
                <w:highlight w:val="none"/>
                <w:lang w:val="en-US" w:eastAsia="zh-CN"/>
              </w:rPr>
              <w:t>二甲苯</w:t>
            </w:r>
          </w:p>
        </w:tc>
        <w:tc>
          <w:tcPr>
            <w:tcW w:w="680" w:type="pct"/>
            <w:tcBorders>
              <w:tl2br w:val="nil"/>
              <w:tr2bl w:val="nil"/>
            </w:tcBorders>
            <w:noWrap w:val="0"/>
            <w:vAlign w:val="center"/>
          </w:tcPr>
          <w:p w14:paraId="46C77B94">
            <w:pPr>
              <w:pStyle w:val="1358"/>
              <w:rPr>
                <w:rFonts w:hint="default" w:eastAsia="宋体"/>
                <w:color w:val="auto"/>
                <w:highlight w:val="none"/>
                <w:lang w:val="en-US" w:eastAsia="zh-CN"/>
              </w:rPr>
            </w:pPr>
            <w:r>
              <w:rPr>
                <w:rFonts w:hint="default" w:eastAsia="宋体"/>
                <w:color w:val="auto"/>
                <w:highlight w:val="none"/>
                <w:lang w:val="en-US" w:eastAsia="zh-CN"/>
              </w:rPr>
              <w:t xml:space="preserve">1.3860 </w:t>
            </w:r>
          </w:p>
        </w:tc>
      </w:tr>
      <w:tr w14:paraId="53BA2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1" w:type="pct"/>
            <w:gridSpan w:val="3"/>
            <w:vMerge w:val="continue"/>
            <w:tcBorders>
              <w:tl2br w:val="nil"/>
              <w:tr2bl w:val="nil"/>
            </w:tcBorders>
            <w:noWrap w:val="0"/>
            <w:vAlign w:val="center"/>
          </w:tcPr>
          <w:p w14:paraId="28CFE1C8">
            <w:pPr>
              <w:pStyle w:val="1358"/>
              <w:rPr>
                <w:color w:val="auto"/>
                <w:highlight w:val="none"/>
              </w:rPr>
            </w:pPr>
          </w:p>
        </w:tc>
        <w:tc>
          <w:tcPr>
            <w:tcW w:w="2398" w:type="pct"/>
            <w:gridSpan w:val="3"/>
            <w:tcBorders>
              <w:tl2br w:val="nil"/>
              <w:tr2bl w:val="nil"/>
            </w:tcBorders>
            <w:shd w:val="clear" w:color="auto" w:fill="auto"/>
            <w:noWrap w:val="0"/>
            <w:vAlign w:val="center"/>
          </w:tcPr>
          <w:p w14:paraId="6F34A834">
            <w:pPr>
              <w:pStyle w:val="1358"/>
              <w:rPr>
                <w:rFonts w:hint="default" w:eastAsia="宋体"/>
                <w:color w:val="auto"/>
                <w:highlight w:val="none"/>
                <w:lang w:val="en-US" w:eastAsia="zh-CN"/>
              </w:rPr>
            </w:pPr>
            <w:r>
              <w:rPr>
                <w:rFonts w:hint="eastAsia" w:eastAsia="宋体"/>
                <w:color w:val="auto"/>
                <w:highlight w:val="none"/>
                <w:lang w:val="en-US" w:eastAsia="zh-CN"/>
              </w:rPr>
              <w:t>乙酸丁酯</w:t>
            </w:r>
          </w:p>
        </w:tc>
        <w:tc>
          <w:tcPr>
            <w:tcW w:w="680" w:type="pct"/>
            <w:tcBorders>
              <w:tl2br w:val="nil"/>
              <w:tr2bl w:val="nil"/>
            </w:tcBorders>
            <w:noWrap w:val="0"/>
            <w:vAlign w:val="center"/>
          </w:tcPr>
          <w:p w14:paraId="5B91C06E">
            <w:pPr>
              <w:pStyle w:val="1358"/>
              <w:rPr>
                <w:rFonts w:hint="default" w:eastAsia="宋体"/>
                <w:color w:val="auto"/>
                <w:highlight w:val="none"/>
                <w:lang w:val="en-US" w:eastAsia="zh-CN"/>
              </w:rPr>
            </w:pPr>
            <w:r>
              <w:rPr>
                <w:rFonts w:hint="default" w:eastAsia="宋体"/>
                <w:color w:val="auto"/>
                <w:highlight w:val="none"/>
                <w:lang w:val="en-US" w:eastAsia="zh-CN"/>
              </w:rPr>
              <w:t xml:space="preserve">2.0479 </w:t>
            </w:r>
          </w:p>
        </w:tc>
      </w:tr>
      <w:tr w14:paraId="0B042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1" w:type="pct"/>
            <w:gridSpan w:val="3"/>
            <w:vMerge w:val="continue"/>
            <w:tcBorders>
              <w:tl2br w:val="nil"/>
              <w:tr2bl w:val="nil"/>
            </w:tcBorders>
            <w:noWrap w:val="0"/>
            <w:vAlign w:val="center"/>
          </w:tcPr>
          <w:p w14:paraId="3DB64ED8">
            <w:pPr>
              <w:pStyle w:val="1358"/>
              <w:rPr>
                <w:color w:val="auto"/>
                <w:highlight w:val="none"/>
              </w:rPr>
            </w:pPr>
          </w:p>
        </w:tc>
        <w:tc>
          <w:tcPr>
            <w:tcW w:w="2398" w:type="pct"/>
            <w:gridSpan w:val="3"/>
            <w:tcBorders>
              <w:tl2br w:val="nil"/>
              <w:tr2bl w:val="nil"/>
            </w:tcBorders>
            <w:shd w:val="clear" w:color="auto" w:fill="auto"/>
            <w:noWrap w:val="0"/>
            <w:vAlign w:val="center"/>
          </w:tcPr>
          <w:p w14:paraId="7FF5894A">
            <w:pPr>
              <w:pStyle w:val="1358"/>
              <w:rPr>
                <w:rFonts w:hint="default" w:eastAsia="宋体"/>
                <w:color w:val="auto"/>
                <w:highlight w:val="none"/>
                <w:lang w:val="en-US" w:eastAsia="zh-CN"/>
              </w:rPr>
            </w:pPr>
            <w:r>
              <w:rPr>
                <w:rFonts w:hint="eastAsia" w:eastAsia="宋体"/>
                <w:color w:val="auto"/>
                <w:highlight w:val="none"/>
                <w:lang w:val="en-US" w:eastAsia="zh-CN"/>
              </w:rPr>
              <w:t>NMHC（含乙酸丁酯）</w:t>
            </w:r>
          </w:p>
        </w:tc>
        <w:tc>
          <w:tcPr>
            <w:tcW w:w="680" w:type="pct"/>
            <w:tcBorders>
              <w:tl2br w:val="nil"/>
              <w:tr2bl w:val="nil"/>
            </w:tcBorders>
            <w:noWrap w:val="0"/>
            <w:vAlign w:val="center"/>
          </w:tcPr>
          <w:p w14:paraId="452FA17E">
            <w:pPr>
              <w:pStyle w:val="1358"/>
              <w:rPr>
                <w:rFonts w:hint="default" w:eastAsia="宋体"/>
                <w:color w:val="auto"/>
                <w:highlight w:val="none"/>
                <w:lang w:val="en-US" w:eastAsia="zh-CN"/>
              </w:rPr>
            </w:pPr>
            <w:r>
              <w:rPr>
                <w:rFonts w:hint="eastAsia" w:eastAsia="宋体"/>
                <w:color w:val="auto"/>
                <w:highlight w:val="none"/>
                <w:lang w:val="en-US" w:eastAsia="zh-CN"/>
              </w:rPr>
              <w:t xml:space="preserve">3.1890 </w:t>
            </w:r>
          </w:p>
        </w:tc>
      </w:tr>
    </w:tbl>
    <w:p w14:paraId="5AA3AD4F">
      <w:pPr>
        <w:pStyle w:val="8"/>
        <w:bidi w:val="0"/>
        <w:rPr>
          <w:color w:val="auto"/>
          <w:highlight w:val="none"/>
        </w:rPr>
      </w:pPr>
      <w:r>
        <w:rPr>
          <w:color w:val="auto"/>
          <w:highlight w:val="none"/>
        </w:rPr>
        <w:t>表5.3-</w:t>
      </w:r>
      <w:r>
        <w:rPr>
          <w:rFonts w:hint="eastAsia"/>
          <w:color w:val="auto"/>
          <w:highlight w:val="none"/>
          <w:lang w:val="en-US" w:eastAsia="zh-CN"/>
        </w:rPr>
        <w:t>13</w:t>
      </w:r>
      <w:r>
        <w:rPr>
          <w:color w:val="auto"/>
          <w:highlight w:val="none"/>
        </w:rPr>
        <w:t xml:space="preserve">  大气污染物年排放量核算表</w:t>
      </w:r>
    </w:p>
    <w:tbl>
      <w:tblPr>
        <w:tblStyle w:val="8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9"/>
        <w:gridCol w:w="4339"/>
        <w:gridCol w:w="2596"/>
      </w:tblGrid>
      <w:tr w14:paraId="5DD7D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718465AF">
            <w:pPr>
              <w:pStyle w:val="1358"/>
              <w:rPr>
                <w:color w:val="auto"/>
                <w:highlight w:val="none"/>
              </w:rPr>
            </w:pPr>
            <w:r>
              <w:rPr>
                <w:color w:val="auto"/>
                <w:highlight w:val="none"/>
              </w:rPr>
              <w:t>序号</w:t>
            </w:r>
          </w:p>
        </w:tc>
        <w:tc>
          <w:tcPr>
            <w:tcW w:w="4339" w:type="dxa"/>
            <w:tcBorders>
              <w:tl2br w:val="nil"/>
              <w:tr2bl w:val="nil"/>
            </w:tcBorders>
            <w:noWrap w:val="0"/>
            <w:vAlign w:val="center"/>
          </w:tcPr>
          <w:p w14:paraId="5EB879AF">
            <w:pPr>
              <w:pStyle w:val="1358"/>
              <w:rPr>
                <w:color w:val="auto"/>
                <w:highlight w:val="none"/>
              </w:rPr>
            </w:pPr>
            <w:r>
              <w:rPr>
                <w:color w:val="auto"/>
                <w:highlight w:val="none"/>
              </w:rPr>
              <w:t>污染物</w:t>
            </w:r>
          </w:p>
        </w:tc>
        <w:tc>
          <w:tcPr>
            <w:tcW w:w="2596" w:type="dxa"/>
            <w:tcBorders>
              <w:tl2br w:val="nil"/>
              <w:tr2bl w:val="nil"/>
            </w:tcBorders>
            <w:noWrap w:val="0"/>
            <w:vAlign w:val="center"/>
          </w:tcPr>
          <w:p w14:paraId="5550A1CE">
            <w:pPr>
              <w:pStyle w:val="1358"/>
              <w:rPr>
                <w:color w:val="auto"/>
                <w:highlight w:val="none"/>
              </w:rPr>
            </w:pPr>
            <w:r>
              <w:rPr>
                <w:color w:val="auto"/>
                <w:highlight w:val="none"/>
              </w:rPr>
              <w:t>排放量（t/a）</w:t>
            </w:r>
          </w:p>
        </w:tc>
      </w:tr>
      <w:tr w14:paraId="1EFC47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5358E6C7">
            <w:pPr>
              <w:pStyle w:val="1358"/>
              <w:rPr>
                <w:color w:val="auto"/>
                <w:highlight w:val="none"/>
              </w:rPr>
            </w:pPr>
            <w:r>
              <w:rPr>
                <w:color w:val="auto"/>
                <w:highlight w:val="none"/>
              </w:rPr>
              <w:t>1</w:t>
            </w:r>
          </w:p>
        </w:tc>
        <w:tc>
          <w:tcPr>
            <w:tcW w:w="4339" w:type="dxa"/>
            <w:tcBorders>
              <w:tl2br w:val="nil"/>
              <w:tr2bl w:val="nil"/>
            </w:tcBorders>
            <w:shd w:val="clear" w:color="auto" w:fill="auto"/>
            <w:noWrap w:val="0"/>
            <w:vAlign w:val="center"/>
          </w:tcPr>
          <w:p w14:paraId="2572A41B">
            <w:pPr>
              <w:pStyle w:val="1358"/>
              <w:rPr>
                <w:rFonts w:hint="eastAsia" w:eastAsia="宋体"/>
                <w:color w:val="auto"/>
                <w:highlight w:val="none"/>
                <w:lang w:val="en-US" w:eastAsia="zh-CN"/>
              </w:rPr>
            </w:pPr>
            <w:r>
              <w:rPr>
                <w:rFonts w:hint="eastAsia" w:eastAsia="宋体"/>
                <w:color w:val="auto"/>
                <w:highlight w:val="none"/>
                <w:lang w:val="en-US" w:eastAsia="zh-CN"/>
              </w:rPr>
              <w:t>二甲苯</w:t>
            </w:r>
          </w:p>
        </w:tc>
        <w:tc>
          <w:tcPr>
            <w:tcW w:w="2596" w:type="dxa"/>
            <w:tcBorders>
              <w:tl2br w:val="nil"/>
              <w:tr2bl w:val="nil"/>
            </w:tcBorders>
            <w:noWrap w:val="0"/>
            <w:vAlign w:val="center"/>
          </w:tcPr>
          <w:p w14:paraId="39AA3AD8">
            <w:pPr>
              <w:pStyle w:val="1358"/>
              <w:rPr>
                <w:rFonts w:hint="default" w:eastAsia="宋体"/>
                <w:color w:val="auto"/>
                <w:highlight w:val="none"/>
                <w:lang w:val="en-US" w:eastAsia="zh-CN"/>
              </w:rPr>
            </w:pPr>
            <w:r>
              <w:rPr>
                <w:rFonts w:hint="default" w:eastAsia="宋体"/>
                <w:color w:val="auto"/>
                <w:highlight w:val="none"/>
                <w:lang w:val="en-US" w:eastAsia="zh-CN"/>
              </w:rPr>
              <w:t xml:space="preserve">1.7579 </w:t>
            </w:r>
          </w:p>
        </w:tc>
      </w:tr>
      <w:tr w14:paraId="390D0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3D3360DD">
            <w:pPr>
              <w:pStyle w:val="1358"/>
              <w:rPr>
                <w:rFonts w:hint="eastAsia" w:eastAsia="宋体"/>
                <w:color w:val="auto"/>
                <w:highlight w:val="none"/>
                <w:lang w:val="en-US" w:eastAsia="zh-CN"/>
              </w:rPr>
            </w:pPr>
            <w:r>
              <w:rPr>
                <w:rFonts w:hint="eastAsia"/>
                <w:color w:val="auto"/>
                <w:highlight w:val="none"/>
                <w:lang w:val="en-US" w:eastAsia="zh-CN"/>
              </w:rPr>
              <w:t>2</w:t>
            </w:r>
          </w:p>
        </w:tc>
        <w:tc>
          <w:tcPr>
            <w:tcW w:w="4339" w:type="dxa"/>
            <w:tcBorders>
              <w:tl2br w:val="nil"/>
              <w:tr2bl w:val="nil"/>
            </w:tcBorders>
            <w:shd w:val="clear" w:color="auto" w:fill="auto"/>
            <w:noWrap w:val="0"/>
            <w:vAlign w:val="center"/>
          </w:tcPr>
          <w:p w14:paraId="1F90BE91">
            <w:pPr>
              <w:pStyle w:val="1358"/>
              <w:rPr>
                <w:rFonts w:hint="eastAsia" w:eastAsia="宋体"/>
                <w:color w:val="auto"/>
                <w:highlight w:val="none"/>
                <w:lang w:val="en-US" w:eastAsia="zh-CN"/>
              </w:rPr>
            </w:pPr>
            <w:r>
              <w:rPr>
                <w:rFonts w:hint="eastAsia" w:eastAsia="宋体"/>
                <w:color w:val="auto"/>
                <w:highlight w:val="none"/>
                <w:lang w:val="en-US" w:eastAsia="zh-CN"/>
              </w:rPr>
              <w:t>乙酸丁酯</w:t>
            </w:r>
          </w:p>
        </w:tc>
        <w:tc>
          <w:tcPr>
            <w:tcW w:w="2596" w:type="dxa"/>
            <w:tcBorders>
              <w:tl2br w:val="nil"/>
              <w:tr2bl w:val="nil"/>
            </w:tcBorders>
            <w:noWrap w:val="0"/>
            <w:vAlign w:val="center"/>
          </w:tcPr>
          <w:p w14:paraId="363DCFCE">
            <w:pPr>
              <w:pStyle w:val="1358"/>
              <w:rPr>
                <w:rFonts w:hint="default" w:eastAsia="宋体"/>
                <w:color w:val="auto"/>
                <w:highlight w:val="none"/>
                <w:lang w:val="en-US" w:eastAsia="zh-CN"/>
              </w:rPr>
            </w:pPr>
            <w:r>
              <w:rPr>
                <w:rFonts w:hint="default" w:eastAsia="宋体"/>
                <w:color w:val="auto"/>
                <w:highlight w:val="none"/>
                <w:lang w:val="en-US" w:eastAsia="zh-CN"/>
              </w:rPr>
              <w:t xml:space="preserve">2.4198 </w:t>
            </w:r>
          </w:p>
        </w:tc>
      </w:tr>
      <w:tr w14:paraId="31F9E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4089B642">
            <w:pPr>
              <w:pStyle w:val="1358"/>
              <w:rPr>
                <w:rFonts w:hint="eastAsia" w:eastAsia="宋体"/>
                <w:color w:val="auto"/>
                <w:highlight w:val="none"/>
                <w:lang w:val="en-US" w:eastAsia="zh-CN"/>
              </w:rPr>
            </w:pPr>
            <w:r>
              <w:rPr>
                <w:rFonts w:hint="eastAsia"/>
                <w:color w:val="auto"/>
                <w:highlight w:val="none"/>
                <w:lang w:val="en-US" w:eastAsia="zh-CN"/>
              </w:rPr>
              <w:t>3</w:t>
            </w:r>
          </w:p>
        </w:tc>
        <w:tc>
          <w:tcPr>
            <w:tcW w:w="4339" w:type="dxa"/>
            <w:tcBorders>
              <w:tl2br w:val="nil"/>
              <w:tr2bl w:val="nil"/>
            </w:tcBorders>
            <w:shd w:val="clear" w:color="auto" w:fill="auto"/>
            <w:noWrap w:val="0"/>
            <w:vAlign w:val="center"/>
          </w:tcPr>
          <w:p w14:paraId="02A3A952">
            <w:pPr>
              <w:pStyle w:val="1358"/>
              <w:rPr>
                <w:rFonts w:hint="default" w:eastAsia="宋体"/>
                <w:color w:val="auto"/>
                <w:highlight w:val="none"/>
                <w:lang w:val="en-US" w:eastAsia="zh-CN"/>
              </w:rPr>
            </w:pPr>
            <w:r>
              <w:rPr>
                <w:rFonts w:hint="default" w:eastAsia="宋体"/>
                <w:color w:val="auto"/>
                <w:highlight w:val="none"/>
                <w:lang w:val="en-US" w:eastAsia="zh-CN"/>
              </w:rPr>
              <w:t>NMHC</w:t>
            </w:r>
            <w:r>
              <w:rPr>
                <w:rFonts w:hint="eastAsia" w:eastAsia="宋体"/>
                <w:color w:val="auto"/>
                <w:highlight w:val="none"/>
                <w:lang w:val="en-US" w:eastAsia="zh-CN"/>
              </w:rPr>
              <w:t>（含乙酸丁酯）</w:t>
            </w:r>
          </w:p>
        </w:tc>
        <w:tc>
          <w:tcPr>
            <w:tcW w:w="2596" w:type="dxa"/>
            <w:tcBorders>
              <w:tl2br w:val="nil"/>
              <w:tr2bl w:val="nil"/>
            </w:tcBorders>
            <w:noWrap w:val="0"/>
            <w:vAlign w:val="center"/>
          </w:tcPr>
          <w:p w14:paraId="21A3CC65">
            <w:pPr>
              <w:pStyle w:val="1358"/>
              <w:rPr>
                <w:rFonts w:hint="default" w:eastAsia="宋体"/>
                <w:color w:val="auto"/>
                <w:highlight w:val="none"/>
                <w:lang w:val="en-US" w:eastAsia="zh-CN"/>
              </w:rPr>
            </w:pPr>
            <w:r>
              <w:rPr>
                <w:rFonts w:hint="default" w:eastAsia="宋体"/>
                <w:color w:val="auto"/>
                <w:highlight w:val="none"/>
                <w:lang w:val="en-US" w:eastAsia="zh-CN"/>
              </w:rPr>
              <w:t xml:space="preserve">4.4021 </w:t>
            </w:r>
          </w:p>
        </w:tc>
      </w:tr>
      <w:tr w14:paraId="3AA18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611012EC">
            <w:pPr>
              <w:pStyle w:val="1358"/>
              <w:rPr>
                <w:rFonts w:hint="eastAsia" w:eastAsia="宋体"/>
                <w:color w:val="auto"/>
                <w:highlight w:val="none"/>
                <w:lang w:val="en-US" w:eastAsia="zh-CN"/>
              </w:rPr>
            </w:pPr>
            <w:r>
              <w:rPr>
                <w:rFonts w:hint="eastAsia"/>
                <w:color w:val="auto"/>
                <w:highlight w:val="none"/>
                <w:lang w:val="en-US" w:eastAsia="zh-CN"/>
              </w:rPr>
              <w:t>4</w:t>
            </w:r>
          </w:p>
        </w:tc>
        <w:tc>
          <w:tcPr>
            <w:tcW w:w="4339" w:type="dxa"/>
            <w:tcBorders>
              <w:tl2br w:val="nil"/>
              <w:tr2bl w:val="nil"/>
            </w:tcBorders>
            <w:shd w:val="clear" w:color="auto" w:fill="auto"/>
            <w:noWrap w:val="0"/>
            <w:vAlign w:val="center"/>
          </w:tcPr>
          <w:p w14:paraId="081DA51E">
            <w:pPr>
              <w:pStyle w:val="1358"/>
              <w:rPr>
                <w:rFonts w:hint="eastAsia" w:eastAsia="宋体"/>
                <w:color w:val="auto"/>
                <w:highlight w:val="none"/>
                <w:lang w:val="en-US" w:eastAsia="zh-CN"/>
              </w:rPr>
            </w:pPr>
            <w:r>
              <w:rPr>
                <w:rFonts w:hint="eastAsia" w:eastAsia="宋体"/>
                <w:color w:val="auto"/>
                <w:highlight w:val="none"/>
                <w:lang w:val="en-US" w:eastAsia="zh-CN"/>
              </w:rPr>
              <w:t>二氧化硫</w:t>
            </w:r>
          </w:p>
        </w:tc>
        <w:tc>
          <w:tcPr>
            <w:tcW w:w="2596" w:type="dxa"/>
            <w:tcBorders>
              <w:tl2br w:val="nil"/>
              <w:tr2bl w:val="nil"/>
            </w:tcBorders>
            <w:noWrap w:val="0"/>
            <w:vAlign w:val="center"/>
          </w:tcPr>
          <w:p w14:paraId="49300E9E">
            <w:pPr>
              <w:pStyle w:val="1358"/>
              <w:rPr>
                <w:rFonts w:hint="default" w:eastAsia="宋体"/>
                <w:color w:val="auto"/>
                <w:highlight w:val="none"/>
                <w:lang w:val="en-US" w:eastAsia="zh-CN"/>
              </w:rPr>
            </w:pPr>
            <w:r>
              <w:rPr>
                <w:rFonts w:hint="eastAsia" w:eastAsia="宋体"/>
                <w:color w:val="auto"/>
                <w:highlight w:val="none"/>
                <w:lang w:val="en-US" w:eastAsia="zh-CN"/>
              </w:rPr>
              <w:t>0.0668</w:t>
            </w:r>
            <w:r>
              <w:rPr>
                <w:rFonts w:hint="default" w:eastAsia="宋体"/>
                <w:color w:val="auto"/>
                <w:highlight w:val="none"/>
                <w:lang w:val="en-US" w:eastAsia="zh-CN"/>
              </w:rPr>
              <w:t xml:space="preserve"> </w:t>
            </w:r>
          </w:p>
        </w:tc>
      </w:tr>
      <w:tr w14:paraId="06245F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56E7D51E">
            <w:pPr>
              <w:pStyle w:val="1358"/>
              <w:rPr>
                <w:rFonts w:hint="default"/>
                <w:color w:val="auto"/>
                <w:highlight w:val="none"/>
                <w:lang w:val="en-US" w:eastAsia="zh-CN"/>
              </w:rPr>
            </w:pPr>
            <w:r>
              <w:rPr>
                <w:rFonts w:hint="eastAsia"/>
                <w:color w:val="auto"/>
                <w:highlight w:val="none"/>
                <w:lang w:val="en-US" w:eastAsia="zh-CN"/>
              </w:rPr>
              <w:t>5</w:t>
            </w:r>
          </w:p>
        </w:tc>
        <w:tc>
          <w:tcPr>
            <w:tcW w:w="4339" w:type="dxa"/>
            <w:tcBorders>
              <w:tl2br w:val="nil"/>
              <w:tr2bl w:val="nil"/>
            </w:tcBorders>
            <w:shd w:val="clear" w:color="auto" w:fill="auto"/>
            <w:noWrap w:val="0"/>
            <w:vAlign w:val="center"/>
          </w:tcPr>
          <w:p w14:paraId="2BAD7E81">
            <w:pPr>
              <w:pStyle w:val="1358"/>
              <w:rPr>
                <w:rFonts w:hint="eastAsia" w:eastAsia="宋体"/>
                <w:color w:val="auto"/>
                <w:highlight w:val="none"/>
                <w:lang w:val="en-US" w:eastAsia="zh-CN"/>
              </w:rPr>
            </w:pPr>
            <w:r>
              <w:rPr>
                <w:rFonts w:hint="eastAsia" w:eastAsia="宋体"/>
                <w:color w:val="auto"/>
                <w:highlight w:val="none"/>
                <w:lang w:val="en-US" w:eastAsia="zh-CN"/>
              </w:rPr>
              <w:t>颗粒物</w:t>
            </w:r>
          </w:p>
        </w:tc>
        <w:tc>
          <w:tcPr>
            <w:tcW w:w="2596" w:type="dxa"/>
            <w:tcBorders>
              <w:tl2br w:val="nil"/>
              <w:tr2bl w:val="nil"/>
            </w:tcBorders>
            <w:shd w:val="clear" w:color="auto" w:fill="auto"/>
            <w:noWrap w:val="0"/>
            <w:vAlign w:val="center"/>
          </w:tcPr>
          <w:p w14:paraId="70BD3EEF">
            <w:pPr>
              <w:pStyle w:val="1358"/>
              <w:rPr>
                <w:rFonts w:hint="default" w:eastAsia="宋体"/>
                <w:color w:val="auto"/>
                <w:highlight w:val="none"/>
                <w:lang w:val="en-US" w:eastAsia="zh-CN"/>
              </w:rPr>
            </w:pPr>
            <w:r>
              <w:rPr>
                <w:rFonts w:hint="default" w:eastAsia="宋体"/>
                <w:color w:val="auto"/>
                <w:highlight w:val="none"/>
                <w:lang w:val="en-US" w:eastAsia="zh-CN"/>
              </w:rPr>
              <w:t xml:space="preserve">2.0680 </w:t>
            </w:r>
          </w:p>
        </w:tc>
      </w:tr>
      <w:tr w14:paraId="599DB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9" w:type="dxa"/>
            <w:tcBorders>
              <w:tl2br w:val="nil"/>
              <w:tr2bl w:val="nil"/>
            </w:tcBorders>
            <w:noWrap w:val="0"/>
            <w:vAlign w:val="center"/>
          </w:tcPr>
          <w:p w14:paraId="071832D7">
            <w:pPr>
              <w:pStyle w:val="1358"/>
              <w:rPr>
                <w:rFonts w:hint="default"/>
                <w:color w:val="auto"/>
                <w:highlight w:val="none"/>
                <w:lang w:val="en-US" w:eastAsia="zh-CN"/>
              </w:rPr>
            </w:pPr>
            <w:r>
              <w:rPr>
                <w:rFonts w:hint="eastAsia"/>
                <w:color w:val="auto"/>
                <w:highlight w:val="none"/>
                <w:lang w:val="en-US" w:eastAsia="zh-CN"/>
              </w:rPr>
              <w:t>6</w:t>
            </w:r>
          </w:p>
        </w:tc>
        <w:tc>
          <w:tcPr>
            <w:tcW w:w="4339" w:type="dxa"/>
            <w:tcBorders>
              <w:tl2br w:val="nil"/>
              <w:tr2bl w:val="nil"/>
            </w:tcBorders>
            <w:shd w:val="clear" w:color="auto" w:fill="auto"/>
            <w:noWrap w:val="0"/>
            <w:vAlign w:val="center"/>
          </w:tcPr>
          <w:p w14:paraId="3A2A0A7D">
            <w:pPr>
              <w:pStyle w:val="1358"/>
              <w:rPr>
                <w:rFonts w:hint="eastAsia" w:eastAsia="宋体"/>
                <w:color w:val="auto"/>
                <w:highlight w:val="none"/>
                <w:lang w:val="en-US" w:eastAsia="zh-CN"/>
              </w:rPr>
            </w:pPr>
            <w:r>
              <w:rPr>
                <w:rFonts w:hint="eastAsia" w:eastAsia="宋体"/>
                <w:color w:val="auto"/>
                <w:highlight w:val="none"/>
                <w:lang w:val="en-US" w:eastAsia="zh-CN"/>
              </w:rPr>
              <w:t>氮氧化物</w:t>
            </w:r>
          </w:p>
        </w:tc>
        <w:tc>
          <w:tcPr>
            <w:tcW w:w="2596" w:type="dxa"/>
            <w:tcBorders>
              <w:tl2br w:val="nil"/>
              <w:tr2bl w:val="nil"/>
            </w:tcBorders>
            <w:noWrap w:val="0"/>
            <w:vAlign w:val="center"/>
          </w:tcPr>
          <w:p w14:paraId="034631EE">
            <w:pPr>
              <w:pStyle w:val="1358"/>
              <w:rPr>
                <w:rFonts w:hint="default" w:eastAsia="宋体"/>
                <w:color w:val="auto"/>
                <w:highlight w:val="none"/>
                <w:lang w:val="en-US" w:eastAsia="zh-CN"/>
              </w:rPr>
            </w:pPr>
            <w:r>
              <w:rPr>
                <w:rFonts w:hint="eastAsia" w:eastAsia="宋体"/>
                <w:color w:val="auto"/>
                <w:highlight w:val="none"/>
                <w:lang w:val="en-US" w:eastAsia="zh-CN"/>
              </w:rPr>
              <w:t>0.5825</w:t>
            </w:r>
          </w:p>
        </w:tc>
      </w:tr>
    </w:tbl>
    <w:p w14:paraId="79EE70D9">
      <w:pPr>
        <w:pStyle w:val="4"/>
        <w:numPr>
          <w:ilvl w:val="2"/>
          <w:numId w:val="0"/>
        </w:numPr>
        <w:tabs>
          <w:tab w:val="clear" w:pos="720"/>
        </w:tabs>
        <w:bidi w:val="0"/>
        <w:rPr>
          <w:color w:val="auto"/>
          <w:highlight w:val="none"/>
        </w:rPr>
      </w:pPr>
      <w:bookmarkStart w:id="507" w:name="_Toc19377"/>
      <w:r>
        <w:rPr>
          <w:color w:val="auto"/>
          <w:highlight w:val="none"/>
        </w:rPr>
        <w:t>5.3.4</w:t>
      </w:r>
      <w:r>
        <w:rPr>
          <w:rFonts w:hint="eastAsia"/>
          <w:color w:val="auto"/>
          <w:highlight w:val="none"/>
          <w:lang w:val="en-US" w:eastAsia="zh-CN"/>
        </w:rPr>
        <w:t xml:space="preserve"> </w:t>
      </w:r>
      <w:r>
        <w:rPr>
          <w:color w:val="auto"/>
          <w:highlight w:val="none"/>
        </w:rPr>
        <w:t>环境防护距离</w:t>
      </w:r>
      <w:bookmarkEnd w:id="507"/>
    </w:p>
    <w:p w14:paraId="1A5FF435">
      <w:pPr>
        <w:pStyle w:val="5"/>
        <w:numPr>
          <w:ilvl w:val="3"/>
          <w:numId w:val="0"/>
        </w:numPr>
        <w:bidi w:val="0"/>
        <w:ind w:leftChars="0"/>
        <w:rPr>
          <w:color w:val="auto"/>
          <w:highlight w:val="none"/>
        </w:rPr>
      </w:pPr>
      <w:r>
        <w:rPr>
          <w:color w:val="auto"/>
          <w:highlight w:val="none"/>
        </w:rPr>
        <w:t>5.3.4.1</w:t>
      </w:r>
      <w:r>
        <w:rPr>
          <w:rFonts w:hint="eastAsia"/>
          <w:color w:val="auto"/>
          <w:highlight w:val="none"/>
          <w:lang w:val="en-US" w:eastAsia="zh-CN"/>
        </w:rPr>
        <w:t xml:space="preserve"> </w:t>
      </w:r>
      <w:r>
        <w:rPr>
          <w:color w:val="auto"/>
          <w:highlight w:val="none"/>
        </w:rPr>
        <w:t>大气环境防护距离</w:t>
      </w:r>
    </w:p>
    <w:p w14:paraId="69EE1F0F">
      <w:pPr>
        <w:pStyle w:val="1336"/>
        <w:ind w:firstLine="480"/>
        <w:rPr>
          <w:color w:val="auto"/>
          <w:highlight w:val="none"/>
        </w:rPr>
      </w:pPr>
      <w:r>
        <w:rPr>
          <w:color w:val="auto"/>
          <w:highlight w:val="none"/>
        </w:rPr>
        <w:t>根据《环境影响评价技术导则-大气环境》（HJ2.2-2018）中</w:t>
      </w:r>
      <w:r>
        <w:rPr>
          <w:rFonts w:hint="eastAsia"/>
          <w:color w:val="auto"/>
          <w:highlight w:val="none"/>
          <w:lang w:eastAsia="zh-CN"/>
        </w:rPr>
        <w:t>“</w:t>
      </w:r>
      <w:r>
        <w:rPr>
          <w:color w:val="auto"/>
          <w:highlight w:val="none"/>
        </w:rPr>
        <w:t>8.7.5大气环境防护距离</w:t>
      </w:r>
      <w:r>
        <w:rPr>
          <w:rFonts w:hint="eastAsia"/>
          <w:color w:val="auto"/>
          <w:highlight w:val="none"/>
          <w:lang w:eastAsia="zh-CN"/>
        </w:rPr>
        <w:t>”</w:t>
      </w:r>
      <w:r>
        <w:rPr>
          <w:color w:val="auto"/>
          <w:highlight w:val="none"/>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143E7073">
      <w:pPr>
        <w:pStyle w:val="1336"/>
        <w:ind w:firstLine="480"/>
        <w:rPr>
          <w:color w:val="auto"/>
          <w:highlight w:val="none"/>
        </w:rPr>
      </w:pPr>
      <w:r>
        <w:rPr>
          <w:color w:val="auto"/>
          <w:highlight w:val="none"/>
        </w:rPr>
        <w:t>根据估算模式（AERSCREEN）计算结果，下风向无组织排放源中各污染物最大小时落地浓度均未超过其环境质量标准，且厂界浓度也小于最大落地浓度，因此不需要设置大气环境防护距离。</w:t>
      </w:r>
    </w:p>
    <w:p w14:paraId="0A153CC9">
      <w:pPr>
        <w:pStyle w:val="5"/>
        <w:numPr>
          <w:ilvl w:val="3"/>
          <w:numId w:val="0"/>
        </w:numPr>
        <w:bidi w:val="0"/>
        <w:ind w:leftChars="0"/>
        <w:rPr>
          <w:color w:val="auto"/>
          <w:highlight w:val="none"/>
        </w:rPr>
      </w:pPr>
      <w:r>
        <w:rPr>
          <w:color w:val="auto"/>
          <w:highlight w:val="none"/>
        </w:rPr>
        <w:t>5.3.4.2</w:t>
      </w:r>
      <w:r>
        <w:rPr>
          <w:rFonts w:hint="eastAsia"/>
          <w:color w:val="auto"/>
          <w:highlight w:val="none"/>
          <w:lang w:val="en-US" w:eastAsia="zh-CN"/>
        </w:rPr>
        <w:t xml:space="preserve"> </w:t>
      </w:r>
      <w:r>
        <w:rPr>
          <w:color w:val="auto"/>
          <w:highlight w:val="none"/>
        </w:rPr>
        <w:t>卫生防护距离</w:t>
      </w:r>
    </w:p>
    <w:p w14:paraId="4D70773E">
      <w:pPr>
        <w:pStyle w:val="1319"/>
        <w:ind w:firstLine="480"/>
        <w:rPr>
          <w:rFonts w:hint="eastAsia" w:eastAsia="宋体"/>
          <w:color w:val="auto"/>
          <w:highlight w:val="none"/>
          <w:lang w:eastAsia="zh-CN"/>
        </w:rPr>
      </w:pPr>
      <w:r>
        <w:rPr>
          <w:color w:val="auto"/>
          <w:highlight w:val="none"/>
        </w:rPr>
        <w:t>鉴于项目存在无组织排放，且从保护周边企业卫生安全的角度考虑，</w:t>
      </w:r>
      <w:r>
        <w:rPr>
          <w:rFonts w:hint="eastAsia"/>
          <w:color w:val="auto"/>
          <w:highlight w:val="none"/>
          <w:lang w:val="en-US" w:eastAsia="zh-CN"/>
        </w:rPr>
        <w:t>参照</w:t>
      </w:r>
      <w:r>
        <w:rPr>
          <w:color w:val="auto"/>
          <w:highlight w:val="none"/>
        </w:rPr>
        <w:t>《大气有毒有害物质无组织排放卫生防护距离推导技术导则》（GB/T39499-2020），</w:t>
      </w:r>
      <w:r>
        <w:rPr>
          <w:rFonts w:hint="eastAsia"/>
          <w:color w:val="auto"/>
          <w:highlight w:val="none"/>
        </w:rPr>
        <w:t>行业卫生防护距离初值计算公式为</w:t>
      </w:r>
      <w:r>
        <w:rPr>
          <w:rFonts w:hint="eastAsia"/>
          <w:color w:val="auto"/>
          <w:highlight w:val="none"/>
          <w:lang w:eastAsia="zh-CN"/>
        </w:rPr>
        <w:t>：</w:t>
      </w:r>
    </w:p>
    <w:p w14:paraId="5E9EE30E">
      <w:pPr>
        <w:pStyle w:val="1319"/>
        <w:ind w:firstLine="480"/>
        <w:rPr>
          <w:color w:val="auto"/>
          <w:highlight w:val="none"/>
        </w:rPr>
      </w:pPr>
      <w:r>
        <w:rPr>
          <w:color w:val="auto"/>
          <w:highlight w:val="none"/>
        </w:rPr>
        <w:t>（1）计算模式</w:t>
      </w:r>
    </w:p>
    <w:p w14:paraId="22780136">
      <w:pPr>
        <w:pStyle w:val="1319"/>
        <w:ind w:firstLine="480"/>
        <w:jc w:val="center"/>
        <w:rPr>
          <w:color w:val="auto"/>
          <w:highlight w:val="none"/>
        </w:rPr>
      </w:pPr>
      <w:r>
        <w:rPr>
          <w:color w:val="auto"/>
          <w:highlight w:val="none"/>
        </w:rPr>
        <w:drawing>
          <wp:inline distT="0" distB="0" distL="114300" distR="114300">
            <wp:extent cx="1819275" cy="447675"/>
            <wp:effectExtent l="0" t="0" r="0" b="8255"/>
            <wp:docPr id="287"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581"/>
                    <pic:cNvPicPr>
                      <a:picLocks noChangeAspect="1"/>
                    </pic:cNvPicPr>
                  </pic:nvPicPr>
                  <pic:blipFill>
                    <a:blip r:embed="rId75"/>
                    <a:stretch>
                      <a:fillRect/>
                    </a:stretch>
                  </pic:blipFill>
                  <pic:spPr>
                    <a:xfrm>
                      <a:off x="0" y="0"/>
                      <a:ext cx="1819275" cy="447675"/>
                    </a:xfrm>
                    <a:prstGeom prst="rect">
                      <a:avLst/>
                    </a:prstGeom>
                    <a:noFill/>
                    <a:ln>
                      <a:noFill/>
                    </a:ln>
                  </pic:spPr>
                </pic:pic>
              </a:graphicData>
            </a:graphic>
          </wp:inline>
        </w:drawing>
      </w:r>
    </w:p>
    <w:p w14:paraId="3A6912EB">
      <w:pPr>
        <w:pStyle w:val="1336"/>
        <w:ind w:firstLine="480"/>
        <w:rPr>
          <w:color w:val="auto"/>
          <w:highlight w:val="none"/>
        </w:rPr>
      </w:pPr>
      <w:r>
        <w:rPr>
          <w:color w:val="auto"/>
          <w:highlight w:val="none"/>
        </w:rPr>
        <w:t>式中：C</w:t>
      </w:r>
      <w:r>
        <w:rPr>
          <w:color w:val="auto"/>
          <w:highlight w:val="none"/>
          <w:vertAlign w:val="subscript"/>
        </w:rPr>
        <w:t>m</w:t>
      </w:r>
      <w:r>
        <w:rPr>
          <w:color w:val="auto"/>
          <w:highlight w:val="none"/>
        </w:rPr>
        <w:t>——居住区有害气体最高容许浓度，mg/m</w:t>
      </w:r>
      <w:r>
        <w:rPr>
          <w:color w:val="auto"/>
          <w:highlight w:val="none"/>
          <w:vertAlign w:val="superscript"/>
        </w:rPr>
        <w:t>3</w:t>
      </w:r>
      <w:r>
        <w:rPr>
          <w:color w:val="auto"/>
          <w:highlight w:val="none"/>
        </w:rPr>
        <w:t>；</w:t>
      </w:r>
    </w:p>
    <w:p w14:paraId="24F578C2">
      <w:pPr>
        <w:pStyle w:val="1336"/>
        <w:ind w:firstLine="480"/>
        <w:rPr>
          <w:color w:val="auto"/>
          <w:highlight w:val="none"/>
        </w:rPr>
      </w:pPr>
      <w:r>
        <w:rPr>
          <w:color w:val="auto"/>
          <w:highlight w:val="none"/>
        </w:rPr>
        <w:t xml:space="preserve">       L——工业企业所需卫生防护距离，m；</w:t>
      </w:r>
    </w:p>
    <w:p w14:paraId="40E2E8DD">
      <w:pPr>
        <w:pStyle w:val="1336"/>
        <w:ind w:firstLine="480"/>
        <w:rPr>
          <w:color w:val="auto"/>
          <w:highlight w:val="none"/>
        </w:rPr>
      </w:pPr>
      <w:r>
        <w:rPr>
          <w:color w:val="auto"/>
          <w:highlight w:val="none"/>
        </w:rPr>
        <w:t xml:space="preserve">       r ——无组织排放面源等效半径，m；有害气体无组织排放源所在生产单元的等效半径（m）；</w:t>
      </w:r>
    </w:p>
    <w:p w14:paraId="28D9FA8E">
      <w:pPr>
        <w:pStyle w:val="1336"/>
        <w:ind w:firstLine="480"/>
        <w:rPr>
          <w:color w:val="auto"/>
          <w:szCs w:val="24"/>
          <w:highlight w:val="none"/>
        </w:rPr>
      </w:pPr>
      <w:r>
        <w:rPr>
          <w:color w:val="auto"/>
          <w:highlight w:val="none"/>
        </w:rPr>
        <w:t xml:space="preserve">      </w:t>
      </w:r>
      <w:r>
        <w:rPr>
          <w:color w:val="auto"/>
          <w:szCs w:val="24"/>
          <w:highlight w:val="none"/>
        </w:rPr>
        <w:t>A、B、C、D—卫生防护距离计算系数，无因次，根据工业企业所在地区近五年平均风速，及工业企业大气污染源构成类引从表中查取。</w:t>
      </w:r>
    </w:p>
    <w:p w14:paraId="688C53CE">
      <w:pPr>
        <w:pStyle w:val="1336"/>
        <w:ind w:firstLine="480"/>
        <w:rPr>
          <w:color w:val="auto"/>
          <w:highlight w:val="none"/>
        </w:rPr>
      </w:pPr>
      <w:r>
        <w:rPr>
          <w:color w:val="auto"/>
          <w:highlight w:val="none"/>
        </w:rPr>
        <w:t xml:space="preserve">      Q</w:t>
      </w:r>
      <w:r>
        <w:rPr>
          <w:color w:val="auto"/>
          <w:highlight w:val="none"/>
          <w:vertAlign w:val="subscript"/>
        </w:rPr>
        <w:t>C</w:t>
      </w:r>
      <w:r>
        <w:rPr>
          <w:color w:val="auto"/>
          <w:highlight w:val="none"/>
        </w:rPr>
        <w:t>——工业企业有害气体无组织排放量可以达到的控制水平，kg/h。</w:t>
      </w:r>
    </w:p>
    <w:p w14:paraId="35D02761">
      <w:pPr>
        <w:tabs>
          <w:tab w:val="left" w:pos="7380"/>
        </w:tabs>
        <w:adjustRightInd w:val="0"/>
        <w:snapToGrid w:val="0"/>
        <w:ind w:firstLine="480"/>
        <w:rPr>
          <w:color w:val="auto"/>
          <w:sz w:val="21"/>
          <w:szCs w:val="22"/>
          <w:highlight w:val="none"/>
        </w:rPr>
      </w:pPr>
      <w:r>
        <w:rPr>
          <w:color w:val="auto"/>
          <w:highlight w:val="none"/>
        </w:rPr>
        <w:t>本项目所在地区全年平均风速</w:t>
      </w:r>
      <w:r>
        <w:rPr>
          <w:rFonts w:hint="eastAsia"/>
          <w:color w:val="auto"/>
          <w:highlight w:val="none"/>
          <w:lang w:val="en-US" w:eastAsia="zh-CN"/>
        </w:rPr>
        <w:t>2.6</w:t>
      </w:r>
      <w:r>
        <w:rPr>
          <w:color w:val="auto"/>
          <w:highlight w:val="none"/>
        </w:rPr>
        <w:t>m/s，依照上述公式无组织排放单元与居住区之间卫生防护距离计算参数及其结果见表5.3-</w:t>
      </w:r>
      <w:r>
        <w:rPr>
          <w:rFonts w:hint="eastAsia"/>
          <w:color w:val="auto"/>
          <w:highlight w:val="none"/>
          <w:lang w:val="en-US" w:eastAsia="zh-CN"/>
        </w:rPr>
        <w:t>14</w:t>
      </w:r>
      <w:r>
        <w:rPr>
          <w:color w:val="auto"/>
          <w:highlight w:val="none"/>
        </w:rPr>
        <w:t>所示。</w:t>
      </w:r>
    </w:p>
    <w:p w14:paraId="014F2FE5">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表5.3-</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项目卫生防护距离计算一览表</w:t>
      </w:r>
    </w:p>
    <w:tbl>
      <w:tblPr>
        <w:tblStyle w:val="80"/>
        <w:tblW w:w="473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961"/>
        <w:gridCol w:w="915"/>
        <w:gridCol w:w="1337"/>
        <w:gridCol w:w="1395"/>
        <w:gridCol w:w="1386"/>
        <w:gridCol w:w="1439"/>
      </w:tblGrid>
      <w:tr w14:paraId="26522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tcBorders>
              <w:tl2br w:val="nil"/>
              <w:tr2bl w:val="nil"/>
            </w:tcBorders>
            <w:noWrap w:val="0"/>
            <w:vAlign w:val="center"/>
          </w:tcPr>
          <w:p w14:paraId="3104A45D">
            <w:pPr>
              <w:pStyle w:val="1391"/>
              <w:rPr>
                <w:rFonts w:hint="default" w:eastAsia="宋体"/>
                <w:color w:val="auto"/>
                <w:highlight w:val="none"/>
                <w:lang w:val="en-US" w:eastAsia="zh-CN" w:bidi="ar"/>
              </w:rPr>
            </w:pPr>
            <w:r>
              <w:rPr>
                <w:rFonts w:hint="eastAsia"/>
                <w:color w:val="auto"/>
                <w:highlight w:val="none"/>
                <w:lang w:val="en-US" w:eastAsia="zh-CN" w:bidi="ar"/>
              </w:rPr>
              <w:t>产污来源</w:t>
            </w:r>
          </w:p>
        </w:tc>
        <w:tc>
          <w:tcPr>
            <w:tcW w:w="563" w:type="pct"/>
            <w:tcBorders>
              <w:tl2br w:val="nil"/>
              <w:tr2bl w:val="nil"/>
            </w:tcBorders>
            <w:noWrap w:val="0"/>
            <w:vAlign w:val="center"/>
          </w:tcPr>
          <w:p w14:paraId="1679DFAC">
            <w:pPr>
              <w:pStyle w:val="1391"/>
              <w:rPr>
                <w:color w:val="auto"/>
                <w:highlight w:val="none"/>
                <w:lang w:bidi="ar"/>
              </w:rPr>
            </w:pPr>
            <w:r>
              <w:rPr>
                <w:color w:val="auto"/>
                <w:highlight w:val="none"/>
                <w:lang w:bidi="ar"/>
              </w:rPr>
              <w:t>面源</w:t>
            </w:r>
          </w:p>
          <w:p w14:paraId="5339186A">
            <w:pPr>
              <w:pStyle w:val="1391"/>
              <w:rPr>
                <w:color w:val="auto"/>
                <w:highlight w:val="none"/>
                <w:lang w:bidi="ar"/>
              </w:rPr>
            </w:pPr>
            <w:r>
              <w:rPr>
                <w:color w:val="auto"/>
                <w:highlight w:val="none"/>
                <w:lang w:bidi="ar"/>
              </w:rPr>
              <w:t>长×宽m</w:t>
            </w:r>
          </w:p>
        </w:tc>
        <w:tc>
          <w:tcPr>
            <w:tcW w:w="536" w:type="pct"/>
            <w:tcBorders>
              <w:tl2br w:val="nil"/>
              <w:tr2bl w:val="nil"/>
            </w:tcBorders>
            <w:noWrap w:val="0"/>
            <w:vAlign w:val="center"/>
          </w:tcPr>
          <w:p w14:paraId="4807AF9D">
            <w:pPr>
              <w:pStyle w:val="1391"/>
              <w:rPr>
                <w:color w:val="auto"/>
                <w:highlight w:val="none"/>
                <w:lang w:bidi="ar"/>
              </w:rPr>
            </w:pPr>
            <w:r>
              <w:rPr>
                <w:color w:val="auto"/>
                <w:highlight w:val="none"/>
                <w:lang w:bidi="ar"/>
              </w:rPr>
              <w:t>等效源高m</w:t>
            </w:r>
          </w:p>
        </w:tc>
        <w:tc>
          <w:tcPr>
            <w:tcW w:w="783" w:type="pct"/>
            <w:tcBorders>
              <w:tl2br w:val="nil"/>
              <w:tr2bl w:val="nil"/>
            </w:tcBorders>
            <w:noWrap w:val="0"/>
            <w:vAlign w:val="center"/>
          </w:tcPr>
          <w:p w14:paraId="53AD41FB">
            <w:pPr>
              <w:pStyle w:val="1391"/>
              <w:rPr>
                <w:color w:val="auto"/>
                <w:highlight w:val="none"/>
                <w:lang w:bidi="ar"/>
              </w:rPr>
            </w:pPr>
            <w:r>
              <w:rPr>
                <w:color w:val="auto"/>
                <w:highlight w:val="none"/>
                <w:lang w:bidi="ar"/>
              </w:rPr>
              <w:t>排放因子</w:t>
            </w:r>
          </w:p>
        </w:tc>
        <w:tc>
          <w:tcPr>
            <w:tcW w:w="817" w:type="pct"/>
            <w:tcBorders>
              <w:tl2br w:val="nil"/>
              <w:tr2bl w:val="nil"/>
            </w:tcBorders>
            <w:noWrap w:val="0"/>
            <w:vAlign w:val="center"/>
          </w:tcPr>
          <w:p w14:paraId="524497AC">
            <w:pPr>
              <w:pStyle w:val="1391"/>
              <w:rPr>
                <w:color w:val="auto"/>
                <w:highlight w:val="none"/>
                <w:lang w:bidi="ar"/>
              </w:rPr>
            </w:pPr>
            <w:r>
              <w:rPr>
                <w:color w:val="auto"/>
                <w:highlight w:val="none"/>
                <w:lang w:bidi="ar"/>
              </w:rPr>
              <w:t>排放速率</w:t>
            </w:r>
          </w:p>
          <w:p w14:paraId="0F7F0358">
            <w:pPr>
              <w:pStyle w:val="1391"/>
              <w:rPr>
                <w:rFonts w:hint="eastAsia" w:eastAsia="宋体"/>
                <w:color w:val="auto"/>
                <w:highlight w:val="none"/>
                <w:lang w:eastAsia="zh-CN" w:bidi="ar"/>
              </w:rPr>
            </w:pPr>
            <w:r>
              <w:rPr>
                <w:rFonts w:hint="eastAsia"/>
                <w:color w:val="auto"/>
                <w:highlight w:val="none"/>
                <w:lang w:eastAsia="zh-CN" w:bidi="ar"/>
              </w:rPr>
              <w:t>（</w:t>
            </w:r>
            <w:r>
              <w:rPr>
                <w:color w:val="auto"/>
                <w:highlight w:val="none"/>
                <w:lang w:bidi="ar"/>
              </w:rPr>
              <w:t>kg/h</w:t>
            </w:r>
            <w:r>
              <w:rPr>
                <w:rFonts w:hint="eastAsia"/>
                <w:color w:val="auto"/>
                <w:highlight w:val="none"/>
                <w:lang w:eastAsia="zh-CN" w:bidi="ar"/>
              </w:rPr>
              <w:t>）</w:t>
            </w:r>
          </w:p>
        </w:tc>
        <w:tc>
          <w:tcPr>
            <w:tcW w:w="812" w:type="pct"/>
            <w:tcBorders>
              <w:tl2br w:val="nil"/>
              <w:tr2bl w:val="nil"/>
            </w:tcBorders>
            <w:noWrap w:val="0"/>
            <w:vAlign w:val="center"/>
          </w:tcPr>
          <w:p w14:paraId="480C24EB">
            <w:pPr>
              <w:pStyle w:val="1391"/>
              <w:rPr>
                <w:color w:val="auto"/>
                <w:highlight w:val="none"/>
                <w:lang w:bidi="ar"/>
              </w:rPr>
            </w:pPr>
            <w:r>
              <w:rPr>
                <w:color w:val="auto"/>
                <w:highlight w:val="none"/>
                <w:lang w:bidi="ar"/>
              </w:rPr>
              <w:t>计算卫生防护距离m</w:t>
            </w:r>
          </w:p>
        </w:tc>
        <w:tc>
          <w:tcPr>
            <w:tcW w:w="843" w:type="pct"/>
            <w:tcBorders>
              <w:tl2br w:val="nil"/>
              <w:tr2bl w:val="nil"/>
            </w:tcBorders>
            <w:noWrap w:val="0"/>
            <w:vAlign w:val="center"/>
          </w:tcPr>
          <w:p w14:paraId="5E08E94B">
            <w:pPr>
              <w:pStyle w:val="1391"/>
              <w:rPr>
                <w:color w:val="auto"/>
                <w:highlight w:val="none"/>
                <w:lang w:bidi="ar"/>
              </w:rPr>
            </w:pPr>
            <w:r>
              <w:rPr>
                <w:color w:val="auto"/>
                <w:highlight w:val="none"/>
                <w:lang w:bidi="ar"/>
              </w:rPr>
              <w:t>取整卫生防护距离m</w:t>
            </w:r>
          </w:p>
        </w:tc>
      </w:tr>
      <w:tr w14:paraId="03033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vMerge w:val="restart"/>
            <w:tcBorders>
              <w:tl2br w:val="nil"/>
              <w:tr2bl w:val="nil"/>
            </w:tcBorders>
            <w:noWrap w:val="0"/>
            <w:vAlign w:val="center"/>
          </w:tcPr>
          <w:p w14:paraId="5498F243">
            <w:pPr>
              <w:pStyle w:val="1358"/>
              <w:ind w:firstLine="0" w:firstLineChars="0"/>
              <w:rPr>
                <w:rFonts w:hint="default" w:eastAsia="宋体"/>
                <w:color w:val="auto"/>
                <w:highlight w:val="none"/>
                <w:lang w:val="en-US" w:eastAsia="zh-CN" w:bidi="ar"/>
              </w:rPr>
            </w:pPr>
            <w:r>
              <w:rPr>
                <w:rFonts w:hint="eastAsia" w:cs="Times New Roman"/>
                <w:color w:val="auto"/>
                <w:highlight w:val="none"/>
                <w:lang w:val="en-US" w:eastAsia="zh-CN"/>
              </w:rPr>
              <w:t>A库</w:t>
            </w:r>
            <w:r>
              <w:rPr>
                <w:rFonts w:hint="eastAsia" w:ascii="Times New Roman" w:hAnsi="Times New Roman" w:eastAsia="宋体" w:cs="Times New Roman"/>
                <w:color w:val="auto"/>
                <w:highlight w:val="none"/>
                <w:lang w:val="en-US" w:eastAsia="zh-CN"/>
              </w:rPr>
              <w:t>厂房</w:t>
            </w:r>
          </w:p>
        </w:tc>
        <w:tc>
          <w:tcPr>
            <w:tcW w:w="563" w:type="pct"/>
            <w:vMerge w:val="restart"/>
            <w:tcBorders>
              <w:tl2br w:val="nil"/>
              <w:tr2bl w:val="nil"/>
            </w:tcBorders>
            <w:noWrap w:val="0"/>
            <w:vAlign w:val="center"/>
          </w:tcPr>
          <w:p w14:paraId="31F29756">
            <w:pPr>
              <w:pStyle w:val="1391"/>
              <w:rPr>
                <w:rFonts w:hint="default" w:eastAsia="宋体"/>
                <w:color w:val="auto"/>
                <w:highlight w:val="none"/>
                <w:lang w:val="en-US" w:eastAsia="zh-CN" w:bidi="ar"/>
              </w:rPr>
            </w:pPr>
            <w:r>
              <w:rPr>
                <w:rFonts w:hint="eastAsia"/>
                <w:color w:val="auto"/>
                <w:highlight w:val="none"/>
                <w:lang w:val="en-US" w:eastAsia="zh-CN" w:bidi="ar"/>
              </w:rPr>
              <w:t>48*45</w:t>
            </w:r>
          </w:p>
        </w:tc>
        <w:tc>
          <w:tcPr>
            <w:tcW w:w="536" w:type="pct"/>
            <w:vMerge w:val="restart"/>
            <w:tcBorders>
              <w:tl2br w:val="nil"/>
              <w:tr2bl w:val="nil"/>
            </w:tcBorders>
            <w:noWrap w:val="0"/>
            <w:vAlign w:val="center"/>
          </w:tcPr>
          <w:p w14:paraId="43C31A5D">
            <w:pPr>
              <w:pStyle w:val="1391"/>
              <w:rPr>
                <w:rFonts w:hint="default" w:eastAsia="宋体"/>
                <w:color w:val="auto"/>
                <w:highlight w:val="none"/>
                <w:lang w:val="en-US" w:eastAsia="zh-CN" w:bidi="ar"/>
              </w:rPr>
            </w:pPr>
            <w:r>
              <w:rPr>
                <w:rFonts w:hint="eastAsia"/>
                <w:color w:val="auto"/>
                <w:highlight w:val="none"/>
                <w:lang w:val="en-US" w:eastAsia="zh-CN" w:bidi="ar"/>
              </w:rPr>
              <w:t>20</w:t>
            </w:r>
          </w:p>
        </w:tc>
        <w:tc>
          <w:tcPr>
            <w:tcW w:w="783" w:type="pct"/>
            <w:tcBorders>
              <w:tl2br w:val="nil"/>
              <w:tr2bl w:val="nil"/>
            </w:tcBorders>
            <w:noWrap w:val="0"/>
            <w:vAlign w:val="center"/>
          </w:tcPr>
          <w:p w14:paraId="230E688E">
            <w:pPr>
              <w:pStyle w:val="1358"/>
              <w:ind w:firstLine="0" w:firstLineChars="0"/>
              <w:rPr>
                <w:color w:val="auto"/>
                <w:highlight w:val="none"/>
                <w:lang w:bidi="ar"/>
              </w:rPr>
            </w:pPr>
            <w:r>
              <w:rPr>
                <w:rFonts w:hint="eastAsia" w:ascii="Times New Roman" w:hAnsi="Times New Roman" w:eastAsia="宋体" w:cs="Times New Roman"/>
                <w:color w:val="auto"/>
                <w:highlight w:val="none"/>
                <w:lang w:val="en-US" w:eastAsia="zh-CN"/>
              </w:rPr>
              <w:t>漆雾（颗粒物）</w:t>
            </w:r>
          </w:p>
        </w:tc>
        <w:tc>
          <w:tcPr>
            <w:tcW w:w="817" w:type="pct"/>
            <w:tcBorders>
              <w:tl2br w:val="nil"/>
              <w:tr2bl w:val="nil"/>
            </w:tcBorders>
            <w:shd w:val="clear" w:color="auto" w:fill="auto"/>
            <w:noWrap w:val="0"/>
            <w:vAlign w:val="center"/>
          </w:tcPr>
          <w:p w14:paraId="7497AD0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0.2732 </w:t>
            </w:r>
          </w:p>
        </w:tc>
        <w:tc>
          <w:tcPr>
            <w:tcW w:w="812" w:type="pct"/>
            <w:tcBorders>
              <w:tl2br w:val="nil"/>
              <w:tr2bl w:val="nil"/>
            </w:tcBorders>
            <w:noWrap w:val="0"/>
            <w:vAlign w:val="center"/>
          </w:tcPr>
          <w:p w14:paraId="775B400E">
            <w:pPr>
              <w:pStyle w:val="1358"/>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65.48</w:t>
            </w:r>
          </w:p>
        </w:tc>
        <w:tc>
          <w:tcPr>
            <w:tcW w:w="843" w:type="pct"/>
            <w:tcBorders>
              <w:tl2br w:val="nil"/>
              <w:tr2bl w:val="nil"/>
            </w:tcBorders>
            <w:noWrap w:val="0"/>
            <w:vAlign w:val="center"/>
          </w:tcPr>
          <w:p w14:paraId="6089476B">
            <w:pPr>
              <w:pStyle w:val="1391"/>
              <w:rPr>
                <w:rFonts w:hint="default" w:eastAsia="宋体"/>
                <w:color w:val="auto"/>
                <w:highlight w:val="none"/>
                <w:lang w:val="en-US" w:eastAsia="zh-CN" w:bidi="ar"/>
              </w:rPr>
            </w:pPr>
            <w:r>
              <w:rPr>
                <w:rFonts w:hint="eastAsia"/>
                <w:color w:val="auto"/>
                <w:highlight w:val="none"/>
                <w:lang w:val="en-US" w:eastAsia="zh-CN" w:bidi="ar"/>
              </w:rPr>
              <w:t>100</w:t>
            </w:r>
          </w:p>
        </w:tc>
      </w:tr>
      <w:tr w14:paraId="2BD87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vMerge w:val="continue"/>
            <w:tcBorders>
              <w:tl2br w:val="nil"/>
              <w:tr2bl w:val="nil"/>
            </w:tcBorders>
            <w:noWrap w:val="0"/>
            <w:vAlign w:val="center"/>
          </w:tcPr>
          <w:p w14:paraId="2F85821D">
            <w:pPr>
              <w:pStyle w:val="1391"/>
              <w:rPr>
                <w:rFonts w:hint="eastAsia"/>
                <w:color w:val="auto"/>
                <w:highlight w:val="none"/>
                <w:lang w:val="en-US" w:eastAsia="zh-CN" w:bidi="ar"/>
              </w:rPr>
            </w:pPr>
          </w:p>
        </w:tc>
        <w:tc>
          <w:tcPr>
            <w:tcW w:w="563" w:type="pct"/>
            <w:vMerge w:val="continue"/>
            <w:tcBorders>
              <w:tl2br w:val="nil"/>
              <w:tr2bl w:val="nil"/>
            </w:tcBorders>
            <w:noWrap w:val="0"/>
            <w:vAlign w:val="center"/>
          </w:tcPr>
          <w:p w14:paraId="53AC419D">
            <w:pPr>
              <w:pStyle w:val="1391"/>
              <w:rPr>
                <w:rFonts w:hint="eastAsia"/>
                <w:color w:val="auto"/>
                <w:highlight w:val="none"/>
                <w:lang w:val="en-US" w:eastAsia="zh-CN" w:bidi="ar"/>
              </w:rPr>
            </w:pPr>
          </w:p>
        </w:tc>
        <w:tc>
          <w:tcPr>
            <w:tcW w:w="536" w:type="pct"/>
            <w:vMerge w:val="continue"/>
            <w:tcBorders>
              <w:tl2br w:val="nil"/>
              <w:tr2bl w:val="nil"/>
            </w:tcBorders>
            <w:noWrap w:val="0"/>
            <w:vAlign w:val="center"/>
          </w:tcPr>
          <w:p w14:paraId="58158822">
            <w:pPr>
              <w:pStyle w:val="1391"/>
              <w:rPr>
                <w:rFonts w:hint="eastAsia"/>
                <w:color w:val="auto"/>
                <w:highlight w:val="none"/>
                <w:lang w:val="en-US" w:eastAsia="zh-CN" w:bidi="ar"/>
              </w:rPr>
            </w:pPr>
          </w:p>
        </w:tc>
        <w:tc>
          <w:tcPr>
            <w:tcW w:w="783" w:type="pct"/>
            <w:tcBorders>
              <w:tl2br w:val="nil"/>
              <w:tr2bl w:val="nil"/>
            </w:tcBorders>
            <w:noWrap w:val="0"/>
            <w:vAlign w:val="center"/>
          </w:tcPr>
          <w:p w14:paraId="7FFA153D">
            <w:pPr>
              <w:pStyle w:val="1358"/>
              <w:ind w:firstLine="0" w:firstLineChars="0"/>
              <w:rPr>
                <w:rFonts w:hint="eastAsia"/>
                <w:color w:val="auto"/>
                <w:highlight w:val="none"/>
                <w:lang w:val="en-US" w:eastAsia="zh-CN" w:bidi="ar"/>
              </w:rPr>
            </w:pPr>
            <w:r>
              <w:rPr>
                <w:rFonts w:hint="eastAsia" w:ascii="Times New Roman" w:hAnsi="Times New Roman" w:eastAsia="宋体" w:cs="Times New Roman"/>
                <w:color w:val="auto"/>
                <w:highlight w:val="none"/>
                <w:lang w:val="en-US" w:eastAsia="zh-CN"/>
              </w:rPr>
              <w:t>二甲苯</w:t>
            </w:r>
          </w:p>
        </w:tc>
        <w:tc>
          <w:tcPr>
            <w:tcW w:w="817" w:type="pct"/>
            <w:tcBorders>
              <w:tl2br w:val="nil"/>
              <w:tr2bl w:val="nil"/>
            </w:tcBorders>
            <w:shd w:val="clear" w:color="auto" w:fill="auto"/>
            <w:noWrap w:val="0"/>
            <w:vAlign w:val="center"/>
          </w:tcPr>
          <w:p w14:paraId="31C2326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0.2133 </w:t>
            </w:r>
          </w:p>
        </w:tc>
        <w:tc>
          <w:tcPr>
            <w:tcW w:w="812" w:type="pct"/>
            <w:tcBorders>
              <w:tl2br w:val="nil"/>
              <w:tr2bl w:val="nil"/>
            </w:tcBorders>
            <w:noWrap w:val="0"/>
            <w:vAlign w:val="center"/>
          </w:tcPr>
          <w:p w14:paraId="33BE2F7E">
            <w:pPr>
              <w:pStyle w:val="1358"/>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77.96</w:t>
            </w:r>
          </w:p>
        </w:tc>
        <w:tc>
          <w:tcPr>
            <w:tcW w:w="843" w:type="pct"/>
            <w:tcBorders>
              <w:tl2br w:val="nil"/>
              <w:tr2bl w:val="nil"/>
            </w:tcBorders>
            <w:noWrap w:val="0"/>
            <w:vAlign w:val="center"/>
          </w:tcPr>
          <w:p w14:paraId="2DAC1A45">
            <w:pPr>
              <w:pStyle w:val="1391"/>
              <w:rPr>
                <w:rFonts w:hint="default"/>
                <w:color w:val="auto"/>
                <w:highlight w:val="none"/>
                <w:lang w:val="en-US" w:eastAsia="zh-CN" w:bidi="ar"/>
              </w:rPr>
            </w:pPr>
            <w:r>
              <w:rPr>
                <w:rFonts w:hint="eastAsia"/>
                <w:color w:val="auto"/>
                <w:highlight w:val="none"/>
                <w:lang w:val="en-US" w:eastAsia="zh-CN" w:bidi="ar"/>
              </w:rPr>
              <w:t>100</w:t>
            </w:r>
          </w:p>
        </w:tc>
      </w:tr>
      <w:tr w14:paraId="1C73F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vMerge w:val="continue"/>
            <w:tcBorders>
              <w:tl2br w:val="nil"/>
              <w:tr2bl w:val="nil"/>
            </w:tcBorders>
            <w:noWrap w:val="0"/>
            <w:vAlign w:val="center"/>
          </w:tcPr>
          <w:p w14:paraId="6FDABA9A">
            <w:pPr>
              <w:pStyle w:val="1391"/>
              <w:rPr>
                <w:rFonts w:hint="eastAsia"/>
                <w:color w:val="auto"/>
                <w:highlight w:val="none"/>
                <w:lang w:val="en-US" w:eastAsia="zh-CN" w:bidi="ar"/>
              </w:rPr>
            </w:pPr>
          </w:p>
        </w:tc>
        <w:tc>
          <w:tcPr>
            <w:tcW w:w="563" w:type="pct"/>
            <w:vMerge w:val="continue"/>
            <w:tcBorders>
              <w:tl2br w:val="nil"/>
              <w:tr2bl w:val="nil"/>
            </w:tcBorders>
            <w:noWrap w:val="0"/>
            <w:vAlign w:val="center"/>
          </w:tcPr>
          <w:p w14:paraId="32A2690B">
            <w:pPr>
              <w:pStyle w:val="1391"/>
              <w:rPr>
                <w:rFonts w:hint="eastAsia"/>
                <w:color w:val="auto"/>
                <w:highlight w:val="none"/>
                <w:lang w:val="en-US" w:eastAsia="zh-CN" w:bidi="ar"/>
              </w:rPr>
            </w:pPr>
          </w:p>
        </w:tc>
        <w:tc>
          <w:tcPr>
            <w:tcW w:w="536" w:type="pct"/>
            <w:vMerge w:val="continue"/>
            <w:tcBorders>
              <w:tl2br w:val="nil"/>
              <w:tr2bl w:val="nil"/>
            </w:tcBorders>
            <w:noWrap w:val="0"/>
            <w:vAlign w:val="center"/>
          </w:tcPr>
          <w:p w14:paraId="5317B271">
            <w:pPr>
              <w:pStyle w:val="1391"/>
              <w:rPr>
                <w:rFonts w:hint="eastAsia"/>
                <w:color w:val="auto"/>
                <w:highlight w:val="none"/>
                <w:lang w:val="en-US" w:eastAsia="zh-CN" w:bidi="ar"/>
              </w:rPr>
            </w:pPr>
          </w:p>
        </w:tc>
        <w:tc>
          <w:tcPr>
            <w:tcW w:w="783" w:type="pct"/>
            <w:tcBorders>
              <w:tl2br w:val="nil"/>
              <w:tr2bl w:val="nil"/>
            </w:tcBorders>
            <w:noWrap w:val="0"/>
            <w:vAlign w:val="center"/>
          </w:tcPr>
          <w:p w14:paraId="510D7DB1">
            <w:pPr>
              <w:pStyle w:val="1358"/>
              <w:ind w:firstLine="0" w:firstLineChars="0"/>
              <w:rPr>
                <w:rFonts w:hint="eastAsia"/>
                <w:color w:val="auto"/>
                <w:highlight w:val="none"/>
                <w:lang w:val="en-US" w:eastAsia="zh-CN" w:bidi="ar"/>
              </w:rPr>
            </w:pPr>
            <w:r>
              <w:rPr>
                <w:rFonts w:hint="eastAsia" w:ascii="Times New Roman" w:hAnsi="Times New Roman" w:eastAsia="宋体" w:cs="Times New Roman"/>
                <w:color w:val="auto"/>
                <w:highlight w:val="none"/>
                <w:lang w:val="en-US" w:eastAsia="zh-CN"/>
              </w:rPr>
              <w:t>NMHC（含乙酸丁酯）</w:t>
            </w:r>
          </w:p>
        </w:tc>
        <w:tc>
          <w:tcPr>
            <w:tcW w:w="817" w:type="pct"/>
            <w:tcBorders>
              <w:tl2br w:val="nil"/>
              <w:tr2bl w:val="nil"/>
            </w:tcBorders>
            <w:shd w:val="clear" w:color="auto" w:fill="auto"/>
            <w:noWrap w:val="0"/>
            <w:vAlign w:val="center"/>
          </w:tcPr>
          <w:p w14:paraId="2E676CC5">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0.8973 </w:t>
            </w:r>
          </w:p>
        </w:tc>
        <w:tc>
          <w:tcPr>
            <w:tcW w:w="812" w:type="pct"/>
            <w:tcBorders>
              <w:tl2br w:val="nil"/>
              <w:tr2bl w:val="nil"/>
            </w:tcBorders>
            <w:noWrap w:val="0"/>
            <w:vAlign w:val="center"/>
          </w:tcPr>
          <w:p w14:paraId="1ACD6FDE">
            <w:pPr>
              <w:pStyle w:val="1358"/>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28.13</w:t>
            </w:r>
          </w:p>
        </w:tc>
        <w:tc>
          <w:tcPr>
            <w:tcW w:w="843" w:type="pct"/>
            <w:tcBorders>
              <w:tl2br w:val="nil"/>
              <w:tr2bl w:val="nil"/>
            </w:tcBorders>
            <w:noWrap w:val="0"/>
            <w:vAlign w:val="center"/>
          </w:tcPr>
          <w:p w14:paraId="554CF129">
            <w:pPr>
              <w:pStyle w:val="1391"/>
              <w:rPr>
                <w:rFonts w:hint="default"/>
                <w:color w:val="auto"/>
                <w:highlight w:val="none"/>
                <w:lang w:val="en-US" w:eastAsia="zh-CN" w:bidi="ar"/>
              </w:rPr>
            </w:pPr>
            <w:r>
              <w:rPr>
                <w:rFonts w:hint="eastAsia"/>
                <w:color w:val="auto"/>
                <w:highlight w:val="none"/>
                <w:lang w:val="en-US" w:eastAsia="zh-CN" w:bidi="ar"/>
              </w:rPr>
              <w:t>50</w:t>
            </w:r>
          </w:p>
        </w:tc>
      </w:tr>
      <w:tr w14:paraId="28EBE7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vMerge w:val="restart"/>
            <w:tcBorders>
              <w:tl2br w:val="nil"/>
              <w:tr2bl w:val="nil"/>
            </w:tcBorders>
            <w:noWrap w:val="0"/>
            <w:vAlign w:val="center"/>
          </w:tcPr>
          <w:p w14:paraId="01B18E29">
            <w:pPr>
              <w:pStyle w:val="1358"/>
              <w:ind w:firstLine="0" w:firstLineChars="0"/>
              <w:rPr>
                <w:rFonts w:hint="eastAsia"/>
                <w:color w:val="auto"/>
                <w:highlight w:val="none"/>
                <w:lang w:val="en-US" w:eastAsia="zh-CN" w:bidi="ar"/>
              </w:rPr>
            </w:pPr>
            <w:r>
              <w:rPr>
                <w:rFonts w:hint="eastAsia" w:cs="Times New Roman"/>
                <w:color w:val="auto"/>
                <w:highlight w:val="none"/>
                <w:lang w:val="en-US" w:eastAsia="zh-CN"/>
              </w:rPr>
              <w:t>B库</w:t>
            </w:r>
            <w:r>
              <w:rPr>
                <w:rFonts w:hint="eastAsia" w:ascii="Times New Roman" w:hAnsi="Times New Roman" w:eastAsia="宋体" w:cs="Times New Roman"/>
                <w:color w:val="auto"/>
                <w:highlight w:val="none"/>
                <w:lang w:val="en-US" w:eastAsia="zh-CN"/>
              </w:rPr>
              <w:t>厂房</w:t>
            </w:r>
          </w:p>
        </w:tc>
        <w:tc>
          <w:tcPr>
            <w:tcW w:w="563" w:type="pct"/>
            <w:vMerge w:val="restart"/>
            <w:tcBorders>
              <w:tl2br w:val="nil"/>
              <w:tr2bl w:val="nil"/>
            </w:tcBorders>
            <w:noWrap w:val="0"/>
            <w:vAlign w:val="center"/>
          </w:tcPr>
          <w:p w14:paraId="2B1C6D3A">
            <w:pPr>
              <w:pStyle w:val="1391"/>
              <w:rPr>
                <w:rFonts w:hint="default"/>
                <w:color w:val="auto"/>
                <w:highlight w:val="none"/>
                <w:lang w:val="en-US" w:eastAsia="zh-CN" w:bidi="ar"/>
              </w:rPr>
            </w:pPr>
            <w:r>
              <w:rPr>
                <w:rFonts w:hint="eastAsia"/>
                <w:color w:val="auto"/>
                <w:highlight w:val="none"/>
                <w:lang w:val="en-US" w:eastAsia="zh-CN" w:bidi="ar"/>
              </w:rPr>
              <w:t>106*49</w:t>
            </w:r>
          </w:p>
        </w:tc>
        <w:tc>
          <w:tcPr>
            <w:tcW w:w="536" w:type="pct"/>
            <w:vMerge w:val="restart"/>
            <w:tcBorders>
              <w:tl2br w:val="nil"/>
              <w:tr2bl w:val="nil"/>
            </w:tcBorders>
            <w:noWrap w:val="0"/>
            <w:vAlign w:val="center"/>
          </w:tcPr>
          <w:p w14:paraId="167F283B">
            <w:pPr>
              <w:pStyle w:val="1391"/>
              <w:rPr>
                <w:rFonts w:hint="default"/>
                <w:color w:val="auto"/>
                <w:highlight w:val="none"/>
                <w:lang w:val="en-US" w:eastAsia="zh-CN" w:bidi="ar"/>
              </w:rPr>
            </w:pPr>
            <w:r>
              <w:rPr>
                <w:rFonts w:hint="eastAsia"/>
                <w:color w:val="auto"/>
                <w:highlight w:val="none"/>
                <w:lang w:val="en-US" w:eastAsia="zh-CN" w:bidi="ar"/>
              </w:rPr>
              <w:t>20</w:t>
            </w:r>
          </w:p>
        </w:tc>
        <w:tc>
          <w:tcPr>
            <w:tcW w:w="783" w:type="pct"/>
            <w:tcBorders>
              <w:tl2br w:val="nil"/>
              <w:tr2bl w:val="nil"/>
            </w:tcBorders>
            <w:noWrap w:val="0"/>
            <w:vAlign w:val="center"/>
          </w:tcPr>
          <w:p w14:paraId="4D10ADF3">
            <w:pPr>
              <w:pStyle w:val="1358"/>
              <w:ind w:firstLine="0" w:firstLineChars="0"/>
              <w:rPr>
                <w:rFonts w:hint="eastAsia"/>
                <w:color w:val="auto"/>
                <w:highlight w:val="none"/>
                <w:lang w:val="en-US" w:eastAsia="zh-CN" w:bidi="ar"/>
              </w:rPr>
            </w:pPr>
            <w:r>
              <w:rPr>
                <w:rFonts w:hint="eastAsia" w:ascii="Times New Roman" w:hAnsi="Times New Roman" w:eastAsia="宋体" w:cs="Times New Roman"/>
                <w:color w:val="auto"/>
                <w:highlight w:val="none"/>
                <w:lang w:val="en-US" w:eastAsia="zh-CN"/>
              </w:rPr>
              <w:t>NMHC</w:t>
            </w:r>
          </w:p>
        </w:tc>
        <w:tc>
          <w:tcPr>
            <w:tcW w:w="817" w:type="pct"/>
            <w:tcBorders>
              <w:tl2br w:val="nil"/>
              <w:tr2bl w:val="nil"/>
            </w:tcBorders>
            <w:shd w:val="clear" w:color="auto" w:fill="auto"/>
            <w:noWrap w:val="0"/>
            <w:vAlign w:val="center"/>
          </w:tcPr>
          <w:p w14:paraId="6834FA11">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 xml:space="preserve">0.0530 </w:t>
            </w:r>
          </w:p>
        </w:tc>
        <w:tc>
          <w:tcPr>
            <w:tcW w:w="812" w:type="pct"/>
            <w:tcBorders>
              <w:tl2br w:val="nil"/>
              <w:tr2bl w:val="nil"/>
            </w:tcBorders>
            <w:noWrap w:val="0"/>
            <w:vAlign w:val="center"/>
          </w:tcPr>
          <w:p w14:paraId="3DEAA07C">
            <w:pPr>
              <w:pStyle w:val="1358"/>
              <w:rPr>
                <w:rFonts w:hint="default" w:ascii="Times New Roman" w:hAnsi="Times New Roman" w:eastAsia="宋体" w:cs="Times New Roman"/>
                <w:color w:val="auto"/>
                <w:highlight w:val="none"/>
                <w:lang w:val="en-US" w:eastAsia="zh-CN" w:bidi="ar"/>
              </w:rPr>
            </w:pPr>
            <w:r>
              <w:rPr>
                <w:rFonts w:hint="eastAsia" w:cs="Times New Roman"/>
                <w:color w:val="auto"/>
                <w:highlight w:val="none"/>
                <w:lang w:val="en-US" w:eastAsia="zh-CN" w:bidi="ar"/>
              </w:rPr>
              <w:t>0.43</w:t>
            </w:r>
          </w:p>
        </w:tc>
        <w:tc>
          <w:tcPr>
            <w:tcW w:w="843" w:type="pct"/>
            <w:tcBorders>
              <w:tl2br w:val="nil"/>
              <w:tr2bl w:val="nil"/>
            </w:tcBorders>
            <w:noWrap w:val="0"/>
            <w:vAlign w:val="center"/>
          </w:tcPr>
          <w:p w14:paraId="04B618F6">
            <w:pPr>
              <w:pStyle w:val="1391"/>
              <w:rPr>
                <w:rFonts w:hint="default"/>
                <w:color w:val="auto"/>
                <w:highlight w:val="none"/>
                <w:lang w:val="en-US" w:eastAsia="zh-CN" w:bidi="ar"/>
              </w:rPr>
            </w:pPr>
            <w:r>
              <w:rPr>
                <w:rFonts w:hint="eastAsia"/>
                <w:color w:val="auto"/>
                <w:highlight w:val="none"/>
                <w:lang w:val="en-US" w:eastAsia="zh-CN" w:bidi="ar"/>
              </w:rPr>
              <w:t>50</w:t>
            </w:r>
          </w:p>
        </w:tc>
      </w:tr>
      <w:tr w14:paraId="0CC4F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42" w:type="pct"/>
            <w:vMerge w:val="continue"/>
            <w:tcBorders>
              <w:tl2br w:val="nil"/>
              <w:tr2bl w:val="nil"/>
            </w:tcBorders>
            <w:noWrap w:val="0"/>
            <w:vAlign w:val="center"/>
          </w:tcPr>
          <w:p w14:paraId="1509BE45">
            <w:pPr>
              <w:pStyle w:val="1391"/>
              <w:rPr>
                <w:rFonts w:hint="eastAsia"/>
                <w:color w:val="auto"/>
                <w:highlight w:val="none"/>
                <w:lang w:val="en-US" w:eastAsia="zh-CN" w:bidi="ar"/>
              </w:rPr>
            </w:pPr>
          </w:p>
        </w:tc>
        <w:tc>
          <w:tcPr>
            <w:tcW w:w="563" w:type="pct"/>
            <w:vMerge w:val="continue"/>
            <w:tcBorders>
              <w:tl2br w:val="nil"/>
              <w:tr2bl w:val="nil"/>
            </w:tcBorders>
            <w:noWrap w:val="0"/>
            <w:vAlign w:val="center"/>
          </w:tcPr>
          <w:p w14:paraId="3B7EFDA9">
            <w:pPr>
              <w:pStyle w:val="1391"/>
              <w:rPr>
                <w:rFonts w:hint="eastAsia"/>
                <w:color w:val="auto"/>
                <w:highlight w:val="none"/>
                <w:lang w:val="en-US" w:eastAsia="zh-CN" w:bidi="ar"/>
              </w:rPr>
            </w:pPr>
          </w:p>
        </w:tc>
        <w:tc>
          <w:tcPr>
            <w:tcW w:w="536" w:type="pct"/>
            <w:vMerge w:val="continue"/>
            <w:tcBorders>
              <w:tl2br w:val="nil"/>
              <w:tr2bl w:val="nil"/>
            </w:tcBorders>
            <w:noWrap w:val="0"/>
            <w:vAlign w:val="center"/>
          </w:tcPr>
          <w:p w14:paraId="44797FBE">
            <w:pPr>
              <w:pStyle w:val="1391"/>
              <w:rPr>
                <w:rFonts w:hint="eastAsia"/>
                <w:color w:val="auto"/>
                <w:highlight w:val="none"/>
                <w:lang w:val="en-US" w:eastAsia="zh-CN" w:bidi="ar"/>
              </w:rPr>
            </w:pPr>
          </w:p>
        </w:tc>
        <w:tc>
          <w:tcPr>
            <w:tcW w:w="783" w:type="pct"/>
            <w:tcBorders>
              <w:tl2br w:val="nil"/>
              <w:tr2bl w:val="nil"/>
            </w:tcBorders>
            <w:noWrap w:val="0"/>
            <w:vAlign w:val="center"/>
          </w:tcPr>
          <w:p w14:paraId="1A2FC93F">
            <w:pPr>
              <w:pStyle w:val="1358"/>
              <w:ind w:firstLine="0" w:firstLineChars="0"/>
              <w:rPr>
                <w:rFonts w:hint="eastAsia"/>
                <w:color w:val="auto"/>
                <w:highlight w:val="none"/>
                <w:lang w:val="en-US" w:eastAsia="zh-CN" w:bidi="ar"/>
              </w:rPr>
            </w:pPr>
            <w:r>
              <w:rPr>
                <w:rFonts w:hint="eastAsia" w:ascii="Times New Roman" w:hAnsi="Times New Roman" w:eastAsia="宋体" w:cs="Times New Roman"/>
                <w:color w:val="auto"/>
                <w:highlight w:val="none"/>
                <w:lang w:val="en-US" w:eastAsia="zh-CN"/>
              </w:rPr>
              <w:t>颗粒物</w:t>
            </w:r>
          </w:p>
        </w:tc>
        <w:tc>
          <w:tcPr>
            <w:tcW w:w="817" w:type="pct"/>
            <w:tcBorders>
              <w:tl2br w:val="nil"/>
              <w:tr2bl w:val="nil"/>
            </w:tcBorders>
            <w:shd w:val="clear" w:color="auto" w:fill="auto"/>
            <w:noWrap w:val="0"/>
            <w:vAlign w:val="center"/>
          </w:tcPr>
          <w:p w14:paraId="753B5E9E">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0.0461 </w:t>
            </w:r>
          </w:p>
        </w:tc>
        <w:tc>
          <w:tcPr>
            <w:tcW w:w="812" w:type="pct"/>
            <w:tcBorders>
              <w:tl2br w:val="nil"/>
              <w:tr2bl w:val="nil"/>
            </w:tcBorders>
            <w:noWrap w:val="0"/>
            <w:vAlign w:val="center"/>
          </w:tcPr>
          <w:p w14:paraId="340330A9">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0.42</w:t>
            </w:r>
          </w:p>
        </w:tc>
        <w:tc>
          <w:tcPr>
            <w:tcW w:w="843" w:type="pct"/>
            <w:tcBorders>
              <w:tl2br w:val="nil"/>
              <w:tr2bl w:val="nil"/>
            </w:tcBorders>
            <w:noWrap w:val="0"/>
            <w:vAlign w:val="center"/>
          </w:tcPr>
          <w:p w14:paraId="02B57568">
            <w:pPr>
              <w:pStyle w:val="1391"/>
              <w:rPr>
                <w:rFonts w:hint="default"/>
                <w:color w:val="auto"/>
                <w:highlight w:val="none"/>
                <w:lang w:val="en-US" w:eastAsia="zh-CN" w:bidi="ar"/>
              </w:rPr>
            </w:pPr>
            <w:r>
              <w:rPr>
                <w:rFonts w:hint="eastAsia"/>
                <w:color w:val="auto"/>
                <w:highlight w:val="none"/>
                <w:lang w:val="en-US" w:eastAsia="zh-CN" w:bidi="ar"/>
              </w:rPr>
              <w:t>50</w:t>
            </w:r>
          </w:p>
        </w:tc>
      </w:tr>
    </w:tbl>
    <w:p w14:paraId="15DDE7DA">
      <w:pPr>
        <w:tabs>
          <w:tab w:val="left" w:pos="7380"/>
        </w:tabs>
        <w:adjustRightInd w:val="0"/>
        <w:snapToGrid w:val="0"/>
        <w:ind w:firstLine="480"/>
        <w:rPr>
          <w:color w:val="auto"/>
          <w:highlight w:val="none"/>
        </w:rPr>
      </w:pPr>
      <w:r>
        <w:rPr>
          <w:rFonts w:hint="eastAsia"/>
          <w:color w:val="auto"/>
          <w:highlight w:val="none"/>
          <w:lang w:val="en-US" w:eastAsia="zh-CN"/>
        </w:rPr>
        <w:t>参照</w:t>
      </w:r>
      <w:r>
        <w:rPr>
          <w:color w:val="auto"/>
          <w:highlight w:val="none"/>
        </w:rPr>
        <w:t>《大气有毒有害物质无组织排放卫生防护距离推导技术导则》（GB/T39499-2020）中的规定</w:t>
      </w:r>
      <w:r>
        <w:rPr>
          <w:rFonts w:hint="eastAsia"/>
          <w:color w:val="auto"/>
          <w:highlight w:val="none"/>
          <w:lang w:eastAsia="zh-CN"/>
        </w:rPr>
        <w:t>卫生</w:t>
      </w:r>
      <w:r>
        <w:rPr>
          <w:color w:val="auto"/>
          <w:highlight w:val="none"/>
        </w:rPr>
        <w:t>防护距离初值小于50m时，级差为50m，如计算初值小于50m，卫生防护距离终值取50m，卫生防护距离初值大于或等于50m，但小于100m时，级差为50m如计算初值</w:t>
      </w:r>
      <w:r>
        <w:rPr>
          <w:rFonts w:hint="eastAsia"/>
          <w:color w:val="auto"/>
          <w:highlight w:val="none"/>
          <w:lang w:eastAsia="zh-CN"/>
        </w:rPr>
        <w:t>大于或等于</w:t>
      </w:r>
      <w:r>
        <w:rPr>
          <w:color w:val="auto"/>
          <w:highlight w:val="none"/>
        </w:rPr>
        <w:t>50m并小于100m时，卫生防护距离终值取100m；多种特征大气有害物质终值的确定，当企业某生产单元的无组织排放存在多种特大气有害物质时，如果分别推导出的卫生防护距离，初值在同一级别时，则该企业的卫生防护距离终值应提高一级；卫生防护距离初值不在同一级别的，以卫生防护距离终值较大者为准</w:t>
      </w:r>
      <w:r>
        <w:rPr>
          <w:rFonts w:hint="eastAsia"/>
          <w:color w:val="auto"/>
          <w:highlight w:val="none"/>
          <w:lang w:eastAsia="zh-CN"/>
        </w:rPr>
        <w:t>”</w:t>
      </w:r>
      <w:r>
        <w:rPr>
          <w:color w:val="auto"/>
          <w:highlight w:val="none"/>
        </w:rPr>
        <w:t>。</w:t>
      </w:r>
    </w:p>
    <w:p w14:paraId="0F7E1F00">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根据表</w:t>
      </w:r>
      <w:r>
        <w:rPr>
          <w:rFonts w:hint="eastAsia" w:ascii="Times New Roman" w:hAnsi="Times New Roman" w:eastAsia="宋体" w:cs="Times New Roman"/>
          <w:color w:val="auto"/>
          <w:highlight w:val="none"/>
          <w:lang w:val="en-US" w:eastAsia="zh-CN"/>
        </w:rPr>
        <w:t>5.3-1</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rPr>
        <w:t>计算结果，本项目卫生防护距离为</w:t>
      </w:r>
      <w:r>
        <w:rPr>
          <w:rFonts w:hint="eastAsia" w:cs="Times New Roman"/>
          <w:color w:val="auto"/>
          <w:highlight w:val="none"/>
          <w:lang w:val="en-US" w:eastAsia="zh-CN"/>
        </w:rPr>
        <w:t>A库</w:t>
      </w:r>
      <w:r>
        <w:rPr>
          <w:rFonts w:hint="eastAsia" w:ascii="Times New Roman" w:hAnsi="Times New Roman" w:eastAsia="宋体" w:cs="Times New Roman"/>
          <w:color w:val="auto"/>
          <w:highlight w:val="none"/>
          <w:lang w:val="en-US" w:eastAsia="zh-CN"/>
        </w:rPr>
        <w:t>厂房</w:t>
      </w:r>
      <w:r>
        <w:rPr>
          <w:rFonts w:hint="eastAsia" w:ascii="Times New Roman" w:hAnsi="Times New Roman" w:eastAsia="宋体" w:cs="Times New Roman"/>
          <w:color w:val="auto"/>
          <w:highlight w:val="none"/>
        </w:rPr>
        <w:t>外</w:t>
      </w:r>
      <w:r>
        <w:rPr>
          <w:rFonts w:hint="eastAsia" w:cs="Times New Roman"/>
          <w:color w:val="auto"/>
          <w:highlight w:val="none"/>
          <w:lang w:val="en-US" w:eastAsia="zh-CN"/>
        </w:rPr>
        <w:t>10</w:t>
      </w:r>
      <w:r>
        <w:rPr>
          <w:rFonts w:hint="eastAsia"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rPr>
        <w:t>m</w:t>
      </w:r>
      <w:r>
        <w:rPr>
          <w:rFonts w:hint="eastAsia" w:cs="Times New Roman"/>
          <w:color w:val="auto"/>
          <w:highlight w:val="none"/>
          <w:lang w:eastAsia="zh-CN"/>
        </w:rPr>
        <w:t>、</w:t>
      </w:r>
      <w:r>
        <w:rPr>
          <w:rFonts w:hint="eastAsia" w:cs="Times New Roman"/>
          <w:color w:val="auto"/>
          <w:highlight w:val="none"/>
          <w:lang w:val="en-US" w:eastAsia="zh-CN"/>
        </w:rPr>
        <w:t>B库厂房外50m</w:t>
      </w:r>
      <w:r>
        <w:rPr>
          <w:rFonts w:hint="eastAsia" w:ascii="Times New Roman" w:hAnsi="Times New Roman" w:eastAsia="宋体" w:cs="Times New Roman"/>
          <w:color w:val="auto"/>
          <w:highlight w:val="none"/>
        </w:rPr>
        <w:t>，本项目卫生防护距离范围内均为其他工业企业，无居民点等环境保护目标</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sz w:val="24"/>
          <w:highlight w:val="none"/>
          <w:u w:val="none" w:color="auto"/>
          <w:lang w:val="en-US" w:eastAsia="zh-CN"/>
        </w:rPr>
        <w:t>同时要求</w:t>
      </w:r>
      <w:r>
        <w:rPr>
          <w:rFonts w:hint="default" w:ascii="Times New Roman" w:hAnsi="Times New Roman" w:eastAsia="宋体" w:cs="Times New Roman"/>
          <w:color w:val="auto"/>
          <w:sz w:val="24"/>
          <w:highlight w:val="none"/>
          <w:u w:val="none" w:color="auto"/>
          <w:lang w:val="en-US" w:eastAsia="zh-CN"/>
        </w:rPr>
        <w:t>禁止</w:t>
      </w:r>
      <w:r>
        <w:rPr>
          <w:rFonts w:hint="eastAsia" w:ascii="Times New Roman" w:hAnsi="Times New Roman" w:eastAsia="宋体" w:cs="Times New Roman"/>
          <w:color w:val="auto"/>
          <w:sz w:val="24"/>
          <w:highlight w:val="none"/>
          <w:u w:val="none" w:color="auto"/>
          <w:lang w:val="en-US" w:eastAsia="zh-CN"/>
        </w:rPr>
        <w:t>在此范围内</w:t>
      </w:r>
      <w:r>
        <w:rPr>
          <w:rFonts w:hint="default" w:ascii="Times New Roman" w:hAnsi="Times New Roman" w:eastAsia="宋体" w:cs="Times New Roman"/>
          <w:color w:val="auto"/>
          <w:sz w:val="24"/>
          <w:highlight w:val="none"/>
          <w:u w:val="none" w:color="auto"/>
          <w:lang w:val="en-US" w:eastAsia="zh-CN"/>
        </w:rPr>
        <w:t>新建居民住宅、学校、医院等建筑</w:t>
      </w:r>
      <w:r>
        <w:rPr>
          <w:rFonts w:hint="eastAsia" w:ascii="Times New Roman" w:hAnsi="Times New Roman" w:eastAsia="宋体" w:cs="Times New Roman"/>
          <w:color w:val="auto"/>
          <w:highlight w:val="none"/>
        </w:rPr>
        <w:t>。详见图</w:t>
      </w:r>
      <w:r>
        <w:rPr>
          <w:rFonts w:hint="eastAsia" w:ascii="Times New Roman" w:hAnsi="Times New Roman" w:eastAsia="宋体" w:cs="Times New Roman"/>
          <w:color w:val="auto"/>
          <w:highlight w:val="none"/>
          <w:lang w:val="en-US" w:eastAsia="zh-CN"/>
        </w:rPr>
        <w:t>5.3.12</w:t>
      </w:r>
      <w:r>
        <w:rPr>
          <w:rFonts w:hint="eastAsia" w:ascii="Times New Roman" w:hAnsi="Times New Roman" w:eastAsia="宋体" w:cs="Times New Roman"/>
          <w:color w:val="auto"/>
          <w:highlight w:val="none"/>
        </w:rPr>
        <w:t>。</w:t>
      </w:r>
    </w:p>
    <w:p w14:paraId="1C2473B0">
      <w:pPr>
        <w:bidi w:val="0"/>
        <w:ind w:left="0" w:leftChars="0" w:firstLine="0" w:firstLineChars="0"/>
        <w:rPr>
          <w:rFonts w:hint="default"/>
          <w:color w:val="auto"/>
          <w:highlight w:val="none"/>
          <w:lang w:eastAsia="zh-CN"/>
        </w:rPr>
      </w:pPr>
      <w:r>
        <w:rPr>
          <w:color w:val="auto"/>
          <w:sz w:val="24"/>
          <w:highlight w:val="none"/>
        </w:rPr>
        <mc:AlternateContent>
          <mc:Choice Requires="wps">
            <w:drawing>
              <wp:anchor distT="0" distB="0" distL="114300" distR="114300" simplePos="0" relativeHeight="251689984" behindDoc="0" locked="0" layoutInCell="1" allowOverlap="1">
                <wp:simplePos x="0" y="0"/>
                <wp:positionH relativeFrom="column">
                  <wp:posOffset>3279775</wp:posOffset>
                </wp:positionH>
                <wp:positionV relativeFrom="paragraph">
                  <wp:posOffset>1496060</wp:posOffset>
                </wp:positionV>
                <wp:extent cx="819150" cy="409575"/>
                <wp:effectExtent l="0" t="0" r="0" b="0"/>
                <wp:wrapNone/>
                <wp:docPr id="293" name="文本框 293"/>
                <wp:cNvGraphicFramePr/>
                <a:graphic xmlns:a="http://schemas.openxmlformats.org/drawingml/2006/main">
                  <a:graphicData uri="http://schemas.microsoft.com/office/word/2010/wordprocessingShape">
                    <wps:wsp>
                      <wps:cNvSpPr txBox="1"/>
                      <wps:spPr>
                        <a:xfrm>
                          <a:off x="0" y="0"/>
                          <a:ext cx="819150"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5F117">
                            <w:pPr>
                              <w:ind w:left="0" w:leftChars="0" w:firstLine="0" w:firstLineChars="0"/>
                              <w:rPr>
                                <w:rFonts w:hint="default" w:eastAsia="宋体"/>
                                <w:color w:val="FF0000"/>
                                <w:lang w:val="en-US" w:eastAsia="zh-CN"/>
                              </w:rPr>
                            </w:pPr>
                            <w:r>
                              <w:rPr>
                                <w:rFonts w:hint="eastAsia"/>
                                <w:color w:val="FF0000"/>
                                <w:lang w:val="en-US" w:eastAsia="zh-CN"/>
                              </w:rPr>
                              <w:t>B库厂房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25pt;margin-top:117.8pt;height:32.25pt;width:64.5pt;z-index:251689984;mso-width-relative:page;mso-height-relative:page;" filled="f" stroked="f" coordsize="21600,21600" o:gfxdata="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&#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K7n6C2wAAAAsBAAAPAAAAAAAAAAEAIAAAACIAAABk&#10;cnMvZG93bnJldi54bWxQSwECFAAUAAAACACHTuJAgvU8BjwCAABpBAAADgAAAAAAAAABACAAAAAq&#10;AQAAZHJzL2Uyb0RvYy54bWxQSwUGAAAAAAYABgBZAQAA2AUAAAAA&#10;">
                <v:fill on="f" focussize="0,0"/>
                <v:stroke on="f" weight="0.5pt"/>
                <v:imagedata o:title=""/>
                <o:lock v:ext="edit" aspectratio="f"/>
                <v:textbox>
                  <w:txbxContent>
                    <w:p w14:paraId="44F5F117">
                      <w:pPr>
                        <w:ind w:left="0" w:leftChars="0" w:firstLine="0" w:firstLineChars="0"/>
                        <w:rPr>
                          <w:rFonts w:hint="default" w:eastAsia="宋体"/>
                          <w:color w:val="FF0000"/>
                          <w:lang w:val="en-US" w:eastAsia="zh-CN"/>
                        </w:rPr>
                      </w:pPr>
                      <w:r>
                        <w:rPr>
                          <w:rFonts w:hint="eastAsia"/>
                          <w:color w:val="FF0000"/>
                          <w:lang w:val="en-US" w:eastAsia="zh-CN"/>
                        </w:rPr>
                        <w:t>B库厂房</w:t>
                      </w:r>
                    </w:p>
                  </w:txbxContent>
                </v:textbox>
              </v:shape>
            </w:pict>
          </mc:Fallback>
        </mc:AlternateContent>
      </w:r>
      <w:r>
        <w:rPr>
          <w:color w:val="auto"/>
          <w:sz w:val="24"/>
          <w:highlight w:val="none"/>
        </w:rPr>
        <mc:AlternateContent>
          <mc:Choice Requires="wps">
            <w:drawing>
              <wp:anchor distT="0" distB="0" distL="114300" distR="114300" simplePos="0" relativeHeight="251688960" behindDoc="0" locked="0" layoutInCell="1" allowOverlap="1">
                <wp:simplePos x="0" y="0"/>
                <wp:positionH relativeFrom="column">
                  <wp:posOffset>2632075</wp:posOffset>
                </wp:positionH>
                <wp:positionV relativeFrom="paragraph">
                  <wp:posOffset>1915160</wp:posOffset>
                </wp:positionV>
                <wp:extent cx="819150" cy="409575"/>
                <wp:effectExtent l="0" t="0" r="0" b="0"/>
                <wp:wrapNone/>
                <wp:docPr id="291" name="文本框 291"/>
                <wp:cNvGraphicFramePr/>
                <a:graphic xmlns:a="http://schemas.openxmlformats.org/drawingml/2006/main">
                  <a:graphicData uri="http://schemas.microsoft.com/office/word/2010/wordprocessingShape">
                    <wps:wsp>
                      <wps:cNvSpPr txBox="1"/>
                      <wps:spPr>
                        <a:xfrm>
                          <a:off x="0" y="0"/>
                          <a:ext cx="819150"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19114">
                            <w:pPr>
                              <w:ind w:left="0" w:leftChars="0" w:firstLine="0" w:firstLineChars="0"/>
                              <w:rPr>
                                <w:rFonts w:hint="default" w:eastAsia="宋体"/>
                                <w:color w:val="FF0000"/>
                                <w:lang w:val="en-US" w:eastAsia="zh-CN"/>
                              </w:rPr>
                            </w:pPr>
                            <w:r>
                              <w:rPr>
                                <w:rFonts w:hint="eastAsia"/>
                                <w:color w:val="FF0000"/>
                                <w:lang w:val="en-US" w:eastAsia="zh-CN"/>
                              </w:rPr>
                              <w:t>A库厂房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25pt;margin-top:150.8pt;height:32.25pt;width:64.5pt;z-index:251688960;mso-width-relative:page;mso-height-relative:page;" filled="f" stroked="f" coordsize="21600,21600" o:gfxdata="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d1ewI3AAAAAsBAAAPAAAAAAAAAAEAIAAAACIAAABk&#10;cnMvZG93bnJldi54bWxQSwECFAAUAAAACACHTuJAmOoMajsCAABpBAAADgAAAAAAAAABACAAAAAr&#10;AQAAZHJzL2Uyb0RvYy54bWxQSwUGAAAAAAYABgBZAQAA2AUAAAAA&#10;">
                <v:fill on="f" focussize="0,0"/>
                <v:stroke on="f" weight="0.5pt"/>
                <v:imagedata o:title=""/>
                <o:lock v:ext="edit" aspectratio="f"/>
                <v:textbox>
                  <w:txbxContent>
                    <w:p w14:paraId="31519114">
                      <w:pPr>
                        <w:ind w:left="0" w:leftChars="0" w:firstLine="0" w:firstLineChars="0"/>
                        <w:rPr>
                          <w:rFonts w:hint="default" w:eastAsia="宋体"/>
                          <w:color w:val="FF0000"/>
                          <w:lang w:val="en-US" w:eastAsia="zh-CN"/>
                        </w:rPr>
                      </w:pPr>
                      <w:r>
                        <w:rPr>
                          <w:rFonts w:hint="eastAsia"/>
                          <w:color w:val="FF0000"/>
                          <w:lang w:val="en-US" w:eastAsia="zh-CN"/>
                        </w:rPr>
                        <w:t>A库厂房</w:t>
                      </w:r>
                    </w:p>
                  </w:txbxContent>
                </v:textbox>
              </v:shape>
            </w:pict>
          </mc:Fallback>
        </mc:AlternateContent>
      </w:r>
      <w:r>
        <w:rPr>
          <w:color w:val="auto"/>
          <w:sz w:val="24"/>
          <w:highlight w:val="none"/>
        </w:rPr>
        <mc:AlternateContent>
          <mc:Choice Requires="wps">
            <w:drawing>
              <wp:anchor distT="0" distB="0" distL="114300" distR="114300" simplePos="0" relativeHeight="251687936" behindDoc="0" locked="0" layoutInCell="1" allowOverlap="1">
                <wp:simplePos x="0" y="0"/>
                <wp:positionH relativeFrom="column">
                  <wp:posOffset>3822700</wp:posOffset>
                </wp:positionH>
                <wp:positionV relativeFrom="paragraph">
                  <wp:posOffset>962660</wp:posOffset>
                </wp:positionV>
                <wp:extent cx="619125" cy="409575"/>
                <wp:effectExtent l="0" t="0" r="0" b="0"/>
                <wp:wrapNone/>
                <wp:docPr id="290" name="文本框 290"/>
                <wp:cNvGraphicFramePr/>
                <a:graphic xmlns:a="http://schemas.openxmlformats.org/drawingml/2006/main">
                  <a:graphicData uri="http://schemas.microsoft.com/office/word/2010/wordprocessingShape">
                    <wps:wsp>
                      <wps:cNvSpPr txBox="1"/>
                      <wps:spPr>
                        <a:xfrm>
                          <a:off x="0" y="0"/>
                          <a:ext cx="619125"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D967E8">
                            <w:pPr>
                              <w:ind w:left="0" w:leftChars="0" w:firstLine="0" w:firstLineChars="0"/>
                              <w:rPr>
                                <w:rFonts w:hint="default" w:eastAsia="宋体"/>
                                <w:color w:val="FFFF00"/>
                                <w:lang w:val="en-US" w:eastAsia="zh-CN"/>
                              </w:rPr>
                            </w:pPr>
                            <w:r>
                              <w:rPr>
                                <w:rFonts w:hint="eastAsia"/>
                                <w:color w:val="FFFF00"/>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pt;margin-top:75.8pt;height:32.25pt;width:48.75pt;z-index:251687936;mso-width-relative:page;mso-height-relative:page;" filled="f" stroked="f" coordsize="21600,21600" o:gfxdata="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&#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c+Dd2wAAAAsBAAAPAAAAAAAAAAEAIAAAACIAAABk&#10;cnMvZG93bnJldi54bWxQSwECFAAUAAAACACHTuJA//dnMTwCAABpBAAADgAAAAAAAAABACAAAAAq&#10;AQAAZHJzL2Uyb0RvYy54bWxQSwUGAAAAAAYABgBZAQAA2AUAAAAA&#10;">
                <v:fill on="f" focussize="0,0"/>
                <v:stroke on="f" weight="0.5pt"/>
                <v:imagedata o:title=""/>
                <o:lock v:ext="edit" aspectratio="f"/>
                <v:textbox>
                  <w:txbxContent>
                    <w:p w14:paraId="50D967E8">
                      <w:pPr>
                        <w:ind w:left="0" w:leftChars="0" w:firstLine="0" w:firstLineChars="0"/>
                        <w:rPr>
                          <w:rFonts w:hint="default" w:eastAsia="宋体"/>
                          <w:color w:val="FFFF00"/>
                          <w:lang w:val="en-US" w:eastAsia="zh-CN"/>
                        </w:rPr>
                      </w:pPr>
                      <w:r>
                        <w:rPr>
                          <w:rFonts w:hint="eastAsia"/>
                          <w:color w:val="FFFF00"/>
                          <w:lang w:val="en-US" w:eastAsia="zh-CN"/>
                        </w:rPr>
                        <w:t>50m</w:t>
                      </w:r>
                    </w:p>
                  </w:txbxContent>
                </v:textbox>
              </v:shape>
            </w:pict>
          </mc:Fallback>
        </mc:AlternateContent>
      </w:r>
      <w:r>
        <w:rPr>
          <w:color w:val="auto"/>
          <w:sz w:val="24"/>
          <w:highlight w:val="none"/>
        </w:rPr>
        <mc:AlternateContent>
          <mc:Choice Requires="wps">
            <w:drawing>
              <wp:anchor distT="0" distB="0" distL="114300" distR="114300" simplePos="0" relativeHeight="251686912" behindDoc="0" locked="0" layoutInCell="1" allowOverlap="1">
                <wp:simplePos x="0" y="0"/>
                <wp:positionH relativeFrom="column">
                  <wp:posOffset>1879600</wp:posOffset>
                </wp:positionH>
                <wp:positionV relativeFrom="paragraph">
                  <wp:posOffset>2591435</wp:posOffset>
                </wp:positionV>
                <wp:extent cx="619125" cy="409575"/>
                <wp:effectExtent l="0" t="0" r="0" b="0"/>
                <wp:wrapNone/>
                <wp:docPr id="289" name="文本框 289"/>
                <wp:cNvGraphicFramePr/>
                <a:graphic xmlns:a="http://schemas.openxmlformats.org/drawingml/2006/main">
                  <a:graphicData uri="http://schemas.microsoft.com/office/word/2010/wordprocessingShape">
                    <wps:wsp>
                      <wps:cNvSpPr txBox="1"/>
                      <wps:spPr>
                        <a:xfrm>
                          <a:off x="2959735" y="3895725"/>
                          <a:ext cx="619125"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5A8A7">
                            <w:pPr>
                              <w:ind w:left="0" w:leftChars="0" w:firstLine="0" w:firstLineChars="0"/>
                              <w:rPr>
                                <w:rFonts w:hint="default" w:eastAsia="宋体"/>
                                <w:color w:val="FFFF00"/>
                                <w:lang w:val="en-US" w:eastAsia="zh-CN"/>
                              </w:rPr>
                            </w:pPr>
                            <w:r>
                              <w:rPr>
                                <w:rFonts w:hint="eastAsia"/>
                                <w:color w:val="FFFF00"/>
                                <w:lang w:val="en-US" w:eastAsia="zh-CN"/>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8pt;margin-top:204.05pt;height:32.25pt;width:48.75pt;z-index:251686912;mso-width-relative:page;mso-height-relative:page;" filled="f" stroked="f" coordsize="21600,21600" o:gfxdata="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9v/vcAAAACwEAAA8AAAAA&#10;AAAAAQAgAAAAIgAAAGRycy9kb3ducmV2LnhtbFBLAQIUABQAAAAIAIdO4kDf4BdVSQIAAHUEAAAO&#10;AAAAAAAAAAEAIAAAACsBAABkcnMvZTJvRG9jLnhtbFBLBQYAAAAABgAGAFkBAADmBQAAAAA=&#10;">
                <v:fill on="f" focussize="0,0"/>
                <v:stroke on="f" weight="0.5pt"/>
                <v:imagedata o:title=""/>
                <o:lock v:ext="edit" aspectratio="f"/>
                <v:textbox>
                  <w:txbxContent>
                    <w:p w14:paraId="2625A8A7">
                      <w:pPr>
                        <w:ind w:left="0" w:leftChars="0" w:firstLine="0" w:firstLineChars="0"/>
                        <w:rPr>
                          <w:rFonts w:hint="default" w:eastAsia="宋体"/>
                          <w:color w:val="FFFF00"/>
                          <w:lang w:val="en-US" w:eastAsia="zh-CN"/>
                        </w:rPr>
                      </w:pPr>
                      <w:r>
                        <w:rPr>
                          <w:rFonts w:hint="eastAsia"/>
                          <w:color w:val="FFFF00"/>
                          <w:lang w:val="en-US" w:eastAsia="zh-CN"/>
                        </w:rPr>
                        <w:t>100m</w:t>
                      </w:r>
                    </w:p>
                  </w:txbxContent>
                </v:textbox>
              </v:shape>
            </w:pict>
          </mc:Fallback>
        </mc:AlternateContent>
      </w:r>
      <w:r>
        <w:rPr>
          <w:color w:val="auto"/>
          <w:sz w:val="24"/>
          <w:highlight w:val="none"/>
        </w:rPr>
        <mc:AlternateContent>
          <mc:Choice Requires="wps">
            <w:drawing>
              <wp:anchor distT="0" distB="0" distL="114300" distR="114300" simplePos="0" relativeHeight="251685888" behindDoc="0" locked="0" layoutInCell="1" allowOverlap="1">
                <wp:simplePos x="0" y="0"/>
                <wp:positionH relativeFrom="column">
                  <wp:posOffset>3927475</wp:posOffset>
                </wp:positionH>
                <wp:positionV relativeFrom="paragraph">
                  <wp:posOffset>1010285</wp:posOffset>
                </wp:positionV>
                <wp:extent cx="457200" cy="457200"/>
                <wp:effectExtent l="0" t="0" r="0" b="0"/>
                <wp:wrapNone/>
                <wp:docPr id="288" name="直接箭头连接符 288"/>
                <wp:cNvGraphicFramePr/>
                <a:graphic xmlns:a="http://schemas.openxmlformats.org/drawingml/2006/main">
                  <a:graphicData uri="http://schemas.microsoft.com/office/word/2010/wordprocessingShape">
                    <wps:wsp>
                      <wps:cNvCnPr/>
                      <wps:spPr>
                        <a:xfrm flipH="1">
                          <a:off x="0" y="0"/>
                          <a:ext cx="457200" cy="457200"/>
                        </a:xfrm>
                        <a:prstGeom prst="straightConnector1">
                          <a:avLst/>
                        </a:prstGeom>
                        <a:ln>
                          <a:solidFill>
                            <a:srgbClr val="FFFF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09.25pt;margin-top:79.55pt;height:36pt;width:36pt;z-index:251685888;mso-width-relative:page;mso-height-relative:page;" filled="f" stroked="t" coordsize="21600,21600" o:gfxdata="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BXGhtcAAAALAQAADwAAAAAAAAABACAAAAAiAAAA&#10;ZHJzL2Rvd25yZXYueG1sUEsBAhQAFAAAAAgAh07iQGOnCWgIAgAA8wMAAA4AAAAAAAAAAQAgAAAA&#10;JgEAAGRycy9lMm9Eb2MueG1sUEsFBgAAAAAGAAYAWQEAAKAFAAAAAA==&#10;">
                <v:fill on="f" focussize="0,0"/>
                <v:stroke weight="2pt" color="#FFFF00 [3204]" joinstyle="round" startarrow="open"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684864" behindDoc="0" locked="0" layoutInCell="1" allowOverlap="1">
                <wp:simplePos x="0" y="0"/>
                <wp:positionH relativeFrom="column">
                  <wp:posOffset>1898650</wp:posOffset>
                </wp:positionH>
                <wp:positionV relativeFrom="paragraph">
                  <wp:posOffset>2400935</wp:posOffset>
                </wp:positionV>
                <wp:extent cx="923925" cy="933450"/>
                <wp:effectExtent l="0" t="0" r="9525" b="0"/>
                <wp:wrapNone/>
                <wp:docPr id="59" name="直接箭头连接符 59"/>
                <wp:cNvGraphicFramePr/>
                <a:graphic xmlns:a="http://schemas.openxmlformats.org/drawingml/2006/main">
                  <a:graphicData uri="http://schemas.microsoft.com/office/word/2010/wordprocessingShape">
                    <wps:wsp>
                      <wps:cNvCnPr/>
                      <wps:spPr>
                        <a:xfrm flipH="1">
                          <a:off x="2978785" y="3705225"/>
                          <a:ext cx="923925" cy="933450"/>
                        </a:xfrm>
                        <a:prstGeom prst="straightConnector1">
                          <a:avLst/>
                        </a:prstGeom>
                        <a:ln>
                          <a:solidFill>
                            <a:srgbClr val="FFFF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49.5pt;margin-top:189.05pt;height:73.5pt;width:72.75pt;z-index:251684864;mso-width-relative:page;mso-height-relative:page;" filled="f" stroked="t" coordsize="21600,21600" o:gfxdata="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PZ5RM2AAAAAsB&#10;AAAPAAAAAAAAAAEAIAAAACIAAABkcnMvZG93bnJldi54bWxQSwECFAAUAAAACACHTuJA7jOjzhsC&#10;AAD9AwAADgAAAAAAAAABACAAAAAnAQAAZHJzL2Uyb0RvYy54bWxQSwUGAAAAAAYABgBZAQAAtAUA&#10;AAAA&#10;">
                <v:fill on="f" focussize="0,0"/>
                <v:stroke weight="2pt" color="#FFFF00 [3204]" joinstyle="round" startarrow="open" endarrow="open"/>
                <v:imagedata o:title=""/>
                <o:lock v:ext="edit" aspectratio="f"/>
              </v:shape>
            </w:pict>
          </mc:Fallback>
        </mc:AlternateContent>
      </w:r>
      <w:r>
        <w:rPr>
          <w:color w:val="auto"/>
          <w:highlight w:val="none"/>
        </w:rPr>
        <w:drawing>
          <wp:inline distT="0" distB="0" distL="114300" distR="114300">
            <wp:extent cx="5573395" cy="4429760"/>
            <wp:effectExtent l="0" t="0" r="8255" b="889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76"/>
                    <a:stretch>
                      <a:fillRect/>
                    </a:stretch>
                  </pic:blipFill>
                  <pic:spPr>
                    <a:xfrm>
                      <a:off x="0" y="0"/>
                      <a:ext cx="5573395" cy="4429760"/>
                    </a:xfrm>
                    <a:prstGeom prst="rect">
                      <a:avLst/>
                    </a:prstGeom>
                    <a:noFill/>
                    <a:ln>
                      <a:noFill/>
                    </a:ln>
                  </pic:spPr>
                </pic:pic>
              </a:graphicData>
            </a:graphic>
          </wp:inline>
        </w:drawing>
      </w:r>
      <w:r>
        <w:rPr>
          <w:color w:val="auto"/>
          <w:sz w:val="24"/>
          <w:highlight w:val="none"/>
        </w:rPr>
        <mc:AlternateContent>
          <mc:Choice Requires="wps">
            <w:drawing>
              <wp:anchor distT="0" distB="0" distL="114300" distR="114300" simplePos="0" relativeHeight="251682816" behindDoc="0" locked="0" layoutInCell="1" allowOverlap="1">
                <wp:simplePos x="0" y="0"/>
                <wp:positionH relativeFrom="column">
                  <wp:posOffset>1905</wp:posOffset>
                </wp:positionH>
                <wp:positionV relativeFrom="paragraph">
                  <wp:posOffset>3911600</wp:posOffset>
                </wp:positionV>
                <wp:extent cx="285750" cy="152400"/>
                <wp:effectExtent l="4445" t="4445" r="14605" b="14605"/>
                <wp:wrapNone/>
                <wp:docPr id="292" name="矩形 1290"/>
                <wp:cNvGraphicFramePr/>
                <a:graphic xmlns:a="http://schemas.openxmlformats.org/drawingml/2006/main">
                  <a:graphicData uri="http://schemas.microsoft.com/office/word/2010/wordprocessingShape">
                    <wps:wsp>
                      <wps:cNvSpPr/>
                      <wps:spPr>
                        <a:xfrm>
                          <a:off x="1110615" y="8503920"/>
                          <a:ext cx="285750" cy="152400"/>
                        </a:xfrm>
                        <a:prstGeom prst="rect">
                          <a:avLst/>
                        </a:prstGeom>
                        <a:noFill/>
                        <a:ln w="9525" cap="flat" cmpd="sng">
                          <a:solidFill>
                            <a:srgbClr val="FF0000"/>
                          </a:solidFill>
                          <a:prstDash val="solid"/>
                          <a:miter/>
                          <a:headEnd type="none" w="med" len="med"/>
                          <a:tailEnd type="triangle" w="med" len="med"/>
                        </a:ln>
                      </wps:spPr>
                      <wps:bodyPr vert="horz" wrap="square" anchor="t" anchorCtr="0" upright="1"/>
                    </wps:wsp>
                  </a:graphicData>
                </a:graphic>
              </wp:anchor>
            </w:drawing>
          </mc:Choice>
          <mc:Fallback>
            <w:pict>
              <v:rect id="矩形 1290" o:spid="_x0000_s1026" o:spt="1" style="position:absolute;left:0pt;margin-left:0.15pt;margin-top:308pt;height:12pt;width:22.5pt;z-index:251682816;mso-width-relative:page;mso-height-relative:page;" filled="f" stroked="t" coordsize="21600,21600" o:gfxdata="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iH53jWAAAABwEAAA8AAAAAAAAAAQAgAAAAIgAAAGRycy9kb3ducmV2LnhtbFBLAQIUABQA&#10;AAAIAIdO4kCwCnq0KwIAADwEAAAOAAAAAAAAAAEAIAAAACUBAABkcnMvZTJvRG9jLnhtbFBLBQYA&#10;AAAABgAGAFkBAADCBQAAAAA=&#10;">
                <v:fill on="f" focussize="0,0"/>
                <v:stroke color="#FF0000" joinstyle="miter" endarrow="block"/>
                <v:imagedata o:title=""/>
                <o:lock v:ext="edit" aspectratio="f"/>
              </v:rect>
            </w:pict>
          </mc:Fallback>
        </mc:AlternateContent>
      </w:r>
      <w:r>
        <w:rPr>
          <w:rFonts w:hint="default"/>
          <w:color w:val="auto"/>
          <w:highlight w:val="none"/>
        </w:rPr>
        <mc:AlternateContent>
          <mc:Choice Requires="wps">
            <w:drawing>
              <wp:anchor distT="0" distB="0" distL="114300" distR="114300" simplePos="0" relativeHeight="251681792" behindDoc="0" locked="0" layoutInCell="1" allowOverlap="1">
                <wp:simplePos x="0" y="0"/>
                <wp:positionH relativeFrom="column">
                  <wp:posOffset>-3175</wp:posOffset>
                </wp:positionH>
                <wp:positionV relativeFrom="paragraph">
                  <wp:posOffset>3479800</wp:posOffset>
                </wp:positionV>
                <wp:extent cx="1567815" cy="971550"/>
                <wp:effectExtent l="4445" t="4445" r="8890" b="14605"/>
                <wp:wrapNone/>
                <wp:docPr id="294" name="文本框 1289"/>
                <wp:cNvGraphicFramePr/>
                <a:graphic xmlns:a="http://schemas.openxmlformats.org/drawingml/2006/main">
                  <a:graphicData uri="http://schemas.microsoft.com/office/word/2010/wordprocessingShape">
                    <wps:wsp>
                      <wps:cNvSpPr txBox="1"/>
                      <wps:spPr>
                        <a:xfrm>
                          <a:off x="0" y="0"/>
                          <a:ext cx="1567815" cy="971550"/>
                        </a:xfrm>
                        <a:prstGeom prst="rect">
                          <a:avLst/>
                        </a:prstGeom>
                        <a:solidFill>
                          <a:srgbClr val="FFFFFF"/>
                        </a:solidFill>
                        <a:ln w="9525" cap="flat" cmpd="sng">
                          <a:solidFill>
                            <a:srgbClr val="000001"/>
                          </a:solidFill>
                          <a:prstDash val="dashDot"/>
                          <a:miter/>
                          <a:headEnd type="none" w="med" len="med"/>
                          <a:tailEnd type="triangle" w="med" len="med"/>
                        </a:ln>
                      </wps:spPr>
                      <wps:txbx>
                        <w:txbxContent>
                          <w:p w14:paraId="62216350">
                            <w:pPr>
                              <w:ind w:left="0" w:leftChars="0" w:firstLine="0" w:firstLineChars="0"/>
                              <w:jc w:val="center"/>
                              <w:rPr>
                                <w:rFonts w:hint="eastAsia"/>
                                <w:sz w:val="21"/>
                                <w:szCs w:val="21"/>
                                <w:lang w:val="en-US" w:eastAsia="zh-CN"/>
                              </w:rPr>
                            </w:pPr>
                            <w:r>
                              <w:rPr>
                                <w:rFonts w:hint="eastAsia"/>
                                <w:sz w:val="21"/>
                                <w:szCs w:val="21"/>
                                <w:lang w:val="en-US" w:eastAsia="zh-CN"/>
                              </w:rPr>
                              <w:t>图例</w:t>
                            </w:r>
                          </w:p>
                          <w:p w14:paraId="797FC003">
                            <w:pPr>
                              <w:rPr>
                                <w:rFonts w:hint="eastAsia"/>
                                <w:sz w:val="21"/>
                                <w:szCs w:val="21"/>
                                <w:lang w:val="en-US" w:eastAsia="zh-CN"/>
                              </w:rPr>
                            </w:pPr>
                            <w:r>
                              <w:rPr>
                                <w:rFonts w:hint="eastAsia"/>
                                <w:sz w:val="21"/>
                                <w:szCs w:val="21"/>
                                <w:lang w:val="en-US" w:eastAsia="zh-CN"/>
                              </w:rPr>
                              <w:t>本项目生产区</w:t>
                            </w:r>
                          </w:p>
                          <w:p w14:paraId="2A5B8F93">
                            <w:pPr>
                              <w:rPr>
                                <w:rFonts w:hint="default"/>
                                <w:sz w:val="21"/>
                                <w:szCs w:val="21"/>
                                <w:lang w:val="en-US" w:eastAsia="zh-CN"/>
                              </w:rPr>
                            </w:pPr>
                          </w:p>
                        </w:txbxContent>
                      </wps:txbx>
                      <wps:bodyPr vert="horz" wrap="square" anchor="t" anchorCtr="0" upright="1"/>
                    </wps:wsp>
                  </a:graphicData>
                </a:graphic>
              </wp:anchor>
            </w:drawing>
          </mc:Choice>
          <mc:Fallback>
            <w:pict>
              <v:shape id="文本框 1289" o:spid="_x0000_s1026" o:spt="202" type="#_x0000_t202" style="position:absolute;left:0pt;margin-left:-0.25pt;margin-top:274pt;height:76.5pt;width:123.45pt;z-index:251681792;mso-width-relative:page;mso-height-relative:page;" fillcolor="#FFFFFF" filled="t" stroked="t" coordsize="21600,21600" o:gfxdata="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NTqrI1wAAAAkBAAAPAAAAAAAAAAEAIAAAACIAAABkcnMvZG93&#10;bnJldi54bWxQSwECFAAUAAAACACHTuJATPz9aDoCAAB0BAAADgAAAAAAAAABACAAAAAmAQAAZHJz&#10;L2Uyb0RvYy54bWxQSwUGAAAAAAYABgBZAQAA0gUAAAAA&#10;">
                <v:fill on="t" focussize="0,0"/>
                <v:stroke color="#000001" joinstyle="miter" dashstyle="dashDot" endarrow="block"/>
                <v:imagedata o:title=""/>
                <o:lock v:ext="edit" aspectratio="f"/>
                <v:textbox>
                  <w:txbxContent>
                    <w:p w14:paraId="62216350">
                      <w:pPr>
                        <w:ind w:left="0" w:leftChars="0" w:firstLine="0" w:firstLineChars="0"/>
                        <w:jc w:val="center"/>
                        <w:rPr>
                          <w:rFonts w:hint="eastAsia"/>
                          <w:sz w:val="21"/>
                          <w:szCs w:val="21"/>
                          <w:lang w:val="en-US" w:eastAsia="zh-CN"/>
                        </w:rPr>
                      </w:pPr>
                      <w:r>
                        <w:rPr>
                          <w:rFonts w:hint="eastAsia"/>
                          <w:sz w:val="21"/>
                          <w:szCs w:val="21"/>
                          <w:lang w:val="en-US" w:eastAsia="zh-CN"/>
                        </w:rPr>
                        <w:t>图例</w:t>
                      </w:r>
                    </w:p>
                    <w:p w14:paraId="797FC003">
                      <w:pPr>
                        <w:rPr>
                          <w:rFonts w:hint="eastAsia"/>
                          <w:sz w:val="21"/>
                          <w:szCs w:val="21"/>
                          <w:lang w:val="en-US" w:eastAsia="zh-CN"/>
                        </w:rPr>
                      </w:pPr>
                      <w:r>
                        <w:rPr>
                          <w:rFonts w:hint="eastAsia"/>
                          <w:sz w:val="21"/>
                          <w:szCs w:val="21"/>
                          <w:lang w:val="en-US" w:eastAsia="zh-CN"/>
                        </w:rPr>
                        <w:t>本项目生产区</w:t>
                      </w:r>
                    </w:p>
                    <w:p w14:paraId="2A5B8F93">
                      <w:pPr>
                        <w:rPr>
                          <w:rFonts w:hint="default"/>
                          <w:sz w:val="21"/>
                          <w:szCs w:val="21"/>
                          <w:lang w:val="en-US" w:eastAsia="zh-CN"/>
                        </w:rPr>
                      </w:pPr>
                    </w:p>
                  </w:txbxContent>
                </v:textbox>
              </v:shape>
            </w:pict>
          </mc:Fallback>
        </mc:AlternateContent>
      </w:r>
      <w:r>
        <w:rPr>
          <w:rFonts w:hint="default"/>
          <w:color w:val="auto"/>
          <w:highlight w:val="none"/>
        </w:rPr>
        <w:drawing>
          <wp:anchor distT="0" distB="0" distL="114300" distR="114300" simplePos="0" relativeHeight="251683840" behindDoc="0" locked="0" layoutInCell="1" allowOverlap="1">
            <wp:simplePos x="0" y="0"/>
            <wp:positionH relativeFrom="column">
              <wp:posOffset>4714875</wp:posOffset>
            </wp:positionH>
            <wp:positionV relativeFrom="paragraph">
              <wp:posOffset>26670</wp:posOffset>
            </wp:positionV>
            <wp:extent cx="740410" cy="659130"/>
            <wp:effectExtent l="0" t="0" r="2540" b="7620"/>
            <wp:wrapNone/>
            <wp:docPr id="307" name="图片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1190"/>
                    <pic:cNvPicPr>
                      <a:picLocks noChangeAspect="1"/>
                    </pic:cNvPicPr>
                  </pic:nvPicPr>
                  <pic:blipFill>
                    <a:blip r:embed="rId77"/>
                    <a:stretch>
                      <a:fillRect/>
                    </a:stretch>
                  </pic:blipFill>
                  <pic:spPr>
                    <a:xfrm>
                      <a:off x="0" y="0"/>
                      <a:ext cx="740410" cy="659130"/>
                    </a:xfrm>
                    <a:prstGeom prst="rect">
                      <a:avLst/>
                    </a:prstGeom>
                    <a:noFill/>
                    <a:ln>
                      <a:noFill/>
                    </a:ln>
                  </pic:spPr>
                </pic:pic>
              </a:graphicData>
            </a:graphic>
          </wp:anchor>
        </w:drawing>
      </w:r>
    </w:p>
    <w:p w14:paraId="5612B682">
      <w:pPr>
        <w:pStyle w:val="8"/>
        <w:bidi w:val="0"/>
        <w:rPr>
          <w:rFonts w:hint="default"/>
          <w:color w:val="auto"/>
          <w:highlight w:val="none"/>
          <w:lang w:val="en-US" w:eastAsia="zh-CN"/>
        </w:rPr>
        <w:sectPr>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r>
        <w:rPr>
          <w:rFonts w:hint="default"/>
          <w:color w:val="auto"/>
          <w:highlight w:val="none"/>
          <w:lang w:val="en-US" w:eastAsia="zh-CN"/>
        </w:rPr>
        <w:t xml:space="preserve">图5.3-12 </w:t>
      </w:r>
      <w:r>
        <w:rPr>
          <w:rFonts w:hint="eastAsia"/>
          <w:color w:val="auto"/>
          <w:highlight w:val="none"/>
          <w:lang w:val="en-US" w:eastAsia="zh-CN"/>
        </w:rPr>
        <w:t xml:space="preserve"> </w:t>
      </w:r>
      <w:r>
        <w:rPr>
          <w:rFonts w:hint="default"/>
          <w:color w:val="auto"/>
          <w:highlight w:val="none"/>
          <w:lang w:val="en-US" w:eastAsia="zh-CN"/>
        </w:rPr>
        <w:t>项目环境防护距离图</w:t>
      </w:r>
    </w:p>
    <w:p w14:paraId="48B02B43">
      <w:pPr>
        <w:pStyle w:val="4"/>
        <w:numPr>
          <w:ilvl w:val="2"/>
          <w:numId w:val="0"/>
        </w:numPr>
        <w:tabs>
          <w:tab w:val="clear" w:pos="720"/>
        </w:tabs>
        <w:bidi w:val="0"/>
        <w:rPr>
          <w:color w:val="auto"/>
          <w:highlight w:val="none"/>
        </w:rPr>
      </w:pPr>
      <w:bookmarkStart w:id="508" w:name="_Toc20468"/>
      <w:r>
        <w:rPr>
          <w:color w:val="auto"/>
          <w:highlight w:val="none"/>
        </w:rPr>
        <w:t>5.3.5</w:t>
      </w:r>
      <w:r>
        <w:rPr>
          <w:rFonts w:hint="eastAsia"/>
          <w:color w:val="auto"/>
          <w:highlight w:val="none"/>
          <w:lang w:val="en-US" w:eastAsia="zh-CN"/>
        </w:rPr>
        <w:t xml:space="preserve"> </w:t>
      </w:r>
      <w:r>
        <w:rPr>
          <w:color w:val="auto"/>
          <w:highlight w:val="none"/>
        </w:rPr>
        <w:t>大气环境影响评价自查表</w:t>
      </w:r>
      <w:bookmarkEnd w:id="508"/>
    </w:p>
    <w:p w14:paraId="01F179F1">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表5.3-</w:t>
      </w: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5</w:t>
      </w: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大气环境影响评价自查表</w:t>
      </w:r>
    </w:p>
    <w:tbl>
      <w:tblPr>
        <w:tblStyle w:val="8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17"/>
        <w:gridCol w:w="425"/>
        <w:gridCol w:w="426"/>
        <w:gridCol w:w="42"/>
        <w:gridCol w:w="241"/>
        <w:gridCol w:w="99"/>
        <w:gridCol w:w="273"/>
        <w:gridCol w:w="479"/>
        <w:gridCol w:w="283"/>
        <w:gridCol w:w="142"/>
        <w:gridCol w:w="153"/>
        <w:gridCol w:w="175"/>
        <w:gridCol w:w="174"/>
        <w:gridCol w:w="65"/>
        <w:gridCol w:w="547"/>
        <w:gridCol w:w="132"/>
        <w:gridCol w:w="455"/>
        <w:gridCol w:w="425"/>
        <w:gridCol w:w="142"/>
        <w:gridCol w:w="425"/>
        <w:gridCol w:w="505"/>
        <w:gridCol w:w="204"/>
        <w:gridCol w:w="673"/>
      </w:tblGrid>
      <w:tr w14:paraId="50D4C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18" w:type="dxa"/>
            <w:gridSpan w:val="2"/>
            <w:noWrap w:val="0"/>
            <w:vAlign w:val="center"/>
          </w:tcPr>
          <w:p w14:paraId="4A96C7F4">
            <w:pPr>
              <w:pStyle w:val="1358"/>
              <w:rPr>
                <w:color w:val="auto"/>
                <w:highlight w:val="none"/>
              </w:rPr>
            </w:pPr>
            <w:bookmarkStart w:id="509" w:name="_Toc16493"/>
            <w:r>
              <w:rPr>
                <w:color w:val="auto"/>
                <w:highlight w:val="none"/>
              </w:rPr>
              <w:t>工作内容</w:t>
            </w:r>
          </w:p>
        </w:tc>
        <w:tc>
          <w:tcPr>
            <w:tcW w:w="6485" w:type="dxa"/>
            <w:gridSpan w:val="22"/>
            <w:noWrap w:val="0"/>
            <w:vAlign w:val="center"/>
          </w:tcPr>
          <w:p w14:paraId="255EF285">
            <w:pPr>
              <w:pStyle w:val="1358"/>
              <w:rPr>
                <w:color w:val="auto"/>
                <w:highlight w:val="none"/>
              </w:rPr>
            </w:pPr>
            <w:r>
              <w:rPr>
                <w:color w:val="auto"/>
                <w:highlight w:val="none"/>
              </w:rPr>
              <w:t>自查项目</w:t>
            </w:r>
          </w:p>
        </w:tc>
      </w:tr>
      <w:tr w14:paraId="3E6CC0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657888CD">
            <w:pPr>
              <w:pStyle w:val="1358"/>
              <w:rPr>
                <w:color w:val="auto"/>
                <w:highlight w:val="none"/>
              </w:rPr>
            </w:pPr>
            <w:r>
              <w:rPr>
                <w:color w:val="auto"/>
                <w:highlight w:val="none"/>
              </w:rPr>
              <w:t>评价等级与范围</w:t>
            </w:r>
          </w:p>
        </w:tc>
        <w:tc>
          <w:tcPr>
            <w:tcW w:w="1417" w:type="dxa"/>
            <w:noWrap w:val="0"/>
            <w:vAlign w:val="center"/>
          </w:tcPr>
          <w:p w14:paraId="2E93DC14">
            <w:pPr>
              <w:pStyle w:val="1358"/>
              <w:rPr>
                <w:color w:val="auto"/>
                <w:highlight w:val="none"/>
              </w:rPr>
            </w:pPr>
            <w:r>
              <w:rPr>
                <w:color w:val="auto"/>
                <w:highlight w:val="none"/>
              </w:rPr>
              <w:t>评价等级</w:t>
            </w:r>
          </w:p>
        </w:tc>
        <w:tc>
          <w:tcPr>
            <w:tcW w:w="1985" w:type="dxa"/>
            <w:gridSpan w:val="7"/>
            <w:noWrap w:val="0"/>
            <w:vAlign w:val="center"/>
          </w:tcPr>
          <w:p w14:paraId="68BBEAE6">
            <w:pPr>
              <w:pStyle w:val="1358"/>
              <w:rPr>
                <w:color w:val="auto"/>
                <w:highlight w:val="none"/>
              </w:rPr>
            </w:pPr>
            <w:r>
              <w:rPr>
                <w:color w:val="auto"/>
                <w:highlight w:val="none"/>
              </w:rPr>
              <w:t>一级□</w:t>
            </w:r>
          </w:p>
        </w:tc>
        <w:tc>
          <w:tcPr>
            <w:tcW w:w="2551" w:type="dxa"/>
            <w:gridSpan w:val="10"/>
            <w:noWrap w:val="0"/>
            <w:vAlign w:val="center"/>
          </w:tcPr>
          <w:p w14:paraId="7F08EFE0">
            <w:pPr>
              <w:pStyle w:val="1358"/>
              <w:rPr>
                <w:b/>
                <w:color w:val="auto"/>
                <w:highlight w:val="none"/>
              </w:rPr>
            </w:pPr>
            <w:r>
              <w:rPr>
                <w:b/>
                <w:color w:val="auto"/>
                <w:highlight w:val="none"/>
              </w:rPr>
              <w:t>二级√</w:t>
            </w:r>
          </w:p>
        </w:tc>
        <w:tc>
          <w:tcPr>
            <w:tcW w:w="1949" w:type="dxa"/>
            <w:gridSpan w:val="5"/>
            <w:noWrap w:val="0"/>
            <w:vAlign w:val="center"/>
          </w:tcPr>
          <w:p w14:paraId="5D568EE3">
            <w:pPr>
              <w:pStyle w:val="1358"/>
              <w:rPr>
                <w:color w:val="auto"/>
                <w:highlight w:val="none"/>
              </w:rPr>
            </w:pPr>
            <w:r>
              <w:rPr>
                <w:color w:val="auto"/>
                <w:highlight w:val="none"/>
              </w:rPr>
              <w:t>三级□</w:t>
            </w:r>
          </w:p>
        </w:tc>
      </w:tr>
      <w:tr w14:paraId="4EB76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780C1226">
            <w:pPr>
              <w:pStyle w:val="1358"/>
              <w:rPr>
                <w:color w:val="auto"/>
                <w:highlight w:val="none"/>
              </w:rPr>
            </w:pPr>
          </w:p>
        </w:tc>
        <w:tc>
          <w:tcPr>
            <w:tcW w:w="1417" w:type="dxa"/>
            <w:noWrap w:val="0"/>
            <w:vAlign w:val="center"/>
          </w:tcPr>
          <w:p w14:paraId="5B22FCC2">
            <w:pPr>
              <w:pStyle w:val="1358"/>
              <w:rPr>
                <w:color w:val="auto"/>
                <w:highlight w:val="none"/>
              </w:rPr>
            </w:pPr>
            <w:r>
              <w:rPr>
                <w:color w:val="auto"/>
                <w:highlight w:val="none"/>
              </w:rPr>
              <w:t>评价范围</w:t>
            </w:r>
          </w:p>
        </w:tc>
        <w:tc>
          <w:tcPr>
            <w:tcW w:w="1985" w:type="dxa"/>
            <w:gridSpan w:val="7"/>
            <w:noWrap w:val="0"/>
            <w:vAlign w:val="center"/>
          </w:tcPr>
          <w:p w14:paraId="293031D1">
            <w:pPr>
              <w:pStyle w:val="1358"/>
              <w:rPr>
                <w:color w:val="auto"/>
                <w:highlight w:val="none"/>
              </w:rPr>
            </w:pPr>
            <w:r>
              <w:rPr>
                <w:color w:val="auto"/>
                <w:highlight w:val="none"/>
              </w:rPr>
              <w:t>边长=50km□</w:t>
            </w:r>
          </w:p>
        </w:tc>
        <w:tc>
          <w:tcPr>
            <w:tcW w:w="2551" w:type="dxa"/>
            <w:gridSpan w:val="10"/>
            <w:noWrap w:val="0"/>
            <w:vAlign w:val="center"/>
          </w:tcPr>
          <w:p w14:paraId="55A8FEDA">
            <w:pPr>
              <w:pStyle w:val="1358"/>
              <w:rPr>
                <w:rFonts w:hint="eastAsia" w:eastAsia="宋体"/>
                <w:color w:val="auto"/>
                <w:highlight w:val="none"/>
                <w:lang w:eastAsia="zh-CN"/>
              </w:rPr>
            </w:pPr>
            <w:r>
              <w:rPr>
                <w:color w:val="auto"/>
                <w:highlight w:val="none"/>
              </w:rPr>
              <w:t>边长5~50km</w:t>
            </w:r>
            <w:r>
              <w:rPr>
                <w:rFonts w:hint="eastAsia"/>
                <w:color w:val="auto"/>
                <w:highlight w:val="none"/>
                <w:lang w:eastAsia="zh-CN"/>
              </w:rPr>
              <w:t>☑</w:t>
            </w:r>
          </w:p>
        </w:tc>
        <w:tc>
          <w:tcPr>
            <w:tcW w:w="1949" w:type="dxa"/>
            <w:gridSpan w:val="5"/>
            <w:noWrap w:val="0"/>
            <w:vAlign w:val="center"/>
          </w:tcPr>
          <w:p w14:paraId="5018939E">
            <w:pPr>
              <w:pStyle w:val="1358"/>
              <w:rPr>
                <w:color w:val="auto"/>
                <w:highlight w:val="none"/>
              </w:rPr>
            </w:pPr>
            <w:r>
              <w:rPr>
                <w:color w:val="auto"/>
                <w:highlight w:val="none"/>
              </w:rPr>
              <w:t>边长=5km□</w:t>
            </w:r>
          </w:p>
        </w:tc>
      </w:tr>
      <w:tr w14:paraId="551E3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07BD8051">
            <w:pPr>
              <w:pStyle w:val="1358"/>
              <w:rPr>
                <w:color w:val="auto"/>
                <w:highlight w:val="none"/>
              </w:rPr>
            </w:pPr>
            <w:r>
              <w:rPr>
                <w:color w:val="auto"/>
                <w:highlight w:val="none"/>
              </w:rPr>
              <w:t>评价因子</w:t>
            </w:r>
          </w:p>
        </w:tc>
        <w:tc>
          <w:tcPr>
            <w:tcW w:w="1417" w:type="dxa"/>
            <w:noWrap w:val="0"/>
            <w:vAlign w:val="center"/>
          </w:tcPr>
          <w:p w14:paraId="22D25A97">
            <w:pPr>
              <w:pStyle w:val="1358"/>
              <w:rPr>
                <w:color w:val="auto"/>
                <w:highlight w:val="none"/>
              </w:rPr>
            </w:pPr>
            <w:r>
              <w:rPr>
                <w:color w:val="auto"/>
                <w:highlight w:val="none"/>
              </w:rPr>
              <w:t>SO</w:t>
            </w:r>
            <w:r>
              <w:rPr>
                <w:color w:val="auto"/>
                <w:highlight w:val="none"/>
                <w:vertAlign w:val="subscript"/>
              </w:rPr>
              <w:t>2</w:t>
            </w:r>
            <w:r>
              <w:rPr>
                <w:color w:val="auto"/>
                <w:highlight w:val="none"/>
              </w:rPr>
              <w:t>+NOx排放量</w:t>
            </w:r>
          </w:p>
        </w:tc>
        <w:tc>
          <w:tcPr>
            <w:tcW w:w="1985" w:type="dxa"/>
            <w:gridSpan w:val="7"/>
            <w:noWrap w:val="0"/>
            <w:vAlign w:val="center"/>
          </w:tcPr>
          <w:p w14:paraId="444CB9CA">
            <w:pPr>
              <w:pStyle w:val="1358"/>
              <w:rPr>
                <w:color w:val="auto"/>
                <w:highlight w:val="none"/>
              </w:rPr>
            </w:pPr>
            <w:r>
              <w:rPr>
                <w:color w:val="auto"/>
                <w:highlight w:val="none"/>
              </w:rPr>
              <w:t>≥2000t/a□</w:t>
            </w:r>
          </w:p>
        </w:tc>
        <w:tc>
          <w:tcPr>
            <w:tcW w:w="2551" w:type="dxa"/>
            <w:gridSpan w:val="10"/>
            <w:noWrap w:val="0"/>
            <w:vAlign w:val="center"/>
          </w:tcPr>
          <w:p w14:paraId="278A2FDB">
            <w:pPr>
              <w:pStyle w:val="1358"/>
              <w:rPr>
                <w:color w:val="auto"/>
                <w:highlight w:val="none"/>
              </w:rPr>
            </w:pPr>
            <w:r>
              <w:rPr>
                <w:color w:val="auto"/>
                <w:highlight w:val="none"/>
              </w:rPr>
              <w:t>500~2000t/a□</w:t>
            </w:r>
          </w:p>
        </w:tc>
        <w:tc>
          <w:tcPr>
            <w:tcW w:w="1949" w:type="dxa"/>
            <w:gridSpan w:val="5"/>
            <w:noWrap w:val="0"/>
            <w:vAlign w:val="center"/>
          </w:tcPr>
          <w:p w14:paraId="24120B53">
            <w:pPr>
              <w:pStyle w:val="1358"/>
              <w:rPr>
                <w:color w:val="auto"/>
                <w:highlight w:val="none"/>
              </w:rPr>
            </w:pPr>
            <w:r>
              <w:rPr>
                <w:b/>
                <w:color w:val="auto"/>
                <w:highlight w:val="none"/>
              </w:rPr>
              <w:t>＜500t/a√</w:t>
            </w:r>
          </w:p>
        </w:tc>
      </w:tr>
      <w:tr w14:paraId="4287E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2C669CA7">
            <w:pPr>
              <w:pStyle w:val="1358"/>
              <w:rPr>
                <w:color w:val="auto"/>
                <w:highlight w:val="none"/>
              </w:rPr>
            </w:pPr>
          </w:p>
        </w:tc>
        <w:tc>
          <w:tcPr>
            <w:tcW w:w="1417" w:type="dxa"/>
            <w:noWrap w:val="0"/>
            <w:vAlign w:val="center"/>
          </w:tcPr>
          <w:p w14:paraId="1E296623">
            <w:pPr>
              <w:pStyle w:val="1358"/>
              <w:rPr>
                <w:color w:val="auto"/>
                <w:highlight w:val="none"/>
              </w:rPr>
            </w:pPr>
            <w:r>
              <w:rPr>
                <w:color w:val="auto"/>
                <w:highlight w:val="none"/>
              </w:rPr>
              <w:t>评价因子</w:t>
            </w:r>
          </w:p>
        </w:tc>
        <w:tc>
          <w:tcPr>
            <w:tcW w:w="4536" w:type="dxa"/>
            <w:gridSpan w:val="17"/>
            <w:noWrap w:val="0"/>
            <w:vAlign w:val="center"/>
          </w:tcPr>
          <w:p w14:paraId="50DE731E">
            <w:pPr>
              <w:pStyle w:val="1358"/>
              <w:rPr>
                <w:color w:val="auto"/>
                <w:highlight w:val="none"/>
              </w:rPr>
            </w:pPr>
            <w:r>
              <w:rPr>
                <w:color w:val="auto"/>
                <w:highlight w:val="none"/>
              </w:rPr>
              <w:t>基本污染物（PM</w:t>
            </w:r>
            <w:r>
              <w:rPr>
                <w:color w:val="auto"/>
                <w:highlight w:val="none"/>
                <w:vertAlign w:val="subscript"/>
              </w:rPr>
              <w:t>10</w:t>
            </w:r>
            <w:r>
              <w:rPr>
                <w:color w:val="auto"/>
                <w:highlight w:val="none"/>
              </w:rPr>
              <w:t>、SO</w:t>
            </w:r>
            <w:r>
              <w:rPr>
                <w:color w:val="auto"/>
                <w:highlight w:val="none"/>
                <w:vertAlign w:val="subscript"/>
              </w:rPr>
              <w:t>2</w:t>
            </w:r>
            <w:r>
              <w:rPr>
                <w:color w:val="auto"/>
                <w:highlight w:val="none"/>
              </w:rPr>
              <w:t>、NO</w:t>
            </w:r>
            <w:r>
              <w:rPr>
                <w:color w:val="auto"/>
                <w:highlight w:val="none"/>
                <w:vertAlign w:val="subscript"/>
              </w:rPr>
              <w:t>2</w:t>
            </w:r>
            <w:r>
              <w:rPr>
                <w:color w:val="auto"/>
                <w:highlight w:val="none"/>
              </w:rPr>
              <w:t>、PM</w:t>
            </w:r>
            <w:r>
              <w:rPr>
                <w:color w:val="auto"/>
                <w:highlight w:val="none"/>
                <w:vertAlign w:val="subscript"/>
              </w:rPr>
              <w:t>2.5</w:t>
            </w:r>
            <w:r>
              <w:rPr>
                <w:color w:val="auto"/>
                <w:highlight w:val="none"/>
              </w:rPr>
              <w:t>、O</w:t>
            </w:r>
            <w:r>
              <w:rPr>
                <w:color w:val="auto"/>
                <w:highlight w:val="none"/>
                <w:vertAlign w:val="subscript"/>
              </w:rPr>
              <w:t>3</w:t>
            </w:r>
            <w:r>
              <w:rPr>
                <w:color w:val="auto"/>
                <w:highlight w:val="none"/>
              </w:rPr>
              <w:t>、CO）</w:t>
            </w:r>
          </w:p>
          <w:p w14:paraId="1260783C">
            <w:pPr>
              <w:pStyle w:val="1358"/>
              <w:rPr>
                <w:color w:val="auto"/>
                <w:highlight w:val="none"/>
              </w:rPr>
            </w:pPr>
            <w:r>
              <w:rPr>
                <w:color w:val="auto"/>
                <w:highlight w:val="none"/>
              </w:rPr>
              <w:t>其他污染物（非甲烷总烃</w:t>
            </w:r>
            <w:r>
              <w:rPr>
                <w:rFonts w:hint="eastAsia"/>
                <w:color w:val="auto"/>
                <w:highlight w:val="none"/>
                <w:lang w:eastAsia="zh-CN"/>
              </w:rPr>
              <w:t>、</w:t>
            </w:r>
            <w:r>
              <w:rPr>
                <w:rFonts w:hint="eastAsia"/>
                <w:color w:val="auto"/>
                <w:highlight w:val="none"/>
                <w:lang w:val="en-US" w:eastAsia="zh-CN"/>
              </w:rPr>
              <w:t>二甲苯、乙酸丁酯、TSP</w:t>
            </w:r>
            <w:r>
              <w:rPr>
                <w:color w:val="auto"/>
                <w:highlight w:val="none"/>
              </w:rPr>
              <w:t>）</w:t>
            </w:r>
          </w:p>
        </w:tc>
        <w:tc>
          <w:tcPr>
            <w:tcW w:w="1949" w:type="dxa"/>
            <w:gridSpan w:val="5"/>
            <w:noWrap w:val="0"/>
            <w:vAlign w:val="center"/>
          </w:tcPr>
          <w:p w14:paraId="356010AD">
            <w:pPr>
              <w:pStyle w:val="1358"/>
              <w:rPr>
                <w:color w:val="auto"/>
                <w:highlight w:val="none"/>
              </w:rPr>
            </w:pPr>
            <w:r>
              <w:rPr>
                <w:color w:val="auto"/>
                <w:highlight w:val="none"/>
              </w:rPr>
              <w:t>包括二次PM</w:t>
            </w:r>
            <w:r>
              <w:rPr>
                <w:color w:val="auto"/>
                <w:highlight w:val="none"/>
                <w:vertAlign w:val="subscript"/>
              </w:rPr>
              <w:t>2.5</w:t>
            </w:r>
            <w:r>
              <w:rPr>
                <w:color w:val="auto"/>
                <w:sz w:val="24"/>
                <w:highlight w:val="none"/>
              </w:rPr>
              <w:t>□</w:t>
            </w:r>
          </w:p>
          <w:p w14:paraId="61AE4EDA">
            <w:pPr>
              <w:pStyle w:val="1358"/>
              <w:rPr>
                <w:b/>
                <w:color w:val="auto"/>
                <w:highlight w:val="none"/>
              </w:rPr>
            </w:pPr>
            <w:r>
              <w:rPr>
                <w:b/>
                <w:color w:val="auto"/>
                <w:highlight w:val="none"/>
              </w:rPr>
              <w:t>不包括二次PM</w:t>
            </w:r>
            <w:r>
              <w:rPr>
                <w:b/>
                <w:color w:val="auto"/>
                <w:highlight w:val="none"/>
                <w:vertAlign w:val="subscript"/>
              </w:rPr>
              <w:t>2.5</w:t>
            </w:r>
            <w:r>
              <w:rPr>
                <w:b/>
                <w:color w:val="auto"/>
                <w:highlight w:val="none"/>
              </w:rPr>
              <w:t>√</w:t>
            </w:r>
          </w:p>
        </w:tc>
      </w:tr>
      <w:tr w14:paraId="5FE02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18" w:type="dxa"/>
            <w:gridSpan w:val="2"/>
            <w:noWrap w:val="0"/>
            <w:vAlign w:val="center"/>
          </w:tcPr>
          <w:p w14:paraId="0A22E463">
            <w:pPr>
              <w:pStyle w:val="1358"/>
              <w:rPr>
                <w:color w:val="auto"/>
                <w:highlight w:val="none"/>
              </w:rPr>
            </w:pPr>
            <w:r>
              <w:rPr>
                <w:color w:val="auto"/>
                <w:highlight w:val="none"/>
              </w:rPr>
              <w:t>评价标准</w:t>
            </w:r>
          </w:p>
        </w:tc>
        <w:tc>
          <w:tcPr>
            <w:tcW w:w="1506" w:type="dxa"/>
            <w:gridSpan w:val="6"/>
            <w:noWrap w:val="0"/>
            <w:vAlign w:val="center"/>
          </w:tcPr>
          <w:p w14:paraId="7A0D54DE">
            <w:pPr>
              <w:pStyle w:val="1358"/>
              <w:rPr>
                <w:b/>
                <w:color w:val="auto"/>
                <w:highlight w:val="none"/>
              </w:rPr>
            </w:pPr>
            <w:r>
              <w:rPr>
                <w:b/>
                <w:color w:val="auto"/>
                <w:highlight w:val="none"/>
              </w:rPr>
              <w:t>国家标准√</w:t>
            </w:r>
          </w:p>
        </w:tc>
        <w:tc>
          <w:tcPr>
            <w:tcW w:w="1471" w:type="dxa"/>
            <w:gridSpan w:val="7"/>
            <w:noWrap w:val="0"/>
            <w:vAlign w:val="center"/>
          </w:tcPr>
          <w:p w14:paraId="53C2FD36">
            <w:pPr>
              <w:pStyle w:val="1358"/>
              <w:rPr>
                <w:color w:val="auto"/>
                <w:highlight w:val="none"/>
              </w:rPr>
            </w:pPr>
            <w:r>
              <w:rPr>
                <w:color w:val="auto"/>
                <w:highlight w:val="none"/>
              </w:rPr>
              <w:t>地方标准□</w:t>
            </w:r>
          </w:p>
        </w:tc>
        <w:tc>
          <w:tcPr>
            <w:tcW w:w="2126" w:type="dxa"/>
            <w:gridSpan w:val="6"/>
            <w:noWrap w:val="0"/>
            <w:vAlign w:val="center"/>
          </w:tcPr>
          <w:p w14:paraId="5CB26036">
            <w:pPr>
              <w:pStyle w:val="1358"/>
              <w:rPr>
                <w:color w:val="auto"/>
                <w:highlight w:val="none"/>
              </w:rPr>
            </w:pPr>
            <w:r>
              <w:rPr>
                <w:color w:val="auto"/>
                <w:highlight w:val="none"/>
              </w:rPr>
              <w:t>附录D□</w:t>
            </w:r>
          </w:p>
        </w:tc>
        <w:tc>
          <w:tcPr>
            <w:tcW w:w="1382" w:type="dxa"/>
            <w:gridSpan w:val="3"/>
            <w:noWrap w:val="0"/>
            <w:vAlign w:val="center"/>
          </w:tcPr>
          <w:p w14:paraId="4247F7D7">
            <w:pPr>
              <w:pStyle w:val="1358"/>
              <w:rPr>
                <w:color w:val="auto"/>
                <w:highlight w:val="none"/>
              </w:rPr>
            </w:pPr>
            <w:r>
              <w:rPr>
                <w:color w:val="auto"/>
                <w:highlight w:val="none"/>
              </w:rPr>
              <w:t>其他标准</w:t>
            </w:r>
            <w:r>
              <w:rPr>
                <w:b/>
                <w:color w:val="auto"/>
                <w:highlight w:val="none"/>
              </w:rPr>
              <w:t>√</w:t>
            </w:r>
          </w:p>
        </w:tc>
      </w:tr>
      <w:tr w14:paraId="6C639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59558CDC">
            <w:pPr>
              <w:pStyle w:val="1358"/>
              <w:rPr>
                <w:color w:val="auto"/>
                <w:highlight w:val="none"/>
              </w:rPr>
            </w:pPr>
            <w:r>
              <w:rPr>
                <w:color w:val="auto"/>
                <w:highlight w:val="none"/>
              </w:rPr>
              <w:t>现状评价</w:t>
            </w:r>
          </w:p>
        </w:tc>
        <w:tc>
          <w:tcPr>
            <w:tcW w:w="1417" w:type="dxa"/>
            <w:noWrap w:val="0"/>
            <w:vAlign w:val="center"/>
          </w:tcPr>
          <w:p w14:paraId="1A6DFA65">
            <w:pPr>
              <w:pStyle w:val="1358"/>
              <w:rPr>
                <w:color w:val="auto"/>
                <w:highlight w:val="none"/>
              </w:rPr>
            </w:pPr>
            <w:r>
              <w:rPr>
                <w:color w:val="auto"/>
                <w:highlight w:val="none"/>
              </w:rPr>
              <w:t>环境功能区</w:t>
            </w:r>
          </w:p>
        </w:tc>
        <w:tc>
          <w:tcPr>
            <w:tcW w:w="1985" w:type="dxa"/>
            <w:gridSpan w:val="7"/>
            <w:noWrap w:val="0"/>
            <w:vAlign w:val="center"/>
          </w:tcPr>
          <w:p w14:paraId="2BB65C2C">
            <w:pPr>
              <w:pStyle w:val="1358"/>
              <w:rPr>
                <w:color w:val="auto"/>
                <w:highlight w:val="none"/>
              </w:rPr>
            </w:pPr>
            <w:r>
              <w:rPr>
                <w:color w:val="auto"/>
                <w:highlight w:val="none"/>
              </w:rPr>
              <w:t>一类区□</w:t>
            </w:r>
          </w:p>
        </w:tc>
        <w:tc>
          <w:tcPr>
            <w:tcW w:w="2551" w:type="dxa"/>
            <w:gridSpan w:val="10"/>
            <w:noWrap w:val="0"/>
            <w:vAlign w:val="center"/>
          </w:tcPr>
          <w:p w14:paraId="0D22C2EA">
            <w:pPr>
              <w:pStyle w:val="1358"/>
              <w:rPr>
                <w:b/>
                <w:color w:val="auto"/>
                <w:highlight w:val="none"/>
              </w:rPr>
            </w:pPr>
            <w:r>
              <w:rPr>
                <w:b/>
                <w:color w:val="auto"/>
                <w:highlight w:val="none"/>
              </w:rPr>
              <w:t>二类区√</w:t>
            </w:r>
          </w:p>
        </w:tc>
        <w:tc>
          <w:tcPr>
            <w:tcW w:w="1949" w:type="dxa"/>
            <w:gridSpan w:val="5"/>
            <w:noWrap w:val="0"/>
            <w:vAlign w:val="center"/>
          </w:tcPr>
          <w:p w14:paraId="15A2B745">
            <w:pPr>
              <w:pStyle w:val="1358"/>
              <w:rPr>
                <w:color w:val="auto"/>
                <w:highlight w:val="none"/>
              </w:rPr>
            </w:pPr>
            <w:r>
              <w:rPr>
                <w:color w:val="auto"/>
                <w:highlight w:val="none"/>
              </w:rPr>
              <w:t>一类区和二类区□</w:t>
            </w:r>
          </w:p>
        </w:tc>
      </w:tr>
      <w:tr w14:paraId="5C076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1BF3DB92">
            <w:pPr>
              <w:pStyle w:val="1358"/>
              <w:rPr>
                <w:color w:val="auto"/>
                <w:highlight w:val="none"/>
              </w:rPr>
            </w:pPr>
          </w:p>
        </w:tc>
        <w:tc>
          <w:tcPr>
            <w:tcW w:w="1417" w:type="dxa"/>
            <w:noWrap w:val="0"/>
            <w:vAlign w:val="center"/>
          </w:tcPr>
          <w:p w14:paraId="4F4897EB">
            <w:pPr>
              <w:pStyle w:val="1358"/>
              <w:rPr>
                <w:color w:val="auto"/>
                <w:highlight w:val="none"/>
              </w:rPr>
            </w:pPr>
            <w:r>
              <w:rPr>
                <w:color w:val="auto"/>
                <w:highlight w:val="none"/>
              </w:rPr>
              <w:t>评价基准年</w:t>
            </w:r>
          </w:p>
        </w:tc>
        <w:tc>
          <w:tcPr>
            <w:tcW w:w="6485" w:type="dxa"/>
            <w:gridSpan w:val="22"/>
            <w:noWrap w:val="0"/>
            <w:vAlign w:val="center"/>
          </w:tcPr>
          <w:p w14:paraId="6D63BA6F">
            <w:pPr>
              <w:pStyle w:val="1358"/>
              <w:rPr>
                <w:color w:val="auto"/>
                <w:highlight w:val="none"/>
              </w:rPr>
            </w:pPr>
            <w:r>
              <w:rPr>
                <w:color w:val="auto"/>
                <w:highlight w:val="none"/>
              </w:rPr>
              <w:t>（202</w:t>
            </w:r>
            <w:r>
              <w:rPr>
                <w:rFonts w:hint="eastAsia"/>
                <w:color w:val="auto"/>
                <w:highlight w:val="none"/>
                <w:lang w:val="en-US" w:eastAsia="zh-CN"/>
              </w:rPr>
              <w:t>3</w:t>
            </w:r>
            <w:r>
              <w:rPr>
                <w:color w:val="auto"/>
                <w:highlight w:val="none"/>
              </w:rPr>
              <w:t>）年</w:t>
            </w:r>
          </w:p>
        </w:tc>
      </w:tr>
      <w:tr w14:paraId="06FF2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499550F1">
            <w:pPr>
              <w:pStyle w:val="1358"/>
              <w:rPr>
                <w:color w:val="auto"/>
                <w:highlight w:val="none"/>
              </w:rPr>
            </w:pPr>
          </w:p>
        </w:tc>
        <w:tc>
          <w:tcPr>
            <w:tcW w:w="1842" w:type="dxa"/>
            <w:gridSpan w:val="2"/>
            <w:noWrap w:val="0"/>
            <w:vAlign w:val="center"/>
          </w:tcPr>
          <w:p w14:paraId="4903A06A">
            <w:pPr>
              <w:pStyle w:val="1358"/>
              <w:rPr>
                <w:color w:val="auto"/>
                <w:highlight w:val="none"/>
              </w:rPr>
            </w:pPr>
            <w:r>
              <w:rPr>
                <w:color w:val="auto"/>
                <w:highlight w:val="none"/>
              </w:rPr>
              <w:t>环境空气质量现状调查数据来源</w:t>
            </w:r>
          </w:p>
        </w:tc>
        <w:tc>
          <w:tcPr>
            <w:tcW w:w="1985" w:type="dxa"/>
            <w:gridSpan w:val="8"/>
            <w:noWrap w:val="0"/>
            <w:vAlign w:val="center"/>
          </w:tcPr>
          <w:p w14:paraId="0C3B24C0">
            <w:pPr>
              <w:pStyle w:val="1358"/>
              <w:rPr>
                <w:color w:val="auto"/>
                <w:highlight w:val="none"/>
              </w:rPr>
            </w:pPr>
            <w:r>
              <w:rPr>
                <w:color w:val="auto"/>
                <w:highlight w:val="none"/>
              </w:rPr>
              <w:t>长期例行监测数据□</w:t>
            </w:r>
          </w:p>
        </w:tc>
        <w:tc>
          <w:tcPr>
            <w:tcW w:w="2126" w:type="dxa"/>
            <w:gridSpan w:val="8"/>
            <w:noWrap w:val="0"/>
            <w:vAlign w:val="center"/>
          </w:tcPr>
          <w:p w14:paraId="421230AB">
            <w:pPr>
              <w:pStyle w:val="1358"/>
              <w:rPr>
                <w:b/>
                <w:color w:val="auto"/>
                <w:highlight w:val="none"/>
              </w:rPr>
            </w:pPr>
            <w:r>
              <w:rPr>
                <w:b/>
                <w:color w:val="auto"/>
                <w:highlight w:val="none"/>
              </w:rPr>
              <w:t>主管部门发布的数据√</w:t>
            </w:r>
          </w:p>
        </w:tc>
        <w:tc>
          <w:tcPr>
            <w:tcW w:w="1949" w:type="dxa"/>
            <w:gridSpan w:val="5"/>
            <w:noWrap w:val="0"/>
            <w:vAlign w:val="center"/>
          </w:tcPr>
          <w:p w14:paraId="67BC294D">
            <w:pPr>
              <w:pStyle w:val="1358"/>
              <w:rPr>
                <w:b/>
                <w:color w:val="auto"/>
                <w:highlight w:val="none"/>
              </w:rPr>
            </w:pPr>
            <w:r>
              <w:rPr>
                <w:b/>
                <w:color w:val="auto"/>
                <w:highlight w:val="none"/>
              </w:rPr>
              <w:t>现状补充监测√</w:t>
            </w:r>
          </w:p>
        </w:tc>
      </w:tr>
      <w:tr w14:paraId="6B2C6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727026CA">
            <w:pPr>
              <w:pStyle w:val="1358"/>
              <w:rPr>
                <w:color w:val="auto"/>
                <w:highlight w:val="none"/>
              </w:rPr>
            </w:pPr>
          </w:p>
        </w:tc>
        <w:tc>
          <w:tcPr>
            <w:tcW w:w="1417" w:type="dxa"/>
            <w:noWrap w:val="0"/>
            <w:vAlign w:val="center"/>
          </w:tcPr>
          <w:p w14:paraId="7FEC8020">
            <w:pPr>
              <w:pStyle w:val="1358"/>
              <w:rPr>
                <w:color w:val="auto"/>
                <w:highlight w:val="none"/>
              </w:rPr>
            </w:pPr>
            <w:r>
              <w:rPr>
                <w:color w:val="auto"/>
                <w:highlight w:val="none"/>
              </w:rPr>
              <w:t>现状评价</w:t>
            </w:r>
          </w:p>
        </w:tc>
        <w:tc>
          <w:tcPr>
            <w:tcW w:w="2738" w:type="dxa"/>
            <w:gridSpan w:val="11"/>
            <w:noWrap w:val="0"/>
            <w:vAlign w:val="center"/>
          </w:tcPr>
          <w:p w14:paraId="56C69F3C">
            <w:pPr>
              <w:pStyle w:val="1358"/>
              <w:rPr>
                <w:b/>
                <w:color w:val="auto"/>
                <w:highlight w:val="none"/>
              </w:rPr>
            </w:pPr>
            <w:r>
              <w:rPr>
                <w:b/>
                <w:color w:val="auto"/>
                <w:highlight w:val="none"/>
              </w:rPr>
              <w:t>达标区√</w:t>
            </w:r>
          </w:p>
        </w:tc>
        <w:tc>
          <w:tcPr>
            <w:tcW w:w="3747" w:type="dxa"/>
            <w:gridSpan w:val="11"/>
            <w:noWrap w:val="0"/>
            <w:vAlign w:val="center"/>
          </w:tcPr>
          <w:p w14:paraId="085DC1BD">
            <w:pPr>
              <w:pStyle w:val="1358"/>
              <w:rPr>
                <w:color w:val="auto"/>
                <w:highlight w:val="none"/>
              </w:rPr>
            </w:pPr>
            <w:r>
              <w:rPr>
                <w:color w:val="auto"/>
                <w:highlight w:val="none"/>
              </w:rPr>
              <w:t>不达标区□</w:t>
            </w:r>
          </w:p>
        </w:tc>
      </w:tr>
      <w:tr w14:paraId="1A93B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92A039A">
            <w:pPr>
              <w:pStyle w:val="1358"/>
              <w:rPr>
                <w:color w:val="auto"/>
                <w:highlight w:val="none"/>
              </w:rPr>
            </w:pPr>
            <w:r>
              <w:rPr>
                <w:color w:val="auto"/>
                <w:highlight w:val="none"/>
              </w:rPr>
              <w:t>污染源调查</w:t>
            </w:r>
          </w:p>
        </w:tc>
        <w:tc>
          <w:tcPr>
            <w:tcW w:w="1417" w:type="dxa"/>
            <w:noWrap w:val="0"/>
            <w:vAlign w:val="center"/>
          </w:tcPr>
          <w:p w14:paraId="2CB2CB03">
            <w:pPr>
              <w:pStyle w:val="1358"/>
              <w:rPr>
                <w:color w:val="auto"/>
                <w:highlight w:val="none"/>
              </w:rPr>
            </w:pPr>
            <w:r>
              <w:rPr>
                <w:color w:val="auto"/>
                <w:highlight w:val="none"/>
              </w:rPr>
              <w:t>调查内容</w:t>
            </w:r>
          </w:p>
        </w:tc>
        <w:tc>
          <w:tcPr>
            <w:tcW w:w="2268" w:type="dxa"/>
            <w:gridSpan w:val="8"/>
            <w:noWrap w:val="0"/>
            <w:vAlign w:val="center"/>
          </w:tcPr>
          <w:p w14:paraId="074BE7D1">
            <w:pPr>
              <w:pStyle w:val="1358"/>
              <w:rPr>
                <w:b/>
                <w:color w:val="auto"/>
                <w:highlight w:val="none"/>
              </w:rPr>
            </w:pPr>
            <w:r>
              <w:rPr>
                <w:b/>
                <w:color w:val="auto"/>
                <w:highlight w:val="none"/>
              </w:rPr>
              <w:t>本项目正常排放源√</w:t>
            </w:r>
          </w:p>
          <w:p w14:paraId="74EA72A5">
            <w:pPr>
              <w:pStyle w:val="1358"/>
              <w:rPr>
                <w:color w:val="auto"/>
                <w:highlight w:val="none"/>
              </w:rPr>
            </w:pPr>
            <w:r>
              <w:rPr>
                <w:color w:val="auto"/>
                <w:highlight w:val="none"/>
              </w:rPr>
              <w:t>本项目非正常排放源□</w:t>
            </w:r>
          </w:p>
          <w:p w14:paraId="0536D405">
            <w:pPr>
              <w:pStyle w:val="1358"/>
              <w:rPr>
                <w:color w:val="auto"/>
                <w:highlight w:val="none"/>
              </w:rPr>
            </w:pPr>
            <w:r>
              <w:rPr>
                <w:color w:val="auto"/>
                <w:highlight w:val="none"/>
              </w:rPr>
              <w:t>现有污染源□</w:t>
            </w:r>
          </w:p>
        </w:tc>
        <w:tc>
          <w:tcPr>
            <w:tcW w:w="1388" w:type="dxa"/>
            <w:gridSpan w:val="7"/>
            <w:noWrap w:val="0"/>
            <w:vAlign w:val="center"/>
          </w:tcPr>
          <w:p w14:paraId="506E087B">
            <w:pPr>
              <w:pStyle w:val="1358"/>
              <w:rPr>
                <w:color w:val="auto"/>
                <w:highlight w:val="none"/>
              </w:rPr>
            </w:pPr>
            <w:r>
              <w:rPr>
                <w:color w:val="auto"/>
                <w:highlight w:val="none"/>
              </w:rPr>
              <w:t>拟替代的污染源□</w:t>
            </w:r>
          </w:p>
        </w:tc>
        <w:tc>
          <w:tcPr>
            <w:tcW w:w="1952" w:type="dxa"/>
            <w:gridSpan w:val="5"/>
            <w:noWrap w:val="0"/>
            <w:vAlign w:val="center"/>
          </w:tcPr>
          <w:p w14:paraId="5EA185BB">
            <w:pPr>
              <w:pStyle w:val="1358"/>
              <w:rPr>
                <w:color w:val="auto"/>
                <w:highlight w:val="none"/>
              </w:rPr>
            </w:pPr>
            <w:r>
              <w:rPr>
                <w:color w:val="auto"/>
                <w:highlight w:val="none"/>
              </w:rPr>
              <w:t>其他在建、拟建项目污染源□</w:t>
            </w:r>
          </w:p>
        </w:tc>
        <w:tc>
          <w:tcPr>
            <w:tcW w:w="877" w:type="dxa"/>
            <w:gridSpan w:val="2"/>
            <w:noWrap w:val="0"/>
            <w:vAlign w:val="center"/>
          </w:tcPr>
          <w:p w14:paraId="58AABB3C">
            <w:pPr>
              <w:pStyle w:val="1358"/>
              <w:rPr>
                <w:color w:val="auto"/>
                <w:highlight w:val="none"/>
              </w:rPr>
            </w:pPr>
            <w:r>
              <w:rPr>
                <w:color w:val="auto"/>
                <w:highlight w:val="none"/>
              </w:rPr>
              <w:t>区域污染源□</w:t>
            </w:r>
          </w:p>
        </w:tc>
      </w:tr>
      <w:tr w14:paraId="4BE2F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5089EB18">
            <w:pPr>
              <w:pStyle w:val="1358"/>
              <w:rPr>
                <w:color w:val="auto"/>
                <w:highlight w:val="none"/>
              </w:rPr>
            </w:pPr>
            <w:r>
              <w:rPr>
                <w:color w:val="auto"/>
                <w:highlight w:val="none"/>
              </w:rPr>
              <w:t>大气环境影响预测与评价</w:t>
            </w:r>
          </w:p>
        </w:tc>
        <w:tc>
          <w:tcPr>
            <w:tcW w:w="1417" w:type="dxa"/>
            <w:noWrap w:val="0"/>
            <w:vAlign w:val="center"/>
          </w:tcPr>
          <w:p w14:paraId="0D78447C">
            <w:pPr>
              <w:pStyle w:val="1358"/>
              <w:rPr>
                <w:color w:val="auto"/>
                <w:highlight w:val="none"/>
              </w:rPr>
            </w:pPr>
            <w:r>
              <w:rPr>
                <w:color w:val="auto"/>
                <w:highlight w:val="none"/>
              </w:rPr>
              <w:t>预测模型</w:t>
            </w:r>
          </w:p>
        </w:tc>
        <w:tc>
          <w:tcPr>
            <w:tcW w:w="893" w:type="dxa"/>
            <w:gridSpan w:val="3"/>
            <w:noWrap w:val="0"/>
            <w:vAlign w:val="center"/>
          </w:tcPr>
          <w:p w14:paraId="73E35DD1">
            <w:pPr>
              <w:pStyle w:val="1358"/>
              <w:rPr>
                <w:color w:val="auto"/>
                <w:highlight w:val="none"/>
              </w:rPr>
            </w:pPr>
            <w:r>
              <w:rPr>
                <w:color w:val="auto"/>
                <w:highlight w:val="none"/>
              </w:rPr>
              <w:t>AERMOD□</w:t>
            </w:r>
          </w:p>
        </w:tc>
        <w:tc>
          <w:tcPr>
            <w:tcW w:w="1092" w:type="dxa"/>
            <w:gridSpan w:val="4"/>
            <w:noWrap w:val="0"/>
            <w:vAlign w:val="center"/>
          </w:tcPr>
          <w:p w14:paraId="6404F2D5">
            <w:pPr>
              <w:pStyle w:val="1358"/>
              <w:rPr>
                <w:color w:val="auto"/>
                <w:highlight w:val="none"/>
              </w:rPr>
            </w:pPr>
            <w:r>
              <w:rPr>
                <w:color w:val="auto"/>
                <w:highlight w:val="none"/>
              </w:rPr>
              <w:t>ADMS□</w:t>
            </w:r>
          </w:p>
        </w:tc>
        <w:tc>
          <w:tcPr>
            <w:tcW w:w="992" w:type="dxa"/>
            <w:gridSpan w:val="6"/>
            <w:noWrap w:val="0"/>
            <w:vAlign w:val="center"/>
          </w:tcPr>
          <w:p w14:paraId="689F1C94">
            <w:pPr>
              <w:pStyle w:val="1358"/>
              <w:rPr>
                <w:color w:val="auto"/>
                <w:highlight w:val="none"/>
              </w:rPr>
            </w:pPr>
            <w:r>
              <w:rPr>
                <w:color w:val="auto"/>
                <w:highlight w:val="none"/>
              </w:rPr>
              <w:t>AUSTAL2000□</w:t>
            </w:r>
          </w:p>
        </w:tc>
        <w:tc>
          <w:tcPr>
            <w:tcW w:w="1134" w:type="dxa"/>
            <w:gridSpan w:val="3"/>
            <w:noWrap w:val="0"/>
            <w:vAlign w:val="center"/>
          </w:tcPr>
          <w:p w14:paraId="79492F83">
            <w:pPr>
              <w:pStyle w:val="1358"/>
              <w:rPr>
                <w:color w:val="auto"/>
                <w:highlight w:val="none"/>
              </w:rPr>
            </w:pPr>
            <w:r>
              <w:rPr>
                <w:color w:val="auto"/>
                <w:highlight w:val="none"/>
              </w:rPr>
              <w:t>EDMS□</w:t>
            </w:r>
          </w:p>
        </w:tc>
        <w:tc>
          <w:tcPr>
            <w:tcW w:w="992" w:type="dxa"/>
            <w:gridSpan w:val="3"/>
            <w:noWrap w:val="0"/>
            <w:vAlign w:val="center"/>
          </w:tcPr>
          <w:p w14:paraId="2817F98E">
            <w:pPr>
              <w:pStyle w:val="1358"/>
              <w:rPr>
                <w:color w:val="auto"/>
                <w:highlight w:val="none"/>
              </w:rPr>
            </w:pPr>
            <w:r>
              <w:rPr>
                <w:color w:val="auto"/>
                <w:highlight w:val="none"/>
              </w:rPr>
              <w:t>CALPUFF□</w:t>
            </w:r>
          </w:p>
        </w:tc>
        <w:tc>
          <w:tcPr>
            <w:tcW w:w="709" w:type="dxa"/>
            <w:gridSpan w:val="2"/>
            <w:noWrap w:val="0"/>
            <w:vAlign w:val="center"/>
          </w:tcPr>
          <w:p w14:paraId="7B2A421D">
            <w:pPr>
              <w:pStyle w:val="1358"/>
              <w:rPr>
                <w:color w:val="auto"/>
                <w:highlight w:val="none"/>
              </w:rPr>
            </w:pPr>
            <w:r>
              <w:rPr>
                <w:color w:val="auto"/>
                <w:highlight w:val="none"/>
              </w:rPr>
              <w:t>网络模型□</w:t>
            </w:r>
          </w:p>
        </w:tc>
        <w:tc>
          <w:tcPr>
            <w:tcW w:w="673" w:type="dxa"/>
            <w:noWrap w:val="0"/>
            <w:vAlign w:val="center"/>
          </w:tcPr>
          <w:p w14:paraId="1C682501">
            <w:pPr>
              <w:pStyle w:val="1358"/>
              <w:rPr>
                <w:color w:val="auto"/>
                <w:highlight w:val="none"/>
              </w:rPr>
            </w:pPr>
            <w:r>
              <w:rPr>
                <w:color w:val="auto"/>
                <w:highlight w:val="none"/>
              </w:rPr>
              <w:t>其他□</w:t>
            </w:r>
          </w:p>
        </w:tc>
      </w:tr>
      <w:tr w14:paraId="08D63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0876AF87">
            <w:pPr>
              <w:pStyle w:val="1358"/>
              <w:rPr>
                <w:color w:val="auto"/>
                <w:highlight w:val="none"/>
              </w:rPr>
            </w:pPr>
          </w:p>
        </w:tc>
        <w:tc>
          <w:tcPr>
            <w:tcW w:w="1417" w:type="dxa"/>
            <w:noWrap w:val="0"/>
            <w:vAlign w:val="center"/>
          </w:tcPr>
          <w:p w14:paraId="431B4915">
            <w:pPr>
              <w:pStyle w:val="1358"/>
              <w:rPr>
                <w:color w:val="auto"/>
                <w:highlight w:val="none"/>
              </w:rPr>
            </w:pPr>
            <w:r>
              <w:rPr>
                <w:color w:val="auto"/>
                <w:highlight w:val="none"/>
              </w:rPr>
              <w:t>预测范围</w:t>
            </w:r>
          </w:p>
        </w:tc>
        <w:tc>
          <w:tcPr>
            <w:tcW w:w="1985" w:type="dxa"/>
            <w:gridSpan w:val="7"/>
            <w:noWrap w:val="0"/>
            <w:vAlign w:val="center"/>
          </w:tcPr>
          <w:p w14:paraId="7C3DAE66">
            <w:pPr>
              <w:pStyle w:val="1358"/>
              <w:rPr>
                <w:color w:val="auto"/>
                <w:highlight w:val="none"/>
              </w:rPr>
            </w:pPr>
            <w:r>
              <w:rPr>
                <w:color w:val="auto"/>
                <w:highlight w:val="none"/>
              </w:rPr>
              <w:t>边长≥50km□</w:t>
            </w:r>
          </w:p>
        </w:tc>
        <w:tc>
          <w:tcPr>
            <w:tcW w:w="2126" w:type="dxa"/>
            <w:gridSpan w:val="9"/>
            <w:noWrap w:val="0"/>
            <w:vAlign w:val="center"/>
          </w:tcPr>
          <w:p w14:paraId="7172C8DF">
            <w:pPr>
              <w:pStyle w:val="1358"/>
              <w:rPr>
                <w:rFonts w:hint="eastAsia" w:eastAsia="宋体"/>
                <w:color w:val="auto"/>
                <w:highlight w:val="none"/>
                <w:lang w:eastAsia="zh-CN"/>
              </w:rPr>
            </w:pPr>
            <w:r>
              <w:rPr>
                <w:color w:val="auto"/>
                <w:highlight w:val="none"/>
              </w:rPr>
              <w:t>边长5~50km</w:t>
            </w:r>
            <w:r>
              <w:rPr>
                <w:rFonts w:hint="eastAsia"/>
                <w:color w:val="auto"/>
                <w:highlight w:val="none"/>
                <w:lang w:eastAsia="zh-CN"/>
              </w:rPr>
              <w:t>☑</w:t>
            </w:r>
          </w:p>
        </w:tc>
        <w:tc>
          <w:tcPr>
            <w:tcW w:w="2374" w:type="dxa"/>
            <w:gridSpan w:val="6"/>
            <w:noWrap w:val="0"/>
            <w:vAlign w:val="center"/>
          </w:tcPr>
          <w:p w14:paraId="1E59529E">
            <w:pPr>
              <w:pStyle w:val="1358"/>
              <w:rPr>
                <w:color w:val="auto"/>
                <w:highlight w:val="none"/>
              </w:rPr>
            </w:pPr>
            <w:r>
              <w:rPr>
                <w:color w:val="auto"/>
                <w:highlight w:val="none"/>
              </w:rPr>
              <w:t>边长=5km□</w:t>
            </w:r>
          </w:p>
        </w:tc>
      </w:tr>
      <w:tr w14:paraId="4C03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7256F36A">
            <w:pPr>
              <w:pStyle w:val="1358"/>
              <w:rPr>
                <w:color w:val="auto"/>
                <w:highlight w:val="none"/>
              </w:rPr>
            </w:pPr>
          </w:p>
        </w:tc>
        <w:tc>
          <w:tcPr>
            <w:tcW w:w="1417" w:type="dxa"/>
            <w:noWrap w:val="0"/>
            <w:vAlign w:val="center"/>
          </w:tcPr>
          <w:p w14:paraId="639FFEF5">
            <w:pPr>
              <w:pStyle w:val="1358"/>
              <w:rPr>
                <w:color w:val="auto"/>
                <w:highlight w:val="none"/>
              </w:rPr>
            </w:pPr>
            <w:r>
              <w:rPr>
                <w:color w:val="auto"/>
                <w:highlight w:val="none"/>
              </w:rPr>
              <w:t>预测因子</w:t>
            </w:r>
          </w:p>
        </w:tc>
        <w:tc>
          <w:tcPr>
            <w:tcW w:w="2912" w:type="dxa"/>
            <w:gridSpan w:val="12"/>
            <w:noWrap w:val="0"/>
            <w:vAlign w:val="center"/>
          </w:tcPr>
          <w:p w14:paraId="32CB88CD">
            <w:pPr>
              <w:pStyle w:val="1358"/>
              <w:rPr>
                <w:color w:val="auto"/>
                <w:highlight w:val="none"/>
              </w:rPr>
            </w:pPr>
            <w:r>
              <w:rPr>
                <w:color w:val="auto"/>
                <w:highlight w:val="none"/>
              </w:rPr>
              <w:t>预测因子（非甲烷总烃</w:t>
            </w:r>
            <w:r>
              <w:rPr>
                <w:rFonts w:hint="eastAsia"/>
                <w:color w:val="auto"/>
                <w:highlight w:val="none"/>
                <w:lang w:eastAsia="zh-CN"/>
              </w:rPr>
              <w:t>、</w:t>
            </w:r>
            <w:r>
              <w:rPr>
                <w:rFonts w:hint="eastAsia"/>
                <w:color w:val="auto"/>
                <w:highlight w:val="none"/>
                <w:lang w:val="en-US" w:eastAsia="zh-CN"/>
              </w:rPr>
              <w:t>二甲苯、乙酸丁酯、TSP、</w:t>
            </w:r>
            <w:r>
              <w:rPr>
                <w:color w:val="auto"/>
                <w:highlight w:val="none"/>
              </w:rPr>
              <w:t>SO</w:t>
            </w:r>
            <w:r>
              <w:rPr>
                <w:color w:val="auto"/>
                <w:highlight w:val="none"/>
                <w:vertAlign w:val="subscript"/>
              </w:rPr>
              <w:t>2</w:t>
            </w:r>
            <w:r>
              <w:rPr>
                <w:color w:val="auto"/>
                <w:highlight w:val="none"/>
              </w:rPr>
              <w:t>、NO</w:t>
            </w:r>
            <w:r>
              <w:rPr>
                <w:color w:val="auto"/>
                <w:highlight w:val="none"/>
                <w:vertAlign w:val="subscript"/>
              </w:rPr>
              <w:t>2</w:t>
            </w:r>
            <w:r>
              <w:rPr>
                <w:color w:val="auto"/>
                <w:highlight w:val="none"/>
              </w:rPr>
              <w:t>）</w:t>
            </w:r>
          </w:p>
        </w:tc>
        <w:tc>
          <w:tcPr>
            <w:tcW w:w="3573" w:type="dxa"/>
            <w:gridSpan w:val="10"/>
            <w:noWrap w:val="0"/>
            <w:vAlign w:val="center"/>
          </w:tcPr>
          <w:p w14:paraId="0DAE395F">
            <w:pPr>
              <w:pStyle w:val="1358"/>
              <w:rPr>
                <w:color w:val="auto"/>
                <w:highlight w:val="none"/>
              </w:rPr>
            </w:pPr>
            <w:r>
              <w:rPr>
                <w:color w:val="auto"/>
                <w:highlight w:val="none"/>
              </w:rPr>
              <w:t>包括二次PM</w:t>
            </w:r>
            <w:r>
              <w:rPr>
                <w:color w:val="auto"/>
                <w:highlight w:val="none"/>
                <w:vertAlign w:val="subscript"/>
              </w:rPr>
              <w:t>2.5</w:t>
            </w:r>
            <w:r>
              <w:rPr>
                <w:color w:val="auto"/>
                <w:highlight w:val="none"/>
              </w:rPr>
              <w:t>□</w:t>
            </w:r>
          </w:p>
          <w:p w14:paraId="6655BC5C">
            <w:pPr>
              <w:pStyle w:val="1358"/>
              <w:rPr>
                <w:color w:val="auto"/>
                <w:highlight w:val="none"/>
              </w:rPr>
            </w:pPr>
            <w:r>
              <w:rPr>
                <w:color w:val="auto"/>
                <w:highlight w:val="none"/>
              </w:rPr>
              <w:t>不包括二次PM</w:t>
            </w:r>
            <w:r>
              <w:rPr>
                <w:color w:val="auto"/>
                <w:highlight w:val="none"/>
                <w:vertAlign w:val="subscript"/>
              </w:rPr>
              <w:t>2.5</w:t>
            </w:r>
            <w:r>
              <w:rPr>
                <w:color w:val="auto"/>
                <w:highlight w:val="none"/>
              </w:rPr>
              <w:t>□</w:t>
            </w:r>
          </w:p>
        </w:tc>
      </w:tr>
      <w:tr w14:paraId="6EE13B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6D3BEC29">
            <w:pPr>
              <w:pStyle w:val="1358"/>
              <w:rPr>
                <w:color w:val="auto"/>
                <w:highlight w:val="none"/>
              </w:rPr>
            </w:pPr>
          </w:p>
        </w:tc>
        <w:tc>
          <w:tcPr>
            <w:tcW w:w="1417" w:type="dxa"/>
            <w:noWrap w:val="0"/>
            <w:vAlign w:val="center"/>
          </w:tcPr>
          <w:p w14:paraId="23E8093E">
            <w:pPr>
              <w:pStyle w:val="1358"/>
              <w:rPr>
                <w:color w:val="auto"/>
                <w:highlight w:val="none"/>
              </w:rPr>
            </w:pPr>
            <w:r>
              <w:rPr>
                <w:color w:val="auto"/>
                <w:highlight w:val="none"/>
              </w:rPr>
              <w:t>正常排放短期浓度贡献值</w:t>
            </w:r>
          </w:p>
        </w:tc>
        <w:tc>
          <w:tcPr>
            <w:tcW w:w="2912" w:type="dxa"/>
            <w:gridSpan w:val="12"/>
            <w:noWrap w:val="0"/>
            <w:vAlign w:val="center"/>
          </w:tcPr>
          <w:p w14:paraId="587D9152">
            <w:pPr>
              <w:pStyle w:val="1358"/>
              <w:rPr>
                <w:rFonts w:hint="eastAsia" w:eastAsia="宋体"/>
                <w:color w:val="auto"/>
                <w:highlight w:val="none"/>
                <w:lang w:eastAsia="zh-CN"/>
              </w:rPr>
            </w:pPr>
            <w:r>
              <w:rPr>
                <w:color w:val="auto"/>
                <w:highlight w:val="none"/>
              </w:rPr>
              <w:t>C</w:t>
            </w:r>
            <w:r>
              <w:rPr>
                <w:color w:val="auto"/>
                <w:highlight w:val="none"/>
                <w:vertAlign w:val="subscript"/>
              </w:rPr>
              <w:t>本项目</w:t>
            </w:r>
            <w:r>
              <w:rPr>
                <w:color w:val="auto"/>
                <w:highlight w:val="none"/>
              </w:rPr>
              <w:t>最大占标率≤100%</w:t>
            </w:r>
            <w:r>
              <w:rPr>
                <w:rFonts w:hint="eastAsia"/>
                <w:color w:val="auto"/>
                <w:highlight w:val="none"/>
                <w:lang w:eastAsia="zh-CN"/>
              </w:rPr>
              <w:t>☑</w:t>
            </w:r>
          </w:p>
        </w:tc>
        <w:tc>
          <w:tcPr>
            <w:tcW w:w="3573" w:type="dxa"/>
            <w:gridSpan w:val="10"/>
            <w:noWrap w:val="0"/>
            <w:vAlign w:val="center"/>
          </w:tcPr>
          <w:p w14:paraId="2F0BE81E">
            <w:pPr>
              <w:pStyle w:val="1358"/>
              <w:rPr>
                <w:color w:val="auto"/>
                <w:highlight w:val="none"/>
              </w:rPr>
            </w:pPr>
            <w:r>
              <w:rPr>
                <w:color w:val="auto"/>
                <w:highlight w:val="none"/>
              </w:rPr>
              <w:t>C</w:t>
            </w:r>
            <w:r>
              <w:rPr>
                <w:color w:val="auto"/>
                <w:highlight w:val="none"/>
                <w:vertAlign w:val="subscript"/>
              </w:rPr>
              <w:t>本项目</w:t>
            </w:r>
            <w:r>
              <w:rPr>
                <w:color w:val="auto"/>
                <w:highlight w:val="none"/>
              </w:rPr>
              <w:t>最大占标率＞100%□</w:t>
            </w:r>
          </w:p>
        </w:tc>
      </w:tr>
      <w:tr w14:paraId="44CF4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4D728C18">
            <w:pPr>
              <w:pStyle w:val="1358"/>
              <w:rPr>
                <w:color w:val="auto"/>
                <w:highlight w:val="none"/>
              </w:rPr>
            </w:pPr>
          </w:p>
        </w:tc>
        <w:tc>
          <w:tcPr>
            <w:tcW w:w="1417" w:type="dxa"/>
            <w:vMerge w:val="restart"/>
            <w:noWrap w:val="0"/>
            <w:vAlign w:val="center"/>
          </w:tcPr>
          <w:p w14:paraId="0E3F69B1">
            <w:pPr>
              <w:pStyle w:val="1358"/>
              <w:rPr>
                <w:color w:val="auto"/>
                <w:highlight w:val="none"/>
              </w:rPr>
            </w:pPr>
            <w:r>
              <w:rPr>
                <w:color w:val="auto"/>
                <w:highlight w:val="none"/>
              </w:rPr>
              <w:t>正常排放年均浓度贡献值</w:t>
            </w:r>
          </w:p>
        </w:tc>
        <w:tc>
          <w:tcPr>
            <w:tcW w:w="1134" w:type="dxa"/>
            <w:gridSpan w:val="4"/>
            <w:noWrap w:val="0"/>
            <w:vAlign w:val="center"/>
          </w:tcPr>
          <w:p w14:paraId="27E497B7">
            <w:pPr>
              <w:pStyle w:val="1358"/>
              <w:rPr>
                <w:color w:val="auto"/>
                <w:highlight w:val="none"/>
              </w:rPr>
            </w:pPr>
            <w:r>
              <w:rPr>
                <w:color w:val="auto"/>
                <w:highlight w:val="none"/>
              </w:rPr>
              <w:t>一类区</w:t>
            </w:r>
          </w:p>
        </w:tc>
        <w:tc>
          <w:tcPr>
            <w:tcW w:w="2390" w:type="dxa"/>
            <w:gridSpan w:val="10"/>
            <w:noWrap w:val="0"/>
            <w:vAlign w:val="center"/>
          </w:tcPr>
          <w:p w14:paraId="004F8768">
            <w:pPr>
              <w:pStyle w:val="1358"/>
              <w:rPr>
                <w:color w:val="auto"/>
                <w:highlight w:val="none"/>
              </w:rPr>
            </w:pPr>
            <w:r>
              <w:rPr>
                <w:color w:val="auto"/>
                <w:highlight w:val="none"/>
              </w:rPr>
              <w:t>C</w:t>
            </w:r>
            <w:r>
              <w:rPr>
                <w:color w:val="auto"/>
                <w:highlight w:val="none"/>
                <w:vertAlign w:val="subscript"/>
              </w:rPr>
              <w:t>本项目</w:t>
            </w:r>
            <w:r>
              <w:rPr>
                <w:color w:val="auto"/>
                <w:highlight w:val="none"/>
              </w:rPr>
              <w:t>最大占标率≤10%□</w:t>
            </w:r>
          </w:p>
        </w:tc>
        <w:tc>
          <w:tcPr>
            <w:tcW w:w="2961" w:type="dxa"/>
            <w:gridSpan w:val="8"/>
            <w:noWrap w:val="0"/>
            <w:vAlign w:val="center"/>
          </w:tcPr>
          <w:p w14:paraId="0DF3EE75">
            <w:pPr>
              <w:pStyle w:val="1358"/>
              <w:rPr>
                <w:color w:val="auto"/>
                <w:highlight w:val="none"/>
              </w:rPr>
            </w:pPr>
            <w:r>
              <w:rPr>
                <w:color w:val="auto"/>
                <w:highlight w:val="none"/>
              </w:rPr>
              <w:t>C</w:t>
            </w:r>
            <w:r>
              <w:rPr>
                <w:color w:val="auto"/>
                <w:highlight w:val="none"/>
                <w:vertAlign w:val="subscript"/>
              </w:rPr>
              <w:t>本项目</w:t>
            </w:r>
            <w:r>
              <w:rPr>
                <w:color w:val="auto"/>
                <w:highlight w:val="none"/>
              </w:rPr>
              <w:t>最大占标率＞10%□</w:t>
            </w:r>
          </w:p>
        </w:tc>
      </w:tr>
      <w:tr w14:paraId="3B4D9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2F01CC55">
            <w:pPr>
              <w:pStyle w:val="1358"/>
              <w:rPr>
                <w:color w:val="auto"/>
                <w:highlight w:val="none"/>
              </w:rPr>
            </w:pPr>
          </w:p>
        </w:tc>
        <w:tc>
          <w:tcPr>
            <w:tcW w:w="1417" w:type="dxa"/>
            <w:vMerge w:val="continue"/>
            <w:noWrap w:val="0"/>
            <w:vAlign w:val="center"/>
          </w:tcPr>
          <w:p w14:paraId="692DB88C">
            <w:pPr>
              <w:pStyle w:val="1358"/>
              <w:rPr>
                <w:color w:val="auto"/>
                <w:highlight w:val="none"/>
              </w:rPr>
            </w:pPr>
          </w:p>
        </w:tc>
        <w:tc>
          <w:tcPr>
            <w:tcW w:w="1134" w:type="dxa"/>
            <w:gridSpan w:val="4"/>
            <w:noWrap w:val="0"/>
            <w:vAlign w:val="center"/>
          </w:tcPr>
          <w:p w14:paraId="20EE865E">
            <w:pPr>
              <w:pStyle w:val="1358"/>
              <w:rPr>
                <w:color w:val="auto"/>
                <w:highlight w:val="none"/>
              </w:rPr>
            </w:pPr>
            <w:r>
              <w:rPr>
                <w:color w:val="auto"/>
                <w:highlight w:val="none"/>
              </w:rPr>
              <w:t>二类区</w:t>
            </w:r>
          </w:p>
        </w:tc>
        <w:tc>
          <w:tcPr>
            <w:tcW w:w="2390" w:type="dxa"/>
            <w:gridSpan w:val="10"/>
            <w:noWrap w:val="0"/>
            <w:vAlign w:val="center"/>
          </w:tcPr>
          <w:p w14:paraId="10B9D789">
            <w:pPr>
              <w:pStyle w:val="1358"/>
              <w:rPr>
                <w:rFonts w:hint="eastAsia" w:eastAsia="宋体"/>
                <w:color w:val="auto"/>
                <w:highlight w:val="none"/>
                <w:lang w:eastAsia="zh-CN"/>
              </w:rPr>
            </w:pPr>
            <w:r>
              <w:rPr>
                <w:color w:val="auto"/>
                <w:highlight w:val="none"/>
              </w:rPr>
              <w:t>C</w:t>
            </w:r>
            <w:r>
              <w:rPr>
                <w:color w:val="auto"/>
                <w:highlight w:val="none"/>
                <w:vertAlign w:val="subscript"/>
              </w:rPr>
              <w:t>本项目</w:t>
            </w:r>
            <w:r>
              <w:rPr>
                <w:color w:val="auto"/>
                <w:highlight w:val="none"/>
              </w:rPr>
              <w:t>最大占标率≤30%</w:t>
            </w:r>
            <w:r>
              <w:rPr>
                <w:rFonts w:hint="eastAsia"/>
                <w:color w:val="auto"/>
                <w:highlight w:val="none"/>
                <w:lang w:eastAsia="zh-CN"/>
              </w:rPr>
              <w:t>☑</w:t>
            </w:r>
          </w:p>
        </w:tc>
        <w:tc>
          <w:tcPr>
            <w:tcW w:w="2961" w:type="dxa"/>
            <w:gridSpan w:val="8"/>
            <w:noWrap w:val="0"/>
            <w:vAlign w:val="center"/>
          </w:tcPr>
          <w:p w14:paraId="0711F977">
            <w:pPr>
              <w:pStyle w:val="1358"/>
              <w:rPr>
                <w:color w:val="auto"/>
                <w:highlight w:val="none"/>
              </w:rPr>
            </w:pPr>
            <w:r>
              <w:rPr>
                <w:color w:val="auto"/>
                <w:highlight w:val="none"/>
              </w:rPr>
              <w:t>C</w:t>
            </w:r>
            <w:r>
              <w:rPr>
                <w:color w:val="auto"/>
                <w:highlight w:val="none"/>
                <w:vertAlign w:val="subscript"/>
              </w:rPr>
              <w:t>本项目</w:t>
            </w:r>
            <w:r>
              <w:rPr>
                <w:color w:val="auto"/>
                <w:highlight w:val="none"/>
              </w:rPr>
              <w:t>最大占标率＞30%□</w:t>
            </w:r>
          </w:p>
        </w:tc>
      </w:tr>
      <w:tr w14:paraId="686CC9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4D5A7C7C">
            <w:pPr>
              <w:pStyle w:val="1358"/>
              <w:rPr>
                <w:color w:val="auto"/>
                <w:highlight w:val="none"/>
              </w:rPr>
            </w:pPr>
          </w:p>
        </w:tc>
        <w:tc>
          <w:tcPr>
            <w:tcW w:w="1417" w:type="dxa"/>
            <w:noWrap w:val="0"/>
            <w:vAlign w:val="center"/>
          </w:tcPr>
          <w:p w14:paraId="36A04237">
            <w:pPr>
              <w:pStyle w:val="1358"/>
              <w:rPr>
                <w:color w:val="auto"/>
                <w:highlight w:val="none"/>
              </w:rPr>
            </w:pPr>
            <w:r>
              <w:rPr>
                <w:color w:val="auto"/>
                <w:highlight w:val="none"/>
              </w:rPr>
              <w:t>非正常排放1h浓度贡献值</w:t>
            </w:r>
          </w:p>
        </w:tc>
        <w:tc>
          <w:tcPr>
            <w:tcW w:w="1134" w:type="dxa"/>
            <w:gridSpan w:val="4"/>
            <w:noWrap w:val="0"/>
            <w:vAlign w:val="center"/>
          </w:tcPr>
          <w:p w14:paraId="4E30C96A">
            <w:pPr>
              <w:pStyle w:val="1358"/>
              <w:rPr>
                <w:color w:val="auto"/>
                <w:highlight w:val="none"/>
              </w:rPr>
            </w:pPr>
            <w:r>
              <w:rPr>
                <w:color w:val="auto"/>
                <w:highlight w:val="none"/>
              </w:rPr>
              <w:t>非正常持续时长（</w:t>
            </w:r>
            <w:r>
              <w:rPr>
                <w:rFonts w:hint="eastAsia"/>
                <w:color w:val="auto"/>
                <w:highlight w:val="none"/>
                <w:lang w:val="en-US" w:eastAsia="zh-CN"/>
              </w:rPr>
              <w:t>1</w:t>
            </w:r>
            <w:r>
              <w:rPr>
                <w:color w:val="auto"/>
                <w:highlight w:val="none"/>
              </w:rPr>
              <w:t>）h</w:t>
            </w:r>
          </w:p>
        </w:tc>
        <w:tc>
          <w:tcPr>
            <w:tcW w:w="2390" w:type="dxa"/>
            <w:gridSpan w:val="10"/>
            <w:noWrap w:val="0"/>
            <w:vAlign w:val="center"/>
          </w:tcPr>
          <w:p w14:paraId="725D7EF2">
            <w:pPr>
              <w:pStyle w:val="1358"/>
              <w:rPr>
                <w:rFonts w:hint="eastAsia" w:eastAsia="宋体"/>
                <w:color w:val="auto"/>
                <w:highlight w:val="none"/>
                <w:lang w:eastAsia="zh-CN"/>
              </w:rPr>
            </w:pPr>
            <w:r>
              <w:rPr>
                <w:color w:val="auto"/>
                <w:highlight w:val="none"/>
              </w:rPr>
              <w:t>C</w:t>
            </w:r>
            <w:r>
              <w:rPr>
                <w:color w:val="auto"/>
                <w:highlight w:val="none"/>
                <w:vertAlign w:val="subscript"/>
              </w:rPr>
              <w:t>非正常</w:t>
            </w:r>
            <w:r>
              <w:rPr>
                <w:color w:val="auto"/>
                <w:highlight w:val="none"/>
              </w:rPr>
              <w:t>占标率≤100%</w:t>
            </w:r>
            <w:r>
              <w:rPr>
                <w:rFonts w:hint="eastAsia"/>
                <w:color w:val="auto"/>
                <w:highlight w:val="none"/>
                <w:lang w:eastAsia="zh-CN"/>
              </w:rPr>
              <w:t>☑</w:t>
            </w:r>
          </w:p>
        </w:tc>
        <w:tc>
          <w:tcPr>
            <w:tcW w:w="2961" w:type="dxa"/>
            <w:gridSpan w:val="8"/>
            <w:noWrap w:val="0"/>
            <w:vAlign w:val="center"/>
          </w:tcPr>
          <w:p w14:paraId="02394709">
            <w:pPr>
              <w:pStyle w:val="1358"/>
              <w:rPr>
                <w:color w:val="auto"/>
                <w:highlight w:val="none"/>
              </w:rPr>
            </w:pPr>
            <w:r>
              <w:rPr>
                <w:color w:val="auto"/>
                <w:highlight w:val="none"/>
              </w:rPr>
              <w:t>C</w:t>
            </w:r>
            <w:r>
              <w:rPr>
                <w:color w:val="auto"/>
                <w:highlight w:val="none"/>
                <w:vertAlign w:val="subscript"/>
              </w:rPr>
              <w:t>非正常</w:t>
            </w:r>
            <w:r>
              <w:rPr>
                <w:color w:val="auto"/>
                <w:highlight w:val="none"/>
              </w:rPr>
              <w:t>占标率＞100%□</w:t>
            </w:r>
          </w:p>
        </w:tc>
      </w:tr>
      <w:tr w14:paraId="73A0E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39D2D0C8">
            <w:pPr>
              <w:pStyle w:val="1358"/>
              <w:rPr>
                <w:color w:val="auto"/>
                <w:highlight w:val="none"/>
              </w:rPr>
            </w:pPr>
          </w:p>
        </w:tc>
        <w:tc>
          <w:tcPr>
            <w:tcW w:w="2268" w:type="dxa"/>
            <w:gridSpan w:val="3"/>
            <w:noWrap w:val="0"/>
            <w:vAlign w:val="center"/>
          </w:tcPr>
          <w:p w14:paraId="1F41E59C">
            <w:pPr>
              <w:pStyle w:val="1358"/>
              <w:rPr>
                <w:color w:val="auto"/>
                <w:highlight w:val="none"/>
              </w:rPr>
            </w:pPr>
            <w:r>
              <w:rPr>
                <w:color w:val="auto"/>
                <w:highlight w:val="none"/>
              </w:rPr>
              <w:t>保证率日平均浓度和年平均浓度叠加值</w:t>
            </w:r>
          </w:p>
        </w:tc>
        <w:tc>
          <w:tcPr>
            <w:tcW w:w="2061" w:type="dxa"/>
            <w:gridSpan w:val="10"/>
            <w:noWrap w:val="0"/>
            <w:vAlign w:val="center"/>
          </w:tcPr>
          <w:p w14:paraId="30071FF5">
            <w:pPr>
              <w:pStyle w:val="1358"/>
              <w:rPr>
                <w:color w:val="auto"/>
                <w:highlight w:val="none"/>
              </w:rPr>
            </w:pPr>
            <w:r>
              <w:rPr>
                <w:color w:val="auto"/>
                <w:highlight w:val="none"/>
              </w:rPr>
              <w:t>C</w:t>
            </w:r>
            <w:r>
              <w:rPr>
                <w:color w:val="auto"/>
                <w:highlight w:val="none"/>
                <w:vertAlign w:val="subscript"/>
              </w:rPr>
              <w:t>叠加</w:t>
            </w:r>
            <w:r>
              <w:rPr>
                <w:color w:val="auto"/>
                <w:highlight w:val="none"/>
              </w:rPr>
              <w:t>达标□</w:t>
            </w:r>
          </w:p>
        </w:tc>
        <w:tc>
          <w:tcPr>
            <w:tcW w:w="3573" w:type="dxa"/>
            <w:gridSpan w:val="10"/>
            <w:noWrap w:val="0"/>
            <w:vAlign w:val="center"/>
          </w:tcPr>
          <w:p w14:paraId="1E85F558">
            <w:pPr>
              <w:pStyle w:val="1358"/>
              <w:rPr>
                <w:color w:val="auto"/>
                <w:highlight w:val="none"/>
              </w:rPr>
            </w:pPr>
            <w:r>
              <w:rPr>
                <w:color w:val="auto"/>
                <w:highlight w:val="none"/>
              </w:rPr>
              <w:t>C</w:t>
            </w:r>
            <w:r>
              <w:rPr>
                <w:color w:val="auto"/>
                <w:highlight w:val="none"/>
                <w:vertAlign w:val="subscript"/>
              </w:rPr>
              <w:t>叠加</w:t>
            </w:r>
            <w:r>
              <w:rPr>
                <w:color w:val="auto"/>
                <w:highlight w:val="none"/>
              </w:rPr>
              <w:t>不达标□</w:t>
            </w:r>
          </w:p>
        </w:tc>
      </w:tr>
      <w:tr w14:paraId="6CE8FE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0175E5DF">
            <w:pPr>
              <w:pStyle w:val="1358"/>
              <w:rPr>
                <w:color w:val="auto"/>
                <w:highlight w:val="none"/>
              </w:rPr>
            </w:pPr>
          </w:p>
        </w:tc>
        <w:tc>
          <w:tcPr>
            <w:tcW w:w="2268" w:type="dxa"/>
            <w:gridSpan w:val="3"/>
            <w:noWrap w:val="0"/>
            <w:vAlign w:val="center"/>
          </w:tcPr>
          <w:p w14:paraId="4F7A2C05">
            <w:pPr>
              <w:pStyle w:val="1358"/>
              <w:rPr>
                <w:color w:val="auto"/>
                <w:highlight w:val="none"/>
              </w:rPr>
            </w:pPr>
            <w:r>
              <w:rPr>
                <w:color w:val="auto"/>
                <w:highlight w:val="none"/>
              </w:rPr>
              <w:t>区域环境质量的整体变化情况</w:t>
            </w:r>
          </w:p>
        </w:tc>
        <w:tc>
          <w:tcPr>
            <w:tcW w:w="2061" w:type="dxa"/>
            <w:gridSpan w:val="10"/>
            <w:noWrap w:val="0"/>
            <w:vAlign w:val="center"/>
          </w:tcPr>
          <w:p w14:paraId="732DFBD0">
            <w:pPr>
              <w:pStyle w:val="1358"/>
              <w:rPr>
                <w:color w:val="auto"/>
                <w:highlight w:val="none"/>
              </w:rPr>
            </w:pPr>
            <w:r>
              <w:rPr>
                <w:color w:val="auto"/>
                <w:highlight w:val="none"/>
              </w:rPr>
              <w:t>K≤-20%□</w:t>
            </w:r>
          </w:p>
        </w:tc>
        <w:tc>
          <w:tcPr>
            <w:tcW w:w="3573" w:type="dxa"/>
            <w:gridSpan w:val="10"/>
            <w:noWrap w:val="0"/>
            <w:vAlign w:val="center"/>
          </w:tcPr>
          <w:p w14:paraId="4F2ED512">
            <w:pPr>
              <w:pStyle w:val="1358"/>
              <w:rPr>
                <w:color w:val="auto"/>
                <w:highlight w:val="none"/>
              </w:rPr>
            </w:pPr>
            <w:r>
              <w:rPr>
                <w:color w:val="auto"/>
                <w:highlight w:val="none"/>
              </w:rPr>
              <w:t>K＞-20%□</w:t>
            </w:r>
          </w:p>
        </w:tc>
      </w:tr>
      <w:tr w14:paraId="750A9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416E7BFE">
            <w:pPr>
              <w:pStyle w:val="1358"/>
              <w:rPr>
                <w:color w:val="auto"/>
                <w:highlight w:val="none"/>
              </w:rPr>
            </w:pPr>
            <w:r>
              <w:rPr>
                <w:color w:val="auto"/>
                <w:highlight w:val="none"/>
              </w:rPr>
              <w:t>环境监测计划</w:t>
            </w:r>
          </w:p>
        </w:tc>
        <w:tc>
          <w:tcPr>
            <w:tcW w:w="1417" w:type="dxa"/>
            <w:noWrap w:val="0"/>
            <w:vAlign w:val="center"/>
          </w:tcPr>
          <w:p w14:paraId="59053549">
            <w:pPr>
              <w:pStyle w:val="1358"/>
              <w:rPr>
                <w:color w:val="auto"/>
                <w:highlight w:val="none"/>
              </w:rPr>
            </w:pPr>
            <w:r>
              <w:rPr>
                <w:color w:val="auto"/>
                <w:highlight w:val="none"/>
              </w:rPr>
              <w:t>污染源监测</w:t>
            </w:r>
          </w:p>
        </w:tc>
        <w:tc>
          <w:tcPr>
            <w:tcW w:w="1985" w:type="dxa"/>
            <w:gridSpan w:val="7"/>
            <w:noWrap w:val="0"/>
            <w:vAlign w:val="center"/>
          </w:tcPr>
          <w:p w14:paraId="3AF41391">
            <w:pPr>
              <w:pStyle w:val="1358"/>
              <w:rPr>
                <w:color w:val="auto"/>
                <w:highlight w:val="none"/>
              </w:rPr>
            </w:pPr>
            <w:r>
              <w:rPr>
                <w:color w:val="auto"/>
                <w:highlight w:val="none"/>
              </w:rPr>
              <w:t>监测因子（非甲烷总烃</w:t>
            </w:r>
            <w:r>
              <w:rPr>
                <w:rFonts w:hint="eastAsia"/>
                <w:color w:val="auto"/>
                <w:highlight w:val="none"/>
                <w:lang w:eastAsia="zh-CN"/>
              </w:rPr>
              <w:t>、</w:t>
            </w:r>
            <w:r>
              <w:rPr>
                <w:rFonts w:hint="eastAsia"/>
                <w:color w:val="auto"/>
                <w:highlight w:val="none"/>
                <w:lang w:val="en-US" w:eastAsia="zh-CN"/>
              </w:rPr>
              <w:t>乙酸乙酯、乙酸丁酯、TSP</w:t>
            </w:r>
            <w:r>
              <w:rPr>
                <w:color w:val="auto"/>
                <w:highlight w:val="none"/>
              </w:rPr>
              <w:t>）</w:t>
            </w:r>
          </w:p>
        </w:tc>
        <w:tc>
          <w:tcPr>
            <w:tcW w:w="2551" w:type="dxa"/>
            <w:gridSpan w:val="10"/>
            <w:noWrap w:val="0"/>
            <w:vAlign w:val="center"/>
          </w:tcPr>
          <w:p w14:paraId="3C0EB2C8">
            <w:pPr>
              <w:pStyle w:val="1358"/>
              <w:rPr>
                <w:b/>
                <w:color w:val="auto"/>
                <w:highlight w:val="none"/>
              </w:rPr>
            </w:pPr>
            <w:r>
              <w:rPr>
                <w:b/>
                <w:color w:val="auto"/>
                <w:highlight w:val="none"/>
              </w:rPr>
              <w:t>有组织废气监测√</w:t>
            </w:r>
          </w:p>
          <w:p w14:paraId="262A834D">
            <w:pPr>
              <w:pStyle w:val="1358"/>
              <w:rPr>
                <w:color w:val="auto"/>
                <w:highlight w:val="none"/>
              </w:rPr>
            </w:pPr>
            <w:r>
              <w:rPr>
                <w:b/>
                <w:color w:val="auto"/>
                <w:highlight w:val="none"/>
              </w:rPr>
              <w:t>无组织废气监测√</w:t>
            </w:r>
          </w:p>
        </w:tc>
        <w:tc>
          <w:tcPr>
            <w:tcW w:w="1949" w:type="dxa"/>
            <w:gridSpan w:val="5"/>
            <w:noWrap w:val="0"/>
            <w:vAlign w:val="center"/>
          </w:tcPr>
          <w:p w14:paraId="535FE481">
            <w:pPr>
              <w:pStyle w:val="1358"/>
              <w:rPr>
                <w:color w:val="auto"/>
                <w:highlight w:val="none"/>
              </w:rPr>
            </w:pPr>
            <w:r>
              <w:rPr>
                <w:color w:val="auto"/>
                <w:highlight w:val="none"/>
              </w:rPr>
              <w:t>无监测□</w:t>
            </w:r>
          </w:p>
        </w:tc>
      </w:tr>
      <w:tr w14:paraId="5CD2B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7456860B">
            <w:pPr>
              <w:pStyle w:val="1358"/>
              <w:rPr>
                <w:color w:val="auto"/>
                <w:highlight w:val="none"/>
              </w:rPr>
            </w:pPr>
          </w:p>
        </w:tc>
        <w:tc>
          <w:tcPr>
            <w:tcW w:w="1417" w:type="dxa"/>
            <w:noWrap w:val="0"/>
            <w:vAlign w:val="center"/>
          </w:tcPr>
          <w:p w14:paraId="16DB9798">
            <w:pPr>
              <w:pStyle w:val="1358"/>
              <w:rPr>
                <w:color w:val="auto"/>
                <w:highlight w:val="none"/>
              </w:rPr>
            </w:pPr>
            <w:r>
              <w:rPr>
                <w:color w:val="auto"/>
                <w:highlight w:val="none"/>
              </w:rPr>
              <w:t>环境质量监测</w:t>
            </w:r>
          </w:p>
        </w:tc>
        <w:tc>
          <w:tcPr>
            <w:tcW w:w="1985" w:type="dxa"/>
            <w:gridSpan w:val="7"/>
            <w:noWrap w:val="0"/>
            <w:vAlign w:val="center"/>
          </w:tcPr>
          <w:p w14:paraId="099FB78F">
            <w:pPr>
              <w:pStyle w:val="1358"/>
              <w:rPr>
                <w:color w:val="auto"/>
                <w:highlight w:val="none"/>
              </w:rPr>
            </w:pPr>
            <w:r>
              <w:rPr>
                <w:color w:val="auto"/>
                <w:highlight w:val="none"/>
              </w:rPr>
              <w:t>监测因子（</w:t>
            </w:r>
            <w:r>
              <w:rPr>
                <w:rFonts w:hint="default" w:ascii="Times New Roman" w:hAnsi="Times New Roman" w:eastAsia="宋体" w:cs="Times New Roman"/>
                <w:color w:val="auto"/>
                <w:highlight w:val="none"/>
                <w:lang w:val="en-US" w:eastAsia="zh-CN" w:bidi="ar"/>
              </w:rPr>
              <w:t>NMHC</w:t>
            </w:r>
            <w:r>
              <w:rPr>
                <w:rFonts w:hint="eastAsia" w:ascii="Times New Roman" w:hAnsi="Times New Roman" w:eastAsia="宋体" w:cs="Times New Roman"/>
                <w:color w:val="auto"/>
                <w:highlight w:val="none"/>
                <w:lang w:val="en-US" w:eastAsia="zh-CN" w:bidi="ar"/>
              </w:rPr>
              <w:t>（含</w:t>
            </w:r>
            <w:r>
              <w:rPr>
                <w:rFonts w:hint="default" w:ascii="Times New Roman" w:hAnsi="Times New Roman" w:eastAsia="宋体" w:cs="Times New Roman"/>
                <w:color w:val="auto"/>
                <w:highlight w:val="none"/>
                <w:lang w:val="en-US" w:eastAsia="zh-CN" w:bidi="ar"/>
              </w:rPr>
              <w:t>乙酸丁酯</w:t>
            </w:r>
            <w:r>
              <w:rPr>
                <w:rFonts w:hint="eastAsia" w:ascii="Times New Roman" w:hAnsi="Times New Roman" w:eastAsia="宋体" w:cs="Times New Roman"/>
                <w:color w:val="auto"/>
                <w:highlight w:val="none"/>
                <w:lang w:val="en-US" w:eastAsia="zh-CN" w:bidi="ar"/>
              </w:rPr>
              <w:t>）</w:t>
            </w:r>
            <w:r>
              <w:rPr>
                <w:rFonts w:hint="eastAsia"/>
                <w:color w:val="auto"/>
                <w:highlight w:val="none"/>
                <w:lang w:eastAsia="zh-CN"/>
              </w:rPr>
              <w:t>、</w:t>
            </w:r>
            <w:r>
              <w:rPr>
                <w:rFonts w:hint="eastAsia"/>
                <w:color w:val="auto"/>
                <w:highlight w:val="none"/>
                <w:lang w:val="en-US" w:eastAsia="zh-CN"/>
              </w:rPr>
              <w:t>乙酸乙酯、乙酸丁酯、TSP、TVOC</w:t>
            </w:r>
            <w:r>
              <w:rPr>
                <w:color w:val="auto"/>
                <w:highlight w:val="none"/>
              </w:rPr>
              <w:t>）</w:t>
            </w:r>
          </w:p>
        </w:tc>
        <w:tc>
          <w:tcPr>
            <w:tcW w:w="2551" w:type="dxa"/>
            <w:gridSpan w:val="10"/>
            <w:noWrap w:val="0"/>
            <w:vAlign w:val="center"/>
          </w:tcPr>
          <w:p w14:paraId="7A6A1A78">
            <w:pPr>
              <w:pStyle w:val="1358"/>
              <w:rPr>
                <w:color w:val="auto"/>
                <w:highlight w:val="none"/>
              </w:rPr>
            </w:pPr>
            <w:r>
              <w:rPr>
                <w:color w:val="auto"/>
                <w:highlight w:val="none"/>
              </w:rPr>
              <w:t>监测点位数（）</w:t>
            </w:r>
          </w:p>
        </w:tc>
        <w:tc>
          <w:tcPr>
            <w:tcW w:w="1949" w:type="dxa"/>
            <w:gridSpan w:val="5"/>
            <w:noWrap w:val="0"/>
            <w:vAlign w:val="center"/>
          </w:tcPr>
          <w:p w14:paraId="3391BB73">
            <w:pPr>
              <w:pStyle w:val="1358"/>
              <w:rPr>
                <w:rFonts w:hint="eastAsia" w:eastAsia="宋体"/>
                <w:color w:val="auto"/>
                <w:highlight w:val="none"/>
                <w:lang w:eastAsia="zh-CN"/>
              </w:rPr>
            </w:pPr>
            <w:r>
              <w:rPr>
                <w:color w:val="auto"/>
                <w:highlight w:val="none"/>
              </w:rPr>
              <w:t>无监测</w:t>
            </w:r>
            <w:r>
              <w:rPr>
                <w:rFonts w:hint="eastAsia"/>
                <w:color w:val="auto"/>
                <w:highlight w:val="none"/>
                <w:lang w:eastAsia="zh-CN"/>
              </w:rPr>
              <w:t>☑</w:t>
            </w:r>
          </w:p>
        </w:tc>
      </w:tr>
      <w:tr w14:paraId="14BB6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14:paraId="4F2F616D">
            <w:pPr>
              <w:pStyle w:val="1358"/>
              <w:rPr>
                <w:color w:val="auto"/>
                <w:highlight w:val="none"/>
              </w:rPr>
            </w:pPr>
            <w:r>
              <w:rPr>
                <w:color w:val="auto"/>
                <w:highlight w:val="none"/>
              </w:rPr>
              <w:t>评价结论</w:t>
            </w:r>
          </w:p>
        </w:tc>
        <w:tc>
          <w:tcPr>
            <w:tcW w:w="1417" w:type="dxa"/>
            <w:noWrap w:val="0"/>
            <w:vAlign w:val="center"/>
          </w:tcPr>
          <w:p w14:paraId="3EEE6741">
            <w:pPr>
              <w:pStyle w:val="1358"/>
              <w:rPr>
                <w:color w:val="auto"/>
                <w:highlight w:val="none"/>
              </w:rPr>
            </w:pPr>
            <w:r>
              <w:rPr>
                <w:color w:val="auto"/>
                <w:highlight w:val="none"/>
              </w:rPr>
              <w:t>环境影响</w:t>
            </w:r>
          </w:p>
        </w:tc>
        <w:tc>
          <w:tcPr>
            <w:tcW w:w="2563" w:type="dxa"/>
            <w:gridSpan w:val="10"/>
            <w:noWrap w:val="0"/>
            <w:vAlign w:val="center"/>
          </w:tcPr>
          <w:p w14:paraId="3B50335E">
            <w:pPr>
              <w:pStyle w:val="1358"/>
              <w:rPr>
                <w:b/>
                <w:color w:val="auto"/>
                <w:highlight w:val="none"/>
              </w:rPr>
            </w:pPr>
            <w:r>
              <w:rPr>
                <w:b/>
                <w:color w:val="auto"/>
                <w:highlight w:val="none"/>
              </w:rPr>
              <w:t>可以接受√</w:t>
            </w:r>
          </w:p>
        </w:tc>
        <w:tc>
          <w:tcPr>
            <w:tcW w:w="3922" w:type="dxa"/>
            <w:gridSpan w:val="12"/>
            <w:noWrap w:val="0"/>
            <w:vAlign w:val="center"/>
          </w:tcPr>
          <w:p w14:paraId="1D671972">
            <w:pPr>
              <w:pStyle w:val="1358"/>
              <w:rPr>
                <w:color w:val="auto"/>
                <w:highlight w:val="none"/>
              </w:rPr>
            </w:pPr>
            <w:r>
              <w:rPr>
                <w:color w:val="auto"/>
                <w:highlight w:val="none"/>
              </w:rPr>
              <w:t>不可以接受□</w:t>
            </w:r>
          </w:p>
        </w:tc>
      </w:tr>
      <w:tr w14:paraId="74CD14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77896CF3">
            <w:pPr>
              <w:pStyle w:val="1358"/>
              <w:rPr>
                <w:color w:val="auto"/>
                <w:highlight w:val="none"/>
              </w:rPr>
            </w:pPr>
          </w:p>
        </w:tc>
        <w:tc>
          <w:tcPr>
            <w:tcW w:w="1417" w:type="dxa"/>
            <w:noWrap w:val="0"/>
            <w:vAlign w:val="center"/>
          </w:tcPr>
          <w:p w14:paraId="5F778066">
            <w:pPr>
              <w:pStyle w:val="1358"/>
              <w:rPr>
                <w:color w:val="auto"/>
                <w:highlight w:val="none"/>
              </w:rPr>
            </w:pPr>
            <w:r>
              <w:rPr>
                <w:color w:val="auto"/>
                <w:highlight w:val="none"/>
              </w:rPr>
              <w:t>大气环境防护距离</w:t>
            </w:r>
          </w:p>
        </w:tc>
        <w:tc>
          <w:tcPr>
            <w:tcW w:w="6485" w:type="dxa"/>
            <w:gridSpan w:val="22"/>
            <w:noWrap w:val="0"/>
            <w:vAlign w:val="center"/>
          </w:tcPr>
          <w:p w14:paraId="17657FC9">
            <w:pPr>
              <w:pStyle w:val="1358"/>
              <w:rPr>
                <w:color w:val="auto"/>
                <w:highlight w:val="none"/>
              </w:rPr>
            </w:pPr>
            <w:r>
              <w:rPr>
                <w:color w:val="auto"/>
                <w:highlight w:val="none"/>
              </w:rPr>
              <w:t>距（本项目）厂界最远（</w:t>
            </w:r>
            <w:r>
              <w:rPr>
                <w:rFonts w:hint="eastAsia"/>
                <w:color w:val="auto"/>
                <w:highlight w:val="none"/>
                <w:lang w:val="en-US" w:eastAsia="zh-CN"/>
              </w:rPr>
              <w:t>100</w:t>
            </w:r>
            <w:r>
              <w:rPr>
                <w:color w:val="auto"/>
                <w:highlight w:val="none"/>
              </w:rPr>
              <w:t>）m</w:t>
            </w:r>
          </w:p>
        </w:tc>
      </w:tr>
      <w:tr w14:paraId="0C7B78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14:paraId="0566270B">
            <w:pPr>
              <w:pStyle w:val="1358"/>
              <w:rPr>
                <w:color w:val="auto"/>
                <w:highlight w:val="none"/>
              </w:rPr>
            </w:pPr>
          </w:p>
        </w:tc>
        <w:tc>
          <w:tcPr>
            <w:tcW w:w="1417" w:type="dxa"/>
            <w:noWrap w:val="0"/>
            <w:vAlign w:val="center"/>
          </w:tcPr>
          <w:p w14:paraId="199B2B3A">
            <w:pPr>
              <w:pStyle w:val="1358"/>
              <w:rPr>
                <w:color w:val="auto"/>
                <w:highlight w:val="none"/>
              </w:rPr>
            </w:pPr>
            <w:r>
              <w:rPr>
                <w:color w:val="auto"/>
                <w:highlight w:val="none"/>
              </w:rPr>
              <w:t>污染源年排放量</w:t>
            </w:r>
          </w:p>
        </w:tc>
        <w:tc>
          <w:tcPr>
            <w:tcW w:w="1233" w:type="dxa"/>
            <w:gridSpan w:val="5"/>
            <w:noWrap w:val="0"/>
            <w:vAlign w:val="center"/>
          </w:tcPr>
          <w:p w14:paraId="4E9EFE8C">
            <w:pPr>
              <w:pStyle w:val="1358"/>
              <w:rPr>
                <w:color w:val="auto"/>
                <w:highlight w:val="none"/>
              </w:rPr>
            </w:pPr>
            <w:r>
              <w:rPr>
                <w:color w:val="auto"/>
                <w:highlight w:val="none"/>
              </w:rPr>
              <w:t>SO</w:t>
            </w:r>
            <w:r>
              <w:rPr>
                <w:color w:val="auto"/>
                <w:highlight w:val="none"/>
                <w:vertAlign w:val="subscript"/>
              </w:rPr>
              <w:t>2</w:t>
            </w:r>
            <w:r>
              <w:rPr>
                <w:color w:val="auto"/>
                <w:highlight w:val="none"/>
              </w:rPr>
              <w:t>（</w:t>
            </w:r>
            <w:r>
              <w:rPr>
                <w:rFonts w:hint="eastAsia"/>
                <w:color w:val="auto"/>
                <w:highlight w:val="none"/>
                <w:lang w:eastAsia="zh-CN"/>
              </w:rPr>
              <w:t>0.0668</w:t>
            </w:r>
            <w:r>
              <w:rPr>
                <w:color w:val="auto"/>
                <w:highlight w:val="none"/>
              </w:rPr>
              <w:t>）t/a</w:t>
            </w:r>
          </w:p>
        </w:tc>
        <w:tc>
          <w:tcPr>
            <w:tcW w:w="1679" w:type="dxa"/>
            <w:gridSpan w:val="7"/>
            <w:noWrap w:val="0"/>
            <w:vAlign w:val="center"/>
          </w:tcPr>
          <w:p w14:paraId="68B5E21F">
            <w:pPr>
              <w:pStyle w:val="1358"/>
              <w:rPr>
                <w:color w:val="auto"/>
                <w:highlight w:val="none"/>
              </w:rPr>
            </w:pPr>
            <w:r>
              <w:rPr>
                <w:color w:val="auto"/>
                <w:highlight w:val="none"/>
              </w:rPr>
              <w:t>NO</w:t>
            </w:r>
            <w:r>
              <w:rPr>
                <w:color w:val="auto"/>
                <w:highlight w:val="none"/>
                <w:vertAlign w:val="subscript"/>
              </w:rPr>
              <w:t>x</w:t>
            </w:r>
            <w:r>
              <w:rPr>
                <w:color w:val="auto"/>
                <w:highlight w:val="none"/>
              </w:rPr>
              <w:t>（</w:t>
            </w:r>
            <w:r>
              <w:rPr>
                <w:rFonts w:hint="eastAsia"/>
                <w:color w:val="auto"/>
                <w:highlight w:val="none"/>
                <w:lang w:val="en-US" w:eastAsia="zh-CN"/>
              </w:rPr>
              <w:t>0.5825</w:t>
            </w:r>
            <w:r>
              <w:rPr>
                <w:color w:val="auto"/>
                <w:highlight w:val="none"/>
              </w:rPr>
              <w:t>）t/a</w:t>
            </w:r>
          </w:p>
        </w:tc>
        <w:tc>
          <w:tcPr>
            <w:tcW w:w="1766" w:type="dxa"/>
            <w:gridSpan w:val="6"/>
            <w:noWrap w:val="0"/>
            <w:vAlign w:val="center"/>
          </w:tcPr>
          <w:p w14:paraId="23877CEB">
            <w:pPr>
              <w:pStyle w:val="1358"/>
              <w:rPr>
                <w:color w:val="auto"/>
                <w:highlight w:val="none"/>
              </w:rPr>
            </w:pPr>
            <w:r>
              <w:rPr>
                <w:color w:val="auto"/>
                <w:highlight w:val="none"/>
              </w:rPr>
              <w:t>颗粒物（</w:t>
            </w:r>
            <w:r>
              <w:rPr>
                <w:rFonts w:hint="eastAsia"/>
                <w:color w:val="auto"/>
                <w:highlight w:val="none"/>
                <w:lang w:val="en-US" w:eastAsia="zh-CN"/>
              </w:rPr>
              <w:t>2.4011</w:t>
            </w:r>
            <w:r>
              <w:rPr>
                <w:color w:val="auto"/>
                <w:highlight w:val="none"/>
              </w:rPr>
              <w:t>）t/a</w:t>
            </w:r>
          </w:p>
        </w:tc>
        <w:tc>
          <w:tcPr>
            <w:tcW w:w="1807" w:type="dxa"/>
            <w:gridSpan w:val="4"/>
            <w:noWrap w:val="0"/>
            <w:vAlign w:val="center"/>
          </w:tcPr>
          <w:p w14:paraId="5C55D02D">
            <w:pPr>
              <w:pStyle w:val="1358"/>
              <w:rPr>
                <w:color w:val="auto"/>
                <w:highlight w:val="none"/>
              </w:rPr>
            </w:pPr>
            <w:r>
              <w:rPr>
                <w:rFonts w:hint="default" w:ascii="Times New Roman" w:hAnsi="Times New Roman" w:eastAsia="宋体" w:cs="Times New Roman"/>
                <w:color w:val="auto"/>
                <w:highlight w:val="none"/>
                <w:lang w:val="en-US" w:eastAsia="zh-CN" w:bidi="ar"/>
              </w:rPr>
              <w:t>NMHC</w:t>
            </w:r>
            <w:r>
              <w:rPr>
                <w:rFonts w:hint="eastAsia" w:ascii="Times New Roman" w:hAnsi="Times New Roman" w:eastAsia="宋体" w:cs="Times New Roman"/>
                <w:color w:val="auto"/>
                <w:highlight w:val="none"/>
                <w:lang w:val="en-US" w:eastAsia="zh-CN" w:bidi="ar"/>
              </w:rPr>
              <w:t>（含</w:t>
            </w:r>
            <w:r>
              <w:rPr>
                <w:rFonts w:hint="default" w:ascii="Times New Roman" w:hAnsi="Times New Roman" w:eastAsia="宋体" w:cs="Times New Roman"/>
                <w:color w:val="auto"/>
                <w:highlight w:val="none"/>
                <w:lang w:val="en-US" w:eastAsia="zh-CN" w:bidi="ar"/>
              </w:rPr>
              <w:t>乙酸丁酯</w:t>
            </w:r>
            <w:r>
              <w:rPr>
                <w:rFonts w:hint="eastAsia" w:ascii="Times New Roman" w:hAnsi="Times New Roman" w:eastAsia="宋体" w:cs="Times New Roman"/>
                <w:color w:val="auto"/>
                <w:highlight w:val="none"/>
                <w:lang w:val="en-US" w:eastAsia="zh-CN" w:bidi="ar"/>
              </w:rPr>
              <w:t>）</w:t>
            </w:r>
            <w:r>
              <w:rPr>
                <w:color w:val="auto"/>
                <w:highlight w:val="none"/>
              </w:rPr>
              <w:t>（</w:t>
            </w:r>
            <w:r>
              <w:rPr>
                <w:rFonts w:hint="eastAsia"/>
                <w:color w:val="auto"/>
                <w:highlight w:val="none"/>
                <w:lang w:val="en-US" w:eastAsia="zh-CN"/>
              </w:rPr>
              <w:t>4.4021</w:t>
            </w:r>
            <w:r>
              <w:rPr>
                <w:color w:val="auto"/>
                <w:highlight w:val="none"/>
              </w:rPr>
              <w:t>）t/a</w:t>
            </w:r>
          </w:p>
        </w:tc>
      </w:tr>
    </w:tbl>
    <w:p w14:paraId="032CC1C3">
      <w:pPr>
        <w:pStyle w:val="3"/>
        <w:numPr>
          <w:ilvl w:val="1"/>
          <w:numId w:val="0"/>
        </w:numPr>
        <w:bidi w:val="0"/>
        <w:rPr>
          <w:color w:val="auto"/>
          <w:highlight w:val="none"/>
        </w:rPr>
      </w:pPr>
      <w:bookmarkStart w:id="510" w:name="_Toc27082"/>
      <w:r>
        <w:rPr>
          <w:color w:val="auto"/>
          <w:highlight w:val="none"/>
        </w:rPr>
        <w:t>5.4</w:t>
      </w:r>
      <w:r>
        <w:rPr>
          <w:rFonts w:hint="eastAsia"/>
          <w:color w:val="auto"/>
          <w:highlight w:val="none"/>
          <w:lang w:val="en-US" w:eastAsia="zh-CN"/>
        </w:rPr>
        <w:t xml:space="preserve"> </w:t>
      </w:r>
      <w:r>
        <w:rPr>
          <w:color w:val="auto"/>
          <w:highlight w:val="none"/>
        </w:rPr>
        <w:t>运营期声环境影响分析</w:t>
      </w:r>
      <w:bookmarkEnd w:id="509"/>
      <w:bookmarkEnd w:id="510"/>
    </w:p>
    <w:p w14:paraId="32E1AC9B">
      <w:pPr>
        <w:pStyle w:val="4"/>
        <w:numPr>
          <w:ilvl w:val="2"/>
          <w:numId w:val="0"/>
        </w:numPr>
        <w:tabs>
          <w:tab w:val="clear" w:pos="720"/>
        </w:tabs>
        <w:bidi w:val="0"/>
        <w:rPr>
          <w:color w:val="auto"/>
          <w:highlight w:val="none"/>
        </w:rPr>
      </w:pPr>
      <w:bookmarkStart w:id="511" w:name="_Toc985"/>
      <w:r>
        <w:rPr>
          <w:color w:val="auto"/>
          <w:highlight w:val="none"/>
        </w:rPr>
        <w:t>5.4.1</w:t>
      </w:r>
      <w:r>
        <w:rPr>
          <w:rFonts w:hint="eastAsia"/>
          <w:color w:val="auto"/>
          <w:highlight w:val="none"/>
          <w:lang w:val="en-US" w:eastAsia="zh-CN"/>
        </w:rPr>
        <w:t xml:space="preserve"> </w:t>
      </w:r>
      <w:r>
        <w:rPr>
          <w:color w:val="auto"/>
          <w:highlight w:val="none"/>
        </w:rPr>
        <w:t>预测内容</w:t>
      </w:r>
      <w:bookmarkEnd w:id="511"/>
    </w:p>
    <w:p w14:paraId="1690EC7C">
      <w:pPr>
        <w:pStyle w:val="1336"/>
        <w:ind w:firstLine="480"/>
        <w:rPr>
          <w:color w:val="auto"/>
          <w:highlight w:val="none"/>
        </w:rPr>
      </w:pPr>
      <w:r>
        <w:rPr>
          <w:rFonts w:hint="eastAsia"/>
          <w:color w:val="auto"/>
          <w:highlight w:val="none"/>
        </w:rPr>
        <w:t>本项目运营后噪声污染源主要为涂装生产线</w:t>
      </w:r>
      <w:r>
        <w:rPr>
          <w:rFonts w:hint="eastAsia"/>
          <w:color w:val="auto"/>
          <w:highlight w:val="none"/>
          <w:lang w:eastAsia="zh-CN"/>
        </w:rPr>
        <w:t>、</w:t>
      </w:r>
      <w:r>
        <w:rPr>
          <w:rFonts w:hint="eastAsia"/>
          <w:color w:val="auto"/>
          <w:highlight w:val="none"/>
          <w:lang w:val="en-US" w:eastAsia="zh-CN"/>
        </w:rPr>
        <w:t>注塑生产线</w:t>
      </w:r>
      <w:r>
        <w:rPr>
          <w:color w:val="auto"/>
          <w:highlight w:val="none"/>
        </w:rPr>
        <w:t>，在采取各种隔声、降噪措施的基础上，按《环境影响评价技术导则 声环境》（</w:t>
      </w:r>
      <w:r>
        <w:rPr>
          <w:rFonts w:hint="eastAsia"/>
          <w:color w:val="auto"/>
          <w:highlight w:val="none"/>
          <w:lang w:eastAsia="zh-CN"/>
        </w:rPr>
        <w:t>HJ2.4-2021</w:t>
      </w:r>
      <w:r>
        <w:rPr>
          <w:color w:val="auto"/>
          <w:highlight w:val="none"/>
        </w:rPr>
        <w:t>）的要求，评价预测本项目建成后厂界噪声的最大贡献值是否达标。</w:t>
      </w:r>
    </w:p>
    <w:p w14:paraId="12C5A3BC">
      <w:pPr>
        <w:pStyle w:val="4"/>
        <w:numPr>
          <w:ilvl w:val="2"/>
          <w:numId w:val="0"/>
        </w:numPr>
        <w:tabs>
          <w:tab w:val="clear" w:pos="720"/>
        </w:tabs>
        <w:bidi w:val="0"/>
        <w:rPr>
          <w:color w:val="auto"/>
          <w:highlight w:val="none"/>
        </w:rPr>
      </w:pPr>
      <w:bookmarkStart w:id="512" w:name="_Toc11436"/>
      <w:r>
        <w:rPr>
          <w:color w:val="auto"/>
          <w:highlight w:val="none"/>
        </w:rPr>
        <w:t>5.4.2</w:t>
      </w:r>
      <w:r>
        <w:rPr>
          <w:rFonts w:hint="eastAsia"/>
          <w:color w:val="auto"/>
          <w:highlight w:val="none"/>
          <w:lang w:val="en-US" w:eastAsia="zh-CN"/>
        </w:rPr>
        <w:t xml:space="preserve"> </w:t>
      </w:r>
      <w:r>
        <w:rPr>
          <w:color w:val="auto"/>
          <w:highlight w:val="none"/>
        </w:rPr>
        <w:t>噪声源调查分析</w:t>
      </w:r>
      <w:bookmarkEnd w:id="512"/>
    </w:p>
    <w:p w14:paraId="441EF07A">
      <w:pPr>
        <w:pStyle w:val="1336"/>
        <w:ind w:firstLine="480"/>
        <w:rPr>
          <w:color w:val="auto"/>
          <w:highlight w:val="none"/>
        </w:rPr>
      </w:pPr>
      <w:r>
        <w:rPr>
          <w:color w:val="auto"/>
          <w:highlight w:val="none"/>
        </w:rPr>
        <w:t>根据相关资料和同类设备的类比调查，项目主要设备的噪声声压级见表5.4-1。拟建项目从声源治理和传播途径降噪两方面治理噪声：</w:t>
      </w:r>
    </w:p>
    <w:p w14:paraId="741E9E1A">
      <w:pPr>
        <w:pStyle w:val="1336"/>
        <w:numPr>
          <w:ilvl w:val="0"/>
          <w:numId w:val="18"/>
        </w:numPr>
        <w:ind w:firstLine="480"/>
        <w:rPr>
          <w:color w:val="auto"/>
          <w:highlight w:val="none"/>
        </w:rPr>
      </w:pPr>
      <w:r>
        <w:rPr>
          <w:color w:val="auto"/>
          <w:highlight w:val="none"/>
        </w:rPr>
        <w:t>在满足工艺设计的前提下，选用低噪声型号的设备；正确配备电机，保证电机在额定功率下运行，避免电机超负荷运转；增加减振垫、采用软连接等措施，以减少因振动的产生噪声；</w:t>
      </w:r>
    </w:p>
    <w:p w14:paraId="28B1DA58">
      <w:pPr>
        <w:pStyle w:val="1336"/>
        <w:numPr>
          <w:ilvl w:val="0"/>
          <w:numId w:val="18"/>
        </w:numPr>
        <w:ind w:firstLine="480"/>
        <w:rPr>
          <w:color w:val="auto"/>
          <w:highlight w:val="none"/>
        </w:rPr>
      </w:pPr>
      <w:r>
        <w:rPr>
          <w:color w:val="auto"/>
          <w:highlight w:val="none"/>
        </w:rPr>
        <w:t>高噪声设备安置在车间内，</w:t>
      </w:r>
      <w:r>
        <w:rPr>
          <w:rFonts w:hint="eastAsia"/>
          <w:color w:val="auto"/>
          <w:highlight w:val="none"/>
          <w:lang w:eastAsia="zh-CN"/>
        </w:rPr>
        <w:t>利于</w:t>
      </w:r>
      <w:r>
        <w:rPr>
          <w:color w:val="auto"/>
          <w:highlight w:val="none"/>
        </w:rPr>
        <w:t>厂房隔声；门窗采用有较强隔声效果的门窗。</w:t>
      </w:r>
    </w:p>
    <w:p w14:paraId="6333ED70">
      <w:pPr>
        <w:pStyle w:val="8"/>
        <w:bidi w:val="0"/>
        <w:rPr>
          <w:rFonts w:hint="default"/>
          <w:color w:val="auto"/>
          <w:highlight w:val="none"/>
        </w:rPr>
      </w:pPr>
      <w:r>
        <w:rPr>
          <w:rFonts w:hint="default"/>
          <w:color w:val="auto"/>
          <w:highlight w:val="none"/>
        </w:rPr>
        <w:t>表5.4-1</w:t>
      </w:r>
      <w:r>
        <w:rPr>
          <w:rFonts w:hint="eastAsia"/>
          <w:color w:val="auto"/>
          <w:highlight w:val="none"/>
          <w:lang w:val="en-US" w:eastAsia="zh-CN"/>
        </w:rPr>
        <w:t xml:space="preserve">  </w:t>
      </w:r>
      <w:r>
        <w:rPr>
          <w:rFonts w:hint="default"/>
          <w:color w:val="auto"/>
          <w:highlight w:val="none"/>
          <w:lang w:val="en-US" w:eastAsia="zh-CN"/>
        </w:rPr>
        <w:t>项目</w:t>
      </w:r>
      <w:r>
        <w:rPr>
          <w:rFonts w:hint="default"/>
          <w:color w:val="auto"/>
          <w:highlight w:val="none"/>
        </w:rPr>
        <w:t>主要设备噪声源一览表</w:t>
      </w:r>
    </w:p>
    <w:tbl>
      <w:tblPr>
        <w:tblStyle w:val="80"/>
        <w:tblW w:w="9097" w:type="dxa"/>
        <w:tblInd w:w="9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92"/>
        <w:gridCol w:w="2437"/>
        <w:gridCol w:w="1055"/>
        <w:gridCol w:w="1195"/>
        <w:gridCol w:w="1205"/>
        <w:gridCol w:w="2113"/>
      </w:tblGrid>
      <w:tr w14:paraId="03559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tcBorders>
              <w:tl2br w:val="nil"/>
              <w:tr2bl w:val="nil"/>
            </w:tcBorders>
            <w:shd w:val="clear" w:color="auto" w:fill="auto"/>
            <w:vAlign w:val="center"/>
          </w:tcPr>
          <w:p w14:paraId="247BDE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噪声源</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位置</w:t>
            </w:r>
          </w:p>
        </w:tc>
        <w:tc>
          <w:tcPr>
            <w:tcW w:w="2437" w:type="dxa"/>
            <w:tcBorders>
              <w:tl2br w:val="nil"/>
              <w:tr2bl w:val="nil"/>
            </w:tcBorders>
            <w:shd w:val="clear" w:color="auto" w:fill="auto"/>
            <w:vAlign w:val="center"/>
          </w:tcPr>
          <w:p w14:paraId="0E29F1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设备名称</w:t>
            </w:r>
          </w:p>
        </w:tc>
        <w:tc>
          <w:tcPr>
            <w:tcW w:w="1055" w:type="dxa"/>
            <w:tcBorders>
              <w:tl2br w:val="nil"/>
              <w:tr2bl w:val="nil"/>
            </w:tcBorders>
            <w:shd w:val="clear" w:color="auto" w:fill="auto"/>
            <w:vAlign w:val="center"/>
          </w:tcPr>
          <w:p w14:paraId="2C47DF9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数量</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(台/套)</w:t>
            </w:r>
          </w:p>
        </w:tc>
        <w:tc>
          <w:tcPr>
            <w:tcW w:w="1195" w:type="dxa"/>
            <w:tcBorders>
              <w:tl2br w:val="nil"/>
              <w:tr2bl w:val="nil"/>
            </w:tcBorders>
            <w:shd w:val="clear" w:color="auto" w:fill="auto"/>
            <w:vAlign w:val="center"/>
          </w:tcPr>
          <w:p w14:paraId="1B15E7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产生源强</w:t>
            </w:r>
          </w:p>
        </w:tc>
        <w:tc>
          <w:tcPr>
            <w:tcW w:w="1205" w:type="dxa"/>
            <w:tcBorders>
              <w:tl2br w:val="nil"/>
              <w:tr2bl w:val="nil"/>
            </w:tcBorders>
            <w:shd w:val="clear" w:color="auto" w:fill="auto"/>
            <w:vAlign w:val="center"/>
          </w:tcPr>
          <w:p w14:paraId="1EB587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持续</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时间</w:t>
            </w:r>
          </w:p>
        </w:tc>
        <w:tc>
          <w:tcPr>
            <w:tcW w:w="2113" w:type="dxa"/>
            <w:tcBorders>
              <w:tl2br w:val="nil"/>
              <w:tr2bl w:val="nil"/>
            </w:tcBorders>
            <w:shd w:val="clear" w:color="auto" w:fill="auto"/>
            <w:vAlign w:val="center"/>
          </w:tcPr>
          <w:p w14:paraId="33ABE1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噪声治理措施</w:t>
            </w:r>
          </w:p>
        </w:tc>
      </w:tr>
      <w:tr w14:paraId="6E2B79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restart"/>
            <w:tcBorders>
              <w:tl2br w:val="nil"/>
              <w:tr2bl w:val="nil"/>
            </w:tcBorders>
            <w:shd w:val="clear" w:color="auto" w:fill="auto"/>
            <w:vAlign w:val="center"/>
          </w:tcPr>
          <w:p w14:paraId="3AA4B6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B库厂房注塑车间</w:t>
            </w:r>
          </w:p>
        </w:tc>
        <w:tc>
          <w:tcPr>
            <w:tcW w:w="2437" w:type="dxa"/>
            <w:tcBorders>
              <w:tl2br w:val="nil"/>
              <w:tr2bl w:val="nil"/>
            </w:tcBorders>
            <w:shd w:val="clear" w:color="auto" w:fill="auto"/>
            <w:vAlign w:val="center"/>
          </w:tcPr>
          <w:p w14:paraId="2612EB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注塑机组</w:t>
            </w:r>
          </w:p>
        </w:tc>
        <w:tc>
          <w:tcPr>
            <w:tcW w:w="1055" w:type="dxa"/>
            <w:tcBorders>
              <w:tl2br w:val="nil"/>
              <w:tr2bl w:val="nil"/>
            </w:tcBorders>
            <w:shd w:val="clear" w:color="auto" w:fill="auto"/>
            <w:vAlign w:val="center"/>
          </w:tcPr>
          <w:p w14:paraId="631EB3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w:t>
            </w:r>
          </w:p>
        </w:tc>
        <w:tc>
          <w:tcPr>
            <w:tcW w:w="1195" w:type="dxa"/>
            <w:tcBorders>
              <w:tl2br w:val="nil"/>
              <w:tr2bl w:val="nil"/>
            </w:tcBorders>
            <w:shd w:val="clear" w:color="auto" w:fill="auto"/>
            <w:vAlign w:val="center"/>
          </w:tcPr>
          <w:p w14:paraId="38ADD8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1D6FC4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restart"/>
            <w:tcBorders>
              <w:tl2br w:val="nil"/>
              <w:tr2bl w:val="nil"/>
            </w:tcBorders>
            <w:shd w:val="clear" w:color="auto" w:fill="auto"/>
            <w:vAlign w:val="center"/>
          </w:tcPr>
          <w:p w14:paraId="7233D5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选用低噪声设备、</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基础减振、厂房隔</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声等</w:t>
            </w:r>
          </w:p>
        </w:tc>
      </w:tr>
      <w:tr w14:paraId="5C7D9B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1FFC1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350A1B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空压机</w:t>
            </w:r>
          </w:p>
        </w:tc>
        <w:tc>
          <w:tcPr>
            <w:tcW w:w="1055" w:type="dxa"/>
            <w:tcBorders>
              <w:tl2br w:val="nil"/>
              <w:tr2bl w:val="nil"/>
            </w:tcBorders>
            <w:shd w:val="clear" w:color="auto" w:fill="auto"/>
            <w:vAlign w:val="center"/>
          </w:tcPr>
          <w:p w14:paraId="372679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1195" w:type="dxa"/>
            <w:tcBorders>
              <w:tl2br w:val="nil"/>
              <w:tr2bl w:val="nil"/>
            </w:tcBorders>
            <w:shd w:val="clear" w:color="auto" w:fill="auto"/>
            <w:vAlign w:val="center"/>
          </w:tcPr>
          <w:p w14:paraId="72FBD0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7B4B5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35EFC0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D29DF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015BB4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468C88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粉碎机</w:t>
            </w:r>
          </w:p>
        </w:tc>
        <w:tc>
          <w:tcPr>
            <w:tcW w:w="1055" w:type="dxa"/>
            <w:tcBorders>
              <w:tl2br w:val="nil"/>
              <w:tr2bl w:val="nil"/>
            </w:tcBorders>
            <w:shd w:val="clear" w:color="auto" w:fill="auto"/>
            <w:vAlign w:val="center"/>
          </w:tcPr>
          <w:p w14:paraId="62FF60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p>
        </w:tc>
        <w:tc>
          <w:tcPr>
            <w:tcW w:w="1195" w:type="dxa"/>
            <w:tcBorders>
              <w:tl2br w:val="nil"/>
              <w:tr2bl w:val="nil"/>
            </w:tcBorders>
            <w:shd w:val="clear" w:color="auto" w:fill="auto"/>
            <w:vAlign w:val="center"/>
          </w:tcPr>
          <w:p w14:paraId="663EFA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41928D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1h/d</w:t>
            </w:r>
          </w:p>
        </w:tc>
        <w:tc>
          <w:tcPr>
            <w:tcW w:w="2113" w:type="dxa"/>
            <w:vMerge w:val="continue"/>
            <w:tcBorders>
              <w:tl2br w:val="nil"/>
              <w:tr2bl w:val="nil"/>
            </w:tcBorders>
            <w:shd w:val="clear" w:color="auto" w:fill="auto"/>
            <w:vAlign w:val="center"/>
          </w:tcPr>
          <w:p w14:paraId="3A32B1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779326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restart"/>
            <w:tcBorders>
              <w:tl2br w:val="nil"/>
              <w:tr2bl w:val="nil"/>
            </w:tcBorders>
            <w:shd w:val="clear" w:color="auto" w:fill="auto"/>
            <w:vAlign w:val="center"/>
          </w:tcPr>
          <w:p w14:paraId="36A516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A库厂房涂装车间</w:t>
            </w:r>
          </w:p>
        </w:tc>
        <w:tc>
          <w:tcPr>
            <w:tcW w:w="2437" w:type="dxa"/>
            <w:tcBorders>
              <w:tl2br w:val="nil"/>
              <w:tr2bl w:val="nil"/>
            </w:tcBorders>
            <w:shd w:val="clear" w:color="auto" w:fill="auto"/>
            <w:vAlign w:val="center"/>
          </w:tcPr>
          <w:p w14:paraId="033603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olor w:val="auto"/>
                <w:szCs w:val="21"/>
                <w:highlight w:val="none"/>
              </w:rPr>
              <w:t>底漆喷漆室</w:t>
            </w:r>
          </w:p>
        </w:tc>
        <w:tc>
          <w:tcPr>
            <w:tcW w:w="1055" w:type="dxa"/>
            <w:tcBorders>
              <w:tl2br w:val="nil"/>
              <w:tr2bl w:val="nil"/>
            </w:tcBorders>
            <w:shd w:val="clear" w:color="auto" w:fill="auto"/>
            <w:vAlign w:val="center"/>
          </w:tcPr>
          <w:p w14:paraId="79BFEE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w:t>
            </w:r>
          </w:p>
        </w:tc>
        <w:tc>
          <w:tcPr>
            <w:tcW w:w="1195" w:type="dxa"/>
            <w:tcBorders>
              <w:tl2br w:val="nil"/>
              <w:tr2bl w:val="nil"/>
            </w:tcBorders>
            <w:shd w:val="clear" w:color="auto" w:fill="auto"/>
            <w:vAlign w:val="center"/>
          </w:tcPr>
          <w:p w14:paraId="6D9BAD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8E83B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restart"/>
            <w:tcBorders>
              <w:tl2br w:val="nil"/>
              <w:tr2bl w:val="nil"/>
            </w:tcBorders>
            <w:shd w:val="clear" w:color="auto" w:fill="auto"/>
            <w:vAlign w:val="center"/>
          </w:tcPr>
          <w:p w14:paraId="235241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选用低噪声设备、</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消声器、基础减</w:t>
            </w:r>
            <w:r>
              <w:rPr>
                <w:rFonts w:hint="eastAsia" w:ascii="Times New Roman" w:hAnsi="Times New Roman" w:eastAsia="宋体" w:cs="Times New Roman"/>
                <w:color w:val="auto"/>
                <w:kern w:val="0"/>
                <w:sz w:val="21"/>
                <w:szCs w:val="21"/>
                <w:highlight w:val="none"/>
                <w:lang w:val="en-US" w:eastAsia="zh-CN"/>
              </w:rPr>
              <w:br w:type="textWrapping"/>
            </w:r>
            <w:r>
              <w:rPr>
                <w:rFonts w:hint="eastAsia" w:ascii="Times New Roman" w:hAnsi="Times New Roman" w:eastAsia="宋体" w:cs="Times New Roman"/>
                <w:color w:val="auto"/>
                <w:kern w:val="0"/>
                <w:sz w:val="21"/>
                <w:szCs w:val="21"/>
                <w:highlight w:val="none"/>
                <w:lang w:val="en-US" w:eastAsia="zh-CN"/>
              </w:rPr>
              <w:t>振、厂房隔声等</w:t>
            </w:r>
          </w:p>
        </w:tc>
      </w:tr>
      <w:tr w14:paraId="5CC4D1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2B63B3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6B1CF2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olor w:val="auto"/>
                <w:szCs w:val="21"/>
                <w:highlight w:val="none"/>
              </w:rPr>
              <w:t>清漆喷漆</w:t>
            </w:r>
            <w:r>
              <w:rPr>
                <w:rFonts w:hint="eastAsia"/>
                <w:color w:val="auto"/>
                <w:szCs w:val="21"/>
                <w:highlight w:val="none"/>
                <w:lang w:val="en-US" w:eastAsia="zh-CN"/>
              </w:rPr>
              <w:t>室</w:t>
            </w:r>
          </w:p>
        </w:tc>
        <w:tc>
          <w:tcPr>
            <w:tcW w:w="1055" w:type="dxa"/>
            <w:tcBorders>
              <w:tl2br w:val="nil"/>
              <w:tr2bl w:val="nil"/>
            </w:tcBorders>
            <w:shd w:val="clear" w:color="auto" w:fill="auto"/>
            <w:vAlign w:val="center"/>
          </w:tcPr>
          <w:p w14:paraId="0CB100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w:t>
            </w:r>
          </w:p>
        </w:tc>
        <w:tc>
          <w:tcPr>
            <w:tcW w:w="1195" w:type="dxa"/>
            <w:tcBorders>
              <w:tl2br w:val="nil"/>
              <w:tr2bl w:val="nil"/>
            </w:tcBorders>
            <w:shd w:val="clear" w:color="auto" w:fill="auto"/>
            <w:vAlign w:val="center"/>
          </w:tcPr>
          <w:p w14:paraId="47DFA4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1205" w:type="dxa"/>
            <w:tcBorders>
              <w:tl2br w:val="nil"/>
              <w:tr2bl w:val="nil"/>
            </w:tcBorders>
            <w:shd w:val="clear" w:color="auto" w:fill="auto"/>
            <w:vAlign w:val="center"/>
          </w:tcPr>
          <w:p w14:paraId="473F1E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2C3511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6DEFFC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682F25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6BB8AC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color w:val="auto"/>
                <w:szCs w:val="21"/>
                <w:highlight w:val="none"/>
              </w:rPr>
              <w:t>色漆喷漆室</w:t>
            </w:r>
          </w:p>
        </w:tc>
        <w:tc>
          <w:tcPr>
            <w:tcW w:w="1055" w:type="dxa"/>
            <w:tcBorders>
              <w:tl2br w:val="nil"/>
              <w:tr2bl w:val="nil"/>
            </w:tcBorders>
            <w:shd w:val="clear" w:color="auto" w:fill="auto"/>
            <w:vAlign w:val="center"/>
          </w:tcPr>
          <w:p w14:paraId="756C1F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w:t>
            </w:r>
          </w:p>
        </w:tc>
        <w:tc>
          <w:tcPr>
            <w:tcW w:w="1195" w:type="dxa"/>
            <w:tcBorders>
              <w:tl2br w:val="nil"/>
              <w:tr2bl w:val="nil"/>
            </w:tcBorders>
            <w:shd w:val="clear" w:color="auto" w:fill="auto"/>
            <w:vAlign w:val="center"/>
          </w:tcPr>
          <w:p w14:paraId="7E4F57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w:t>
            </w:r>
          </w:p>
        </w:tc>
        <w:tc>
          <w:tcPr>
            <w:tcW w:w="1205" w:type="dxa"/>
            <w:tcBorders>
              <w:tl2br w:val="nil"/>
              <w:tr2bl w:val="nil"/>
            </w:tcBorders>
            <w:shd w:val="clear" w:color="auto" w:fill="auto"/>
            <w:vAlign w:val="center"/>
          </w:tcPr>
          <w:p w14:paraId="794B34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10396D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F8FA4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07344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17322D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空压机</w:t>
            </w:r>
          </w:p>
        </w:tc>
        <w:tc>
          <w:tcPr>
            <w:tcW w:w="1055" w:type="dxa"/>
            <w:tcBorders>
              <w:tl2br w:val="nil"/>
              <w:tr2bl w:val="nil"/>
            </w:tcBorders>
            <w:shd w:val="clear" w:color="auto" w:fill="auto"/>
            <w:vAlign w:val="center"/>
          </w:tcPr>
          <w:p w14:paraId="773285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w:t>
            </w:r>
          </w:p>
        </w:tc>
        <w:tc>
          <w:tcPr>
            <w:tcW w:w="1195" w:type="dxa"/>
            <w:tcBorders>
              <w:tl2br w:val="nil"/>
              <w:tr2bl w:val="nil"/>
            </w:tcBorders>
            <w:shd w:val="clear" w:color="auto" w:fill="auto"/>
            <w:vAlign w:val="center"/>
          </w:tcPr>
          <w:p w14:paraId="23B044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568095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01293F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012E29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474232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7B2973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喷漆循环风空调机组</w:t>
            </w:r>
          </w:p>
        </w:tc>
        <w:tc>
          <w:tcPr>
            <w:tcW w:w="1055" w:type="dxa"/>
            <w:tcBorders>
              <w:tl2br w:val="nil"/>
              <w:tr2bl w:val="nil"/>
            </w:tcBorders>
            <w:shd w:val="clear" w:color="auto" w:fill="auto"/>
            <w:vAlign w:val="center"/>
          </w:tcPr>
          <w:p w14:paraId="1A8338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1195" w:type="dxa"/>
            <w:tcBorders>
              <w:tl2br w:val="nil"/>
              <w:tr2bl w:val="nil"/>
            </w:tcBorders>
            <w:shd w:val="clear" w:color="auto" w:fill="auto"/>
            <w:vAlign w:val="center"/>
          </w:tcPr>
          <w:p w14:paraId="110023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748AB4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77B938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F34E4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43127D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7C31E7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热水炉</w:t>
            </w:r>
          </w:p>
        </w:tc>
        <w:tc>
          <w:tcPr>
            <w:tcW w:w="1055" w:type="dxa"/>
            <w:tcBorders>
              <w:tl2br w:val="nil"/>
              <w:tr2bl w:val="nil"/>
            </w:tcBorders>
            <w:shd w:val="clear" w:color="auto" w:fill="auto"/>
            <w:vAlign w:val="center"/>
          </w:tcPr>
          <w:p w14:paraId="443B5E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p>
        </w:tc>
        <w:tc>
          <w:tcPr>
            <w:tcW w:w="1195" w:type="dxa"/>
            <w:tcBorders>
              <w:tl2br w:val="nil"/>
              <w:tr2bl w:val="nil"/>
            </w:tcBorders>
            <w:shd w:val="clear" w:color="auto" w:fill="auto"/>
            <w:vAlign w:val="center"/>
          </w:tcPr>
          <w:p w14:paraId="5FD54F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2D944C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74D506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F4A39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42738B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662B7629">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纯水制备系统</w:t>
            </w:r>
          </w:p>
        </w:tc>
        <w:tc>
          <w:tcPr>
            <w:tcW w:w="1055" w:type="dxa"/>
            <w:tcBorders>
              <w:tl2br w:val="nil"/>
              <w:tr2bl w:val="nil"/>
            </w:tcBorders>
            <w:shd w:val="clear" w:color="auto" w:fill="auto"/>
            <w:vAlign w:val="center"/>
          </w:tcPr>
          <w:p w14:paraId="0CC4036C">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60A29C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1AC0CC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491B22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DF40F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129B05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2F9DD050">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集中供漆系统</w:t>
            </w:r>
          </w:p>
        </w:tc>
        <w:tc>
          <w:tcPr>
            <w:tcW w:w="1055" w:type="dxa"/>
            <w:tcBorders>
              <w:tl2br w:val="nil"/>
              <w:tr2bl w:val="nil"/>
            </w:tcBorders>
            <w:shd w:val="clear" w:color="auto" w:fill="auto"/>
            <w:vAlign w:val="center"/>
          </w:tcPr>
          <w:p w14:paraId="1BD30632">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6B05CE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3A62F3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3CFD46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1A8C4C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A4E99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4BD3521F">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废清洗剂回收装置</w:t>
            </w:r>
          </w:p>
        </w:tc>
        <w:tc>
          <w:tcPr>
            <w:tcW w:w="1055" w:type="dxa"/>
            <w:tcBorders>
              <w:tl2br w:val="nil"/>
              <w:tr2bl w:val="nil"/>
            </w:tcBorders>
            <w:shd w:val="clear" w:color="auto" w:fill="auto"/>
            <w:vAlign w:val="center"/>
          </w:tcPr>
          <w:p w14:paraId="075D189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3DCD72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49358E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6h/d</w:t>
            </w:r>
          </w:p>
        </w:tc>
        <w:tc>
          <w:tcPr>
            <w:tcW w:w="2113" w:type="dxa"/>
            <w:vMerge w:val="continue"/>
            <w:tcBorders>
              <w:tl2br w:val="nil"/>
              <w:tr2bl w:val="nil"/>
            </w:tcBorders>
            <w:shd w:val="clear" w:color="auto" w:fill="auto"/>
            <w:vAlign w:val="center"/>
          </w:tcPr>
          <w:p w14:paraId="56FF39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566527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74D0EA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1A32ACA8">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CO</w:t>
            </w:r>
            <w:r>
              <w:rPr>
                <w:rFonts w:hint="eastAsia"/>
                <w:color w:val="auto"/>
                <w:highlight w:val="none"/>
                <w:vertAlign w:val="subscript"/>
              </w:rPr>
              <w:t>2</w:t>
            </w:r>
            <w:r>
              <w:rPr>
                <w:rFonts w:hint="eastAsia"/>
                <w:color w:val="auto"/>
                <w:highlight w:val="none"/>
              </w:rPr>
              <w:t>自动灭火装置</w:t>
            </w:r>
          </w:p>
        </w:tc>
        <w:tc>
          <w:tcPr>
            <w:tcW w:w="1055" w:type="dxa"/>
            <w:tcBorders>
              <w:tl2br w:val="nil"/>
              <w:tr2bl w:val="nil"/>
            </w:tcBorders>
            <w:shd w:val="clear" w:color="auto" w:fill="auto"/>
            <w:vAlign w:val="center"/>
          </w:tcPr>
          <w:p w14:paraId="449B0DAE">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0210D6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75</w:t>
            </w:r>
          </w:p>
        </w:tc>
        <w:tc>
          <w:tcPr>
            <w:tcW w:w="1205" w:type="dxa"/>
            <w:tcBorders>
              <w:tl2br w:val="nil"/>
              <w:tr2bl w:val="nil"/>
            </w:tcBorders>
            <w:shd w:val="clear" w:color="auto" w:fill="auto"/>
            <w:vAlign w:val="center"/>
          </w:tcPr>
          <w:p w14:paraId="22A4B4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522B9E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40FA65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3B884B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5845E804">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装配线工作台</w:t>
            </w:r>
          </w:p>
        </w:tc>
        <w:tc>
          <w:tcPr>
            <w:tcW w:w="1055" w:type="dxa"/>
            <w:tcBorders>
              <w:tl2br w:val="nil"/>
              <w:tr2bl w:val="nil"/>
            </w:tcBorders>
            <w:shd w:val="clear" w:color="auto" w:fill="auto"/>
            <w:vAlign w:val="center"/>
          </w:tcPr>
          <w:p w14:paraId="44B2ACC7">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w:t>
            </w:r>
          </w:p>
        </w:tc>
        <w:tc>
          <w:tcPr>
            <w:tcW w:w="1195" w:type="dxa"/>
            <w:tcBorders>
              <w:tl2br w:val="nil"/>
              <w:tr2bl w:val="nil"/>
            </w:tcBorders>
            <w:shd w:val="clear" w:color="auto" w:fill="auto"/>
            <w:vAlign w:val="center"/>
          </w:tcPr>
          <w:p w14:paraId="5CD954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85</w:t>
            </w:r>
          </w:p>
        </w:tc>
        <w:tc>
          <w:tcPr>
            <w:tcW w:w="1205" w:type="dxa"/>
            <w:tcBorders>
              <w:tl2br w:val="nil"/>
              <w:tr2bl w:val="nil"/>
            </w:tcBorders>
            <w:shd w:val="clear" w:color="auto" w:fill="auto"/>
            <w:vAlign w:val="center"/>
          </w:tcPr>
          <w:p w14:paraId="4377DF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24h/d</w:t>
            </w:r>
          </w:p>
        </w:tc>
        <w:tc>
          <w:tcPr>
            <w:tcW w:w="2113" w:type="dxa"/>
            <w:vMerge w:val="continue"/>
            <w:tcBorders>
              <w:tl2br w:val="nil"/>
              <w:tr2bl w:val="nil"/>
            </w:tcBorders>
            <w:shd w:val="clear" w:color="auto" w:fill="auto"/>
            <w:vAlign w:val="center"/>
          </w:tcPr>
          <w:p w14:paraId="4814DF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r w14:paraId="21F19C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092" w:type="dxa"/>
            <w:vMerge w:val="continue"/>
            <w:tcBorders>
              <w:tl2br w:val="nil"/>
              <w:tr2bl w:val="nil"/>
            </w:tcBorders>
            <w:shd w:val="clear" w:color="auto" w:fill="auto"/>
            <w:vAlign w:val="center"/>
          </w:tcPr>
          <w:p w14:paraId="00FFAE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c>
          <w:tcPr>
            <w:tcW w:w="2437" w:type="dxa"/>
            <w:tcBorders>
              <w:tl2br w:val="nil"/>
              <w:tr2bl w:val="nil"/>
            </w:tcBorders>
            <w:shd w:val="clear" w:color="auto" w:fill="auto"/>
            <w:vAlign w:val="center"/>
          </w:tcPr>
          <w:p w14:paraId="7E3511BC">
            <w:pPr>
              <w:pStyle w:val="1321"/>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RTO蓄热式焚烧炉</w:t>
            </w:r>
          </w:p>
        </w:tc>
        <w:tc>
          <w:tcPr>
            <w:tcW w:w="1055" w:type="dxa"/>
            <w:tcBorders>
              <w:tl2br w:val="nil"/>
              <w:tr2bl w:val="nil"/>
            </w:tcBorders>
            <w:shd w:val="clear" w:color="auto" w:fill="auto"/>
            <w:vAlign w:val="center"/>
          </w:tcPr>
          <w:p w14:paraId="24ED3260">
            <w:pPr>
              <w:pStyle w:val="1358"/>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p>
        </w:tc>
        <w:tc>
          <w:tcPr>
            <w:tcW w:w="1195" w:type="dxa"/>
            <w:tcBorders>
              <w:tl2br w:val="nil"/>
              <w:tr2bl w:val="nil"/>
            </w:tcBorders>
            <w:shd w:val="clear" w:color="auto" w:fill="auto"/>
            <w:vAlign w:val="center"/>
          </w:tcPr>
          <w:p w14:paraId="7DD106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80</w:t>
            </w:r>
          </w:p>
        </w:tc>
        <w:tc>
          <w:tcPr>
            <w:tcW w:w="1205" w:type="dxa"/>
            <w:tcBorders>
              <w:tl2br w:val="nil"/>
              <w:tr2bl w:val="nil"/>
            </w:tcBorders>
            <w:shd w:val="clear" w:color="auto" w:fill="auto"/>
            <w:vAlign w:val="center"/>
          </w:tcPr>
          <w:p w14:paraId="34ACF9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22h/d</w:t>
            </w:r>
          </w:p>
        </w:tc>
        <w:tc>
          <w:tcPr>
            <w:tcW w:w="2113" w:type="dxa"/>
            <w:vMerge w:val="continue"/>
            <w:tcBorders>
              <w:tl2br w:val="nil"/>
              <w:tr2bl w:val="nil"/>
            </w:tcBorders>
            <w:shd w:val="clear" w:color="auto" w:fill="auto"/>
            <w:vAlign w:val="center"/>
          </w:tcPr>
          <w:p w14:paraId="3483A3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p>
        </w:tc>
      </w:tr>
    </w:tbl>
    <w:p w14:paraId="5CDCE1FA">
      <w:pPr>
        <w:pStyle w:val="4"/>
        <w:numPr>
          <w:ilvl w:val="2"/>
          <w:numId w:val="0"/>
        </w:numPr>
        <w:tabs>
          <w:tab w:val="clear" w:pos="720"/>
        </w:tabs>
        <w:bidi w:val="0"/>
        <w:rPr>
          <w:color w:val="auto"/>
          <w:highlight w:val="none"/>
        </w:rPr>
      </w:pPr>
      <w:bookmarkStart w:id="513" w:name="_Toc1057"/>
      <w:r>
        <w:rPr>
          <w:color w:val="auto"/>
          <w:highlight w:val="none"/>
        </w:rPr>
        <w:t>5.4.3</w:t>
      </w:r>
      <w:r>
        <w:rPr>
          <w:rFonts w:hint="eastAsia"/>
          <w:color w:val="auto"/>
          <w:highlight w:val="none"/>
          <w:lang w:val="en-US" w:eastAsia="zh-CN"/>
        </w:rPr>
        <w:t xml:space="preserve"> </w:t>
      </w:r>
      <w:r>
        <w:rPr>
          <w:color w:val="auto"/>
          <w:highlight w:val="none"/>
        </w:rPr>
        <w:t>预测模式</w:t>
      </w:r>
      <w:bookmarkEnd w:id="513"/>
    </w:p>
    <w:p w14:paraId="4589D5EB">
      <w:pPr>
        <w:pageBreakBefore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bookmarkStart w:id="514" w:name="_Toc523646252"/>
      <w:bookmarkStart w:id="515" w:name="_Toc500940492"/>
      <w:bookmarkStart w:id="516" w:name="_Toc529434237"/>
      <w:r>
        <w:rPr>
          <w:rFonts w:hint="default" w:ascii="Times New Roman" w:hAnsi="Times New Roman" w:eastAsia="宋体" w:cs="Times New Roman"/>
          <w:color w:val="auto"/>
          <w:sz w:val="24"/>
          <w:szCs w:val="24"/>
          <w:highlight w:val="none"/>
        </w:rPr>
        <w:t>项目噪声预测模式采用</w:t>
      </w:r>
      <w:r>
        <w:rPr>
          <w:rFonts w:hint="default" w:ascii="Times New Roman" w:hAnsi="Times New Roman" w:eastAsia="宋体" w:cs="Times New Roman"/>
          <w:color w:val="auto"/>
          <w:sz w:val="24"/>
          <w:szCs w:val="24"/>
          <w:highlight w:val="none"/>
          <w:u w:val="none"/>
        </w:rPr>
        <w:t>《环境影响评价技术导则</w:t>
      </w:r>
      <w:r>
        <w:rPr>
          <w:rFonts w:hint="default" w:ascii="Times New Roman" w:hAnsi="Times New Roman" w:eastAsia="宋体" w:cs="Times New Roman"/>
          <w:color w:val="auto"/>
          <w:sz w:val="24"/>
          <w:szCs w:val="24"/>
          <w:highlight w:val="none"/>
          <w:u w:val="none"/>
          <w:lang w:val="en-US" w:eastAsia="zh-CN"/>
        </w:rPr>
        <w:t xml:space="preserve"> </w:t>
      </w:r>
      <w:r>
        <w:rPr>
          <w:rFonts w:hint="default" w:ascii="Times New Roman" w:hAnsi="Times New Roman" w:eastAsia="宋体" w:cs="Times New Roman"/>
          <w:color w:val="auto"/>
          <w:sz w:val="24"/>
          <w:szCs w:val="24"/>
          <w:highlight w:val="none"/>
          <w:u w:val="none"/>
        </w:rPr>
        <w:t>声环境》</w:t>
      </w:r>
      <w:r>
        <w:rPr>
          <w:rFonts w:hint="eastAsia" w:ascii="Times New Roman" w:hAnsi="Times New Roman" w:eastAsia="宋体" w:cs="Times New Roman"/>
          <w:color w:val="auto"/>
          <w:sz w:val="24"/>
          <w:szCs w:val="24"/>
          <w:highlight w:val="none"/>
          <w:u w:val="none"/>
          <w:lang w:eastAsia="zh-CN"/>
        </w:rPr>
        <w:t>（</w:t>
      </w:r>
      <w:r>
        <w:rPr>
          <w:rFonts w:hint="default" w:ascii="Times New Roman" w:hAnsi="Times New Roman" w:eastAsia="宋体" w:cs="Times New Roman"/>
          <w:color w:val="auto"/>
          <w:sz w:val="24"/>
          <w:szCs w:val="24"/>
          <w:highlight w:val="none"/>
          <w:u w:val="none"/>
        </w:rPr>
        <w:t>HJ2.4-</w:t>
      </w:r>
      <w:r>
        <w:rPr>
          <w:rFonts w:hint="default" w:ascii="Times New Roman" w:hAnsi="Times New Roman" w:eastAsia="宋体" w:cs="Times New Roman"/>
          <w:color w:val="auto"/>
          <w:sz w:val="24"/>
          <w:szCs w:val="24"/>
          <w:highlight w:val="none"/>
          <w:u w:val="none"/>
          <w:lang w:val="en-US" w:eastAsia="zh-CN"/>
        </w:rPr>
        <w:t>2021</w:t>
      </w:r>
      <w:r>
        <w:rPr>
          <w:rFonts w:hint="eastAsia" w:ascii="Times New Roman" w:hAnsi="Times New Roman" w:eastAsia="宋体" w:cs="Times New Roman"/>
          <w:color w:val="auto"/>
          <w:sz w:val="24"/>
          <w:szCs w:val="24"/>
          <w:highlight w:val="none"/>
          <w:u w:val="none"/>
          <w:lang w:eastAsia="zh-CN"/>
        </w:rPr>
        <w:t>）</w:t>
      </w:r>
      <w:r>
        <w:rPr>
          <w:rFonts w:hint="default" w:ascii="Times New Roman" w:hAnsi="Times New Roman" w:eastAsia="宋体" w:cs="Times New Roman"/>
          <w:color w:val="auto"/>
          <w:sz w:val="24"/>
          <w:szCs w:val="24"/>
          <w:highlight w:val="none"/>
        </w:rPr>
        <w:t>中推荐的模型。噪声在传播过程</w:t>
      </w:r>
      <w:r>
        <w:rPr>
          <w:rFonts w:hint="default" w:ascii="Times New Roman" w:hAnsi="Times New Roman" w:eastAsia="宋体" w:cs="Times New Roman"/>
          <w:color w:val="auto"/>
          <w:sz w:val="24"/>
          <w:szCs w:val="24"/>
          <w:highlight w:val="none"/>
          <w:lang w:eastAsia="zh-CN"/>
        </w:rPr>
        <w:t>中受到</w:t>
      </w:r>
      <w:r>
        <w:rPr>
          <w:rFonts w:hint="default" w:ascii="Times New Roman" w:hAnsi="Times New Roman" w:eastAsia="宋体" w:cs="Times New Roman"/>
          <w:color w:val="auto"/>
          <w:sz w:val="24"/>
          <w:szCs w:val="24"/>
          <w:highlight w:val="none"/>
        </w:rPr>
        <w:t>多种因数的干扰，使其产生衰减，根据建设项目噪声源和环境特征</w:t>
      </w:r>
      <w:r>
        <w:rPr>
          <w:rFonts w:hint="eastAsia" w:cs="Times New Roman"/>
          <w:color w:val="auto"/>
          <w:sz w:val="24"/>
          <w:szCs w:val="24"/>
          <w:highlight w:val="none"/>
          <w:lang w:eastAsia="zh-CN"/>
        </w:rPr>
        <w:t>，在</w:t>
      </w:r>
      <w:r>
        <w:rPr>
          <w:rFonts w:hint="default" w:ascii="Times New Roman" w:hAnsi="Times New Roman" w:eastAsia="宋体" w:cs="Times New Roman"/>
          <w:color w:val="auto"/>
          <w:sz w:val="24"/>
          <w:szCs w:val="24"/>
          <w:highlight w:val="none"/>
        </w:rPr>
        <w:t>预测过程中考虑了车间等建筑物的屏障作用、空气吸收。预测模式采用</w:t>
      </w:r>
      <w:r>
        <w:rPr>
          <w:rFonts w:hint="default" w:ascii="Times New Roman" w:hAnsi="Times New Roman" w:eastAsia="宋体" w:cs="Times New Roman"/>
          <w:color w:val="auto"/>
          <w:sz w:val="24"/>
          <w:szCs w:val="24"/>
          <w:highlight w:val="none"/>
          <w:lang w:eastAsia="zh-CN"/>
        </w:rPr>
        <w:t>点</w:t>
      </w:r>
      <w:r>
        <w:rPr>
          <w:rFonts w:hint="default" w:ascii="Times New Roman" w:hAnsi="Times New Roman" w:eastAsia="宋体" w:cs="Times New Roman"/>
          <w:color w:val="auto"/>
          <w:sz w:val="24"/>
          <w:szCs w:val="24"/>
          <w:highlight w:val="none"/>
        </w:rPr>
        <w:t>声源处于半自由空间的几何发散模式。</w:t>
      </w:r>
    </w:p>
    <w:p w14:paraId="430AC339">
      <w:pPr>
        <w:spacing w:line="360" w:lineRule="auto"/>
        <w:ind w:firstLine="555"/>
        <w:rPr>
          <w:rFonts w:hint="eastAsia" w:ascii="宋体" w:hAnsi="宋体" w:eastAsia="宋体" w:cs="宋体"/>
          <w:b/>
          <w:color w:val="auto"/>
          <w:sz w:val="24"/>
          <w:szCs w:val="24"/>
          <w:highlight w:val="none"/>
        </w:rPr>
      </w:pP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lang w:eastAsia="zh-CN"/>
        </w:rPr>
        <w:t>）</w:t>
      </w:r>
      <w:r>
        <w:rPr>
          <w:rFonts w:hint="eastAsia" w:ascii="宋体" w:hAnsi="宋体" w:eastAsia="宋体" w:cs="宋体"/>
          <w:b/>
          <w:color w:val="auto"/>
          <w:sz w:val="24"/>
          <w:szCs w:val="24"/>
          <w:highlight w:val="none"/>
        </w:rPr>
        <w:t>声级的计算</w:t>
      </w:r>
    </w:p>
    <w:p w14:paraId="4BD70DD1">
      <w:pPr>
        <w:spacing w:line="360" w:lineRule="auto"/>
        <w:ind w:firstLine="55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①建设项目声源在预测点产生的等效声级贡献值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Leqg </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计算公式：</w:t>
      </w:r>
    </w:p>
    <w:p w14:paraId="37382486">
      <w:pPr>
        <w:autoSpaceDE w:val="0"/>
        <w:autoSpaceDN w:val="0"/>
        <w:adjustRightInd w:val="0"/>
        <w:spacing w:line="360" w:lineRule="auto"/>
        <w:jc w:val="center"/>
        <w:rPr>
          <w:rFonts w:hint="eastAsia" w:ascii="Times New Roman" w:hAnsi="Times New Roman" w:eastAsia="宋体" w:cs="Times New Roman"/>
          <w:color w:val="auto"/>
          <w:sz w:val="24"/>
          <w:szCs w:val="24"/>
          <w:highlight w:val="none"/>
          <w:lang w:eastAsia="zh-CN"/>
        </w:rPr>
      </w:pPr>
      <w:r>
        <w:rPr>
          <w:rFonts w:ascii="Times New Roman" w:hAnsi="Times New Roman"/>
          <w:color w:val="auto"/>
          <w:kern w:val="21"/>
          <w:highlight w:val="none"/>
        </w:rPr>
        <w:drawing>
          <wp:inline distT="0" distB="0" distL="114300" distR="114300">
            <wp:extent cx="2305685" cy="619760"/>
            <wp:effectExtent l="0" t="0" r="18415" b="8890"/>
            <wp:docPr id="309" name="图片 632" descr="1657156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632" descr="1657156112(1)"/>
                    <pic:cNvPicPr>
                      <a:picLocks noChangeAspect="1"/>
                    </pic:cNvPicPr>
                  </pic:nvPicPr>
                  <pic:blipFill>
                    <a:blip r:embed="rId78"/>
                    <a:stretch>
                      <a:fillRect/>
                    </a:stretch>
                  </pic:blipFill>
                  <pic:spPr>
                    <a:xfrm>
                      <a:off x="0" y="0"/>
                      <a:ext cx="2305685" cy="61976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1</w:t>
      </w:r>
      <w:r>
        <w:rPr>
          <w:rFonts w:hint="eastAsia" w:ascii="Times New Roman" w:hAnsi="Times New Roman" w:eastAsia="宋体" w:cs="Times New Roman"/>
          <w:color w:val="auto"/>
          <w:sz w:val="24"/>
          <w:szCs w:val="24"/>
          <w:highlight w:val="none"/>
          <w:lang w:eastAsia="zh-CN"/>
        </w:rPr>
        <w:t>）</w:t>
      </w:r>
    </w:p>
    <w:p w14:paraId="1BD97FA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w:t>
      </w:r>
      <w:r>
        <w:rPr>
          <w:rFonts w:hint="default" w:ascii="Times New Roman" w:hAnsi="Times New Roman" w:eastAsia="宋体" w:cs="Times New Roman"/>
          <w:color w:val="auto"/>
          <w:sz w:val="24"/>
          <w:szCs w:val="24"/>
          <w:highlight w:val="none"/>
          <w:vertAlign w:val="subscript"/>
        </w:rPr>
        <w:t xml:space="preserve">eqg </w:t>
      </w:r>
      <w:r>
        <w:rPr>
          <w:rFonts w:hint="default" w:ascii="Times New Roman" w:hAnsi="Times New Roman" w:eastAsia="宋体" w:cs="Times New Roman"/>
          <w:color w:val="auto"/>
          <w:sz w:val="24"/>
          <w:szCs w:val="24"/>
          <w:highlight w:val="none"/>
        </w:rPr>
        <w:t>—建设项目声源在预测点的等效声级贡献值，dB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237ED9D5">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L</w:t>
      </w:r>
      <w:r>
        <w:rPr>
          <w:rFonts w:hint="default" w:ascii="Times New Roman" w:hAnsi="Times New Roman" w:eastAsia="宋体" w:cs="Times New Roman"/>
          <w:color w:val="auto"/>
          <w:sz w:val="24"/>
          <w:szCs w:val="24"/>
          <w:highlight w:val="none"/>
          <w:vertAlign w:val="subscript"/>
        </w:rPr>
        <w:t>Ai</w:t>
      </w:r>
      <w:r>
        <w:rPr>
          <w:rFonts w:hint="default" w:ascii="Times New Roman" w:hAnsi="Times New Roman" w:eastAsia="宋体" w:cs="Times New Roman"/>
          <w:color w:val="auto"/>
          <w:sz w:val="24"/>
          <w:szCs w:val="24"/>
          <w:highlight w:val="none"/>
        </w:rPr>
        <w:t xml:space="preserve"> —i 声源在预测点产生的A 声级，dB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69613094">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T — 预测计算的时间段，s；</w:t>
      </w:r>
    </w:p>
    <w:p w14:paraId="77E7248C">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ti —i 声源在T 时段内的运行时间，s。</w:t>
      </w:r>
    </w:p>
    <w:p w14:paraId="3759952B">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②预测点的预测等效声级</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Leq</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计算公式：</w:t>
      </w:r>
    </w:p>
    <w:p w14:paraId="0C21A30E">
      <w:pPr>
        <w:spacing w:line="360" w:lineRule="auto"/>
        <w:ind w:firstLine="1680" w:firstLineChars="7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drawing>
          <wp:inline distT="0" distB="0" distL="114300" distR="114300">
            <wp:extent cx="1374140" cy="219075"/>
            <wp:effectExtent l="0" t="0" r="16510" b="9525"/>
            <wp:docPr id="310"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35"/>
                    <pic:cNvPicPr>
                      <a:picLocks noChangeAspect="1"/>
                    </pic:cNvPicPr>
                  </pic:nvPicPr>
                  <pic:blipFill>
                    <a:blip r:embed="rId79"/>
                    <a:stretch>
                      <a:fillRect/>
                    </a:stretch>
                  </pic:blipFill>
                  <pic:spPr>
                    <a:xfrm>
                      <a:off x="0" y="0"/>
                      <a:ext cx="1374140" cy="219075"/>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eastAsia="zh-CN"/>
        </w:rPr>
        <w:t>）</w:t>
      </w:r>
    </w:p>
    <w:p w14:paraId="62E42EA4">
      <w:pPr>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w:t>
      </w:r>
      <w:r>
        <w:rPr>
          <w:rFonts w:hint="default" w:ascii="Times New Roman" w:hAnsi="Times New Roman" w:eastAsia="宋体" w:cs="Times New Roman"/>
          <w:color w:val="auto"/>
          <w:sz w:val="24"/>
          <w:szCs w:val="24"/>
          <w:highlight w:val="none"/>
          <w:vertAlign w:val="subscript"/>
        </w:rPr>
        <w:t xml:space="preserve">eqg </w:t>
      </w:r>
      <w:r>
        <w:rPr>
          <w:rFonts w:hint="default" w:ascii="Times New Roman" w:hAnsi="Times New Roman" w:eastAsia="宋体" w:cs="Times New Roman"/>
          <w:color w:val="auto"/>
          <w:sz w:val="24"/>
          <w:szCs w:val="24"/>
          <w:highlight w:val="none"/>
        </w:rPr>
        <w:t>—建设项目声源在预测点的等效声级贡献值，dB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0A2E9B4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Leqg — 预测点的背景值，dB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341B7C6B">
      <w:pPr>
        <w:spacing w:line="360" w:lineRule="auto"/>
        <w:ind w:firstLine="482" w:firstLineChars="200"/>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户外声传基本公式</w:t>
      </w:r>
    </w:p>
    <w:p w14:paraId="72D0E4D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①基本公式</w:t>
      </w:r>
    </w:p>
    <w:p w14:paraId="33CEC34D">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户外声传播衰减包括几何发散</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Adiv</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、大气吸收</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Aatm</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、地面效应</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Agr</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、屏障屏蔽</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Abar</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、其他多方面效应</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Amisc</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引起的衰减。</w:t>
      </w:r>
    </w:p>
    <w:p w14:paraId="13AE360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A.在环境影响评价中，应根据声源声功率级或靠近声源某一参考位置处的已知声级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如实测得到的</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、户外声传播衰减，计算距离声源较远处的预测点的声级。在已知距离无指向性点声源参考点r</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处的倍频带</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用63Hz到8KHz的8个标称倍频带中心频率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声压级Lp</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r</w:t>
      </w:r>
      <w:r>
        <w:rPr>
          <w:rFonts w:hint="default" w:ascii="Times New Roman" w:hAnsi="Times New Roman" w:eastAsia="宋体" w:cs="Times New Roman"/>
          <w:color w:val="auto"/>
          <w:sz w:val="24"/>
          <w:szCs w:val="24"/>
          <w:highlight w:val="none"/>
          <w:vertAlign w:val="subscript"/>
        </w:rPr>
        <w:t>0</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和计算出参考点</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r</w:t>
      </w:r>
      <w:r>
        <w:rPr>
          <w:rFonts w:hint="default" w:ascii="Times New Roman" w:hAnsi="Times New Roman" w:eastAsia="宋体" w:cs="Times New Roman"/>
          <w:color w:val="auto"/>
          <w:sz w:val="24"/>
          <w:szCs w:val="24"/>
          <w:highlight w:val="none"/>
          <w:vertAlign w:val="subscript"/>
        </w:rPr>
        <w:t>0</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和预测点</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r</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处之间的户外声传播衰减后，预测点8个倍频带声压级可分别用式</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计算。</w:t>
      </w:r>
    </w:p>
    <w:p w14:paraId="09769E68">
      <w:pPr>
        <w:spacing w:line="360" w:lineRule="auto"/>
        <w:ind w:firstLine="1660" w:firstLineChars="68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drawing>
          <wp:inline distT="0" distB="0" distL="114300" distR="114300">
            <wp:extent cx="2467610" cy="270510"/>
            <wp:effectExtent l="0" t="0" r="8890" b="15240"/>
            <wp:docPr id="311"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36"/>
                    <pic:cNvPicPr>
                      <a:picLocks noChangeAspect="1"/>
                    </pic:cNvPicPr>
                  </pic:nvPicPr>
                  <pic:blipFill>
                    <a:blip r:embed="rId80"/>
                    <a:stretch>
                      <a:fillRect/>
                    </a:stretch>
                  </pic:blipFill>
                  <pic:spPr>
                    <a:xfrm>
                      <a:off x="0" y="0"/>
                      <a:ext cx="2467610" cy="270510"/>
                    </a:xfrm>
                    <a:prstGeom prst="rect">
                      <a:avLst/>
                    </a:prstGeom>
                    <a:noFill/>
                    <a:ln>
                      <a:noFill/>
                    </a:ln>
                  </pic:spPr>
                </pic:pic>
              </a:graphicData>
            </a:graphic>
          </wp:inline>
        </w:drawing>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color w:val="auto"/>
          <w:sz w:val="24"/>
          <w:szCs w:val="24"/>
          <w:highlight w:val="none"/>
        </w:rPr>
        <w:t>（3）</w:t>
      </w:r>
    </w:p>
    <w:p w14:paraId="23A48BA7">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B.预测点的A 声级LA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r</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可按公式</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6</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计算，即将8个倍频带声压级合成，计算出预测点的A 声级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LA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r</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w:t>
      </w:r>
    </w:p>
    <w:p w14:paraId="541FB815">
      <w:pPr>
        <w:spacing w:line="360" w:lineRule="auto"/>
        <w:ind w:firstLine="1778" w:firstLineChars="738"/>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drawing>
          <wp:inline distT="0" distB="0" distL="114300" distR="114300">
            <wp:extent cx="1563370" cy="338455"/>
            <wp:effectExtent l="0" t="0" r="17780" b="4445"/>
            <wp:docPr id="312"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37"/>
                    <pic:cNvPicPr>
                      <a:picLocks noChangeAspect="1"/>
                    </pic:cNvPicPr>
                  </pic:nvPicPr>
                  <pic:blipFill>
                    <a:blip r:embed="rId81"/>
                    <a:stretch>
                      <a:fillRect/>
                    </a:stretch>
                  </pic:blipFill>
                  <pic:spPr>
                    <a:xfrm>
                      <a:off x="0" y="0"/>
                      <a:ext cx="1563370" cy="338455"/>
                    </a:xfrm>
                    <a:prstGeom prst="rect">
                      <a:avLst/>
                    </a:prstGeom>
                    <a:noFill/>
                    <a:ln>
                      <a:noFill/>
                    </a:ln>
                  </pic:spPr>
                </pic:pic>
              </a:graphicData>
            </a:graphic>
          </wp:inline>
        </w:drawing>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color w:val="auto"/>
          <w:sz w:val="24"/>
          <w:szCs w:val="24"/>
          <w:highlight w:val="none"/>
        </w:rPr>
        <w:t>（4）</w:t>
      </w:r>
    </w:p>
    <w:p w14:paraId="73C23A59">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 Pi</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r </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 — 预测点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r</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处，第i 倍频带声压级，dB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0D2FCF1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ΔL i —第i 倍频带的A 计权网络修正值</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见附录B</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，dB。</w:t>
      </w:r>
    </w:p>
    <w:p w14:paraId="4211DF7D">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在只考虑几何发散衰减时，可用公式</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7</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计算：</w:t>
      </w:r>
    </w:p>
    <w:p w14:paraId="2A5B67BB">
      <w:pPr>
        <w:spacing w:line="360" w:lineRule="auto"/>
        <w:ind w:firstLine="1778" w:firstLineChars="738"/>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drawing>
          <wp:inline distT="0" distB="0" distL="114300" distR="114300">
            <wp:extent cx="1334135" cy="320675"/>
            <wp:effectExtent l="0" t="0" r="18415" b="3175"/>
            <wp:docPr id="313"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38"/>
                    <pic:cNvPicPr>
                      <a:picLocks noChangeAspect="1"/>
                    </pic:cNvPicPr>
                  </pic:nvPicPr>
                  <pic:blipFill>
                    <a:blip r:embed="rId82"/>
                    <a:stretch>
                      <a:fillRect/>
                    </a:stretch>
                  </pic:blipFill>
                  <pic:spPr>
                    <a:xfrm>
                      <a:off x="0" y="0"/>
                      <a:ext cx="1334135" cy="320675"/>
                    </a:xfrm>
                    <a:prstGeom prst="rect">
                      <a:avLst/>
                    </a:prstGeom>
                    <a:noFill/>
                    <a:ln>
                      <a:noFill/>
                    </a:ln>
                  </pic:spPr>
                </pic:pic>
              </a:graphicData>
            </a:graphic>
          </wp:inline>
        </w:drawing>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color w:val="auto"/>
          <w:sz w:val="24"/>
          <w:szCs w:val="24"/>
          <w:highlight w:val="none"/>
        </w:rPr>
        <w:t>（5）</w:t>
      </w:r>
    </w:p>
    <w:p w14:paraId="5A3EA09F">
      <w:p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②几何发散衰减</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Adiv</w:t>
      </w:r>
      <w:r>
        <w:rPr>
          <w:rFonts w:hint="eastAsia" w:ascii="Times New Roman" w:hAnsi="Times New Roman" w:eastAsia="宋体" w:cs="Times New Roman"/>
          <w:color w:val="auto"/>
          <w:sz w:val="24"/>
          <w:szCs w:val="24"/>
          <w:highlight w:val="none"/>
          <w:lang w:eastAsia="zh-CN"/>
        </w:rPr>
        <w:t>）</w:t>
      </w:r>
    </w:p>
    <w:p w14:paraId="4C5E4691">
      <w:pPr>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A.点声源的几何发散衰减</w:t>
      </w:r>
    </w:p>
    <w:p w14:paraId="5E9998C9">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如果声源处于半自由声场，则等效为公式（6）或（7）</w:t>
      </w:r>
    </w:p>
    <w:p w14:paraId="5EF9662B">
      <w:pPr>
        <w:spacing w:line="360" w:lineRule="auto"/>
        <w:ind w:firstLine="1542" w:firstLineChars="64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drawing>
          <wp:inline distT="0" distB="0" distL="114300" distR="114300">
            <wp:extent cx="1972310" cy="247650"/>
            <wp:effectExtent l="0" t="0" r="8890" b="0"/>
            <wp:docPr id="314"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39"/>
                    <pic:cNvPicPr>
                      <a:picLocks noChangeAspect="1"/>
                    </pic:cNvPicPr>
                  </pic:nvPicPr>
                  <pic:blipFill>
                    <a:blip r:embed="rId83"/>
                    <a:srcRect r="50000"/>
                    <a:stretch>
                      <a:fillRect/>
                    </a:stretch>
                  </pic:blipFill>
                  <pic:spPr>
                    <a:xfrm>
                      <a:off x="0" y="0"/>
                      <a:ext cx="1972310" cy="247650"/>
                    </a:xfrm>
                    <a:prstGeom prst="rect">
                      <a:avLst/>
                    </a:prstGeom>
                    <a:noFill/>
                    <a:ln>
                      <a:noFill/>
                    </a:ln>
                  </pic:spPr>
                </pic:pic>
              </a:graphicData>
            </a:graphic>
          </wp:inline>
        </w:drawing>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color w:val="auto"/>
          <w:sz w:val="24"/>
          <w:szCs w:val="24"/>
          <w:highlight w:val="none"/>
        </w:rPr>
        <w:t>（6）</w:t>
      </w:r>
    </w:p>
    <w:p w14:paraId="336BF63E">
      <w:pPr>
        <w:spacing w:line="360" w:lineRule="auto"/>
        <w:ind w:firstLine="1542" w:firstLineChars="64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drawing>
          <wp:inline distT="0" distB="0" distL="114300" distR="114300">
            <wp:extent cx="2019935" cy="228600"/>
            <wp:effectExtent l="0" t="0" r="18415" b="0"/>
            <wp:docPr id="315"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40"/>
                    <pic:cNvPicPr>
                      <a:picLocks noChangeAspect="1"/>
                    </pic:cNvPicPr>
                  </pic:nvPicPr>
                  <pic:blipFill>
                    <a:blip r:embed="rId84"/>
                    <a:srcRect r="49283"/>
                    <a:stretch>
                      <a:fillRect/>
                    </a:stretch>
                  </pic:blipFill>
                  <pic:spPr>
                    <a:xfrm>
                      <a:off x="0" y="0"/>
                      <a:ext cx="2019935" cy="228600"/>
                    </a:xfrm>
                    <a:prstGeom prst="rect">
                      <a:avLst/>
                    </a:prstGeom>
                    <a:noFill/>
                    <a:ln>
                      <a:noFill/>
                    </a:ln>
                  </pic:spPr>
                </pic:pic>
              </a:graphicData>
            </a:graphic>
          </wp:inline>
        </w:drawing>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color w:val="auto"/>
          <w:sz w:val="24"/>
          <w:szCs w:val="24"/>
          <w:highlight w:val="none"/>
        </w:rPr>
        <w:t>（7）</w:t>
      </w:r>
    </w:p>
    <w:p w14:paraId="5798E713">
      <w:pPr>
        <w:spacing w:line="360" w:lineRule="auto"/>
        <w:ind w:firstLine="482" w:firstLineChars="200"/>
        <w:rPr>
          <w:rFonts w:hint="eastAsia" w:ascii="Times New Roman" w:hAnsi="Times New Roman" w:eastAsia="宋体" w:cs="Times New Roman"/>
          <w:b/>
          <w:color w:val="auto"/>
          <w:sz w:val="24"/>
          <w:szCs w:val="24"/>
          <w:highlight w:val="none"/>
          <w:lang w:eastAsia="zh-CN"/>
        </w:rPr>
      </w:pPr>
      <w:r>
        <w:rPr>
          <w:rFonts w:hint="default" w:ascii="Times New Roman" w:hAnsi="Times New Roman" w:eastAsia="宋体" w:cs="Times New Roman"/>
          <w:b/>
          <w:color w:val="auto"/>
          <w:sz w:val="24"/>
          <w:szCs w:val="24"/>
          <w:highlight w:val="none"/>
        </w:rPr>
        <w:t>B.反射体引起的修正ΔL</w:t>
      </w:r>
      <w:r>
        <w:rPr>
          <w:rFonts w:hint="eastAsia"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r</w:t>
      </w:r>
      <w:r>
        <w:rPr>
          <w:rFonts w:hint="eastAsia" w:ascii="Times New Roman" w:hAnsi="Times New Roman" w:eastAsia="宋体" w:cs="Times New Roman"/>
          <w:b/>
          <w:color w:val="auto"/>
          <w:sz w:val="24"/>
          <w:szCs w:val="24"/>
          <w:highlight w:val="none"/>
          <w:lang w:eastAsia="zh-CN"/>
        </w:rPr>
        <w:t>）</w:t>
      </w:r>
    </w:p>
    <w:p w14:paraId="1419926D">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如图</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.3-1所示，当点声源与预测点处在反射体同侧附近时，到达预测点的声级是直达声与反射声叠加的结果，从而使预测点声级增高。</w:t>
      </w:r>
    </w:p>
    <w:p w14:paraId="01241E7F">
      <w:pPr>
        <w:spacing w:line="360" w:lineRule="auto"/>
        <w:ind w:firstLine="2520" w:firstLineChars="105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581150" cy="1127760"/>
            <wp:effectExtent l="0" t="0" r="0" b="15240"/>
            <wp:docPr id="316"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41"/>
                    <pic:cNvPicPr>
                      <a:picLocks noChangeAspect="1"/>
                    </pic:cNvPicPr>
                  </pic:nvPicPr>
                  <pic:blipFill>
                    <a:blip r:embed="rId85"/>
                    <a:stretch>
                      <a:fillRect/>
                    </a:stretch>
                  </pic:blipFill>
                  <pic:spPr>
                    <a:xfrm>
                      <a:off x="0" y="0"/>
                      <a:ext cx="1581150" cy="1127760"/>
                    </a:xfrm>
                    <a:prstGeom prst="rect">
                      <a:avLst/>
                    </a:prstGeom>
                    <a:noFill/>
                    <a:ln>
                      <a:noFill/>
                    </a:ln>
                  </pic:spPr>
                </pic:pic>
              </a:graphicData>
            </a:graphic>
          </wp:inline>
        </w:drawing>
      </w:r>
    </w:p>
    <w:p w14:paraId="1336FDDE">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w:t>
      </w:r>
      <w:r>
        <w:rPr>
          <w:rFonts w:hint="default" w:ascii="Times New Roman" w:hAnsi="Times New Roman" w:cs="Times New Roman"/>
          <w:color w:val="auto"/>
          <w:highlight w:val="none"/>
          <w:lang w:val="en-US" w:eastAsia="zh-CN"/>
        </w:rPr>
        <w:t>5.4-1</w:t>
      </w:r>
      <w:r>
        <w:rPr>
          <w:rFonts w:hint="default" w:ascii="Times New Roman" w:hAnsi="Times New Roman" w:cs="Times New Roman"/>
          <w:color w:val="auto"/>
          <w:highlight w:val="none"/>
        </w:rPr>
        <w:t xml:space="preserve"> 反射体的影响</w:t>
      </w:r>
    </w:p>
    <w:p w14:paraId="3BC00E58">
      <w:pPr>
        <w:autoSpaceDE w:val="0"/>
        <w:autoSpaceDN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当满足下列条件时，需考虑反射体引起的声级增高：</w:t>
      </w:r>
    </w:p>
    <w:p w14:paraId="685AAF7D">
      <w:pPr>
        <w:autoSpaceDE w:val="0"/>
        <w:autoSpaceDN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1）反射体表面平整光滑，坚硬的。</w:t>
      </w:r>
    </w:p>
    <w:p w14:paraId="3AC8E586">
      <w:pPr>
        <w:autoSpaceDE w:val="0"/>
        <w:autoSpaceDN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2）反射体尺寸远远大于所有声波波长λ。</w:t>
      </w:r>
    </w:p>
    <w:p w14:paraId="1D9101E0">
      <w:pPr>
        <w:autoSpaceDE w:val="0"/>
        <w:autoSpaceDN w:val="0"/>
        <w:spacing w:line="360" w:lineRule="auto"/>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3）入射角θ＜85º。</w:t>
      </w:r>
    </w:p>
    <w:p w14:paraId="0E2D5DEF">
      <w:pPr>
        <w:autoSpaceDE w:val="0"/>
        <w:autoSpaceDN w:val="0"/>
        <w:spacing w:line="360" w:lineRule="auto"/>
        <w:ind w:firstLine="480" w:firstLineChars="200"/>
        <w:jc w:val="left"/>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i/>
          <w:iCs/>
          <w:color w:val="auto"/>
          <w:sz w:val="24"/>
          <w:szCs w:val="24"/>
          <w:highlight w:val="none"/>
        </w:rPr>
        <w:t xml:space="preserve">rr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 xml:space="preserve">rd </w:t>
      </w:r>
      <w:r>
        <w:rPr>
          <w:rFonts w:hint="default" w:ascii="Times New Roman" w:hAnsi="Times New Roman" w:eastAsia="宋体" w:cs="Times New Roman"/>
          <w:color w:val="auto"/>
          <w:sz w:val="24"/>
          <w:szCs w:val="24"/>
          <w:highlight w:val="none"/>
        </w:rPr>
        <w:t>&gt;&gt;λ 反射引起的修正量Δ</w:t>
      </w:r>
      <w:r>
        <w:rPr>
          <w:rFonts w:hint="default" w:ascii="Times New Roman" w:hAnsi="Times New Roman" w:eastAsia="宋体" w:cs="Times New Roman"/>
          <w:i/>
          <w:iCs/>
          <w:color w:val="auto"/>
          <w:sz w:val="24"/>
          <w:szCs w:val="24"/>
          <w:highlight w:val="none"/>
        </w:rPr>
        <w:t xml:space="preserve">L r </w:t>
      </w:r>
      <w:r>
        <w:rPr>
          <w:rFonts w:hint="default" w:ascii="Times New Roman" w:hAnsi="Times New Roman" w:eastAsia="宋体" w:cs="Times New Roman"/>
          <w:color w:val="auto"/>
          <w:sz w:val="24"/>
          <w:szCs w:val="24"/>
          <w:highlight w:val="none"/>
        </w:rPr>
        <w:t>与</w:t>
      </w:r>
      <w:r>
        <w:rPr>
          <w:rFonts w:hint="default" w:ascii="Times New Roman" w:hAnsi="Times New Roman" w:eastAsia="宋体" w:cs="Times New Roman"/>
          <w:i/>
          <w:iCs/>
          <w:color w:val="auto"/>
          <w:sz w:val="24"/>
          <w:szCs w:val="24"/>
          <w:highlight w:val="none"/>
        </w:rPr>
        <w:t xml:space="preserve">rr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 xml:space="preserve">rd </w:t>
      </w:r>
      <w:r>
        <w:rPr>
          <w:rFonts w:hint="default" w:ascii="Times New Roman" w:hAnsi="Times New Roman" w:eastAsia="宋体" w:cs="Times New Roman"/>
          <w:color w:val="auto"/>
          <w:sz w:val="24"/>
          <w:szCs w:val="24"/>
          <w:highlight w:val="none"/>
        </w:rPr>
        <w:t>有关</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i/>
          <w:iCs/>
          <w:color w:val="auto"/>
          <w:sz w:val="24"/>
          <w:szCs w:val="24"/>
          <w:highlight w:val="none"/>
        </w:rPr>
        <w:t xml:space="preserve">rr </w:t>
      </w:r>
      <w:r>
        <w:rPr>
          <w:rFonts w:hint="default" w:ascii="Times New Roman" w:hAnsi="Times New Roman" w:eastAsia="宋体" w:cs="Times New Roman"/>
          <w:color w:val="auto"/>
          <w:sz w:val="24"/>
          <w:szCs w:val="24"/>
          <w:highlight w:val="none"/>
        </w:rPr>
        <w:t xml:space="preserve">=IP、 </w:t>
      </w:r>
      <w:r>
        <w:rPr>
          <w:rFonts w:hint="default" w:ascii="Times New Roman" w:hAnsi="Times New Roman" w:eastAsia="宋体" w:cs="Times New Roman"/>
          <w:i/>
          <w:iCs/>
          <w:color w:val="auto"/>
          <w:sz w:val="24"/>
          <w:szCs w:val="24"/>
          <w:highlight w:val="none"/>
        </w:rPr>
        <w:t xml:space="preserve">rd </w:t>
      </w:r>
      <w:r>
        <w:rPr>
          <w:rFonts w:hint="default" w:ascii="Times New Roman" w:hAnsi="Times New Roman" w:eastAsia="宋体" w:cs="Times New Roman"/>
          <w:color w:val="auto"/>
          <w:sz w:val="24"/>
          <w:szCs w:val="24"/>
          <w:highlight w:val="none"/>
        </w:rPr>
        <w:t>=SP</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，可按表7.</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-2计算：</w:t>
      </w:r>
    </w:p>
    <w:p w14:paraId="79530E0E">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5.4-2</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反射体引起的修正量</w:t>
      </w:r>
    </w:p>
    <w:tbl>
      <w:tblPr>
        <w:tblStyle w:val="8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16"/>
        <w:gridCol w:w="4418"/>
      </w:tblGrid>
      <w:tr w14:paraId="35DC5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16" w:type="dxa"/>
            <w:noWrap w:val="0"/>
            <w:vAlign w:val="center"/>
          </w:tcPr>
          <w:p w14:paraId="7DE43086">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w:t>
            </w:r>
            <w:r>
              <w:rPr>
                <w:rFonts w:hint="default" w:ascii="Times New Roman" w:hAnsi="Times New Roman" w:eastAsia="宋体" w:cs="Times New Roman"/>
                <w:color w:val="auto"/>
                <w:sz w:val="24"/>
                <w:szCs w:val="24"/>
                <w:highlight w:val="none"/>
                <w:vertAlign w:val="subscript"/>
              </w:rPr>
              <w:t>r</w:t>
            </w:r>
            <w:r>
              <w:rPr>
                <w:rFonts w:hint="default" w:ascii="Times New Roman" w:hAnsi="Times New Roman" w:eastAsia="宋体" w:cs="Times New Roman"/>
                <w:color w:val="auto"/>
                <w:sz w:val="24"/>
                <w:szCs w:val="24"/>
                <w:highlight w:val="none"/>
              </w:rPr>
              <w:t xml:space="preserve"> /r</w:t>
            </w:r>
            <w:r>
              <w:rPr>
                <w:rFonts w:hint="default" w:ascii="Times New Roman" w:hAnsi="Times New Roman" w:eastAsia="宋体" w:cs="Times New Roman"/>
                <w:color w:val="auto"/>
                <w:sz w:val="24"/>
                <w:szCs w:val="24"/>
                <w:highlight w:val="none"/>
                <w:vertAlign w:val="subscript"/>
              </w:rPr>
              <w:t>d</w:t>
            </w:r>
          </w:p>
        </w:tc>
        <w:tc>
          <w:tcPr>
            <w:tcW w:w="4418" w:type="dxa"/>
            <w:noWrap w:val="0"/>
            <w:vAlign w:val="center"/>
          </w:tcPr>
          <w:p w14:paraId="3DF3EF0F">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p>
        </w:tc>
      </w:tr>
      <w:tr w14:paraId="0BE52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16" w:type="dxa"/>
            <w:noWrap w:val="0"/>
            <w:vAlign w:val="center"/>
          </w:tcPr>
          <w:p w14:paraId="46E43BC8">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p w14:paraId="6F59BA75">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≈1.4</w:t>
            </w:r>
          </w:p>
          <w:p w14:paraId="7DFD5009">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p>
          <w:p w14:paraId="7A732CD0">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＞2.5</w:t>
            </w:r>
          </w:p>
        </w:tc>
        <w:tc>
          <w:tcPr>
            <w:tcW w:w="4418" w:type="dxa"/>
            <w:noWrap w:val="0"/>
            <w:vAlign w:val="center"/>
          </w:tcPr>
          <w:p w14:paraId="402F1C14">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p>
          <w:p w14:paraId="0DB86F81">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p>
          <w:p w14:paraId="4CC60950">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p w14:paraId="23B4E0CF">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0</w:t>
            </w:r>
          </w:p>
        </w:tc>
      </w:tr>
    </w:tbl>
    <w:p w14:paraId="031A4123">
      <w:pPr>
        <w:keepNext w:val="0"/>
        <w:keepLines w:val="0"/>
        <w:pageBreakBefore w:val="0"/>
        <w:widowControl w:val="0"/>
        <w:kinsoku/>
        <w:wordWrap/>
        <w:overflowPunct/>
        <w:topLinePunct w:val="0"/>
        <w:autoSpaceDE/>
        <w:autoSpaceDN/>
        <w:bidi w:val="0"/>
        <w:adjustRightInd/>
        <w:snapToGrid/>
        <w:spacing w:before="120" w:beforeLines="50" w:line="360" w:lineRule="auto"/>
        <w:ind w:firstLine="482" w:firstLineChars="200"/>
        <w:textAlignment w:val="auto"/>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③面声源的几何发散衰减</w:t>
      </w:r>
    </w:p>
    <w:p w14:paraId="676EA386">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个大型机器设备的振动表面，车间透声的墙壁，均可以认为是面声源。如果已知面声源单位面积的声功率为W，各面积元噪声的位相是随机的，面声源可看作由无数点声源连续分布组合而成，其合成声级可按能量叠加法求出。</w:t>
      </w:r>
    </w:p>
    <w:p w14:paraId="6DB0DDC7">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w:t>
      </w:r>
      <w:r>
        <w:rPr>
          <w:rFonts w:hint="eastAsia" w:ascii="Times New Roman" w:hAnsi="Times New Roman" w:eastAsia="宋体" w:cs="Times New Roman"/>
          <w:color w:val="auto"/>
          <w:sz w:val="24"/>
          <w:szCs w:val="24"/>
          <w:highlight w:val="none"/>
          <w:lang w:val="en-US" w:eastAsia="zh-CN"/>
        </w:rPr>
        <w:t>5.4-1</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给出了长方形面声源中心轴线上的声衰减曲线。当预测点和面声源中心距离r 处于以下条件时，可按下述方法近似计算：</w:t>
      </w:r>
      <w:r>
        <w:rPr>
          <w:rFonts w:hint="default" w:ascii="Times New Roman" w:hAnsi="Times New Roman" w:eastAsia="宋体" w:cs="Times New Roman"/>
          <w:i/>
          <w:iCs/>
          <w:color w:val="auto"/>
          <w:sz w:val="24"/>
          <w:szCs w:val="24"/>
          <w:highlight w:val="none"/>
        </w:rPr>
        <w:t>r&lt;a/</w:t>
      </w:r>
      <w:r>
        <w:rPr>
          <w:rFonts w:hint="default" w:ascii="Times New Roman" w:hAnsi="Times New Roman" w:eastAsia="宋体" w:cs="Times New Roman"/>
          <w:color w:val="auto"/>
          <w:sz w:val="24"/>
          <w:szCs w:val="24"/>
          <w:highlight w:val="none"/>
        </w:rPr>
        <w:t>π 时，几乎不衰减</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Adiv≈0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；当</w:t>
      </w:r>
      <w:r>
        <w:rPr>
          <w:rFonts w:hint="default" w:ascii="Times New Roman" w:hAnsi="Times New Roman" w:eastAsia="宋体" w:cs="Times New Roman"/>
          <w:i/>
          <w:iCs/>
          <w:color w:val="auto"/>
          <w:sz w:val="24"/>
          <w:szCs w:val="24"/>
          <w:highlight w:val="none"/>
        </w:rPr>
        <w:t>a/</w:t>
      </w:r>
      <w:r>
        <w:rPr>
          <w:rFonts w:hint="default" w:ascii="Times New Roman" w:hAnsi="Times New Roman" w:eastAsia="宋体" w:cs="Times New Roman"/>
          <w:color w:val="auto"/>
          <w:sz w:val="24"/>
          <w:szCs w:val="24"/>
          <w:highlight w:val="none"/>
        </w:rPr>
        <w:t>π</w:t>
      </w:r>
      <w:r>
        <w:rPr>
          <w:rFonts w:hint="default" w:ascii="Times New Roman" w:hAnsi="Times New Roman" w:eastAsia="宋体" w:cs="Times New Roman"/>
          <w:i/>
          <w:iCs/>
          <w:color w:val="auto"/>
          <w:sz w:val="24"/>
          <w:szCs w:val="24"/>
          <w:highlight w:val="none"/>
        </w:rPr>
        <w:t>&lt;r&lt;b/</w:t>
      </w:r>
      <w:r>
        <w:rPr>
          <w:rFonts w:hint="default" w:ascii="Times New Roman" w:hAnsi="Times New Roman" w:eastAsia="宋体" w:cs="Times New Roman"/>
          <w:color w:val="auto"/>
          <w:sz w:val="24"/>
          <w:szCs w:val="24"/>
          <w:highlight w:val="none"/>
        </w:rPr>
        <w:t>π，距离加倍衰减3dB</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左右，类似线声源衰减特性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Adiv≈10 lg</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i/>
          <w:iCs/>
          <w:color w:val="auto"/>
          <w:sz w:val="24"/>
          <w:szCs w:val="24"/>
          <w:highlight w:val="none"/>
        </w:rPr>
        <w:t>r</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r</w:t>
      </w:r>
      <w:r>
        <w:rPr>
          <w:rFonts w:hint="default" w:ascii="Times New Roman" w:hAnsi="Times New Roman" w:eastAsia="宋体" w:cs="Times New Roman"/>
          <w:color w:val="auto"/>
          <w:sz w:val="24"/>
          <w:szCs w:val="24"/>
          <w:highlight w:val="none"/>
        </w:rPr>
        <w:t>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；当</w:t>
      </w:r>
      <w:r>
        <w:rPr>
          <w:rFonts w:hint="default" w:ascii="Times New Roman" w:hAnsi="Times New Roman" w:eastAsia="宋体" w:cs="Times New Roman"/>
          <w:i/>
          <w:iCs/>
          <w:color w:val="auto"/>
          <w:sz w:val="24"/>
          <w:szCs w:val="24"/>
          <w:highlight w:val="none"/>
        </w:rPr>
        <w:t>r&gt;b/</w:t>
      </w:r>
      <w:r>
        <w:rPr>
          <w:rFonts w:hint="default" w:ascii="Times New Roman" w:hAnsi="Times New Roman" w:eastAsia="宋体" w:cs="Times New Roman"/>
          <w:color w:val="auto"/>
          <w:sz w:val="24"/>
          <w:szCs w:val="24"/>
          <w:highlight w:val="none"/>
        </w:rPr>
        <w:t>π 时，距离加倍衰减趋近于6dB</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，类似点声源衰减特性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Adiv≈20 lg</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i/>
          <w:iCs/>
          <w:color w:val="auto"/>
          <w:sz w:val="24"/>
          <w:szCs w:val="24"/>
          <w:highlight w:val="none"/>
        </w:rPr>
        <w:t>r</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r</w:t>
      </w:r>
      <w:r>
        <w:rPr>
          <w:rFonts w:hint="default" w:ascii="Times New Roman" w:hAnsi="Times New Roman" w:eastAsia="宋体" w:cs="Times New Roman"/>
          <w:color w:val="auto"/>
          <w:sz w:val="24"/>
          <w:szCs w:val="24"/>
          <w:highlight w:val="none"/>
        </w:rPr>
        <w:t>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。其中面声源的</w:t>
      </w:r>
      <w:r>
        <w:rPr>
          <w:rFonts w:hint="default" w:ascii="Times New Roman" w:hAnsi="Times New Roman" w:eastAsia="宋体" w:cs="Times New Roman"/>
          <w:i/>
          <w:iCs/>
          <w:color w:val="auto"/>
          <w:sz w:val="24"/>
          <w:szCs w:val="24"/>
          <w:highlight w:val="none"/>
        </w:rPr>
        <w:t>b&gt;a</w:t>
      </w:r>
      <w:r>
        <w:rPr>
          <w:rFonts w:hint="default" w:ascii="Times New Roman" w:hAnsi="Times New Roman" w:eastAsia="宋体" w:cs="Times New Roman"/>
          <w:color w:val="auto"/>
          <w:sz w:val="24"/>
          <w:szCs w:val="24"/>
          <w:highlight w:val="none"/>
        </w:rPr>
        <w:t>。图中虚线为实际衰减量。</w:t>
      </w:r>
    </w:p>
    <w:p w14:paraId="61F82FC2">
      <w:pPr>
        <w:pStyle w:val="1192"/>
        <w:ind w:firstLine="480"/>
        <w:jc w:val="center"/>
        <w:rPr>
          <w:rStyle w:val="1194"/>
          <w:rFonts w:hint="default" w:ascii="Times New Roman" w:hAnsi="Times New Roman" w:eastAsia="宋体" w:cs="Times New Roman"/>
          <w:color w:val="auto"/>
          <w:sz w:val="24"/>
          <w:szCs w:val="24"/>
          <w:highlight w:val="none"/>
        </w:rPr>
      </w:pPr>
      <w:r>
        <w:rPr>
          <w:rStyle w:val="1194"/>
          <w:rFonts w:hint="default" w:ascii="Times New Roman" w:hAnsi="Times New Roman" w:eastAsia="宋体" w:cs="Times New Roman"/>
          <w:color w:val="auto"/>
          <w:sz w:val="24"/>
          <w:szCs w:val="24"/>
          <w:highlight w:val="none"/>
        </w:rPr>
        <w:drawing>
          <wp:inline distT="0" distB="0" distL="114300" distR="114300">
            <wp:extent cx="2760345" cy="2061845"/>
            <wp:effectExtent l="0" t="0" r="1905" b="14605"/>
            <wp:docPr id="317"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42"/>
                    <pic:cNvPicPr>
                      <a:picLocks noChangeAspect="1"/>
                    </pic:cNvPicPr>
                  </pic:nvPicPr>
                  <pic:blipFill>
                    <a:blip r:embed="rId86"/>
                    <a:stretch>
                      <a:fillRect/>
                    </a:stretch>
                  </pic:blipFill>
                  <pic:spPr>
                    <a:xfrm>
                      <a:off x="0" y="0"/>
                      <a:ext cx="2760345" cy="2061845"/>
                    </a:xfrm>
                    <a:prstGeom prst="rect">
                      <a:avLst/>
                    </a:prstGeom>
                    <a:noFill/>
                    <a:ln>
                      <a:noFill/>
                    </a:ln>
                  </pic:spPr>
                </pic:pic>
              </a:graphicData>
            </a:graphic>
          </wp:inline>
        </w:drawing>
      </w:r>
    </w:p>
    <w:p w14:paraId="65B50071">
      <w:pPr>
        <w:pStyle w:val="8"/>
        <w:bidi w:val="0"/>
        <w:rPr>
          <w:rFonts w:hint="default"/>
          <w:color w:val="auto"/>
          <w:highlight w:val="none"/>
          <w:lang w:val="en-US" w:eastAsia="zh-CN"/>
        </w:rPr>
      </w:pPr>
      <w:r>
        <w:rPr>
          <w:rFonts w:hint="default"/>
          <w:color w:val="auto"/>
          <w:highlight w:val="none"/>
          <w:lang w:val="en-US" w:eastAsia="zh-CN"/>
        </w:rPr>
        <w:t>图5.4-</w:t>
      </w:r>
      <w:r>
        <w:rPr>
          <w:rFonts w:hint="eastAsia"/>
          <w:color w:val="auto"/>
          <w:highlight w:val="none"/>
          <w:lang w:val="en-US" w:eastAsia="zh-CN"/>
        </w:rPr>
        <w:t>2</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长方形面声源中心轴线上的衰减特性</w:t>
      </w:r>
    </w:p>
    <w:p w14:paraId="5C4C4DC2">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④空气吸收引起的衰减（A</w:t>
      </w:r>
      <w:r>
        <w:rPr>
          <w:rFonts w:hint="default" w:ascii="Times New Roman" w:hAnsi="Times New Roman" w:eastAsia="宋体" w:cs="Times New Roman"/>
          <w:color w:val="auto"/>
          <w:sz w:val="24"/>
          <w:szCs w:val="24"/>
          <w:highlight w:val="none"/>
          <w:vertAlign w:val="subscript"/>
        </w:rPr>
        <w:t>atm</w:t>
      </w:r>
      <w:r>
        <w:rPr>
          <w:rFonts w:hint="default" w:ascii="Times New Roman" w:hAnsi="Times New Roman" w:eastAsia="宋体" w:cs="Times New Roman"/>
          <w:color w:val="auto"/>
          <w:sz w:val="24"/>
          <w:szCs w:val="24"/>
          <w:highlight w:val="none"/>
        </w:rPr>
        <w:t xml:space="preserve">） </w:t>
      </w:r>
    </w:p>
    <w:p w14:paraId="425233A0">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空气吸收引起的衰减按公式（8）计算： </w:t>
      </w:r>
    </w:p>
    <w:p w14:paraId="450BDB2E">
      <w:pPr>
        <w:pStyle w:val="1192"/>
        <w:ind w:firstLine="48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285240" cy="457835"/>
            <wp:effectExtent l="0" t="0" r="10160" b="18415"/>
            <wp:docPr id="318"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43"/>
                    <pic:cNvPicPr>
                      <a:picLocks noChangeAspect="1"/>
                    </pic:cNvPicPr>
                  </pic:nvPicPr>
                  <pic:blipFill>
                    <a:blip r:embed="rId87"/>
                    <a:stretch>
                      <a:fillRect/>
                    </a:stretch>
                  </pic:blipFill>
                  <pic:spPr>
                    <a:xfrm>
                      <a:off x="0" y="0"/>
                      <a:ext cx="1285240" cy="457835"/>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 xml:space="preserve">   （8）</w:t>
      </w:r>
    </w:p>
    <w:p w14:paraId="634BF170">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式中：a为温度、湿度和声波频率的函数，预测计算中一般根据建设项目所处区域常年平均气温和湿度选择相应的空气吸收系数，见表</w:t>
      </w:r>
      <w:r>
        <w:rPr>
          <w:rFonts w:hint="eastAsia" w:ascii="Times New Roman" w:hAnsi="Times New Roman" w:eastAsia="宋体" w:cs="Times New Roman"/>
          <w:color w:val="auto"/>
          <w:sz w:val="24"/>
          <w:szCs w:val="24"/>
          <w:highlight w:val="none"/>
          <w:lang w:val="en-US" w:eastAsia="zh-CN"/>
        </w:rPr>
        <w:t>5.4</w:t>
      </w:r>
      <w:r>
        <w:rPr>
          <w:rFonts w:hint="default" w:ascii="Times New Roman" w:hAnsi="Times New Roman" w:eastAsia="宋体" w:cs="Times New Roman"/>
          <w:color w:val="auto"/>
          <w:sz w:val="24"/>
          <w:szCs w:val="24"/>
          <w:highlight w:val="none"/>
        </w:rPr>
        <w:t xml:space="preserve">-3。 </w:t>
      </w:r>
    </w:p>
    <w:p w14:paraId="0B000F42">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表5.4-3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倍频带噪声的大气吸收衰减系数</w:t>
      </w:r>
    </w:p>
    <w:tbl>
      <w:tblPr>
        <w:tblStyle w:val="8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22"/>
        <w:gridCol w:w="854"/>
        <w:gridCol w:w="864"/>
        <w:gridCol w:w="864"/>
        <w:gridCol w:w="864"/>
        <w:gridCol w:w="892"/>
        <w:gridCol w:w="892"/>
        <w:gridCol w:w="892"/>
        <w:gridCol w:w="916"/>
      </w:tblGrid>
      <w:tr w14:paraId="264DD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vMerge w:val="restart"/>
            <w:noWrap w:val="0"/>
            <w:vAlign w:val="center"/>
          </w:tcPr>
          <w:p w14:paraId="76E8E28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温度℃</w:t>
            </w:r>
          </w:p>
        </w:tc>
        <w:tc>
          <w:tcPr>
            <w:tcW w:w="568" w:type="pct"/>
            <w:vMerge w:val="restart"/>
            <w:noWrap w:val="0"/>
            <w:vAlign w:val="center"/>
          </w:tcPr>
          <w:p w14:paraId="023270D4">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相对</w:t>
            </w:r>
          </w:p>
          <w:p w14:paraId="0CEEA577">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湿度％</w:t>
            </w:r>
          </w:p>
        </w:tc>
        <w:tc>
          <w:tcPr>
            <w:tcW w:w="3908" w:type="pct"/>
            <w:gridSpan w:val="8"/>
            <w:noWrap w:val="0"/>
            <w:vAlign w:val="center"/>
          </w:tcPr>
          <w:p w14:paraId="59EC9C22">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大气吸收衰减系数a，dB/ km</w:t>
            </w:r>
          </w:p>
        </w:tc>
      </w:tr>
      <w:tr w14:paraId="6A8309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vMerge w:val="continue"/>
            <w:noWrap w:val="0"/>
            <w:vAlign w:val="center"/>
          </w:tcPr>
          <w:p w14:paraId="48920833">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p>
        </w:tc>
        <w:tc>
          <w:tcPr>
            <w:tcW w:w="568" w:type="pct"/>
            <w:vMerge w:val="continue"/>
            <w:noWrap w:val="0"/>
            <w:vAlign w:val="center"/>
          </w:tcPr>
          <w:p w14:paraId="13E0E7F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p>
        </w:tc>
        <w:tc>
          <w:tcPr>
            <w:tcW w:w="3908" w:type="pct"/>
            <w:gridSpan w:val="8"/>
            <w:noWrap w:val="0"/>
            <w:vAlign w:val="center"/>
          </w:tcPr>
          <w:p w14:paraId="40EE735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倍频带中心频率Hz</w:t>
            </w:r>
          </w:p>
        </w:tc>
      </w:tr>
      <w:tr w14:paraId="765C6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vMerge w:val="continue"/>
            <w:noWrap w:val="0"/>
            <w:vAlign w:val="center"/>
          </w:tcPr>
          <w:p w14:paraId="7FC666C0">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p>
        </w:tc>
        <w:tc>
          <w:tcPr>
            <w:tcW w:w="568" w:type="pct"/>
            <w:vMerge w:val="continue"/>
            <w:noWrap w:val="0"/>
            <w:vAlign w:val="center"/>
          </w:tcPr>
          <w:p w14:paraId="70DBAB4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p>
        </w:tc>
        <w:tc>
          <w:tcPr>
            <w:tcW w:w="474" w:type="pct"/>
            <w:noWrap w:val="0"/>
            <w:vAlign w:val="center"/>
          </w:tcPr>
          <w:p w14:paraId="22DDC9A2">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63</w:t>
            </w:r>
          </w:p>
        </w:tc>
        <w:tc>
          <w:tcPr>
            <w:tcW w:w="480" w:type="pct"/>
            <w:noWrap w:val="0"/>
            <w:vAlign w:val="center"/>
          </w:tcPr>
          <w:p w14:paraId="163B22A8">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125</w:t>
            </w:r>
          </w:p>
        </w:tc>
        <w:tc>
          <w:tcPr>
            <w:tcW w:w="480" w:type="pct"/>
            <w:noWrap w:val="0"/>
            <w:vAlign w:val="center"/>
          </w:tcPr>
          <w:p w14:paraId="0B94F943">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250</w:t>
            </w:r>
          </w:p>
        </w:tc>
        <w:tc>
          <w:tcPr>
            <w:tcW w:w="480" w:type="pct"/>
            <w:noWrap w:val="0"/>
            <w:vAlign w:val="center"/>
          </w:tcPr>
          <w:p w14:paraId="6EC90E9D">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500</w:t>
            </w:r>
          </w:p>
        </w:tc>
        <w:tc>
          <w:tcPr>
            <w:tcW w:w="495" w:type="pct"/>
            <w:noWrap w:val="0"/>
            <w:vAlign w:val="center"/>
          </w:tcPr>
          <w:p w14:paraId="72D596C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1000</w:t>
            </w:r>
          </w:p>
        </w:tc>
        <w:tc>
          <w:tcPr>
            <w:tcW w:w="495" w:type="pct"/>
            <w:noWrap w:val="0"/>
            <w:vAlign w:val="center"/>
          </w:tcPr>
          <w:p w14:paraId="1B82DD9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2000</w:t>
            </w:r>
          </w:p>
        </w:tc>
        <w:tc>
          <w:tcPr>
            <w:tcW w:w="495" w:type="pct"/>
            <w:noWrap w:val="0"/>
            <w:vAlign w:val="center"/>
          </w:tcPr>
          <w:p w14:paraId="59FE562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4000</w:t>
            </w:r>
          </w:p>
        </w:tc>
        <w:tc>
          <w:tcPr>
            <w:tcW w:w="505" w:type="pct"/>
            <w:noWrap w:val="0"/>
            <w:vAlign w:val="center"/>
          </w:tcPr>
          <w:p w14:paraId="6C9A0CF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8000</w:t>
            </w:r>
          </w:p>
        </w:tc>
      </w:tr>
      <w:tr w14:paraId="7E60D0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60BB210E">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10</w:t>
            </w:r>
          </w:p>
        </w:tc>
        <w:tc>
          <w:tcPr>
            <w:tcW w:w="568" w:type="pct"/>
            <w:noWrap w:val="0"/>
            <w:vAlign w:val="center"/>
          </w:tcPr>
          <w:p w14:paraId="39A32D68">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70</w:t>
            </w:r>
          </w:p>
        </w:tc>
        <w:tc>
          <w:tcPr>
            <w:tcW w:w="474" w:type="pct"/>
            <w:noWrap w:val="0"/>
            <w:vAlign w:val="center"/>
          </w:tcPr>
          <w:p w14:paraId="7109C414">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0.1</w:t>
            </w:r>
          </w:p>
        </w:tc>
        <w:tc>
          <w:tcPr>
            <w:tcW w:w="480" w:type="pct"/>
            <w:noWrap w:val="0"/>
            <w:vAlign w:val="center"/>
          </w:tcPr>
          <w:p w14:paraId="139E7BA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0.4</w:t>
            </w:r>
          </w:p>
        </w:tc>
        <w:tc>
          <w:tcPr>
            <w:tcW w:w="480" w:type="pct"/>
            <w:noWrap w:val="0"/>
            <w:vAlign w:val="center"/>
          </w:tcPr>
          <w:p w14:paraId="29FACAC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1.0</w:t>
            </w:r>
          </w:p>
        </w:tc>
        <w:tc>
          <w:tcPr>
            <w:tcW w:w="480" w:type="pct"/>
            <w:noWrap w:val="0"/>
            <w:vAlign w:val="center"/>
          </w:tcPr>
          <w:p w14:paraId="5E70533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1.9</w:t>
            </w:r>
          </w:p>
        </w:tc>
        <w:tc>
          <w:tcPr>
            <w:tcW w:w="495" w:type="pct"/>
            <w:noWrap w:val="0"/>
            <w:vAlign w:val="center"/>
          </w:tcPr>
          <w:p w14:paraId="70D44D27">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3.7</w:t>
            </w:r>
          </w:p>
        </w:tc>
        <w:tc>
          <w:tcPr>
            <w:tcW w:w="495" w:type="pct"/>
            <w:noWrap w:val="0"/>
            <w:vAlign w:val="center"/>
          </w:tcPr>
          <w:p w14:paraId="790619B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9.7</w:t>
            </w:r>
          </w:p>
        </w:tc>
        <w:tc>
          <w:tcPr>
            <w:tcW w:w="495" w:type="pct"/>
            <w:noWrap w:val="0"/>
            <w:vAlign w:val="center"/>
          </w:tcPr>
          <w:p w14:paraId="4B6B4F7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32.8</w:t>
            </w:r>
          </w:p>
        </w:tc>
        <w:tc>
          <w:tcPr>
            <w:tcW w:w="505" w:type="pct"/>
            <w:noWrap w:val="0"/>
            <w:vAlign w:val="center"/>
          </w:tcPr>
          <w:p w14:paraId="204BE08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117.0</w:t>
            </w:r>
          </w:p>
        </w:tc>
      </w:tr>
      <w:tr w14:paraId="5728F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7D1EF3AC">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20</w:t>
            </w:r>
          </w:p>
        </w:tc>
        <w:tc>
          <w:tcPr>
            <w:tcW w:w="568" w:type="pct"/>
            <w:noWrap w:val="0"/>
            <w:vAlign w:val="center"/>
          </w:tcPr>
          <w:p w14:paraId="736A63E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70</w:t>
            </w:r>
          </w:p>
        </w:tc>
        <w:tc>
          <w:tcPr>
            <w:tcW w:w="474" w:type="pct"/>
            <w:noWrap w:val="0"/>
            <w:vAlign w:val="center"/>
          </w:tcPr>
          <w:p w14:paraId="5340E61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0.1</w:t>
            </w:r>
          </w:p>
        </w:tc>
        <w:tc>
          <w:tcPr>
            <w:tcW w:w="480" w:type="pct"/>
            <w:noWrap w:val="0"/>
            <w:vAlign w:val="center"/>
          </w:tcPr>
          <w:p w14:paraId="5ABEF45D">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0.3</w:t>
            </w:r>
          </w:p>
        </w:tc>
        <w:tc>
          <w:tcPr>
            <w:tcW w:w="480" w:type="pct"/>
            <w:noWrap w:val="0"/>
            <w:vAlign w:val="center"/>
          </w:tcPr>
          <w:p w14:paraId="48EB90AC">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1.1</w:t>
            </w:r>
          </w:p>
        </w:tc>
        <w:tc>
          <w:tcPr>
            <w:tcW w:w="480" w:type="pct"/>
            <w:noWrap w:val="0"/>
            <w:vAlign w:val="center"/>
          </w:tcPr>
          <w:p w14:paraId="7EFF6C9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2.8</w:t>
            </w:r>
          </w:p>
        </w:tc>
        <w:tc>
          <w:tcPr>
            <w:tcW w:w="495" w:type="pct"/>
            <w:noWrap w:val="0"/>
            <w:vAlign w:val="center"/>
          </w:tcPr>
          <w:p w14:paraId="74E9321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5.0</w:t>
            </w:r>
          </w:p>
        </w:tc>
        <w:tc>
          <w:tcPr>
            <w:tcW w:w="495" w:type="pct"/>
            <w:noWrap w:val="0"/>
            <w:vAlign w:val="center"/>
          </w:tcPr>
          <w:p w14:paraId="6D3330F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9.0</w:t>
            </w:r>
          </w:p>
        </w:tc>
        <w:tc>
          <w:tcPr>
            <w:tcW w:w="495" w:type="pct"/>
            <w:noWrap w:val="0"/>
            <w:vAlign w:val="center"/>
          </w:tcPr>
          <w:p w14:paraId="29838EA2">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22.9</w:t>
            </w:r>
          </w:p>
        </w:tc>
        <w:tc>
          <w:tcPr>
            <w:tcW w:w="505" w:type="pct"/>
            <w:noWrap w:val="0"/>
            <w:vAlign w:val="center"/>
          </w:tcPr>
          <w:p w14:paraId="5C1F37AD">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76.6</w:t>
            </w:r>
          </w:p>
        </w:tc>
      </w:tr>
      <w:tr w14:paraId="36DB38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4D72A51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30</w:t>
            </w:r>
          </w:p>
        </w:tc>
        <w:tc>
          <w:tcPr>
            <w:tcW w:w="568" w:type="pct"/>
            <w:noWrap w:val="0"/>
            <w:vAlign w:val="center"/>
          </w:tcPr>
          <w:p w14:paraId="2FBE47E4">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70</w:t>
            </w:r>
          </w:p>
        </w:tc>
        <w:tc>
          <w:tcPr>
            <w:tcW w:w="474" w:type="pct"/>
            <w:noWrap w:val="0"/>
            <w:vAlign w:val="center"/>
          </w:tcPr>
          <w:p w14:paraId="7601E28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0.1</w:t>
            </w:r>
          </w:p>
        </w:tc>
        <w:tc>
          <w:tcPr>
            <w:tcW w:w="480" w:type="pct"/>
            <w:noWrap w:val="0"/>
            <w:vAlign w:val="center"/>
          </w:tcPr>
          <w:p w14:paraId="4448E2B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0.3</w:t>
            </w:r>
          </w:p>
        </w:tc>
        <w:tc>
          <w:tcPr>
            <w:tcW w:w="480" w:type="pct"/>
            <w:noWrap w:val="0"/>
            <w:vAlign w:val="center"/>
          </w:tcPr>
          <w:p w14:paraId="70205F3C">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1.0</w:t>
            </w:r>
          </w:p>
        </w:tc>
        <w:tc>
          <w:tcPr>
            <w:tcW w:w="480" w:type="pct"/>
            <w:noWrap w:val="0"/>
            <w:vAlign w:val="center"/>
          </w:tcPr>
          <w:p w14:paraId="0EFE4DA2">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3.1</w:t>
            </w:r>
          </w:p>
        </w:tc>
        <w:tc>
          <w:tcPr>
            <w:tcW w:w="495" w:type="pct"/>
            <w:noWrap w:val="0"/>
            <w:vAlign w:val="center"/>
          </w:tcPr>
          <w:p w14:paraId="2E5A705D">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7.4</w:t>
            </w:r>
          </w:p>
        </w:tc>
        <w:tc>
          <w:tcPr>
            <w:tcW w:w="495" w:type="pct"/>
            <w:noWrap w:val="0"/>
            <w:vAlign w:val="center"/>
          </w:tcPr>
          <w:p w14:paraId="6A35A163">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12.7</w:t>
            </w:r>
          </w:p>
        </w:tc>
        <w:tc>
          <w:tcPr>
            <w:tcW w:w="495" w:type="pct"/>
            <w:noWrap w:val="0"/>
            <w:vAlign w:val="center"/>
          </w:tcPr>
          <w:p w14:paraId="0F49764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23.1</w:t>
            </w:r>
          </w:p>
        </w:tc>
        <w:tc>
          <w:tcPr>
            <w:tcW w:w="505" w:type="pct"/>
            <w:noWrap w:val="0"/>
            <w:vAlign w:val="center"/>
          </w:tcPr>
          <w:p w14:paraId="03F2289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59.3</w:t>
            </w:r>
          </w:p>
        </w:tc>
      </w:tr>
      <w:tr w14:paraId="22030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34BEF92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15</w:t>
            </w:r>
          </w:p>
        </w:tc>
        <w:tc>
          <w:tcPr>
            <w:tcW w:w="568" w:type="pct"/>
            <w:noWrap w:val="0"/>
            <w:vAlign w:val="center"/>
          </w:tcPr>
          <w:p w14:paraId="79844B8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20</w:t>
            </w:r>
          </w:p>
        </w:tc>
        <w:tc>
          <w:tcPr>
            <w:tcW w:w="474" w:type="pct"/>
            <w:noWrap w:val="0"/>
            <w:vAlign w:val="center"/>
          </w:tcPr>
          <w:p w14:paraId="2D9E0792">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0.3</w:t>
            </w:r>
          </w:p>
        </w:tc>
        <w:tc>
          <w:tcPr>
            <w:tcW w:w="480" w:type="pct"/>
            <w:noWrap w:val="0"/>
            <w:vAlign w:val="center"/>
          </w:tcPr>
          <w:p w14:paraId="79A375E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0.6</w:t>
            </w:r>
          </w:p>
        </w:tc>
        <w:tc>
          <w:tcPr>
            <w:tcW w:w="480" w:type="pct"/>
            <w:noWrap w:val="0"/>
            <w:vAlign w:val="center"/>
          </w:tcPr>
          <w:p w14:paraId="0FA36E58">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1.2</w:t>
            </w:r>
          </w:p>
        </w:tc>
        <w:tc>
          <w:tcPr>
            <w:tcW w:w="480" w:type="pct"/>
            <w:noWrap w:val="0"/>
            <w:vAlign w:val="center"/>
          </w:tcPr>
          <w:p w14:paraId="76E7D6F8">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2.7</w:t>
            </w:r>
          </w:p>
        </w:tc>
        <w:tc>
          <w:tcPr>
            <w:tcW w:w="495" w:type="pct"/>
            <w:noWrap w:val="0"/>
            <w:vAlign w:val="center"/>
          </w:tcPr>
          <w:p w14:paraId="4881062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8.2</w:t>
            </w:r>
          </w:p>
        </w:tc>
        <w:tc>
          <w:tcPr>
            <w:tcW w:w="495" w:type="pct"/>
            <w:noWrap w:val="0"/>
            <w:vAlign w:val="center"/>
          </w:tcPr>
          <w:p w14:paraId="6B139090">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28.2</w:t>
            </w:r>
          </w:p>
        </w:tc>
        <w:tc>
          <w:tcPr>
            <w:tcW w:w="495" w:type="pct"/>
            <w:noWrap w:val="0"/>
            <w:vAlign w:val="center"/>
          </w:tcPr>
          <w:p w14:paraId="10ED44F8">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28.8</w:t>
            </w:r>
          </w:p>
        </w:tc>
        <w:tc>
          <w:tcPr>
            <w:tcW w:w="505" w:type="pct"/>
            <w:noWrap w:val="0"/>
            <w:vAlign w:val="center"/>
          </w:tcPr>
          <w:p w14:paraId="74689727">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202.0</w:t>
            </w:r>
          </w:p>
        </w:tc>
      </w:tr>
      <w:tr w14:paraId="3EA58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35D25ED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15</w:t>
            </w:r>
          </w:p>
        </w:tc>
        <w:tc>
          <w:tcPr>
            <w:tcW w:w="568" w:type="pct"/>
            <w:noWrap w:val="0"/>
            <w:vAlign w:val="center"/>
          </w:tcPr>
          <w:p w14:paraId="65A92E5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50</w:t>
            </w:r>
          </w:p>
        </w:tc>
        <w:tc>
          <w:tcPr>
            <w:tcW w:w="474" w:type="pct"/>
            <w:noWrap w:val="0"/>
            <w:vAlign w:val="center"/>
          </w:tcPr>
          <w:p w14:paraId="442E05A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0.1</w:t>
            </w:r>
          </w:p>
        </w:tc>
        <w:tc>
          <w:tcPr>
            <w:tcW w:w="480" w:type="pct"/>
            <w:noWrap w:val="0"/>
            <w:vAlign w:val="center"/>
          </w:tcPr>
          <w:p w14:paraId="5C3857E3">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0.5</w:t>
            </w:r>
          </w:p>
        </w:tc>
        <w:tc>
          <w:tcPr>
            <w:tcW w:w="480" w:type="pct"/>
            <w:noWrap w:val="0"/>
            <w:vAlign w:val="center"/>
          </w:tcPr>
          <w:p w14:paraId="0CF7C6F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1.2</w:t>
            </w:r>
          </w:p>
        </w:tc>
        <w:tc>
          <w:tcPr>
            <w:tcW w:w="480" w:type="pct"/>
            <w:noWrap w:val="0"/>
            <w:vAlign w:val="center"/>
          </w:tcPr>
          <w:p w14:paraId="47A0E3FE">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2.2</w:t>
            </w:r>
          </w:p>
        </w:tc>
        <w:tc>
          <w:tcPr>
            <w:tcW w:w="495" w:type="pct"/>
            <w:noWrap w:val="0"/>
            <w:vAlign w:val="center"/>
          </w:tcPr>
          <w:p w14:paraId="7DD4A79E">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4.2</w:t>
            </w:r>
          </w:p>
        </w:tc>
        <w:tc>
          <w:tcPr>
            <w:tcW w:w="495" w:type="pct"/>
            <w:noWrap w:val="0"/>
            <w:vAlign w:val="center"/>
          </w:tcPr>
          <w:p w14:paraId="3050340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10.8</w:t>
            </w:r>
          </w:p>
        </w:tc>
        <w:tc>
          <w:tcPr>
            <w:tcW w:w="495" w:type="pct"/>
            <w:noWrap w:val="0"/>
            <w:vAlign w:val="center"/>
          </w:tcPr>
          <w:p w14:paraId="0009CF47">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36.2</w:t>
            </w:r>
          </w:p>
        </w:tc>
        <w:tc>
          <w:tcPr>
            <w:tcW w:w="505" w:type="pct"/>
            <w:noWrap w:val="0"/>
            <w:vAlign w:val="center"/>
          </w:tcPr>
          <w:p w14:paraId="519568A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129.0</w:t>
            </w:r>
          </w:p>
        </w:tc>
      </w:tr>
      <w:tr w14:paraId="5A91A5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3" w:type="pct"/>
            <w:noWrap w:val="0"/>
            <w:vAlign w:val="center"/>
          </w:tcPr>
          <w:p w14:paraId="4AA0AF6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15</w:t>
            </w:r>
          </w:p>
        </w:tc>
        <w:tc>
          <w:tcPr>
            <w:tcW w:w="568" w:type="pct"/>
            <w:noWrap w:val="0"/>
            <w:vAlign w:val="center"/>
          </w:tcPr>
          <w:p w14:paraId="11670DF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80</w:t>
            </w:r>
          </w:p>
        </w:tc>
        <w:tc>
          <w:tcPr>
            <w:tcW w:w="474" w:type="pct"/>
            <w:noWrap w:val="0"/>
            <w:vAlign w:val="center"/>
          </w:tcPr>
          <w:p w14:paraId="43C64B01">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0.1</w:t>
            </w:r>
          </w:p>
        </w:tc>
        <w:tc>
          <w:tcPr>
            <w:tcW w:w="480" w:type="pct"/>
            <w:noWrap w:val="0"/>
            <w:vAlign w:val="center"/>
          </w:tcPr>
          <w:p w14:paraId="563BA86C">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0.3</w:t>
            </w:r>
          </w:p>
        </w:tc>
        <w:tc>
          <w:tcPr>
            <w:tcW w:w="480" w:type="pct"/>
            <w:noWrap w:val="0"/>
            <w:vAlign w:val="center"/>
          </w:tcPr>
          <w:p w14:paraId="6436310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1.1</w:t>
            </w:r>
          </w:p>
        </w:tc>
        <w:tc>
          <w:tcPr>
            <w:tcW w:w="480" w:type="pct"/>
            <w:noWrap w:val="0"/>
            <w:vAlign w:val="center"/>
          </w:tcPr>
          <w:p w14:paraId="505DBB6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2.4</w:t>
            </w:r>
          </w:p>
        </w:tc>
        <w:tc>
          <w:tcPr>
            <w:tcW w:w="495" w:type="pct"/>
            <w:noWrap w:val="0"/>
            <w:vAlign w:val="center"/>
          </w:tcPr>
          <w:p w14:paraId="4CBC26CB">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4.1</w:t>
            </w:r>
          </w:p>
        </w:tc>
        <w:tc>
          <w:tcPr>
            <w:tcW w:w="495" w:type="pct"/>
            <w:noWrap w:val="0"/>
            <w:vAlign w:val="center"/>
          </w:tcPr>
          <w:p w14:paraId="3CCCD8CD">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8.3</w:t>
            </w:r>
          </w:p>
        </w:tc>
        <w:tc>
          <w:tcPr>
            <w:tcW w:w="495" w:type="pct"/>
            <w:noWrap w:val="0"/>
            <w:vAlign w:val="center"/>
          </w:tcPr>
          <w:p w14:paraId="066D0446">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23.7</w:t>
            </w:r>
          </w:p>
        </w:tc>
        <w:tc>
          <w:tcPr>
            <w:tcW w:w="505" w:type="pct"/>
            <w:noWrap w:val="0"/>
            <w:vAlign w:val="center"/>
          </w:tcPr>
          <w:p w14:paraId="27B52A99">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82.8</w:t>
            </w:r>
          </w:p>
        </w:tc>
      </w:tr>
    </w:tbl>
    <w:p w14:paraId="62CA4474">
      <w:pPr>
        <w:pStyle w:val="1192"/>
        <w:spacing w:before="120" w:beforeLines="50"/>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⑤屏障引起的衰减（</w:t>
      </w:r>
      <w:r>
        <w:rPr>
          <w:rFonts w:hint="default" w:ascii="Times New Roman" w:hAnsi="Times New Roman" w:eastAsia="宋体" w:cs="Times New Roman"/>
          <w:i/>
          <w:iCs/>
          <w:color w:val="auto"/>
          <w:sz w:val="24"/>
          <w:szCs w:val="24"/>
          <w:highlight w:val="none"/>
        </w:rPr>
        <w:t>Abar</w:t>
      </w:r>
      <w:r>
        <w:rPr>
          <w:rFonts w:hint="default" w:ascii="Times New Roman" w:hAnsi="Times New Roman" w:eastAsia="宋体" w:cs="Times New Roman"/>
          <w:color w:val="auto"/>
          <w:sz w:val="24"/>
          <w:szCs w:val="24"/>
          <w:highlight w:val="none"/>
        </w:rPr>
        <w:t>）</w:t>
      </w:r>
    </w:p>
    <w:p w14:paraId="195D7C0A">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位于声源和预测点之间的实体障碍物，如围墙、建筑物、土坡或地堑等起声屏障作用，从而引起声能量的较大衰减。在环境影响评价中，可将各种形式的屏障简化为具有一定高度的薄屏障。</w:t>
      </w:r>
    </w:p>
    <w:p w14:paraId="75997D9D">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如图</w:t>
      </w:r>
      <w:r>
        <w:rPr>
          <w:rFonts w:hint="eastAsia" w:ascii="Times New Roman" w:hAnsi="Times New Roman" w:eastAsia="宋体" w:cs="Times New Roman"/>
          <w:color w:val="auto"/>
          <w:sz w:val="24"/>
          <w:szCs w:val="24"/>
          <w:highlight w:val="none"/>
          <w:lang w:val="en-US" w:eastAsia="zh-CN"/>
        </w:rPr>
        <w:t>5.4</w:t>
      </w:r>
      <w:r>
        <w:rPr>
          <w:rFonts w:hint="default" w:ascii="Times New Roman" w:hAnsi="Times New Roman" w:eastAsia="宋体" w:cs="Times New Roman"/>
          <w:color w:val="auto"/>
          <w:sz w:val="24"/>
          <w:szCs w:val="24"/>
          <w:highlight w:val="none"/>
        </w:rPr>
        <w:t>-3所示，</w:t>
      </w:r>
      <w:r>
        <w:rPr>
          <w:rFonts w:hint="default" w:ascii="Times New Roman" w:hAnsi="Times New Roman" w:eastAsia="宋体" w:cs="Times New Roman"/>
          <w:i/>
          <w:iCs/>
          <w:color w:val="auto"/>
          <w:sz w:val="24"/>
          <w:szCs w:val="24"/>
          <w:highlight w:val="none"/>
        </w:rPr>
        <w:t>S</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O</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 xml:space="preserve">P </w:t>
      </w:r>
      <w:r>
        <w:rPr>
          <w:rFonts w:hint="default" w:ascii="Times New Roman" w:hAnsi="Times New Roman" w:eastAsia="宋体" w:cs="Times New Roman"/>
          <w:color w:val="auto"/>
          <w:sz w:val="24"/>
          <w:szCs w:val="24"/>
          <w:highlight w:val="none"/>
        </w:rPr>
        <w:t>三点在同一平面内且垂直于地面。</w:t>
      </w:r>
    </w:p>
    <w:p w14:paraId="4A1B3F08">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定义</w:t>
      </w:r>
      <w:r>
        <w:rPr>
          <w:rFonts w:hint="default" w:ascii="Times New Roman" w:hAnsi="Times New Roman" w:eastAsia="宋体" w:cs="Times New Roman"/>
          <w:i/>
          <w:iCs/>
          <w:color w:val="auto"/>
          <w:sz w:val="24"/>
          <w:szCs w:val="24"/>
          <w:highlight w:val="none"/>
        </w:rPr>
        <w:t>δ</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SO</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OP</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 xml:space="preserve">SP </w:t>
      </w:r>
      <w:r>
        <w:rPr>
          <w:rFonts w:hint="default" w:ascii="Times New Roman" w:hAnsi="Times New Roman" w:eastAsia="宋体" w:cs="Times New Roman"/>
          <w:color w:val="auto"/>
          <w:sz w:val="24"/>
          <w:szCs w:val="24"/>
          <w:highlight w:val="none"/>
        </w:rPr>
        <w:t>为声程差，</w:t>
      </w:r>
      <w:r>
        <w:rPr>
          <w:rFonts w:hint="default" w:ascii="Times New Roman" w:hAnsi="Times New Roman" w:eastAsia="宋体" w:cs="Times New Roman"/>
          <w:i/>
          <w:iCs/>
          <w:color w:val="auto"/>
          <w:sz w:val="24"/>
          <w:szCs w:val="24"/>
          <w:highlight w:val="none"/>
        </w:rPr>
        <w:t>N</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i/>
          <w:iCs/>
          <w:color w:val="auto"/>
          <w:sz w:val="24"/>
          <w:szCs w:val="24"/>
          <w:highlight w:val="none"/>
        </w:rPr>
        <w:t>δ</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iCs/>
          <w:color w:val="auto"/>
          <w:sz w:val="24"/>
          <w:szCs w:val="24"/>
          <w:highlight w:val="none"/>
        </w:rPr>
        <w:t>λ</w:t>
      </w:r>
      <w:r>
        <w:rPr>
          <w:rFonts w:hint="default" w:ascii="Times New Roman" w:hAnsi="Times New Roman" w:eastAsia="宋体" w:cs="Times New Roman"/>
          <w:color w:val="auto"/>
          <w:sz w:val="24"/>
          <w:szCs w:val="24"/>
          <w:highlight w:val="none"/>
        </w:rPr>
        <w:t>为菲涅尔数，其中</w:t>
      </w:r>
      <w:r>
        <w:rPr>
          <w:rFonts w:hint="default" w:ascii="Times New Roman" w:hAnsi="Times New Roman" w:eastAsia="宋体" w:cs="Times New Roman"/>
          <w:i/>
          <w:iCs/>
          <w:color w:val="auto"/>
          <w:sz w:val="24"/>
          <w:szCs w:val="24"/>
          <w:highlight w:val="none"/>
        </w:rPr>
        <w:t>λ</w:t>
      </w:r>
      <w:r>
        <w:rPr>
          <w:rFonts w:hint="default" w:ascii="Times New Roman" w:hAnsi="Times New Roman" w:eastAsia="宋体" w:cs="Times New Roman"/>
          <w:color w:val="auto"/>
          <w:sz w:val="24"/>
          <w:szCs w:val="24"/>
          <w:highlight w:val="none"/>
        </w:rPr>
        <w:t>为声波波长。</w:t>
      </w:r>
    </w:p>
    <w:p w14:paraId="6CA66D80">
      <w:pPr>
        <w:pStyle w:val="1192"/>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在噪声预测中，声屏障插入损失的计算方法需要根据</w:t>
      </w:r>
      <w:r>
        <w:rPr>
          <w:rFonts w:hint="eastAsia" w:ascii="Times New Roman" w:hAnsi="Times New Roman" w:eastAsia="宋体" w:cs="Times New Roman"/>
          <w:color w:val="auto"/>
          <w:sz w:val="24"/>
          <w:szCs w:val="24"/>
          <w:highlight w:val="none"/>
          <w:lang w:eastAsia="zh-CN"/>
        </w:rPr>
        <w:t>实际情况作</w:t>
      </w:r>
      <w:r>
        <w:rPr>
          <w:rFonts w:hint="default" w:ascii="Times New Roman" w:hAnsi="Times New Roman" w:eastAsia="宋体" w:cs="Times New Roman"/>
          <w:color w:val="auto"/>
          <w:sz w:val="24"/>
          <w:szCs w:val="24"/>
          <w:highlight w:val="none"/>
        </w:rPr>
        <w:t>简化处理。</w:t>
      </w:r>
    </w:p>
    <w:p w14:paraId="33C97977">
      <w:pPr>
        <w:pStyle w:val="1192"/>
        <w:ind w:firstLine="480"/>
        <w:rPr>
          <w:rFonts w:hint="default" w:ascii="Times New Roman" w:hAnsi="Times New Roman" w:eastAsia="宋体" w:cs="Times New Roman"/>
          <w:color w:val="auto"/>
          <w:sz w:val="24"/>
          <w:szCs w:val="24"/>
          <w:highlight w:val="none"/>
        </w:rPr>
      </w:pPr>
    </w:p>
    <w:p w14:paraId="0E8E6066">
      <w:pPr>
        <w:pStyle w:val="1192"/>
        <w:ind w:firstLine="48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2249170" cy="1490345"/>
            <wp:effectExtent l="0" t="0" r="17780" b="14605"/>
            <wp:docPr id="319"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44"/>
                    <pic:cNvPicPr>
                      <a:picLocks noChangeAspect="1"/>
                    </pic:cNvPicPr>
                  </pic:nvPicPr>
                  <pic:blipFill>
                    <a:blip r:embed="rId88"/>
                    <a:stretch>
                      <a:fillRect/>
                    </a:stretch>
                  </pic:blipFill>
                  <pic:spPr>
                    <a:xfrm>
                      <a:off x="0" y="0"/>
                      <a:ext cx="2249170" cy="1490345"/>
                    </a:xfrm>
                    <a:prstGeom prst="rect">
                      <a:avLst/>
                    </a:prstGeom>
                    <a:noFill/>
                    <a:ln>
                      <a:noFill/>
                    </a:ln>
                  </pic:spPr>
                </pic:pic>
              </a:graphicData>
            </a:graphic>
          </wp:inline>
        </w:drawing>
      </w:r>
    </w:p>
    <w:p w14:paraId="5B7EEE83">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8720" behindDoc="0" locked="0" layoutInCell="1" allowOverlap="1">
                <wp:simplePos x="0" y="0"/>
                <wp:positionH relativeFrom="column">
                  <wp:posOffset>-3126740</wp:posOffset>
                </wp:positionH>
                <wp:positionV relativeFrom="paragraph">
                  <wp:posOffset>238760</wp:posOffset>
                </wp:positionV>
                <wp:extent cx="0" cy="635"/>
                <wp:effectExtent l="0" t="635" r="0" b="0"/>
                <wp:wrapNone/>
                <wp:docPr id="320" name="文本框 15"/>
                <wp:cNvGraphicFramePr/>
                <a:graphic xmlns:a="http://schemas.openxmlformats.org/drawingml/2006/main">
                  <a:graphicData uri="http://schemas.microsoft.com/office/word/2010/wordprocessingShape">
                    <wps:wsp>
                      <wps:cNvSpPr txBox="1"/>
                      <wps:spPr>
                        <a:xfrm rot="-4020000">
                          <a:off x="0" y="0"/>
                          <a:ext cx="0" cy="635"/>
                        </a:xfrm>
                        <a:prstGeom prst="rect">
                          <a:avLst/>
                        </a:prstGeom>
                        <a:noFill/>
                        <a:ln>
                          <a:noFill/>
                        </a:ln>
                      </wps:spPr>
                      <wps:txbx>
                        <w:txbxContent>
                          <w:p w14:paraId="17D19AB2">
                            <w:pPr>
                              <w:ind w:left="0" w:leftChars="0" w:firstLine="0" w:firstLineChars="0"/>
                              <w:rPr>
                                <w:rFonts w:hint="eastAsia" w:eastAsia="宋体"/>
                                <w:b/>
                                <w:bCs/>
                                <w:color w:val="FFFFFF"/>
                                <w:highlight w:val="none"/>
                                <w:lang w:eastAsia="zh-CN"/>
                              </w:rPr>
                            </w:pPr>
                            <w:r>
                              <w:rPr>
                                <w:rFonts w:hint="eastAsia" w:eastAsia="宋体"/>
                                <w:b/>
                                <w:bCs/>
                                <w:color w:val="FFFFFF"/>
                                <w:highlight w:val="none"/>
                                <w:lang w:eastAsia="zh-CN"/>
                              </w:rPr>
                              <w:t>洪</w:t>
                            </w:r>
                            <w:r>
                              <w:rPr>
                                <w:rFonts w:hint="eastAsia" w:eastAsia="宋体"/>
                                <w:b/>
                                <w:bCs/>
                                <w:color w:val="FFFFFF"/>
                                <w:highlight w:val="none"/>
                                <w:lang w:val="en-US" w:eastAsia="zh-CN"/>
                              </w:rPr>
                              <w:t xml:space="preserve"> </w:t>
                            </w:r>
                            <w:r>
                              <w:rPr>
                                <w:rFonts w:hint="eastAsia" w:eastAsia="宋体"/>
                                <w:b/>
                                <w:bCs/>
                                <w:color w:val="FFFFFF"/>
                                <w:highlight w:val="none"/>
                                <w:lang w:eastAsia="zh-CN"/>
                              </w:rPr>
                              <w:t>铨</w:t>
                            </w:r>
                            <w:r>
                              <w:rPr>
                                <w:rFonts w:hint="eastAsia" w:eastAsia="宋体"/>
                                <w:b/>
                                <w:bCs/>
                                <w:color w:val="FFFFFF"/>
                                <w:highlight w:val="none"/>
                                <w:lang w:val="en-US" w:eastAsia="zh-CN"/>
                              </w:rPr>
                              <w:t xml:space="preserve"> </w:t>
                            </w:r>
                            <w:r>
                              <w:rPr>
                                <w:rFonts w:hint="eastAsia" w:eastAsia="宋体"/>
                                <w:b/>
                                <w:bCs/>
                                <w:color w:val="FFFFFF"/>
                                <w:highlight w:val="none"/>
                                <w:lang w:eastAsia="zh-CN"/>
                              </w:rPr>
                              <w:t>路</w:t>
                            </w:r>
                          </w:p>
                        </w:txbxContent>
                      </wps:txbx>
                      <wps:bodyPr wrap="square" upright="0"/>
                    </wps:wsp>
                  </a:graphicData>
                </a:graphic>
              </wp:anchor>
            </w:drawing>
          </mc:Choice>
          <mc:Fallback>
            <w:pict>
              <v:shape id="文本框 15" o:spid="_x0000_s1026" o:spt="202" type="#_x0000_t202" style="position:absolute;left:0pt;margin-left:-246.2pt;margin-top:18.8pt;height:0.05pt;width:0pt;rotation:-4390912f;z-index:251678720;mso-width-relative:page;mso-height-relative:page;" filled="f" stroked="f" coordsize="21600,21600" o:gfxdata="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Hek7e2AAAAAsBAAAPAAAAAAAAAAEAIAAAACIAAABkcnMvZG93bnJldi54bWxQSwEC&#10;FAAUAAAACACHTuJAkdLZFLsBAABlAwAADgAAAAAAAAABACAAAAAnAQAAZHJzL2Uyb0RvYy54bWxQ&#10;SwUGAAAAAAYABgBZAQAAVAUAAAAA&#10;">
                <v:fill on="f" focussize="0,0"/>
                <v:stroke on="f"/>
                <v:imagedata o:title=""/>
                <o:lock v:ext="edit" aspectratio="f"/>
                <v:textbox>
                  <w:txbxContent>
                    <w:p w14:paraId="17D19AB2">
                      <w:pPr>
                        <w:ind w:left="0" w:leftChars="0" w:firstLine="0" w:firstLineChars="0"/>
                        <w:rPr>
                          <w:rFonts w:hint="eastAsia" w:eastAsia="宋体"/>
                          <w:b/>
                          <w:bCs/>
                          <w:color w:val="FFFFFF"/>
                          <w:highlight w:val="none"/>
                          <w:lang w:eastAsia="zh-CN"/>
                        </w:rPr>
                      </w:pPr>
                      <w:r>
                        <w:rPr>
                          <w:rFonts w:hint="eastAsia" w:eastAsia="宋体"/>
                          <w:b/>
                          <w:bCs/>
                          <w:color w:val="FFFFFF"/>
                          <w:highlight w:val="none"/>
                          <w:lang w:eastAsia="zh-CN"/>
                        </w:rPr>
                        <w:t>洪</w:t>
                      </w:r>
                      <w:r>
                        <w:rPr>
                          <w:rFonts w:hint="eastAsia" w:eastAsia="宋体"/>
                          <w:b/>
                          <w:bCs/>
                          <w:color w:val="FFFFFF"/>
                          <w:highlight w:val="none"/>
                          <w:lang w:val="en-US" w:eastAsia="zh-CN"/>
                        </w:rPr>
                        <w:t xml:space="preserve"> </w:t>
                      </w:r>
                      <w:r>
                        <w:rPr>
                          <w:rFonts w:hint="eastAsia" w:eastAsia="宋体"/>
                          <w:b/>
                          <w:bCs/>
                          <w:color w:val="FFFFFF"/>
                          <w:highlight w:val="none"/>
                          <w:lang w:eastAsia="zh-CN"/>
                        </w:rPr>
                        <w:t>铨</w:t>
                      </w:r>
                      <w:r>
                        <w:rPr>
                          <w:rFonts w:hint="eastAsia" w:eastAsia="宋体"/>
                          <w:b/>
                          <w:bCs/>
                          <w:color w:val="FFFFFF"/>
                          <w:highlight w:val="none"/>
                          <w:lang w:val="en-US" w:eastAsia="zh-CN"/>
                        </w:rPr>
                        <w:t xml:space="preserve"> </w:t>
                      </w:r>
                      <w:r>
                        <w:rPr>
                          <w:rFonts w:hint="eastAsia" w:eastAsia="宋体"/>
                          <w:b/>
                          <w:bCs/>
                          <w:color w:val="FFFFFF"/>
                          <w:highlight w:val="none"/>
                          <w:lang w:eastAsia="zh-CN"/>
                        </w:rPr>
                        <w:t>路</w:t>
                      </w:r>
                    </w:p>
                  </w:txbxContent>
                </v:textbox>
              </v:shape>
            </w:pict>
          </mc:Fallback>
        </mc:AlternateContent>
      </w: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7696" behindDoc="0" locked="0" layoutInCell="1" allowOverlap="1">
                <wp:simplePos x="0" y="0"/>
                <wp:positionH relativeFrom="column">
                  <wp:posOffset>-3126740</wp:posOffset>
                </wp:positionH>
                <wp:positionV relativeFrom="paragraph">
                  <wp:posOffset>238760</wp:posOffset>
                </wp:positionV>
                <wp:extent cx="0" cy="635"/>
                <wp:effectExtent l="0" t="635" r="0" b="0"/>
                <wp:wrapNone/>
                <wp:docPr id="321" name="文本框 16"/>
                <wp:cNvGraphicFramePr/>
                <a:graphic xmlns:a="http://schemas.openxmlformats.org/drawingml/2006/main">
                  <a:graphicData uri="http://schemas.microsoft.com/office/word/2010/wordprocessingShape">
                    <wps:wsp>
                      <wps:cNvSpPr txBox="1"/>
                      <wps:spPr>
                        <a:xfrm rot="-4080000">
                          <a:off x="0" y="0"/>
                          <a:ext cx="0" cy="635"/>
                        </a:xfrm>
                        <a:prstGeom prst="rect">
                          <a:avLst/>
                        </a:prstGeom>
                        <a:noFill/>
                        <a:ln>
                          <a:noFill/>
                        </a:ln>
                      </wps:spPr>
                      <wps:txbx>
                        <w:txbxContent>
                          <w:p w14:paraId="76A51759">
                            <w:pPr>
                              <w:ind w:left="0" w:leftChars="0" w:firstLine="0" w:firstLineChars="0"/>
                              <w:rPr>
                                <w:rFonts w:hint="eastAsia" w:eastAsia="宋体"/>
                                <w:b/>
                                <w:bCs/>
                                <w:color w:val="000000"/>
                                <w:highlight w:val="yellow"/>
                                <w:lang w:eastAsia="zh-CN"/>
                              </w:rPr>
                            </w:pPr>
                            <w:r>
                              <w:rPr>
                                <w:rFonts w:hint="eastAsia" w:eastAsia="宋体"/>
                                <w:b/>
                                <w:bCs/>
                                <w:color w:val="000000"/>
                                <w:highlight w:val="yellow"/>
                                <w:lang w:eastAsia="zh-CN"/>
                              </w:rPr>
                              <w:t>佳宁化妆品有限公司</w:t>
                            </w:r>
                          </w:p>
                        </w:txbxContent>
                      </wps:txbx>
                      <wps:bodyPr wrap="square" upright="0"/>
                    </wps:wsp>
                  </a:graphicData>
                </a:graphic>
              </wp:anchor>
            </w:drawing>
          </mc:Choice>
          <mc:Fallback>
            <w:pict>
              <v:shape id="文本框 16" o:spid="_x0000_s1026" o:spt="202" type="#_x0000_t202" style="position:absolute;left:0pt;margin-left:-246.2pt;margin-top:18.8pt;height:0.05pt;width:0pt;rotation:-4456448f;z-index:251677696;mso-width-relative:page;mso-height-relative:page;" filled="f" stroked="f" coordsize="21600,21600" o:gfxdata="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BpWiHXAAAACwEAAA8AAAAAAAAAAQAgAAAAIgAAAGRycy9kb3ducmV2LnhtbFBLAQIU&#10;ABQAAAAIAIdO4kBO/q5IuwEAAGUDAAAOAAAAAAAAAAEAIAAAACYBAABkcnMvZTJvRG9jLnhtbFBL&#10;BQYAAAAABgAGAFkBAABTBQAAAAA=&#10;">
                <v:fill on="f" focussize="0,0"/>
                <v:stroke on="f"/>
                <v:imagedata o:title=""/>
                <o:lock v:ext="edit" aspectratio="f"/>
                <v:textbox>
                  <w:txbxContent>
                    <w:p w14:paraId="76A51759">
                      <w:pPr>
                        <w:ind w:left="0" w:leftChars="0" w:firstLine="0" w:firstLineChars="0"/>
                        <w:rPr>
                          <w:rFonts w:hint="eastAsia" w:eastAsia="宋体"/>
                          <w:b/>
                          <w:bCs/>
                          <w:color w:val="000000"/>
                          <w:highlight w:val="yellow"/>
                          <w:lang w:eastAsia="zh-CN"/>
                        </w:rPr>
                      </w:pPr>
                      <w:r>
                        <w:rPr>
                          <w:rFonts w:hint="eastAsia" w:eastAsia="宋体"/>
                          <w:b/>
                          <w:bCs/>
                          <w:color w:val="000000"/>
                          <w:highlight w:val="yellow"/>
                          <w:lang w:eastAsia="zh-CN"/>
                        </w:rPr>
                        <w:t>佳宁化妆品有限公司</w:t>
                      </w:r>
                    </w:p>
                  </w:txbxContent>
                </v:textbox>
              </v:shape>
            </w:pict>
          </mc:Fallback>
        </mc:AlternateContent>
      </w: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6672" behindDoc="0" locked="0" layoutInCell="1" allowOverlap="1">
                <wp:simplePos x="0" y="0"/>
                <wp:positionH relativeFrom="column">
                  <wp:posOffset>-3126740</wp:posOffset>
                </wp:positionH>
                <wp:positionV relativeFrom="paragraph">
                  <wp:posOffset>239395</wp:posOffset>
                </wp:positionV>
                <wp:extent cx="635" cy="0"/>
                <wp:effectExtent l="0" t="0" r="0" b="0"/>
                <wp:wrapNone/>
                <wp:docPr id="322" name="文本框 1972"/>
                <wp:cNvGraphicFramePr/>
                <a:graphic xmlns:a="http://schemas.openxmlformats.org/drawingml/2006/main">
                  <a:graphicData uri="http://schemas.microsoft.com/office/word/2010/wordprocessingShape">
                    <wps:wsp>
                      <wps:cNvSpPr txBox="1"/>
                      <wps:spPr>
                        <a:xfrm>
                          <a:off x="0" y="0"/>
                          <a:ext cx="635" cy="0"/>
                        </a:xfrm>
                        <a:prstGeom prst="rect">
                          <a:avLst/>
                        </a:prstGeom>
                        <a:noFill/>
                        <a:ln>
                          <a:noFill/>
                        </a:ln>
                      </wps:spPr>
                      <wps:txbx>
                        <w:txbxContent>
                          <w:p w14:paraId="37D15482">
                            <w:pPr>
                              <w:ind w:left="0" w:leftChars="0" w:firstLine="0" w:firstLineChars="0"/>
                              <w:rPr>
                                <w:rFonts w:hint="eastAsia" w:eastAsia="宋体"/>
                                <w:b/>
                                <w:bCs/>
                                <w:color w:val="00FAFA"/>
                                <w:highlight w:val="none"/>
                                <w:lang w:eastAsia="zh-CN"/>
                              </w:rPr>
                            </w:pPr>
                            <w:r>
                              <w:rPr>
                                <w:rFonts w:hint="eastAsia" w:eastAsia="宋体"/>
                                <w:b/>
                                <w:bCs/>
                                <w:color w:val="00FAFA"/>
                                <w:highlight w:val="none"/>
                                <w:lang w:eastAsia="zh-CN"/>
                              </w:rPr>
                              <w:t>大</w:t>
                            </w:r>
                          </w:p>
                        </w:txbxContent>
                      </wps:txbx>
                      <wps:bodyPr wrap="square" upright="1"/>
                    </wps:wsp>
                  </a:graphicData>
                </a:graphic>
              </wp:anchor>
            </w:drawing>
          </mc:Choice>
          <mc:Fallback>
            <w:pict>
              <v:shape id="文本框 1972" o:spid="_x0000_s1026" o:spt="202" type="#_x0000_t202" style="position:absolute;left:0pt;margin-left:-246.2pt;margin-top:18.85pt;height:0pt;width:0.05pt;z-index:251676672;mso-width-relative:page;mso-height-relative:page;" filled="f" stroked="f" coordsize="21600,21600" o:gfxdata="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n1&#10;gRfWAAAACwEAAA8AAAAAAAAAAQAgAAAAIgAAAGRycy9kb3ducmV2LnhtbFBLAQIUABQAAAAIAIdO&#10;4kCW5NwbswEAAFgDAAAOAAAAAAAAAAEAIAAAACUBAABkcnMvZTJvRG9jLnhtbFBLBQYAAAAABgAG&#10;AFkBAABKBQAAAAA=&#10;">
                <v:fill on="f" focussize="0,0"/>
                <v:stroke on="f"/>
                <v:imagedata o:title=""/>
                <o:lock v:ext="edit" aspectratio="f"/>
                <v:textbox>
                  <w:txbxContent>
                    <w:p w14:paraId="37D15482">
                      <w:pPr>
                        <w:ind w:left="0" w:leftChars="0" w:firstLine="0" w:firstLineChars="0"/>
                        <w:rPr>
                          <w:rFonts w:hint="eastAsia" w:eastAsia="宋体"/>
                          <w:b/>
                          <w:bCs/>
                          <w:color w:val="00FAFA"/>
                          <w:highlight w:val="none"/>
                          <w:lang w:eastAsia="zh-CN"/>
                        </w:rPr>
                      </w:pPr>
                      <w:r>
                        <w:rPr>
                          <w:rFonts w:hint="eastAsia" w:eastAsia="宋体"/>
                          <w:b/>
                          <w:bCs/>
                          <w:color w:val="00FAFA"/>
                          <w:highlight w:val="none"/>
                          <w:lang w:eastAsia="zh-CN"/>
                        </w:rPr>
                        <w:t>大</w:t>
                      </w:r>
                    </w:p>
                  </w:txbxContent>
                </v:textbox>
              </v:shape>
            </w:pict>
          </mc:Fallback>
        </mc:AlternateContent>
      </w:r>
      <w:r>
        <w:rPr>
          <w:rFonts w:hint="default" w:ascii="Times New Roman" w:hAnsi="Times New Roman" w:cs="Times New Roman"/>
          <w:color w:val="auto"/>
          <w:highlight w:val="none"/>
          <w:lang w:val="en-US" w:eastAsia="zh-CN"/>
        </w:rPr>
        <mc:AlternateContent>
          <mc:Choice Requires="wps">
            <w:drawing>
              <wp:anchor distT="0" distB="0" distL="114300" distR="114300" simplePos="0" relativeHeight="251675648" behindDoc="0" locked="0" layoutInCell="1" allowOverlap="1">
                <wp:simplePos x="0" y="0"/>
                <wp:positionH relativeFrom="column">
                  <wp:posOffset>-3126740</wp:posOffset>
                </wp:positionH>
                <wp:positionV relativeFrom="paragraph">
                  <wp:posOffset>239395</wp:posOffset>
                </wp:positionV>
                <wp:extent cx="635" cy="0"/>
                <wp:effectExtent l="0" t="0" r="0" b="635"/>
                <wp:wrapNone/>
                <wp:docPr id="323" name="文本框 1964"/>
                <wp:cNvGraphicFramePr/>
                <a:graphic xmlns:a="http://schemas.openxmlformats.org/drawingml/2006/main">
                  <a:graphicData uri="http://schemas.microsoft.com/office/word/2010/wordprocessingShape">
                    <wps:wsp>
                      <wps:cNvSpPr txBox="1"/>
                      <wps:spPr>
                        <a:xfrm rot="1740000">
                          <a:off x="0" y="0"/>
                          <a:ext cx="635" cy="0"/>
                        </a:xfrm>
                        <a:prstGeom prst="rect">
                          <a:avLst/>
                        </a:prstGeom>
                        <a:noFill/>
                        <a:ln>
                          <a:noFill/>
                        </a:ln>
                      </wps:spPr>
                      <wps:txbx>
                        <w:txbxContent>
                          <w:p w14:paraId="5E59F5B5">
                            <w:pPr>
                              <w:ind w:left="0" w:leftChars="0" w:firstLine="0" w:firstLineChars="0"/>
                              <w:rPr>
                                <w:rFonts w:hint="eastAsia" w:eastAsia="宋体"/>
                                <w:b/>
                                <w:bCs/>
                                <w:color w:val="FFFFFF"/>
                                <w:highlight w:val="none"/>
                                <w:lang w:eastAsia="zh-CN"/>
                              </w:rPr>
                            </w:pPr>
                            <w:r>
                              <w:rPr>
                                <w:rFonts w:hint="eastAsia" w:eastAsia="宋体"/>
                                <w:b/>
                                <w:bCs/>
                                <w:color w:val="FFFFFF"/>
                                <w:highlight w:val="none"/>
                                <w:lang w:eastAsia="zh-CN"/>
                              </w:rPr>
                              <w:t>洪</w:t>
                            </w:r>
                            <w:r>
                              <w:rPr>
                                <w:rFonts w:hint="eastAsia" w:eastAsia="宋体"/>
                                <w:b/>
                                <w:bCs/>
                                <w:color w:val="FFFFFF"/>
                                <w:highlight w:val="none"/>
                                <w:lang w:val="en-US" w:eastAsia="zh-CN"/>
                              </w:rPr>
                              <w:t xml:space="preserve"> </w:t>
                            </w:r>
                            <w:r>
                              <w:rPr>
                                <w:rFonts w:hint="eastAsia" w:eastAsia="宋体"/>
                                <w:b/>
                                <w:bCs/>
                                <w:color w:val="FFFFFF"/>
                                <w:highlight w:val="none"/>
                                <w:lang w:eastAsia="zh-CN"/>
                              </w:rPr>
                              <w:t>宽</w:t>
                            </w:r>
                            <w:r>
                              <w:rPr>
                                <w:rFonts w:hint="eastAsia" w:eastAsia="宋体"/>
                                <w:b/>
                                <w:bCs/>
                                <w:color w:val="FFFFFF"/>
                                <w:highlight w:val="none"/>
                                <w:lang w:val="en-US" w:eastAsia="zh-CN"/>
                              </w:rPr>
                              <w:t xml:space="preserve"> </w:t>
                            </w:r>
                            <w:r>
                              <w:rPr>
                                <w:rFonts w:hint="eastAsia" w:eastAsia="宋体"/>
                                <w:b/>
                                <w:bCs/>
                                <w:color w:val="FFFFFF"/>
                                <w:highlight w:val="none"/>
                                <w:lang w:eastAsia="zh-CN"/>
                              </w:rPr>
                              <w:t>三</w:t>
                            </w:r>
                            <w:r>
                              <w:rPr>
                                <w:rFonts w:hint="eastAsia" w:eastAsia="宋体"/>
                                <w:b/>
                                <w:bCs/>
                                <w:color w:val="FFFFFF"/>
                                <w:highlight w:val="none"/>
                                <w:lang w:val="en-US" w:eastAsia="zh-CN"/>
                              </w:rPr>
                              <w:t xml:space="preserve"> </w:t>
                            </w:r>
                            <w:r>
                              <w:rPr>
                                <w:rFonts w:hint="eastAsia" w:eastAsia="宋体"/>
                                <w:b/>
                                <w:bCs/>
                                <w:color w:val="FFFFFF"/>
                                <w:highlight w:val="none"/>
                                <w:lang w:eastAsia="zh-CN"/>
                              </w:rPr>
                              <w:t>路</w:t>
                            </w:r>
                          </w:p>
                        </w:txbxContent>
                      </wps:txbx>
                      <wps:bodyPr wrap="square" upright="0"/>
                    </wps:wsp>
                  </a:graphicData>
                </a:graphic>
              </wp:anchor>
            </w:drawing>
          </mc:Choice>
          <mc:Fallback>
            <w:pict>
              <v:shape id="文本框 1964" o:spid="_x0000_s1026" o:spt="202" type="#_x0000_t202" style="position:absolute;left:0pt;margin-left:-246.2pt;margin-top:18.85pt;height:0pt;width:0.05pt;rotation:1900544f;z-index:251675648;mso-width-relative:page;mso-height-relative:page;" filled="f" stroked="f" coordsize="21600,21600" o:gfxdata="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igqktoAAAALAQAADwAAAAAAAAABACAAAAAiAAAAZHJzL2Rvd25yZXYueG1s&#10;UEsBAhQAFAAAAAgAh07iQAu5Jgq9AQAAZgMAAA4AAAAAAAAAAQAgAAAAKQEAAGRycy9lMm9Eb2Mu&#10;eG1sUEsFBgAAAAAGAAYAWQEAAFgFAAAAAA==&#10;">
                <v:fill on="f" focussize="0,0"/>
                <v:stroke on="f"/>
                <v:imagedata o:title=""/>
                <o:lock v:ext="edit" aspectratio="f"/>
                <v:textbox>
                  <w:txbxContent>
                    <w:p w14:paraId="5E59F5B5">
                      <w:pPr>
                        <w:ind w:left="0" w:leftChars="0" w:firstLine="0" w:firstLineChars="0"/>
                        <w:rPr>
                          <w:rFonts w:hint="eastAsia" w:eastAsia="宋体"/>
                          <w:b/>
                          <w:bCs/>
                          <w:color w:val="FFFFFF"/>
                          <w:highlight w:val="none"/>
                          <w:lang w:eastAsia="zh-CN"/>
                        </w:rPr>
                      </w:pPr>
                      <w:r>
                        <w:rPr>
                          <w:rFonts w:hint="eastAsia" w:eastAsia="宋体"/>
                          <w:b/>
                          <w:bCs/>
                          <w:color w:val="FFFFFF"/>
                          <w:highlight w:val="none"/>
                          <w:lang w:eastAsia="zh-CN"/>
                        </w:rPr>
                        <w:t>洪</w:t>
                      </w:r>
                      <w:r>
                        <w:rPr>
                          <w:rFonts w:hint="eastAsia" w:eastAsia="宋体"/>
                          <w:b/>
                          <w:bCs/>
                          <w:color w:val="FFFFFF"/>
                          <w:highlight w:val="none"/>
                          <w:lang w:val="en-US" w:eastAsia="zh-CN"/>
                        </w:rPr>
                        <w:t xml:space="preserve"> </w:t>
                      </w:r>
                      <w:r>
                        <w:rPr>
                          <w:rFonts w:hint="eastAsia" w:eastAsia="宋体"/>
                          <w:b/>
                          <w:bCs/>
                          <w:color w:val="FFFFFF"/>
                          <w:highlight w:val="none"/>
                          <w:lang w:eastAsia="zh-CN"/>
                        </w:rPr>
                        <w:t>宽</w:t>
                      </w:r>
                      <w:r>
                        <w:rPr>
                          <w:rFonts w:hint="eastAsia" w:eastAsia="宋体"/>
                          <w:b/>
                          <w:bCs/>
                          <w:color w:val="FFFFFF"/>
                          <w:highlight w:val="none"/>
                          <w:lang w:val="en-US" w:eastAsia="zh-CN"/>
                        </w:rPr>
                        <w:t xml:space="preserve"> </w:t>
                      </w:r>
                      <w:r>
                        <w:rPr>
                          <w:rFonts w:hint="eastAsia" w:eastAsia="宋体"/>
                          <w:b/>
                          <w:bCs/>
                          <w:color w:val="FFFFFF"/>
                          <w:highlight w:val="none"/>
                          <w:lang w:eastAsia="zh-CN"/>
                        </w:rPr>
                        <w:t>三</w:t>
                      </w:r>
                      <w:r>
                        <w:rPr>
                          <w:rFonts w:hint="eastAsia" w:eastAsia="宋体"/>
                          <w:b/>
                          <w:bCs/>
                          <w:color w:val="FFFFFF"/>
                          <w:highlight w:val="none"/>
                          <w:lang w:val="en-US" w:eastAsia="zh-CN"/>
                        </w:rPr>
                        <w:t xml:space="preserve"> </w:t>
                      </w:r>
                      <w:r>
                        <w:rPr>
                          <w:rFonts w:hint="eastAsia" w:eastAsia="宋体"/>
                          <w:b/>
                          <w:bCs/>
                          <w:color w:val="FFFFFF"/>
                          <w:highlight w:val="none"/>
                          <w:lang w:eastAsia="zh-CN"/>
                        </w:rPr>
                        <w:t>路</w:t>
                      </w:r>
                    </w:p>
                  </w:txbxContent>
                </v:textbox>
              </v:shape>
            </w:pict>
          </mc:Fallback>
        </mc:AlternateContent>
      </w:r>
      <w:r>
        <w:rPr>
          <w:rFonts w:hint="default" w:ascii="Times New Roman" w:hAnsi="Times New Roman" w:cs="Times New Roman"/>
          <w:color w:val="auto"/>
          <w:highlight w:val="none"/>
          <w:lang w:val="en-US" w:eastAsia="zh-CN"/>
        </w:rPr>
        <w:t>图5.4-3  无限长声屏障示意图</w:t>
      </w:r>
    </w:p>
    <w:p w14:paraId="4D02F9E5">
      <w:pPr>
        <w:pStyle w:val="1336"/>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◆参数的选择：参数选取项目所在区域的年平均温度为25℃，湿度为70%。计算过程考虑了建筑物的屏障作用和室内源向室外的传播。</w:t>
      </w:r>
    </w:p>
    <w:p w14:paraId="7680E84F">
      <w:pPr>
        <w:pStyle w:val="4"/>
        <w:numPr>
          <w:ilvl w:val="2"/>
          <w:numId w:val="0"/>
        </w:numPr>
        <w:tabs>
          <w:tab w:val="clear" w:pos="720"/>
        </w:tabs>
        <w:bidi w:val="0"/>
        <w:rPr>
          <w:color w:val="auto"/>
          <w:highlight w:val="none"/>
        </w:rPr>
      </w:pPr>
      <w:bookmarkStart w:id="517" w:name="_Toc9002"/>
      <w:r>
        <w:rPr>
          <w:color w:val="auto"/>
          <w:highlight w:val="none"/>
        </w:rPr>
        <w:t>5.4.</w:t>
      </w:r>
      <w:bookmarkEnd w:id="514"/>
      <w:bookmarkEnd w:id="515"/>
      <w:bookmarkEnd w:id="516"/>
      <w:r>
        <w:rPr>
          <w:color w:val="auto"/>
          <w:highlight w:val="none"/>
        </w:rPr>
        <w:t>4</w:t>
      </w:r>
      <w:r>
        <w:rPr>
          <w:rFonts w:hint="eastAsia"/>
          <w:color w:val="auto"/>
          <w:highlight w:val="none"/>
          <w:lang w:val="en-US" w:eastAsia="zh-CN"/>
        </w:rPr>
        <w:t xml:space="preserve"> </w:t>
      </w:r>
      <w:r>
        <w:rPr>
          <w:color w:val="auto"/>
          <w:highlight w:val="none"/>
        </w:rPr>
        <w:t>预测结果及评价</w:t>
      </w:r>
      <w:bookmarkEnd w:id="517"/>
    </w:p>
    <w:p w14:paraId="68D4063B">
      <w:pPr>
        <w:pStyle w:val="1336"/>
        <w:ind w:firstLine="480"/>
        <w:rPr>
          <w:color w:val="auto"/>
          <w:highlight w:val="none"/>
        </w:rPr>
      </w:pPr>
      <w:bookmarkStart w:id="518" w:name="_Toc500940493"/>
      <w:bookmarkStart w:id="519" w:name="_Toc529434238"/>
      <w:bookmarkStart w:id="520" w:name="_Toc523646253"/>
      <w:r>
        <w:rPr>
          <w:color w:val="auto"/>
          <w:highlight w:val="none"/>
        </w:rPr>
        <w:t>厂界噪声预测和达标分析结果见表5.4-</w:t>
      </w:r>
      <w:r>
        <w:rPr>
          <w:rFonts w:hint="eastAsia"/>
          <w:color w:val="auto"/>
          <w:highlight w:val="none"/>
          <w:lang w:val="en-US" w:eastAsia="zh-CN"/>
        </w:rPr>
        <w:t>4</w:t>
      </w:r>
      <w:r>
        <w:rPr>
          <w:color w:val="auto"/>
          <w:highlight w:val="none"/>
        </w:rPr>
        <w:t>。</w:t>
      </w:r>
    </w:p>
    <w:p w14:paraId="37CAF973">
      <w:pPr>
        <w:pStyle w:val="8"/>
        <w:bidi w:val="0"/>
        <w:rPr>
          <w:rFonts w:hint="default" w:ascii="Times New Roman" w:hAnsi="Times New Roman" w:cs="Times New Roman"/>
          <w:color w:val="auto"/>
          <w:highlight w:val="none"/>
          <w:lang w:val="en-US" w:eastAsia="zh-CN"/>
        </w:rPr>
      </w:pPr>
      <w:bookmarkStart w:id="521" w:name="_Toc352680371"/>
      <w:r>
        <w:rPr>
          <w:rFonts w:hint="default" w:ascii="Times New Roman" w:hAnsi="Times New Roman" w:cs="Times New Roman"/>
          <w:color w:val="auto"/>
          <w:highlight w:val="none"/>
        </w:rPr>
        <w:t>表5.4-</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项目厂界目标噪声预测结果</w:t>
      </w:r>
      <w:bookmarkEnd w:id="521"/>
      <w:r>
        <w:rPr>
          <w:rFonts w:hint="default" w:ascii="Times New Roman" w:hAnsi="Times New Roman" w:cs="Times New Roman"/>
          <w:color w:val="auto"/>
          <w:highlight w:val="none"/>
        </w:rPr>
        <w:t>一览表</w:t>
      </w:r>
      <w:r>
        <w:rPr>
          <w:rFonts w:hint="default" w:ascii="Times New Roman" w:hAnsi="Times New Roman" w:cs="Times New Roman"/>
          <w:color w:val="auto"/>
          <w:highlight w:val="none"/>
          <w:lang w:val="en-US" w:eastAsia="zh-CN"/>
        </w:rPr>
        <w:t xml:space="preserve">    单位：</w:t>
      </w:r>
      <w:r>
        <w:rPr>
          <w:rFonts w:hint="default" w:ascii="Times New Roman" w:hAnsi="Times New Roman" w:cs="Times New Roman"/>
          <w:color w:val="auto"/>
          <w:highlight w:val="none"/>
        </w:rPr>
        <w:t>dB（A）</w:t>
      </w:r>
    </w:p>
    <w:bookmarkEnd w:id="518"/>
    <w:bookmarkEnd w:id="519"/>
    <w:bookmarkEnd w:id="520"/>
    <w:tbl>
      <w:tblPr>
        <w:tblStyle w:val="80"/>
        <w:tblW w:w="4564"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2346"/>
        <w:gridCol w:w="1550"/>
        <w:gridCol w:w="1271"/>
        <w:gridCol w:w="1457"/>
        <w:gridCol w:w="1594"/>
      </w:tblGrid>
      <w:tr w14:paraId="076BDD2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8" w:hRule="atLeast"/>
          <w:jc w:val="center"/>
        </w:trPr>
        <w:tc>
          <w:tcPr>
            <w:tcW w:w="1427" w:type="pct"/>
            <w:vMerge w:val="restart"/>
            <w:tcBorders>
              <w:tl2br w:val="nil"/>
              <w:tr2bl w:val="nil"/>
            </w:tcBorders>
            <w:noWrap w:val="0"/>
            <w:vAlign w:val="center"/>
          </w:tcPr>
          <w:p w14:paraId="31652404">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预测地点</w:t>
            </w:r>
          </w:p>
        </w:tc>
        <w:tc>
          <w:tcPr>
            <w:tcW w:w="943" w:type="pct"/>
            <w:vMerge w:val="restart"/>
            <w:tcBorders>
              <w:tl2br w:val="nil"/>
              <w:tr2bl w:val="nil"/>
            </w:tcBorders>
            <w:noWrap w:val="0"/>
            <w:vAlign w:val="center"/>
          </w:tcPr>
          <w:p w14:paraId="2825496A">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贡献值</w:t>
            </w:r>
          </w:p>
        </w:tc>
        <w:tc>
          <w:tcPr>
            <w:tcW w:w="1659" w:type="pct"/>
            <w:gridSpan w:val="2"/>
            <w:tcBorders>
              <w:tl2br w:val="nil"/>
              <w:tr2bl w:val="nil"/>
            </w:tcBorders>
            <w:noWrap w:val="0"/>
            <w:vAlign w:val="center"/>
          </w:tcPr>
          <w:p w14:paraId="381364F1">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标准值</w:t>
            </w:r>
          </w:p>
        </w:tc>
        <w:tc>
          <w:tcPr>
            <w:tcW w:w="969" w:type="pct"/>
            <w:vMerge w:val="restart"/>
            <w:tcBorders>
              <w:tl2br w:val="nil"/>
              <w:tr2bl w:val="nil"/>
            </w:tcBorders>
            <w:noWrap w:val="0"/>
            <w:vAlign w:val="center"/>
          </w:tcPr>
          <w:p w14:paraId="7467A7A3">
            <w:pPr>
              <w:pStyle w:val="1391"/>
              <w:jc w:val="center"/>
              <w:rPr>
                <w:color w:val="auto"/>
                <w:highlight w:val="none"/>
              </w:rPr>
            </w:pPr>
            <w:r>
              <w:rPr>
                <w:color w:val="auto"/>
                <w:highlight w:val="none"/>
              </w:rPr>
              <w:t>是否达标</w:t>
            </w:r>
          </w:p>
        </w:tc>
      </w:tr>
      <w:tr w14:paraId="49F202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31" w:hRule="atLeast"/>
          <w:jc w:val="center"/>
        </w:trPr>
        <w:tc>
          <w:tcPr>
            <w:tcW w:w="1427" w:type="pct"/>
            <w:vMerge w:val="continue"/>
            <w:tcBorders>
              <w:tl2br w:val="nil"/>
              <w:tr2bl w:val="nil"/>
            </w:tcBorders>
            <w:noWrap w:val="0"/>
            <w:vAlign w:val="center"/>
          </w:tcPr>
          <w:p w14:paraId="362B6057">
            <w:pPr>
              <w:pStyle w:val="1391"/>
              <w:jc w:val="center"/>
              <w:rPr>
                <w:rFonts w:ascii="Times New Roman" w:hAnsi="Times New Roman" w:eastAsia="宋体" w:cs="Times New Roman"/>
                <w:color w:val="auto"/>
                <w:highlight w:val="none"/>
              </w:rPr>
            </w:pPr>
          </w:p>
        </w:tc>
        <w:tc>
          <w:tcPr>
            <w:tcW w:w="943" w:type="pct"/>
            <w:vMerge w:val="continue"/>
            <w:tcBorders>
              <w:tl2br w:val="nil"/>
              <w:tr2bl w:val="nil"/>
            </w:tcBorders>
            <w:noWrap w:val="0"/>
            <w:vAlign w:val="center"/>
          </w:tcPr>
          <w:p w14:paraId="2C019314">
            <w:pPr>
              <w:pStyle w:val="1391"/>
              <w:jc w:val="center"/>
              <w:rPr>
                <w:rFonts w:hint="eastAsia"/>
                <w:color w:val="auto"/>
                <w:highlight w:val="none"/>
                <w:lang w:val="en-US" w:eastAsia="zh-CN"/>
              </w:rPr>
            </w:pPr>
          </w:p>
        </w:tc>
        <w:tc>
          <w:tcPr>
            <w:tcW w:w="773" w:type="pct"/>
            <w:tcBorders>
              <w:tl2br w:val="nil"/>
              <w:tr2bl w:val="nil"/>
            </w:tcBorders>
            <w:noWrap w:val="0"/>
            <w:vAlign w:val="center"/>
          </w:tcPr>
          <w:p w14:paraId="5746B7DA">
            <w:pPr>
              <w:pStyle w:val="1391"/>
              <w:ind w:firstLine="0" w:firstLineChars="0"/>
              <w:jc w:val="center"/>
              <w:rPr>
                <w:rFonts w:hint="eastAsia"/>
                <w:color w:val="auto"/>
                <w:highlight w:val="none"/>
                <w:lang w:val="en-US" w:eastAsia="zh-CN"/>
              </w:rPr>
            </w:pPr>
            <w:r>
              <w:rPr>
                <w:rFonts w:hint="default" w:ascii="Times New Roman" w:hAnsi="Times New Roman" w:eastAsia="宋体" w:cs="Times New Roman"/>
                <w:color w:val="auto"/>
                <w:highlight w:val="none"/>
                <w:lang w:eastAsia="zh-CN"/>
              </w:rPr>
              <w:t>昼间</w:t>
            </w:r>
          </w:p>
        </w:tc>
        <w:tc>
          <w:tcPr>
            <w:tcW w:w="885" w:type="pct"/>
            <w:tcBorders>
              <w:tl2br w:val="nil"/>
              <w:tr2bl w:val="nil"/>
            </w:tcBorders>
            <w:noWrap w:val="0"/>
            <w:vAlign w:val="center"/>
          </w:tcPr>
          <w:p w14:paraId="556FE977">
            <w:pPr>
              <w:pStyle w:val="1391"/>
              <w:ind w:firstLine="0" w:firstLineChars="0"/>
              <w:jc w:val="center"/>
              <w:rPr>
                <w:rFonts w:hint="eastAsia"/>
                <w:color w:val="auto"/>
                <w:highlight w:val="none"/>
                <w:lang w:val="en-US" w:eastAsia="zh-CN"/>
              </w:rPr>
            </w:pPr>
            <w:r>
              <w:rPr>
                <w:rFonts w:hint="eastAsia" w:ascii="Times New Roman" w:hAnsi="Times New Roman" w:eastAsia="宋体" w:cs="Times New Roman"/>
                <w:color w:val="auto"/>
                <w:highlight w:val="none"/>
                <w:lang w:val="en-US" w:eastAsia="zh-CN"/>
              </w:rPr>
              <w:t>夜间</w:t>
            </w:r>
          </w:p>
        </w:tc>
        <w:tc>
          <w:tcPr>
            <w:tcW w:w="969" w:type="pct"/>
            <w:vMerge w:val="continue"/>
            <w:tcBorders>
              <w:tl2br w:val="nil"/>
              <w:tr2bl w:val="nil"/>
            </w:tcBorders>
            <w:noWrap w:val="0"/>
            <w:vAlign w:val="center"/>
          </w:tcPr>
          <w:p w14:paraId="2E606A2C">
            <w:pPr>
              <w:pStyle w:val="1391"/>
              <w:jc w:val="center"/>
              <w:rPr>
                <w:rFonts w:hint="eastAsia"/>
                <w:color w:val="auto"/>
                <w:highlight w:val="none"/>
                <w:lang w:val="en-US" w:eastAsia="zh-CN"/>
              </w:rPr>
            </w:pPr>
          </w:p>
        </w:tc>
      </w:tr>
      <w:tr w14:paraId="1544AE0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31" w:hRule="atLeast"/>
          <w:jc w:val="center"/>
        </w:trPr>
        <w:tc>
          <w:tcPr>
            <w:tcW w:w="1427" w:type="pct"/>
            <w:tcBorders>
              <w:tl2br w:val="nil"/>
              <w:tr2bl w:val="nil"/>
            </w:tcBorders>
            <w:noWrap w:val="0"/>
            <w:vAlign w:val="center"/>
          </w:tcPr>
          <w:p w14:paraId="0DCBC600">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北侧厂界</w:t>
            </w:r>
            <w:r>
              <w:rPr>
                <w:rFonts w:hint="default" w:ascii="Times New Roman" w:hAnsi="Times New Roman" w:cs="Times New Roman"/>
                <w:color w:val="auto"/>
                <w:sz w:val="21"/>
                <w:szCs w:val="21"/>
                <w:highlight w:val="none"/>
                <w:lang w:val="en-US" w:eastAsia="zh-CN"/>
              </w:rPr>
              <w:t>外1m</w:t>
            </w:r>
          </w:p>
        </w:tc>
        <w:tc>
          <w:tcPr>
            <w:tcW w:w="943" w:type="pct"/>
            <w:tcBorders>
              <w:tl2br w:val="nil"/>
              <w:tr2bl w:val="nil"/>
            </w:tcBorders>
            <w:noWrap w:val="0"/>
            <w:vAlign w:val="center"/>
          </w:tcPr>
          <w:p w14:paraId="03E9A325">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2"/>
                <w:szCs w:val="22"/>
                <w:highlight w:val="none"/>
                <w:lang w:val="en-US" w:eastAsia="zh-CN"/>
              </w:rPr>
              <w:t>53.5</w:t>
            </w:r>
          </w:p>
        </w:tc>
        <w:tc>
          <w:tcPr>
            <w:tcW w:w="773" w:type="pct"/>
            <w:tcBorders>
              <w:tl2br w:val="nil"/>
              <w:tr2bl w:val="nil"/>
            </w:tcBorders>
            <w:noWrap w:val="0"/>
            <w:vAlign w:val="center"/>
          </w:tcPr>
          <w:p w14:paraId="7FC8F9F5">
            <w:pPr>
              <w:pStyle w:val="1391"/>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885" w:type="pct"/>
            <w:tcBorders>
              <w:tl2br w:val="nil"/>
              <w:tr2bl w:val="nil"/>
            </w:tcBorders>
            <w:noWrap w:val="0"/>
            <w:vAlign w:val="center"/>
          </w:tcPr>
          <w:p w14:paraId="00FEB4D6">
            <w:pPr>
              <w:pStyle w:val="1391"/>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969" w:type="pct"/>
            <w:tcBorders>
              <w:tl2br w:val="nil"/>
              <w:tr2bl w:val="nil"/>
            </w:tcBorders>
            <w:noWrap w:val="0"/>
            <w:vAlign w:val="center"/>
          </w:tcPr>
          <w:p w14:paraId="6BF0DE79">
            <w:pPr>
              <w:pStyle w:val="1391"/>
              <w:jc w:val="center"/>
              <w:rPr>
                <w:color w:val="auto"/>
                <w:szCs w:val="21"/>
                <w:highlight w:val="none"/>
              </w:rPr>
            </w:pPr>
            <w:r>
              <w:rPr>
                <w:color w:val="auto"/>
                <w:szCs w:val="21"/>
                <w:highlight w:val="none"/>
              </w:rPr>
              <w:t>达标</w:t>
            </w:r>
          </w:p>
        </w:tc>
      </w:tr>
      <w:tr w14:paraId="46371C2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31" w:hRule="atLeast"/>
          <w:jc w:val="center"/>
        </w:trPr>
        <w:tc>
          <w:tcPr>
            <w:tcW w:w="1427" w:type="pct"/>
            <w:tcBorders>
              <w:tl2br w:val="nil"/>
              <w:tr2bl w:val="nil"/>
            </w:tcBorders>
            <w:noWrap w:val="0"/>
            <w:vAlign w:val="center"/>
          </w:tcPr>
          <w:p w14:paraId="2C17D20F">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东侧厂界</w:t>
            </w:r>
            <w:r>
              <w:rPr>
                <w:rFonts w:hint="default" w:ascii="Times New Roman" w:hAnsi="Times New Roman" w:cs="Times New Roman"/>
                <w:color w:val="auto"/>
                <w:sz w:val="21"/>
                <w:szCs w:val="21"/>
                <w:highlight w:val="none"/>
                <w:lang w:val="en-US" w:eastAsia="zh-CN"/>
              </w:rPr>
              <w:t>外1m</w:t>
            </w:r>
          </w:p>
        </w:tc>
        <w:tc>
          <w:tcPr>
            <w:tcW w:w="943" w:type="pct"/>
            <w:tcBorders>
              <w:tl2br w:val="nil"/>
              <w:tr2bl w:val="nil"/>
            </w:tcBorders>
            <w:noWrap w:val="0"/>
            <w:vAlign w:val="center"/>
          </w:tcPr>
          <w:p w14:paraId="75D2A2D4">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2"/>
                <w:szCs w:val="22"/>
                <w:highlight w:val="none"/>
                <w:lang w:val="en-US" w:eastAsia="zh-CN"/>
              </w:rPr>
              <w:t>51.7</w:t>
            </w:r>
          </w:p>
        </w:tc>
        <w:tc>
          <w:tcPr>
            <w:tcW w:w="773" w:type="pct"/>
            <w:tcBorders>
              <w:tl2br w:val="nil"/>
              <w:tr2bl w:val="nil"/>
            </w:tcBorders>
            <w:noWrap w:val="0"/>
            <w:vAlign w:val="center"/>
          </w:tcPr>
          <w:p w14:paraId="5E57C8E2">
            <w:pPr>
              <w:pStyle w:val="1391"/>
              <w:ind w:firstLine="0" w:firstLineChars="0"/>
              <w:jc w:val="center"/>
              <w:rPr>
                <w:color w:val="auto"/>
                <w:szCs w:val="21"/>
                <w:highlight w:val="none"/>
              </w:rPr>
            </w:pPr>
            <w:r>
              <w:rPr>
                <w:rFonts w:hint="eastAsia"/>
                <w:color w:val="auto"/>
                <w:szCs w:val="21"/>
                <w:highlight w:val="none"/>
                <w:lang w:val="en-US" w:eastAsia="zh-CN"/>
              </w:rPr>
              <w:t>65</w:t>
            </w:r>
          </w:p>
        </w:tc>
        <w:tc>
          <w:tcPr>
            <w:tcW w:w="885" w:type="pct"/>
            <w:tcBorders>
              <w:tl2br w:val="nil"/>
              <w:tr2bl w:val="nil"/>
            </w:tcBorders>
            <w:noWrap w:val="0"/>
            <w:vAlign w:val="center"/>
          </w:tcPr>
          <w:p w14:paraId="593FADF2">
            <w:pPr>
              <w:pStyle w:val="1391"/>
              <w:ind w:firstLine="0" w:firstLineChars="0"/>
              <w:jc w:val="center"/>
              <w:rPr>
                <w:color w:val="auto"/>
                <w:szCs w:val="21"/>
                <w:highlight w:val="none"/>
              </w:rPr>
            </w:pPr>
            <w:r>
              <w:rPr>
                <w:rFonts w:hint="eastAsia"/>
                <w:color w:val="auto"/>
                <w:szCs w:val="21"/>
                <w:highlight w:val="none"/>
                <w:lang w:val="en-US" w:eastAsia="zh-CN"/>
              </w:rPr>
              <w:t>55</w:t>
            </w:r>
          </w:p>
        </w:tc>
        <w:tc>
          <w:tcPr>
            <w:tcW w:w="969" w:type="pct"/>
            <w:tcBorders>
              <w:tl2br w:val="nil"/>
              <w:tr2bl w:val="nil"/>
            </w:tcBorders>
            <w:noWrap w:val="0"/>
            <w:vAlign w:val="center"/>
          </w:tcPr>
          <w:p w14:paraId="0914F263">
            <w:pPr>
              <w:pStyle w:val="1391"/>
              <w:jc w:val="center"/>
              <w:rPr>
                <w:color w:val="auto"/>
                <w:szCs w:val="21"/>
                <w:highlight w:val="none"/>
              </w:rPr>
            </w:pPr>
            <w:r>
              <w:rPr>
                <w:color w:val="auto"/>
                <w:szCs w:val="21"/>
                <w:highlight w:val="none"/>
              </w:rPr>
              <w:t>达标</w:t>
            </w:r>
          </w:p>
        </w:tc>
      </w:tr>
      <w:tr w14:paraId="73193F9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8" w:hRule="atLeast"/>
          <w:jc w:val="center"/>
        </w:trPr>
        <w:tc>
          <w:tcPr>
            <w:tcW w:w="1427" w:type="pct"/>
            <w:tcBorders>
              <w:tl2br w:val="nil"/>
              <w:tr2bl w:val="nil"/>
            </w:tcBorders>
            <w:noWrap w:val="0"/>
            <w:vAlign w:val="center"/>
          </w:tcPr>
          <w:p w14:paraId="3FFFB56D">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南侧厂界</w:t>
            </w:r>
            <w:r>
              <w:rPr>
                <w:rFonts w:hint="default" w:ascii="Times New Roman" w:hAnsi="Times New Roman" w:cs="Times New Roman"/>
                <w:color w:val="auto"/>
                <w:sz w:val="21"/>
                <w:szCs w:val="21"/>
                <w:highlight w:val="none"/>
                <w:lang w:val="en-US" w:eastAsia="zh-CN"/>
              </w:rPr>
              <w:t>外1m</w:t>
            </w:r>
          </w:p>
        </w:tc>
        <w:tc>
          <w:tcPr>
            <w:tcW w:w="943" w:type="pct"/>
            <w:tcBorders>
              <w:tl2br w:val="nil"/>
              <w:tr2bl w:val="nil"/>
            </w:tcBorders>
            <w:noWrap w:val="0"/>
            <w:vAlign w:val="center"/>
          </w:tcPr>
          <w:p w14:paraId="0F6C542A">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2"/>
                <w:szCs w:val="22"/>
                <w:highlight w:val="none"/>
                <w:lang w:val="en-US" w:eastAsia="zh-CN"/>
              </w:rPr>
              <w:t>44.4</w:t>
            </w:r>
          </w:p>
        </w:tc>
        <w:tc>
          <w:tcPr>
            <w:tcW w:w="773" w:type="pct"/>
            <w:tcBorders>
              <w:tl2br w:val="nil"/>
              <w:tr2bl w:val="nil"/>
            </w:tcBorders>
            <w:noWrap w:val="0"/>
            <w:vAlign w:val="center"/>
          </w:tcPr>
          <w:p w14:paraId="0F278012">
            <w:pPr>
              <w:pStyle w:val="1391"/>
              <w:ind w:firstLine="0" w:firstLineChars="0"/>
              <w:jc w:val="center"/>
              <w:rPr>
                <w:color w:val="auto"/>
                <w:szCs w:val="21"/>
                <w:highlight w:val="none"/>
              </w:rPr>
            </w:pPr>
            <w:r>
              <w:rPr>
                <w:rFonts w:hint="eastAsia"/>
                <w:color w:val="auto"/>
                <w:szCs w:val="21"/>
                <w:highlight w:val="none"/>
                <w:lang w:val="en-US" w:eastAsia="zh-CN"/>
              </w:rPr>
              <w:t>65</w:t>
            </w:r>
          </w:p>
        </w:tc>
        <w:tc>
          <w:tcPr>
            <w:tcW w:w="885" w:type="pct"/>
            <w:tcBorders>
              <w:tl2br w:val="nil"/>
              <w:tr2bl w:val="nil"/>
            </w:tcBorders>
            <w:noWrap w:val="0"/>
            <w:vAlign w:val="center"/>
          </w:tcPr>
          <w:p w14:paraId="74D488C3">
            <w:pPr>
              <w:pStyle w:val="1391"/>
              <w:ind w:firstLine="0" w:firstLineChars="0"/>
              <w:jc w:val="center"/>
              <w:rPr>
                <w:color w:val="auto"/>
                <w:szCs w:val="21"/>
                <w:highlight w:val="none"/>
              </w:rPr>
            </w:pPr>
            <w:r>
              <w:rPr>
                <w:rFonts w:hint="eastAsia"/>
                <w:color w:val="auto"/>
                <w:szCs w:val="21"/>
                <w:highlight w:val="none"/>
                <w:lang w:val="en-US" w:eastAsia="zh-CN"/>
              </w:rPr>
              <w:t>55</w:t>
            </w:r>
          </w:p>
        </w:tc>
        <w:tc>
          <w:tcPr>
            <w:tcW w:w="969" w:type="pct"/>
            <w:tcBorders>
              <w:tl2br w:val="nil"/>
              <w:tr2bl w:val="nil"/>
            </w:tcBorders>
            <w:noWrap w:val="0"/>
            <w:vAlign w:val="center"/>
          </w:tcPr>
          <w:p w14:paraId="68871ACA">
            <w:pPr>
              <w:pStyle w:val="1391"/>
              <w:jc w:val="center"/>
              <w:rPr>
                <w:color w:val="auto"/>
                <w:szCs w:val="21"/>
                <w:highlight w:val="none"/>
              </w:rPr>
            </w:pPr>
            <w:r>
              <w:rPr>
                <w:color w:val="auto"/>
                <w:szCs w:val="21"/>
                <w:highlight w:val="none"/>
              </w:rPr>
              <w:t>达标</w:t>
            </w:r>
          </w:p>
        </w:tc>
      </w:tr>
      <w:tr w14:paraId="18406A5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87" w:hRule="atLeast"/>
          <w:jc w:val="center"/>
        </w:trPr>
        <w:tc>
          <w:tcPr>
            <w:tcW w:w="1427" w:type="pct"/>
            <w:tcBorders>
              <w:tl2br w:val="nil"/>
              <w:tr2bl w:val="nil"/>
            </w:tcBorders>
            <w:noWrap w:val="0"/>
            <w:vAlign w:val="center"/>
          </w:tcPr>
          <w:p w14:paraId="11D40E2C">
            <w:pPr>
              <w:pStyle w:val="1391"/>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西侧厂界</w:t>
            </w:r>
            <w:r>
              <w:rPr>
                <w:rFonts w:hint="default" w:ascii="Times New Roman" w:hAnsi="Times New Roman" w:cs="Times New Roman"/>
                <w:color w:val="auto"/>
                <w:sz w:val="21"/>
                <w:szCs w:val="21"/>
                <w:highlight w:val="none"/>
                <w:lang w:val="en-US" w:eastAsia="zh-CN"/>
              </w:rPr>
              <w:t>外1m</w:t>
            </w:r>
          </w:p>
        </w:tc>
        <w:tc>
          <w:tcPr>
            <w:tcW w:w="943" w:type="pct"/>
            <w:tcBorders>
              <w:tl2br w:val="nil"/>
              <w:tr2bl w:val="nil"/>
            </w:tcBorders>
            <w:noWrap w:val="0"/>
            <w:vAlign w:val="center"/>
          </w:tcPr>
          <w:p w14:paraId="3FAC34FF">
            <w:pPr>
              <w:pStyle w:val="1242"/>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2"/>
                <w:szCs w:val="22"/>
                <w:highlight w:val="none"/>
                <w:lang w:val="en-US" w:eastAsia="zh-CN"/>
              </w:rPr>
              <w:t>51.2</w:t>
            </w:r>
          </w:p>
        </w:tc>
        <w:tc>
          <w:tcPr>
            <w:tcW w:w="773" w:type="pct"/>
            <w:tcBorders>
              <w:tl2br w:val="nil"/>
              <w:tr2bl w:val="nil"/>
            </w:tcBorders>
            <w:noWrap w:val="0"/>
            <w:vAlign w:val="center"/>
          </w:tcPr>
          <w:p w14:paraId="641B8B99">
            <w:pPr>
              <w:pStyle w:val="1391"/>
              <w:ind w:firstLine="0" w:firstLineChars="0"/>
              <w:jc w:val="center"/>
              <w:rPr>
                <w:color w:val="auto"/>
                <w:szCs w:val="21"/>
                <w:highlight w:val="none"/>
              </w:rPr>
            </w:pPr>
            <w:r>
              <w:rPr>
                <w:rFonts w:hint="eastAsia"/>
                <w:color w:val="auto"/>
                <w:szCs w:val="21"/>
                <w:highlight w:val="none"/>
                <w:lang w:val="en-US" w:eastAsia="zh-CN"/>
              </w:rPr>
              <w:t>65</w:t>
            </w:r>
          </w:p>
        </w:tc>
        <w:tc>
          <w:tcPr>
            <w:tcW w:w="885" w:type="pct"/>
            <w:tcBorders>
              <w:tl2br w:val="nil"/>
              <w:tr2bl w:val="nil"/>
            </w:tcBorders>
            <w:noWrap w:val="0"/>
            <w:vAlign w:val="center"/>
          </w:tcPr>
          <w:p w14:paraId="7F322CEA">
            <w:pPr>
              <w:pStyle w:val="1391"/>
              <w:ind w:firstLine="0" w:firstLineChars="0"/>
              <w:jc w:val="center"/>
              <w:rPr>
                <w:color w:val="auto"/>
                <w:szCs w:val="21"/>
                <w:highlight w:val="none"/>
              </w:rPr>
            </w:pPr>
            <w:r>
              <w:rPr>
                <w:rFonts w:hint="eastAsia"/>
                <w:color w:val="auto"/>
                <w:szCs w:val="21"/>
                <w:highlight w:val="none"/>
                <w:lang w:val="en-US" w:eastAsia="zh-CN"/>
              </w:rPr>
              <w:t>55</w:t>
            </w:r>
          </w:p>
        </w:tc>
        <w:tc>
          <w:tcPr>
            <w:tcW w:w="969" w:type="pct"/>
            <w:tcBorders>
              <w:tl2br w:val="nil"/>
              <w:tr2bl w:val="nil"/>
            </w:tcBorders>
            <w:noWrap w:val="0"/>
            <w:vAlign w:val="center"/>
          </w:tcPr>
          <w:p w14:paraId="0BF19891">
            <w:pPr>
              <w:pStyle w:val="1391"/>
              <w:jc w:val="center"/>
              <w:rPr>
                <w:color w:val="auto"/>
                <w:szCs w:val="21"/>
                <w:highlight w:val="none"/>
              </w:rPr>
            </w:pPr>
            <w:r>
              <w:rPr>
                <w:color w:val="auto"/>
                <w:szCs w:val="21"/>
                <w:highlight w:val="none"/>
              </w:rPr>
              <w:t>达标</w:t>
            </w:r>
          </w:p>
        </w:tc>
      </w:tr>
    </w:tbl>
    <w:p w14:paraId="47191FFD">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根据上表可知，生产设备噪声源经隔声、减振等降噪措施后，</w:t>
      </w:r>
      <w:r>
        <w:rPr>
          <w:rFonts w:hint="eastAsia" w:ascii="Times New Roman" w:hAnsi="Times New Roman" w:eastAsia="宋体" w:cs="Times New Roman"/>
          <w:color w:val="auto"/>
          <w:highlight w:val="none"/>
          <w:lang w:val="en-US" w:eastAsia="zh-CN"/>
        </w:rPr>
        <w:t>拟建</w:t>
      </w:r>
      <w:r>
        <w:rPr>
          <w:rFonts w:hint="eastAsia" w:ascii="Times New Roman" w:hAnsi="Times New Roman" w:eastAsia="宋体" w:cs="Times New Roman"/>
          <w:color w:val="auto"/>
          <w:highlight w:val="none"/>
        </w:rPr>
        <w:t>项目厂界昼</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夜</w:t>
      </w:r>
      <w:r>
        <w:rPr>
          <w:rFonts w:hint="eastAsia" w:ascii="Times New Roman" w:hAnsi="Times New Roman" w:eastAsia="宋体" w:cs="Times New Roman"/>
          <w:color w:val="auto"/>
          <w:highlight w:val="none"/>
        </w:rPr>
        <w:t>间噪声</w:t>
      </w:r>
      <w:r>
        <w:rPr>
          <w:rFonts w:hint="eastAsia" w:ascii="Times New Roman" w:hAnsi="Times New Roman" w:eastAsia="宋体" w:cs="Times New Roman"/>
          <w:color w:val="auto"/>
          <w:highlight w:val="none"/>
          <w:lang w:val="en-US" w:eastAsia="zh-CN"/>
        </w:rPr>
        <w:t>贡献值</w:t>
      </w:r>
      <w:r>
        <w:rPr>
          <w:rFonts w:hint="eastAsia" w:ascii="Times New Roman" w:hAnsi="Times New Roman" w:eastAsia="宋体" w:cs="Times New Roman"/>
          <w:color w:val="auto"/>
          <w:highlight w:val="none"/>
        </w:rPr>
        <w:t>均能符合《工业企业厂界环境噪声排放标准》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 12348-2008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3类标准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即昼间65dB</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夜间55</w:t>
      </w:r>
      <w:r>
        <w:rPr>
          <w:rFonts w:hint="eastAsia"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w:t>
      </w:r>
    </w:p>
    <w:p w14:paraId="19D8E3A4">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为保证营运期噪声得到</w:t>
      </w:r>
      <w:r>
        <w:rPr>
          <w:rFonts w:hint="eastAsia" w:cs="Times New Roman"/>
          <w:color w:val="auto"/>
          <w:highlight w:val="none"/>
          <w:lang w:eastAsia="zh-CN"/>
        </w:rPr>
        <w:t>有效地控制</w:t>
      </w:r>
      <w:r>
        <w:rPr>
          <w:rFonts w:hint="eastAsia" w:ascii="Times New Roman" w:hAnsi="Times New Roman" w:eastAsia="宋体" w:cs="Times New Roman"/>
          <w:color w:val="auto"/>
          <w:highlight w:val="none"/>
        </w:rPr>
        <w:t>，建设单位应采取以下的噪声防治措施：</w:t>
      </w:r>
    </w:p>
    <w:p w14:paraId="317E77D5">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从声源上控制，选用先进的低噪声机械、设备、装置；</w:t>
      </w:r>
    </w:p>
    <w:p w14:paraId="7BEF4B46">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加强车间内的噪声治理，采用隔声、消声、吸声、减振等有效措施；</w:t>
      </w:r>
    </w:p>
    <w:p w14:paraId="7D07D759">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联合动力站房</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包括空压站等</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应设置隔声板</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墙、顶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、双层窗，机房工作时应紧闭门窗；</w:t>
      </w:r>
    </w:p>
    <w:p w14:paraId="2DB02272">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加强设备使用管理，合理安排高噪声设备的工作时间。</w:t>
      </w:r>
    </w:p>
    <w:p w14:paraId="7B44DACF">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4</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禁止夜间工作和夜间试车，沿途经过村庄应控制车速，禁鸣喇叭。</w:t>
      </w:r>
    </w:p>
    <w:p w14:paraId="4DBF5AD1">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5</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加强绿化，保证绿化率达到规定的标准。建议在周围及进出道路两侧种植树木隔离带，降低噪声对环境的影响。</w:t>
      </w:r>
    </w:p>
    <w:p w14:paraId="3ABB3DC2">
      <w:pPr>
        <w:pStyle w:val="3"/>
        <w:numPr>
          <w:ilvl w:val="1"/>
          <w:numId w:val="0"/>
        </w:numPr>
        <w:bidi w:val="0"/>
        <w:rPr>
          <w:color w:val="auto"/>
          <w:highlight w:val="none"/>
        </w:rPr>
      </w:pPr>
      <w:bookmarkStart w:id="522" w:name="_Toc21930"/>
      <w:bookmarkStart w:id="523" w:name="_Toc17476"/>
      <w:r>
        <w:rPr>
          <w:color w:val="auto"/>
          <w:highlight w:val="none"/>
        </w:rPr>
        <w:t>5.5</w:t>
      </w:r>
      <w:r>
        <w:rPr>
          <w:rFonts w:hint="eastAsia"/>
          <w:color w:val="auto"/>
          <w:highlight w:val="none"/>
          <w:lang w:val="en-US" w:eastAsia="zh-CN"/>
        </w:rPr>
        <w:t xml:space="preserve"> </w:t>
      </w:r>
      <w:r>
        <w:rPr>
          <w:color w:val="auto"/>
          <w:highlight w:val="none"/>
        </w:rPr>
        <w:t>运营期固体废物环境影响分析</w:t>
      </w:r>
      <w:bookmarkEnd w:id="522"/>
      <w:bookmarkEnd w:id="523"/>
    </w:p>
    <w:p w14:paraId="4D1ABB95">
      <w:pPr>
        <w:pStyle w:val="4"/>
        <w:numPr>
          <w:ilvl w:val="2"/>
          <w:numId w:val="0"/>
        </w:numPr>
        <w:tabs>
          <w:tab w:val="clear" w:pos="720"/>
        </w:tabs>
        <w:bidi w:val="0"/>
        <w:rPr>
          <w:color w:val="auto"/>
          <w:highlight w:val="none"/>
        </w:rPr>
      </w:pPr>
      <w:bookmarkStart w:id="524" w:name="_Toc23303"/>
      <w:r>
        <w:rPr>
          <w:color w:val="auto"/>
          <w:highlight w:val="none"/>
        </w:rPr>
        <w:t>5.5.1</w:t>
      </w:r>
      <w:r>
        <w:rPr>
          <w:rFonts w:hint="eastAsia"/>
          <w:color w:val="auto"/>
          <w:highlight w:val="none"/>
          <w:lang w:val="en-US" w:eastAsia="zh-CN"/>
        </w:rPr>
        <w:t xml:space="preserve"> </w:t>
      </w:r>
      <w:r>
        <w:rPr>
          <w:color w:val="auto"/>
          <w:highlight w:val="none"/>
        </w:rPr>
        <w:t>固体废物产生及处置情况</w:t>
      </w:r>
      <w:bookmarkEnd w:id="524"/>
    </w:p>
    <w:p w14:paraId="6BDB2AD7">
      <w:pPr>
        <w:pStyle w:val="1336"/>
        <w:ind w:firstLine="480"/>
        <w:rPr>
          <w:color w:val="auto"/>
          <w:highlight w:val="none"/>
        </w:rPr>
      </w:pPr>
      <w:r>
        <w:rPr>
          <w:rFonts w:hint="eastAsia"/>
          <w:color w:val="auto"/>
          <w:szCs w:val="28"/>
          <w:highlight w:val="none"/>
        </w:rPr>
        <w:t>项目建成后全厂产生的固体废物主要为一般固体废物、危险废物及生活垃圾，其产生量及处理处置方式见表</w:t>
      </w:r>
      <w:r>
        <w:rPr>
          <w:color w:val="auto"/>
          <w:highlight w:val="none"/>
        </w:rPr>
        <w:t>5.5-1。</w:t>
      </w:r>
    </w:p>
    <w:p w14:paraId="3E046613">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表5.5-1  </w:t>
      </w:r>
      <w:r>
        <w:rPr>
          <w:rFonts w:hint="default" w:ascii="Times New Roman" w:hAnsi="Times New Roman" w:cs="Times New Roman"/>
          <w:color w:val="auto"/>
          <w:highlight w:val="none"/>
          <w:lang w:val="en-GB" w:eastAsia="zh-TW"/>
        </w:rPr>
        <w:t>本项目固体废物产生及处置情况汇总表</w:t>
      </w:r>
    </w:p>
    <w:tbl>
      <w:tblPr>
        <w:tblStyle w:val="80"/>
        <w:tblW w:w="91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691"/>
        <w:gridCol w:w="2265"/>
        <w:gridCol w:w="840"/>
        <w:gridCol w:w="1425"/>
        <w:gridCol w:w="3269"/>
      </w:tblGrid>
      <w:tr w14:paraId="57FA8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88" w:type="dxa"/>
            <w:tcBorders>
              <w:tl2br w:val="nil"/>
              <w:tr2bl w:val="nil"/>
            </w:tcBorders>
            <w:noWrap w:val="0"/>
            <w:vAlign w:val="center"/>
          </w:tcPr>
          <w:p w14:paraId="449227BF">
            <w:pPr>
              <w:pStyle w:val="1358"/>
              <w:rPr>
                <w:color w:val="auto"/>
                <w:highlight w:val="none"/>
              </w:rPr>
            </w:pPr>
            <w:r>
              <w:rPr>
                <w:color w:val="auto"/>
                <w:highlight w:val="none"/>
              </w:rPr>
              <w:t>序号</w:t>
            </w:r>
          </w:p>
        </w:tc>
        <w:tc>
          <w:tcPr>
            <w:tcW w:w="2956" w:type="dxa"/>
            <w:gridSpan w:val="2"/>
            <w:tcBorders>
              <w:tl2br w:val="nil"/>
              <w:tr2bl w:val="nil"/>
            </w:tcBorders>
            <w:noWrap w:val="0"/>
            <w:vAlign w:val="center"/>
          </w:tcPr>
          <w:p w14:paraId="45548CFD">
            <w:pPr>
              <w:pStyle w:val="1358"/>
              <w:rPr>
                <w:color w:val="auto"/>
                <w:highlight w:val="none"/>
              </w:rPr>
            </w:pPr>
            <w:r>
              <w:rPr>
                <w:color w:val="auto"/>
                <w:highlight w:val="none"/>
              </w:rPr>
              <w:t>名称</w:t>
            </w:r>
          </w:p>
        </w:tc>
        <w:tc>
          <w:tcPr>
            <w:tcW w:w="840" w:type="dxa"/>
            <w:tcBorders>
              <w:tl2br w:val="nil"/>
              <w:tr2bl w:val="nil"/>
            </w:tcBorders>
            <w:noWrap w:val="0"/>
            <w:vAlign w:val="center"/>
          </w:tcPr>
          <w:p w14:paraId="7F7A226D">
            <w:pPr>
              <w:pStyle w:val="1358"/>
              <w:rPr>
                <w:rFonts w:hint="eastAsia" w:eastAsia="宋体"/>
                <w:color w:val="auto"/>
                <w:highlight w:val="none"/>
                <w:lang w:eastAsia="zh-CN"/>
              </w:rPr>
            </w:pPr>
            <w:r>
              <w:rPr>
                <w:rFonts w:hint="eastAsia"/>
                <w:color w:val="auto"/>
                <w:highlight w:val="none"/>
                <w:lang w:val="en-US" w:eastAsia="zh-CN"/>
              </w:rPr>
              <w:t>形态</w:t>
            </w:r>
          </w:p>
        </w:tc>
        <w:tc>
          <w:tcPr>
            <w:tcW w:w="1425" w:type="dxa"/>
            <w:tcBorders>
              <w:tl2br w:val="nil"/>
              <w:tr2bl w:val="nil"/>
            </w:tcBorders>
            <w:noWrap w:val="0"/>
            <w:vAlign w:val="center"/>
          </w:tcPr>
          <w:p w14:paraId="37253924">
            <w:pPr>
              <w:pStyle w:val="1358"/>
              <w:rPr>
                <w:color w:val="auto"/>
                <w:highlight w:val="none"/>
              </w:rPr>
            </w:pPr>
            <w:r>
              <w:rPr>
                <w:color w:val="auto"/>
                <w:highlight w:val="none"/>
              </w:rPr>
              <w:t>产生量（t/a）</w:t>
            </w:r>
          </w:p>
        </w:tc>
        <w:tc>
          <w:tcPr>
            <w:tcW w:w="3269" w:type="dxa"/>
            <w:tcBorders>
              <w:tl2br w:val="nil"/>
              <w:tr2bl w:val="nil"/>
            </w:tcBorders>
            <w:noWrap w:val="0"/>
            <w:vAlign w:val="center"/>
          </w:tcPr>
          <w:p w14:paraId="73C019D5">
            <w:pPr>
              <w:pStyle w:val="1358"/>
              <w:rPr>
                <w:color w:val="auto"/>
                <w:highlight w:val="none"/>
              </w:rPr>
            </w:pPr>
            <w:r>
              <w:rPr>
                <w:color w:val="auto"/>
                <w:highlight w:val="none"/>
              </w:rPr>
              <w:t>处置方式</w:t>
            </w:r>
          </w:p>
        </w:tc>
      </w:tr>
      <w:tr w14:paraId="098BF2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0954B0AB">
            <w:pPr>
              <w:pStyle w:val="1358"/>
              <w:rPr>
                <w:color w:val="auto"/>
                <w:highlight w:val="none"/>
              </w:rPr>
            </w:pPr>
            <w:r>
              <w:rPr>
                <w:color w:val="auto"/>
                <w:highlight w:val="none"/>
              </w:rPr>
              <w:t>1</w:t>
            </w:r>
          </w:p>
        </w:tc>
        <w:tc>
          <w:tcPr>
            <w:tcW w:w="691" w:type="dxa"/>
            <w:vMerge w:val="restart"/>
            <w:tcBorders>
              <w:tl2br w:val="nil"/>
              <w:tr2bl w:val="nil"/>
            </w:tcBorders>
            <w:noWrap w:val="0"/>
            <w:vAlign w:val="center"/>
          </w:tcPr>
          <w:p w14:paraId="1DF226F5">
            <w:pPr>
              <w:pStyle w:val="1358"/>
              <w:rPr>
                <w:color w:val="auto"/>
                <w:highlight w:val="none"/>
              </w:rPr>
            </w:pPr>
            <w:r>
              <w:rPr>
                <w:color w:val="auto"/>
                <w:highlight w:val="none"/>
              </w:rPr>
              <w:t>危险废物</w:t>
            </w:r>
          </w:p>
        </w:tc>
        <w:tc>
          <w:tcPr>
            <w:tcW w:w="2265" w:type="dxa"/>
            <w:tcBorders>
              <w:tl2br w:val="nil"/>
              <w:tr2bl w:val="nil"/>
            </w:tcBorders>
            <w:noWrap w:val="0"/>
            <w:vAlign w:val="center"/>
          </w:tcPr>
          <w:p w14:paraId="28F72E8F">
            <w:pPr>
              <w:pStyle w:val="1358"/>
              <w:rPr>
                <w:rFonts w:hint="eastAsia"/>
                <w:color w:val="auto"/>
                <w:highlight w:val="none"/>
                <w:lang w:val="en-US" w:eastAsia="zh-CN"/>
              </w:rPr>
            </w:pPr>
            <w:r>
              <w:rPr>
                <w:rFonts w:hint="eastAsia"/>
                <w:color w:val="auto"/>
                <w:highlight w:val="none"/>
                <w:lang w:val="en-US" w:eastAsia="zh-CN"/>
              </w:rPr>
              <w:t>废包装桶</w:t>
            </w:r>
          </w:p>
        </w:tc>
        <w:tc>
          <w:tcPr>
            <w:tcW w:w="840" w:type="dxa"/>
            <w:tcBorders>
              <w:tl2br w:val="nil"/>
              <w:tr2bl w:val="nil"/>
            </w:tcBorders>
            <w:noWrap w:val="0"/>
            <w:vAlign w:val="center"/>
          </w:tcPr>
          <w:p w14:paraId="40D84666">
            <w:pPr>
              <w:pStyle w:val="1358"/>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51617B1C">
            <w:pPr>
              <w:pStyle w:val="1358"/>
              <w:rPr>
                <w:rFonts w:hint="default"/>
                <w:color w:val="auto"/>
                <w:highlight w:val="none"/>
                <w:lang w:val="en-US" w:eastAsia="zh-CN"/>
              </w:rPr>
            </w:pPr>
            <w:r>
              <w:rPr>
                <w:rFonts w:hint="default"/>
                <w:color w:val="auto"/>
                <w:highlight w:val="none"/>
                <w:lang w:val="en-US" w:eastAsia="zh-CN"/>
              </w:rPr>
              <w:t>0.6</w:t>
            </w:r>
          </w:p>
        </w:tc>
        <w:tc>
          <w:tcPr>
            <w:tcW w:w="3269" w:type="dxa"/>
            <w:vMerge w:val="restart"/>
            <w:tcBorders>
              <w:tl2br w:val="nil"/>
              <w:tr2bl w:val="nil"/>
            </w:tcBorders>
            <w:noWrap w:val="0"/>
            <w:vAlign w:val="center"/>
          </w:tcPr>
          <w:p w14:paraId="3F8C2DC0">
            <w:pPr>
              <w:pStyle w:val="1358"/>
              <w:rPr>
                <w:color w:val="auto"/>
                <w:highlight w:val="none"/>
              </w:rPr>
            </w:pPr>
            <w:r>
              <w:rPr>
                <w:color w:val="auto"/>
                <w:highlight w:val="none"/>
              </w:rPr>
              <w:t>按要求收集后</w:t>
            </w:r>
            <w:r>
              <w:rPr>
                <w:rFonts w:hint="eastAsia"/>
                <w:color w:val="auto"/>
                <w:highlight w:val="none"/>
                <w:lang w:eastAsia="zh-CN"/>
              </w:rPr>
              <w:t>危废贮存库</w:t>
            </w:r>
            <w:r>
              <w:rPr>
                <w:color w:val="auto"/>
                <w:highlight w:val="none"/>
              </w:rPr>
              <w:t>暂存，定期委托有资质的单位集中处置</w:t>
            </w:r>
          </w:p>
        </w:tc>
      </w:tr>
      <w:tr w14:paraId="73F721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6D1B1C0">
            <w:pPr>
              <w:pStyle w:val="1358"/>
              <w:rPr>
                <w:color w:val="auto"/>
                <w:highlight w:val="none"/>
              </w:rPr>
            </w:pPr>
            <w:r>
              <w:rPr>
                <w:color w:val="auto"/>
                <w:highlight w:val="none"/>
              </w:rPr>
              <w:t>2</w:t>
            </w:r>
          </w:p>
        </w:tc>
        <w:tc>
          <w:tcPr>
            <w:tcW w:w="691" w:type="dxa"/>
            <w:vMerge w:val="continue"/>
            <w:tcBorders>
              <w:tl2br w:val="nil"/>
              <w:tr2bl w:val="nil"/>
            </w:tcBorders>
            <w:noWrap w:val="0"/>
            <w:vAlign w:val="center"/>
          </w:tcPr>
          <w:p w14:paraId="6FFBCA2C">
            <w:pPr>
              <w:pStyle w:val="1358"/>
              <w:rPr>
                <w:color w:val="auto"/>
                <w:highlight w:val="none"/>
              </w:rPr>
            </w:pPr>
          </w:p>
        </w:tc>
        <w:tc>
          <w:tcPr>
            <w:tcW w:w="2265" w:type="dxa"/>
            <w:tcBorders>
              <w:tl2br w:val="nil"/>
              <w:tr2bl w:val="nil"/>
            </w:tcBorders>
            <w:noWrap w:val="0"/>
            <w:vAlign w:val="center"/>
          </w:tcPr>
          <w:p w14:paraId="5A079C45">
            <w:pPr>
              <w:pStyle w:val="1358"/>
              <w:rPr>
                <w:rFonts w:hint="eastAsia"/>
                <w:color w:val="auto"/>
                <w:highlight w:val="none"/>
                <w:lang w:val="en-US" w:eastAsia="zh-CN"/>
              </w:rPr>
            </w:pPr>
            <w:r>
              <w:rPr>
                <w:rFonts w:hint="eastAsia"/>
                <w:color w:val="auto"/>
                <w:highlight w:val="none"/>
                <w:lang w:val="en-US" w:eastAsia="zh-CN"/>
              </w:rPr>
              <w:t>废润滑油</w:t>
            </w:r>
          </w:p>
        </w:tc>
        <w:tc>
          <w:tcPr>
            <w:tcW w:w="840" w:type="dxa"/>
            <w:tcBorders>
              <w:tl2br w:val="nil"/>
              <w:tr2bl w:val="nil"/>
            </w:tcBorders>
            <w:noWrap w:val="0"/>
            <w:vAlign w:val="center"/>
          </w:tcPr>
          <w:p w14:paraId="6F11AF8D">
            <w:pPr>
              <w:pStyle w:val="1358"/>
              <w:rPr>
                <w:rFonts w:hint="default"/>
                <w:color w:val="auto"/>
                <w:highlight w:val="none"/>
                <w:lang w:val="en-US" w:eastAsia="zh-CN"/>
              </w:rPr>
            </w:pPr>
            <w:r>
              <w:rPr>
                <w:rFonts w:hint="eastAsia"/>
                <w:color w:val="auto"/>
                <w:highlight w:val="none"/>
                <w:lang w:val="en-US" w:eastAsia="zh-CN"/>
              </w:rPr>
              <w:t>液态</w:t>
            </w:r>
          </w:p>
        </w:tc>
        <w:tc>
          <w:tcPr>
            <w:tcW w:w="1425" w:type="dxa"/>
            <w:tcBorders>
              <w:tl2br w:val="nil"/>
              <w:tr2bl w:val="nil"/>
            </w:tcBorders>
            <w:noWrap w:val="0"/>
            <w:vAlign w:val="center"/>
          </w:tcPr>
          <w:p w14:paraId="47A5A618">
            <w:pPr>
              <w:pStyle w:val="1358"/>
              <w:rPr>
                <w:rFonts w:hint="eastAsia"/>
                <w:color w:val="auto"/>
                <w:highlight w:val="none"/>
                <w:lang w:val="en-US" w:eastAsia="zh-CN"/>
              </w:rPr>
            </w:pPr>
            <w:r>
              <w:rPr>
                <w:rFonts w:hint="default"/>
                <w:color w:val="auto"/>
                <w:highlight w:val="none"/>
                <w:lang w:val="en-US" w:eastAsia="zh-CN"/>
              </w:rPr>
              <w:t>0.5</w:t>
            </w:r>
          </w:p>
        </w:tc>
        <w:tc>
          <w:tcPr>
            <w:tcW w:w="3269" w:type="dxa"/>
            <w:vMerge w:val="continue"/>
            <w:tcBorders>
              <w:tl2br w:val="nil"/>
              <w:tr2bl w:val="nil"/>
            </w:tcBorders>
            <w:noWrap w:val="0"/>
            <w:vAlign w:val="center"/>
          </w:tcPr>
          <w:p w14:paraId="1F4127EE">
            <w:pPr>
              <w:pStyle w:val="1358"/>
              <w:rPr>
                <w:color w:val="auto"/>
                <w:highlight w:val="none"/>
              </w:rPr>
            </w:pPr>
          </w:p>
        </w:tc>
      </w:tr>
      <w:tr w14:paraId="77879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7F45F1D6">
            <w:pPr>
              <w:pStyle w:val="1358"/>
              <w:rPr>
                <w:color w:val="auto"/>
                <w:highlight w:val="none"/>
              </w:rPr>
            </w:pPr>
            <w:r>
              <w:rPr>
                <w:color w:val="auto"/>
                <w:highlight w:val="none"/>
              </w:rPr>
              <w:t>3</w:t>
            </w:r>
          </w:p>
        </w:tc>
        <w:tc>
          <w:tcPr>
            <w:tcW w:w="691" w:type="dxa"/>
            <w:vMerge w:val="continue"/>
            <w:tcBorders>
              <w:tl2br w:val="nil"/>
              <w:tr2bl w:val="nil"/>
            </w:tcBorders>
            <w:noWrap w:val="0"/>
            <w:vAlign w:val="center"/>
          </w:tcPr>
          <w:p w14:paraId="7AE6E61A">
            <w:pPr>
              <w:pStyle w:val="1358"/>
              <w:rPr>
                <w:color w:val="auto"/>
                <w:highlight w:val="none"/>
              </w:rPr>
            </w:pPr>
          </w:p>
        </w:tc>
        <w:tc>
          <w:tcPr>
            <w:tcW w:w="2265" w:type="dxa"/>
            <w:tcBorders>
              <w:tl2br w:val="nil"/>
              <w:tr2bl w:val="nil"/>
            </w:tcBorders>
            <w:noWrap w:val="0"/>
            <w:vAlign w:val="center"/>
          </w:tcPr>
          <w:p w14:paraId="32A78A4C">
            <w:pPr>
              <w:pStyle w:val="1358"/>
              <w:rPr>
                <w:rFonts w:hint="eastAsia"/>
                <w:color w:val="auto"/>
                <w:highlight w:val="none"/>
                <w:lang w:val="en-US" w:eastAsia="zh-CN"/>
              </w:rPr>
            </w:pPr>
            <w:r>
              <w:rPr>
                <w:rFonts w:hint="eastAsia"/>
                <w:color w:val="auto"/>
                <w:highlight w:val="none"/>
                <w:lang w:val="en-US" w:eastAsia="zh-CN"/>
              </w:rPr>
              <w:t>废活性炭</w:t>
            </w:r>
          </w:p>
        </w:tc>
        <w:tc>
          <w:tcPr>
            <w:tcW w:w="840" w:type="dxa"/>
            <w:tcBorders>
              <w:tl2br w:val="nil"/>
              <w:tr2bl w:val="nil"/>
            </w:tcBorders>
            <w:noWrap w:val="0"/>
            <w:vAlign w:val="center"/>
          </w:tcPr>
          <w:p w14:paraId="08F7F5EB">
            <w:pPr>
              <w:pStyle w:val="1358"/>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6893428D">
            <w:pPr>
              <w:pStyle w:val="1358"/>
              <w:rPr>
                <w:rFonts w:hint="eastAsia"/>
                <w:color w:val="auto"/>
                <w:highlight w:val="none"/>
                <w:lang w:val="en-US" w:eastAsia="zh-CN"/>
              </w:rPr>
            </w:pPr>
            <w:r>
              <w:rPr>
                <w:rFonts w:hint="default"/>
                <w:color w:val="auto"/>
                <w:highlight w:val="none"/>
                <w:lang w:val="en-US" w:eastAsia="zh-CN"/>
              </w:rPr>
              <w:t>13.2985</w:t>
            </w:r>
          </w:p>
        </w:tc>
        <w:tc>
          <w:tcPr>
            <w:tcW w:w="3269" w:type="dxa"/>
            <w:vMerge w:val="continue"/>
            <w:tcBorders>
              <w:tl2br w:val="nil"/>
              <w:tr2bl w:val="nil"/>
            </w:tcBorders>
            <w:noWrap w:val="0"/>
            <w:vAlign w:val="center"/>
          </w:tcPr>
          <w:p w14:paraId="75A33047">
            <w:pPr>
              <w:pStyle w:val="1358"/>
              <w:rPr>
                <w:color w:val="auto"/>
                <w:highlight w:val="none"/>
              </w:rPr>
            </w:pPr>
          </w:p>
        </w:tc>
      </w:tr>
      <w:tr w14:paraId="3394C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0B505D12">
            <w:pPr>
              <w:pStyle w:val="1358"/>
              <w:rPr>
                <w:color w:val="auto"/>
                <w:highlight w:val="none"/>
              </w:rPr>
            </w:pPr>
            <w:r>
              <w:rPr>
                <w:color w:val="auto"/>
                <w:highlight w:val="none"/>
              </w:rPr>
              <w:t>4</w:t>
            </w:r>
          </w:p>
        </w:tc>
        <w:tc>
          <w:tcPr>
            <w:tcW w:w="691" w:type="dxa"/>
            <w:vMerge w:val="continue"/>
            <w:tcBorders>
              <w:tl2br w:val="nil"/>
              <w:tr2bl w:val="nil"/>
            </w:tcBorders>
            <w:noWrap w:val="0"/>
            <w:vAlign w:val="center"/>
          </w:tcPr>
          <w:p w14:paraId="71E6407C">
            <w:pPr>
              <w:pStyle w:val="1358"/>
              <w:rPr>
                <w:color w:val="auto"/>
                <w:highlight w:val="none"/>
              </w:rPr>
            </w:pPr>
          </w:p>
        </w:tc>
        <w:tc>
          <w:tcPr>
            <w:tcW w:w="2265" w:type="dxa"/>
            <w:tcBorders>
              <w:tl2br w:val="nil"/>
              <w:tr2bl w:val="nil"/>
            </w:tcBorders>
            <w:noWrap w:val="0"/>
            <w:vAlign w:val="center"/>
          </w:tcPr>
          <w:p w14:paraId="79B211D2">
            <w:pPr>
              <w:pStyle w:val="1358"/>
              <w:rPr>
                <w:rFonts w:hint="default"/>
                <w:color w:val="auto"/>
                <w:highlight w:val="none"/>
                <w:lang w:val="en-US" w:eastAsia="zh-CN"/>
              </w:rPr>
            </w:pPr>
            <w:r>
              <w:rPr>
                <w:rFonts w:hint="eastAsia"/>
                <w:color w:val="auto"/>
                <w:highlight w:val="none"/>
                <w:lang w:val="en-US" w:eastAsia="zh-CN"/>
              </w:rPr>
              <w:t>废干式纸盒（含漆渣）、废过滤棉（含漆渣）</w:t>
            </w:r>
          </w:p>
        </w:tc>
        <w:tc>
          <w:tcPr>
            <w:tcW w:w="840" w:type="dxa"/>
            <w:tcBorders>
              <w:tl2br w:val="nil"/>
              <w:tr2bl w:val="nil"/>
            </w:tcBorders>
            <w:noWrap w:val="0"/>
            <w:vAlign w:val="center"/>
          </w:tcPr>
          <w:p w14:paraId="36AFBBBF">
            <w:pPr>
              <w:pStyle w:val="1358"/>
              <w:rPr>
                <w:rFonts w:hint="default"/>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2E53BE3A">
            <w:pPr>
              <w:pStyle w:val="1358"/>
              <w:rPr>
                <w:rFonts w:hint="eastAsia"/>
                <w:color w:val="auto"/>
                <w:highlight w:val="none"/>
                <w:lang w:val="en-US" w:eastAsia="zh-CN"/>
              </w:rPr>
            </w:pPr>
            <w:r>
              <w:rPr>
                <w:rFonts w:hint="default"/>
                <w:color w:val="auto"/>
                <w:highlight w:val="none"/>
                <w:lang w:val="en-US" w:eastAsia="zh-CN"/>
              </w:rPr>
              <w:t>16.7426</w:t>
            </w:r>
          </w:p>
        </w:tc>
        <w:tc>
          <w:tcPr>
            <w:tcW w:w="3269" w:type="dxa"/>
            <w:vMerge w:val="continue"/>
            <w:tcBorders>
              <w:tl2br w:val="nil"/>
              <w:tr2bl w:val="nil"/>
            </w:tcBorders>
            <w:noWrap w:val="0"/>
            <w:vAlign w:val="center"/>
          </w:tcPr>
          <w:p w14:paraId="2934ED09">
            <w:pPr>
              <w:pStyle w:val="1358"/>
              <w:rPr>
                <w:color w:val="auto"/>
                <w:highlight w:val="none"/>
              </w:rPr>
            </w:pPr>
          </w:p>
        </w:tc>
      </w:tr>
      <w:tr w14:paraId="50E577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4DF87612">
            <w:pPr>
              <w:pStyle w:val="1358"/>
              <w:rPr>
                <w:color w:val="auto"/>
                <w:highlight w:val="none"/>
              </w:rPr>
            </w:pPr>
            <w:r>
              <w:rPr>
                <w:color w:val="auto"/>
                <w:highlight w:val="none"/>
              </w:rPr>
              <w:t>5</w:t>
            </w:r>
          </w:p>
        </w:tc>
        <w:tc>
          <w:tcPr>
            <w:tcW w:w="691" w:type="dxa"/>
            <w:vMerge w:val="continue"/>
            <w:tcBorders>
              <w:tl2br w:val="nil"/>
              <w:tr2bl w:val="nil"/>
            </w:tcBorders>
            <w:noWrap w:val="0"/>
            <w:vAlign w:val="center"/>
          </w:tcPr>
          <w:p w14:paraId="20252DC6">
            <w:pPr>
              <w:pStyle w:val="1358"/>
              <w:rPr>
                <w:color w:val="auto"/>
                <w:highlight w:val="none"/>
              </w:rPr>
            </w:pPr>
          </w:p>
        </w:tc>
        <w:tc>
          <w:tcPr>
            <w:tcW w:w="2265" w:type="dxa"/>
            <w:tcBorders>
              <w:tl2br w:val="nil"/>
              <w:tr2bl w:val="nil"/>
            </w:tcBorders>
            <w:noWrap w:val="0"/>
            <w:vAlign w:val="center"/>
          </w:tcPr>
          <w:p w14:paraId="6BA0217F">
            <w:pPr>
              <w:pStyle w:val="1358"/>
              <w:rPr>
                <w:rFonts w:hint="default"/>
                <w:color w:val="auto"/>
                <w:highlight w:val="none"/>
                <w:lang w:val="en-US" w:eastAsia="zh-CN"/>
              </w:rPr>
            </w:pPr>
            <w:r>
              <w:rPr>
                <w:rFonts w:hint="eastAsia"/>
                <w:color w:val="auto"/>
                <w:highlight w:val="none"/>
                <w:lang w:val="en-US" w:eastAsia="zh-CN"/>
              </w:rPr>
              <w:t>废清洗剂</w:t>
            </w:r>
          </w:p>
        </w:tc>
        <w:tc>
          <w:tcPr>
            <w:tcW w:w="840" w:type="dxa"/>
            <w:tcBorders>
              <w:tl2br w:val="nil"/>
              <w:tr2bl w:val="nil"/>
            </w:tcBorders>
            <w:noWrap w:val="0"/>
            <w:vAlign w:val="center"/>
          </w:tcPr>
          <w:p w14:paraId="198E3070">
            <w:pPr>
              <w:pStyle w:val="1358"/>
              <w:rPr>
                <w:rFonts w:hint="eastAsia"/>
                <w:color w:val="auto"/>
                <w:highlight w:val="none"/>
                <w:lang w:val="en-US" w:eastAsia="zh-CN"/>
              </w:rPr>
            </w:pPr>
            <w:r>
              <w:rPr>
                <w:rFonts w:hint="eastAsia"/>
                <w:color w:val="auto"/>
                <w:highlight w:val="none"/>
                <w:lang w:val="en-US" w:eastAsia="zh-CN"/>
              </w:rPr>
              <w:t>液态</w:t>
            </w:r>
          </w:p>
        </w:tc>
        <w:tc>
          <w:tcPr>
            <w:tcW w:w="1425" w:type="dxa"/>
            <w:tcBorders>
              <w:tl2br w:val="nil"/>
              <w:tr2bl w:val="nil"/>
            </w:tcBorders>
            <w:noWrap w:val="0"/>
            <w:vAlign w:val="center"/>
          </w:tcPr>
          <w:p w14:paraId="4A69DC27">
            <w:pPr>
              <w:pStyle w:val="1358"/>
              <w:rPr>
                <w:rFonts w:hint="default"/>
                <w:color w:val="auto"/>
                <w:highlight w:val="none"/>
                <w:lang w:val="en-US" w:eastAsia="zh-CN"/>
              </w:rPr>
            </w:pPr>
            <w:r>
              <w:rPr>
                <w:rFonts w:hint="default"/>
                <w:color w:val="auto"/>
                <w:highlight w:val="none"/>
                <w:lang w:val="en-US" w:eastAsia="zh-CN"/>
              </w:rPr>
              <w:t>1.953</w:t>
            </w:r>
          </w:p>
        </w:tc>
        <w:tc>
          <w:tcPr>
            <w:tcW w:w="3269" w:type="dxa"/>
            <w:vMerge w:val="continue"/>
            <w:tcBorders>
              <w:tl2br w:val="nil"/>
              <w:tr2bl w:val="nil"/>
            </w:tcBorders>
            <w:noWrap w:val="0"/>
            <w:vAlign w:val="center"/>
          </w:tcPr>
          <w:p w14:paraId="4C964AB1">
            <w:pPr>
              <w:pStyle w:val="1358"/>
              <w:rPr>
                <w:color w:val="auto"/>
                <w:highlight w:val="none"/>
              </w:rPr>
            </w:pPr>
          </w:p>
        </w:tc>
      </w:tr>
      <w:tr w14:paraId="3219F8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1FCAFB7">
            <w:pPr>
              <w:pStyle w:val="1358"/>
              <w:rPr>
                <w:color w:val="auto"/>
                <w:highlight w:val="none"/>
              </w:rPr>
            </w:pPr>
            <w:r>
              <w:rPr>
                <w:color w:val="auto"/>
                <w:highlight w:val="none"/>
              </w:rPr>
              <w:t>6</w:t>
            </w:r>
          </w:p>
        </w:tc>
        <w:tc>
          <w:tcPr>
            <w:tcW w:w="691" w:type="dxa"/>
            <w:vMerge w:val="continue"/>
            <w:tcBorders>
              <w:tl2br w:val="nil"/>
              <w:tr2bl w:val="nil"/>
            </w:tcBorders>
            <w:noWrap w:val="0"/>
            <w:vAlign w:val="center"/>
          </w:tcPr>
          <w:p w14:paraId="1E59CFE3">
            <w:pPr>
              <w:pStyle w:val="1358"/>
              <w:rPr>
                <w:color w:val="auto"/>
                <w:highlight w:val="none"/>
              </w:rPr>
            </w:pPr>
          </w:p>
        </w:tc>
        <w:tc>
          <w:tcPr>
            <w:tcW w:w="2265" w:type="dxa"/>
            <w:tcBorders>
              <w:tl2br w:val="nil"/>
              <w:tr2bl w:val="nil"/>
            </w:tcBorders>
            <w:noWrap w:val="0"/>
            <w:vAlign w:val="center"/>
          </w:tcPr>
          <w:p w14:paraId="09CD9B5C">
            <w:pPr>
              <w:pStyle w:val="1358"/>
              <w:rPr>
                <w:rFonts w:hint="eastAsia"/>
                <w:color w:val="auto"/>
                <w:highlight w:val="none"/>
                <w:lang w:val="en-US" w:eastAsia="zh-CN"/>
              </w:rPr>
            </w:pPr>
            <w:r>
              <w:rPr>
                <w:rFonts w:hint="eastAsia"/>
                <w:color w:val="auto"/>
                <w:highlight w:val="none"/>
                <w:lang w:val="en-US" w:eastAsia="zh-CN"/>
              </w:rPr>
              <w:t>含油的手套及废抹布</w:t>
            </w:r>
          </w:p>
        </w:tc>
        <w:tc>
          <w:tcPr>
            <w:tcW w:w="840" w:type="dxa"/>
            <w:tcBorders>
              <w:tl2br w:val="nil"/>
              <w:tr2bl w:val="nil"/>
            </w:tcBorders>
            <w:noWrap w:val="0"/>
            <w:vAlign w:val="center"/>
          </w:tcPr>
          <w:p w14:paraId="7970A87D">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1E28A8D4">
            <w:pPr>
              <w:pStyle w:val="1358"/>
              <w:rPr>
                <w:rFonts w:hint="eastAsia"/>
                <w:color w:val="auto"/>
                <w:highlight w:val="none"/>
                <w:lang w:val="en-US" w:eastAsia="zh-CN"/>
              </w:rPr>
            </w:pPr>
            <w:r>
              <w:rPr>
                <w:rFonts w:hint="default"/>
                <w:color w:val="auto"/>
                <w:highlight w:val="none"/>
                <w:lang w:val="en-US" w:eastAsia="zh-CN"/>
              </w:rPr>
              <w:t>0.1</w:t>
            </w:r>
          </w:p>
        </w:tc>
        <w:tc>
          <w:tcPr>
            <w:tcW w:w="3269" w:type="dxa"/>
            <w:vMerge w:val="continue"/>
            <w:tcBorders>
              <w:tl2br w:val="nil"/>
              <w:tr2bl w:val="nil"/>
            </w:tcBorders>
            <w:noWrap w:val="0"/>
            <w:vAlign w:val="center"/>
          </w:tcPr>
          <w:p w14:paraId="34A9573E">
            <w:pPr>
              <w:pStyle w:val="1358"/>
              <w:rPr>
                <w:color w:val="auto"/>
                <w:highlight w:val="none"/>
              </w:rPr>
            </w:pPr>
          </w:p>
        </w:tc>
      </w:tr>
      <w:tr w14:paraId="435EC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47AFCCD2">
            <w:pPr>
              <w:pStyle w:val="1358"/>
              <w:rPr>
                <w:rFonts w:hint="eastAsia" w:eastAsia="宋体"/>
                <w:color w:val="auto"/>
                <w:highlight w:val="none"/>
                <w:lang w:val="en-US" w:eastAsia="zh-CN"/>
              </w:rPr>
            </w:pPr>
            <w:r>
              <w:rPr>
                <w:rFonts w:hint="eastAsia"/>
                <w:color w:val="auto"/>
                <w:highlight w:val="none"/>
                <w:lang w:val="en-US" w:eastAsia="zh-CN"/>
              </w:rPr>
              <w:t>7</w:t>
            </w:r>
          </w:p>
        </w:tc>
        <w:tc>
          <w:tcPr>
            <w:tcW w:w="691" w:type="dxa"/>
            <w:vMerge w:val="continue"/>
            <w:tcBorders>
              <w:tl2br w:val="nil"/>
              <w:tr2bl w:val="nil"/>
            </w:tcBorders>
            <w:noWrap w:val="0"/>
            <w:vAlign w:val="center"/>
          </w:tcPr>
          <w:p w14:paraId="05BFF7CD">
            <w:pPr>
              <w:pStyle w:val="1358"/>
              <w:rPr>
                <w:color w:val="auto"/>
                <w:highlight w:val="none"/>
              </w:rPr>
            </w:pPr>
          </w:p>
        </w:tc>
        <w:tc>
          <w:tcPr>
            <w:tcW w:w="2265" w:type="dxa"/>
            <w:tcBorders>
              <w:tl2br w:val="nil"/>
              <w:tr2bl w:val="nil"/>
            </w:tcBorders>
            <w:noWrap w:val="0"/>
            <w:vAlign w:val="center"/>
          </w:tcPr>
          <w:p w14:paraId="1626983B">
            <w:pPr>
              <w:pStyle w:val="1358"/>
              <w:rPr>
                <w:rFonts w:hint="eastAsia"/>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SA"/>
              </w:rPr>
              <w:t>热洁炉灰渣</w:t>
            </w:r>
          </w:p>
        </w:tc>
        <w:tc>
          <w:tcPr>
            <w:tcW w:w="840" w:type="dxa"/>
            <w:tcBorders>
              <w:tl2br w:val="nil"/>
              <w:tr2bl w:val="nil"/>
            </w:tcBorders>
            <w:shd w:val="clear" w:color="auto" w:fill="auto"/>
            <w:noWrap w:val="0"/>
            <w:vAlign w:val="center"/>
          </w:tcPr>
          <w:p w14:paraId="10B8ACBD">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固态</w:t>
            </w:r>
          </w:p>
        </w:tc>
        <w:tc>
          <w:tcPr>
            <w:tcW w:w="1425" w:type="dxa"/>
            <w:tcBorders>
              <w:tl2br w:val="nil"/>
              <w:tr2bl w:val="nil"/>
            </w:tcBorders>
            <w:noWrap w:val="0"/>
            <w:vAlign w:val="center"/>
          </w:tcPr>
          <w:p w14:paraId="365426D8">
            <w:pPr>
              <w:pStyle w:val="1358"/>
              <w:rPr>
                <w:rFonts w:hint="default"/>
                <w:color w:val="auto"/>
                <w:highlight w:val="none"/>
                <w:lang w:val="en-US" w:eastAsia="zh-CN"/>
              </w:rPr>
            </w:pPr>
            <w:r>
              <w:rPr>
                <w:rFonts w:hint="eastAsia"/>
                <w:color w:val="auto"/>
                <w:highlight w:val="none"/>
                <w:lang w:val="en-US" w:eastAsia="zh-CN"/>
              </w:rPr>
              <w:t>34.0761</w:t>
            </w:r>
          </w:p>
        </w:tc>
        <w:tc>
          <w:tcPr>
            <w:tcW w:w="3269" w:type="dxa"/>
            <w:tcBorders>
              <w:tl2br w:val="nil"/>
              <w:tr2bl w:val="nil"/>
            </w:tcBorders>
            <w:noWrap w:val="0"/>
            <w:vAlign w:val="center"/>
          </w:tcPr>
          <w:p w14:paraId="0858DCAC">
            <w:pPr>
              <w:pStyle w:val="1358"/>
              <w:rPr>
                <w:color w:val="auto"/>
                <w:highlight w:val="none"/>
              </w:rPr>
            </w:pPr>
          </w:p>
        </w:tc>
      </w:tr>
      <w:tr w14:paraId="61F95D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4" w:type="dxa"/>
            <w:gridSpan w:val="4"/>
            <w:tcBorders>
              <w:tl2br w:val="nil"/>
              <w:tr2bl w:val="nil"/>
            </w:tcBorders>
            <w:noWrap w:val="0"/>
            <w:vAlign w:val="center"/>
          </w:tcPr>
          <w:p w14:paraId="0F0474FB">
            <w:pPr>
              <w:pStyle w:val="1358"/>
              <w:rPr>
                <w:rFonts w:ascii="Times New Roman" w:hAnsi="Times New Roman" w:eastAsia="宋体" w:cs="Times New Roman"/>
                <w:color w:val="auto"/>
                <w:highlight w:val="none"/>
              </w:rPr>
            </w:pPr>
            <w:r>
              <w:rPr>
                <w:rFonts w:ascii="Times New Roman" w:hAnsi="Times New Roman" w:eastAsia="宋体" w:cs="Times New Roman"/>
                <w:b/>
                <w:bCs/>
                <w:color w:val="auto"/>
                <w:highlight w:val="none"/>
              </w:rPr>
              <w:t>小计</w:t>
            </w:r>
          </w:p>
        </w:tc>
        <w:tc>
          <w:tcPr>
            <w:tcW w:w="1425" w:type="dxa"/>
            <w:tcBorders>
              <w:tl2br w:val="nil"/>
              <w:tr2bl w:val="nil"/>
            </w:tcBorders>
            <w:noWrap w:val="0"/>
            <w:vAlign w:val="center"/>
          </w:tcPr>
          <w:p w14:paraId="70F44C6C">
            <w:pPr>
              <w:pStyle w:val="1358"/>
              <w:rPr>
                <w:rFonts w:ascii="Times New Roman" w:hAnsi="Times New Roman" w:eastAsia="宋体" w:cs="Times New Roman"/>
                <w:color w:val="auto"/>
                <w:highlight w:val="none"/>
              </w:rPr>
            </w:pPr>
            <w:r>
              <w:rPr>
                <w:rFonts w:hint="default" w:ascii="Times New Roman" w:hAnsi="Times New Roman" w:eastAsia="宋体" w:cs="Times New Roman"/>
                <w:color w:val="auto"/>
                <w:kern w:val="2"/>
                <w:sz w:val="21"/>
                <w:szCs w:val="24"/>
                <w:highlight w:val="none"/>
                <w:lang w:val="en-US" w:eastAsia="zh-CN" w:bidi="ar-SA"/>
              </w:rPr>
              <w:t>34.0761</w:t>
            </w:r>
          </w:p>
        </w:tc>
        <w:tc>
          <w:tcPr>
            <w:tcW w:w="3269" w:type="dxa"/>
            <w:tcBorders>
              <w:tl2br w:val="nil"/>
              <w:tr2bl w:val="nil"/>
            </w:tcBorders>
            <w:noWrap w:val="0"/>
            <w:vAlign w:val="center"/>
          </w:tcPr>
          <w:p w14:paraId="527D1B8D">
            <w:pPr>
              <w:pStyle w:val="1358"/>
              <w:rPr>
                <w:b/>
                <w:color w:val="auto"/>
                <w:highlight w:val="none"/>
              </w:rPr>
            </w:pPr>
            <w:r>
              <w:rPr>
                <w:b/>
                <w:color w:val="auto"/>
                <w:highlight w:val="none"/>
              </w:rPr>
              <w:t>/</w:t>
            </w:r>
          </w:p>
        </w:tc>
      </w:tr>
      <w:tr w14:paraId="5EEC4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1497FF0E">
            <w:pPr>
              <w:pStyle w:val="1358"/>
              <w:rPr>
                <w:rFonts w:hint="eastAsia" w:eastAsia="宋体"/>
                <w:color w:val="auto"/>
                <w:highlight w:val="none"/>
                <w:lang w:val="en-US" w:eastAsia="zh-CN"/>
              </w:rPr>
            </w:pPr>
            <w:r>
              <w:rPr>
                <w:rFonts w:hint="eastAsia"/>
                <w:color w:val="auto"/>
                <w:highlight w:val="none"/>
                <w:lang w:val="en-US" w:eastAsia="zh-CN"/>
              </w:rPr>
              <w:t>1</w:t>
            </w:r>
          </w:p>
        </w:tc>
        <w:tc>
          <w:tcPr>
            <w:tcW w:w="691" w:type="dxa"/>
            <w:vMerge w:val="restart"/>
            <w:tcBorders>
              <w:tl2br w:val="nil"/>
              <w:tr2bl w:val="nil"/>
            </w:tcBorders>
            <w:noWrap w:val="0"/>
            <w:vAlign w:val="center"/>
          </w:tcPr>
          <w:p w14:paraId="0316DEE9">
            <w:pPr>
              <w:pStyle w:val="1358"/>
              <w:rPr>
                <w:rFonts w:hint="eastAsia"/>
                <w:color w:val="auto"/>
                <w:highlight w:val="none"/>
                <w:lang w:val="en-US" w:eastAsia="zh-CN"/>
              </w:rPr>
            </w:pPr>
            <w:r>
              <w:rPr>
                <w:rFonts w:hint="eastAsia"/>
                <w:color w:val="auto"/>
                <w:highlight w:val="none"/>
                <w:lang w:val="en-US" w:eastAsia="zh-CN"/>
              </w:rPr>
              <w:t>一般工业固体废物</w:t>
            </w:r>
          </w:p>
        </w:tc>
        <w:tc>
          <w:tcPr>
            <w:tcW w:w="2265" w:type="dxa"/>
            <w:tcBorders>
              <w:tl2br w:val="nil"/>
              <w:tr2bl w:val="nil"/>
            </w:tcBorders>
            <w:noWrap w:val="0"/>
            <w:vAlign w:val="center"/>
          </w:tcPr>
          <w:p w14:paraId="5BBBC250">
            <w:pPr>
              <w:pStyle w:val="1358"/>
              <w:rPr>
                <w:rFonts w:hint="eastAsia"/>
                <w:color w:val="auto"/>
                <w:highlight w:val="none"/>
                <w:lang w:val="en-US" w:eastAsia="zh-CN"/>
              </w:rPr>
            </w:pPr>
            <w:r>
              <w:rPr>
                <w:rFonts w:hint="eastAsia"/>
                <w:color w:val="auto"/>
                <w:highlight w:val="none"/>
                <w:lang w:val="en-US" w:eastAsia="zh-CN"/>
              </w:rPr>
              <w:t>注塑不合格品和边角废料</w:t>
            </w:r>
          </w:p>
        </w:tc>
        <w:tc>
          <w:tcPr>
            <w:tcW w:w="840" w:type="dxa"/>
            <w:tcBorders>
              <w:tl2br w:val="nil"/>
              <w:tr2bl w:val="nil"/>
            </w:tcBorders>
            <w:noWrap w:val="0"/>
            <w:vAlign w:val="center"/>
          </w:tcPr>
          <w:p w14:paraId="6954E03A">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097DDD8E">
            <w:pPr>
              <w:pStyle w:val="1358"/>
              <w:rPr>
                <w:rFonts w:hint="default"/>
                <w:color w:val="auto"/>
                <w:highlight w:val="none"/>
                <w:lang w:val="en-US" w:eastAsia="zh-CN"/>
              </w:rPr>
            </w:pPr>
            <w:r>
              <w:rPr>
                <w:rFonts w:hint="default"/>
                <w:color w:val="auto"/>
                <w:highlight w:val="none"/>
                <w:lang w:val="en-US" w:eastAsia="zh-CN"/>
              </w:rPr>
              <w:t>144.5423</w:t>
            </w:r>
          </w:p>
        </w:tc>
        <w:tc>
          <w:tcPr>
            <w:tcW w:w="3269" w:type="dxa"/>
            <w:vMerge w:val="restart"/>
            <w:tcBorders>
              <w:tl2br w:val="nil"/>
              <w:tr2bl w:val="nil"/>
            </w:tcBorders>
            <w:noWrap w:val="0"/>
            <w:vAlign w:val="center"/>
          </w:tcPr>
          <w:p w14:paraId="0311FB8B">
            <w:pPr>
              <w:pStyle w:val="1358"/>
              <w:rPr>
                <w:color w:val="auto"/>
                <w:highlight w:val="none"/>
              </w:rPr>
            </w:pPr>
            <w:r>
              <w:rPr>
                <w:color w:val="auto"/>
                <w:highlight w:val="none"/>
              </w:rPr>
              <w:t>暂存于一般固体废物暂存间，定期外售综合利用</w:t>
            </w:r>
          </w:p>
        </w:tc>
      </w:tr>
      <w:tr w14:paraId="076D2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7F76950C">
            <w:pPr>
              <w:pStyle w:val="1358"/>
              <w:rPr>
                <w:rFonts w:hint="default" w:eastAsia="宋体"/>
                <w:color w:val="auto"/>
                <w:highlight w:val="none"/>
                <w:lang w:val="en-US" w:eastAsia="zh-CN"/>
              </w:rPr>
            </w:pPr>
            <w:r>
              <w:rPr>
                <w:rFonts w:hint="eastAsia" w:eastAsia="宋体"/>
                <w:color w:val="auto"/>
                <w:highlight w:val="none"/>
                <w:lang w:val="en-US" w:eastAsia="zh-CN"/>
              </w:rPr>
              <w:t>2</w:t>
            </w:r>
          </w:p>
        </w:tc>
        <w:tc>
          <w:tcPr>
            <w:tcW w:w="691" w:type="dxa"/>
            <w:vMerge w:val="continue"/>
            <w:tcBorders>
              <w:tl2br w:val="nil"/>
              <w:tr2bl w:val="nil"/>
            </w:tcBorders>
            <w:noWrap w:val="0"/>
            <w:vAlign w:val="center"/>
          </w:tcPr>
          <w:p w14:paraId="342535A7">
            <w:pPr>
              <w:pStyle w:val="1358"/>
              <w:rPr>
                <w:rFonts w:hint="eastAsia"/>
                <w:color w:val="auto"/>
                <w:highlight w:val="none"/>
                <w:lang w:val="en-US" w:eastAsia="zh-CN"/>
              </w:rPr>
            </w:pPr>
          </w:p>
        </w:tc>
        <w:tc>
          <w:tcPr>
            <w:tcW w:w="2265" w:type="dxa"/>
            <w:tcBorders>
              <w:tl2br w:val="nil"/>
              <w:tr2bl w:val="nil"/>
            </w:tcBorders>
            <w:noWrap w:val="0"/>
            <w:vAlign w:val="center"/>
          </w:tcPr>
          <w:p w14:paraId="267679A6">
            <w:pPr>
              <w:pStyle w:val="1358"/>
              <w:rPr>
                <w:rFonts w:hint="eastAsia"/>
                <w:color w:val="auto"/>
                <w:highlight w:val="none"/>
                <w:lang w:val="en-US" w:eastAsia="zh-CN"/>
              </w:rPr>
            </w:pPr>
            <w:r>
              <w:rPr>
                <w:rFonts w:hint="eastAsia"/>
                <w:color w:val="auto"/>
                <w:highlight w:val="none"/>
                <w:lang w:val="en-US" w:eastAsia="zh-CN"/>
              </w:rPr>
              <w:t>废包装材料</w:t>
            </w:r>
          </w:p>
        </w:tc>
        <w:tc>
          <w:tcPr>
            <w:tcW w:w="840" w:type="dxa"/>
            <w:tcBorders>
              <w:tl2br w:val="nil"/>
              <w:tr2bl w:val="nil"/>
            </w:tcBorders>
            <w:noWrap w:val="0"/>
            <w:vAlign w:val="center"/>
          </w:tcPr>
          <w:p w14:paraId="5541D503">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3EDEF52B">
            <w:pPr>
              <w:pStyle w:val="1358"/>
              <w:rPr>
                <w:rFonts w:hint="default"/>
                <w:color w:val="auto"/>
                <w:highlight w:val="none"/>
                <w:lang w:val="en-US" w:eastAsia="zh-CN"/>
              </w:rPr>
            </w:pPr>
            <w:r>
              <w:rPr>
                <w:rFonts w:hint="default"/>
                <w:color w:val="auto"/>
                <w:highlight w:val="none"/>
                <w:lang w:val="en-US" w:eastAsia="zh-CN"/>
              </w:rPr>
              <w:t>2.892</w:t>
            </w:r>
          </w:p>
        </w:tc>
        <w:tc>
          <w:tcPr>
            <w:tcW w:w="3269" w:type="dxa"/>
            <w:vMerge w:val="continue"/>
            <w:tcBorders>
              <w:tl2br w:val="nil"/>
              <w:tr2bl w:val="nil"/>
            </w:tcBorders>
            <w:noWrap w:val="0"/>
            <w:vAlign w:val="center"/>
          </w:tcPr>
          <w:p w14:paraId="075B5437">
            <w:pPr>
              <w:pStyle w:val="1358"/>
              <w:rPr>
                <w:color w:val="auto"/>
                <w:highlight w:val="none"/>
              </w:rPr>
            </w:pPr>
          </w:p>
        </w:tc>
      </w:tr>
      <w:tr w14:paraId="21071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6FE18A68">
            <w:pPr>
              <w:pStyle w:val="1358"/>
              <w:rPr>
                <w:rFonts w:hint="eastAsia" w:eastAsia="宋体"/>
                <w:color w:val="auto"/>
                <w:highlight w:val="none"/>
                <w:lang w:val="en-US" w:eastAsia="zh-CN"/>
              </w:rPr>
            </w:pPr>
            <w:r>
              <w:rPr>
                <w:rFonts w:hint="eastAsia"/>
                <w:color w:val="auto"/>
                <w:highlight w:val="none"/>
                <w:lang w:val="en-US" w:eastAsia="zh-CN"/>
              </w:rPr>
              <w:t>3</w:t>
            </w:r>
          </w:p>
        </w:tc>
        <w:tc>
          <w:tcPr>
            <w:tcW w:w="691" w:type="dxa"/>
            <w:vMerge w:val="continue"/>
            <w:tcBorders>
              <w:tl2br w:val="nil"/>
              <w:tr2bl w:val="nil"/>
            </w:tcBorders>
            <w:noWrap w:val="0"/>
            <w:vAlign w:val="center"/>
          </w:tcPr>
          <w:p w14:paraId="76686BC9">
            <w:pPr>
              <w:pStyle w:val="1358"/>
              <w:rPr>
                <w:rFonts w:hint="eastAsia"/>
                <w:color w:val="auto"/>
                <w:highlight w:val="none"/>
                <w:lang w:val="en-US" w:eastAsia="zh-CN"/>
              </w:rPr>
            </w:pPr>
          </w:p>
        </w:tc>
        <w:tc>
          <w:tcPr>
            <w:tcW w:w="2265" w:type="dxa"/>
            <w:tcBorders>
              <w:tl2br w:val="nil"/>
              <w:tr2bl w:val="nil"/>
            </w:tcBorders>
            <w:noWrap w:val="0"/>
            <w:vAlign w:val="center"/>
          </w:tcPr>
          <w:p w14:paraId="0AE2D497">
            <w:pPr>
              <w:pStyle w:val="1358"/>
              <w:rPr>
                <w:rFonts w:hint="eastAsia"/>
                <w:color w:val="auto"/>
                <w:highlight w:val="none"/>
                <w:lang w:val="en-US" w:eastAsia="zh-CN"/>
              </w:rPr>
            </w:pPr>
            <w:r>
              <w:rPr>
                <w:rFonts w:hint="eastAsia"/>
                <w:color w:val="auto"/>
                <w:highlight w:val="none"/>
                <w:lang w:val="en-US" w:eastAsia="zh-CN"/>
              </w:rPr>
              <w:t>废抛光片</w:t>
            </w:r>
          </w:p>
        </w:tc>
        <w:tc>
          <w:tcPr>
            <w:tcW w:w="840" w:type="dxa"/>
            <w:tcBorders>
              <w:tl2br w:val="nil"/>
              <w:tr2bl w:val="nil"/>
            </w:tcBorders>
            <w:noWrap w:val="0"/>
            <w:vAlign w:val="center"/>
          </w:tcPr>
          <w:p w14:paraId="532F486E">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54A5A710">
            <w:pPr>
              <w:pStyle w:val="1358"/>
              <w:rPr>
                <w:rFonts w:hint="eastAsia"/>
                <w:color w:val="auto"/>
                <w:highlight w:val="none"/>
                <w:lang w:val="en-US" w:eastAsia="zh-CN"/>
              </w:rPr>
            </w:pPr>
            <w:r>
              <w:rPr>
                <w:rFonts w:hint="default"/>
                <w:color w:val="auto"/>
                <w:highlight w:val="none"/>
                <w:lang w:val="en-US" w:eastAsia="zh-CN"/>
              </w:rPr>
              <w:t>0.015</w:t>
            </w:r>
          </w:p>
        </w:tc>
        <w:tc>
          <w:tcPr>
            <w:tcW w:w="3269" w:type="dxa"/>
            <w:vMerge w:val="continue"/>
            <w:tcBorders>
              <w:tl2br w:val="nil"/>
              <w:tr2bl w:val="nil"/>
            </w:tcBorders>
            <w:noWrap w:val="0"/>
            <w:vAlign w:val="center"/>
          </w:tcPr>
          <w:p w14:paraId="190307F4">
            <w:pPr>
              <w:pStyle w:val="1358"/>
              <w:rPr>
                <w:color w:val="auto"/>
                <w:highlight w:val="none"/>
              </w:rPr>
            </w:pPr>
          </w:p>
        </w:tc>
      </w:tr>
      <w:tr w14:paraId="5B46D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758BE023">
            <w:pPr>
              <w:pStyle w:val="1358"/>
              <w:rPr>
                <w:rFonts w:hint="default"/>
                <w:color w:val="auto"/>
                <w:highlight w:val="none"/>
                <w:lang w:val="en-US" w:eastAsia="zh-CN"/>
              </w:rPr>
            </w:pPr>
            <w:r>
              <w:rPr>
                <w:rFonts w:hint="eastAsia"/>
                <w:color w:val="auto"/>
                <w:highlight w:val="none"/>
                <w:lang w:val="en-US" w:eastAsia="zh-CN"/>
              </w:rPr>
              <w:t>4</w:t>
            </w:r>
          </w:p>
        </w:tc>
        <w:tc>
          <w:tcPr>
            <w:tcW w:w="691" w:type="dxa"/>
            <w:vMerge w:val="continue"/>
            <w:tcBorders>
              <w:tl2br w:val="nil"/>
              <w:tr2bl w:val="nil"/>
            </w:tcBorders>
            <w:noWrap w:val="0"/>
            <w:vAlign w:val="center"/>
          </w:tcPr>
          <w:p w14:paraId="05390943">
            <w:pPr>
              <w:pStyle w:val="1358"/>
              <w:rPr>
                <w:rFonts w:hint="eastAsia"/>
                <w:color w:val="auto"/>
                <w:highlight w:val="none"/>
                <w:lang w:val="en-US" w:eastAsia="zh-CN"/>
              </w:rPr>
            </w:pPr>
          </w:p>
        </w:tc>
        <w:tc>
          <w:tcPr>
            <w:tcW w:w="2265" w:type="dxa"/>
            <w:tcBorders>
              <w:tl2br w:val="nil"/>
              <w:tr2bl w:val="nil"/>
            </w:tcBorders>
            <w:noWrap w:val="0"/>
            <w:vAlign w:val="center"/>
          </w:tcPr>
          <w:p w14:paraId="29AF850F">
            <w:pPr>
              <w:pStyle w:val="1358"/>
              <w:rPr>
                <w:rFonts w:hint="default"/>
                <w:color w:val="auto"/>
                <w:highlight w:val="none"/>
                <w:lang w:val="en-US" w:eastAsia="zh-CN"/>
              </w:rPr>
            </w:pPr>
            <w:r>
              <w:rPr>
                <w:rFonts w:hint="eastAsia"/>
                <w:color w:val="auto"/>
                <w:highlight w:val="none"/>
                <w:lang w:val="en-US" w:eastAsia="zh-CN"/>
              </w:rPr>
              <w:t>纯水制备系统废滤材</w:t>
            </w:r>
          </w:p>
        </w:tc>
        <w:tc>
          <w:tcPr>
            <w:tcW w:w="840" w:type="dxa"/>
            <w:tcBorders>
              <w:tl2br w:val="nil"/>
              <w:tr2bl w:val="nil"/>
            </w:tcBorders>
            <w:noWrap w:val="0"/>
            <w:vAlign w:val="center"/>
          </w:tcPr>
          <w:p w14:paraId="6F016120">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45833658">
            <w:pPr>
              <w:pStyle w:val="1358"/>
              <w:rPr>
                <w:rFonts w:hint="default"/>
                <w:color w:val="auto"/>
                <w:highlight w:val="none"/>
                <w:lang w:val="en-US" w:eastAsia="zh-CN"/>
              </w:rPr>
            </w:pPr>
            <w:r>
              <w:rPr>
                <w:rFonts w:hint="default"/>
                <w:color w:val="auto"/>
                <w:highlight w:val="none"/>
                <w:lang w:val="en-US" w:eastAsia="zh-CN"/>
              </w:rPr>
              <w:t>0.05</w:t>
            </w:r>
          </w:p>
        </w:tc>
        <w:tc>
          <w:tcPr>
            <w:tcW w:w="3269" w:type="dxa"/>
            <w:vMerge w:val="continue"/>
            <w:tcBorders>
              <w:tl2br w:val="nil"/>
              <w:tr2bl w:val="nil"/>
            </w:tcBorders>
            <w:noWrap w:val="0"/>
            <w:vAlign w:val="center"/>
          </w:tcPr>
          <w:p w14:paraId="77396688">
            <w:pPr>
              <w:pStyle w:val="1358"/>
              <w:rPr>
                <w:color w:val="auto"/>
                <w:highlight w:val="none"/>
              </w:rPr>
            </w:pPr>
          </w:p>
        </w:tc>
      </w:tr>
      <w:tr w14:paraId="25D6C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0D5744FD">
            <w:pPr>
              <w:pStyle w:val="1358"/>
              <w:rPr>
                <w:rFonts w:hint="default"/>
                <w:color w:val="auto"/>
                <w:highlight w:val="none"/>
                <w:lang w:val="en-US" w:eastAsia="zh-CN"/>
              </w:rPr>
            </w:pPr>
            <w:r>
              <w:rPr>
                <w:rFonts w:hint="eastAsia"/>
                <w:color w:val="auto"/>
                <w:highlight w:val="none"/>
                <w:lang w:val="en-US" w:eastAsia="zh-CN"/>
              </w:rPr>
              <w:t>5</w:t>
            </w:r>
          </w:p>
        </w:tc>
        <w:tc>
          <w:tcPr>
            <w:tcW w:w="691" w:type="dxa"/>
            <w:vMerge w:val="continue"/>
            <w:tcBorders>
              <w:tl2br w:val="nil"/>
              <w:tr2bl w:val="nil"/>
            </w:tcBorders>
            <w:noWrap w:val="0"/>
            <w:vAlign w:val="center"/>
          </w:tcPr>
          <w:p w14:paraId="2F16F31B">
            <w:pPr>
              <w:pStyle w:val="1358"/>
              <w:rPr>
                <w:rFonts w:hint="eastAsia"/>
                <w:color w:val="auto"/>
                <w:highlight w:val="none"/>
                <w:lang w:val="en-US" w:eastAsia="zh-CN"/>
              </w:rPr>
            </w:pPr>
          </w:p>
        </w:tc>
        <w:tc>
          <w:tcPr>
            <w:tcW w:w="2265" w:type="dxa"/>
            <w:tcBorders>
              <w:tl2br w:val="nil"/>
              <w:tr2bl w:val="nil"/>
            </w:tcBorders>
            <w:noWrap w:val="0"/>
            <w:vAlign w:val="center"/>
          </w:tcPr>
          <w:p w14:paraId="43D582CD">
            <w:pPr>
              <w:pStyle w:val="1358"/>
              <w:rPr>
                <w:rFonts w:hint="default"/>
                <w:color w:val="auto"/>
                <w:highlight w:val="none"/>
                <w:lang w:val="en-US" w:eastAsia="zh-CN"/>
              </w:rPr>
            </w:pPr>
            <w:r>
              <w:rPr>
                <w:rFonts w:hint="eastAsia"/>
                <w:color w:val="auto"/>
                <w:highlight w:val="none"/>
                <w:lang w:val="en-US" w:eastAsia="zh-CN"/>
              </w:rPr>
              <w:t>废蓄热陶瓷体</w:t>
            </w:r>
          </w:p>
        </w:tc>
        <w:tc>
          <w:tcPr>
            <w:tcW w:w="840" w:type="dxa"/>
            <w:tcBorders>
              <w:tl2br w:val="nil"/>
              <w:tr2bl w:val="nil"/>
            </w:tcBorders>
            <w:noWrap w:val="0"/>
            <w:vAlign w:val="center"/>
          </w:tcPr>
          <w:p w14:paraId="228E89EB">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07758CFC">
            <w:pPr>
              <w:pStyle w:val="1358"/>
              <w:rPr>
                <w:rFonts w:hint="eastAsia"/>
                <w:color w:val="auto"/>
                <w:highlight w:val="none"/>
                <w:lang w:val="en-US" w:eastAsia="zh-CN"/>
              </w:rPr>
            </w:pPr>
            <w:r>
              <w:rPr>
                <w:rFonts w:hint="default"/>
                <w:color w:val="auto"/>
                <w:highlight w:val="none"/>
                <w:lang w:val="en-US" w:eastAsia="zh-CN"/>
              </w:rPr>
              <w:t>0.2</w:t>
            </w:r>
          </w:p>
        </w:tc>
        <w:tc>
          <w:tcPr>
            <w:tcW w:w="3269" w:type="dxa"/>
            <w:vMerge w:val="continue"/>
            <w:tcBorders>
              <w:tl2br w:val="nil"/>
              <w:tr2bl w:val="nil"/>
            </w:tcBorders>
            <w:noWrap w:val="0"/>
            <w:vAlign w:val="center"/>
          </w:tcPr>
          <w:p w14:paraId="4D4C57AB">
            <w:pPr>
              <w:pStyle w:val="1358"/>
              <w:rPr>
                <w:color w:val="auto"/>
                <w:highlight w:val="none"/>
              </w:rPr>
            </w:pPr>
          </w:p>
        </w:tc>
      </w:tr>
      <w:tr w14:paraId="1A842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2232EB17">
            <w:pPr>
              <w:pStyle w:val="1358"/>
              <w:rPr>
                <w:rFonts w:hint="default"/>
                <w:color w:val="auto"/>
                <w:highlight w:val="none"/>
                <w:lang w:val="en-US" w:eastAsia="zh-CN"/>
              </w:rPr>
            </w:pPr>
            <w:r>
              <w:rPr>
                <w:rFonts w:hint="eastAsia"/>
                <w:color w:val="auto"/>
                <w:highlight w:val="none"/>
                <w:lang w:val="en-US" w:eastAsia="zh-CN"/>
              </w:rPr>
              <w:t>6</w:t>
            </w:r>
          </w:p>
        </w:tc>
        <w:tc>
          <w:tcPr>
            <w:tcW w:w="691" w:type="dxa"/>
            <w:vMerge w:val="continue"/>
            <w:tcBorders>
              <w:tl2br w:val="nil"/>
              <w:tr2bl w:val="nil"/>
            </w:tcBorders>
            <w:noWrap w:val="0"/>
            <w:vAlign w:val="center"/>
          </w:tcPr>
          <w:p w14:paraId="4E9D0D1D">
            <w:pPr>
              <w:pStyle w:val="1358"/>
              <w:rPr>
                <w:rFonts w:hint="eastAsia"/>
                <w:color w:val="auto"/>
                <w:highlight w:val="none"/>
                <w:lang w:val="en-US" w:eastAsia="zh-CN"/>
              </w:rPr>
            </w:pPr>
          </w:p>
        </w:tc>
        <w:tc>
          <w:tcPr>
            <w:tcW w:w="2265" w:type="dxa"/>
            <w:tcBorders>
              <w:tl2br w:val="nil"/>
              <w:tr2bl w:val="nil"/>
            </w:tcBorders>
            <w:noWrap w:val="0"/>
            <w:vAlign w:val="center"/>
          </w:tcPr>
          <w:p w14:paraId="62BDA35A">
            <w:pPr>
              <w:pStyle w:val="1358"/>
              <w:rPr>
                <w:rFonts w:hint="default"/>
                <w:color w:val="auto"/>
                <w:highlight w:val="none"/>
                <w:lang w:val="en-US" w:eastAsia="zh-CN"/>
              </w:rPr>
            </w:pPr>
            <w:r>
              <w:rPr>
                <w:rFonts w:hint="eastAsia"/>
                <w:color w:val="auto"/>
                <w:highlight w:val="none"/>
                <w:lang w:val="en-US" w:eastAsia="zh-CN"/>
              </w:rPr>
              <w:t>袋式除尘器收集的粉尘</w:t>
            </w:r>
          </w:p>
        </w:tc>
        <w:tc>
          <w:tcPr>
            <w:tcW w:w="840" w:type="dxa"/>
            <w:tcBorders>
              <w:tl2br w:val="nil"/>
              <w:tr2bl w:val="nil"/>
            </w:tcBorders>
            <w:noWrap w:val="0"/>
            <w:vAlign w:val="center"/>
          </w:tcPr>
          <w:p w14:paraId="2610C6FF">
            <w:pPr>
              <w:pStyle w:val="1358"/>
              <w:rPr>
                <w:rFonts w:hint="eastAsia"/>
                <w:color w:val="auto"/>
                <w:highlight w:val="none"/>
                <w:lang w:val="en-US" w:eastAsia="zh-CN"/>
              </w:rPr>
            </w:pPr>
            <w:r>
              <w:rPr>
                <w:rFonts w:hint="eastAsia"/>
                <w:color w:val="auto"/>
                <w:highlight w:val="none"/>
                <w:lang w:val="en-US" w:eastAsia="zh-CN"/>
              </w:rPr>
              <w:t>固态</w:t>
            </w:r>
          </w:p>
        </w:tc>
        <w:tc>
          <w:tcPr>
            <w:tcW w:w="1425" w:type="dxa"/>
            <w:tcBorders>
              <w:tl2br w:val="nil"/>
              <w:tr2bl w:val="nil"/>
            </w:tcBorders>
            <w:noWrap w:val="0"/>
            <w:vAlign w:val="center"/>
          </w:tcPr>
          <w:p w14:paraId="02D815AE">
            <w:pPr>
              <w:pStyle w:val="1358"/>
              <w:rPr>
                <w:rFonts w:hint="eastAsia"/>
                <w:color w:val="auto"/>
                <w:highlight w:val="none"/>
                <w:lang w:val="en-US" w:eastAsia="zh-CN"/>
              </w:rPr>
            </w:pPr>
            <w:r>
              <w:rPr>
                <w:rFonts w:hint="default"/>
                <w:color w:val="auto"/>
                <w:highlight w:val="none"/>
                <w:lang w:val="en-US" w:eastAsia="zh-CN"/>
              </w:rPr>
              <w:t>0.0439</w:t>
            </w:r>
          </w:p>
        </w:tc>
        <w:tc>
          <w:tcPr>
            <w:tcW w:w="3269" w:type="dxa"/>
            <w:vMerge w:val="continue"/>
            <w:tcBorders>
              <w:tl2br w:val="nil"/>
              <w:tr2bl w:val="nil"/>
            </w:tcBorders>
            <w:noWrap w:val="0"/>
            <w:vAlign w:val="center"/>
          </w:tcPr>
          <w:p w14:paraId="03D3B9C3">
            <w:pPr>
              <w:pStyle w:val="1358"/>
              <w:rPr>
                <w:color w:val="auto"/>
                <w:highlight w:val="none"/>
              </w:rPr>
            </w:pPr>
          </w:p>
        </w:tc>
      </w:tr>
      <w:tr w14:paraId="57903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84" w:type="dxa"/>
            <w:gridSpan w:val="4"/>
            <w:tcBorders>
              <w:tl2br w:val="nil"/>
              <w:tr2bl w:val="nil"/>
            </w:tcBorders>
            <w:noWrap w:val="0"/>
            <w:vAlign w:val="center"/>
          </w:tcPr>
          <w:p w14:paraId="57E964D6">
            <w:pPr>
              <w:pStyle w:val="1358"/>
              <w:rPr>
                <w:b/>
                <w:color w:val="auto"/>
                <w:highlight w:val="none"/>
              </w:rPr>
            </w:pPr>
            <w:r>
              <w:rPr>
                <w:b/>
                <w:color w:val="auto"/>
                <w:highlight w:val="none"/>
              </w:rPr>
              <w:t>小计</w:t>
            </w:r>
          </w:p>
        </w:tc>
        <w:tc>
          <w:tcPr>
            <w:tcW w:w="1425" w:type="dxa"/>
            <w:tcBorders>
              <w:tl2br w:val="nil"/>
              <w:tr2bl w:val="nil"/>
            </w:tcBorders>
            <w:noWrap w:val="0"/>
            <w:vAlign w:val="center"/>
          </w:tcPr>
          <w:p w14:paraId="4FCF8861">
            <w:pPr>
              <w:pStyle w:val="1358"/>
              <w:rPr>
                <w:rFonts w:hint="default"/>
                <w:color w:val="auto"/>
                <w:highlight w:val="none"/>
                <w:lang w:val="en-US" w:eastAsia="zh-CN"/>
              </w:rPr>
            </w:pPr>
            <w:r>
              <w:rPr>
                <w:rFonts w:hint="default"/>
                <w:color w:val="auto"/>
                <w:highlight w:val="none"/>
                <w:lang w:val="en-US" w:eastAsia="zh-CN"/>
              </w:rPr>
              <w:t>147.7432</w:t>
            </w:r>
          </w:p>
        </w:tc>
        <w:tc>
          <w:tcPr>
            <w:tcW w:w="3269" w:type="dxa"/>
            <w:tcBorders>
              <w:tl2br w:val="nil"/>
              <w:tr2bl w:val="nil"/>
            </w:tcBorders>
            <w:noWrap w:val="0"/>
            <w:vAlign w:val="center"/>
          </w:tcPr>
          <w:p w14:paraId="2D898891">
            <w:pPr>
              <w:pStyle w:val="1358"/>
              <w:rPr>
                <w:b/>
                <w:color w:val="auto"/>
                <w:highlight w:val="none"/>
              </w:rPr>
            </w:pPr>
            <w:r>
              <w:rPr>
                <w:b/>
                <w:color w:val="auto"/>
                <w:highlight w:val="none"/>
              </w:rPr>
              <w:t>/</w:t>
            </w:r>
          </w:p>
        </w:tc>
      </w:tr>
      <w:tr w14:paraId="5732E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tcBorders>
              <w:tl2br w:val="nil"/>
              <w:tr2bl w:val="nil"/>
            </w:tcBorders>
            <w:noWrap w:val="0"/>
            <w:vAlign w:val="center"/>
          </w:tcPr>
          <w:p w14:paraId="5B8F025B">
            <w:pPr>
              <w:pStyle w:val="1358"/>
              <w:rPr>
                <w:rFonts w:hint="default" w:eastAsia="宋体"/>
                <w:color w:val="auto"/>
                <w:highlight w:val="none"/>
                <w:lang w:val="en-US" w:eastAsia="zh-CN"/>
              </w:rPr>
            </w:pPr>
            <w:r>
              <w:rPr>
                <w:rFonts w:hint="eastAsia"/>
                <w:color w:val="auto"/>
                <w:highlight w:val="none"/>
                <w:lang w:val="en-US" w:eastAsia="zh-CN"/>
              </w:rPr>
              <w:t>1</w:t>
            </w:r>
          </w:p>
        </w:tc>
        <w:tc>
          <w:tcPr>
            <w:tcW w:w="2956" w:type="dxa"/>
            <w:gridSpan w:val="2"/>
            <w:tcBorders>
              <w:tl2br w:val="nil"/>
              <w:tr2bl w:val="nil"/>
            </w:tcBorders>
            <w:noWrap w:val="0"/>
            <w:vAlign w:val="center"/>
          </w:tcPr>
          <w:p w14:paraId="39793636">
            <w:pPr>
              <w:pStyle w:val="1358"/>
              <w:rPr>
                <w:color w:val="auto"/>
                <w:highlight w:val="none"/>
              </w:rPr>
            </w:pPr>
            <w:r>
              <w:rPr>
                <w:color w:val="auto"/>
                <w:highlight w:val="none"/>
              </w:rPr>
              <w:t>生活垃圾</w:t>
            </w:r>
          </w:p>
        </w:tc>
        <w:tc>
          <w:tcPr>
            <w:tcW w:w="840" w:type="dxa"/>
            <w:tcBorders>
              <w:tl2br w:val="nil"/>
              <w:tr2bl w:val="nil"/>
            </w:tcBorders>
            <w:noWrap w:val="0"/>
            <w:vAlign w:val="center"/>
          </w:tcPr>
          <w:p w14:paraId="6F901591">
            <w:pPr>
              <w:pStyle w:val="1358"/>
              <w:rPr>
                <w:color w:val="auto"/>
                <w:highlight w:val="none"/>
              </w:rPr>
            </w:pPr>
            <w:r>
              <w:rPr>
                <w:color w:val="auto"/>
                <w:highlight w:val="none"/>
              </w:rPr>
              <w:t>/</w:t>
            </w:r>
          </w:p>
        </w:tc>
        <w:tc>
          <w:tcPr>
            <w:tcW w:w="1425" w:type="dxa"/>
            <w:tcBorders>
              <w:tl2br w:val="nil"/>
              <w:tr2bl w:val="nil"/>
            </w:tcBorders>
            <w:noWrap w:val="0"/>
            <w:vAlign w:val="center"/>
          </w:tcPr>
          <w:p w14:paraId="0361B590">
            <w:pPr>
              <w:pStyle w:val="1358"/>
              <w:rPr>
                <w:rFonts w:hint="default"/>
                <w:color w:val="auto"/>
                <w:highlight w:val="none"/>
                <w:lang w:val="en-US" w:eastAsia="zh-CN"/>
              </w:rPr>
            </w:pPr>
            <w:r>
              <w:rPr>
                <w:rFonts w:hint="eastAsia"/>
                <w:color w:val="auto"/>
                <w:highlight w:val="none"/>
                <w:lang w:val="en-US" w:eastAsia="zh-CN"/>
              </w:rPr>
              <w:t>7.5</w:t>
            </w:r>
          </w:p>
        </w:tc>
        <w:tc>
          <w:tcPr>
            <w:tcW w:w="3269" w:type="dxa"/>
            <w:tcBorders>
              <w:tl2br w:val="nil"/>
              <w:tr2bl w:val="nil"/>
            </w:tcBorders>
            <w:noWrap w:val="0"/>
            <w:vAlign w:val="center"/>
          </w:tcPr>
          <w:p w14:paraId="1A5FD627">
            <w:pPr>
              <w:pStyle w:val="1358"/>
              <w:rPr>
                <w:color w:val="auto"/>
                <w:highlight w:val="none"/>
              </w:rPr>
            </w:pPr>
            <w:r>
              <w:rPr>
                <w:color w:val="auto"/>
                <w:highlight w:val="none"/>
              </w:rPr>
              <w:t>生活垃圾收集桶收集后由环卫部门统一清运处置</w:t>
            </w:r>
          </w:p>
        </w:tc>
      </w:tr>
    </w:tbl>
    <w:p w14:paraId="263CF867">
      <w:pPr>
        <w:pStyle w:val="4"/>
        <w:numPr>
          <w:ilvl w:val="2"/>
          <w:numId w:val="0"/>
        </w:numPr>
        <w:tabs>
          <w:tab w:val="clear" w:pos="720"/>
        </w:tabs>
        <w:bidi w:val="0"/>
        <w:rPr>
          <w:color w:val="auto"/>
          <w:highlight w:val="none"/>
        </w:rPr>
      </w:pPr>
      <w:bookmarkStart w:id="525" w:name="_Toc2685"/>
      <w:r>
        <w:rPr>
          <w:color w:val="auto"/>
          <w:highlight w:val="none"/>
        </w:rPr>
        <w:t>5.5.2</w:t>
      </w:r>
      <w:r>
        <w:rPr>
          <w:rFonts w:hint="eastAsia"/>
          <w:color w:val="auto"/>
          <w:highlight w:val="none"/>
          <w:lang w:val="en-US" w:eastAsia="zh-CN"/>
        </w:rPr>
        <w:t xml:space="preserve"> </w:t>
      </w:r>
      <w:r>
        <w:rPr>
          <w:color w:val="auto"/>
          <w:highlight w:val="none"/>
        </w:rPr>
        <w:t>固体废物环境影响分析</w:t>
      </w:r>
      <w:bookmarkEnd w:id="525"/>
    </w:p>
    <w:p w14:paraId="2E9C83DA">
      <w:pPr>
        <w:pStyle w:val="5"/>
        <w:numPr>
          <w:ilvl w:val="3"/>
          <w:numId w:val="0"/>
        </w:numPr>
        <w:bidi w:val="0"/>
        <w:ind w:leftChars="0"/>
        <w:rPr>
          <w:color w:val="auto"/>
          <w:highlight w:val="none"/>
        </w:rPr>
      </w:pPr>
      <w:r>
        <w:rPr>
          <w:color w:val="auto"/>
          <w:highlight w:val="none"/>
        </w:rPr>
        <w:t>5.5.2.</w:t>
      </w:r>
      <w:r>
        <w:rPr>
          <w:rFonts w:hint="eastAsia"/>
          <w:color w:val="auto"/>
          <w:highlight w:val="none"/>
          <w:lang w:val="en-US" w:eastAsia="zh-CN"/>
        </w:rPr>
        <w:t xml:space="preserve">1 </w:t>
      </w:r>
      <w:r>
        <w:rPr>
          <w:color w:val="auto"/>
          <w:highlight w:val="none"/>
        </w:rPr>
        <w:t>一般工业固体废物环境影响分析</w:t>
      </w:r>
    </w:p>
    <w:p w14:paraId="4F659E5A">
      <w:pPr>
        <w:pStyle w:val="1336"/>
        <w:rPr>
          <w:rFonts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本项目运营期固废主要包括注塑不合格品和边角废料、废包装材料、废抛光片、纯水制备系统废滤材(包括废石英砂、废活性炭和废反渗透膜等)</w:t>
      </w:r>
      <w:r>
        <w:rPr>
          <w:rFonts w:hint="eastAsia" w:ascii="Times New Roman" w:hAnsi="Times New Roman" w:eastAsia="宋体" w:cs="Times New Roman"/>
          <w:color w:val="auto"/>
          <w:highlight w:val="none"/>
          <w:lang w:val="en-US" w:eastAsia="zh-CN"/>
        </w:rPr>
        <w:t>、废蓄热陶瓷体、袋式除尘器收集的粉尘</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经妥善分类收集后暂存于一般工业固废暂存间内，定期出售给回收企业综合利用</w:t>
      </w:r>
      <w:r>
        <w:rPr>
          <w:rFonts w:ascii="Times New Roman" w:hAnsi="Times New Roman" w:eastAsia="宋体" w:cs="Times New Roman"/>
          <w:color w:val="auto"/>
          <w:highlight w:val="none"/>
        </w:rPr>
        <w:t>，不会对外环境造成明显影响。</w:t>
      </w:r>
    </w:p>
    <w:p w14:paraId="464935E0">
      <w:pPr>
        <w:pStyle w:val="5"/>
        <w:numPr>
          <w:ilvl w:val="3"/>
          <w:numId w:val="0"/>
        </w:numPr>
        <w:bidi w:val="0"/>
        <w:ind w:leftChars="0"/>
        <w:rPr>
          <w:color w:val="auto"/>
          <w:highlight w:val="none"/>
        </w:rPr>
      </w:pPr>
      <w:r>
        <w:rPr>
          <w:color w:val="auto"/>
          <w:highlight w:val="none"/>
        </w:rPr>
        <w:t>5.5.2.</w:t>
      </w:r>
      <w:r>
        <w:rPr>
          <w:rFonts w:hint="eastAsia"/>
          <w:color w:val="auto"/>
          <w:highlight w:val="none"/>
          <w:lang w:val="en-US" w:eastAsia="zh-CN"/>
        </w:rPr>
        <w:t xml:space="preserve">2 </w:t>
      </w:r>
      <w:r>
        <w:rPr>
          <w:rFonts w:hint="eastAsia"/>
          <w:color w:val="auto"/>
          <w:highlight w:val="none"/>
        </w:rPr>
        <w:t>生活垃圾</w:t>
      </w:r>
      <w:r>
        <w:rPr>
          <w:color w:val="auto"/>
          <w:highlight w:val="none"/>
        </w:rPr>
        <w:t>环境影响分析</w:t>
      </w:r>
    </w:p>
    <w:p w14:paraId="0E60C5E8">
      <w:pPr>
        <w:pStyle w:val="1336"/>
        <w:rPr>
          <w:color w:val="auto"/>
          <w:szCs w:val="24"/>
          <w:highlight w:val="none"/>
        </w:rPr>
      </w:pPr>
      <w:r>
        <w:rPr>
          <w:color w:val="auto"/>
          <w:szCs w:val="24"/>
          <w:highlight w:val="none"/>
        </w:rPr>
        <w:t>生活垃圾由</w:t>
      </w:r>
      <w:r>
        <w:rPr>
          <w:color w:val="auto"/>
          <w:highlight w:val="none"/>
        </w:rPr>
        <w:t>生活垃圾收集桶收集后交由</w:t>
      </w:r>
      <w:r>
        <w:rPr>
          <w:color w:val="auto"/>
          <w:szCs w:val="24"/>
          <w:highlight w:val="none"/>
        </w:rPr>
        <w:t>环卫部门统一</w:t>
      </w:r>
      <w:r>
        <w:rPr>
          <w:color w:val="auto"/>
          <w:highlight w:val="none"/>
        </w:rPr>
        <w:t>处置</w:t>
      </w:r>
      <w:r>
        <w:rPr>
          <w:color w:val="auto"/>
          <w:szCs w:val="24"/>
          <w:highlight w:val="none"/>
        </w:rPr>
        <w:t>。</w:t>
      </w:r>
    </w:p>
    <w:p w14:paraId="39852478">
      <w:pPr>
        <w:pStyle w:val="5"/>
        <w:numPr>
          <w:ilvl w:val="3"/>
          <w:numId w:val="0"/>
        </w:numPr>
        <w:bidi w:val="0"/>
        <w:ind w:leftChars="0"/>
        <w:rPr>
          <w:color w:val="auto"/>
          <w:highlight w:val="none"/>
        </w:rPr>
      </w:pPr>
      <w:r>
        <w:rPr>
          <w:color w:val="auto"/>
          <w:highlight w:val="none"/>
        </w:rPr>
        <w:t>5.5.2.</w:t>
      </w:r>
      <w:r>
        <w:rPr>
          <w:rFonts w:hint="eastAsia"/>
          <w:color w:val="auto"/>
          <w:highlight w:val="none"/>
          <w:lang w:val="en-US" w:eastAsia="zh-CN"/>
        </w:rPr>
        <w:t xml:space="preserve">3 </w:t>
      </w:r>
      <w:r>
        <w:rPr>
          <w:color w:val="auto"/>
          <w:highlight w:val="none"/>
        </w:rPr>
        <w:t>危险废物环境影响分析</w:t>
      </w:r>
    </w:p>
    <w:p w14:paraId="44BFF351">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本项目产生的危险废物暂存于危险废物</w:t>
      </w:r>
      <w:r>
        <w:rPr>
          <w:rFonts w:hint="eastAsia" w:ascii="Times New Roman" w:hAnsi="Times New Roman" w:eastAsia="宋体" w:cs="Times New Roman"/>
          <w:color w:val="auto"/>
          <w:sz w:val="24"/>
          <w:szCs w:val="24"/>
          <w:highlight w:val="none"/>
          <w:lang w:val="en-US" w:eastAsia="zh-CN"/>
        </w:rPr>
        <w:t>贮</w:t>
      </w:r>
      <w:r>
        <w:rPr>
          <w:rFonts w:hint="default" w:ascii="Times New Roman" w:hAnsi="Times New Roman" w:eastAsia="宋体" w:cs="Times New Roman"/>
          <w:color w:val="auto"/>
          <w:sz w:val="24"/>
          <w:szCs w:val="24"/>
          <w:highlight w:val="none"/>
        </w:rPr>
        <w:t>存库，定期委托有资质的单位处置；各类危险废物均能够得到有效处置，不会随意排放到环境中，不会对环境产生不利影响，处置措施可行。</w:t>
      </w:r>
    </w:p>
    <w:p w14:paraId="31164BB1">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项目拟建一座危废贮存库，占地面积约30m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，本项目危废贮存库应按照《危险废物贮存污染控制标准》（GB18597-2023）的要求进行建设，采取必要的防风、防晒、防雨、防漏、防渗、防腐以及其他环境污染防治措施。具体要求如下：</w:t>
      </w:r>
    </w:p>
    <w:p w14:paraId="0B41D1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eastAsia" w:ascii="Times New Roman" w:hAnsi="Times New Roman" w:eastAsia="宋体" w:cs="Times New Roman"/>
          <w:color w:val="auto"/>
          <w:sz w:val="24"/>
          <w:szCs w:val="24"/>
          <w:highlight w:val="none"/>
          <w:lang w:eastAsia="zh-CN"/>
        </w:rPr>
        <w:t>危废贮存库</w:t>
      </w:r>
      <w:r>
        <w:rPr>
          <w:rFonts w:hint="default" w:ascii="Times New Roman" w:hAnsi="Times New Roman" w:eastAsia="宋体" w:cs="Times New Roman"/>
          <w:color w:val="auto"/>
          <w:sz w:val="24"/>
          <w:szCs w:val="24"/>
          <w:highlight w:val="none"/>
        </w:rPr>
        <w:t>污染防治措施应满足以下要求：</w:t>
      </w:r>
    </w:p>
    <w:p w14:paraId="66B2CF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w:t>
      </w:r>
      <w:r>
        <w:rPr>
          <w:rFonts w:hint="eastAsia" w:ascii="Times New Roman" w:hAnsi="Times New Roman" w:eastAsia="宋体" w:cs="Times New Roman"/>
          <w:color w:val="auto"/>
          <w:sz w:val="24"/>
          <w:szCs w:val="24"/>
          <w:highlight w:val="none"/>
          <w:lang w:val="en-US" w:eastAsia="zh-CN"/>
        </w:rPr>
        <w:t>贮存设施或贮存分区内地面、墙面裙角、堵截泄漏的围堰、接触</w:t>
      </w:r>
      <w:r>
        <w:rPr>
          <w:rFonts w:hint="eastAsia"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危险废物的隔板和墙体等应采用坚固的材料建造，表面无裂缝。</w:t>
      </w:r>
    </w:p>
    <w:p w14:paraId="55DE688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②</w:t>
      </w:r>
      <w:r>
        <w:rPr>
          <w:rFonts w:hint="eastAsia" w:ascii="Times New Roman" w:hAnsi="Times New Roman" w:eastAsia="宋体" w:cs="Times New Roman"/>
          <w:color w:val="auto"/>
          <w:sz w:val="24"/>
          <w:szCs w:val="24"/>
          <w:highlight w:val="none"/>
          <w:lang w:val="en-US" w:eastAsia="zh-CN"/>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Pr>
          <w:rFonts w:hint="default" w:ascii="Times New Roman" w:hAnsi="Times New Roman" w:eastAsia="宋体" w:cs="Times New Roman"/>
          <w:color w:val="auto"/>
          <w:sz w:val="24"/>
          <w:szCs w:val="24"/>
          <w:highlight w:val="none"/>
          <w:lang w:val="en-US" w:eastAsia="zh-CN"/>
        </w:rPr>
        <w:t>1 m</w:t>
      </w:r>
      <w:r>
        <w:rPr>
          <w:rFonts w:hint="eastAsia" w:ascii="Times New Roman" w:hAnsi="Times New Roman" w:eastAsia="宋体" w:cs="Times New Roman"/>
          <w:color w:val="auto"/>
          <w:sz w:val="24"/>
          <w:szCs w:val="24"/>
          <w:highlight w:val="none"/>
          <w:lang w:val="en-US" w:eastAsia="zh-CN"/>
        </w:rPr>
        <w:t>厚黏土层（渗透系数不大于</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 xml:space="preserve">-7 </w:t>
      </w:r>
      <w:r>
        <w:rPr>
          <w:rFonts w:hint="default" w:ascii="Times New Roman" w:hAnsi="Times New Roman" w:eastAsia="宋体" w:cs="Times New Roman"/>
          <w:color w:val="auto"/>
          <w:sz w:val="24"/>
          <w:szCs w:val="24"/>
          <w:highlight w:val="none"/>
          <w:lang w:val="en-US" w:eastAsia="zh-CN"/>
        </w:rPr>
        <w:t>cm/s</w:t>
      </w:r>
      <w:r>
        <w:rPr>
          <w:rFonts w:hint="eastAsia" w:ascii="Times New Roman" w:hAnsi="Times New Roman" w:eastAsia="宋体" w:cs="Times New Roman"/>
          <w:color w:val="auto"/>
          <w:sz w:val="24"/>
          <w:szCs w:val="24"/>
          <w:highlight w:val="none"/>
          <w:lang w:val="en-US" w:eastAsia="zh-CN"/>
        </w:rPr>
        <w:t>），或至少</w:t>
      </w:r>
      <w:r>
        <w:rPr>
          <w:rFonts w:hint="default" w:ascii="Times New Roman" w:hAnsi="Times New Roman" w:eastAsia="宋体" w:cs="Times New Roman"/>
          <w:color w:val="auto"/>
          <w:sz w:val="24"/>
          <w:szCs w:val="24"/>
          <w:highlight w:val="none"/>
          <w:lang w:val="en-US" w:eastAsia="zh-CN"/>
        </w:rPr>
        <w:t>2 mm</w:t>
      </w:r>
      <w:r>
        <w:rPr>
          <w:rFonts w:hint="eastAsia" w:ascii="Times New Roman" w:hAnsi="Times New Roman" w:eastAsia="宋体" w:cs="Times New Roman"/>
          <w:color w:val="auto"/>
          <w:sz w:val="24"/>
          <w:szCs w:val="24"/>
          <w:highlight w:val="none"/>
          <w:lang w:val="en-US" w:eastAsia="zh-CN"/>
        </w:rPr>
        <w:t>厚高密度聚乙烯膜等人工防渗材料（渗透系数不大于</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-10</w:t>
      </w:r>
      <w:r>
        <w:rPr>
          <w:rFonts w:hint="default" w:ascii="Times New Roman" w:hAnsi="Times New Roman" w:eastAsia="宋体" w:cs="Times New Roman"/>
          <w:color w:val="auto"/>
          <w:sz w:val="24"/>
          <w:szCs w:val="24"/>
          <w:highlight w:val="none"/>
          <w:lang w:val="en-US" w:eastAsia="zh-CN"/>
        </w:rPr>
        <w:t xml:space="preserve"> cm/s</w:t>
      </w:r>
      <w:r>
        <w:rPr>
          <w:rFonts w:hint="eastAsia" w:ascii="Times New Roman" w:hAnsi="Times New Roman" w:eastAsia="宋体" w:cs="Times New Roman"/>
          <w:color w:val="auto"/>
          <w:sz w:val="24"/>
          <w:szCs w:val="24"/>
          <w:highlight w:val="none"/>
          <w:lang w:val="en-US" w:eastAsia="zh-CN"/>
        </w:rPr>
        <w:t>），或其他防渗性能等效的材料。</w:t>
      </w:r>
    </w:p>
    <w:p w14:paraId="4EF94E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③同一贮存设施宜采用相同的防渗、防腐工艺（包括防渗、防腐结构或材料），防渗、防腐材料应覆盖所有可能与废物及其渗滤液、渗漏液等接触的构筑物表面；采用不同防渗、防腐工艺应分别建设贮存分区。</w:t>
      </w:r>
    </w:p>
    <w:p w14:paraId="4F46AC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④存放固态半固态物料可设置收料托盘，用于收集泄漏物料。</w:t>
      </w:r>
    </w:p>
    <w:p w14:paraId="4AA4056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⑤危废贮存库内应设置防泄漏收集导流沟渠，导流沟连接至收集池内。危废贮存库内应设置防泄漏收集池，收集池容积不低于最大容器的最大量或储量的五分之一。</w:t>
      </w:r>
    </w:p>
    <w:p w14:paraId="1C7AD7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⑥贮存易产生粉尘、VOCs、酸雾、有毒有害大气污染物和刺激性气味气体的危险废物贮存库，应设置气体收集装置和气体净化设施。项目危险废物涉及VOCs，危废贮存库废气经收集后与生产废气一起采用喷淋塔+干式过滤器+活性炭吸附装置处理，通过15m高排气筒</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DA001</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排放。</w:t>
      </w:r>
    </w:p>
    <w:p w14:paraId="31B995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highlight w:val="none"/>
          <w:lang w:eastAsia="zh-CN" w:bidi="ar"/>
        </w:rPr>
      </w:pPr>
      <w:r>
        <w:rPr>
          <w:rFonts w:cs="Times New Roman"/>
          <w:color w:val="auto"/>
          <w:kern w:val="24"/>
          <w:sz w:val="24"/>
          <w:szCs w:val="24"/>
          <w:highlight w:val="none"/>
        </w:rPr>
        <w:t>2）危险废物贮存设施的运行</w:t>
      </w:r>
      <w:r>
        <w:rPr>
          <w:rFonts w:hint="eastAsia" w:cs="Times New Roman"/>
          <w:color w:val="auto"/>
          <w:kern w:val="24"/>
          <w:sz w:val="24"/>
          <w:szCs w:val="24"/>
          <w:highlight w:val="none"/>
          <w:lang w:eastAsia="zh-CN"/>
        </w:rPr>
        <w:t>环境</w:t>
      </w:r>
      <w:r>
        <w:rPr>
          <w:rFonts w:cs="Times New Roman"/>
          <w:color w:val="auto"/>
          <w:kern w:val="24"/>
          <w:sz w:val="24"/>
          <w:szCs w:val="24"/>
          <w:highlight w:val="none"/>
        </w:rPr>
        <w:t>管理要求</w:t>
      </w:r>
    </w:p>
    <w:p w14:paraId="30D3A68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sz w:val="24"/>
          <w:szCs w:val="24"/>
          <w:highlight w:val="none"/>
          <w:lang w:val="en-US" w:eastAsia="zh-CN"/>
        </w:rPr>
        <w:t>①</w:t>
      </w:r>
      <w:r>
        <w:rPr>
          <w:rFonts w:hint="eastAsia" w:ascii="Times New Roman" w:hAnsi="Times New Roman" w:eastAsia="宋体" w:cs="Times New Roman"/>
          <w:color w:val="auto"/>
          <w:kern w:val="24"/>
          <w:sz w:val="24"/>
          <w:szCs w:val="24"/>
          <w:highlight w:val="none"/>
          <w:lang w:val="en-US" w:eastAsia="zh-CN"/>
        </w:rPr>
        <w:t>危险废物存入贮存设施前应对危险废物类别和特性与危险废物标签等危险废物识别标志的一致性进行核验，不一致的或类别、特性不明的不应存入。</w:t>
      </w:r>
    </w:p>
    <w:p w14:paraId="5EEBE38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sz w:val="24"/>
          <w:szCs w:val="24"/>
          <w:highlight w:val="none"/>
          <w:lang w:val="en-US" w:eastAsia="zh-CN"/>
        </w:rPr>
        <w:t>②</w:t>
      </w:r>
      <w:r>
        <w:rPr>
          <w:rFonts w:hint="eastAsia" w:ascii="Times New Roman" w:hAnsi="Times New Roman" w:eastAsia="宋体" w:cs="Times New Roman"/>
          <w:color w:val="auto"/>
          <w:kern w:val="24"/>
          <w:sz w:val="24"/>
          <w:szCs w:val="24"/>
          <w:highlight w:val="none"/>
          <w:lang w:val="en-US" w:eastAsia="zh-CN"/>
        </w:rPr>
        <w:t>应定期检查危险废物的贮存状况，及时清理贮存设施地面，更换破损泄漏的危险废物贮存容器和包装物，保证堆存危险废物的防雨、防风、防扬尘等设施功能完好。</w:t>
      </w:r>
    </w:p>
    <w:p w14:paraId="7BC95F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sz w:val="24"/>
          <w:szCs w:val="24"/>
          <w:highlight w:val="none"/>
          <w:lang w:val="en-US" w:eastAsia="zh-CN"/>
        </w:rPr>
        <w:t>③</w:t>
      </w:r>
      <w:r>
        <w:rPr>
          <w:rFonts w:hint="eastAsia" w:ascii="Times New Roman" w:hAnsi="Times New Roman" w:eastAsia="宋体" w:cs="Times New Roman"/>
          <w:color w:val="auto"/>
          <w:kern w:val="24"/>
          <w:sz w:val="24"/>
          <w:szCs w:val="24"/>
          <w:highlight w:val="none"/>
          <w:lang w:val="en-US" w:eastAsia="zh-CN"/>
        </w:rPr>
        <w:t>作业设备及车辆等结束作业离开贮存设施时，应对其残留的危险废物进行清理，清理的废物应收集处理。</w:t>
      </w:r>
    </w:p>
    <w:p w14:paraId="4AD854B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kern w:val="24"/>
          <w:sz w:val="24"/>
          <w:szCs w:val="24"/>
          <w:highlight w:val="none"/>
          <w:lang w:val="en-US" w:eastAsia="zh-CN"/>
        </w:rPr>
        <w:t>④</w:t>
      </w:r>
      <w:r>
        <w:rPr>
          <w:rFonts w:hint="eastAsia" w:ascii="Times New Roman" w:hAnsi="Times New Roman" w:eastAsia="宋体" w:cs="Times New Roman"/>
          <w:color w:val="auto"/>
          <w:kern w:val="24"/>
          <w:sz w:val="24"/>
          <w:szCs w:val="24"/>
          <w:highlight w:val="none"/>
          <w:lang w:val="en-US" w:eastAsia="zh-CN"/>
        </w:rPr>
        <w:t>贮存设施运行期间，应按国家有关标准和规定建立危险废物管理台账并保存。</w:t>
      </w:r>
    </w:p>
    <w:p w14:paraId="1B601B0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kern w:val="24"/>
          <w:sz w:val="24"/>
          <w:szCs w:val="24"/>
          <w:highlight w:val="none"/>
          <w:lang w:val="en-US" w:eastAsia="zh-CN"/>
        </w:rPr>
        <w:t>⑤</w:t>
      </w:r>
      <w:r>
        <w:rPr>
          <w:rFonts w:hint="eastAsia" w:ascii="Times New Roman" w:hAnsi="Times New Roman" w:eastAsia="宋体" w:cs="Times New Roman"/>
          <w:color w:val="auto"/>
          <w:kern w:val="24"/>
          <w:sz w:val="24"/>
          <w:szCs w:val="24"/>
          <w:highlight w:val="none"/>
          <w:lang w:val="en-US" w:eastAsia="zh-CN"/>
        </w:rPr>
        <w:t>贮存设施所有者或运营者应建立贮存设施环境管理制度、管理人员岗位职责制度、设施运行操作制度、人员岗位培训制度等。</w:t>
      </w:r>
    </w:p>
    <w:p w14:paraId="4A60191E">
      <w:pPr>
        <w:keepNext w:val="0"/>
        <w:keepLines w:val="0"/>
        <w:pageBreakBefore w:val="0"/>
        <w:widowControl/>
        <w:suppressLineNumbers w:val="0"/>
        <w:kinsoku/>
        <w:wordWrap/>
        <w:overflowPunct/>
        <w:topLinePunct w:val="0"/>
        <w:autoSpaceDE/>
        <w:autoSpaceDN/>
        <w:bidi w:val="0"/>
        <w:adjustRightInd/>
        <w:snapToGrid/>
        <w:spacing w:line="360" w:lineRule="auto"/>
        <w:ind w:left="240" w:leftChars="100" w:firstLine="240" w:firstLineChars="100"/>
        <w:jc w:val="left"/>
        <w:textAlignment w:val="auto"/>
        <w:rPr>
          <w:rFonts w:ascii="Times New Roman" w:hAnsi="Times New Roman" w:eastAsia="宋体" w:cs="Times New Roman"/>
          <w:color w:val="auto"/>
          <w:kern w:val="24"/>
          <w:sz w:val="24"/>
          <w:szCs w:val="24"/>
          <w:highlight w:val="none"/>
        </w:rPr>
      </w:pPr>
      <w:r>
        <w:rPr>
          <w:rFonts w:hint="eastAsia" w:ascii="宋体" w:hAnsi="宋体" w:eastAsia="宋体" w:cs="宋体"/>
          <w:color w:val="auto"/>
          <w:kern w:val="24"/>
          <w:sz w:val="24"/>
          <w:szCs w:val="24"/>
          <w:highlight w:val="none"/>
          <w:lang w:val="en-US" w:eastAsia="zh-CN"/>
        </w:rPr>
        <w:t>⑥</w:t>
      </w:r>
      <w:r>
        <w:rPr>
          <w:rFonts w:hint="eastAsia" w:ascii="Times New Roman" w:hAnsi="Times New Roman" w:eastAsia="宋体" w:cs="Times New Roman"/>
          <w:color w:val="auto"/>
          <w:kern w:val="24"/>
          <w:sz w:val="24"/>
          <w:szCs w:val="24"/>
          <w:highlight w:val="none"/>
          <w:lang w:val="en-US" w:eastAsia="zh-CN"/>
        </w:rPr>
        <w:t>贮存设施所有者或运营者应建立贮存设施全部档案，包括设计、施工、验收、运行、监测和环境应急等，应按国家有关档案管理的法律法规进行整理和归档。</w:t>
      </w:r>
    </w:p>
    <w:p w14:paraId="336B9207">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kern w:val="24"/>
          <w:sz w:val="24"/>
          <w:szCs w:val="24"/>
          <w:highlight w:val="none"/>
        </w:rPr>
      </w:pPr>
      <w:r>
        <w:rPr>
          <w:rFonts w:cs="Times New Roman"/>
          <w:color w:val="auto"/>
          <w:sz w:val="24"/>
          <w:szCs w:val="24"/>
          <w:highlight w:val="none"/>
        </w:rPr>
        <w:t>本项目</w:t>
      </w:r>
      <w:r>
        <w:rPr>
          <w:rFonts w:hint="eastAsia" w:cs="Times New Roman"/>
          <w:color w:val="auto"/>
          <w:kern w:val="24"/>
          <w:sz w:val="24"/>
          <w:szCs w:val="24"/>
          <w:highlight w:val="none"/>
        </w:rPr>
        <w:t>危废贮存库</w:t>
      </w:r>
      <w:r>
        <w:rPr>
          <w:rFonts w:cs="Times New Roman"/>
          <w:color w:val="auto"/>
          <w:kern w:val="24"/>
          <w:sz w:val="24"/>
          <w:szCs w:val="24"/>
          <w:highlight w:val="none"/>
        </w:rPr>
        <w:t>应按照</w:t>
      </w:r>
      <w:r>
        <w:rPr>
          <w:rFonts w:hint="default" w:ascii="Times New Roman" w:hAnsi="Times New Roman" w:eastAsia="宋体" w:cs="Times New Roman"/>
          <w:color w:val="auto"/>
          <w:sz w:val="24"/>
          <w:szCs w:val="24"/>
          <w:highlight w:val="none"/>
          <w:lang w:eastAsia="zh-CN"/>
        </w:rPr>
        <w:t>《危险废物贮存污染控制标准》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GB18597-2023</w:t>
      </w:r>
      <w:r>
        <w:rPr>
          <w:rFonts w:hint="eastAsia" w:ascii="Times New Roman" w:hAnsi="Times New Roman" w:eastAsia="宋体" w:cs="Times New Roman"/>
          <w:color w:val="auto"/>
          <w:sz w:val="24"/>
          <w:szCs w:val="24"/>
          <w:highlight w:val="none"/>
          <w:lang w:eastAsia="zh-CN"/>
        </w:rPr>
        <w:t>）</w:t>
      </w:r>
      <w:r>
        <w:rPr>
          <w:rFonts w:cs="Times New Roman"/>
          <w:color w:val="auto"/>
          <w:kern w:val="24"/>
          <w:sz w:val="24"/>
          <w:szCs w:val="24"/>
          <w:highlight w:val="none"/>
        </w:rPr>
        <w:t>的规定设置，通过规范设置危废</w:t>
      </w:r>
      <w:r>
        <w:rPr>
          <w:rFonts w:hint="eastAsia" w:cs="Times New Roman"/>
          <w:color w:val="auto"/>
          <w:kern w:val="24"/>
          <w:sz w:val="24"/>
          <w:szCs w:val="24"/>
          <w:highlight w:val="none"/>
          <w:lang w:val="en-US" w:eastAsia="zh-CN"/>
        </w:rPr>
        <w:t>贮存</w:t>
      </w:r>
      <w:r>
        <w:rPr>
          <w:rFonts w:cs="Times New Roman"/>
          <w:color w:val="auto"/>
          <w:kern w:val="24"/>
          <w:sz w:val="24"/>
          <w:szCs w:val="24"/>
          <w:highlight w:val="none"/>
        </w:rPr>
        <w:t>场所，可以保障危险废物</w:t>
      </w:r>
      <w:r>
        <w:rPr>
          <w:rFonts w:hint="eastAsia" w:cs="Times New Roman"/>
          <w:color w:val="auto"/>
          <w:kern w:val="24"/>
          <w:sz w:val="24"/>
          <w:szCs w:val="24"/>
          <w:highlight w:val="none"/>
          <w:lang w:val="en-US" w:eastAsia="zh-CN"/>
        </w:rPr>
        <w:t>贮存</w:t>
      </w:r>
      <w:r>
        <w:rPr>
          <w:rFonts w:cs="Times New Roman"/>
          <w:color w:val="auto"/>
          <w:kern w:val="24"/>
          <w:sz w:val="24"/>
          <w:szCs w:val="24"/>
          <w:highlight w:val="none"/>
        </w:rPr>
        <w:t>过程对周边环境不产生影响。</w:t>
      </w:r>
    </w:p>
    <w:p w14:paraId="645A8A90">
      <w:pPr>
        <w:keepNext w:val="0"/>
        <w:keepLines w:val="0"/>
        <w:pageBreakBefore w:val="0"/>
        <w:kinsoku/>
        <w:wordWrap/>
        <w:overflowPunct/>
        <w:topLinePunct w:val="0"/>
        <w:bidi w:val="0"/>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（2）危险废物贮存要求</w:t>
      </w:r>
    </w:p>
    <w:p w14:paraId="2692DEB1">
      <w:pPr>
        <w:keepNext w:val="0"/>
        <w:keepLines w:val="0"/>
        <w:pageBreakBefore w:val="0"/>
        <w:kinsoku/>
        <w:wordWrap/>
        <w:overflowPunct/>
        <w:topLinePunct w:val="0"/>
        <w:bidi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①</w:t>
      </w:r>
      <w:r>
        <w:rPr>
          <w:rFonts w:hint="eastAsia" w:ascii="Times New Roman" w:hAnsi="Times New Roman" w:eastAsia="宋体" w:cs="Times New Roman"/>
          <w:b w:val="0"/>
          <w:bCs w:val="0"/>
          <w:color w:val="auto"/>
          <w:sz w:val="24"/>
          <w:szCs w:val="24"/>
          <w:highlight w:val="none"/>
          <w:lang w:val="en-US" w:eastAsia="zh-CN"/>
        </w:rPr>
        <w:t>废活性炭、废干式纸盒（含漆渣）、废过滤棉（含漆渣）：存放在密封袋中。将废活性炭装入密封袋中，密封袋最好选择无印章的PE材质塑料袋，密封口封严，再装入编织袋或者吨袋中，整齐地堆码在危废贮存库内的卡板或者塑料托盘上，用拉伸膜缠绕紧实，并贴上危废标签，该措施可以有效地保护废活性炭不受污染和潮湿，也可以防止废活性炭中的挥发性有机物在贮存过程中挥发。</w:t>
      </w:r>
    </w:p>
    <w:p w14:paraId="0C825C92">
      <w:pPr>
        <w:keepNext w:val="0"/>
        <w:keepLines w:val="0"/>
        <w:pageBreakBefore w:val="0"/>
        <w:kinsoku/>
        <w:wordWrap/>
        <w:overflowPunct/>
        <w:topLinePunct w:val="0"/>
        <w:bidi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②废包装桶：盖紧桶盖，空桶放在卡板上堆叠整齐用拉伸膜围好，并贴上危废标签。</w:t>
      </w:r>
    </w:p>
    <w:p w14:paraId="55365B03">
      <w:pPr>
        <w:keepNext w:val="0"/>
        <w:keepLines w:val="0"/>
        <w:pageBreakBefore w:val="0"/>
        <w:kinsoku/>
        <w:wordWrap/>
        <w:overflowPunct/>
        <w:topLinePunct w:val="0"/>
        <w:bidi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本项目危险废物经采取上述措施后，危险废物在危废贮存库暂存期间不会产生挥发性有机物，且</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s="Times New Roman"/>
          <w:color w:val="auto"/>
          <w:sz w:val="24"/>
          <w:szCs w:val="24"/>
          <w:highlight w:val="none"/>
          <w:lang w:eastAsia="zh-CN"/>
        </w:rPr>
        <w:t>按照</w:t>
      </w:r>
      <w:r>
        <w:rPr>
          <w:rFonts w:hint="default" w:ascii="Times New Roman" w:hAnsi="Times New Roman" w:eastAsia="宋体" w:cs="Times New Roman"/>
          <w:color w:val="auto"/>
          <w:sz w:val="24"/>
          <w:szCs w:val="24"/>
          <w:highlight w:val="none"/>
          <w:lang w:eastAsia="zh-CN"/>
        </w:rPr>
        <w:t>《危险废物贮存污染控制标准》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GB18597-2023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的要求进行建设</w:t>
      </w:r>
      <w:r>
        <w:rPr>
          <w:color w:val="auto"/>
          <w:spacing w:val="-1"/>
          <w:highlight w:val="none"/>
        </w:rPr>
        <w:t>。</w:t>
      </w:r>
    </w:p>
    <w:p w14:paraId="75C0CF0D">
      <w:pPr>
        <w:keepNext w:val="0"/>
        <w:keepLines w:val="0"/>
        <w:pageBreakBefore w:val="0"/>
        <w:kinsoku/>
        <w:wordWrap/>
        <w:overflowPunct/>
        <w:topLinePunct w:val="0"/>
        <w:bidi w:val="0"/>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（3）运输环节环境影响分析</w:t>
      </w:r>
    </w:p>
    <w:p w14:paraId="2B114C14">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highlight w:val="none"/>
          <w:lang w:val="zh-CN"/>
        </w:rPr>
      </w:pPr>
      <w:r>
        <w:rPr>
          <w:rFonts w:hint="eastAsia" w:ascii="宋体" w:hAnsi="宋体" w:eastAsia="宋体" w:cs="宋体"/>
          <w:b w:val="0"/>
          <w:bCs w:val="0"/>
          <w:color w:val="auto"/>
          <w:sz w:val="24"/>
          <w:szCs w:val="24"/>
          <w:highlight w:val="none"/>
          <w:lang w:val="en-US" w:eastAsia="zh-CN"/>
        </w:rPr>
        <w:t>①</w:t>
      </w:r>
      <w:r>
        <w:rPr>
          <w:rFonts w:cs="Times New Roman"/>
          <w:color w:val="auto"/>
          <w:sz w:val="24"/>
          <w:szCs w:val="24"/>
          <w:highlight w:val="none"/>
          <w:lang w:val="zh-CN"/>
        </w:rPr>
        <w:t>厂区内</w:t>
      </w:r>
      <w:r>
        <w:rPr>
          <w:rFonts w:hint="eastAsia" w:cs="Times New Roman"/>
          <w:color w:val="auto"/>
          <w:sz w:val="24"/>
          <w:szCs w:val="24"/>
          <w:highlight w:val="none"/>
          <w:lang w:val="zh-CN"/>
        </w:rPr>
        <w:t>生产</w:t>
      </w:r>
      <w:r>
        <w:rPr>
          <w:rFonts w:cs="Times New Roman"/>
          <w:color w:val="auto"/>
          <w:sz w:val="24"/>
          <w:szCs w:val="24"/>
          <w:highlight w:val="none"/>
          <w:lang w:val="zh-CN"/>
        </w:rPr>
        <w:t>工艺环节运输到贮存场所可能产生散落、泄漏所引起的环境影响项目产生的危废从产生点到</w:t>
      </w:r>
      <w:r>
        <w:rPr>
          <w:rFonts w:hint="eastAsia" w:cs="Times New Roman"/>
          <w:color w:val="auto"/>
          <w:sz w:val="24"/>
          <w:szCs w:val="24"/>
          <w:highlight w:val="none"/>
          <w:lang w:val="zh-CN"/>
        </w:rPr>
        <w:t>危废贮存库</w:t>
      </w:r>
      <w:r>
        <w:rPr>
          <w:rFonts w:cs="Times New Roman"/>
          <w:color w:val="auto"/>
          <w:sz w:val="24"/>
          <w:szCs w:val="24"/>
          <w:highlight w:val="none"/>
          <w:lang w:val="zh-CN"/>
        </w:rPr>
        <w:t>运输过程中不遗漏、散落，厂区将制定严格的危险废物转运制度，正常情况下不会对厂区内部及厂区以外的环境产生不利影响。在事故状态下，可能导致危险废物转运过程散落，可能对厂区土壤以及地下水</w:t>
      </w:r>
      <w:r>
        <w:rPr>
          <w:rFonts w:hint="eastAsia" w:cs="Times New Roman"/>
          <w:color w:val="auto"/>
          <w:sz w:val="24"/>
          <w:szCs w:val="24"/>
          <w:highlight w:val="none"/>
          <w:lang w:val="zh-CN"/>
        </w:rPr>
        <w:t>产生</w:t>
      </w:r>
      <w:r>
        <w:rPr>
          <w:rFonts w:cs="Times New Roman"/>
          <w:color w:val="auto"/>
          <w:sz w:val="24"/>
          <w:szCs w:val="24"/>
          <w:highlight w:val="none"/>
          <w:lang w:val="zh-CN"/>
        </w:rPr>
        <w:t>一定影响。</w:t>
      </w:r>
    </w:p>
    <w:p w14:paraId="5E2312BF">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highlight w:val="none"/>
          <w:lang w:val="zh-CN"/>
        </w:rPr>
      </w:pPr>
      <w:r>
        <w:rPr>
          <w:rFonts w:hint="eastAsia" w:ascii="宋体" w:hAnsi="宋体" w:eastAsia="宋体" w:cs="宋体"/>
          <w:b w:val="0"/>
          <w:bCs w:val="0"/>
          <w:color w:val="auto"/>
          <w:sz w:val="24"/>
          <w:szCs w:val="24"/>
          <w:highlight w:val="none"/>
          <w:lang w:val="en-US" w:eastAsia="zh-CN"/>
        </w:rPr>
        <w:t>②</w:t>
      </w:r>
      <w:r>
        <w:rPr>
          <w:rFonts w:cs="Times New Roman"/>
          <w:color w:val="auto"/>
          <w:sz w:val="24"/>
          <w:szCs w:val="24"/>
          <w:highlight w:val="none"/>
          <w:lang w:val="zh-CN"/>
        </w:rPr>
        <w:t>运输沿线环境敏感点的环境影响</w:t>
      </w:r>
    </w:p>
    <w:p w14:paraId="444E8E3E">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highlight w:val="none"/>
          <w:lang w:val="zh-CN"/>
        </w:rPr>
      </w:pPr>
      <w:r>
        <w:rPr>
          <w:rFonts w:cs="Times New Roman"/>
          <w:color w:val="auto"/>
          <w:sz w:val="24"/>
          <w:szCs w:val="24"/>
          <w:highlight w:val="none"/>
          <w:lang w:val="zh-CN"/>
        </w:rPr>
        <w:t>厂外运输由获得危险货物运输资质的单位承担，</w:t>
      </w:r>
      <w:r>
        <w:rPr>
          <w:rFonts w:hint="eastAsia" w:cs="Times New Roman"/>
          <w:color w:val="auto"/>
          <w:sz w:val="24"/>
          <w:szCs w:val="24"/>
          <w:highlight w:val="none"/>
          <w:lang w:val="zh-CN"/>
        </w:rPr>
        <w:t>具体</w:t>
      </w:r>
      <w:r>
        <w:rPr>
          <w:rFonts w:cs="Times New Roman"/>
          <w:color w:val="auto"/>
          <w:sz w:val="24"/>
          <w:szCs w:val="24"/>
          <w:highlight w:val="none"/>
          <w:lang w:val="zh-CN"/>
        </w:rPr>
        <w:t>采用公路运输，按照《道路危险货物运输管理规定》</w:t>
      </w:r>
      <w:r>
        <w:rPr>
          <w:rFonts w:hint="eastAsia" w:cs="Times New Roman"/>
          <w:color w:val="auto"/>
          <w:sz w:val="24"/>
          <w:szCs w:val="24"/>
          <w:highlight w:val="none"/>
          <w:lang w:val="zh-CN"/>
        </w:rPr>
        <w:t>（</w:t>
      </w:r>
      <w:r>
        <w:rPr>
          <w:rFonts w:cs="Times New Roman"/>
          <w:color w:val="auto"/>
          <w:sz w:val="24"/>
          <w:szCs w:val="24"/>
          <w:highlight w:val="none"/>
          <w:lang w:val="zh-CN"/>
        </w:rPr>
        <w:t>交通部令2013年第2号</w:t>
      </w:r>
      <w:r>
        <w:rPr>
          <w:rFonts w:hint="eastAsia" w:cs="Times New Roman"/>
          <w:color w:val="auto"/>
          <w:sz w:val="24"/>
          <w:szCs w:val="24"/>
          <w:highlight w:val="none"/>
          <w:lang w:val="zh-CN"/>
        </w:rPr>
        <w:t>）</w:t>
      </w:r>
      <w:r>
        <w:rPr>
          <w:rFonts w:cs="Times New Roman"/>
          <w:color w:val="auto"/>
          <w:sz w:val="24"/>
          <w:szCs w:val="24"/>
          <w:highlight w:val="none"/>
          <w:lang w:val="zh-CN"/>
        </w:rPr>
        <w:t>、JT617以及JT618相关要求执行制定了运输路线。</w:t>
      </w:r>
    </w:p>
    <w:p w14:paraId="526D7ED8">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highlight w:val="none"/>
          <w:lang w:val="zh-CN"/>
        </w:rPr>
      </w:pPr>
      <w:r>
        <w:rPr>
          <w:rFonts w:hint="eastAsia" w:ascii="宋体" w:hAnsi="宋体" w:eastAsia="宋体" w:cs="宋体"/>
          <w:b w:val="0"/>
          <w:bCs w:val="0"/>
          <w:color w:val="auto"/>
          <w:sz w:val="24"/>
          <w:szCs w:val="24"/>
          <w:highlight w:val="none"/>
          <w:lang w:val="en-US" w:eastAsia="zh-CN"/>
        </w:rPr>
        <w:t>③</w:t>
      </w:r>
      <w:r>
        <w:rPr>
          <w:rFonts w:cs="Times New Roman"/>
          <w:color w:val="auto"/>
          <w:sz w:val="24"/>
          <w:szCs w:val="24"/>
          <w:highlight w:val="none"/>
          <w:lang w:val="zh-CN"/>
        </w:rPr>
        <w:t>委托处置环境影响分析</w:t>
      </w:r>
    </w:p>
    <w:p w14:paraId="35BB77C1">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highlight w:val="none"/>
        </w:rPr>
      </w:pPr>
      <w:r>
        <w:rPr>
          <w:rFonts w:cs="Times New Roman"/>
          <w:color w:val="auto"/>
          <w:sz w:val="24"/>
          <w:szCs w:val="24"/>
          <w:highlight w:val="none"/>
        </w:rPr>
        <w:t>本项目危险废物委托有资质单位处置，要求建设单位在项目与有处理资质的单位签订委托处理协议，定期委托处理。建设单位应优先与</w:t>
      </w:r>
      <w:r>
        <w:rPr>
          <w:rFonts w:hint="eastAsia" w:cs="Times New Roman"/>
          <w:color w:val="auto"/>
          <w:sz w:val="24"/>
          <w:szCs w:val="24"/>
          <w:highlight w:val="none"/>
          <w:lang w:eastAsia="zh-CN"/>
        </w:rPr>
        <w:t>闽侯县</w:t>
      </w:r>
      <w:r>
        <w:rPr>
          <w:rFonts w:cs="Times New Roman"/>
          <w:color w:val="auto"/>
          <w:sz w:val="24"/>
          <w:szCs w:val="24"/>
          <w:highlight w:val="none"/>
        </w:rPr>
        <w:t>及周边地区范围内的危废处置单位签订委托处置协议，委托资质单位处理后，项目产生的危险废物将对周边环境不会产生影响。</w:t>
      </w:r>
    </w:p>
    <w:p w14:paraId="3F936C6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b/>
          <w:bCs/>
          <w:color w:val="auto"/>
          <w:kern w:val="2"/>
          <w:sz w:val="24"/>
          <w:szCs w:val="24"/>
          <w:highlight w:val="none"/>
          <w:lang w:val="zh-CN" w:eastAsia="zh-CN" w:bidi="ar-SA"/>
        </w:rPr>
      </w:pPr>
      <w:r>
        <w:rPr>
          <w:rFonts w:hint="eastAsia" w:ascii="Times New Roman" w:hAnsi="Times New Roman" w:eastAsia="宋体" w:cs="Times New Roman"/>
          <w:b/>
          <w:bCs/>
          <w:color w:val="auto"/>
          <w:kern w:val="2"/>
          <w:sz w:val="24"/>
          <w:szCs w:val="24"/>
          <w:highlight w:val="none"/>
          <w:lang w:val="en-US" w:eastAsia="zh-CN" w:bidi="ar-SA"/>
        </w:rPr>
        <w:t>（4）</w:t>
      </w:r>
      <w:r>
        <w:rPr>
          <w:rFonts w:hint="eastAsia" w:ascii="Times New Roman" w:hAnsi="Times New Roman" w:eastAsia="宋体" w:cs="Times New Roman"/>
          <w:b/>
          <w:bCs/>
          <w:color w:val="auto"/>
          <w:kern w:val="2"/>
          <w:sz w:val="24"/>
          <w:szCs w:val="24"/>
          <w:highlight w:val="none"/>
          <w:lang w:val="zh-CN" w:eastAsia="zh-CN" w:bidi="ar-SA"/>
        </w:rPr>
        <w:t>危险废物转移要求</w:t>
      </w:r>
    </w:p>
    <w:p w14:paraId="10A0AC6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eastAsia="宋体" w:cs="Times New Roman"/>
          <w:color w:val="auto"/>
          <w:sz w:val="24"/>
          <w:szCs w:val="24"/>
          <w:highlight w:val="none"/>
          <w:lang w:eastAsia="zh-CN"/>
        </w:rPr>
      </w:pPr>
      <w:r>
        <w:rPr>
          <w:rFonts w:cs="Times New Roman"/>
          <w:color w:val="auto"/>
          <w:sz w:val="24"/>
          <w:szCs w:val="24"/>
          <w:highlight w:val="none"/>
        </w:rPr>
        <w:t>根据</w:t>
      </w:r>
      <w:r>
        <w:rPr>
          <w:rFonts w:hint="eastAsia" w:cs="Times New Roman"/>
          <w:color w:val="auto"/>
          <w:sz w:val="24"/>
          <w:szCs w:val="24"/>
          <w:highlight w:val="none"/>
        </w:rPr>
        <w:t>《危险废物转移管理办法》</w:t>
      </w:r>
      <w:r>
        <w:rPr>
          <w:rFonts w:hint="eastAsia" w:cs="Times New Roman"/>
          <w:color w:val="auto"/>
          <w:sz w:val="24"/>
          <w:szCs w:val="24"/>
          <w:highlight w:val="none"/>
          <w:lang w:eastAsia="zh-CN"/>
        </w:rPr>
        <w:t>（</w:t>
      </w:r>
      <w:r>
        <w:rPr>
          <w:rFonts w:hint="eastAsia" w:cs="Times New Roman"/>
          <w:color w:val="auto"/>
          <w:sz w:val="24"/>
          <w:szCs w:val="24"/>
          <w:highlight w:val="none"/>
        </w:rPr>
        <w:t>2021年11月30日生态环境部、公安部、交通运输部令第23号公布</w:t>
      </w:r>
      <w:r>
        <w:rPr>
          <w:rFonts w:hint="eastAsia" w:cs="Times New Roman"/>
          <w:color w:val="auto"/>
          <w:sz w:val="24"/>
          <w:szCs w:val="24"/>
          <w:highlight w:val="none"/>
          <w:lang w:eastAsia="zh-CN"/>
        </w:rPr>
        <w:t>，</w:t>
      </w:r>
      <w:r>
        <w:rPr>
          <w:rFonts w:hint="eastAsia" w:cs="Times New Roman"/>
          <w:color w:val="auto"/>
          <w:sz w:val="24"/>
          <w:szCs w:val="24"/>
          <w:highlight w:val="none"/>
        </w:rPr>
        <w:t>自2022年1月1日起施行</w:t>
      </w:r>
      <w:r>
        <w:rPr>
          <w:rFonts w:hint="eastAsia" w:cs="Times New Roman"/>
          <w:color w:val="auto"/>
          <w:sz w:val="24"/>
          <w:szCs w:val="24"/>
          <w:highlight w:val="none"/>
          <w:lang w:eastAsia="zh-CN"/>
        </w:rPr>
        <w:t>），</w:t>
      </w:r>
      <w:r>
        <w:rPr>
          <w:rFonts w:cs="Times New Roman"/>
          <w:color w:val="auto"/>
          <w:sz w:val="24"/>
          <w:szCs w:val="24"/>
          <w:highlight w:val="none"/>
        </w:rPr>
        <w:t>危险废物转移过程应满足以下要求：</w:t>
      </w:r>
    </w:p>
    <w:p w14:paraId="2C80EF09">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①</w:t>
      </w:r>
      <w:r>
        <w:rPr>
          <w:rFonts w:hint="eastAsia" w:ascii="Times New Roman" w:hAnsi="Times New Roman" w:eastAsia="宋体" w:cs="Times New Roman"/>
          <w:color w:val="auto"/>
          <w:sz w:val="24"/>
          <w:szCs w:val="24"/>
          <w:highlight w:val="none"/>
        </w:rPr>
        <w:t>危险废物转移联单应当根据危险废物管理计划中填报的危险废物转移等备案信息填写、运行。</w:t>
      </w:r>
    </w:p>
    <w:p w14:paraId="0129157B">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②</w:t>
      </w:r>
      <w:r>
        <w:rPr>
          <w:rFonts w:hint="eastAsia" w:ascii="Times New Roman" w:hAnsi="Times New Roman" w:eastAsia="宋体" w:cs="Times New Roman"/>
          <w:color w:val="auto"/>
          <w:sz w:val="24"/>
          <w:szCs w:val="24"/>
          <w:highlight w:val="none"/>
        </w:rPr>
        <w:t>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w:t>
      </w:r>
    </w:p>
    <w:p w14:paraId="06DD4440">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③</w:t>
      </w:r>
      <w:r>
        <w:rPr>
          <w:rFonts w:hint="eastAsia" w:ascii="Times New Roman" w:hAnsi="Times New Roman" w:eastAsia="宋体" w:cs="Times New Roman"/>
          <w:color w:val="auto"/>
          <w:sz w:val="24"/>
          <w:szCs w:val="24"/>
          <w:highlight w:val="none"/>
        </w:rPr>
        <w:t>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w:t>
      </w:r>
    </w:p>
    <w:p w14:paraId="286EA398">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使用同一车（船或者其他运输工具）一次为多个移出人转移危险废物的，每个移出人应当分别填写、运行危险废物转移联单。</w:t>
      </w:r>
    </w:p>
    <w:p w14:paraId="0A0503FB">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④</w:t>
      </w:r>
      <w:r>
        <w:rPr>
          <w:rFonts w:hint="eastAsia" w:ascii="Times New Roman" w:hAnsi="Times New Roman" w:eastAsia="宋体" w:cs="Times New Roman"/>
          <w:color w:val="auto"/>
          <w:sz w:val="24"/>
          <w:szCs w:val="24"/>
          <w:highlight w:val="none"/>
        </w:rPr>
        <w:t>采用联运方式转移危险废物的，前一承运人和后一承运人应当明确运输交接的时间和地点。后一承运人应当核实危险废物转移联单确定的移出人信息、前一承运人信息及危险废物相关信息。</w:t>
      </w:r>
    </w:p>
    <w:p w14:paraId="698FDB8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⑤</w:t>
      </w:r>
      <w:r>
        <w:rPr>
          <w:rFonts w:hint="eastAsia" w:ascii="宋体" w:hAnsi="宋体" w:eastAsia="宋体" w:cs="宋体"/>
          <w:color w:val="auto"/>
          <w:sz w:val="24"/>
          <w:szCs w:val="24"/>
          <w:highlight w:val="none"/>
          <w:lang w:eastAsia="zh-CN"/>
        </w:rPr>
        <w:t>接收</w:t>
      </w:r>
      <w:r>
        <w:rPr>
          <w:rFonts w:hint="eastAsia" w:ascii="Times New Roman" w:hAnsi="Times New Roman" w:eastAsia="宋体" w:cs="Times New Roman"/>
          <w:color w:val="auto"/>
          <w:sz w:val="24"/>
          <w:szCs w:val="24"/>
          <w:highlight w:val="none"/>
        </w:rPr>
        <w:t>人应当对运抵的危险废物进行核实验收，并在</w:t>
      </w:r>
      <w:r>
        <w:rPr>
          <w:rFonts w:hint="eastAsia" w:ascii="Times New Roman" w:hAnsi="Times New Roman" w:eastAsia="宋体" w:cs="Times New Roman"/>
          <w:color w:val="auto"/>
          <w:sz w:val="24"/>
          <w:szCs w:val="24"/>
          <w:highlight w:val="none"/>
          <w:lang w:eastAsia="zh-CN"/>
        </w:rPr>
        <w:t>接收</w:t>
      </w:r>
      <w:r>
        <w:rPr>
          <w:rFonts w:hint="eastAsia" w:ascii="Times New Roman" w:hAnsi="Times New Roman" w:eastAsia="宋体" w:cs="Times New Roman"/>
          <w:color w:val="auto"/>
          <w:sz w:val="24"/>
          <w:szCs w:val="24"/>
          <w:highlight w:val="none"/>
        </w:rPr>
        <w:t>之日起五个工作日内通过信息系统确认</w:t>
      </w:r>
      <w:r>
        <w:rPr>
          <w:rFonts w:hint="eastAsia" w:ascii="Times New Roman" w:hAnsi="Times New Roman" w:eastAsia="宋体" w:cs="Times New Roman"/>
          <w:color w:val="auto"/>
          <w:sz w:val="24"/>
          <w:szCs w:val="24"/>
          <w:highlight w:val="none"/>
          <w:lang w:eastAsia="zh-CN"/>
        </w:rPr>
        <w:t>接收</w:t>
      </w:r>
      <w:r>
        <w:rPr>
          <w:rFonts w:hint="eastAsia" w:ascii="Times New Roman" w:hAnsi="Times New Roman" w:eastAsia="宋体" w:cs="Times New Roman"/>
          <w:color w:val="auto"/>
          <w:sz w:val="24"/>
          <w:szCs w:val="24"/>
          <w:highlight w:val="none"/>
        </w:rPr>
        <w:t>。</w:t>
      </w:r>
    </w:p>
    <w:p w14:paraId="37C8007D">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运抵的危险废物的名称、数量、特性、形态、包装方式与危险废物转移联单填写内容不符的，接受人应当及时告知移出人，视情况决定是否接受，同时向接受地生态环境主管部门报告。</w:t>
      </w:r>
    </w:p>
    <w:p w14:paraId="7A81F427">
      <w:pPr>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⑥</w:t>
      </w:r>
      <w:r>
        <w:rPr>
          <w:rFonts w:hint="eastAsia" w:ascii="Times New Roman" w:hAnsi="Times New Roman" w:eastAsia="宋体" w:cs="Times New Roman"/>
          <w:color w:val="auto"/>
          <w:sz w:val="24"/>
          <w:szCs w:val="24"/>
          <w:highlight w:val="none"/>
        </w:rPr>
        <w:t>对不通过车（船或者其他运输工具），且无法按次对危险废物计量的其他方式转移危险废物的，移出人和</w:t>
      </w:r>
      <w:r>
        <w:rPr>
          <w:rFonts w:hint="eastAsia" w:ascii="Times New Roman" w:hAnsi="Times New Roman" w:eastAsia="宋体" w:cs="Times New Roman"/>
          <w:color w:val="auto"/>
          <w:sz w:val="24"/>
          <w:szCs w:val="24"/>
          <w:highlight w:val="none"/>
          <w:lang w:eastAsia="zh-CN"/>
        </w:rPr>
        <w:t>接收</w:t>
      </w:r>
      <w:r>
        <w:rPr>
          <w:rFonts w:hint="eastAsia" w:ascii="Times New Roman" w:hAnsi="Times New Roman" w:eastAsia="宋体" w:cs="Times New Roman"/>
          <w:color w:val="auto"/>
          <w:sz w:val="24"/>
          <w:szCs w:val="24"/>
          <w:highlight w:val="none"/>
        </w:rPr>
        <w:t>人应当分别配备计量记录设备，将每天危险废物转移的种类、重量（数量）、形态和危险特性等信息纳入相关台账记录，并根据所在地设区的市级以上地方生态环境主管部门的要求填写、运行危险废物转移联单。</w:t>
      </w:r>
    </w:p>
    <w:p w14:paraId="7DEC1D9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⑦</w:t>
      </w:r>
      <w:r>
        <w:rPr>
          <w:rFonts w:hint="eastAsia" w:ascii="Times New Roman" w:hAnsi="Times New Roman" w:eastAsia="宋体" w:cs="Times New Roman"/>
          <w:color w:val="auto"/>
          <w:sz w:val="24"/>
          <w:szCs w:val="24"/>
          <w:highlight w:val="none"/>
        </w:rPr>
        <w:t>危险废物电子转移联单数据应当在信息系统中至少保存十年。因特殊原因无法运行危险废物电子转移联单的，可以先使用纸质转移联单，并于转移活动完成后十个工作日内在信息系统中补录电子转移联单。</w:t>
      </w:r>
    </w:p>
    <w:p w14:paraId="02E9CCD8">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（5）危险废物环境信息化管理要求</w:t>
      </w:r>
    </w:p>
    <w:p w14:paraId="48E19C70">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根据</w:t>
      </w:r>
      <w:r>
        <w:rPr>
          <w:rFonts w:hint="default" w:ascii="Times New Roman" w:hAnsi="Times New Roman" w:eastAsia="宋体" w:cs="Times New Roman"/>
          <w:i w:val="0"/>
          <w:iCs w:val="0"/>
          <w:caps w:val="0"/>
          <w:color w:val="auto"/>
          <w:spacing w:val="0"/>
          <w:sz w:val="24"/>
          <w:szCs w:val="24"/>
          <w:highlight w:val="none"/>
          <w:shd w:val="clear" w:color="auto" w:fill="FFFFFF"/>
        </w:rPr>
        <w:t>《福建省固体废物环境信息化应用管理规定（试行）》（闽环保固体</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〔2021〕25号</w:t>
      </w:r>
      <w:r>
        <w:rPr>
          <w:rFonts w:hint="default" w:ascii="Times New Roman" w:hAnsi="Times New Roman" w:eastAsia="宋体" w:cs="Times New Roman"/>
          <w:i w:val="0"/>
          <w:iCs w:val="0"/>
          <w:caps w:val="0"/>
          <w:color w:val="auto"/>
          <w:spacing w:val="0"/>
          <w:sz w:val="24"/>
          <w:szCs w:val="24"/>
          <w:highlight w:val="none"/>
          <w:shd w:val="clear" w:color="auto" w:fill="FFFFFF"/>
        </w:rPr>
        <w:t>）</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的</w:t>
      </w:r>
      <w:r>
        <w:rPr>
          <w:rFonts w:hint="eastAsia" w:cs="Times New Roman"/>
          <w:i w:val="0"/>
          <w:iCs w:val="0"/>
          <w:caps w:val="0"/>
          <w:color w:val="auto"/>
          <w:spacing w:val="0"/>
          <w:sz w:val="24"/>
          <w:szCs w:val="24"/>
          <w:highlight w:val="none"/>
          <w:shd w:val="clear" w:color="auto" w:fill="FFFFFF"/>
          <w:lang w:eastAsia="zh-CN"/>
        </w:rPr>
        <w:t>“</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第三章 固废（危废）相关单位使用管理</w:t>
      </w:r>
      <w:r>
        <w:rPr>
          <w:rFonts w:hint="eastAsia" w:cs="Times New Roman"/>
          <w:i w:val="0"/>
          <w:iCs w:val="0"/>
          <w:caps w:val="0"/>
          <w:color w:val="auto"/>
          <w:spacing w:val="0"/>
          <w:sz w:val="24"/>
          <w:szCs w:val="24"/>
          <w:highlight w:val="none"/>
          <w:shd w:val="clear" w:color="auto" w:fill="FFFFFF"/>
          <w:lang w:eastAsia="zh-CN"/>
        </w:rPr>
        <w:t>”</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中的相关要求：</w:t>
      </w:r>
    </w:p>
    <w:p w14:paraId="1A405A0D">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①</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本项目运营</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期生</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产的危险废物的</w:t>
      </w:r>
      <w:r>
        <w:rPr>
          <w:rFonts w:hint="default" w:ascii="Times New Roman" w:hAnsi="Times New Roman" w:eastAsia="宋体" w:cs="Times New Roman"/>
          <w:i w:val="0"/>
          <w:iCs w:val="0"/>
          <w:caps w:val="0"/>
          <w:color w:val="auto"/>
          <w:spacing w:val="0"/>
          <w:sz w:val="24"/>
          <w:szCs w:val="24"/>
          <w:highlight w:val="none"/>
          <w:shd w:val="clear" w:color="auto" w:fill="FFFFFF"/>
        </w:rPr>
        <w:t>产生、收集、运输、利用处置单位依托福建省固体废物环境信息化监管系统，建立管理台账，依法申报固废（危废）种类、产生量、流向、贮存、处置等信息，实现可追溯、可</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查询</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，并对填报信息的真实性、准确性和完整性负责。</w:t>
      </w:r>
    </w:p>
    <w:p w14:paraId="453A03A9">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②</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危险废物产生、收集和利用处置单位每年1月底前依法完成当年危险废物管理计划线上申报备案，实时申报危险废物的种类、产生量、去向、贮存、利用、处置等有关资料，按规定运行电子转移联单，对省固废系统填报信息的真实性、准确性和完整性负责。</w:t>
      </w:r>
    </w:p>
    <w:p w14:paraId="64453F9D">
      <w:pPr>
        <w:pStyle w:val="4"/>
        <w:numPr>
          <w:ilvl w:val="2"/>
          <w:numId w:val="0"/>
        </w:numPr>
        <w:tabs>
          <w:tab w:val="clear" w:pos="720"/>
        </w:tabs>
        <w:bidi w:val="0"/>
        <w:rPr>
          <w:color w:val="auto"/>
          <w:highlight w:val="none"/>
        </w:rPr>
      </w:pPr>
      <w:bookmarkStart w:id="526" w:name="_Toc15112"/>
      <w:r>
        <w:rPr>
          <w:color w:val="auto"/>
          <w:highlight w:val="none"/>
        </w:rPr>
        <w:t>5.5.3</w:t>
      </w:r>
      <w:r>
        <w:rPr>
          <w:rFonts w:hint="eastAsia"/>
          <w:color w:val="auto"/>
          <w:highlight w:val="none"/>
          <w:lang w:val="en-US" w:eastAsia="zh-CN"/>
        </w:rPr>
        <w:t xml:space="preserve"> </w:t>
      </w:r>
      <w:r>
        <w:rPr>
          <w:color w:val="auto"/>
          <w:highlight w:val="none"/>
        </w:rPr>
        <w:t>小结</w:t>
      </w:r>
      <w:bookmarkEnd w:id="526"/>
    </w:p>
    <w:p w14:paraId="7877B76A">
      <w:pPr>
        <w:pStyle w:val="1336"/>
        <w:ind w:firstLine="480"/>
        <w:rPr>
          <w:color w:val="auto"/>
          <w:highlight w:val="none"/>
        </w:rPr>
      </w:pPr>
      <w:r>
        <w:rPr>
          <w:color w:val="auto"/>
          <w:highlight w:val="none"/>
        </w:rPr>
        <w:t>综上所述，项目危险废物从产生、收集、贮存、运输、处置等全过程均采取有效措施降低其对环境的影响，符合国家有关规定。项目一般固废及危险废物处置也切合项目工程和实际情况，最终能得到妥善处置，对周围环境影响很小。</w:t>
      </w:r>
    </w:p>
    <w:p w14:paraId="0B59BC5E">
      <w:pPr>
        <w:pStyle w:val="3"/>
        <w:numPr>
          <w:ilvl w:val="1"/>
          <w:numId w:val="0"/>
        </w:numPr>
        <w:bidi w:val="0"/>
        <w:rPr>
          <w:color w:val="auto"/>
          <w:highlight w:val="none"/>
        </w:rPr>
      </w:pPr>
      <w:bookmarkStart w:id="527" w:name="_Toc24079"/>
      <w:bookmarkStart w:id="528" w:name="_Toc9589"/>
      <w:bookmarkStart w:id="529" w:name="_Toc23108"/>
      <w:r>
        <w:rPr>
          <w:color w:val="auto"/>
          <w:highlight w:val="none"/>
        </w:rPr>
        <w:t>5.</w:t>
      </w:r>
      <w:r>
        <w:rPr>
          <w:rFonts w:hint="eastAsia"/>
          <w:color w:val="auto"/>
          <w:highlight w:val="none"/>
          <w:lang w:val="en-US" w:eastAsia="zh-CN"/>
        </w:rPr>
        <w:t xml:space="preserve">6 </w:t>
      </w:r>
      <w:r>
        <w:rPr>
          <w:color w:val="auto"/>
          <w:highlight w:val="none"/>
        </w:rPr>
        <w:t>运营期土壤环境影响分析</w:t>
      </w:r>
      <w:bookmarkEnd w:id="527"/>
      <w:bookmarkEnd w:id="528"/>
    </w:p>
    <w:p w14:paraId="5E9A42E2">
      <w:pPr>
        <w:pStyle w:val="4"/>
        <w:numPr>
          <w:ilvl w:val="2"/>
          <w:numId w:val="0"/>
        </w:numPr>
        <w:tabs>
          <w:tab w:val="clear" w:pos="720"/>
        </w:tabs>
        <w:bidi w:val="0"/>
        <w:rPr>
          <w:color w:val="auto"/>
          <w:highlight w:val="none"/>
        </w:rPr>
      </w:pPr>
      <w:bookmarkStart w:id="530" w:name="_Toc17077"/>
      <w:r>
        <w:rPr>
          <w:color w:val="auto"/>
          <w:highlight w:val="none"/>
        </w:rPr>
        <w:t>5.</w:t>
      </w:r>
      <w:r>
        <w:rPr>
          <w:rFonts w:hint="eastAsia"/>
          <w:color w:val="auto"/>
          <w:highlight w:val="none"/>
          <w:lang w:val="en-US" w:eastAsia="zh-CN"/>
        </w:rPr>
        <w:t>6</w:t>
      </w:r>
      <w:r>
        <w:rPr>
          <w:color w:val="auto"/>
          <w:highlight w:val="none"/>
        </w:rPr>
        <w:t>.1</w:t>
      </w:r>
      <w:r>
        <w:rPr>
          <w:rFonts w:hint="eastAsia"/>
          <w:color w:val="auto"/>
          <w:highlight w:val="none"/>
          <w:lang w:val="en-US" w:eastAsia="zh-CN"/>
        </w:rPr>
        <w:t xml:space="preserve"> </w:t>
      </w:r>
      <w:r>
        <w:rPr>
          <w:color w:val="auto"/>
          <w:highlight w:val="none"/>
        </w:rPr>
        <w:t>土壤环境影响识别</w:t>
      </w:r>
      <w:bookmarkEnd w:id="530"/>
    </w:p>
    <w:p w14:paraId="64B56F19">
      <w:pPr>
        <w:pStyle w:val="5"/>
        <w:numPr>
          <w:ilvl w:val="3"/>
          <w:numId w:val="0"/>
        </w:numPr>
        <w:bidi w:val="0"/>
        <w:ind w:leftChars="0"/>
        <w:rPr>
          <w:color w:val="auto"/>
          <w:highlight w:val="none"/>
        </w:rPr>
      </w:pPr>
      <w:r>
        <w:rPr>
          <w:color w:val="auto"/>
          <w:highlight w:val="none"/>
        </w:rPr>
        <w:t>5.</w:t>
      </w:r>
      <w:r>
        <w:rPr>
          <w:rFonts w:hint="eastAsia"/>
          <w:color w:val="auto"/>
          <w:highlight w:val="none"/>
          <w:lang w:val="en-US" w:eastAsia="zh-CN"/>
        </w:rPr>
        <w:t>6</w:t>
      </w:r>
      <w:r>
        <w:rPr>
          <w:color w:val="auto"/>
          <w:highlight w:val="none"/>
        </w:rPr>
        <w:t>.1.1</w:t>
      </w:r>
      <w:r>
        <w:rPr>
          <w:rFonts w:hint="eastAsia"/>
          <w:color w:val="auto"/>
          <w:highlight w:val="none"/>
          <w:lang w:val="en-US" w:eastAsia="zh-CN"/>
        </w:rPr>
        <w:t xml:space="preserve"> </w:t>
      </w:r>
      <w:r>
        <w:rPr>
          <w:color w:val="auto"/>
          <w:highlight w:val="none"/>
        </w:rPr>
        <w:t>评价等级与评价范围</w:t>
      </w:r>
    </w:p>
    <w:p w14:paraId="621EA94C">
      <w:pPr>
        <w:pStyle w:val="1336"/>
        <w:ind w:firstLine="480"/>
        <w:rPr>
          <w:color w:val="auto"/>
          <w:highlight w:val="none"/>
        </w:rPr>
      </w:pPr>
      <w:r>
        <w:rPr>
          <w:color w:val="auto"/>
          <w:highlight w:val="none"/>
        </w:rPr>
        <w:t>根据《环境影响评价技术导则土壤环境》（HJ964-2018），本项目评价等级为二级。评价范围为厂区占地及外围0.2km。</w:t>
      </w:r>
    </w:p>
    <w:p w14:paraId="2FBEECBD">
      <w:pPr>
        <w:pStyle w:val="5"/>
        <w:numPr>
          <w:ilvl w:val="3"/>
          <w:numId w:val="0"/>
        </w:numPr>
        <w:bidi w:val="0"/>
        <w:ind w:leftChars="0"/>
        <w:rPr>
          <w:color w:val="auto"/>
          <w:highlight w:val="none"/>
        </w:rPr>
      </w:pPr>
      <w:r>
        <w:rPr>
          <w:color w:val="auto"/>
          <w:highlight w:val="none"/>
        </w:rPr>
        <w:t>5.</w:t>
      </w:r>
      <w:r>
        <w:rPr>
          <w:rFonts w:hint="eastAsia"/>
          <w:color w:val="auto"/>
          <w:highlight w:val="none"/>
          <w:lang w:val="en-US" w:eastAsia="zh-CN"/>
        </w:rPr>
        <w:t>6</w:t>
      </w:r>
      <w:r>
        <w:rPr>
          <w:color w:val="auto"/>
          <w:highlight w:val="none"/>
        </w:rPr>
        <w:t>.1.2</w:t>
      </w:r>
      <w:r>
        <w:rPr>
          <w:rFonts w:hint="eastAsia"/>
          <w:color w:val="auto"/>
          <w:highlight w:val="none"/>
          <w:lang w:val="en-US" w:eastAsia="zh-CN"/>
        </w:rPr>
        <w:t xml:space="preserve"> </w:t>
      </w:r>
      <w:r>
        <w:rPr>
          <w:color w:val="auto"/>
          <w:highlight w:val="none"/>
        </w:rPr>
        <w:t>环境影响途径识别</w:t>
      </w:r>
    </w:p>
    <w:p w14:paraId="6E763CE9">
      <w:pPr>
        <w:pStyle w:val="1336"/>
        <w:ind w:firstLine="480"/>
        <w:rPr>
          <w:rFonts w:hint="eastAsia"/>
          <w:color w:val="auto"/>
          <w:highlight w:val="none"/>
          <w:lang w:eastAsia="zh-CN"/>
        </w:rPr>
      </w:pPr>
      <w:r>
        <w:rPr>
          <w:rFonts w:hint="eastAsia"/>
          <w:color w:val="auto"/>
          <w:highlight w:val="none"/>
        </w:rPr>
        <w:t>项目租赁</w:t>
      </w:r>
      <w:r>
        <w:rPr>
          <w:rFonts w:hint="eastAsia"/>
          <w:color w:val="auto"/>
          <w:highlight w:val="none"/>
          <w:lang w:eastAsia="zh-CN"/>
        </w:rPr>
        <w:t>福州鑫旺物流服务有限公司</w:t>
      </w:r>
    </w:p>
    <w:p w14:paraId="7F4D60F7">
      <w:pPr>
        <w:pStyle w:val="1336"/>
        <w:ind w:firstLine="480"/>
        <w:rPr>
          <w:rFonts w:hint="eastAsia"/>
          <w:color w:val="auto"/>
          <w:highlight w:val="none"/>
        </w:rPr>
      </w:pPr>
      <w:r>
        <w:rPr>
          <w:rFonts w:hint="eastAsia"/>
          <w:color w:val="auto"/>
          <w:highlight w:val="none"/>
          <w:lang w:val="en-US" w:eastAsia="zh-CN"/>
        </w:rPr>
        <w:t>已建</w:t>
      </w:r>
      <w:r>
        <w:rPr>
          <w:rFonts w:hint="eastAsia"/>
          <w:color w:val="auto"/>
          <w:highlight w:val="none"/>
        </w:rPr>
        <w:t>厂房进行生产，建设期主要为生产线的设备安装，正常情况下不涉及土壤环境影响。运营期厂区内生产区、原料储存区域、一般固体废物暂存间等采取了防渗、防溢流措施，在正常情况下原料、生产废水、固体废物均能够得到有效收集、处理，不会发生渗漏污染土壤环境。项目服务期满后，原生产设备可外售处置，构筑物拆除，不会遗留影响土壤环境的因素。</w:t>
      </w:r>
    </w:p>
    <w:p w14:paraId="6B3D72D4">
      <w:pPr>
        <w:pStyle w:val="1336"/>
        <w:ind w:firstLine="480"/>
        <w:rPr>
          <w:rFonts w:hint="eastAsia"/>
          <w:color w:val="auto"/>
          <w:highlight w:val="none"/>
        </w:rPr>
      </w:pPr>
      <w:r>
        <w:rPr>
          <w:rFonts w:hint="eastAsia"/>
          <w:color w:val="auto"/>
          <w:highlight w:val="none"/>
        </w:rPr>
        <w:t>因此本评价主要针对大气沉降污染对土壤环境的影响进行分析，影响途径见下表：</w:t>
      </w:r>
    </w:p>
    <w:p w14:paraId="33EBDCAB">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w:t>
      </w:r>
      <w:r>
        <w:rPr>
          <w:rFonts w:hint="eastAsia" w:cs="Times New Roman"/>
          <w:color w:val="auto"/>
          <w:highlight w:val="none"/>
          <w:lang w:val="en-US" w:eastAsia="zh-CN"/>
        </w:rPr>
        <w:t>6</w:t>
      </w:r>
      <w:r>
        <w:rPr>
          <w:rFonts w:hint="default" w:ascii="Times New Roman" w:hAnsi="Times New Roman" w:cs="Times New Roman"/>
          <w:color w:val="auto"/>
          <w:highlight w:val="none"/>
        </w:rPr>
        <w:t>-1  建设项目土壤影响类型与影响途径表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1801"/>
        <w:gridCol w:w="1799"/>
        <w:gridCol w:w="1799"/>
        <w:gridCol w:w="1804"/>
      </w:tblGrid>
      <w:tr w14:paraId="13A08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restart"/>
            <w:tcBorders>
              <w:tl2br w:val="nil"/>
              <w:tr2bl w:val="nil"/>
            </w:tcBorders>
            <w:noWrap w:val="0"/>
            <w:vAlign w:val="center"/>
          </w:tcPr>
          <w:p w14:paraId="63235B09">
            <w:pPr>
              <w:pStyle w:val="1369"/>
              <w:rPr>
                <w:color w:val="auto"/>
                <w:highlight w:val="none"/>
              </w:rPr>
            </w:pPr>
            <w:r>
              <w:rPr>
                <w:color w:val="auto"/>
                <w:highlight w:val="none"/>
              </w:rPr>
              <w:t>不同时段</w:t>
            </w:r>
          </w:p>
        </w:tc>
        <w:tc>
          <w:tcPr>
            <w:tcW w:w="4000" w:type="pct"/>
            <w:gridSpan w:val="4"/>
            <w:tcBorders>
              <w:tl2br w:val="nil"/>
              <w:tr2bl w:val="nil"/>
            </w:tcBorders>
            <w:noWrap w:val="0"/>
            <w:vAlign w:val="center"/>
          </w:tcPr>
          <w:p w14:paraId="70935CE0">
            <w:pPr>
              <w:pStyle w:val="1369"/>
              <w:rPr>
                <w:color w:val="auto"/>
                <w:highlight w:val="none"/>
              </w:rPr>
            </w:pPr>
            <w:r>
              <w:rPr>
                <w:color w:val="auto"/>
                <w:highlight w:val="none"/>
              </w:rPr>
              <w:t>污染影响型</w:t>
            </w:r>
          </w:p>
        </w:tc>
      </w:tr>
      <w:tr w14:paraId="5F92F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continue"/>
            <w:tcBorders>
              <w:tl2br w:val="nil"/>
              <w:tr2bl w:val="nil"/>
            </w:tcBorders>
            <w:noWrap w:val="0"/>
            <w:vAlign w:val="center"/>
          </w:tcPr>
          <w:p w14:paraId="32701404">
            <w:pPr>
              <w:pStyle w:val="1369"/>
              <w:rPr>
                <w:color w:val="auto"/>
                <w:highlight w:val="none"/>
              </w:rPr>
            </w:pPr>
          </w:p>
        </w:tc>
        <w:tc>
          <w:tcPr>
            <w:tcW w:w="1000" w:type="pct"/>
            <w:tcBorders>
              <w:tl2br w:val="nil"/>
              <w:tr2bl w:val="nil"/>
            </w:tcBorders>
            <w:noWrap w:val="0"/>
            <w:vAlign w:val="center"/>
          </w:tcPr>
          <w:p w14:paraId="176710AB">
            <w:pPr>
              <w:pStyle w:val="1369"/>
              <w:rPr>
                <w:color w:val="auto"/>
                <w:highlight w:val="none"/>
              </w:rPr>
            </w:pPr>
            <w:r>
              <w:rPr>
                <w:color w:val="auto"/>
                <w:highlight w:val="none"/>
              </w:rPr>
              <w:t>大气沉降</w:t>
            </w:r>
          </w:p>
        </w:tc>
        <w:tc>
          <w:tcPr>
            <w:tcW w:w="999" w:type="pct"/>
            <w:tcBorders>
              <w:tl2br w:val="nil"/>
              <w:tr2bl w:val="nil"/>
            </w:tcBorders>
            <w:noWrap w:val="0"/>
            <w:vAlign w:val="center"/>
          </w:tcPr>
          <w:p w14:paraId="5C9FE298">
            <w:pPr>
              <w:pStyle w:val="1369"/>
              <w:rPr>
                <w:color w:val="auto"/>
                <w:highlight w:val="none"/>
              </w:rPr>
            </w:pPr>
            <w:r>
              <w:rPr>
                <w:color w:val="auto"/>
                <w:highlight w:val="none"/>
              </w:rPr>
              <w:t>地面漫流</w:t>
            </w:r>
          </w:p>
        </w:tc>
        <w:tc>
          <w:tcPr>
            <w:tcW w:w="999" w:type="pct"/>
            <w:tcBorders>
              <w:tl2br w:val="nil"/>
              <w:tr2bl w:val="nil"/>
            </w:tcBorders>
            <w:noWrap w:val="0"/>
            <w:vAlign w:val="center"/>
          </w:tcPr>
          <w:p w14:paraId="3B290ABB">
            <w:pPr>
              <w:pStyle w:val="1369"/>
              <w:rPr>
                <w:color w:val="auto"/>
                <w:highlight w:val="none"/>
              </w:rPr>
            </w:pPr>
            <w:r>
              <w:rPr>
                <w:color w:val="auto"/>
                <w:highlight w:val="none"/>
              </w:rPr>
              <w:t>垂直入渗</w:t>
            </w:r>
          </w:p>
        </w:tc>
        <w:tc>
          <w:tcPr>
            <w:tcW w:w="1002" w:type="pct"/>
            <w:tcBorders>
              <w:tl2br w:val="nil"/>
              <w:tr2bl w:val="nil"/>
            </w:tcBorders>
            <w:noWrap w:val="0"/>
            <w:vAlign w:val="center"/>
          </w:tcPr>
          <w:p w14:paraId="3CFC16CD">
            <w:pPr>
              <w:pStyle w:val="1369"/>
              <w:rPr>
                <w:color w:val="auto"/>
                <w:highlight w:val="none"/>
              </w:rPr>
            </w:pPr>
            <w:r>
              <w:rPr>
                <w:color w:val="auto"/>
                <w:highlight w:val="none"/>
              </w:rPr>
              <w:t>其他</w:t>
            </w:r>
          </w:p>
        </w:tc>
      </w:tr>
      <w:tr w14:paraId="486E8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l2br w:val="nil"/>
              <w:tr2bl w:val="nil"/>
            </w:tcBorders>
            <w:noWrap w:val="0"/>
            <w:vAlign w:val="center"/>
          </w:tcPr>
          <w:p w14:paraId="763347BF">
            <w:pPr>
              <w:pStyle w:val="1369"/>
              <w:rPr>
                <w:color w:val="auto"/>
                <w:highlight w:val="none"/>
              </w:rPr>
            </w:pPr>
            <w:r>
              <w:rPr>
                <w:color w:val="auto"/>
                <w:highlight w:val="none"/>
              </w:rPr>
              <w:t>建设期</w:t>
            </w:r>
          </w:p>
        </w:tc>
        <w:tc>
          <w:tcPr>
            <w:tcW w:w="1000" w:type="pct"/>
            <w:tcBorders>
              <w:tl2br w:val="nil"/>
              <w:tr2bl w:val="nil"/>
            </w:tcBorders>
            <w:noWrap w:val="0"/>
            <w:vAlign w:val="center"/>
          </w:tcPr>
          <w:p w14:paraId="66868B68">
            <w:pPr>
              <w:pStyle w:val="1369"/>
              <w:rPr>
                <w:rFonts w:hint="eastAsia" w:eastAsia="宋体"/>
                <w:color w:val="auto"/>
                <w:highlight w:val="none"/>
                <w:lang w:val="en-US" w:eastAsia="zh-CN"/>
              </w:rPr>
            </w:pPr>
            <w:r>
              <w:rPr>
                <w:rFonts w:hint="eastAsia"/>
                <w:color w:val="auto"/>
                <w:highlight w:val="none"/>
                <w:lang w:val="en-US" w:eastAsia="zh-CN"/>
              </w:rPr>
              <w:t>/</w:t>
            </w:r>
          </w:p>
        </w:tc>
        <w:tc>
          <w:tcPr>
            <w:tcW w:w="999" w:type="pct"/>
            <w:tcBorders>
              <w:tl2br w:val="nil"/>
              <w:tr2bl w:val="nil"/>
            </w:tcBorders>
            <w:noWrap w:val="0"/>
            <w:vAlign w:val="center"/>
          </w:tcPr>
          <w:p w14:paraId="4C5D88FC">
            <w:pPr>
              <w:pStyle w:val="1369"/>
              <w:rPr>
                <w:rFonts w:hint="eastAsia" w:eastAsia="宋体"/>
                <w:color w:val="auto"/>
                <w:highlight w:val="none"/>
                <w:lang w:val="en-US" w:eastAsia="zh-CN"/>
              </w:rPr>
            </w:pPr>
            <w:r>
              <w:rPr>
                <w:rFonts w:hint="eastAsia"/>
                <w:color w:val="auto"/>
                <w:highlight w:val="none"/>
                <w:lang w:val="en-US" w:eastAsia="zh-CN"/>
              </w:rPr>
              <w:t>/</w:t>
            </w:r>
          </w:p>
        </w:tc>
        <w:tc>
          <w:tcPr>
            <w:tcW w:w="999" w:type="pct"/>
            <w:tcBorders>
              <w:tl2br w:val="nil"/>
              <w:tr2bl w:val="nil"/>
            </w:tcBorders>
            <w:noWrap w:val="0"/>
            <w:vAlign w:val="center"/>
          </w:tcPr>
          <w:p w14:paraId="5269BAD1">
            <w:pPr>
              <w:pStyle w:val="1369"/>
              <w:rPr>
                <w:rFonts w:hint="eastAsia" w:eastAsia="宋体"/>
                <w:color w:val="auto"/>
                <w:highlight w:val="none"/>
                <w:lang w:eastAsia="zh-CN"/>
              </w:rPr>
            </w:pPr>
            <w:r>
              <w:rPr>
                <w:rFonts w:hint="eastAsia"/>
                <w:color w:val="auto"/>
                <w:highlight w:val="none"/>
                <w:lang w:val="en-US" w:eastAsia="zh-CN"/>
              </w:rPr>
              <w:t>/</w:t>
            </w:r>
          </w:p>
        </w:tc>
        <w:tc>
          <w:tcPr>
            <w:tcW w:w="1002" w:type="pct"/>
            <w:tcBorders>
              <w:tl2br w:val="nil"/>
              <w:tr2bl w:val="nil"/>
            </w:tcBorders>
            <w:noWrap w:val="0"/>
            <w:vAlign w:val="center"/>
          </w:tcPr>
          <w:p w14:paraId="4D797FE5">
            <w:pPr>
              <w:pStyle w:val="1369"/>
              <w:rPr>
                <w:rFonts w:hint="eastAsia" w:eastAsia="宋体"/>
                <w:color w:val="auto"/>
                <w:highlight w:val="none"/>
                <w:lang w:val="en-US" w:eastAsia="zh-CN"/>
              </w:rPr>
            </w:pPr>
            <w:r>
              <w:rPr>
                <w:rFonts w:hint="eastAsia"/>
                <w:color w:val="auto"/>
                <w:highlight w:val="none"/>
                <w:lang w:val="en-US" w:eastAsia="zh-CN"/>
              </w:rPr>
              <w:t>/</w:t>
            </w:r>
          </w:p>
        </w:tc>
      </w:tr>
      <w:tr w14:paraId="0714A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l2br w:val="nil"/>
              <w:tr2bl w:val="nil"/>
            </w:tcBorders>
            <w:noWrap w:val="0"/>
            <w:vAlign w:val="center"/>
          </w:tcPr>
          <w:p w14:paraId="7D1614A2">
            <w:pPr>
              <w:pStyle w:val="1369"/>
              <w:rPr>
                <w:color w:val="auto"/>
                <w:highlight w:val="none"/>
              </w:rPr>
            </w:pPr>
            <w:r>
              <w:rPr>
                <w:color w:val="auto"/>
                <w:highlight w:val="none"/>
              </w:rPr>
              <w:t>运营期</w:t>
            </w:r>
          </w:p>
        </w:tc>
        <w:tc>
          <w:tcPr>
            <w:tcW w:w="1000" w:type="pct"/>
            <w:tcBorders>
              <w:tl2br w:val="nil"/>
              <w:tr2bl w:val="nil"/>
            </w:tcBorders>
            <w:noWrap w:val="0"/>
            <w:vAlign w:val="center"/>
          </w:tcPr>
          <w:p w14:paraId="3F066BE3">
            <w:pPr>
              <w:pStyle w:val="1369"/>
              <w:rPr>
                <w:color w:val="auto"/>
                <w:highlight w:val="none"/>
              </w:rPr>
            </w:pPr>
            <w:r>
              <w:rPr>
                <w:color w:val="auto"/>
                <w:highlight w:val="none"/>
              </w:rPr>
              <w:t>√</w:t>
            </w:r>
          </w:p>
        </w:tc>
        <w:tc>
          <w:tcPr>
            <w:tcW w:w="999" w:type="pct"/>
            <w:tcBorders>
              <w:tl2br w:val="nil"/>
              <w:tr2bl w:val="nil"/>
            </w:tcBorders>
            <w:noWrap w:val="0"/>
            <w:vAlign w:val="center"/>
          </w:tcPr>
          <w:p w14:paraId="75206BED">
            <w:pPr>
              <w:pStyle w:val="1369"/>
              <w:rPr>
                <w:rFonts w:hint="eastAsia" w:eastAsia="宋体"/>
                <w:color w:val="auto"/>
                <w:highlight w:val="none"/>
                <w:lang w:eastAsia="zh-CN"/>
              </w:rPr>
            </w:pPr>
            <w:r>
              <w:rPr>
                <w:rFonts w:hint="eastAsia"/>
                <w:color w:val="auto"/>
                <w:highlight w:val="none"/>
                <w:lang w:val="en-US" w:eastAsia="zh-CN"/>
              </w:rPr>
              <w:t>/</w:t>
            </w:r>
          </w:p>
        </w:tc>
        <w:tc>
          <w:tcPr>
            <w:tcW w:w="999" w:type="pct"/>
            <w:tcBorders>
              <w:tl2br w:val="nil"/>
              <w:tr2bl w:val="nil"/>
            </w:tcBorders>
            <w:noWrap w:val="0"/>
            <w:vAlign w:val="center"/>
          </w:tcPr>
          <w:p w14:paraId="0D9AD435">
            <w:pPr>
              <w:pStyle w:val="1369"/>
              <w:rPr>
                <w:color w:val="auto"/>
                <w:highlight w:val="none"/>
              </w:rPr>
            </w:pPr>
            <w:r>
              <w:rPr>
                <w:color w:val="auto"/>
                <w:highlight w:val="none"/>
              </w:rPr>
              <w:t>√</w:t>
            </w:r>
          </w:p>
        </w:tc>
        <w:tc>
          <w:tcPr>
            <w:tcW w:w="1002" w:type="pct"/>
            <w:tcBorders>
              <w:tl2br w:val="nil"/>
              <w:tr2bl w:val="nil"/>
            </w:tcBorders>
            <w:noWrap w:val="0"/>
            <w:vAlign w:val="center"/>
          </w:tcPr>
          <w:p w14:paraId="63C3DA02">
            <w:pPr>
              <w:pStyle w:val="1369"/>
              <w:rPr>
                <w:rFonts w:hint="eastAsia" w:eastAsia="宋体"/>
                <w:color w:val="auto"/>
                <w:highlight w:val="none"/>
                <w:lang w:val="en-US" w:eastAsia="zh-CN"/>
              </w:rPr>
            </w:pPr>
            <w:r>
              <w:rPr>
                <w:rFonts w:hint="eastAsia"/>
                <w:color w:val="auto"/>
                <w:highlight w:val="none"/>
                <w:lang w:val="en-US" w:eastAsia="zh-CN"/>
              </w:rPr>
              <w:t>/</w:t>
            </w:r>
          </w:p>
        </w:tc>
      </w:tr>
      <w:tr w14:paraId="4CCCAF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l2br w:val="nil"/>
              <w:tr2bl w:val="nil"/>
            </w:tcBorders>
            <w:noWrap w:val="0"/>
            <w:vAlign w:val="center"/>
          </w:tcPr>
          <w:p w14:paraId="35B1BF1F">
            <w:pPr>
              <w:pStyle w:val="1369"/>
              <w:rPr>
                <w:color w:val="auto"/>
                <w:highlight w:val="none"/>
              </w:rPr>
            </w:pPr>
            <w:r>
              <w:rPr>
                <w:color w:val="auto"/>
                <w:highlight w:val="none"/>
              </w:rPr>
              <w:t>服务期满后</w:t>
            </w:r>
          </w:p>
        </w:tc>
        <w:tc>
          <w:tcPr>
            <w:tcW w:w="1000" w:type="pct"/>
            <w:tcBorders>
              <w:tl2br w:val="nil"/>
              <w:tr2bl w:val="nil"/>
            </w:tcBorders>
            <w:noWrap w:val="0"/>
            <w:vAlign w:val="center"/>
          </w:tcPr>
          <w:p w14:paraId="7FE25AE1">
            <w:pPr>
              <w:pStyle w:val="1369"/>
              <w:rPr>
                <w:rFonts w:hint="eastAsia" w:eastAsia="宋体"/>
                <w:color w:val="auto"/>
                <w:highlight w:val="none"/>
                <w:lang w:val="en-US" w:eastAsia="zh-CN"/>
              </w:rPr>
            </w:pPr>
            <w:r>
              <w:rPr>
                <w:rFonts w:hint="eastAsia"/>
                <w:color w:val="auto"/>
                <w:highlight w:val="none"/>
                <w:lang w:val="en-US" w:eastAsia="zh-CN"/>
              </w:rPr>
              <w:t>/</w:t>
            </w:r>
          </w:p>
        </w:tc>
        <w:tc>
          <w:tcPr>
            <w:tcW w:w="999" w:type="pct"/>
            <w:tcBorders>
              <w:tl2br w:val="nil"/>
              <w:tr2bl w:val="nil"/>
            </w:tcBorders>
            <w:noWrap w:val="0"/>
            <w:vAlign w:val="center"/>
          </w:tcPr>
          <w:p w14:paraId="575D4B11">
            <w:pPr>
              <w:pStyle w:val="1369"/>
              <w:rPr>
                <w:rFonts w:hint="eastAsia" w:eastAsia="宋体"/>
                <w:color w:val="auto"/>
                <w:highlight w:val="none"/>
                <w:lang w:val="en-US" w:eastAsia="zh-CN"/>
              </w:rPr>
            </w:pPr>
            <w:r>
              <w:rPr>
                <w:rFonts w:hint="eastAsia"/>
                <w:color w:val="auto"/>
                <w:highlight w:val="none"/>
                <w:lang w:val="en-US" w:eastAsia="zh-CN"/>
              </w:rPr>
              <w:t>/</w:t>
            </w:r>
          </w:p>
        </w:tc>
        <w:tc>
          <w:tcPr>
            <w:tcW w:w="999" w:type="pct"/>
            <w:tcBorders>
              <w:tl2br w:val="nil"/>
              <w:tr2bl w:val="nil"/>
            </w:tcBorders>
            <w:noWrap w:val="0"/>
            <w:vAlign w:val="center"/>
          </w:tcPr>
          <w:p w14:paraId="3AFB4EC1">
            <w:pPr>
              <w:pStyle w:val="1369"/>
              <w:rPr>
                <w:rFonts w:hint="eastAsia" w:eastAsia="宋体"/>
                <w:color w:val="auto"/>
                <w:highlight w:val="none"/>
                <w:lang w:val="en-US" w:eastAsia="zh-CN"/>
              </w:rPr>
            </w:pPr>
            <w:r>
              <w:rPr>
                <w:rFonts w:hint="eastAsia"/>
                <w:color w:val="auto"/>
                <w:highlight w:val="none"/>
                <w:lang w:val="en-US" w:eastAsia="zh-CN"/>
              </w:rPr>
              <w:t>/</w:t>
            </w:r>
          </w:p>
        </w:tc>
        <w:tc>
          <w:tcPr>
            <w:tcW w:w="1002" w:type="pct"/>
            <w:tcBorders>
              <w:tl2br w:val="nil"/>
              <w:tr2bl w:val="nil"/>
            </w:tcBorders>
            <w:noWrap w:val="0"/>
            <w:vAlign w:val="center"/>
          </w:tcPr>
          <w:p w14:paraId="0422B3DE">
            <w:pPr>
              <w:pStyle w:val="1369"/>
              <w:rPr>
                <w:rFonts w:hint="eastAsia" w:eastAsia="宋体"/>
                <w:color w:val="auto"/>
                <w:highlight w:val="none"/>
                <w:lang w:val="en-US" w:eastAsia="zh-CN"/>
              </w:rPr>
            </w:pPr>
            <w:r>
              <w:rPr>
                <w:rFonts w:hint="eastAsia"/>
                <w:color w:val="auto"/>
                <w:highlight w:val="none"/>
                <w:lang w:val="en-US" w:eastAsia="zh-CN"/>
              </w:rPr>
              <w:t>/</w:t>
            </w:r>
          </w:p>
        </w:tc>
      </w:tr>
    </w:tbl>
    <w:p w14:paraId="67E2E53B">
      <w:pPr>
        <w:pStyle w:val="1336"/>
        <w:ind w:firstLine="480"/>
        <w:rPr>
          <w:color w:val="auto"/>
          <w:highlight w:val="none"/>
        </w:rPr>
      </w:pPr>
      <w:bookmarkStart w:id="531" w:name="_Toc14369344"/>
      <w:r>
        <w:rPr>
          <w:color w:val="auto"/>
          <w:highlight w:val="none"/>
        </w:rPr>
        <w:t>项目土壤环境影响源及影响因子识别如表5.</w:t>
      </w:r>
      <w:r>
        <w:rPr>
          <w:rFonts w:hint="eastAsia"/>
          <w:color w:val="auto"/>
          <w:highlight w:val="none"/>
          <w:lang w:val="en-US" w:eastAsia="zh-CN"/>
        </w:rPr>
        <w:t>6</w:t>
      </w:r>
      <w:r>
        <w:rPr>
          <w:color w:val="auto"/>
          <w:highlight w:val="none"/>
        </w:rPr>
        <w:t>-2所示。</w:t>
      </w:r>
    </w:p>
    <w:p w14:paraId="0D7CF7F4">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w:t>
      </w:r>
      <w:r>
        <w:rPr>
          <w:rFonts w:hint="eastAsia" w:cs="Times New Roman"/>
          <w:color w:val="auto"/>
          <w:highlight w:val="none"/>
          <w:lang w:val="en-US" w:eastAsia="zh-CN"/>
        </w:rPr>
        <w:t>6</w:t>
      </w:r>
      <w:r>
        <w:rPr>
          <w:rFonts w:hint="default" w:ascii="Times New Roman" w:hAnsi="Times New Roman" w:cs="Times New Roman"/>
          <w:color w:val="auto"/>
          <w:highlight w:val="none"/>
        </w:rPr>
        <w:t xml:space="preserve">-2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建设项目土壤环境影响源及影响因子识别表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294"/>
        <w:gridCol w:w="1133"/>
        <w:gridCol w:w="2978"/>
        <w:gridCol w:w="1915"/>
        <w:gridCol w:w="743"/>
      </w:tblGrid>
      <w:tr w14:paraId="2824E8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2" w:type="pct"/>
            <w:tcBorders>
              <w:tl2br w:val="nil"/>
              <w:tr2bl w:val="nil"/>
            </w:tcBorders>
            <w:noWrap w:val="0"/>
            <w:vAlign w:val="center"/>
          </w:tcPr>
          <w:p w14:paraId="5DF81763">
            <w:pPr>
              <w:pStyle w:val="1358"/>
              <w:rPr>
                <w:color w:val="auto"/>
                <w:highlight w:val="none"/>
              </w:rPr>
            </w:pPr>
            <w:r>
              <w:rPr>
                <w:color w:val="auto"/>
                <w:highlight w:val="none"/>
              </w:rPr>
              <w:t>污染源</w:t>
            </w:r>
          </w:p>
        </w:tc>
        <w:tc>
          <w:tcPr>
            <w:tcW w:w="718" w:type="pct"/>
            <w:tcBorders>
              <w:tl2br w:val="nil"/>
              <w:tr2bl w:val="nil"/>
            </w:tcBorders>
            <w:noWrap w:val="0"/>
            <w:vAlign w:val="center"/>
          </w:tcPr>
          <w:p w14:paraId="6AE131DD">
            <w:pPr>
              <w:pStyle w:val="1358"/>
              <w:rPr>
                <w:color w:val="auto"/>
                <w:highlight w:val="none"/>
              </w:rPr>
            </w:pPr>
            <w:r>
              <w:rPr>
                <w:color w:val="auto"/>
                <w:highlight w:val="none"/>
              </w:rPr>
              <w:t>工艺流程/节点</w:t>
            </w:r>
          </w:p>
        </w:tc>
        <w:tc>
          <w:tcPr>
            <w:tcW w:w="629" w:type="pct"/>
            <w:tcBorders>
              <w:tl2br w:val="nil"/>
              <w:tr2bl w:val="nil"/>
            </w:tcBorders>
            <w:noWrap w:val="0"/>
            <w:vAlign w:val="center"/>
          </w:tcPr>
          <w:p w14:paraId="745B8F97">
            <w:pPr>
              <w:pStyle w:val="1358"/>
              <w:rPr>
                <w:color w:val="auto"/>
                <w:highlight w:val="none"/>
              </w:rPr>
            </w:pPr>
            <w:r>
              <w:rPr>
                <w:color w:val="auto"/>
                <w:highlight w:val="none"/>
              </w:rPr>
              <w:t>污染途径</w:t>
            </w:r>
          </w:p>
        </w:tc>
        <w:tc>
          <w:tcPr>
            <w:tcW w:w="1653" w:type="pct"/>
            <w:tcBorders>
              <w:tl2br w:val="nil"/>
              <w:tr2bl w:val="nil"/>
            </w:tcBorders>
            <w:noWrap w:val="0"/>
            <w:vAlign w:val="center"/>
          </w:tcPr>
          <w:p w14:paraId="332789D3">
            <w:pPr>
              <w:pStyle w:val="1358"/>
              <w:rPr>
                <w:color w:val="auto"/>
                <w:highlight w:val="none"/>
              </w:rPr>
            </w:pPr>
            <w:r>
              <w:rPr>
                <w:color w:val="auto"/>
                <w:highlight w:val="none"/>
              </w:rPr>
              <w:t>全部污染指标</w:t>
            </w:r>
          </w:p>
        </w:tc>
        <w:tc>
          <w:tcPr>
            <w:tcW w:w="1063" w:type="pct"/>
            <w:tcBorders>
              <w:tl2br w:val="nil"/>
              <w:tr2bl w:val="nil"/>
            </w:tcBorders>
            <w:noWrap w:val="0"/>
            <w:vAlign w:val="center"/>
          </w:tcPr>
          <w:p w14:paraId="475DECFA">
            <w:pPr>
              <w:pStyle w:val="1358"/>
              <w:rPr>
                <w:color w:val="auto"/>
                <w:highlight w:val="none"/>
              </w:rPr>
            </w:pPr>
            <w:r>
              <w:rPr>
                <w:color w:val="auto"/>
                <w:highlight w:val="none"/>
              </w:rPr>
              <w:t>特征因子</w:t>
            </w:r>
          </w:p>
        </w:tc>
        <w:tc>
          <w:tcPr>
            <w:tcW w:w="412" w:type="pct"/>
            <w:tcBorders>
              <w:tl2br w:val="nil"/>
              <w:tr2bl w:val="nil"/>
            </w:tcBorders>
            <w:noWrap w:val="0"/>
            <w:vAlign w:val="center"/>
          </w:tcPr>
          <w:p w14:paraId="11DBCC7E">
            <w:pPr>
              <w:pStyle w:val="1358"/>
              <w:rPr>
                <w:color w:val="auto"/>
                <w:highlight w:val="none"/>
              </w:rPr>
            </w:pPr>
            <w:r>
              <w:rPr>
                <w:color w:val="auto"/>
                <w:highlight w:val="none"/>
              </w:rPr>
              <w:t>备注</w:t>
            </w:r>
          </w:p>
        </w:tc>
      </w:tr>
      <w:tr w14:paraId="2CD1E5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2" w:type="pct"/>
            <w:tcBorders>
              <w:tl2br w:val="nil"/>
              <w:tr2bl w:val="nil"/>
            </w:tcBorders>
            <w:noWrap w:val="0"/>
            <w:vAlign w:val="center"/>
          </w:tcPr>
          <w:p w14:paraId="7B3C4030">
            <w:pPr>
              <w:pStyle w:val="1358"/>
              <w:rPr>
                <w:rFonts w:hint="default" w:eastAsia="宋体"/>
                <w:color w:val="auto"/>
                <w:highlight w:val="none"/>
                <w:lang w:val="en-US" w:eastAsia="zh-CN"/>
              </w:rPr>
            </w:pPr>
            <w:r>
              <w:rPr>
                <w:rFonts w:hint="eastAsia"/>
                <w:color w:val="auto"/>
                <w:highlight w:val="none"/>
                <w:lang w:val="en-US" w:eastAsia="zh-CN"/>
              </w:rPr>
              <w:t>生产区</w:t>
            </w:r>
          </w:p>
        </w:tc>
        <w:tc>
          <w:tcPr>
            <w:tcW w:w="718" w:type="pct"/>
            <w:tcBorders>
              <w:tl2br w:val="nil"/>
              <w:tr2bl w:val="nil"/>
            </w:tcBorders>
            <w:noWrap w:val="0"/>
            <w:vAlign w:val="center"/>
          </w:tcPr>
          <w:p w14:paraId="17C32AF7">
            <w:pPr>
              <w:pStyle w:val="1358"/>
              <w:rPr>
                <w:color w:val="auto"/>
                <w:highlight w:val="none"/>
              </w:rPr>
            </w:pPr>
            <w:r>
              <w:rPr>
                <w:color w:val="auto"/>
                <w:highlight w:val="none"/>
              </w:rPr>
              <w:t>废气处理设施</w:t>
            </w:r>
          </w:p>
        </w:tc>
        <w:tc>
          <w:tcPr>
            <w:tcW w:w="629" w:type="pct"/>
            <w:tcBorders>
              <w:tl2br w:val="nil"/>
              <w:tr2bl w:val="nil"/>
            </w:tcBorders>
            <w:noWrap w:val="0"/>
            <w:vAlign w:val="center"/>
          </w:tcPr>
          <w:p w14:paraId="634DF732">
            <w:pPr>
              <w:pStyle w:val="1358"/>
              <w:rPr>
                <w:color w:val="auto"/>
                <w:highlight w:val="none"/>
              </w:rPr>
            </w:pPr>
            <w:r>
              <w:rPr>
                <w:color w:val="auto"/>
                <w:highlight w:val="none"/>
              </w:rPr>
              <w:t>大气沉降</w:t>
            </w:r>
          </w:p>
        </w:tc>
        <w:tc>
          <w:tcPr>
            <w:tcW w:w="1653" w:type="pct"/>
            <w:tcBorders>
              <w:tl2br w:val="nil"/>
              <w:tr2bl w:val="nil"/>
            </w:tcBorders>
            <w:noWrap w:val="0"/>
            <w:vAlign w:val="center"/>
          </w:tcPr>
          <w:p w14:paraId="4BC47FC2">
            <w:pPr>
              <w:pStyle w:val="1358"/>
              <w:rPr>
                <w:rFonts w:hint="default" w:eastAsia="宋体"/>
                <w:color w:val="auto"/>
                <w:highlight w:val="none"/>
                <w:lang w:val="en-US" w:eastAsia="zh-CN"/>
              </w:rPr>
            </w:pPr>
            <w:r>
              <w:rPr>
                <w:rFonts w:hint="default" w:ascii="Times New Roman" w:hAnsi="Times New Roman" w:eastAsia="宋体" w:cs="Times New Roman"/>
                <w:color w:val="auto"/>
                <w:highlight w:val="none"/>
                <w:lang w:val="en-US" w:eastAsia="zh-CN" w:bidi="ar"/>
              </w:rPr>
              <w:t>NMHC</w:t>
            </w:r>
            <w:r>
              <w:rPr>
                <w:rFonts w:hint="eastAsia" w:ascii="Times New Roman" w:hAnsi="Times New Roman" w:eastAsia="宋体" w:cs="Times New Roman"/>
                <w:color w:val="auto"/>
                <w:highlight w:val="none"/>
                <w:lang w:val="en-US" w:eastAsia="zh-CN" w:bidi="ar"/>
              </w:rPr>
              <w:t>（含</w:t>
            </w:r>
            <w:r>
              <w:rPr>
                <w:rFonts w:hint="default" w:ascii="Times New Roman" w:hAnsi="Times New Roman" w:eastAsia="宋体" w:cs="Times New Roman"/>
                <w:color w:val="auto"/>
                <w:highlight w:val="none"/>
                <w:lang w:val="en-US" w:eastAsia="zh-CN" w:bidi="ar"/>
              </w:rPr>
              <w:t>乙酸丁酯</w:t>
            </w:r>
            <w:r>
              <w:rPr>
                <w:rFonts w:hint="eastAsia" w:ascii="Times New Roman" w:hAnsi="Times New Roman" w:eastAsia="宋体" w:cs="Times New Roman"/>
                <w:color w:val="auto"/>
                <w:highlight w:val="none"/>
                <w:lang w:val="en-US" w:eastAsia="zh-CN" w:bidi="ar"/>
              </w:rPr>
              <w:t>）</w:t>
            </w:r>
            <w:r>
              <w:rPr>
                <w:rFonts w:hint="eastAsia"/>
                <w:color w:val="auto"/>
                <w:kern w:val="0"/>
                <w:szCs w:val="21"/>
                <w:highlight w:val="none"/>
                <w:lang w:eastAsia="zh-CN"/>
              </w:rPr>
              <w:t>、</w:t>
            </w:r>
            <w:r>
              <w:rPr>
                <w:rFonts w:hint="eastAsia"/>
                <w:color w:val="auto"/>
                <w:kern w:val="0"/>
                <w:szCs w:val="21"/>
                <w:highlight w:val="none"/>
                <w:lang w:val="en-US" w:eastAsia="zh-CN"/>
              </w:rPr>
              <w:t>二甲苯、乙酸丁酯、颗粒物</w:t>
            </w:r>
          </w:p>
        </w:tc>
        <w:tc>
          <w:tcPr>
            <w:tcW w:w="1063" w:type="pct"/>
            <w:tcBorders>
              <w:tl2br w:val="nil"/>
              <w:tr2bl w:val="nil"/>
            </w:tcBorders>
            <w:noWrap w:val="0"/>
            <w:vAlign w:val="center"/>
          </w:tcPr>
          <w:p w14:paraId="0D62BD9D">
            <w:pPr>
              <w:pStyle w:val="1358"/>
              <w:rPr>
                <w:rFonts w:hint="default" w:eastAsia="宋体"/>
                <w:color w:val="auto"/>
                <w:highlight w:val="none"/>
                <w:lang w:val="en-US" w:eastAsia="zh-CN"/>
              </w:rPr>
            </w:pPr>
            <w:r>
              <w:rPr>
                <w:rFonts w:hint="default" w:ascii="Times New Roman" w:hAnsi="Times New Roman" w:eastAsia="宋体" w:cs="Times New Roman"/>
                <w:color w:val="auto"/>
                <w:highlight w:val="none"/>
                <w:lang w:val="en-US" w:eastAsia="zh-CN" w:bidi="ar"/>
              </w:rPr>
              <w:t>NMHC</w:t>
            </w:r>
            <w:r>
              <w:rPr>
                <w:rFonts w:hint="eastAsia" w:ascii="Times New Roman" w:hAnsi="Times New Roman" w:eastAsia="宋体" w:cs="Times New Roman"/>
                <w:color w:val="auto"/>
                <w:highlight w:val="none"/>
                <w:lang w:val="en-US" w:eastAsia="zh-CN" w:bidi="ar"/>
              </w:rPr>
              <w:t>（含</w:t>
            </w:r>
            <w:r>
              <w:rPr>
                <w:rFonts w:hint="default" w:ascii="Times New Roman" w:hAnsi="Times New Roman" w:eastAsia="宋体" w:cs="Times New Roman"/>
                <w:color w:val="auto"/>
                <w:highlight w:val="none"/>
                <w:lang w:val="en-US" w:eastAsia="zh-CN" w:bidi="ar"/>
              </w:rPr>
              <w:t>乙酸丁酯</w:t>
            </w:r>
            <w:r>
              <w:rPr>
                <w:rFonts w:hint="eastAsia" w:ascii="Times New Roman" w:hAnsi="Times New Roman" w:eastAsia="宋体" w:cs="Times New Roman"/>
                <w:color w:val="auto"/>
                <w:highlight w:val="none"/>
                <w:lang w:val="en-US" w:eastAsia="zh-CN" w:bidi="ar"/>
              </w:rPr>
              <w:t>）</w:t>
            </w:r>
            <w:r>
              <w:rPr>
                <w:rFonts w:hint="eastAsia"/>
                <w:color w:val="auto"/>
                <w:kern w:val="0"/>
                <w:szCs w:val="21"/>
                <w:highlight w:val="none"/>
                <w:lang w:eastAsia="zh-CN"/>
              </w:rPr>
              <w:t>、</w:t>
            </w:r>
            <w:r>
              <w:rPr>
                <w:rFonts w:hint="eastAsia"/>
                <w:color w:val="auto"/>
                <w:kern w:val="0"/>
                <w:szCs w:val="21"/>
                <w:highlight w:val="none"/>
                <w:lang w:val="en-US" w:eastAsia="zh-CN"/>
              </w:rPr>
              <w:t>二甲苯、乙酸丁酯、颗粒物</w:t>
            </w:r>
          </w:p>
        </w:tc>
        <w:tc>
          <w:tcPr>
            <w:tcW w:w="412" w:type="pct"/>
            <w:tcBorders>
              <w:tl2br w:val="nil"/>
              <w:tr2bl w:val="nil"/>
            </w:tcBorders>
            <w:noWrap w:val="0"/>
            <w:vAlign w:val="center"/>
          </w:tcPr>
          <w:p w14:paraId="16884DFC">
            <w:pPr>
              <w:pStyle w:val="1358"/>
              <w:rPr>
                <w:rFonts w:hint="eastAsia" w:eastAsia="宋体"/>
                <w:color w:val="auto"/>
                <w:highlight w:val="none"/>
                <w:lang w:eastAsia="zh-CN"/>
              </w:rPr>
            </w:pPr>
            <w:r>
              <w:rPr>
                <w:rFonts w:hint="eastAsia"/>
                <w:color w:val="auto"/>
                <w:highlight w:val="none"/>
                <w:lang w:val="en-US" w:eastAsia="zh-CN"/>
              </w:rPr>
              <w:t>连续</w:t>
            </w:r>
          </w:p>
        </w:tc>
      </w:tr>
      <w:tr w14:paraId="5FDC9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2" w:type="pct"/>
            <w:tcBorders>
              <w:tl2br w:val="nil"/>
              <w:tr2bl w:val="nil"/>
            </w:tcBorders>
            <w:noWrap w:val="0"/>
            <w:vAlign w:val="center"/>
          </w:tcPr>
          <w:p w14:paraId="5C97D5AE">
            <w:pPr>
              <w:pStyle w:val="1358"/>
              <w:rPr>
                <w:rFonts w:ascii="Times New Roman" w:hAnsi="Times New Roman" w:eastAsia="宋体" w:cs="Times New Roman"/>
                <w:color w:val="auto"/>
                <w:highlight w:val="none"/>
              </w:rPr>
            </w:pPr>
            <w:r>
              <w:rPr>
                <w:rFonts w:hint="eastAsia"/>
                <w:color w:val="auto"/>
                <w:highlight w:val="none"/>
                <w:lang w:val="en-US" w:eastAsia="zh-CN"/>
              </w:rPr>
              <w:t>辅料仓库1</w:t>
            </w:r>
          </w:p>
        </w:tc>
        <w:tc>
          <w:tcPr>
            <w:tcW w:w="718" w:type="pct"/>
            <w:tcBorders>
              <w:tl2br w:val="nil"/>
              <w:tr2bl w:val="nil"/>
            </w:tcBorders>
            <w:noWrap w:val="0"/>
            <w:vAlign w:val="center"/>
          </w:tcPr>
          <w:p w14:paraId="0ECB065B">
            <w:pPr>
              <w:pStyle w:val="1358"/>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辅料仓库1</w:t>
            </w:r>
          </w:p>
        </w:tc>
        <w:tc>
          <w:tcPr>
            <w:tcW w:w="629" w:type="pct"/>
            <w:tcBorders>
              <w:tl2br w:val="nil"/>
              <w:tr2bl w:val="nil"/>
            </w:tcBorders>
            <w:noWrap w:val="0"/>
            <w:vAlign w:val="center"/>
          </w:tcPr>
          <w:p w14:paraId="5201CFC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垂直入渗</w:t>
            </w:r>
          </w:p>
        </w:tc>
        <w:tc>
          <w:tcPr>
            <w:tcW w:w="1653" w:type="pct"/>
            <w:tcBorders>
              <w:tl2br w:val="nil"/>
              <w:tr2bl w:val="nil"/>
            </w:tcBorders>
            <w:noWrap w:val="0"/>
            <w:vAlign w:val="center"/>
          </w:tcPr>
          <w:p w14:paraId="204DF12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石油烃</w:t>
            </w:r>
          </w:p>
        </w:tc>
        <w:tc>
          <w:tcPr>
            <w:tcW w:w="1063" w:type="pct"/>
            <w:tcBorders>
              <w:tl2br w:val="nil"/>
              <w:tr2bl w:val="nil"/>
            </w:tcBorders>
            <w:noWrap w:val="0"/>
            <w:vAlign w:val="center"/>
          </w:tcPr>
          <w:p w14:paraId="3D681887">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石油烃</w:t>
            </w:r>
          </w:p>
        </w:tc>
        <w:tc>
          <w:tcPr>
            <w:tcW w:w="412" w:type="pct"/>
            <w:tcBorders>
              <w:tl2br w:val="nil"/>
              <w:tr2bl w:val="nil"/>
            </w:tcBorders>
            <w:noWrap w:val="0"/>
            <w:vAlign w:val="center"/>
          </w:tcPr>
          <w:p w14:paraId="2CB240B5">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事故</w:t>
            </w:r>
            <w:r>
              <w:rPr>
                <w:rFonts w:hint="eastAsia" w:ascii="Times New Roman" w:hAnsi="Times New Roman" w:eastAsia="宋体" w:cs="Times New Roman"/>
                <w:color w:val="auto"/>
                <w:highlight w:val="none"/>
                <w:lang w:val="en-US" w:eastAsia="zh-CN"/>
              </w:rPr>
              <w:t>破损</w:t>
            </w:r>
          </w:p>
        </w:tc>
      </w:tr>
      <w:tr w14:paraId="318547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2" w:type="pct"/>
            <w:tcBorders>
              <w:tl2br w:val="nil"/>
              <w:tr2bl w:val="nil"/>
            </w:tcBorders>
            <w:noWrap w:val="0"/>
            <w:vAlign w:val="center"/>
          </w:tcPr>
          <w:p w14:paraId="0BE00F7F">
            <w:pPr>
              <w:pStyle w:val="1358"/>
              <w:rPr>
                <w:rFonts w:hint="default" w:ascii="Times New Roman" w:hAnsi="Times New Roman" w:eastAsia="宋体" w:cs="Times New Roman"/>
                <w:color w:val="auto"/>
                <w:highlight w:val="none"/>
                <w:lang w:val="en-US"/>
              </w:rPr>
            </w:pPr>
            <w:r>
              <w:rPr>
                <w:rFonts w:hint="eastAsia" w:ascii="Times New Roman" w:hAnsi="Times New Roman" w:eastAsia="宋体" w:cs="Times New Roman"/>
                <w:color w:val="auto"/>
                <w:highlight w:val="none"/>
                <w:lang w:val="en-US" w:eastAsia="zh-CN"/>
              </w:rPr>
              <w:t>危废贮存库</w:t>
            </w:r>
          </w:p>
        </w:tc>
        <w:tc>
          <w:tcPr>
            <w:tcW w:w="718" w:type="pct"/>
            <w:tcBorders>
              <w:tl2br w:val="nil"/>
              <w:tr2bl w:val="nil"/>
            </w:tcBorders>
            <w:noWrap w:val="0"/>
            <w:vAlign w:val="center"/>
          </w:tcPr>
          <w:p w14:paraId="2ECFC3B3">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危废贮存库</w:t>
            </w:r>
          </w:p>
        </w:tc>
        <w:tc>
          <w:tcPr>
            <w:tcW w:w="629" w:type="pct"/>
            <w:tcBorders>
              <w:tl2br w:val="nil"/>
              <w:tr2bl w:val="nil"/>
            </w:tcBorders>
            <w:noWrap w:val="0"/>
            <w:vAlign w:val="center"/>
          </w:tcPr>
          <w:p w14:paraId="2A0B4368">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垂直入渗</w:t>
            </w:r>
          </w:p>
        </w:tc>
        <w:tc>
          <w:tcPr>
            <w:tcW w:w="1653" w:type="pct"/>
            <w:tcBorders>
              <w:tl2br w:val="nil"/>
              <w:tr2bl w:val="nil"/>
            </w:tcBorders>
            <w:noWrap w:val="0"/>
            <w:vAlign w:val="center"/>
          </w:tcPr>
          <w:p w14:paraId="483025E8">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石油烃</w:t>
            </w:r>
          </w:p>
        </w:tc>
        <w:tc>
          <w:tcPr>
            <w:tcW w:w="1063" w:type="pct"/>
            <w:tcBorders>
              <w:tl2br w:val="nil"/>
              <w:tr2bl w:val="nil"/>
            </w:tcBorders>
            <w:noWrap w:val="0"/>
            <w:vAlign w:val="center"/>
          </w:tcPr>
          <w:p w14:paraId="700EB4E4">
            <w:pPr>
              <w:pStyle w:val="1358"/>
              <w:ind w:firstLine="0" w:firstLineChars="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石油烃</w:t>
            </w:r>
          </w:p>
        </w:tc>
        <w:tc>
          <w:tcPr>
            <w:tcW w:w="412" w:type="pct"/>
            <w:tcBorders>
              <w:tl2br w:val="nil"/>
              <w:tr2bl w:val="nil"/>
            </w:tcBorders>
            <w:noWrap w:val="0"/>
            <w:vAlign w:val="center"/>
          </w:tcPr>
          <w:p w14:paraId="4BA7AB4D">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事故</w:t>
            </w:r>
            <w:r>
              <w:rPr>
                <w:rFonts w:hint="eastAsia" w:ascii="Times New Roman" w:hAnsi="Times New Roman" w:eastAsia="宋体" w:cs="Times New Roman"/>
                <w:color w:val="auto"/>
                <w:highlight w:val="none"/>
                <w:lang w:val="en-US" w:eastAsia="zh-CN"/>
              </w:rPr>
              <w:t>破损</w:t>
            </w:r>
          </w:p>
        </w:tc>
      </w:tr>
    </w:tbl>
    <w:p w14:paraId="710DF1CA">
      <w:pPr>
        <w:pStyle w:val="4"/>
        <w:numPr>
          <w:ilvl w:val="2"/>
          <w:numId w:val="0"/>
        </w:numPr>
        <w:tabs>
          <w:tab w:val="clear" w:pos="720"/>
        </w:tabs>
        <w:bidi w:val="0"/>
        <w:rPr>
          <w:color w:val="auto"/>
          <w:highlight w:val="none"/>
        </w:rPr>
      </w:pPr>
      <w:bookmarkStart w:id="532" w:name="_Toc10371"/>
      <w:r>
        <w:rPr>
          <w:color w:val="auto"/>
          <w:highlight w:val="none"/>
        </w:rPr>
        <w:t>5.</w:t>
      </w:r>
      <w:r>
        <w:rPr>
          <w:rFonts w:hint="eastAsia"/>
          <w:color w:val="auto"/>
          <w:highlight w:val="none"/>
          <w:lang w:val="en-US" w:eastAsia="zh-CN"/>
        </w:rPr>
        <w:t>6</w:t>
      </w:r>
      <w:r>
        <w:rPr>
          <w:color w:val="auto"/>
          <w:highlight w:val="none"/>
        </w:rPr>
        <w:t>.2</w:t>
      </w:r>
      <w:r>
        <w:rPr>
          <w:rFonts w:hint="eastAsia"/>
          <w:color w:val="auto"/>
          <w:highlight w:val="none"/>
          <w:lang w:val="en-US" w:eastAsia="zh-CN"/>
        </w:rPr>
        <w:t xml:space="preserve"> </w:t>
      </w:r>
      <w:r>
        <w:rPr>
          <w:color w:val="auto"/>
          <w:highlight w:val="none"/>
        </w:rPr>
        <w:t>土壤</w:t>
      </w:r>
      <w:bookmarkEnd w:id="531"/>
      <w:r>
        <w:rPr>
          <w:color w:val="auto"/>
          <w:highlight w:val="none"/>
        </w:rPr>
        <w:t>环境影响分析和评价</w:t>
      </w:r>
      <w:bookmarkEnd w:id="532"/>
    </w:p>
    <w:p w14:paraId="364CC7B1">
      <w:pPr>
        <w:pStyle w:val="5"/>
        <w:numPr>
          <w:ilvl w:val="3"/>
          <w:numId w:val="0"/>
        </w:numPr>
        <w:bidi w:val="0"/>
        <w:ind w:leftChars="0"/>
        <w:rPr>
          <w:rFonts w:hint="eastAsia"/>
          <w:color w:val="auto"/>
          <w:highlight w:val="none"/>
          <w:lang w:val="en-US" w:eastAsia="zh-CN"/>
        </w:rPr>
      </w:pPr>
      <w:r>
        <w:rPr>
          <w:rFonts w:hint="eastAsia"/>
          <w:color w:val="auto"/>
          <w:highlight w:val="none"/>
        </w:rPr>
        <w:t>5.</w:t>
      </w:r>
      <w:r>
        <w:rPr>
          <w:rFonts w:hint="eastAsia"/>
          <w:color w:val="auto"/>
          <w:highlight w:val="none"/>
          <w:lang w:val="en-US" w:eastAsia="zh-CN"/>
        </w:rPr>
        <w:t>6</w:t>
      </w:r>
      <w:r>
        <w:rPr>
          <w:rFonts w:hint="eastAsia"/>
          <w:color w:val="auto"/>
          <w:highlight w:val="none"/>
        </w:rPr>
        <w:t>.2.</w:t>
      </w:r>
      <w:r>
        <w:rPr>
          <w:rFonts w:hint="eastAsia"/>
          <w:color w:val="auto"/>
          <w:highlight w:val="none"/>
          <w:lang w:val="en-US" w:eastAsia="zh-CN"/>
        </w:rPr>
        <w:t>1 大气沉降对土壤的影响</w:t>
      </w:r>
    </w:p>
    <w:p w14:paraId="4CFD4E99">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项目排放的废气主要为有机废气及颗粒物，均涉及大气沉降，颗粒物主要为粉尘，进入土壤对土壤的影响较小；</w:t>
      </w:r>
      <w:r>
        <w:rPr>
          <w:rFonts w:hint="eastAsia" w:cs="Times New Roman"/>
          <w:color w:val="auto"/>
          <w:highlight w:val="none"/>
          <w:lang w:val="en-US" w:eastAsia="zh-CN"/>
        </w:rPr>
        <w:t>二甲苯</w:t>
      </w:r>
      <w:r>
        <w:rPr>
          <w:rFonts w:hint="eastAsia" w:ascii="Times New Roman" w:hAnsi="Times New Roman" w:eastAsia="宋体" w:cs="Times New Roman"/>
          <w:color w:val="auto"/>
          <w:highlight w:val="none"/>
          <w:lang w:val="en-US" w:eastAsia="zh-CN"/>
        </w:rPr>
        <w:t>、乙酸丁酯、NMHC（含乙酸丁酯）具有易挥发、易生物降解、易化学水解的特性，在进入土壤环境后难以长期残留和累积，其环境风险是可接受的。</w:t>
      </w:r>
    </w:p>
    <w:p w14:paraId="4124FD11">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根据《环境影响评价技术导则 土壤环境（试行）》（HJ 964-2018）中对于大气沉降途径的预测与评价，应重点关注在土壤中具有持久性、生物累积性的污染物，如重金属、多环芳烃等。</w:t>
      </w:r>
    </w:p>
    <w:p w14:paraId="300252DD">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本项目排放的废气污染物均不属于上述持久性、累积性污染物范畴，故本次评价不考虑大气沉降对土壤环境的影响途径。</w:t>
      </w:r>
    </w:p>
    <w:p w14:paraId="7A7F3CE2">
      <w:pPr>
        <w:pStyle w:val="5"/>
        <w:numPr>
          <w:ilvl w:val="3"/>
          <w:numId w:val="0"/>
        </w:numPr>
        <w:bidi w:val="0"/>
        <w:ind w:leftChars="0"/>
        <w:rPr>
          <w:rFonts w:hint="eastAsia"/>
          <w:color w:val="auto"/>
          <w:highlight w:val="none"/>
        </w:rPr>
      </w:pPr>
      <w:r>
        <w:rPr>
          <w:rFonts w:hint="eastAsia"/>
          <w:color w:val="auto"/>
          <w:highlight w:val="none"/>
          <w:lang w:val="en-US" w:eastAsia="zh-CN"/>
        </w:rPr>
        <w:t>5.6.2.2 垂直入渗</w:t>
      </w:r>
      <w:r>
        <w:rPr>
          <w:rFonts w:hint="eastAsia"/>
          <w:color w:val="auto"/>
          <w:highlight w:val="none"/>
        </w:rPr>
        <w:t>对土壤的影响</w:t>
      </w:r>
    </w:p>
    <w:p w14:paraId="0D304A7C">
      <w:pPr>
        <w:pStyle w:val="1336"/>
        <w:ind w:firstLine="480"/>
        <w:rPr>
          <w:rFonts w:hint="eastAsia"/>
          <w:color w:val="auto"/>
          <w:highlight w:val="none"/>
        </w:rPr>
      </w:pPr>
      <w:r>
        <w:rPr>
          <w:rFonts w:hint="eastAsia"/>
          <w:color w:val="auto"/>
          <w:highlight w:val="none"/>
        </w:rPr>
        <w:t>根据《环境影响评价技术导则土壤环境（试行）》（HJ 964-2018），本项目为</w:t>
      </w:r>
      <w:r>
        <w:rPr>
          <w:rFonts w:hint="eastAsia"/>
          <w:color w:val="auto"/>
          <w:highlight w:val="none"/>
          <w:lang w:val="en-US" w:eastAsia="zh-CN"/>
        </w:rPr>
        <w:t>二</w:t>
      </w:r>
      <w:r>
        <w:rPr>
          <w:rFonts w:hint="eastAsia"/>
          <w:color w:val="auto"/>
          <w:highlight w:val="none"/>
        </w:rPr>
        <w:t>级评价，评价范围为占地范围外</w:t>
      </w:r>
      <w:r>
        <w:rPr>
          <w:rFonts w:hint="eastAsia"/>
          <w:color w:val="auto"/>
          <w:highlight w:val="none"/>
          <w:lang w:val="en-US" w:eastAsia="zh-CN"/>
        </w:rPr>
        <w:t>0.2</w:t>
      </w:r>
      <w:r>
        <w:rPr>
          <w:rFonts w:hint="eastAsia"/>
          <w:color w:val="auto"/>
          <w:highlight w:val="none"/>
        </w:rPr>
        <w:t>km范围。垂直入渗：</w:t>
      </w:r>
      <w:r>
        <w:rPr>
          <w:rFonts w:hint="eastAsia"/>
          <w:color w:val="auto"/>
          <w:highlight w:val="none"/>
          <w:lang w:val="en-US" w:eastAsia="zh-CN"/>
        </w:rPr>
        <w:t>辅料仓库1</w:t>
      </w:r>
      <w:r>
        <w:rPr>
          <w:rFonts w:hint="eastAsia"/>
          <w:color w:val="auto"/>
          <w:highlight w:val="none"/>
          <w:lang w:eastAsia="zh-CN"/>
        </w:rPr>
        <w:t>、危废贮存库</w:t>
      </w:r>
      <w:r>
        <w:rPr>
          <w:rFonts w:hint="eastAsia"/>
          <w:color w:val="auto"/>
          <w:highlight w:val="none"/>
        </w:rPr>
        <w:t>以下的土壤层。</w:t>
      </w:r>
    </w:p>
    <w:p w14:paraId="189DA438">
      <w:pPr>
        <w:bidi w:val="0"/>
        <w:rPr>
          <w:rFonts w:hint="eastAsia"/>
          <w:color w:val="auto"/>
          <w:highlight w:val="none"/>
        </w:rPr>
      </w:pPr>
      <w:r>
        <w:rPr>
          <w:rFonts w:hint="eastAsia"/>
          <w:color w:val="auto"/>
          <w:highlight w:val="none"/>
          <w:lang w:eastAsia="zh-CN"/>
        </w:rPr>
        <w:t>（</w:t>
      </w:r>
      <w:r>
        <w:rPr>
          <w:rFonts w:hint="eastAsia"/>
          <w:color w:val="auto"/>
          <w:highlight w:val="none"/>
        </w:rPr>
        <w:t>2</w:t>
      </w:r>
      <w:r>
        <w:rPr>
          <w:rFonts w:hint="eastAsia"/>
          <w:color w:val="auto"/>
          <w:highlight w:val="none"/>
          <w:lang w:eastAsia="zh-CN"/>
        </w:rPr>
        <w:t>）</w:t>
      </w:r>
      <w:r>
        <w:rPr>
          <w:rFonts w:hint="eastAsia"/>
          <w:color w:val="auto"/>
          <w:highlight w:val="none"/>
        </w:rPr>
        <w:t>预测评价时段</w:t>
      </w:r>
    </w:p>
    <w:p w14:paraId="3B43317F">
      <w:pPr>
        <w:bidi w:val="0"/>
        <w:rPr>
          <w:rFonts w:hint="eastAsia"/>
          <w:color w:val="auto"/>
          <w:highlight w:val="none"/>
        </w:rPr>
      </w:pPr>
      <w:r>
        <w:rPr>
          <w:rFonts w:hint="eastAsia"/>
          <w:color w:val="auto"/>
          <w:highlight w:val="none"/>
        </w:rPr>
        <w:t>预测评价时段选择</w:t>
      </w:r>
      <w:r>
        <w:rPr>
          <w:rFonts w:hint="eastAsia"/>
          <w:color w:val="auto"/>
          <w:highlight w:val="none"/>
          <w:lang w:val="en-US" w:eastAsia="zh-CN"/>
        </w:rPr>
        <w:t>辅料仓库1</w:t>
      </w:r>
      <w:r>
        <w:rPr>
          <w:rFonts w:hint="eastAsia"/>
          <w:color w:val="auto"/>
          <w:highlight w:val="none"/>
          <w:lang w:eastAsia="zh-CN"/>
        </w:rPr>
        <w:t>、危废贮存库</w:t>
      </w:r>
      <w:r>
        <w:rPr>
          <w:rFonts w:hint="eastAsia"/>
          <w:color w:val="auto"/>
          <w:highlight w:val="none"/>
        </w:rPr>
        <w:t>防渗层破裂泄漏后10d。</w:t>
      </w:r>
    </w:p>
    <w:p w14:paraId="730ED722">
      <w:pPr>
        <w:bidi w:val="0"/>
        <w:rPr>
          <w:rFonts w:hint="eastAsia"/>
          <w:color w:val="auto"/>
          <w:highlight w:val="none"/>
        </w:rPr>
      </w:pPr>
      <w:r>
        <w:rPr>
          <w:rFonts w:hint="eastAsia"/>
          <w:color w:val="auto"/>
          <w:highlight w:val="none"/>
          <w:lang w:eastAsia="zh-CN"/>
        </w:rPr>
        <w:t>（</w:t>
      </w:r>
      <w:r>
        <w:rPr>
          <w:rFonts w:hint="eastAsia"/>
          <w:color w:val="auto"/>
          <w:highlight w:val="none"/>
        </w:rPr>
        <w:t>3</w:t>
      </w:r>
      <w:r>
        <w:rPr>
          <w:rFonts w:hint="eastAsia"/>
          <w:color w:val="auto"/>
          <w:highlight w:val="none"/>
          <w:lang w:eastAsia="zh-CN"/>
        </w:rPr>
        <w:t>）</w:t>
      </w:r>
      <w:r>
        <w:rPr>
          <w:rFonts w:hint="eastAsia"/>
          <w:color w:val="auto"/>
          <w:highlight w:val="none"/>
        </w:rPr>
        <w:t>情景设定</w:t>
      </w:r>
    </w:p>
    <w:p w14:paraId="363B0853">
      <w:pPr>
        <w:bidi w:val="0"/>
        <w:rPr>
          <w:rFonts w:hint="eastAsia"/>
          <w:color w:val="auto"/>
          <w:highlight w:val="none"/>
        </w:rPr>
      </w:pPr>
      <w:r>
        <w:rPr>
          <w:rFonts w:hint="eastAsia"/>
          <w:color w:val="auto"/>
          <w:highlight w:val="none"/>
        </w:rPr>
        <w:t>垂直入渗：</w:t>
      </w:r>
      <w:r>
        <w:rPr>
          <w:rFonts w:hint="eastAsia"/>
          <w:color w:val="auto"/>
          <w:highlight w:val="none"/>
          <w:lang w:val="en-US" w:eastAsia="zh-CN"/>
        </w:rPr>
        <w:t>辅料仓库1</w:t>
      </w:r>
      <w:r>
        <w:rPr>
          <w:rFonts w:hint="eastAsia"/>
          <w:color w:val="auto"/>
          <w:highlight w:val="none"/>
          <w:lang w:eastAsia="zh-CN"/>
        </w:rPr>
        <w:t>、危废贮存库</w:t>
      </w:r>
      <w:r>
        <w:rPr>
          <w:rFonts w:hint="eastAsia"/>
          <w:color w:val="auto"/>
          <w:highlight w:val="none"/>
        </w:rPr>
        <w:t>防渗层破损发生</w:t>
      </w:r>
      <w:r>
        <w:rPr>
          <w:rFonts w:hint="eastAsia"/>
          <w:color w:val="auto"/>
          <w:highlight w:val="none"/>
          <w:lang w:eastAsia="zh-CN"/>
        </w:rPr>
        <w:t>泄漏</w:t>
      </w:r>
      <w:r>
        <w:rPr>
          <w:rFonts w:hint="eastAsia"/>
          <w:color w:val="auto"/>
          <w:highlight w:val="none"/>
        </w:rPr>
        <w:t>造成土壤污染的情景；</w:t>
      </w:r>
    </w:p>
    <w:p w14:paraId="00F1B881">
      <w:pPr>
        <w:bidi w:val="0"/>
        <w:rPr>
          <w:rFonts w:hint="eastAsia"/>
          <w:color w:val="auto"/>
          <w:highlight w:val="none"/>
        </w:rPr>
      </w:pPr>
      <w:r>
        <w:rPr>
          <w:rFonts w:hint="eastAsia"/>
          <w:color w:val="auto"/>
          <w:highlight w:val="none"/>
          <w:lang w:eastAsia="zh-CN"/>
        </w:rPr>
        <w:t>（</w:t>
      </w:r>
      <w:r>
        <w:rPr>
          <w:rFonts w:hint="eastAsia"/>
          <w:color w:val="auto"/>
          <w:highlight w:val="none"/>
        </w:rPr>
        <w:t>4</w:t>
      </w:r>
      <w:r>
        <w:rPr>
          <w:rFonts w:hint="eastAsia"/>
          <w:color w:val="auto"/>
          <w:highlight w:val="none"/>
          <w:lang w:eastAsia="zh-CN"/>
        </w:rPr>
        <w:t>）</w:t>
      </w:r>
      <w:r>
        <w:rPr>
          <w:rFonts w:hint="eastAsia"/>
          <w:color w:val="auto"/>
          <w:highlight w:val="none"/>
        </w:rPr>
        <w:t>预测及评价因子</w:t>
      </w:r>
    </w:p>
    <w:p w14:paraId="159AA308">
      <w:pPr>
        <w:pStyle w:val="1336"/>
        <w:ind w:firstLine="480"/>
        <w:rPr>
          <w:rFonts w:hint="eastAsia"/>
          <w:color w:val="auto"/>
          <w:highlight w:val="none"/>
        </w:rPr>
      </w:pPr>
      <w:r>
        <w:rPr>
          <w:rFonts w:hint="eastAsia"/>
          <w:color w:val="auto"/>
          <w:highlight w:val="none"/>
        </w:rPr>
        <w:t>选择特征污染物石油类作为预测因子，考虑该污染物以点源的形式垂直入渗土壤，重点预测污染物可能影响的深度。</w:t>
      </w:r>
    </w:p>
    <w:p w14:paraId="4C39FF08">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5</w:t>
      </w:r>
      <w:r>
        <w:rPr>
          <w:rFonts w:hint="eastAsia"/>
          <w:color w:val="auto"/>
          <w:highlight w:val="none"/>
          <w:lang w:eastAsia="zh-CN"/>
        </w:rPr>
        <w:t>）</w:t>
      </w:r>
      <w:r>
        <w:rPr>
          <w:rFonts w:hint="eastAsia"/>
          <w:color w:val="auto"/>
          <w:highlight w:val="none"/>
        </w:rPr>
        <w:t>预测及评价方法</w:t>
      </w:r>
    </w:p>
    <w:p w14:paraId="3BC09031">
      <w:pPr>
        <w:pStyle w:val="1336"/>
        <w:ind w:firstLine="480"/>
        <w:rPr>
          <w:rFonts w:hint="eastAsia"/>
          <w:color w:val="auto"/>
          <w:highlight w:val="none"/>
        </w:rPr>
      </w:pPr>
      <w:r>
        <w:rPr>
          <w:rFonts w:hint="eastAsia"/>
          <w:color w:val="auto"/>
          <w:highlight w:val="none"/>
        </w:rPr>
        <w:t>根据《环境影响评价技术导则土壤环境</w:t>
      </w:r>
      <w:r>
        <w:rPr>
          <w:rFonts w:hint="eastAsia"/>
          <w:color w:val="auto"/>
          <w:highlight w:val="none"/>
          <w:lang w:eastAsia="zh-CN"/>
        </w:rPr>
        <w:t>（</w:t>
      </w:r>
      <w:r>
        <w:rPr>
          <w:rFonts w:hint="eastAsia"/>
          <w:color w:val="auto"/>
          <w:highlight w:val="none"/>
        </w:rPr>
        <w:t>试行</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HJ 964-2018</w:t>
      </w:r>
      <w:r>
        <w:rPr>
          <w:rFonts w:hint="eastAsia"/>
          <w:color w:val="auto"/>
          <w:highlight w:val="none"/>
          <w:lang w:eastAsia="zh-CN"/>
        </w:rPr>
        <w:t>），</w:t>
      </w:r>
      <w:r>
        <w:rPr>
          <w:rFonts w:hint="eastAsia"/>
          <w:color w:val="auto"/>
          <w:highlight w:val="none"/>
        </w:rPr>
        <w:t>本项目属于污染影响型建设项目，评价工作等级为</w:t>
      </w:r>
      <w:r>
        <w:rPr>
          <w:rFonts w:hint="eastAsia"/>
          <w:color w:val="auto"/>
          <w:highlight w:val="none"/>
          <w:lang w:val="en-US" w:eastAsia="zh-CN"/>
        </w:rPr>
        <w:t>二</w:t>
      </w:r>
      <w:r>
        <w:rPr>
          <w:rFonts w:hint="eastAsia"/>
          <w:color w:val="auto"/>
          <w:highlight w:val="none"/>
        </w:rPr>
        <w:t>级，预测方法可参见附录E或进行类比分析。</w:t>
      </w:r>
    </w:p>
    <w:p w14:paraId="280C7F87">
      <w:pPr>
        <w:pStyle w:val="1336"/>
        <w:ind w:firstLine="480"/>
        <w:rPr>
          <w:rFonts w:hint="eastAsia"/>
          <w:color w:val="auto"/>
          <w:highlight w:val="none"/>
        </w:rPr>
      </w:pPr>
      <w:r>
        <w:rPr>
          <w:rFonts w:hint="eastAsia"/>
          <w:color w:val="auto"/>
          <w:highlight w:val="none"/>
        </w:rPr>
        <w:t>本方法适用于某种物质以点源形式进入土壤环境的影响预测。</w:t>
      </w:r>
    </w:p>
    <w:p w14:paraId="6D4095BC">
      <w:pPr>
        <w:pStyle w:val="1336"/>
        <w:ind w:firstLine="480"/>
        <w:rPr>
          <w:rFonts w:hint="eastAsia"/>
          <w:color w:val="auto"/>
          <w:highlight w:val="none"/>
        </w:rPr>
      </w:pPr>
      <w:r>
        <w:rPr>
          <w:rFonts w:hint="eastAsia"/>
          <w:color w:val="auto"/>
          <w:highlight w:val="none"/>
        </w:rPr>
        <w:t>①一维非饱和溶质垂向运移控制方程：</w:t>
      </w:r>
    </w:p>
    <w:p w14:paraId="6DA2399E">
      <w:pPr>
        <w:pStyle w:val="1336"/>
        <w:ind w:firstLine="480"/>
        <w:jc w:val="center"/>
        <w:rPr>
          <w:rFonts w:hint="eastAsia"/>
          <w:color w:val="auto"/>
          <w:highlight w:val="none"/>
        </w:rPr>
      </w:pPr>
      <w:r>
        <w:rPr>
          <w:color w:val="auto"/>
          <w:highlight w:val="none"/>
        </w:rPr>
        <w:drawing>
          <wp:inline distT="0" distB="0" distL="114300" distR="114300">
            <wp:extent cx="2590800" cy="561975"/>
            <wp:effectExtent l="0" t="0" r="0" b="9525"/>
            <wp:docPr id="324"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635"/>
                    <pic:cNvPicPr>
                      <a:picLocks noChangeAspect="1"/>
                    </pic:cNvPicPr>
                  </pic:nvPicPr>
                  <pic:blipFill>
                    <a:blip r:embed="rId89"/>
                    <a:stretch>
                      <a:fillRect/>
                    </a:stretch>
                  </pic:blipFill>
                  <pic:spPr>
                    <a:xfrm>
                      <a:off x="0" y="0"/>
                      <a:ext cx="2590800" cy="561975"/>
                    </a:xfrm>
                    <a:prstGeom prst="rect">
                      <a:avLst/>
                    </a:prstGeom>
                    <a:noFill/>
                    <a:ln>
                      <a:noFill/>
                    </a:ln>
                  </pic:spPr>
                </pic:pic>
              </a:graphicData>
            </a:graphic>
          </wp:inline>
        </w:drawing>
      </w:r>
    </w:p>
    <w:p w14:paraId="2D750625">
      <w:pPr>
        <w:pStyle w:val="1336"/>
        <w:ind w:firstLine="480"/>
        <w:rPr>
          <w:rFonts w:hint="eastAsia"/>
          <w:color w:val="auto"/>
          <w:highlight w:val="none"/>
        </w:rPr>
      </w:pPr>
    </w:p>
    <w:p w14:paraId="2E1D173F">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2）初始条件</w:t>
      </w:r>
    </w:p>
    <w:p w14:paraId="4D3C6794">
      <w:pPr>
        <w:pStyle w:val="1336"/>
        <w:ind w:firstLine="480"/>
        <w:jc w:val="center"/>
        <w:rPr>
          <w:color w:val="auto"/>
          <w:highlight w:val="none"/>
        </w:rPr>
      </w:pPr>
      <w:r>
        <w:rPr>
          <w:color w:val="auto"/>
          <w:highlight w:val="none"/>
        </w:rPr>
        <w:drawing>
          <wp:inline distT="0" distB="0" distL="114300" distR="114300">
            <wp:extent cx="2286000" cy="438150"/>
            <wp:effectExtent l="0" t="0" r="0" b="0"/>
            <wp:docPr id="325"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636"/>
                    <pic:cNvPicPr>
                      <a:picLocks noChangeAspect="1"/>
                    </pic:cNvPicPr>
                  </pic:nvPicPr>
                  <pic:blipFill>
                    <a:blip r:embed="rId90"/>
                    <a:stretch>
                      <a:fillRect/>
                    </a:stretch>
                  </pic:blipFill>
                  <pic:spPr>
                    <a:xfrm>
                      <a:off x="0" y="0"/>
                      <a:ext cx="2286000" cy="438150"/>
                    </a:xfrm>
                    <a:prstGeom prst="rect">
                      <a:avLst/>
                    </a:prstGeom>
                    <a:noFill/>
                    <a:ln>
                      <a:noFill/>
                    </a:ln>
                  </pic:spPr>
                </pic:pic>
              </a:graphicData>
            </a:graphic>
          </wp:inline>
        </w:drawing>
      </w:r>
    </w:p>
    <w:p w14:paraId="198C85CD">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3）边界条件</w:t>
      </w:r>
    </w:p>
    <w:p w14:paraId="4A5ACCA9">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第一类Dirichlet边界条件，其中E.6适用于连续点源情景，E.7适用于非连续点源情景。</w:t>
      </w:r>
    </w:p>
    <w:p w14:paraId="6972E317">
      <w:pPr>
        <w:pStyle w:val="1336"/>
        <w:ind w:firstLine="480"/>
        <w:jc w:val="center"/>
        <w:rPr>
          <w:color w:val="auto"/>
          <w:highlight w:val="none"/>
        </w:rPr>
      </w:pPr>
      <w:r>
        <w:rPr>
          <w:color w:val="auto"/>
          <w:highlight w:val="none"/>
        </w:rPr>
        <w:drawing>
          <wp:inline distT="0" distB="0" distL="114300" distR="114300">
            <wp:extent cx="2505075" cy="819150"/>
            <wp:effectExtent l="0" t="0" r="9525" b="0"/>
            <wp:docPr id="326"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637"/>
                    <pic:cNvPicPr>
                      <a:picLocks noChangeAspect="1"/>
                    </pic:cNvPicPr>
                  </pic:nvPicPr>
                  <pic:blipFill>
                    <a:blip r:embed="rId91"/>
                    <a:stretch>
                      <a:fillRect/>
                    </a:stretch>
                  </pic:blipFill>
                  <pic:spPr>
                    <a:xfrm>
                      <a:off x="0" y="0"/>
                      <a:ext cx="2505075" cy="819150"/>
                    </a:xfrm>
                    <a:prstGeom prst="rect">
                      <a:avLst/>
                    </a:prstGeom>
                    <a:noFill/>
                    <a:ln>
                      <a:noFill/>
                    </a:ln>
                  </pic:spPr>
                </pic:pic>
              </a:graphicData>
            </a:graphic>
          </wp:inline>
        </w:drawing>
      </w:r>
    </w:p>
    <w:p w14:paraId="2DF1F614">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第二类Neumann零梯度边界</w:t>
      </w:r>
    </w:p>
    <w:p w14:paraId="02ACAF77">
      <w:pPr>
        <w:pStyle w:val="1336"/>
        <w:ind w:firstLine="480"/>
        <w:jc w:val="center"/>
        <w:rPr>
          <w:color w:val="auto"/>
          <w:highlight w:val="none"/>
        </w:rPr>
      </w:pPr>
      <w:r>
        <w:rPr>
          <w:color w:val="auto"/>
          <w:highlight w:val="none"/>
        </w:rPr>
        <w:drawing>
          <wp:inline distT="0" distB="0" distL="114300" distR="114300">
            <wp:extent cx="3067050" cy="542925"/>
            <wp:effectExtent l="0" t="0" r="0" b="9525"/>
            <wp:docPr id="327"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638"/>
                    <pic:cNvPicPr>
                      <a:picLocks noChangeAspect="1"/>
                    </pic:cNvPicPr>
                  </pic:nvPicPr>
                  <pic:blipFill>
                    <a:blip r:embed="rId92"/>
                    <a:stretch>
                      <a:fillRect/>
                    </a:stretch>
                  </pic:blipFill>
                  <pic:spPr>
                    <a:xfrm>
                      <a:off x="0" y="0"/>
                      <a:ext cx="3067050" cy="542925"/>
                    </a:xfrm>
                    <a:prstGeom prst="rect">
                      <a:avLst/>
                    </a:prstGeom>
                    <a:noFill/>
                    <a:ln>
                      <a:noFill/>
                    </a:ln>
                  </pic:spPr>
                </pic:pic>
              </a:graphicData>
            </a:graphic>
          </wp:inline>
        </w:drawing>
      </w:r>
    </w:p>
    <w:p w14:paraId="24D2204E">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（3）预设源强</w:t>
      </w:r>
    </w:p>
    <w:p w14:paraId="60522EC4">
      <w:pPr>
        <w:pStyle w:val="1336"/>
        <w:ind w:firstLine="48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在收集相关土壤、地下水等资料的基础上，确定土壤环境影响预测所需参数值，预测参数选取详见表5.7-3。</w:t>
      </w:r>
    </w:p>
    <w:p w14:paraId="063E347A">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表5.</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-3</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本项目非正常渗漏源强一览表</w:t>
      </w:r>
    </w:p>
    <w:tbl>
      <w:tblPr>
        <w:tblStyle w:val="8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71"/>
        <w:gridCol w:w="1080"/>
        <w:gridCol w:w="1073"/>
        <w:gridCol w:w="1215"/>
        <w:gridCol w:w="1073"/>
        <w:gridCol w:w="1059"/>
        <w:gridCol w:w="1027"/>
      </w:tblGrid>
      <w:tr w14:paraId="6A5AC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27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FBAFE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预测情景</w:t>
            </w:r>
          </w:p>
        </w:tc>
        <w:tc>
          <w:tcPr>
            <w:tcW w:w="108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3CB33D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预测因子</w:t>
            </w:r>
          </w:p>
        </w:tc>
        <w:tc>
          <w:tcPr>
            <w:tcW w:w="1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16507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浓度</w:t>
            </w:r>
          </w:p>
          <w:p w14:paraId="7A28B7C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（mg/L）</w:t>
            </w:r>
          </w:p>
        </w:tc>
        <w:tc>
          <w:tcPr>
            <w:tcW w:w="121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A8DD2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弥散系数</w:t>
            </w:r>
          </w:p>
          <w:p w14:paraId="2A43A7BF">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（m</w:t>
            </w:r>
            <w:r>
              <w:rPr>
                <w:rFonts w:hint="eastAsia" w:ascii="Times New Roman" w:hAnsi="Times New Roman" w:eastAsia="宋体" w:cs="Times New Roman"/>
                <w:color w:val="auto"/>
                <w:kern w:val="0"/>
                <w:szCs w:val="21"/>
                <w:highlight w:val="none"/>
                <w:vertAlign w:val="superscript"/>
                <w:lang w:val="en-US" w:eastAsia="zh-CN"/>
              </w:rPr>
              <w:t>2</w:t>
            </w:r>
            <w:r>
              <w:rPr>
                <w:rFonts w:hint="eastAsia" w:ascii="Times New Roman" w:hAnsi="Times New Roman" w:eastAsia="宋体" w:cs="Times New Roman"/>
                <w:color w:val="auto"/>
                <w:kern w:val="0"/>
                <w:szCs w:val="21"/>
                <w:highlight w:val="none"/>
                <w:lang w:val="en-US" w:eastAsia="zh-CN"/>
              </w:rPr>
              <w:t>/d）</w:t>
            </w:r>
          </w:p>
        </w:tc>
        <w:tc>
          <w:tcPr>
            <w:tcW w:w="1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AB447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渗流速率</w:t>
            </w:r>
          </w:p>
        </w:tc>
        <w:tc>
          <w:tcPr>
            <w:tcW w:w="105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86DA2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土壤含水</w:t>
            </w:r>
          </w:p>
          <w:p w14:paraId="654B5AA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率 （ % ）</w:t>
            </w:r>
          </w:p>
        </w:tc>
        <w:tc>
          <w:tcPr>
            <w:tcW w:w="102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4D8B8E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预测深度（m）</w:t>
            </w:r>
          </w:p>
        </w:tc>
      </w:tr>
      <w:tr w14:paraId="6ECB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227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6A2CA51">
            <w:pPr>
              <w:pStyle w:val="1358"/>
              <w:jc w:val="center"/>
              <w:rPr>
                <w:rFonts w:hint="default" w:ascii="Times New Roman" w:hAnsi="Times New Roman" w:eastAsia="宋体" w:cs="Times New Roman"/>
                <w:color w:val="auto"/>
                <w:kern w:val="0"/>
                <w:szCs w:val="21"/>
                <w:highlight w:val="none"/>
                <w:lang w:val="en-US" w:eastAsia="zh-CN"/>
              </w:rPr>
            </w:pPr>
            <w:r>
              <w:rPr>
                <w:rFonts w:hint="eastAsia"/>
                <w:color w:val="auto"/>
                <w:highlight w:val="none"/>
                <w:lang w:val="en-US" w:eastAsia="zh-CN"/>
              </w:rPr>
              <w:t>辅料仓库1</w:t>
            </w:r>
            <w:r>
              <w:rPr>
                <w:rFonts w:hint="eastAsia"/>
                <w:color w:val="auto"/>
                <w:highlight w:val="none"/>
                <w:lang w:eastAsia="zh-CN"/>
              </w:rPr>
              <w:t>、危废贮存库</w:t>
            </w:r>
          </w:p>
        </w:tc>
        <w:tc>
          <w:tcPr>
            <w:tcW w:w="108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60D46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石油类</w:t>
            </w:r>
          </w:p>
        </w:tc>
        <w:tc>
          <w:tcPr>
            <w:tcW w:w="1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64C2778">
            <w:pPr>
              <w:pStyle w:val="1358"/>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w:t>
            </w:r>
            <w:r>
              <w:rPr>
                <w:rFonts w:hint="eastAsia" w:ascii="Times New Roman" w:hAnsi="Times New Roman" w:eastAsia="宋体" w:cs="Times New Roman"/>
                <w:color w:val="auto"/>
                <w:kern w:val="0"/>
                <w:szCs w:val="21"/>
                <w:highlight w:val="none"/>
                <w:lang w:val="en-US" w:eastAsia="zh-CN"/>
              </w:rPr>
              <w:t>00</w:t>
            </w:r>
          </w:p>
        </w:tc>
        <w:tc>
          <w:tcPr>
            <w:tcW w:w="121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9BE6B16">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0.13</w:t>
            </w:r>
          </w:p>
        </w:tc>
        <w:tc>
          <w:tcPr>
            <w:tcW w:w="1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B40FC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0.013m/d</w:t>
            </w:r>
          </w:p>
        </w:tc>
        <w:tc>
          <w:tcPr>
            <w:tcW w:w="105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AE1F76">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12.2</w:t>
            </w:r>
          </w:p>
        </w:tc>
        <w:tc>
          <w:tcPr>
            <w:tcW w:w="102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3A0880">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w:t>
            </w:r>
          </w:p>
        </w:tc>
      </w:tr>
    </w:tbl>
    <w:p w14:paraId="6330010B">
      <w:pPr>
        <w:pStyle w:val="1336"/>
        <w:ind w:firstLine="48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 xml:space="preserve">）预测结果 </w:t>
      </w:r>
    </w:p>
    <w:p w14:paraId="13644F37">
      <w:pPr>
        <w:pStyle w:val="1336"/>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本项目预测泄漏时间为 </w:t>
      </w:r>
      <w:r>
        <w:rPr>
          <w:rFonts w:hint="default" w:ascii="Times New Roman" w:hAnsi="Times New Roman" w:eastAsia="宋体" w:cs="Times New Roman"/>
          <w:color w:val="auto"/>
          <w:highlight w:val="none"/>
          <w:lang w:val="en-US" w:eastAsia="zh-CN"/>
        </w:rPr>
        <w:t>10d</w:t>
      </w:r>
      <w:r>
        <w:rPr>
          <w:rFonts w:hint="eastAsia" w:ascii="Times New Roman" w:hAnsi="Times New Roman" w:eastAsia="宋体" w:cs="Times New Roman"/>
          <w:color w:val="auto"/>
          <w:highlight w:val="none"/>
          <w:lang w:val="en-US" w:eastAsia="zh-CN"/>
        </w:rPr>
        <w:t>，预测结果详见表5.</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w:t>
      </w:r>
    </w:p>
    <w:p w14:paraId="3914FF57">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表5.</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-4</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本项目非正常渗漏源强一览表</w:t>
      </w:r>
    </w:p>
    <w:tbl>
      <w:tblPr>
        <w:tblStyle w:val="80"/>
        <w:tblW w:w="0" w:type="auto"/>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78"/>
        <w:gridCol w:w="1107"/>
        <w:gridCol w:w="1010"/>
        <w:gridCol w:w="810"/>
        <w:gridCol w:w="1207"/>
        <w:gridCol w:w="1057"/>
        <w:gridCol w:w="948"/>
      </w:tblGrid>
      <w:tr w14:paraId="7B62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mc:AlternateContent>
              <mc:Choice Requires="wpsCustomData">
                <wpsCustomData:diagonals>
                  <wpsCustomData:diagonal from="10000" to="30000">
                    <wpsCustomData:border w:val="single" w:color="000000" w:sz="6" w:space="0"/>
                  </wpsCustomData:diagonal>
                </wpsCustomData:diagonals>
              </mc:Choice>
            </mc:AlternateContent>
          </w:tcPr>
          <w:p w14:paraId="454E6BE8">
            <w:pPr>
              <w:pStyle w:val="1358"/>
              <w:jc w:val="center"/>
              <w:rPr>
                <w:rFonts w:hint="eastAsia" w:ascii="Times New Roman" w:hAnsi="Times New Roman" w:eastAsia="宋体" w:cs="Times New Roman"/>
                <w:color w:val="auto"/>
                <w:kern w:val="0"/>
                <w:szCs w:val="21"/>
                <w:highlight w:val="none"/>
                <w:lang w:val="en-US" w:eastAsia="zh-CN"/>
              </w:rPr>
            </w:pPr>
          </w:p>
          <w:p w14:paraId="292A9D59">
            <w:pPr>
              <w:pStyle w:val="1358"/>
              <w:jc w:val="center"/>
              <mc:AlternateContent>
                <mc:Choice Requires="wpsCustomData">
                  <wpsCustomData:diagonalParaType/>
                </mc:Choice>
              </mc:AlternateContent>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时间（d）</w:t>
            </w:r>
          </w:p>
          <w:p w14:paraId="476C567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深度（m）</w:t>
            </w:r>
          </w:p>
          <w:p w14:paraId="45972D7C">
            <w:pPr>
              <w:pStyle w:val="1358"/>
              <w:jc w:val="center"/>
              <w:rPr>
                <w:rFonts w:hint="eastAsia" w:ascii="Times New Roman" w:hAnsi="Times New Roman" w:eastAsia="宋体" w:cs="Times New Roman"/>
                <w:color w:val="auto"/>
                <w:kern w:val="0"/>
                <w:szCs w:val="21"/>
                <w:highlight w:val="none"/>
                <w:lang w:val="en-US" w:eastAsia="zh-CN"/>
              </w:rPr>
            </w:pP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B742C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28AF04">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D101B7">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AFD14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B132F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4DBF4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w:t>
            </w:r>
          </w:p>
        </w:tc>
      </w:tr>
      <w:tr w14:paraId="35CB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CFA143">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2F8647">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30.87</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32939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0.10</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8CCB07">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54AEDF">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B92186">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04A69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r>
      <w:tr w14:paraId="5A8B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813E9F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9BF0A8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98.82</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8C3C90">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5.28</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0E74B9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0.05</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0988D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931F10">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156E1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r>
      <w:tr w14:paraId="5DDA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FEEFB8">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8F1A46">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151.23</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BD727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21.29</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837093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0.99</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2628A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0.02</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9C512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08409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r>
      <w:tr w14:paraId="2676B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1AF29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24D22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189.70</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5DDAE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43.83</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380AE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4.49</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B5E37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0.20</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43458C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0.00</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D60D9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r>
      <w:tr w14:paraId="754E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237A0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0F313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218.80</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A18D9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68.36</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2DA39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11.29</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9017F3">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0.95</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E81E3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0.04</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ED5E6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r>
      <w:tr w14:paraId="04540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263DEF">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59C247">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241.53</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5D5746">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92.52</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7F7D6F">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21.04</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2C0C4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2.74</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1E70C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0.20</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0A53E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0.01</w:t>
            </w:r>
          </w:p>
        </w:tc>
      </w:tr>
      <w:tr w14:paraId="22FD3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FFCE2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7</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4F0EB0">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259.77</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FC524E">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115.28</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D3784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32.98</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202994">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5.89</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1016B2">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0.64</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99340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0.04</w:t>
            </w:r>
          </w:p>
        </w:tc>
      </w:tr>
      <w:tr w14:paraId="7E64F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575C34">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8</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FF7EA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274.74</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0CE87D5">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136.26</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98DCD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46.35</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2ADD2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10.48</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26181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1.55</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A2118B">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0.15</w:t>
            </w:r>
          </w:p>
        </w:tc>
      </w:tr>
      <w:tr w14:paraId="5B7E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C5AECC">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9</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4C34A1">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287.24</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E32B2B">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155.44</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9D1CA4">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60.50</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87B080">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16.46</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2FD0E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3.08</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814C0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0.39</w:t>
            </w:r>
          </w:p>
        </w:tc>
      </w:tr>
      <w:tr w14:paraId="5E757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67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AC4DFD">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10</w:t>
            </w:r>
          </w:p>
        </w:tc>
        <w:tc>
          <w:tcPr>
            <w:tcW w:w="11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9BBCA23">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297.84</w:t>
            </w:r>
          </w:p>
        </w:tc>
        <w:tc>
          <w:tcPr>
            <w:tcW w:w="10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F73C19">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172.88</w:t>
            </w:r>
          </w:p>
        </w:tc>
        <w:tc>
          <w:tcPr>
            <w:tcW w:w="81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B0A0D3">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74.98</w:t>
            </w:r>
          </w:p>
        </w:tc>
        <w:tc>
          <w:tcPr>
            <w:tcW w:w="120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C44D33">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23.66</w:t>
            </w:r>
          </w:p>
        </w:tc>
        <w:tc>
          <w:tcPr>
            <w:tcW w:w="105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DF0347">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5.34</w:t>
            </w:r>
          </w:p>
        </w:tc>
        <w:tc>
          <w:tcPr>
            <w:tcW w:w="94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9ECAEA">
            <w:pPr>
              <w:pStyle w:val="1358"/>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0.85</w:t>
            </w:r>
          </w:p>
        </w:tc>
      </w:tr>
    </w:tbl>
    <w:p w14:paraId="314C53F4">
      <w:pPr>
        <w:pStyle w:val="1358"/>
        <w:rPr>
          <w:rFonts w:hint="eastAsia" w:ascii="Times New Roman" w:hAnsi="Times New Roman" w:eastAsia="宋体" w:cs="Times New Roman"/>
          <w:color w:val="auto"/>
          <w:kern w:val="0"/>
          <w:szCs w:val="21"/>
          <w:highlight w:val="none"/>
          <w:lang w:val="en-US" w:eastAsia="zh-CN"/>
        </w:rPr>
      </w:pPr>
    </w:p>
    <w:p w14:paraId="54A0D4B3">
      <w:pPr>
        <w:pStyle w:val="1336"/>
        <w:ind w:firstLine="480"/>
        <w:rPr>
          <w:rFonts w:hint="eastAsia"/>
          <w:color w:val="auto"/>
          <w:highlight w:val="none"/>
        </w:rPr>
      </w:pPr>
      <w:r>
        <w:rPr>
          <w:rFonts w:hint="eastAsia"/>
          <w:color w:val="auto"/>
          <w:highlight w:val="none"/>
        </w:rPr>
        <w:t>从表中可以看出：</w:t>
      </w:r>
      <w:r>
        <w:rPr>
          <w:rFonts w:hint="eastAsia"/>
          <w:color w:val="auto"/>
          <w:highlight w:val="none"/>
          <w:lang w:val="en-US" w:eastAsia="zh-CN"/>
        </w:rPr>
        <w:t>辅料仓库1</w:t>
      </w:r>
      <w:r>
        <w:rPr>
          <w:rFonts w:hint="eastAsia"/>
          <w:color w:val="auto"/>
          <w:highlight w:val="none"/>
          <w:lang w:eastAsia="zh-CN"/>
        </w:rPr>
        <w:t>、危废贮存库</w:t>
      </w:r>
      <w:r>
        <w:rPr>
          <w:rFonts w:hint="eastAsia"/>
          <w:color w:val="auto"/>
          <w:highlight w:val="none"/>
        </w:rPr>
        <w:t>发生泄漏时，表层土壤中石油类含量增大。泄漏发生后10d泄漏点附近土壤中的污染物石油类浓度升高。由此可见，事故情形下对周边土壤产生一定影响。建设单位应严格落实防渗漏污染防治措施，做好防渗，并加强处理设施巡查和监控，一旦发生泄漏，立刻启动应急预案，将土壤污染事故发生的可能性降到最低。</w:t>
      </w:r>
    </w:p>
    <w:p w14:paraId="19294DE3">
      <w:pPr>
        <w:pStyle w:val="1336"/>
        <w:ind w:firstLine="480"/>
        <w:rPr>
          <w:color w:val="auto"/>
          <w:highlight w:val="none"/>
        </w:rPr>
      </w:pPr>
      <w:r>
        <w:rPr>
          <w:color w:val="auto"/>
          <w:highlight w:val="none"/>
        </w:rPr>
        <w:t>项目液体物料采用密闭桶装，桶装液体采用叉车运输，正常情况下基本不会出现溢出和泄漏情况。通过采取以上措施，液体物料</w:t>
      </w:r>
      <w:r>
        <w:rPr>
          <w:rFonts w:hint="eastAsia"/>
          <w:color w:val="auto"/>
          <w:highlight w:val="none"/>
          <w:lang w:eastAsia="zh-CN"/>
        </w:rPr>
        <w:t>等</w:t>
      </w:r>
      <w:r>
        <w:rPr>
          <w:color w:val="auto"/>
          <w:highlight w:val="none"/>
        </w:rPr>
        <w:t>基本不会进入土壤，不会对周围土壤环境产生明显影响。在事故情况下，如发生管道破裂、防渗层破损等情况，考虑液态物料以地面漫流和垂直渗入形式进入周边土壤的土壤污染途径。</w:t>
      </w:r>
    </w:p>
    <w:p w14:paraId="48C02061">
      <w:pPr>
        <w:pStyle w:val="1336"/>
        <w:ind w:firstLine="480"/>
        <w:rPr>
          <w:color w:val="auto"/>
          <w:highlight w:val="none"/>
        </w:rPr>
      </w:pPr>
      <w:r>
        <w:rPr>
          <w:color w:val="auto"/>
          <w:highlight w:val="none"/>
        </w:rPr>
        <w:t>在充分落实报告书中提出的各项地下水防治措施、保证施工质量、强化日常管理后，正常运行过程中对土壤环境的影响较小。</w:t>
      </w:r>
    </w:p>
    <w:p w14:paraId="06F5BAF9">
      <w:pPr>
        <w:pStyle w:val="1336"/>
        <w:ind w:firstLine="480"/>
        <w:rPr>
          <w:color w:val="auto"/>
          <w:highlight w:val="none"/>
        </w:rPr>
      </w:pPr>
      <w:r>
        <w:rPr>
          <w:color w:val="auto"/>
          <w:highlight w:val="none"/>
        </w:rPr>
        <w:t>土壤环境自查表见表5.</w:t>
      </w:r>
      <w:r>
        <w:rPr>
          <w:rFonts w:hint="eastAsia"/>
          <w:color w:val="auto"/>
          <w:highlight w:val="none"/>
          <w:lang w:val="en-US" w:eastAsia="zh-CN"/>
        </w:rPr>
        <w:t>6</w:t>
      </w:r>
      <w:r>
        <w:rPr>
          <w:color w:val="auto"/>
          <w:highlight w:val="none"/>
        </w:rPr>
        <w:t>-</w:t>
      </w:r>
      <w:r>
        <w:rPr>
          <w:rFonts w:hint="eastAsia"/>
          <w:color w:val="auto"/>
          <w:highlight w:val="none"/>
          <w:lang w:val="en-US" w:eastAsia="zh-CN"/>
        </w:rPr>
        <w:t>5</w:t>
      </w:r>
      <w:r>
        <w:rPr>
          <w:color w:val="auto"/>
          <w:highlight w:val="none"/>
        </w:rPr>
        <w:t>。</w:t>
      </w:r>
    </w:p>
    <w:p w14:paraId="4909E64D">
      <w:pPr>
        <w:pStyle w:val="1319"/>
        <w:ind w:firstLine="480"/>
        <w:rPr>
          <w:color w:val="auto"/>
          <w:highlight w:val="none"/>
        </w:rPr>
        <w:sectPr>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3542987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表5.</w:t>
      </w:r>
      <w:r>
        <w:rPr>
          <w:rFonts w:hint="eastAsia" w:cs="Times New Roman"/>
          <w:color w:val="auto"/>
          <w:highlight w:val="none"/>
          <w:lang w:val="en-US" w:eastAsia="zh-CN"/>
        </w:rPr>
        <w:t>6</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土壤环境影响评价自查表</w:t>
      </w:r>
    </w:p>
    <w:tbl>
      <w:tblPr>
        <w:tblStyle w:val="80"/>
        <w:tblW w:w="9314" w:type="dxa"/>
        <w:jc w:val="center"/>
        <w:tblLayout w:type="fixed"/>
        <w:tblCellMar>
          <w:top w:w="0" w:type="dxa"/>
          <w:left w:w="0" w:type="dxa"/>
          <w:bottom w:w="0" w:type="dxa"/>
          <w:right w:w="0" w:type="dxa"/>
        </w:tblCellMar>
      </w:tblPr>
      <w:tblGrid>
        <w:gridCol w:w="429"/>
        <w:gridCol w:w="1470"/>
        <w:gridCol w:w="1414"/>
        <w:gridCol w:w="283"/>
        <w:gridCol w:w="713"/>
        <w:gridCol w:w="1280"/>
        <w:gridCol w:w="1404"/>
        <w:gridCol w:w="1776"/>
        <w:gridCol w:w="545"/>
      </w:tblGrid>
      <w:tr w14:paraId="3E634B89">
        <w:trPr>
          <w:jc w:val="center"/>
        </w:trPr>
        <w:tc>
          <w:tcPr>
            <w:tcW w:w="1899" w:type="dxa"/>
            <w:gridSpan w:val="2"/>
            <w:tcBorders>
              <w:top w:val="single" w:color="auto" w:sz="12" w:space="0"/>
              <w:left w:val="single" w:color="auto" w:sz="12" w:space="0"/>
              <w:bottom w:val="single" w:color="000000" w:sz="6" w:space="0"/>
              <w:right w:val="single" w:color="000000" w:sz="4" w:space="0"/>
            </w:tcBorders>
            <w:noWrap w:val="0"/>
            <w:vAlign w:val="center"/>
          </w:tcPr>
          <w:p w14:paraId="33C4B4B4">
            <w:pPr>
              <w:pStyle w:val="1358"/>
              <w:rPr>
                <w:color w:val="auto"/>
                <w:highlight w:val="none"/>
              </w:rPr>
            </w:pPr>
            <w:r>
              <w:rPr>
                <w:color w:val="auto"/>
                <w:highlight w:val="none"/>
              </w:rPr>
              <w:t>工作内容</w:t>
            </w:r>
          </w:p>
        </w:tc>
        <w:tc>
          <w:tcPr>
            <w:tcW w:w="6870" w:type="dxa"/>
            <w:gridSpan w:val="6"/>
            <w:tcBorders>
              <w:top w:val="single" w:color="auto" w:sz="12" w:space="0"/>
              <w:left w:val="single" w:color="000000" w:sz="4" w:space="0"/>
              <w:bottom w:val="single" w:color="000000" w:sz="6" w:space="0"/>
              <w:right w:val="single" w:color="000000" w:sz="4" w:space="0"/>
            </w:tcBorders>
            <w:noWrap w:val="0"/>
            <w:vAlign w:val="center"/>
          </w:tcPr>
          <w:p w14:paraId="62768CC1">
            <w:pPr>
              <w:pStyle w:val="1358"/>
              <w:rPr>
                <w:color w:val="auto"/>
                <w:highlight w:val="none"/>
              </w:rPr>
            </w:pPr>
            <w:r>
              <w:rPr>
                <w:color w:val="auto"/>
                <w:highlight w:val="none"/>
              </w:rPr>
              <w:t>完成情况</w:t>
            </w:r>
          </w:p>
        </w:tc>
        <w:tc>
          <w:tcPr>
            <w:tcW w:w="545" w:type="dxa"/>
            <w:tcBorders>
              <w:top w:val="single" w:color="auto" w:sz="12" w:space="0"/>
              <w:left w:val="single" w:color="000000" w:sz="4" w:space="0"/>
              <w:bottom w:val="single" w:color="000000" w:sz="6" w:space="0"/>
              <w:right w:val="single" w:color="auto" w:sz="12" w:space="0"/>
            </w:tcBorders>
            <w:noWrap w:val="0"/>
            <w:vAlign w:val="top"/>
          </w:tcPr>
          <w:p w14:paraId="0FE85263">
            <w:pPr>
              <w:pStyle w:val="1358"/>
              <w:rPr>
                <w:color w:val="auto"/>
                <w:highlight w:val="none"/>
              </w:rPr>
            </w:pPr>
            <w:r>
              <w:rPr>
                <w:color w:val="auto"/>
                <w:highlight w:val="none"/>
              </w:rPr>
              <w:t>备注</w:t>
            </w:r>
          </w:p>
        </w:tc>
      </w:tr>
      <w:tr w14:paraId="7D3EC4EC">
        <w:tblPrEx>
          <w:tblCellMar>
            <w:top w:w="0" w:type="dxa"/>
            <w:left w:w="0" w:type="dxa"/>
            <w:bottom w:w="0" w:type="dxa"/>
            <w:right w:w="0" w:type="dxa"/>
          </w:tblCellMar>
        </w:tblPrEx>
        <w:trPr>
          <w:jc w:val="center"/>
        </w:trPr>
        <w:tc>
          <w:tcPr>
            <w:tcW w:w="429" w:type="dxa"/>
            <w:vMerge w:val="restart"/>
            <w:tcBorders>
              <w:top w:val="single" w:color="000000" w:sz="6" w:space="0"/>
              <w:left w:val="single" w:color="auto" w:sz="12" w:space="0"/>
              <w:bottom w:val="single" w:color="000000" w:sz="4" w:space="0"/>
              <w:right w:val="single" w:color="000000" w:sz="4" w:space="0"/>
            </w:tcBorders>
            <w:noWrap w:val="0"/>
            <w:vAlign w:val="center"/>
          </w:tcPr>
          <w:p w14:paraId="4D97558A">
            <w:pPr>
              <w:pStyle w:val="1358"/>
              <w:rPr>
                <w:color w:val="auto"/>
                <w:highlight w:val="none"/>
              </w:rPr>
            </w:pPr>
            <w:r>
              <w:rPr>
                <w:color w:val="auto"/>
                <w:highlight w:val="none"/>
              </w:rPr>
              <w:t>影 响 识 别</w:t>
            </w:r>
          </w:p>
        </w:tc>
        <w:tc>
          <w:tcPr>
            <w:tcW w:w="1470" w:type="dxa"/>
            <w:tcBorders>
              <w:top w:val="single" w:color="000000" w:sz="6" w:space="0"/>
              <w:left w:val="single" w:color="000000" w:sz="4" w:space="0"/>
              <w:bottom w:val="single" w:color="000000" w:sz="6" w:space="0"/>
              <w:right w:val="single" w:color="000000" w:sz="4" w:space="0"/>
            </w:tcBorders>
            <w:noWrap w:val="0"/>
            <w:vAlign w:val="center"/>
          </w:tcPr>
          <w:p w14:paraId="3E23683D">
            <w:pPr>
              <w:pStyle w:val="1358"/>
              <w:rPr>
                <w:color w:val="auto"/>
                <w:highlight w:val="none"/>
              </w:rPr>
            </w:pPr>
            <w:r>
              <w:rPr>
                <w:color w:val="auto"/>
                <w:highlight w:val="none"/>
              </w:rPr>
              <w:t>影响类型</w:t>
            </w:r>
          </w:p>
        </w:tc>
        <w:tc>
          <w:tcPr>
            <w:tcW w:w="6870" w:type="dxa"/>
            <w:gridSpan w:val="6"/>
            <w:tcBorders>
              <w:top w:val="single" w:color="000000" w:sz="6" w:space="0"/>
              <w:left w:val="single" w:color="000000" w:sz="4" w:space="0"/>
              <w:bottom w:val="single" w:color="000000" w:sz="6" w:space="0"/>
              <w:right w:val="single" w:color="000000" w:sz="4" w:space="0"/>
            </w:tcBorders>
            <w:noWrap w:val="0"/>
            <w:vAlign w:val="center"/>
          </w:tcPr>
          <w:p w14:paraId="1F07BA5B">
            <w:pPr>
              <w:pStyle w:val="1358"/>
              <w:rPr>
                <w:color w:val="auto"/>
                <w:highlight w:val="none"/>
              </w:rPr>
            </w:pPr>
            <w:r>
              <w:rPr>
                <w:color w:val="auto"/>
                <w:highlight w:val="none"/>
              </w:rPr>
              <w:t>污染影响型</w:t>
            </w:r>
            <w:r>
              <w:rPr>
                <w:rFonts w:hint="eastAsia"/>
                <w:color w:val="auto"/>
                <w:highlight w:val="none"/>
                <w:lang w:eastAsia="zh-CN"/>
              </w:rPr>
              <w:t>☑</w:t>
            </w:r>
            <w:r>
              <w:rPr>
                <w:color w:val="auto"/>
                <w:highlight w:val="none"/>
              </w:rPr>
              <w:t>；生态影响型□；两种兼有□</w:t>
            </w:r>
          </w:p>
        </w:tc>
        <w:tc>
          <w:tcPr>
            <w:tcW w:w="545" w:type="dxa"/>
            <w:tcBorders>
              <w:top w:val="single" w:color="000000" w:sz="6" w:space="0"/>
              <w:left w:val="single" w:color="000000" w:sz="4" w:space="0"/>
              <w:bottom w:val="single" w:color="000000" w:sz="6" w:space="0"/>
              <w:right w:val="single" w:color="auto" w:sz="12" w:space="0"/>
            </w:tcBorders>
            <w:noWrap w:val="0"/>
            <w:vAlign w:val="center"/>
          </w:tcPr>
          <w:p w14:paraId="1A20EAD9">
            <w:pPr>
              <w:pStyle w:val="1358"/>
              <w:rPr>
                <w:color w:val="auto"/>
                <w:highlight w:val="none"/>
              </w:rPr>
            </w:pPr>
          </w:p>
        </w:tc>
      </w:tr>
      <w:tr w14:paraId="168B39CD">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030A0DCF">
            <w:pPr>
              <w:pStyle w:val="1358"/>
              <w:rPr>
                <w:color w:val="auto"/>
                <w:highlight w:val="none"/>
              </w:rPr>
            </w:pPr>
          </w:p>
        </w:tc>
        <w:tc>
          <w:tcPr>
            <w:tcW w:w="1470" w:type="dxa"/>
            <w:tcBorders>
              <w:top w:val="single" w:color="000000" w:sz="6" w:space="0"/>
              <w:left w:val="single" w:color="000000" w:sz="4" w:space="0"/>
              <w:bottom w:val="single" w:color="000000" w:sz="4" w:space="0"/>
              <w:right w:val="single" w:color="000000" w:sz="4" w:space="0"/>
            </w:tcBorders>
            <w:noWrap w:val="0"/>
            <w:vAlign w:val="center"/>
          </w:tcPr>
          <w:p w14:paraId="639D9AD4">
            <w:pPr>
              <w:pStyle w:val="1358"/>
              <w:rPr>
                <w:color w:val="auto"/>
                <w:highlight w:val="none"/>
              </w:rPr>
            </w:pPr>
            <w:r>
              <w:rPr>
                <w:color w:val="auto"/>
                <w:highlight w:val="none"/>
              </w:rPr>
              <w:t>土地利用类型</w:t>
            </w:r>
          </w:p>
        </w:tc>
        <w:tc>
          <w:tcPr>
            <w:tcW w:w="6870" w:type="dxa"/>
            <w:gridSpan w:val="6"/>
            <w:tcBorders>
              <w:top w:val="single" w:color="000000" w:sz="6" w:space="0"/>
              <w:left w:val="single" w:color="000000" w:sz="4" w:space="0"/>
              <w:bottom w:val="single" w:color="000000" w:sz="4" w:space="0"/>
              <w:right w:val="single" w:color="000000" w:sz="4" w:space="0"/>
            </w:tcBorders>
            <w:noWrap w:val="0"/>
            <w:vAlign w:val="center"/>
          </w:tcPr>
          <w:p w14:paraId="637DC7EB">
            <w:pPr>
              <w:pStyle w:val="1358"/>
              <w:rPr>
                <w:color w:val="auto"/>
                <w:highlight w:val="none"/>
              </w:rPr>
            </w:pPr>
            <w:r>
              <w:rPr>
                <w:color w:val="auto"/>
                <w:highlight w:val="none"/>
              </w:rPr>
              <w:t>建设用地</w:t>
            </w:r>
            <w:r>
              <w:rPr>
                <w:rFonts w:hint="eastAsia"/>
                <w:color w:val="auto"/>
                <w:highlight w:val="none"/>
                <w:lang w:eastAsia="zh-CN"/>
              </w:rPr>
              <w:t>☑</w:t>
            </w:r>
            <w:r>
              <w:rPr>
                <w:color w:val="auto"/>
                <w:highlight w:val="none"/>
              </w:rPr>
              <w:t>；农用地□；未利用地□</w:t>
            </w:r>
          </w:p>
        </w:tc>
        <w:tc>
          <w:tcPr>
            <w:tcW w:w="545" w:type="dxa"/>
            <w:tcBorders>
              <w:top w:val="single" w:color="000000" w:sz="6" w:space="0"/>
              <w:left w:val="single" w:color="000000" w:sz="4" w:space="0"/>
              <w:bottom w:val="single" w:color="000000" w:sz="4" w:space="0"/>
              <w:right w:val="single" w:color="auto" w:sz="12" w:space="0"/>
            </w:tcBorders>
            <w:noWrap w:val="0"/>
            <w:vAlign w:val="center"/>
          </w:tcPr>
          <w:p w14:paraId="779398A5">
            <w:pPr>
              <w:pStyle w:val="1358"/>
              <w:rPr>
                <w:color w:val="auto"/>
                <w:highlight w:val="none"/>
              </w:rPr>
            </w:pPr>
          </w:p>
        </w:tc>
      </w:tr>
      <w:tr w14:paraId="6C6946B8">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74DE753F">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669B56F8">
            <w:pPr>
              <w:pStyle w:val="1358"/>
              <w:rPr>
                <w:color w:val="auto"/>
                <w:highlight w:val="none"/>
              </w:rPr>
            </w:pPr>
            <w:r>
              <w:rPr>
                <w:color w:val="auto"/>
                <w:highlight w:val="none"/>
              </w:rPr>
              <w:t>占地规模</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71A0DF7F">
            <w:pPr>
              <w:pStyle w:val="1358"/>
              <w:rPr>
                <w:color w:val="auto"/>
                <w:highlight w:val="none"/>
              </w:rPr>
            </w:pPr>
            <w:r>
              <w:rPr>
                <w:rFonts w:hint="eastAsia"/>
                <w:color w:val="auto"/>
                <w:highlight w:val="none"/>
                <w:lang w:eastAsia="zh-CN"/>
              </w:rPr>
              <w:t>（</w:t>
            </w:r>
            <w:r>
              <w:rPr>
                <w:rFonts w:hint="default"/>
                <w:color w:val="auto"/>
                <w:highlight w:val="none"/>
                <w:lang w:val="en-US" w:eastAsia="zh-CN"/>
              </w:rPr>
              <w:t>18377.76</w:t>
            </w:r>
            <w:r>
              <w:rPr>
                <w:rFonts w:hint="eastAsia"/>
                <w:color w:val="auto"/>
                <w:highlight w:val="none"/>
                <w:lang w:eastAsia="zh-CN"/>
              </w:rPr>
              <w:t>）</w:t>
            </w:r>
            <w:r>
              <w:rPr>
                <w:color w:val="auto"/>
                <w:spacing w:val="-1"/>
                <w:highlight w:val="none"/>
              </w:rPr>
              <w:t>m</w:t>
            </w:r>
            <w:r>
              <w:rPr>
                <w:color w:val="auto"/>
                <w:spacing w:val="-1"/>
                <w:highlight w:val="none"/>
                <w:vertAlign w:val="superscript"/>
              </w:rPr>
              <w:t>2</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36B436B7">
            <w:pPr>
              <w:pStyle w:val="1358"/>
              <w:rPr>
                <w:color w:val="auto"/>
                <w:highlight w:val="none"/>
              </w:rPr>
            </w:pPr>
            <w:r>
              <w:rPr>
                <w:color w:val="auto"/>
                <w:highlight w:val="none"/>
              </w:rPr>
              <w:t>全厂</w:t>
            </w:r>
          </w:p>
        </w:tc>
      </w:tr>
      <w:tr w14:paraId="75FDCDE9">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134D6073">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654CCEF4">
            <w:pPr>
              <w:pStyle w:val="1358"/>
              <w:rPr>
                <w:color w:val="auto"/>
                <w:highlight w:val="none"/>
              </w:rPr>
            </w:pPr>
            <w:r>
              <w:rPr>
                <w:color w:val="auto"/>
                <w:highlight w:val="none"/>
              </w:rPr>
              <w:t>敏感目标信息</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BD53CEB">
            <w:pPr>
              <w:pStyle w:val="1358"/>
              <w:rPr>
                <w:rFonts w:hint="eastAsia" w:eastAsia="宋体"/>
                <w:color w:val="auto"/>
                <w:highlight w:val="none"/>
                <w:lang w:eastAsia="zh-CN"/>
              </w:rPr>
            </w:pPr>
            <w:r>
              <w:rPr>
                <w:color w:val="auto"/>
                <w:highlight w:val="none"/>
              </w:rPr>
              <w:t>敏</w:t>
            </w:r>
            <w:r>
              <w:rPr>
                <w:rFonts w:hint="eastAsia" w:ascii="Times New Roman" w:hAnsi="Times New Roman" w:eastAsia="宋体" w:cs="Times New Roman"/>
                <w:color w:val="auto"/>
                <w:highlight w:val="none"/>
                <w:lang w:val="en-US" w:eastAsia="zh-CN"/>
              </w:rPr>
              <w:t>感目标（）、</w:t>
            </w:r>
            <w:r>
              <w:rPr>
                <w:color w:val="auto"/>
                <w:highlight w:val="none"/>
              </w:rPr>
              <w:t>方位</w:t>
            </w:r>
            <w:r>
              <w:rPr>
                <w:rFonts w:hint="eastAsia"/>
                <w:color w:val="auto"/>
                <w:highlight w:val="none"/>
                <w:lang w:eastAsia="zh-CN"/>
              </w:rPr>
              <w:t>（）</w:t>
            </w:r>
            <w:r>
              <w:rPr>
                <w:color w:val="auto"/>
                <w:highlight w:val="none"/>
              </w:rPr>
              <w:t>、距离</w:t>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799DC2EA">
            <w:pPr>
              <w:pStyle w:val="1358"/>
              <w:rPr>
                <w:color w:val="auto"/>
                <w:highlight w:val="none"/>
              </w:rPr>
            </w:pPr>
          </w:p>
        </w:tc>
      </w:tr>
      <w:tr w14:paraId="1DBD6416">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536E4BE5">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37CCAAB7">
            <w:pPr>
              <w:pStyle w:val="1358"/>
              <w:rPr>
                <w:color w:val="auto"/>
                <w:highlight w:val="none"/>
              </w:rPr>
            </w:pPr>
            <w:r>
              <w:rPr>
                <w:color w:val="auto"/>
                <w:highlight w:val="none"/>
              </w:rPr>
              <w:t>影响途径</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F36D6E7">
            <w:pPr>
              <w:pStyle w:val="1358"/>
              <w:rPr>
                <w:rFonts w:hint="eastAsia" w:eastAsia="宋体"/>
                <w:color w:val="auto"/>
                <w:highlight w:val="none"/>
                <w:lang w:eastAsia="zh-CN"/>
              </w:rPr>
            </w:pPr>
            <w:r>
              <w:rPr>
                <w:color w:val="auto"/>
                <w:highlight w:val="none"/>
              </w:rPr>
              <w:t>大气沉降</w:t>
            </w:r>
            <w:r>
              <w:rPr>
                <w:rFonts w:hint="eastAsia"/>
                <w:color w:val="auto"/>
                <w:highlight w:val="none"/>
                <w:lang w:eastAsia="zh-CN"/>
              </w:rPr>
              <w:t>（</w:t>
            </w:r>
            <w:r>
              <w:rPr>
                <w:color w:val="auto"/>
                <w:highlight w:val="none"/>
              </w:rPr>
              <w:t>；地面漫流□；垂直入渗</w:t>
            </w:r>
            <w:r>
              <w:rPr>
                <w:rFonts w:hint="eastAsia"/>
                <w:color w:val="auto"/>
                <w:highlight w:val="none"/>
                <w:lang w:eastAsia="zh-CN"/>
              </w:rPr>
              <w:t>（</w:t>
            </w:r>
            <w:r>
              <w:rPr>
                <w:color w:val="auto"/>
                <w:highlight w:val="none"/>
              </w:rPr>
              <w:t>；地下水位□；其他</w:t>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29DDF210">
            <w:pPr>
              <w:pStyle w:val="1358"/>
              <w:rPr>
                <w:color w:val="auto"/>
                <w:highlight w:val="none"/>
              </w:rPr>
            </w:pPr>
          </w:p>
        </w:tc>
      </w:tr>
      <w:tr w14:paraId="51D66BCC">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77373DDB">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18CFB290">
            <w:pPr>
              <w:pStyle w:val="1358"/>
              <w:rPr>
                <w:color w:val="auto"/>
                <w:highlight w:val="none"/>
              </w:rPr>
            </w:pPr>
            <w:r>
              <w:rPr>
                <w:color w:val="auto"/>
                <w:highlight w:val="none"/>
              </w:rPr>
              <w:t>全部污染物</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04A8D3D0">
            <w:pPr>
              <w:pStyle w:val="1358"/>
              <w:rPr>
                <w:color w:val="auto"/>
                <w:highlight w:val="none"/>
              </w:rPr>
            </w:pPr>
            <w:r>
              <w:rPr>
                <w:color w:val="auto"/>
                <w:kern w:val="0"/>
                <w:szCs w:val="21"/>
                <w:highlight w:val="none"/>
              </w:rPr>
              <w:t>pH、COD</w:t>
            </w:r>
            <w:r>
              <w:rPr>
                <w:color w:val="auto"/>
                <w:kern w:val="0"/>
                <w:sz w:val="14"/>
                <w:szCs w:val="14"/>
                <w:highlight w:val="none"/>
              </w:rPr>
              <w:t>Cr</w:t>
            </w:r>
            <w:r>
              <w:rPr>
                <w:color w:val="auto"/>
                <w:kern w:val="0"/>
                <w:szCs w:val="21"/>
                <w:highlight w:val="none"/>
              </w:rPr>
              <w:t>、BOD</w:t>
            </w:r>
            <w:r>
              <w:rPr>
                <w:color w:val="auto"/>
                <w:kern w:val="0"/>
                <w:sz w:val="14"/>
                <w:szCs w:val="14"/>
                <w:highlight w:val="none"/>
              </w:rPr>
              <w:t>5</w:t>
            </w:r>
            <w:r>
              <w:rPr>
                <w:color w:val="auto"/>
                <w:kern w:val="0"/>
                <w:szCs w:val="21"/>
                <w:highlight w:val="none"/>
              </w:rPr>
              <w:t>、NH</w:t>
            </w:r>
            <w:r>
              <w:rPr>
                <w:color w:val="auto"/>
                <w:kern w:val="0"/>
                <w:sz w:val="14"/>
                <w:szCs w:val="14"/>
                <w:highlight w:val="none"/>
              </w:rPr>
              <w:t>3</w:t>
            </w:r>
            <w:r>
              <w:rPr>
                <w:color w:val="auto"/>
                <w:kern w:val="0"/>
                <w:szCs w:val="21"/>
                <w:highlight w:val="none"/>
              </w:rPr>
              <w:t>-N、SS、TP、TN、石油类、非甲烷总烃</w:t>
            </w:r>
            <w:r>
              <w:rPr>
                <w:rFonts w:hint="eastAsia"/>
                <w:color w:val="auto"/>
                <w:kern w:val="0"/>
                <w:szCs w:val="21"/>
                <w:highlight w:val="none"/>
                <w:lang w:eastAsia="zh-CN"/>
              </w:rPr>
              <w:t>、</w:t>
            </w:r>
            <w:r>
              <w:rPr>
                <w:rFonts w:hint="eastAsia"/>
                <w:color w:val="auto"/>
                <w:kern w:val="0"/>
                <w:szCs w:val="21"/>
                <w:highlight w:val="none"/>
                <w:lang w:val="en-US" w:eastAsia="zh-CN"/>
              </w:rPr>
              <w:t>乙酸乙酯、乙酸丁酯</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1B0C1B75">
            <w:pPr>
              <w:pStyle w:val="1358"/>
              <w:rPr>
                <w:color w:val="auto"/>
                <w:highlight w:val="none"/>
              </w:rPr>
            </w:pPr>
          </w:p>
        </w:tc>
      </w:tr>
      <w:tr w14:paraId="6F61C142">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0A2339FF">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0AE731EC">
            <w:pPr>
              <w:pStyle w:val="1358"/>
              <w:rPr>
                <w:color w:val="auto"/>
                <w:highlight w:val="none"/>
              </w:rPr>
            </w:pPr>
            <w:r>
              <w:rPr>
                <w:color w:val="auto"/>
                <w:highlight w:val="none"/>
              </w:rPr>
              <w:t>特征因子</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00C1A98C">
            <w:pPr>
              <w:pStyle w:val="1358"/>
              <w:rPr>
                <w:rFonts w:hint="eastAsia" w:eastAsia="宋体"/>
                <w:color w:val="auto"/>
                <w:highlight w:val="none"/>
                <w:lang w:eastAsia="zh-CN"/>
              </w:rPr>
            </w:pPr>
            <w:r>
              <w:rPr>
                <w:color w:val="auto"/>
                <w:kern w:val="0"/>
                <w:szCs w:val="21"/>
                <w:highlight w:val="none"/>
              </w:rPr>
              <w:t>石油烃</w:t>
            </w:r>
            <w:r>
              <w:rPr>
                <w:rFonts w:hint="eastAsia"/>
                <w:color w:val="auto"/>
                <w:kern w:val="0"/>
                <w:szCs w:val="21"/>
                <w:highlight w:val="none"/>
                <w:lang w:eastAsia="zh-CN"/>
              </w:rPr>
              <w:t>、</w:t>
            </w:r>
            <w:r>
              <w:rPr>
                <w:color w:val="auto"/>
                <w:kern w:val="0"/>
                <w:szCs w:val="21"/>
                <w:highlight w:val="none"/>
              </w:rPr>
              <w:t>非甲烷总烃</w:t>
            </w:r>
            <w:r>
              <w:rPr>
                <w:rFonts w:hint="eastAsia"/>
                <w:color w:val="auto"/>
                <w:kern w:val="0"/>
                <w:szCs w:val="21"/>
                <w:highlight w:val="none"/>
                <w:lang w:eastAsia="zh-CN"/>
              </w:rPr>
              <w:t>、</w:t>
            </w:r>
            <w:r>
              <w:rPr>
                <w:rFonts w:hint="eastAsia"/>
                <w:color w:val="auto"/>
                <w:kern w:val="0"/>
                <w:szCs w:val="21"/>
                <w:highlight w:val="none"/>
                <w:lang w:val="en-US" w:eastAsia="zh-CN"/>
              </w:rPr>
              <w:t>二甲苯、乙酸丁酯</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213EB94B">
            <w:pPr>
              <w:pStyle w:val="1358"/>
              <w:rPr>
                <w:color w:val="auto"/>
                <w:highlight w:val="none"/>
              </w:rPr>
            </w:pPr>
          </w:p>
        </w:tc>
      </w:tr>
      <w:tr w14:paraId="69A7D059">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4512A1B3">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4DDB0209">
            <w:pPr>
              <w:pStyle w:val="1358"/>
              <w:rPr>
                <w:color w:val="auto"/>
                <w:highlight w:val="none"/>
              </w:rPr>
            </w:pPr>
            <w:r>
              <w:rPr>
                <w:color w:val="auto"/>
                <w:highlight w:val="none"/>
              </w:rPr>
              <w:t>所属土壤环境影响评价项目类别</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6E22CE6D">
            <w:pPr>
              <w:pStyle w:val="1358"/>
              <w:rPr>
                <w:color w:val="auto"/>
                <w:highlight w:val="none"/>
              </w:rPr>
            </w:pPr>
            <w:r>
              <w:rPr>
                <w:color w:val="auto"/>
                <w:highlight w:val="none"/>
              </w:rPr>
              <w:t>Ⅰ类□；Ⅱ类</w:t>
            </w:r>
            <w:r>
              <w:rPr>
                <w:rFonts w:hint="eastAsia"/>
                <w:color w:val="auto"/>
                <w:highlight w:val="none"/>
                <w:lang w:eastAsia="zh-CN"/>
              </w:rPr>
              <w:t>（</w:t>
            </w:r>
            <w:r>
              <w:rPr>
                <w:color w:val="auto"/>
                <w:highlight w:val="none"/>
              </w:rPr>
              <w:t>；Ⅲ类□；Ⅳ类□</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58F19CA7">
            <w:pPr>
              <w:pStyle w:val="1358"/>
              <w:rPr>
                <w:color w:val="auto"/>
                <w:highlight w:val="none"/>
              </w:rPr>
            </w:pPr>
          </w:p>
        </w:tc>
      </w:tr>
      <w:tr w14:paraId="396E7CFC">
        <w:tblPrEx>
          <w:tblCellMar>
            <w:top w:w="0" w:type="dxa"/>
            <w:left w:w="0" w:type="dxa"/>
            <w:bottom w:w="0" w:type="dxa"/>
            <w:right w:w="0" w:type="dxa"/>
          </w:tblCellMar>
        </w:tblPrEx>
        <w:trPr>
          <w:jc w:val="center"/>
        </w:trPr>
        <w:tc>
          <w:tcPr>
            <w:tcW w:w="429" w:type="dxa"/>
            <w:vMerge w:val="continue"/>
            <w:tcBorders>
              <w:top w:val="single" w:color="000000" w:sz="6" w:space="0"/>
              <w:left w:val="single" w:color="auto" w:sz="12" w:space="0"/>
              <w:bottom w:val="single" w:color="000000" w:sz="4" w:space="0"/>
              <w:right w:val="single" w:color="000000" w:sz="4" w:space="0"/>
            </w:tcBorders>
            <w:noWrap w:val="0"/>
            <w:vAlign w:val="center"/>
          </w:tcPr>
          <w:p w14:paraId="2F2E9ADC">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17DA7C4B">
            <w:pPr>
              <w:pStyle w:val="1358"/>
              <w:rPr>
                <w:color w:val="auto"/>
                <w:highlight w:val="none"/>
              </w:rPr>
            </w:pPr>
            <w:r>
              <w:rPr>
                <w:color w:val="auto"/>
                <w:highlight w:val="none"/>
              </w:rPr>
              <w:t>敏感程度</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542FF6B4">
            <w:pPr>
              <w:pStyle w:val="1358"/>
              <w:rPr>
                <w:rFonts w:hint="eastAsia" w:eastAsia="宋体"/>
                <w:color w:val="auto"/>
                <w:highlight w:val="none"/>
                <w:lang w:eastAsia="zh-CN"/>
              </w:rPr>
            </w:pPr>
            <w:r>
              <w:rPr>
                <w:color w:val="auto"/>
                <w:highlight w:val="none"/>
              </w:rPr>
              <w:t>敏感□；较敏感□；不敏感</w:t>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7ACE02A5">
            <w:pPr>
              <w:pStyle w:val="1358"/>
              <w:rPr>
                <w:color w:val="auto"/>
                <w:highlight w:val="none"/>
              </w:rPr>
            </w:pPr>
          </w:p>
        </w:tc>
      </w:tr>
      <w:tr w14:paraId="10CBED93">
        <w:tblPrEx>
          <w:tblCellMar>
            <w:top w:w="0" w:type="dxa"/>
            <w:left w:w="0" w:type="dxa"/>
            <w:bottom w:w="0" w:type="dxa"/>
            <w:right w:w="0" w:type="dxa"/>
          </w:tblCellMar>
        </w:tblPrEx>
        <w:trPr>
          <w:jc w:val="center"/>
        </w:trPr>
        <w:tc>
          <w:tcPr>
            <w:tcW w:w="1899" w:type="dxa"/>
            <w:gridSpan w:val="2"/>
            <w:tcBorders>
              <w:top w:val="single" w:color="000000" w:sz="4" w:space="0"/>
              <w:left w:val="single" w:color="auto" w:sz="12" w:space="0"/>
              <w:bottom w:val="single" w:color="000000" w:sz="4" w:space="0"/>
              <w:right w:val="single" w:color="000000" w:sz="4" w:space="0"/>
            </w:tcBorders>
            <w:noWrap w:val="0"/>
            <w:vAlign w:val="center"/>
          </w:tcPr>
          <w:p w14:paraId="1913590F">
            <w:pPr>
              <w:pStyle w:val="1358"/>
              <w:rPr>
                <w:color w:val="auto"/>
                <w:highlight w:val="none"/>
              </w:rPr>
            </w:pPr>
            <w:r>
              <w:rPr>
                <w:color w:val="auto"/>
                <w:highlight w:val="none"/>
              </w:rPr>
              <w:t>评价工作等级</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48C55678">
            <w:pPr>
              <w:pStyle w:val="1358"/>
              <w:rPr>
                <w:color w:val="auto"/>
                <w:highlight w:val="none"/>
              </w:rPr>
            </w:pPr>
            <w:r>
              <w:rPr>
                <w:color w:val="auto"/>
                <w:highlight w:val="none"/>
              </w:rPr>
              <w:t>一级□；二级</w:t>
            </w:r>
            <w:r>
              <w:rPr>
                <w:rFonts w:hint="eastAsia"/>
                <w:color w:val="auto"/>
                <w:highlight w:val="none"/>
                <w:lang w:eastAsia="zh-CN"/>
              </w:rPr>
              <w:t>（</w:t>
            </w:r>
            <w:r>
              <w:rPr>
                <w:color w:val="auto"/>
                <w:highlight w:val="none"/>
              </w:rPr>
              <w:t>；三级□</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761D3550">
            <w:pPr>
              <w:pStyle w:val="1358"/>
              <w:rPr>
                <w:color w:val="auto"/>
                <w:highlight w:val="none"/>
              </w:rPr>
            </w:pPr>
          </w:p>
        </w:tc>
      </w:tr>
      <w:tr w14:paraId="69BA7476">
        <w:tblPrEx>
          <w:tblCellMar>
            <w:top w:w="0" w:type="dxa"/>
            <w:left w:w="0" w:type="dxa"/>
            <w:bottom w:w="0" w:type="dxa"/>
            <w:right w:w="0" w:type="dxa"/>
          </w:tblCellMar>
        </w:tblPrEx>
        <w:trPr>
          <w:jc w:val="center"/>
        </w:trPr>
        <w:tc>
          <w:tcPr>
            <w:tcW w:w="429" w:type="dxa"/>
            <w:vMerge w:val="restart"/>
            <w:tcBorders>
              <w:top w:val="single" w:color="000000" w:sz="4" w:space="0"/>
              <w:left w:val="single" w:color="auto" w:sz="12" w:space="0"/>
              <w:bottom w:val="single" w:color="000000" w:sz="4" w:space="0"/>
              <w:right w:val="single" w:color="000000" w:sz="4" w:space="0"/>
            </w:tcBorders>
            <w:noWrap w:val="0"/>
            <w:vAlign w:val="center"/>
          </w:tcPr>
          <w:p w14:paraId="5215FB0C">
            <w:pPr>
              <w:pStyle w:val="1358"/>
              <w:rPr>
                <w:color w:val="auto"/>
                <w:highlight w:val="none"/>
              </w:rPr>
            </w:pPr>
            <w:r>
              <w:rPr>
                <w:color w:val="auto"/>
                <w:highlight w:val="none"/>
              </w:rPr>
              <w:t>现 状 调 查 内 容</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17FC3A3E">
            <w:pPr>
              <w:pStyle w:val="1358"/>
              <w:rPr>
                <w:color w:val="auto"/>
                <w:highlight w:val="none"/>
              </w:rPr>
            </w:pPr>
            <w:r>
              <w:rPr>
                <w:color w:val="auto"/>
                <w:highlight w:val="none"/>
              </w:rPr>
              <w:t>资料收集</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D3C9B18">
            <w:pPr>
              <w:pStyle w:val="1358"/>
              <w:rPr>
                <w:rFonts w:hint="eastAsia" w:eastAsia="宋体"/>
                <w:color w:val="auto"/>
                <w:highlight w:val="none"/>
                <w:lang w:eastAsia="zh-CN"/>
              </w:rPr>
            </w:pPr>
            <w:r>
              <w:rPr>
                <w:color w:val="auto"/>
                <w:spacing w:val="-1"/>
                <w:highlight w:val="none"/>
              </w:rPr>
              <w:t>a</w:t>
            </w:r>
            <w:r>
              <w:rPr>
                <w:rFonts w:hint="eastAsia"/>
                <w:color w:val="auto"/>
                <w:highlight w:val="none"/>
                <w:lang w:eastAsia="zh-CN"/>
              </w:rPr>
              <w:t>）</w:t>
            </w:r>
            <w:r>
              <w:rPr>
                <w:color w:val="auto"/>
                <w:highlight w:val="none"/>
              </w:rPr>
              <w:t xml:space="preserve"> </w:t>
            </w:r>
            <w:r>
              <w:rPr>
                <w:rFonts w:hint="eastAsia"/>
                <w:color w:val="auto"/>
                <w:highlight w:val="none"/>
                <w:lang w:eastAsia="zh-CN"/>
              </w:rPr>
              <w:t>（</w:t>
            </w:r>
            <w:r>
              <w:rPr>
                <w:color w:val="auto"/>
                <w:highlight w:val="none"/>
              </w:rPr>
              <w:t>；</w:t>
            </w:r>
            <w:r>
              <w:rPr>
                <w:color w:val="auto"/>
                <w:spacing w:val="-2"/>
                <w:highlight w:val="none"/>
              </w:rPr>
              <w:t>b</w:t>
            </w:r>
            <w:r>
              <w:rPr>
                <w:rFonts w:hint="eastAsia"/>
                <w:color w:val="auto"/>
                <w:highlight w:val="none"/>
                <w:lang w:eastAsia="zh-CN"/>
              </w:rPr>
              <w:t>）</w:t>
            </w:r>
            <w:r>
              <w:rPr>
                <w:color w:val="auto"/>
                <w:highlight w:val="none"/>
              </w:rPr>
              <w:t xml:space="preserve"> </w:t>
            </w:r>
            <w:r>
              <w:rPr>
                <w:rFonts w:hint="eastAsia"/>
                <w:color w:val="auto"/>
                <w:highlight w:val="none"/>
                <w:lang w:eastAsia="zh-CN"/>
              </w:rPr>
              <w:t>（</w:t>
            </w:r>
            <w:r>
              <w:rPr>
                <w:color w:val="auto"/>
                <w:highlight w:val="none"/>
              </w:rPr>
              <w:t>；</w:t>
            </w:r>
            <w:r>
              <w:rPr>
                <w:color w:val="auto"/>
                <w:spacing w:val="1"/>
                <w:highlight w:val="none"/>
              </w:rPr>
              <w:t>c</w:t>
            </w:r>
            <w:r>
              <w:rPr>
                <w:rFonts w:hint="eastAsia"/>
                <w:color w:val="auto"/>
                <w:highlight w:val="none"/>
                <w:lang w:eastAsia="zh-CN"/>
              </w:rPr>
              <w:t>）</w:t>
            </w:r>
            <w:r>
              <w:rPr>
                <w:color w:val="auto"/>
                <w:highlight w:val="none"/>
              </w:rPr>
              <w:t xml:space="preserve"> </w:t>
            </w:r>
            <w:r>
              <w:rPr>
                <w:rFonts w:hint="eastAsia"/>
                <w:color w:val="auto"/>
                <w:highlight w:val="none"/>
                <w:lang w:eastAsia="zh-CN"/>
              </w:rPr>
              <w:t>（</w:t>
            </w:r>
            <w:r>
              <w:rPr>
                <w:color w:val="auto"/>
                <w:highlight w:val="none"/>
              </w:rPr>
              <w:t>；</w:t>
            </w:r>
            <w:r>
              <w:rPr>
                <w:color w:val="auto"/>
                <w:spacing w:val="-2"/>
                <w:highlight w:val="none"/>
              </w:rPr>
              <w:t>d</w:t>
            </w:r>
            <w:r>
              <w:rPr>
                <w:rFonts w:hint="eastAsia"/>
                <w:color w:val="auto"/>
                <w:highlight w:val="none"/>
                <w:lang w:eastAsia="zh-CN"/>
              </w:rPr>
              <w:t>）</w:t>
            </w:r>
            <w:r>
              <w:rPr>
                <w:color w:val="auto"/>
                <w:highlight w:val="none"/>
              </w:rPr>
              <w:t xml:space="preserve"> </w:t>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626ADAF7">
            <w:pPr>
              <w:pStyle w:val="1358"/>
              <w:rPr>
                <w:color w:val="auto"/>
                <w:highlight w:val="none"/>
              </w:rPr>
            </w:pPr>
          </w:p>
        </w:tc>
      </w:tr>
      <w:tr w14:paraId="627152E3">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1904ED40">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6CB87B08">
            <w:pPr>
              <w:pStyle w:val="1358"/>
              <w:rPr>
                <w:color w:val="auto"/>
                <w:highlight w:val="none"/>
              </w:rPr>
            </w:pPr>
            <w:r>
              <w:rPr>
                <w:color w:val="auto"/>
                <w:highlight w:val="none"/>
              </w:rPr>
              <w:t>理化特性</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4165C1D6">
            <w:pPr>
              <w:pStyle w:val="1358"/>
              <w:rPr>
                <w:color w:val="auto"/>
                <w:highlight w:val="none"/>
              </w:rPr>
            </w:pPr>
            <w:r>
              <w:rPr>
                <w:color w:val="auto"/>
                <w:kern w:val="0"/>
                <w:szCs w:val="21"/>
                <w:highlight w:val="none"/>
              </w:rPr>
              <w:t>主要为粉质粘土和砂质粘性土，颗粒微小，透水性微弱</w:t>
            </w:r>
          </w:p>
        </w:tc>
        <w:tc>
          <w:tcPr>
            <w:tcW w:w="545" w:type="dxa"/>
            <w:tcBorders>
              <w:top w:val="single" w:color="000000" w:sz="4" w:space="0"/>
              <w:left w:val="single" w:color="000000" w:sz="4" w:space="0"/>
              <w:bottom w:val="single" w:color="000000" w:sz="4" w:space="0"/>
              <w:right w:val="single" w:color="auto" w:sz="12" w:space="0"/>
            </w:tcBorders>
            <w:noWrap w:val="0"/>
            <w:vAlign w:val="center"/>
          </w:tcPr>
          <w:p w14:paraId="60751C8C">
            <w:pPr>
              <w:pStyle w:val="1358"/>
              <w:rPr>
                <w:color w:val="auto"/>
                <w:highlight w:val="none"/>
              </w:rPr>
            </w:pPr>
          </w:p>
        </w:tc>
      </w:tr>
      <w:tr w14:paraId="69E1949D">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78ADE13F">
            <w:pPr>
              <w:pStyle w:val="1358"/>
              <w:rPr>
                <w:color w:val="auto"/>
                <w:highlight w:val="none"/>
              </w:rPr>
            </w:pPr>
          </w:p>
        </w:tc>
        <w:tc>
          <w:tcPr>
            <w:tcW w:w="1470" w:type="dxa"/>
            <w:vMerge w:val="restart"/>
            <w:tcBorders>
              <w:top w:val="single" w:color="000000" w:sz="4" w:space="0"/>
              <w:left w:val="single" w:color="000000" w:sz="4" w:space="0"/>
              <w:right w:val="single" w:color="000000" w:sz="4" w:space="0"/>
            </w:tcBorders>
            <w:noWrap w:val="0"/>
            <w:vAlign w:val="center"/>
          </w:tcPr>
          <w:p w14:paraId="287C6CB3">
            <w:pPr>
              <w:pStyle w:val="1358"/>
              <w:rPr>
                <w:color w:val="auto"/>
                <w:highlight w:val="none"/>
              </w:rPr>
            </w:pPr>
            <w:r>
              <w:rPr>
                <w:color w:val="auto"/>
                <w:highlight w:val="none"/>
              </w:rPr>
              <w:t>现状监测点位</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539EC019">
            <w:pPr>
              <w:pStyle w:val="1358"/>
              <w:rPr>
                <w:color w:val="auto"/>
                <w:highlight w:val="none"/>
              </w:rPr>
            </w:pP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19CFE03C">
            <w:pPr>
              <w:pStyle w:val="1358"/>
              <w:rPr>
                <w:color w:val="auto"/>
                <w:highlight w:val="none"/>
              </w:rPr>
            </w:pPr>
            <w:r>
              <w:rPr>
                <w:color w:val="auto"/>
                <w:highlight w:val="none"/>
              </w:rPr>
              <w:t>占地范围内</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2FFE35C">
            <w:pPr>
              <w:pStyle w:val="1358"/>
              <w:rPr>
                <w:color w:val="auto"/>
                <w:highlight w:val="none"/>
              </w:rPr>
            </w:pPr>
            <w:r>
              <w:rPr>
                <w:color w:val="auto"/>
                <w:highlight w:val="none"/>
              </w:rPr>
              <w:t>占地范围外</w:t>
            </w:r>
          </w:p>
        </w:tc>
        <w:tc>
          <w:tcPr>
            <w:tcW w:w="3180" w:type="dxa"/>
            <w:gridSpan w:val="2"/>
            <w:tcBorders>
              <w:top w:val="single" w:color="000000" w:sz="4" w:space="0"/>
              <w:left w:val="single" w:color="000000" w:sz="4" w:space="0"/>
              <w:bottom w:val="single" w:color="000000" w:sz="4" w:space="0"/>
              <w:right w:val="single" w:color="000000" w:sz="4" w:space="0"/>
            </w:tcBorders>
            <w:noWrap w:val="0"/>
            <w:vAlign w:val="center"/>
          </w:tcPr>
          <w:p w14:paraId="71E9B621">
            <w:pPr>
              <w:pStyle w:val="1358"/>
              <w:rPr>
                <w:color w:val="auto"/>
                <w:highlight w:val="none"/>
              </w:rPr>
            </w:pPr>
            <w:r>
              <w:rPr>
                <w:color w:val="auto"/>
                <w:highlight w:val="none"/>
              </w:rPr>
              <w:t>深度</w:t>
            </w:r>
          </w:p>
        </w:tc>
        <w:tc>
          <w:tcPr>
            <w:tcW w:w="545" w:type="dxa"/>
            <w:vMerge w:val="restart"/>
            <w:tcBorders>
              <w:top w:val="single" w:color="000000" w:sz="4" w:space="0"/>
              <w:left w:val="single" w:color="000000" w:sz="4" w:space="0"/>
              <w:bottom w:val="single" w:color="000000" w:sz="4" w:space="0"/>
              <w:right w:val="single" w:color="auto" w:sz="12" w:space="0"/>
            </w:tcBorders>
            <w:noWrap w:val="0"/>
            <w:vAlign w:val="center"/>
          </w:tcPr>
          <w:p w14:paraId="54988547">
            <w:pPr>
              <w:pStyle w:val="1358"/>
              <w:rPr>
                <w:color w:val="auto"/>
                <w:highlight w:val="none"/>
              </w:rPr>
            </w:pPr>
          </w:p>
        </w:tc>
      </w:tr>
      <w:tr w14:paraId="60EB573C">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7998F9F3">
            <w:pPr>
              <w:pStyle w:val="1358"/>
              <w:rPr>
                <w:color w:val="auto"/>
                <w:highlight w:val="none"/>
              </w:rPr>
            </w:pPr>
          </w:p>
        </w:tc>
        <w:tc>
          <w:tcPr>
            <w:tcW w:w="1470" w:type="dxa"/>
            <w:vMerge w:val="continue"/>
            <w:tcBorders>
              <w:left w:val="single" w:color="000000" w:sz="4" w:space="0"/>
              <w:right w:val="single" w:color="000000" w:sz="4" w:space="0"/>
            </w:tcBorders>
            <w:noWrap w:val="0"/>
            <w:vAlign w:val="center"/>
          </w:tcPr>
          <w:p w14:paraId="416A0AB2">
            <w:pPr>
              <w:pStyle w:val="1358"/>
              <w:rPr>
                <w:color w:val="auto"/>
                <w:highlight w:val="none"/>
              </w:rPr>
            </w:pP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2E82B82E">
            <w:pPr>
              <w:pStyle w:val="1358"/>
              <w:rPr>
                <w:color w:val="auto"/>
                <w:highlight w:val="none"/>
              </w:rPr>
            </w:pPr>
            <w:r>
              <w:rPr>
                <w:color w:val="auto"/>
                <w:highlight w:val="none"/>
              </w:rPr>
              <w:t>表层样点数</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7E06B060">
            <w:pPr>
              <w:pStyle w:val="1358"/>
              <w:rPr>
                <w:color w:val="auto"/>
                <w:highlight w:val="none"/>
              </w:rPr>
            </w:pPr>
            <w:r>
              <w:rPr>
                <w:rFonts w:hint="eastAsia"/>
                <w:color w:val="auto"/>
                <w:highlight w:val="none"/>
                <w:lang w:val="en-US" w:eastAsia="zh-CN"/>
              </w:rPr>
              <w:t>1</w:t>
            </w:r>
            <w:r>
              <w:rPr>
                <w:color w:val="auto"/>
                <w:highlight w:val="none"/>
              </w:rPr>
              <w:t>个</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AE36BDE">
            <w:pPr>
              <w:pStyle w:val="1358"/>
              <w:rPr>
                <w:color w:val="auto"/>
                <w:highlight w:val="none"/>
              </w:rPr>
            </w:pPr>
            <w:r>
              <w:rPr>
                <w:color w:val="auto"/>
                <w:highlight w:val="none"/>
              </w:rPr>
              <w:t>2个</w:t>
            </w:r>
          </w:p>
        </w:tc>
        <w:tc>
          <w:tcPr>
            <w:tcW w:w="3180" w:type="dxa"/>
            <w:gridSpan w:val="2"/>
            <w:tcBorders>
              <w:top w:val="single" w:color="000000" w:sz="4" w:space="0"/>
              <w:left w:val="single" w:color="000000" w:sz="4" w:space="0"/>
              <w:bottom w:val="single" w:color="000000" w:sz="4" w:space="0"/>
              <w:right w:val="single" w:color="000000" w:sz="4" w:space="0"/>
            </w:tcBorders>
            <w:noWrap w:val="0"/>
            <w:vAlign w:val="center"/>
          </w:tcPr>
          <w:p w14:paraId="45CB3AFD">
            <w:pPr>
              <w:pStyle w:val="1358"/>
              <w:rPr>
                <w:color w:val="auto"/>
                <w:highlight w:val="none"/>
              </w:rPr>
            </w:pPr>
            <w:r>
              <w:rPr>
                <w:color w:val="auto"/>
                <w:highlight w:val="none"/>
              </w:rPr>
              <w:t>0.2m</w:t>
            </w:r>
          </w:p>
        </w:tc>
        <w:tc>
          <w:tcPr>
            <w:tcW w:w="545" w:type="dxa"/>
            <w:vMerge w:val="continue"/>
            <w:tcBorders>
              <w:top w:val="single" w:color="000000" w:sz="4" w:space="0"/>
              <w:left w:val="single" w:color="000000" w:sz="4" w:space="0"/>
              <w:bottom w:val="single" w:color="000000" w:sz="4" w:space="0"/>
              <w:right w:val="single" w:color="auto" w:sz="12" w:space="0"/>
            </w:tcBorders>
            <w:noWrap w:val="0"/>
            <w:vAlign w:val="top"/>
          </w:tcPr>
          <w:p w14:paraId="7E900013">
            <w:pPr>
              <w:pStyle w:val="1358"/>
              <w:rPr>
                <w:color w:val="auto"/>
                <w:highlight w:val="none"/>
              </w:rPr>
            </w:pPr>
          </w:p>
        </w:tc>
      </w:tr>
      <w:tr w14:paraId="20AC6417">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7D11EC0E">
            <w:pPr>
              <w:pStyle w:val="1358"/>
              <w:rPr>
                <w:color w:val="auto"/>
                <w:highlight w:val="none"/>
              </w:rPr>
            </w:pPr>
          </w:p>
        </w:tc>
        <w:tc>
          <w:tcPr>
            <w:tcW w:w="1470" w:type="dxa"/>
            <w:vMerge w:val="continue"/>
            <w:tcBorders>
              <w:left w:val="single" w:color="000000" w:sz="4" w:space="0"/>
              <w:bottom w:val="single" w:color="000000" w:sz="4" w:space="0"/>
              <w:right w:val="single" w:color="000000" w:sz="4" w:space="0"/>
            </w:tcBorders>
            <w:noWrap w:val="0"/>
            <w:vAlign w:val="center"/>
          </w:tcPr>
          <w:p w14:paraId="16049F7F">
            <w:pPr>
              <w:pStyle w:val="1358"/>
              <w:rPr>
                <w:color w:val="auto"/>
                <w:highlight w:val="none"/>
              </w:rPr>
            </w:pP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3D63EAF9">
            <w:pPr>
              <w:pStyle w:val="1358"/>
              <w:rPr>
                <w:color w:val="auto"/>
                <w:highlight w:val="none"/>
              </w:rPr>
            </w:pPr>
            <w:r>
              <w:rPr>
                <w:color w:val="auto"/>
                <w:highlight w:val="none"/>
              </w:rPr>
              <w:t>柱状样</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4EFF01EB">
            <w:pPr>
              <w:pStyle w:val="1358"/>
              <w:rPr>
                <w:color w:val="auto"/>
                <w:highlight w:val="none"/>
              </w:rPr>
            </w:pPr>
            <w:r>
              <w:rPr>
                <w:rFonts w:hint="eastAsia"/>
                <w:color w:val="auto"/>
                <w:highlight w:val="none"/>
                <w:lang w:val="en-US" w:eastAsia="zh-CN"/>
              </w:rPr>
              <w:t>3</w:t>
            </w:r>
            <w:r>
              <w:rPr>
                <w:color w:val="auto"/>
                <w:highlight w:val="none"/>
              </w:rPr>
              <w:t>个</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58D9422">
            <w:pPr>
              <w:pStyle w:val="1358"/>
              <w:rPr>
                <w:color w:val="auto"/>
                <w:highlight w:val="none"/>
              </w:rPr>
            </w:pPr>
            <w:r>
              <w:rPr>
                <w:color w:val="auto"/>
                <w:highlight w:val="none"/>
              </w:rPr>
              <w:t>0个</w:t>
            </w:r>
          </w:p>
        </w:tc>
        <w:tc>
          <w:tcPr>
            <w:tcW w:w="3180" w:type="dxa"/>
            <w:gridSpan w:val="2"/>
            <w:tcBorders>
              <w:top w:val="single" w:color="000000" w:sz="4" w:space="0"/>
              <w:left w:val="single" w:color="000000" w:sz="4" w:space="0"/>
              <w:bottom w:val="single" w:color="000000" w:sz="4" w:space="0"/>
              <w:right w:val="single" w:color="000000" w:sz="4" w:space="0"/>
            </w:tcBorders>
            <w:noWrap w:val="0"/>
            <w:vAlign w:val="center"/>
          </w:tcPr>
          <w:p w14:paraId="134EBA7B">
            <w:pPr>
              <w:pStyle w:val="1358"/>
              <w:rPr>
                <w:color w:val="auto"/>
                <w:highlight w:val="none"/>
              </w:rPr>
            </w:pPr>
            <w:r>
              <w:rPr>
                <w:color w:val="auto"/>
                <w:highlight w:val="none"/>
              </w:rPr>
              <w:t>0~3.0m</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7D1AB86A">
            <w:pPr>
              <w:pStyle w:val="1358"/>
              <w:rPr>
                <w:color w:val="auto"/>
                <w:highlight w:val="none"/>
              </w:rPr>
            </w:pPr>
          </w:p>
        </w:tc>
      </w:tr>
      <w:tr w14:paraId="0E7176F4">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11471A0F">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4486224F">
            <w:pPr>
              <w:pStyle w:val="1358"/>
              <w:rPr>
                <w:color w:val="auto"/>
                <w:highlight w:val="none"/>
              </w:rPr>
            </w:pPr>
            <w:r>
              <w:rPr>
                <w:color w:val="auto"/>
                <w:highlight w:val="none"/>
              </w:rPr>
              <w:t>现状监测因子</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22425A8C">
            <w:pPr>
              <w:pStyle w:val="1358"/>
              <w:rPr>
                <w:color w:val="auto"/>
                <w:highlight w:val="none"/>
              </w:rPr>
            </w:pPr>
            <w:r>
              <w:rPr>
                <w:color w:val="auto"/>
                <w:highlight w:val="none"/>
              </w:rPr>
              <w:t>pH、砷、镉、六价铬、铜、铅、汞、镍、四氯化碳、氯仿、氯甲烷、1</w:t>
            </w:r>
            <w:r>
              <w:rPr>
                <w:rFonts w:hint="eastAsia"/>
                <w:color w:val="auto"/>
                <w:highlight w:val="none"/>
                <w:lang w:eastAsia="zh-CN"/>
              </w:rPr>
              <w:t>，</w:t>
            </w:r>
            <w:r>
              <w:rPr>
                <w:color w:val="auto"/>
                <w:highlight w:val="none"/>
              </w:rPr>
              <w:t>1-二氯乙烷、1</w:t>
            </w:r>
            <w:r>
              <w:rPr>
                <w:rFonts w:hint="eastAsia"/>
                <w:color w:val="auto"/>
                <w:highlight w:val="none"/>
                <w:lang w:eastAsia="zh-CN"/>
              </w:rPr>
              <w:t>，</w:t>
            </w:r>
            <w:r>
              <w:rPr>
                <w:color w:val="auto"/>
                <w:highlight w:val="none"/>
              </w:rPr>
              <w:t>2-二氯乙烷、1</w:t>
            </w:r>
            <w:r>
              <w:rPr>
                <w:rFonts w:hint="eastAsia"/>
                <w:color w:val="auto"/>
                <w:highlight w:val="none"/>
                <w:lang w:eastAsia="zh-CN"/>
              </w:rPr>
              <w:t>，</w:t>
            </w:r>
            <w:r>
              <w:rPr>
                <w:color w:val="auto"/>
                <w:highlight w:val="none"/>
              </w:rPr>
              <w:t>1-二氯乙烯、顺-1</w:t>
            </w:r>
            <w:r>
              <w:rPr>
                <w:rFonts w:hint="eastAsia"/>
                <w:color w:val="auto"/>
                <w:highlight w:val="none"/>
                <w:lang w:eastAsia="zh-CN"/>
              </w:rPr>
              <w:t>，</w:t>
            </w:r>
            <w:r>
              <w:rPr>
                <w:color w:val="auto"/>
                <w:highlight w:val="none"/>
              </w:rPr>
              <w:t>2-二氯乙烯、反-1</w:t>
            </w:r>
            <w:r>
              <w:rPr>
                <w:rFonts w:hint="eastAsia"/>
                <w:color w:val="auto"/>
                <w:highlight w:val="none"/>
                <w:lang w:eastAsia="zh-CN"/>
              </w:rPr>
              <w:t>，</w:t>
            </w:r>
            <w:r>
              <w:rPr>
                <w:color w:val="auto"/>
                <w:highlight w:val="none"/>
              </w:rPr>
              <w:t>2-二氯乙烯、二氯甲烷、1</w:t>
            </w:r>
            <w:r>
              <w:rPr>
                <w:rFonts w:hint="eastAsia"/>
                <w:color w:val="auto"/>
                <w:highlight w:val="none"/>
                <w:lang w:eastAsia="zh-CN"/>
              </w:rPr>
              <w:t>，</w:t>
            </w:r>
            <w:r>
              <w:rPr>
                <w:color w:val="auto"/>
                <w:highlight w:val="none"/>
              </w:rPr>
              <w:t>2-二氯丙烷、1</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2-四氯乙烷、1</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2</w:t>
            </w:r>
            <w:r>
              <w:rPr>
                <w:rFonts w:hint="eastAsia"/>
                <w:color w:val="auto"/>
                <w:highlight w:val="none"/>
                <w:lang w:eastAsia="zh-CN"/>
              </w:rPr>
              <w:t>，</w:t>
            </w:r>
            <w:r>
              <w:rPr>
                <w:color w:val="auto"/>
                <w:highlight w:val="none"/>
              </w:rPr>
              <w:t>2-四氯乙烷、四氯乙烯、1</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1-三氯乙烷、1</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2-三氯乙烷、三氯乙烯、1</w:t>
            </w:r>
            <w:r>
              <w:rPr>
                <w:rFonts w:hint="eastAsia"/>
                <w:color w:val="auto"/>
                <w:highlight w:val="none"/>
                <w:lang w:eastAsia="zh-CN"/>
              </w:rPr>
              <w:t>，</w:t>
            </w:r>
            <w:r>
              <w:rPr>
                <w:color w:val="auto"/>
                <w:highlight w:val="none"/>
              </w:rPr>
              <w:t>2</w:t>
            </w:r>
            <w:r>
              <w:rPr>
                <w:rFonts w:hint="eastAsia"/>
                <w:color w:val="auto"/>
                <w:highlight w:val="none"/>
                <w:lang w:eastAsia="zh-CN"/>
              </w:rPr>
              <w:t>，</w:t>
            </w:r>
            <w:r>
              <w:rPr>
                <w:color w:val="auto"/>
                <w:highlight w:val="none"/>
              </w:rPr>
              <w:t>3-三氯丙烷、氯乙烯、苯、氯苯、1</w:t>
            </w:r>
            <w:r>
              <w:rPr>
                <w:rFonts w:hint="eastAsia"/>
                <w:color w:val="auto"/>
                <w:highlight w:val="none"/>
                <w:lang w:eastAsia="zh-CN"/>
              </w:rPr>
              <w:t>，</w:t>
            </w:r>
            <w:r>
              <w:rPr>
                <w:color w:val="auto"/>
                <w:highlight w:val="none"/>
              </w:rPr>
              <w:t>2-二氯苯、1</w:t>
            </w:r>
            <w:r>
              <w:rPr>
                <w:rFonts w:hint="eastAsia"/>
                <w:color w:val="auto"/>
                <w:highlight w:val="none"/>
                <w:lang w:eastAsia="zh-CN"/>
              </w:rPr>
              <w:t>，</w:t>
            </w:r>
            <w:r>
              <w:rPr>
                <w:color w:val="auto"/>
                <w:highlight w:val="none"/>
              </w:rPr>
              <w:t>4-二氯苯、乙苯、苯乙烯、甲苯、间二甲苯+对二甲苯、邻二甲苯、硝基苯、苯胺、2-氯酚、苯并</w:t>
            </w:r>
            <w:r>
              <w:rPr>
                <w:rFonts w:hint="eastAsia"/>
                <w:color w:val="auto"/>
                <w:highlight w:val="none"/>
                <w:lang w:eastAsia="zh-CN"/>
              </w:rPr>
              <w:t>（</w:t>
            </w:r>
            <w:r>
              <w:rPr>
                <w:color w:val="auto"/>
                <w:highlight w:val="none"/>
              </w:rPr>
              <w:t>a</w:t>
            </w:r>
            <w:r>
              <w:rPr>
                <w:rFonts w:hint="eastAsia"/>
                <w:color w:val="auto"/>
                <w:highlight w:val="none"/>
                <w:lang w:eastAsia="zh-CN"/>
              </w:rPr>
              <w:t>）</w:t>
            </w:r>
            <w:r>
              <w:rPr>
                <w:color w:val="auto"/>
                <w:highlight w:val="none"/>
              </w:rPr>
              <w:t>蒽、苯并</w:t>
            </w:r>
            <w:r>
              <w:rPr>
                <w:rFonts w:hint="eastAsia"/>
                <w:color w:val="auto"/>
                <w:highlight w:val="none"/>
                <w:lang w:eastAsia="zh-CN"/>
              </w:rPr>
              <w:t>（</w:t>
            </w:r>
            <w:r>
              <w:rPr>
                <w:color w:val="auto"/>
                <w:highlight w:val="none"/>
              </w:rPr>
              <w:t>a</w:t>
            </w:r>
            <w:r>
              <w:rPr>
                <w:rFonts w:hint="eastAsia"/>
                <w:color w:val="auto"/>
                <w:highlight w:val="none"/>
                <w:lang w:eastAsia="zh-CN"/>
              </w:rPr>
              <w:t>）</w:t>
            </w:r>
            <w:r>
              <w:rPr>
                <w:color w:val="auto"/>
                <w:highlight w:val="none"/>
              </w:rPr>
              <w:t>芘、苯并</w:t>
            </w:r>
            <w:r>
              <w:rPr>
                <w:rFonts w:hint="eastAsia"/>
                <w:color w:val="auto"/>
                <w:highlight w:val="none"/>
                <w:lang w:eastAsia="zh-CN"/>
              </w:rPr>
              <w:t>（</w:t>
            </w:r>
            <w:r>
              <w:rPr>
                <w:color w:val="auto"/>
                <w:highlight w:val="none"/>
              </w:rPr>
              <w:t>b</w:t>
            </w:r>
            <w:r>
              <w:rPr>
                <w:rFonts w:hint="eastAsia"/>
                <w:color w:val="auto"/>
                <w:highlight w:val="none"/>
                <w:lang w:eastAsia="zh-CN"/>
              </w:rPr>
              <w:t>）</w:t>
            </w:r>
            <w:r>
              <w:rPr>
                <w:color w:val="auto"/>
                <w:highlight w:val="none"/>
              </w:rPr>
              <w:t>荧蒽、苯并</w:t>
            </w:r>
            <w:r>
              <w:rPr>
                <w:rFonts w:hint="eastAsia"/>
                <w:color w:val="auto"/>
                <w:highlight w:val="none"/>
                <w:lang w:eastAsia="zh-CN"/>
              </w:rPr>
              <w:t>（</w:t>
            </w:r>
            <w:r>
              <w:rPr>
                <w:color w:val="auto"/>
                <w:highlight w:val="none"/>
              </w:rPr>
              <w:t>k</w:t>
            </w:r>
            <w:r>
              <w:rPr>
                <w:rFonts w:hint="eastAsia"/>
                <w:color w:val="auto"/>
                <w:highlight w:val="none"/>
                <w:lang w:eastAsia="zh-CN"/>
              </w:rPr>
              <w:t>）</w:t>
            </w:r>
            <w:r>
              <w:rPr>
                <w:color w:val="auto"/>
                <w:highlight w:val="none"/>
              </w:rPr>
              <w:t>荧蒽、䓛、二苯并</w:t>
            </w:r>
            <w:r>
              <w:rPr>
                <w:rFonts w:hint="eastAsia"/>
                <w:color w:val="auto"/>
                <w:highlight w:val="none"/>
                <w:lang w:eastAsia="zh-CN"/>
              </w:rPr>
              <w:t>（</w:t>
            </w:r>
            <w:r>
              <w:rPr>
                <w:color w:val="auto"/>
                <w:highlight w:val="none"/>
              </w:rPr>
              <w:t>a，h</w:t>
            </w:r>
            <w:r>
              <w:rPr>
                <w:rFonts w:hint="eastAsia"/>
                <w:color w:val="auto"/>
                <w:highlight w:val="none"/>
                <w:lang w:eastAsia="zh-CN"/>
              </w:rPr>
              <w:t>）</w:t>
            </w:r>
            <w:r>
              <w:rPr>
                <w:color w:val="auto"/>
                <w:highlight w:val="none"/>
              </w:rPr>
              <w:t>蒽、茚并</w:t>
            </w:r>
            <w:r>
              <w:rPr>
                <w:rFonts w:hint="eastAsia"/>
                <w:color w:val="auto"/>
                <w:highlight w:val="none"/>
                <w:lang w:eastAsia="zh-CN"/>
              </w:rPr>
              <w:t>（</w:t>
            </w:r>
            <w:r>
              <w:rPr>
                <w:color w:val="auto"/>
                <w:highlight w:val="none"/>
              </w:rPr>
              <w:t>1</w:t>
            </w:r>
            <w:r>
              <w:rPr>
                <w:rFonts w:hint="eastAsia"/>
                <w:color w:val="auto"/>
                <w:highlight w:val="none"/>
                <w:lang w:eastAsia="zh-CN"/>
              </w:rPr>
              <w:t>，</w:t>
            </w:r>
            <w:r>
              <w:rPr>
                <w:color w:val="auto"/>
                <w:highlight w:val="none"/>
              </w:rPr>
              <w:t>2</w:t>
            </w:r>
            <w:r>
              <w:rPr>
                <w:rFonts w:hint="eastAsia"/>
                <w:color w:val="auto"/>
                <w:highlight w:val="none"/>
                <w:lang w:eastAsia="zh-CN"/>
              </w:rPr>
              <w:t>，</w:t>
            </w:r>
            <w:r>
              <w:rPr>
                <w:color w:val="auto"/>
                <w:highlight w:val="none"/>
              </w:rPr>
              <w:t>3-cd</w:t>
            </w:r>
            <w:r>
              <w:rPr>
                <w:rFonts w:hint="eastAsia"/>
                <w:color w:val="auto"/>
                <w:highlight w:val="none"/>
                <w:lang w:eastAsia="zh-CN"/>
              </w:rPr>
              <w:t>）</w:t>
            </w:r>
            <w:r>
              <w:rPr>
                <w:color w:val="auto"/>
                <w:highlight w:val="none"/>
              </w:rPr>
              <w:t>芘、萘</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4EF7EFE9">
            <w:pPr>
              <w:pStyle w:val="1358"/>
              <w:rPr>
                <w:color w:val="auto"/>
                <w:highlight w:val="none"/>
              </w:rPr>
            </w:pPr>
          </w:p>
        </w:tc>
      </w:tr>
      <w:tr w14:paraId="50BE6546">
        <w:tblPrEx>
          <w:tblCellMar>
            <w:top w:w="0" w:type="dxa"/>
            <w:left w:w="0" w:type="dxa"/>
            <w:bottom w:w="0" w:type="dxa"/>
            <w:right w:w="0" w:type="dxa"/>
          </w:tblCellMar>
        </w:tblPrEx>
        <w:trPr>
          <w:jc w:val="center"/>
        </w:trPr>
        <w:tc>
          <w:tcPr>
            <w:tcW w:w="429" w:type="dxa"/>
            <w:vMerge w:val="restart"/>
            <w:tcBorders>
              <w:top w:val="single" w:color="000000" w:sz="4" w:space="0"/>
              <w:left w:val="single" w:color="auto" w:sz="12" w:space="0"/>
              <w:bottom w:val="single" w:color="000000" w:sz="4" w:space="0"/>
              <w:right w:val="single" w:color="000000" w:sz="4" w:space="0"/>
            </w:tcBorders>
            <w:noWrap w:val="0"/>
            <w:vAlign w:val="center"/>
          </w:tcPr>
          <w:p w14:paraId="364C5718">
            <w:pPr>
              <w:pStyle w:val="1358"/>
              <w:rPr>
                <w:color w:val="auto"/>
                <w:highlight w:val="none"/>
              </w:rPr>
            </w:pPr>
            <w:r>
              <w:rPr>
                <w:color w:val="auto"/>
                <w:highlight w:val="none"/>
              </w:rPr>
              <w:t>现</w:t>
            </w:r>
          </w:p>
          <w:p w14:paraId="0E6ABA0D">
            <w:pPr>
              <w:pStyle w:val="1358"/>
              <w:rPr>
                <w:color w:val="auto"/>
                <w:highlight w:val="none"/>
              </w:rPr>
            </w:pPr>
            <w:r>
              <w:rPr>
                <w:color w:val="auto"/>
                <w:highlight w:val="none"/>
              </w:rPr>
              <w:t>状 评 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35653B0F">
            <w:pPr>
              <w:pStyle w:val="1358"/>
              <w:rPr>
                <w:color w:val="auto"/>
                <w:highlight w:val="none"/>
              </w:rPr>
            </w:pPr>
            <w:r>
              <w:rPr>
                <w:color w:val="auto"/>
                <w:highlight w:val="none"/>
              </w:rPr>
              <w:t>评价因子</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7D56385E">
            <w:pPr>
              <w:pStyle w:val="1358"/>
              <w:rPr>
                <w:color w:val="auto"/>
                <w:highlight w:val="none"/>
              </w:rPr>
            </w:pPr>
            <w:r>
              <w:rPr>
                <w:snapToGrid w:val="0"/>
                <w:color w:val="auto"/>
                <w:highlight w:val="none"/>
              </w:rPr>
              <w:t>上述现状监测因子中除pH外的其他因子</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16B75DE2">
            <w:pPr>
              <w:pStyle w:val="1358"/>
              <w:rPr>
                <w:color w:val="auto"/>
                <w:highlight w:val="none"/>
              </w:rPr>
            </w:pPr>
          </w:p>
        </w:tc>
      </w:tr>
      <w:tr w14:paraId="694F2B38">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16D6557D">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03463878">
            <w:pPr>
              <w:pStyle w:val="1358"/>
              <w:rPr>
                <w:color w:val="auto"/>
                <w:highlight w:val="none"/>
              </w:rPr>
            </w:pPr>
            <w:r>
              <w:rPr>
                <w:color w:val="auto"/>
                <w:highlight w:val="none"/>
              </w:rPr>
              <w:t>评价标准</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4CB6FC0">
            <w:pPr>
              <w:pStyle w:val="1358"/>
              <w:rPr>
                <w:rFonts w:hint="eastAsia" w:eastAsia="宋体"/>
                <w:color w:val="auto"/>
                <w:highlight w:val="none"/>
                <w:lang w:eastAsia="zh-CN"/>
              </w:rPr>
            </w:pPr>
            <w:r>
              <w:rPr>
                <w:color w:val="auto"/>
                <w:spacing w:val="-1"/>
                <w:highlight w:val="none"/>
              </w:rPr>
              <w:t>G</w:t>
            </w:r>
            <w:r>
              <w:rPr>
                <w:color w:val="auto"/>
                <w:highlight w:val="none"/>
              </w:rPr>
              <w:t>B</w:t>
            </w:r>
            <w:r>
              <w:rPr>
                <w:color w:val="auto"/>
                <w:spacing w:val="-1"/>
                <w:highlight w:val="none"/>
              </w:rPr>
              <w:t xml:space="preserve"> </w:t>
            </w:r>
            <w:r>
              <w:rPr>
                <w:color w:val="auto"/>
                <w:spacing w:val="1"/>
                <w:highlight w:val="none"/>
              </w:rPr>
              <w:t>1</w:t>
            </w:r>
            <w:r>
              <w:rPr>
                <w:color w:val="auto"/>
                <w:spacing w:val="-2"/>
                <w:highlight w:val="none"/>
              </w:rPr>
              <w:t>5</w:t>
            </w:r>
            <w:r>
              <w:rPr>
                <w:color w:val="auto"/>
                <w:spacing w:val="1"/>
                <w:highlight w:val="none"/>
              </w:rPr>
              <w:t>6</w:t>
            </w:r>
            <w:r>
              <w:rPr>
                <w:color w:val="auto"/>
                <w:spacing w:val="-2"/>
                <w:highlight w:val="none"/>
              </w:rPr>
              <w:t>18</w:t>
            </w:r>
            <w:r>
              <w:rPr>
                <w:rFonts w:hint="eastAsia"/>
                <w:color w:val="auto"/>
                <w:highlight w:val="none"/>
                <w:lang w:eastAsia="zh-CN"/>
              </w:rPr>
              <w:t>（</w:t>
            </w:r>
            <w:r>
              <w:rPr>
                <w:color w:val="auto"/>
                <w:highlight w:val="none"/>
              </w:rPr>
              <w:t>；</w:t>
            </w:r>
            <w:r>
              <w:rPr>
                <w:color w:val="auto"/>
                <w:spacing w:val="-1"/>
                <w:highlight w:val="none"/>
              </w:rPr>
              <w:t>G</w:t>
            </w:r>
            <w:r>
              <w:rPr>
                <w:color w:val="auto"/>
                <w:highlight w:val="none"/>
              </w:rPr>
              <w:t xml:space="preserve">B </w:t>
            </w:r>
            <w:r>
              <w:rPr>
                <w:color w:val="auto"/>
                <w:spacing w:val="1"/>
                <w:highlight w:val="none"/>
              </w:rPr>
              <w:t>3</w:t>
            </w:r>
            <w:r>
              <w:rPr>
                <w:color w:val="auto"/>
                <w:spacing w:val="-2"/>
                <w:highlight w:val="none"/>
              </w:rPr>
              <w:t>6</w:t>
            </w:r>
            <w:r>
              <w:rPr>
                <w:color w:val="auto"/>
                <w:spacing w:val="1"/>
                <w:highlight w:val="none"/>
              </w:rPr>
              <w:t>6</w:t>
            </w:r>
            <w:r>
              <w:rPr>
                <w:color w:val="auto"/>
                <w:spacing w:val="-2"/>
                <w:highlight w:val="none"/>
              </w:rPr>
              <w:t>0</w:t>
            </w:r>
            <w:r>
              <w:rPr>
                <w:color w:val="auto"/>
                <w:spacing w:val="1"/>
                <w:highlight w:val="none"/>
              </w:rPr>
              <w:t>0</w:t>
            </w:r>
            <w:r>
              <w:rPr>
                <w:rFonts w:hint="eastAsia"/>
                <w:color w:val="auto"/>
                <w:highlight w:val="none"/>
                <w:lang w:eastAsia="zh-CN"/>
              </w:rPr>
              <w:t>（</w:t>
            </w:r>
            <w:r>
              <w:rPr>
                <w:color w:val="auto"/>
                <w:highlight w:val="none"/>
              </w:rPr>
              <w:t>；表</w:t>
            </w:r>
            <w:r>
              <w:rPr>
                <w:color w:val="auto"/>
                <w:spacing w:val="-47"/>
                <w:highlight w:val="none"/>
              </w:rPr>
              <w:t xml:space="preserve"> </w:t>
            </w:r>
            <w:r>
              <w:rPr>
                <w:color w:val="auto"/>
                <w:spacing w:val="-1"/>
                <w:highlight w:val="none"/>
              </w:rPr>
              <w:t>D</w:t>
            </w:r>
            <w:r>
              <w:rPr>
                <w:color w:val="auto"/>
                <w:highlight w:val="none"/>
              </w:rPr>
              <w:t>.</w:t>
            </w:r>
            <w:r>
              <w:rPr>
                <w:color w:val="auto"/>
                <w:spacing w:val="1"/>
                <w:highlight w:val="none"/>
              </w:rPr>
              <w:t>1</w:t>
            </w:r>
            <w:r>
              <w:rPr>
                <w:color w:val="auto"/>
                <w:highlight w:val="none"/>
              </w:rPr>
              <w:t>□；表</w:t>
            </w:r>
            <w:r>
              <w:rPr>
                <w:color w:val="auto"/>
                <w:spacing w:val="-45"/>
                <w:highlight w:val="none"/>
              </w:rPr>
              <w:t xml:space="preserve"> </w:t>
            </w:r>
            <w:r>
              <w:rPr>
                <w:color w:val="auto"/>
                <w:spacing w:val="-1"/>
                <w:highlight w:val="none"/>
              </w:rPr>
              <w:t>D</w:t>
            </w:r>
            <w:r>
              <w:rPr>
                <w:color w:val="auto"/>
                <w:highlight w:val="none"/>
              </w:rPr>
              <w:t>.</w:t>
            </w:r>
            <w:r>
              <w:rPr>
                <w:color w:val="auto"/>
                <w:spacing w:val="-2"/>
                <w:highlight w:val="none"/>
              </w:rPr>
              <w:t>2</w:t>
            </w:r>
            <w:r>
              <w:rPr>
                <w:rFonts w:hint="eastAsia"/>
                <w:color w:val="auto"/>
                <w:highlight w:val="none"/>
                <w:lang w:eastAsia="zh-CN"/>
              </w:rPr>
              <w:t>（</w:t>
            </w:r>
            <w:r>
              <w:rPr>
                <w:color w:val="auto"/>
                <w:highlight w:val="none"/>
              </w:rPr>
              <w:t>；其他</w:t>
            </w:r>
            <w:r>
              <w:rPr>
                <w:rFonts w:hint="eastAsia"/>
                <w:color w:val="auto"/>
                <w:highlight w:val="none"/>
                <w:lang w:eastAsia="zh-CN"/>
              </w:rPr>
              <w:t>（</w:t>
            </w:r>
            <w:r>
              <w:rPr>
                <w:color w:val="auto"/>
                <w:highlight w:val="none"/>
              </w:rPr>
              <w:tab/>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35BA92D4">
            <w:pPr>
              <w:pStyle w:val="1358"/>
              <w:rPr>
                <w:color w:val="auto"/>
                <w:highlight w:val="none"/>
              </w:rPr>
            </w:pPr>
          </w:p>
        </w:tc>
      </w:tr>
      <w:tr w14:paraId="568F561D">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7A876AF5">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3429C2EE">
            <w:pPr>
              <w:pStyle w:val="1358"/>
              <w:rPr>
                <w:color w:val="auto"/>
                <w:highlight w:val="none"/>
              </w:rPr>
            </w:pPr>
            <w:r>
              <w:rPr>
                <w:color w:val="auto"/>
                <w:highlight w:val="none"/>
              </w:rPr>
              <w:t>现状评价结论</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2922DD1D">
            <w:pPr>
              <w:pStyle w:val="1358"/>
              <w:rPr>
                <w:color w:val="auto"/>
                <w:highlight w:val="none"/>
              </w:rPr>
            </w:pPr>
            <w:r>
              <w:rPr>
                <w:snapToGrid w:val="0"/>
                <w:color w:val="auto"/>
                <w:highlight w:val="none"/>
              </w:rPr>
              <w:t>达标</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430585AE">
            <w:pPr>
              <w:pStyle w:val="1358"/>
              <w:rPr>
                <w:color w:val="auto"/>
                <w:highlight w:val="none"/>
              </w:rPr>
            </w:pPr>
          </w:p>
        </w:tc>
      </w:tr>
      <w:tr w14:paraId="35FA5839">
        <w:tblPrEx>
          <w:tblCellMar>
            <w:top w:w="0" w:type="dxa"/>
            <w:left w:w="0" w:type="dxa"/>
            <w:bottom w:w="0" w:type="dxa"/>
            <w:right w:w="0" w:type="dxa"/>
          </w:tblCellMar>
        </w:tblPrEx>
        <w:trPr>
          <w:jc w:val="center"/>
        </w:trPr>
        <w:tc>
          <w:tcPr>
            <w:tcW w:w="429" w:type="dxa"/>
            <w:vMerge w:val="restart"/>
            <w:tcBorders>
              <w:top w:val="single" w:color="000000" w:sz="4" w:space="0"/>
              <w:left w:val="single" w:color="auto" w:sz="12" w:space="0"/>
              <w:bottom w:val="single" w:color="000000" w:sz="4" w:space="0"/>
              <w:right w:val="single" w:color="000000" w:sz="4" w:space="0"/>
            </w:tcBorders>
            <w:noWrap w:val="0"/>
            <w:vAlign w:val="center"/>
          </w:tcPr>
          <w:p w14:paraId="25236E5D">
            <w:pPr>
              <w:pStyle w:val="1358"/>
              <w:rPr>
                <w:color w:val="auto"/>
                <w:highlight w:val="none"/>
              </w:rPr>
            </w:pPr>
            <w:r>
              <w:rPr>
                <w:color w:val="auto"/>
                <w:highlight w:val="none"/>
              </w:rPr>
              <w:t>影 响 预 测</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64E2AA1A">
            <w:pPr>
              <w:pStyle w:val="1358"/>
              <w:rPr>
                <w:color w:val="auto"/>
                <w:highlight w:val="none"/>
              </w:rPr>
            </w:pPr>
            <w:r>
              <w:rPr>
                <w:color w:val="auto"/>
                <w:highlight w:val="none"/>
              </w:rPr>
              <w:t>预测因子</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F1D97E3">
            <w:pPr>
              <w:pStyle w:val="1358"/>
              <w:rPr>
                <w:rFonts w:hint="eastAsia" w:eastAsia="宋体"/>
                <w:color w:val="auto"/>
                <w:highlight w:val="none"/>
                <w:lang w:val="en-US" w:eastAsia="zh-CN"/>
              </w:rPr>
            </w:pPr>
            <w:r>
              <w:rPr>
                <w:rFonts w:hint="eastAsia"/>
                <w:color w:val="auto"/>
                <w:highlight w:val="none"/>
                <w:lang w:val="en-US" w:eastAsia="zh-CN"/>
              </w:rPr>
              <w:t>石油烃</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51B6C1ED">
            <w:pPr>
              <w:pStyle w:val="1358"/>
              <w:rPr>
                <w:color w:val="auto"/>
                <w:highlight w:val="none"/>
              </w:rPr>
            </w:pPr>
          </w:p>
        </w:tc>
      </w:tr>
      <w:tr w14:paraId="0401566A">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384762DD">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31431045">
            <w:pPr>
              <w:pStyle w:val="1358"/>
              <w:rPr>
                <w:color w:val="auto"/>
                <w:highlight w:val="none"/>
              </w:rPr>
            </w:pPr>
            <w:r>
              <w:rPr>
                <w:color w:val="auto"/>
                <w:highlight w:val="none"/>
              </w:rPr>
              <w:t>预测方法</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37A2ADE1">
            <w:pPr>
              <w:pStyle w:val="1358"/>
              <w:rPr>
                <w:rFonts w:hint="eastAsia" w:eastAsia="宋体"/>
                <w:color w:val="auto"/>
                <w:highlight w:val="none"/>
                <w:lang w:eastAsia="zh-CN"/>
              </w:rPr>
            </w:pPr>
            <w:r>
              <w:rPr>
                <w:color w:val="auto"/>
                <w:highlight w:val="none"/>
              </w:rPr>
              <w:t>附录</w:t>
            </w:r>
            <w:r>
              <w:rPr>
                <w:color w:val="auto"/>
                <w:spacing w:val="-46"/>
                <w:highlight w:val="none"/>
              </w:rPr>
              <w:t xml:space="preserve"> </w:t>
            </w:r>
            <w:r>
              <w:rPr>
                <w:color w:val="auto"/>
                <w:spacing w:val="-2"/>
                <w:highlight w:val="none"/>
              </w:rPr>
              <w:t>E</w:t>
            </w:r>
            <w:r>
              <w:rPr>
                <w:rFonts w:hint="eastAsia"/>
                <w:color w:val="auto"/>
                <w:highlight w:val="none"/>
                <w:lang w:eastAsia="zh-CN"/>
              </w:rPr>
              <w:t>☑</w:t>
            </w:r>
            <w:r>
              <w:rPr>
                <w:color w:val="auto"/>
                <w:highlight w:val="none"/>
              </w:rPr>
              <w:t>；附录</w:t>
            </w:r>
            <w:r>
              <w:rPr>
                <w:color w:val="auto"/>
                <w:spacing w:val="-45"/>
                <w:highlight w:val="none"/>
              </w:rPr>
              <w:t xml:space="preserve"> </w:t>
            </w:r>
            <w:r>
              <w:rPr>
                <w:color w:val="auto"/>
                <w:highlight w:val="none"/>
              </w:rPr>
              <w:t>F□；其他</w:t>
            </w:r>
            <w:r>
              <w:rPr>
                <w:rFonts w:hint="eastAsia"/>
                <w:color w:val="auto"/>
                <w:highlight w:val="none"/>
                <w:lang w:eastAsia="zh-CN"/>
              </w:rPr>
              <w:t>（</w:t>
            </w:r>
            <w:r>
              <w:rPr>
                <w:color w:val="auto"/>
                <w:highlight w:val="none"/>
              </w:rPr>
              <w:t>定性分析</w:t>
            </w:r>
            <w:r>
              <w:rPr>
                <w:rFonts w:hint="eastAsia"/>
                <w:color w:val="auto"/>
                <w:highlight w:val="none"/>
                <w:lang w:eastAsia="zh-CN"/>
              </w:rPr>
              <w:t>）</w:t>
            </w:r>
            <w:r>
              <w:rPr>
                <w:color w:val="auto"/>
                <w:highlight w:val="none"/>
              </w:rPr>
              <w:t xml:space="preserve"> </w:t>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2B2FB6C3">
            <w:pPr>
              <w:pStyle w:val="1358"/>
              <w:rPr>
                <w:color w:val="auto"/>
                <w:highlight w:val="none"/>
              </w:rPr>
            </w:pPr>
          </w:p>
        </w:tc>
      </w:tr>
      <w:tr w14:paraId="76085D0F">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01EA924C">
            <w:pPr>
              <w:pStyle w:val="1358"/>
              <w:rPr>
                <w:color w:val="auto"/>
                <w:highlight w:val="none"/>
              </w:rPr>
            </w:pPr>
          </w:p>
        </w:tc>
        <w:tc>
          <w:tcPr>
            <w:tcW w:w="1470" w:type="dxa"/>
            <w:vMerge w:val="restart"/>
            <w:tcBorders>
              <w:top w:val="single" w:color="000000" w:sz="4" w:space="0"/>
              <w:left w:val="single" w:color="000000" w:sz="4" w:space="0"/>
              <w:right w:val="single" w:color="000000" w:sz="4" w:space="0"/>
            </w:tcBorders>
            <w:noWrap w:val="0"/>
            <w:vAlign w:val="center"/>
          </w:tcPr>
          <w:p w14:paraId="0FF823F4">
            <w:pPr>
              <w:pStyle w:val="1358"/>
              <w:rPr>
                <w:color w:val="auto"/>
                <w:highlight w:val="none"/>
              </w:rPr>
            </w:pPr>
            <w:r>
              <w:rPr>
                <w:color w:val="auto"/>
                <w:highlight w:val="none"/>
              </w:rPr>
              <w:t>预测分析内容</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740B494D">
            <w:pPr>
              <w:pStyle w:val="1358"/>
              <w:rPr>
                <w:color w:val="auto"/>
                <w:highlight w:val="none"/>
              </w:rPr>
            </w:pPr>
            <w:r>
              <w:rPr>
                <w:color w:val="auto"/>
                <w:highlight w:val="none"/>
              </w:rPr>
              <w:t>影响范围（ / ）</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1DBB58D6">
            <w:pPr>
              <w:pStyle w:val="1358"/>
              <w:rPr>
                <w:color w:val="auto"/>
                <w:highlight w:val="none"/>
              </w:rPr>
            </w:pPr>
          </w:p>
        </w:tc>
      </w:tr>
      <w:tr w14:paraId="6319C3E7">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5FBE4098">
            <w:pPr>
              <w:pStyle w:val="1358"/>
              <w:rPr>
                <w:color w:val="auto"/>
                <w:highlight w:val="none"/>
              </w:rPr>
            </w:pPr>
          </w:p>
        </w:tc>
        <w:tc>
          <w:tcPr>
            <w:tcW w:w="1470" w:type="dxa"/>
            <w:vMerge w:val="continue"/>
            <w:tcBorders>
              <w:left w:val="single" w:color="000000" w:sz="4" w:space="0"/>
              <w:bottom w:val="single" w:color="000000" w:sz="4" w:space="0"/>
              <w:right w:val="single" w:color="000000" w:sz="4" w:space="0"/>
            </w:tcBorders>
            <w:noWrap w:val="0"/>
            <w:vAlign w:val="center"/>
          </w:tcPr>
          <w:p w14:paraId="3EC6CFC5">
            <w:pPr>
              <w:pStyle w:val="1358"/>
              <w:rPr>
                <w:color w:val="auto"/>
                <w:highlight w:val="none"/>
              </w:rPr>
            </w:pP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1F5FE946">
            <w:pPr>
              <w:pStyle w:val="1358"/>
              <w:rPr>
                <w:color w:val="auto"/>
                <w:highlight w:val="none"/>
              </w:rPr>
            </w:pPr>
            <w:r>
              <w:rPr>
                <w:color w:val="auto"/>
                <w:highlight w:val="none"/>
              </w:rPr>
              <w:t>影响程度（ / ）</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6CF9E89E">
            <w:pPr>
              <w:pStyle w:val="1358"/>
              <w:rPr>
                <w:color w:val="auto"/>
                <w:highlight w:val="none"/>
              </w:rPr>
            </w:pPr>
          </w:p>
        </w:tc>
      </w:tr>
      <w:tr w14:paraId="689CDA0C">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2E5A2FF2">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24A8B06F">
            <w:pPr>
              <w:pStyle w:val="1358"/>
              <w:rPr>
                <w:color w:val="auto"/>
                <w:highlight w:val="none"/>
              </w:rPr>
            </w:pPr>
            <w:r>
              <w:rPr>
                <w:color w:val="auto"/>
                <w:highlight w:val="none"/>
              </w:rPr>
              <w:t>预测结论</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0631A59C">
            <w:pPr>
              <w:pStyle w:val="1358"/>
              <w:rPr>
                <w:color w:val="auto"/>
                <w:highlight w:val="none"/>
              </w:rPr>
            </w:pPr>
            <w:r>
              <w:rPr>
                <w:color w:val="auto"/>
                <w:highlight w:val="none"/>
              </w:rPr>
              <w:t>达标结论：</w:t>
            </w:r>
            <w:r>
              <w:rPr>
                <w:color w:val="auto"/>
                <w:spacing w:val="-1"/>
                <w:highlight w:val="none"/>
              </w:rPr>
              <w:t>a</w:t>
            </w:r>
            <w:r>
              <w:rPr>
                <w:rFonts w:hint="eastAsia"/>
                <w:color w:val="auto"/>
                <w:highlight w:val="none"/>
                <w:lang w:eastAsia="zh-CN"/>
              </w:rPr>
              <w:t>）☑</w:t>
            </w:r>
            <w:r>
              <w:rPr>
                <w:color w:val="auto"/>
                <w:highlight w:val="none"/>
              </w:rPr>
              <w:t>；</w:t>
            </w:r>
            <w:r>
              <w:rPr>
                <w:color w:val="auto"/>
                <w:spacing w:val="-2"/>
                <w:highlight w:val="none"/>
              </w:rPr>
              <w:t>b</w:t>
            </w:r>
            <w:r>
              <w:rPr>
                <w:rFonts w:hint="eastAsia"/>
                <w:color w:val="auto"/>
                <w:highlight w:val="none"/>
                <w:lang w:eastAsia="zh-CN"/>
              </w:rPr>
              <w:t>）</w:t>
            </w:r>
            <w:r>
              <w:rPr>
                <w:color w:val="auto"/>
                <w:highlight w:val="none"/>
              </w:rPr>
              <w:t>□；</w:t>
            </w:r>
            <w:r>
              <w:rPr>
                <w:color w:val="auto"/>
                <w:spacing w:val="1"/>
                <w:highlight w:val="none"/>
              </w:rPr>
              <w:t>c</w:t>
            </w:r>
            <w:r>
              <w:rPr>
                <w:rFonts w:hint="eastAsia"/>
                <w:color w:val="auto"/>
                <w:highlight w:val="none"/>
                <w:lang w:eastAsia="zh-CN"/>
              </w:rPr>
              <w:t>）</w:t>
            </w:r>
            <w:r>
              <w:rPr>
                <w:color w:val="auto"/>
                <w:highlight w:val="none"/>
              </w:rPr>
              <w:t>□</w:t>
            </w:r>
          </w:p>
          <w:p w14:paraId="0FD0E4ED">
            <w:pPr>
              <w:pStyle w:val="1358"/>
              <w:rPr>
                <w:color w:val="auto"/>
                <w:highlight w:val="none"/>
              </w:rPr>
            </w:pPr>
            <w:r>
              <w:rPr>
                <w:color w:val="auto"/>
                <w:highlight w:val="none"/>
              </w:rPr>
              <w:t>不达标结论：</w:t>
            </w:r>
            <w:r>
              <w:rPr>
                <w:color w:val="auto"/>
                <w:spacing w:val="-1"/>
                <w:highlight w:val="none"/>
              </w:rPr>
              <w:t>a</w:t>
            </w:r>
            <w:r>
              <w:rPr>
                <w:rFonts w:hint="eastAsia"/>
                <w:color w:val="auto"/>
                <w:highlight w:val="none"/>
                <w:lang w:eastAsia="zh-CN"/>
              </w:rPr>
              <w:t>）</w:t>
            </w:r>
            <w:r>
              <w:rPr>
                <w:color w:val="auto"/>
                <w:highlight w:val="none"/>
              </w:rPr>
              <w:t>□；</w:t>
            </w:r>
            <w:r>
              <w:rPr>
                <w:color w:val="auto"/>
                <w:spacing w:val="-2"/>
                <w:highlight w:val="none"/>
              </w:rPr>
              <w:t>b</w:t>
            </w:r>
            <w:r>
              <w:rPr>
                <w:rFonts w:hint="eastAsia"/>
                <w:color w:val="auto"/>
                <w:highlight w:val="none"/>
                <w:lang w:eastAsia="zh-CN"/>
              </w:rPr>
              <w:t>）</w:t>
            </w:r>
            <w:r>
              <w:rPr>
                <w:color w:val="auto"/>
                <w:highlight w:val="none"/>
              </w:rPr>
              <w:t>□</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55087D6A">
            <w:pPr>
              <w:pStyle w:val="1358"/>
              <w:rPr>
                <w:color w:val="auto"/>
                <w:highlight w:val="none"/>
              </w:rPr>
            </w:pPr>
          </w:p>
        </w:tc>
      </w:tr>
      <w:tr w14:paraId="69290590">
        <w:tblPrEx>
          <w:tblCellMar>
            <w:top w:w="0" w:type="dxa"/>
            <w:left w:w="0" w:type="dxa"/>
            <w:bottom w:w="0" w:type="dxa"/>
            <w:right w:w="0" w:type="dxa"/>
          </w:tblCellMar>
        </w:tblPrEx>
        <w:trPr>
          <w:jc w:val="center"/>
        </w:trPr>
        <w:tc>
          <w:tcPr>
            <w:tcW w:w="429" w:type="dxa"/>
            <w:vMerge w:val="restart"/>
            <w:tcBorders>
              <w:top w:val="single" w:color="000000" w:sz="4" w:space="0"/>
              <w:left w:val="single" w:color="auto" w:sz="12" w:space="0"/>
              <w:bottom w:val="single" w:color="000000" w:sz="4" w:space="0"/>
              <w:right w:val="single" w:color="000000" w:sz="4" w:space="0"/>
            </w:tcBorders>
            <w:noWrap w:val="0"/>
            <w:vAlign w:val="center"/>
          </w:tcPr>
          <w:p w14:paraId="4A6A2085">
            <w:pPr>
              <w:pStyle w:val="1358"/>
              <w:rPr>
                <w:color w:val="auto"/>
                <w:highlight w:val="none"/>
              </w:rPr>
            </w:pPr>
            <w:r>
              <w:rPr>
                <w:color w:val="auto"/>
                <w:highlight w:val="none"/>
              </w:rPr>
              <w:t>防 治 措 施</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65772695">
            <w:pPr>
              <w:pStyle w:val="1358"/>
              <w:rPr>
                <w:color w:val="auto"/>
                <w:highlight w:val="none"/>
              </w:rPr>
            </w:pPr>
            <w:r>
              <w:rPr>
                <w:color w:val="auto"/>
                <w:highlight w:val="none"/>
              </w:rPr>
              <w:t>防控措施</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4D873218">
            <w:pPr>
              <w:pStyle w:val="1358"/>
              <w:rPr>
                <w:rFonts w:hint="eastAsia" w:eastAsia="宋体"/>
                <w:color w:val="auto"/>
                <w:highlight w:val="none"/>
                <w:lang w:eastAsia="zh-CN"/>
              </w:rPr>
            </w:pPr>
            <w:r>
              <w:rPr>
                <w:color w:val="auto"/>
                <w:highlight w:val="none"/>
              </w:rPr>
              <w:t>土壤环境质量现状保障</w:t>
            </w:r>
            <w:r>
              <w:rPr>
                <w:rFonts w:hint="eastAsia"/>
                <w:color w:val="auto"/>
                <w:highlight w:val="none"/>
                <w:lang w:eastAsia="zh-CN"/>
              </w:rPr>
              <w:t>（</w:t>
            </w:r>
            <w:r>
              <w:rPr>
                <w:color w:val="auto"/>
                <w:highlight w:val="none"/>
              </w:rPr>
              <w:t>；源头控制</w:t>
            </w:r>
            <w:r>
              <w:rPr>
                <w:rFonts w:hint="eastAsia"/>
                <w:color w:val="auto"/>
                <w:highlight w:val="none"/>
                <w:lang w:eastAsia="zh-CN"/>
              </w:rPr>
              <w:t>（</w:t>
            </w:r>
            <w:r>
              <w:rPr>
                <w:color w:val="auto"/>
                <w:highlight w:val="none"/>
              </w:rPr>
              <w:t>；过程防控</w:t>
            </w:r>
            <w:r>
              <w:rPr>
                <w:rFonts w:hint="eastAsia"/>
                <w:color w:val="auto"/>
                <w:highlight w:val="none"/>
                <w:lang w:eastAsia="zh-CN"/>
              </w:rPr>
              <w:t>（</w:t>
            </w:r>
            <w:r>
              <w:rPr>
                <w:color w:val="auto"/>
                <w:highlight w:val="none"/>
              </w:rPr>
              <w:t>；其他</w:t>
            </w:r>
            <w:r>
              <w:rPr>
                <w:rFonts w:hint="eastAsia"/>
                <w:color w:val="auto"/>
                <w:highlight w:val="none"/>
                <w:lang w:eastAsia="zh-CN"/>
              </w:rPr>
              <w:t>（</w:t>
            </w:r>
            <w:r>
              <w:rPr>
                <w:color w:val="auto"/>
                <w:highlight w:val="none"/>
              </w:rPr>
              <w:tab/>
            </w:r>
            <w:r>
              <w:rPr>
                <w:rFonts w:hint="eastAsia"/>
                <w:color w:val="auto"/>
                <w:highlight w:val="none"/>
                <w:lang w:eastAsia="zh-CN"/>
              </w:rPr>
              <w:t>）</w:t>
            </w:r>
          </w:p>
        </w:tc>
        <w:tc>
          <w:tcPr>
            <w:tcW w:w="545" w:type="dxa"/>
            <w:tcBorders>
              <w:top w:val="single" w:color="000000" w:sz="4" w:space="0"/>
              <w:left w:val="single" w:color="000000" w:sz="4" w:space="0"/>
              <w:bottom w:val="single" w:color="000000" w:sz="4" w:space="0"/>
              <w:right w:val="single" w:color="auto" w:sz="12" w:space="0"/>
            </w:tcBorders>
            <w:noWrap w:val="0"/>
            <w:vAlign w:val="top"/>
          </w:tcPr>
          <w:p w14:paraId="668A1555">
            <w:pPr>
              <w:pStyle w:val="1358"/>
              <w:rPr>
                <w:color w:val="auto"/>
                <w:highlight w:val="none"/>
              </w:rPr>
            </w:pPr>
          </w:p>
        </w:tc>
      </w:tr>
      <w:tr w14:paraId="75CC17D8">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2DBB4D43">
            <w:pPr>
              <w:pStyle w:val="1358"/>
              <w:rPr>
                <w:color w:val="auto"/>
                <w:highlight w:val="none"/>
              </w:rPr>
            </w:pPr>
          </w:p>
        </w:tc>
        <w:tc>
          <w:tcPr>
            <w:tcW w:w="147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45575">
            <w:pPr>
              <w:pStyle w:val="1358"/>
              <w:rPr>
                <w:color w:val="auto"/>
                <w:highlight w:val="none"/>
              </w:rPr>
            </w:pPr>
            <w:r>
              <w:rPr>
                <w:color w:val="auto"/>
                <w:highlight w:val="none"/>
              </w:rPr>
              <w:t>跟踪监测</w:t>
            </w:r>
          </w:p>
        </w:tc>
        <w:tc>
          <w:tcPr>
            <w:tcW w:w="1697" w:type="dxa"/>
            <w:gridSpan w:val="2"/>
            <w:tcBorders>
              <w:top w:val="single" w:color="000000" w:sz="4" w:space="0"/>
              <w:left w:val="single" w:color="000000" w:sz="4" w:space="0"/>
              <w:bottom w:val="single" w:color="000000" w:sz="4" w:space="0"/>
              <w:right w:val="single" w:color="000000" w:sz="4" w:space="0"/>
            </w:tcBorders>
            <w:noWrap w:val="0"/>
            <w:vAlign w:val="center"/>
          </w:tcPr>
          <w:p w14:paraId="46466019">
            <w:pPr>
              <w:pStyle w:val="1358"/>
              <w:rPr>
                <w:color w:val="auto"/>
                <w:highlight w:val="none"/>
              </w:rPr>
            </w:pPr>
            <w:r>
              <w:rPr>
                <w:color w:val="auto"/>
                <w:highlight w:val="none"/>
              </w:rPr>
              <w:t>监测点数</w:t>
            </w:r>
          </w:p>
        </w:tc>
        <w:tc>
          <w:tcPr>
            <w:tcW w:w="3397" w:type="dxa"/>
            <w:gridSpan w:val="3"/>
            <w:tcBorders>
              <w:top w:val="single" w:color="000000" w:sz="4" w:space="0"/>
              <w:left w:val="single" w:color="000000" w:sz="4" w:space="0"/>
              <w:bottom w:val="single" w:color="000000" w:sz="4" w:space="0"/>
              <w:right w:val="single" w:color="000000" w:sz="4" w:space="0"/>
            </w:tcBorders>
            <w:noWrap w:val="0"/>
            <w:vAlign w:val="center"/>
          </w:tcPr>
          <w:p w14:paraId="7A819542">
            <w:pPr>
              <w:pStyle w:val="1358"/>
              <w:rPr>
                <w:color w:val="auto"/>
                <w:highlight w:val="none"/>
              </w:rPr>
            </w:pPr>
            <w:r>
              <w:rPr>
                <w:color w:val="auto"/>
                <w:highlight w:val="none"/>
              </w:rPr>
              <w:t>监测指标</w:t>
            </w:r>
          </w:p>
        </w:tc>
        <w:tc>
          <w:tcPr>
            <w:tcW w:w="1776" w:type="dxa"/>
            <w:tcBorders>
              <w:top w:val="single" w:color="000000" w:sz="4" w:space="0"/>
              <w:left w:val="single" w:color="000000" w:sz="4" w:space="0"/>
              <w:bottom w:val="single" w:color="000000" w:sz="4" w:space="0"/>
              <w:right w:val="single" w:color="000000" w:sz="4" w:space="0"/>
            </w:tcBorders>
            <w:noWrap w:val="0"/>
            <w:vAlign w:val="center"/>
          </w:tcPr>
          <w:p w14:paraId="58E29D0C">
            <w:pPr>
              <w:pStyle w:val="1358"/>
              <w:rPr>
                <w:color w:val="auto"/>
                <w:highlight w:val="none"/>
              </w:rPr>
            </w:pPr>
            <w:r>
              <w:rPr>
                <w:color w:val="auto"/>
                <w:highlight w:val="none"/>
              </w:rPr>
              <w:t>监测频次</w:t>
            </w:r>
          </w:p>
        </w:tc>
        <w:tc>
          <w:tcPr>
            <w:tcW w:w="545" w:type="dxa"/>
            <w:vMerge w:val="restart"/>
            <w:tcBorders>
              <w:top w:val="single" w:color="000000" w:sz="4" w:space="0"/>
              <w:left w:val="single" w:color="000000" w:sz="4" w:space="0"/>
              <w:bottom w:val="single" w:color="000000" w:sz="4" w:space="0"/>
              <w:right w:val="single" w:color="auto" w:sz="12" w:space="0"/>
            </w:tcBorders>
            <w:noWrap w:val="0"/>
            <w:vAlign w:val="top"/>
          </w:tcPr>
          <w:p w14:paraId="61457791">
            <w:pPr>
              <w:pStyle w:val="1358"/>
              <w:rPr>
                <w:color w:val="auto"/>
                <w:highlight w:val="none"/>
              </w:rPr>
            </w:pPr>
          </w:p>
        </w:tc>
      </w:tr>
      <w:tr w14:paraId="240E3810">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6C867905">
            <w:pPr>
              <w:pStyle w:val="1358"/>
              <w:rPr>
                <w:color w:val="auto"/>
                <w:highlight w:val="none"/>
              </w:rPr>
            </w:pPr>
          </w:p>
        </w:tc>
        <w:tc>
          <w:tcPr>
            <w:tcW w:w="14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AC6DE">
            <w:pPr>
              <w:pStyle w:val="1358"/>
              <w:rPr>
                <w:color w:val="auto"/>
                <w:highlight w:val="none"/>
              </w:rPr>
            </w:pPr>
          </w:p>
        </w:tc>
        <w:tc>
          <w:tcPr>
            <w:tcW w:w="1697" w:type="dxa"/>
            <w:gridSpan w:val="2"/>
            <w:tcBorders>
              <w:top w:val="single" w:color="000000" w:sz="4" w:space="0"/>
              <w:left w:val="single" w:color="000000" w:sz="4" w:space="0"/>
              <w:bottom w:val="single" w:color="000000" w:sz="4" w:space="0"/>
              <w:right w:val="single" w:color="000000" w:sz="4" w:space="0"/>
            </w:tcBorders>
            <w:noWrap w:val="0"/>
            <w:vAlign w:val="center"/>
          </w:tcPr>
          <w:p w14:paraId="08747D26">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在污水池等重点影响区附近设1个点</w:t>
            </w:r>
          </w:p>
        </w:tc>
        <w:tc>
          <w:tcPr>
            <w:tcW w:w="3397" w:type="dxa"/>
            <w:gridSpan w:val="3"/>
            <w:tcBorders>
              <w:top w:val="single" w:color="000000" w:sz="4" w:space="0"/>
              <w:left w:val="single" w:color="000000" w:sz="4" w:space="0"/>
              <w:bottom w:val="single" w:color="000000" w:sz="4" w:space="0"/>
              <w:right w:val="single" w:color="000000" w:sz="4" w:space="0"/>
            </w:tcBorders>
            <w:noWrap w:val="0"/>
            <w:vAlign w:val="center"/>
          </w:tcPr>
          <w:p w14:paraId="54C4038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石油烃</w:t>
            </w:r>
          </w:p>
        </w:tc>
        <w:tc>
          <w:tcPr>
            <w:tcW w:w="1776" w:type="dxa"/>
            <w:tcBorders>
              <w:top w:val="single" w:color="000000" w:sz="4" w:space="0"/>
              <w:left w:val="single" w:color="000000" w:sz="4" w:space="0"/>
              <w:bottom w:val="single" w:color="000000" w:sz="4" w:space="0"/>
              <w:right w:val="single" w:color="000000" w:sz="4" w:space="0"/>
            </w:tcBorders>
            <w:noWrap w:val="0"/>
            <w:vAlign w:val="center"/>
          </w:tcPr>
          <w:p w14:paraId="5102D2A8">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表层土壤：1次</w:t>
            </w:r>
            <w:r>
              <w:rPr>
                <w:rFonts w:hint="default" w:ascii="Times New Roman" w:hAnsi="Times New Roman" w:eastAsia="宋体" w:cs="Times New Roman"/>
                <w:color w:val="auto"/>
                <w:highlight w:val="none"/>
                <w:lang w:val="en-US" w:eastAsia="zh-CN"/>
              </w:rPr>
              <w:t>/</w:t>
            </w:r>
          </w:p>
          <w:p w14:paraId="03D75D70">
            <w:pPr>
              <w:pStyle w:val="1358"/>
              <w:rPr>
                <w:color w:val="auto"/>
                <w:highlight w:val="none"/>
              </w:rPr>
            </w:pPr>
            <w:r>
              <w:rPr>
                <w:rFonts w:hint="eastAsia" w:ascii="Times New Roman" w:hAnsi="Times New Roman" w:eastAsia="宋体" w:cs="Times New Roman"/>
                <w:color w:val="auto"/>
                <w:highlight w:val="none"/>
                <w:lang w:val="en-US" w:eastAsia="zh-CN"/>
              </w:rPr>
              <w:t>年；深层土壤：</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次</w:t>
            </w:r>
            <w:r>
              <w:rPr>
                <w:rFonts w:hint="default"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年</w:t>
            </w:r>
          </w:p>
        </w:tc>
        <w:tc>
          <w:tcPr>
            <w:tcW w:w="545" w:type="dxa"/>
            <w:vMerge w:val="continue"/>
            <w:tcBorders>
              <w:top w:val="single" w:color="000000" w:sz="4" w:space="0"/>
              <w:left w:val="single" w:color="000000" w:sz="4" w:space="0"/>
              <w:bottom w:val="single" w:color="000000" w:sz="4" w:space="0"/>
              <w:right w:val="single" w:color="auto" w:sz="12" w:space="0"/>
            </w:tcBorders>
            <w:noWrap w:val="0"/>
            <w:vAlign w:val="top"/>
          </w:tcPr>
          <w:p w14:paraId="2D45580E">
            <w:pPr>
              <w:pStyle w:val="1358"/>
              <w:rPr>
                <w:color w:val="auto"/>
                <w:highlight w:val="none"/>
              </w:rPr>
            </w:pPr>
          </w:p>
        </w:tc>
      </w:tr>
      <w:tr w14:paraId="3B359642">
        <w:tblPrEx>
          <w:tblCellMar>
            <w:top w:w="0" w:type="dxa"/>
            <w:left w:w="0" w:type="dxa"/>
            <w:bottom w:w="0" w:type="dxa"/>
            <w:right w:w="0" w:type="dxa"/>
          </w:tblCellMar>
        </w:tblPrEx>
        <w:trPr>
          <w:jc w:val="center"/>
        </w:trPr>
        <w:tc>
          <w:tcPr>
            <w:tcW w:w="429" w:type="dxa"/>
            <w:vMerge w:val="continue"/>
            <w:tcBorders>
              <w:top w:val="single" w:color="000000" w:sz="4" w:space="0"/>
              <w:left w:val="single" w:color="auto" w:sz="12" w:space="0"/>
              <w:bottom w:val="single" w:color="000000" w:sz="4" w:space="0"/>
              <w:right w:val="single" w:color="000000" w:sz="4" w:space="0"/>
            </w:tcBorders>
            <w:noWrap w:val="0"/>
            <w:vAlign w:val="center"/>
          </w:tcPr>
          <w:p w14:paraId="7FE9747B">
            <w:pPr>
              <w:pStyle w:val="1358"/>
              <w:rPr>
                <w:color w:val="auto"/>
                <w:highlight w:val="none"/>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3502BF8E">
            <w:pPr>
              <w:pStyle w:val="1358"/>
              <w:rPr>
                <w:color w:val="auto"/>
                <w:highlight w:val="none"/>
              </w:rPr>
            </w:pPr>
            <w:r>
              <w:rPr>
                <w:color w:val="auto"/>
                <w:highlight w:val="none"/>
              </w:rPr>
              <w:t>信息公开指标</w:t>
            </w:r>
          </w:p>
        </w:tc>
        <w:tc>
          <w:tcPr>
            <w:tcW w:w="6870" w:type="dxa"/>
            <w:gridSpan w:val="6"/>
            <w:tcBorders>
              <w:top w:val="single" w:color="000000" w:sz="4" w:space="0"/>
              <w:left w:val="single" w:color="000000" w:sz="4" w:space="0"/>
              <w:bottom w:val="single" w:color="000000" w:sz="4" w:space="0"/>
              <w:right w:val="single" w:color="000000" w:sz="4" w:space="0"/>
            </w:tcBorders>
            <w:noWrap w:val="0"/>
            <w:vAlign w:val="center"/>
          </w:tcPr>
          <w:p w14:paraId="5FF84196">
            <w:pPr>
              <w:pStyle w:val="1358"/>
              <w:rPr>
                <w:color w:val="auto"/>
                <w:highlight w:val="none"/>
              </w:rPr>
            </w:pPr>
            <w:r>
              <w:rPr>
                <w:color w:val="auto"/>
                <w:highlight w:val="none"/>
              </w:rPr>
              <w:t>跟踪监测报告</w:t>
            </w:r>
          </w:p>
        </w:tc>
        <w:tc>
          <w:tcPr>
            <w:tcW w:w="545" w:type="dxa"/>
            <w:vMerge w:val="continue"/>
            <w:tcBorders>
              <w:top w:val="single" w:color="000000" w:sz="4" w:space="0"/>
              <w:left w:val="single" w:color="000000" w:sz="4" w:space="0"/>
              <w:bottom w:val="single" w:color="000000" w:sz="4" w:space="0"/>
              <w:right w:val="single" w:color="auto" w:sz="12" w:space="0"/>
            </w:tcBorders>
            <w:noWrap w:val="0"/>
            <w:vAlign w:val="top"/>
          </w:tcPr>
          <w:p w14:paraId="73F2B8B4">
            <w:pPr>
              <w:pStyle w:val="1358"/>
              <w:rPr>
                <w:color w:val="auto"/>
                <w:highlight w:val="none"/>
              </w:rPr>
            </w:pPr>
          </w:p>
        </w:tc>
      </w:tr>
      <w:tr w14:paraId="4E264C26">
        <w:tblPrEx>
          <w:tblCellMar>
            <w:top w:w="0" w:type="dxa"/>
            <w:left w:w="0" w:type="dxa"/>
            <w:bottom w:w="0" w:type="dxa"/>
            <w:right w:w="0" w:type="dxa"/>
          </w:tblCellMar>
        </w:tblPrEx>
        <w:trPr>
          <w:jc w:val="center"/>
        </w:trPr>
        <w:tc>
          <w:tcPr>
            <w:tcW w:w="1899" w:type="dxa"/>
            <w:gridSpan w:val="2"/>
            <w:tcBorders>
              <w:top w:val="single" w:color="000000" w:sz="4" w:space="0"/>
              <w:left w:val="single" w:color="auto" w:sz="12" w:space="0"/>
              <w:bottom w:val="single" w:color="000000" w:sz="6" w:space="0"/>
              <w:right w:val="single" w:color="000000" w:sz="4" w:space="0"/>
            </w:tcBorders>
            <w:noWrap w:val="0"/>
            <w:vAlign w:val="center"/>
          </w:tcPr>
          <w:p w14:paraId="0FA621F9">
            <w:pPr>
              <w:pStyle w:val="1358"/>
              <w:rPr>
                <w:color w:val="auto"/>
                <w:highlight w:val="none"/>
              </w:rPr>
            </w:pPr>
            <w:r>
              <w:rPr>
                <w:color w:val="auto"/>
                <w:highlight w:val="none"/>
              </w:rPr>
              <w:t>评价结论</w:t>
            </w:r>
          </w:p>
        </w:tc>
        <w:tc>
          <w:tcPr>
            <w:tcW w:w="6870" w:type="dxa"/>
            <w:gridSpan w:val="6"/>
            <w:tcBorders>
              <w:top w:val="single" w:color="000000" w:sz="4" w:space="0"/>
              <w:left w:val="single" w:color="000000" w:sz="4" w:space="0"/>
              <w:bottom w:val="single" w:color="000000" w:sz="6" w:space="0"/>
              <w:right w:val="single" w:color="000000" w:sz="4" w:space="0"/>
            </w:tcBorders>
            <w:noWrap w:val="0"/>
            <w:vAlign w:val="center"/>
          </w:tcPr>
          <w:p w14:paraId="6A5A4A2E">
            <w:pPr>
              <w:pStyle w:val="1358"/>
              <w:rPr>
                <w:color w:val="auto"/>
                <w:highlight w:val="none"/>
              </w:rPr>
            </w:pPr>
            <w:r>
              <w:rPr>
                <w:color w:val="auto"/>
                <w:kern w:val="0"/>
                <w:szCs w:val="21"/>
                <w:highlight w:val="none"/>
              </w:rPr>
              <w:t>土壤环境影响可接受</w:t>
            </w:r>
          </w:p>
        </w:tc>
        <w:tc>
          <w:tcPr>
            <w:tcW w:w="545" w:type="dxa"/>
            <w:tcBorders>
              <w:top w:val="single" w:color="000000" w:sz="4" w:space="0"/>
              <w:left w:val="single" w:color="000000" w:sz="4" w:space="0"/>
              <w:bottom w:val="single" w:color="000000" w:sz="6" w:space="0"/>
              <w:right w:val="single" w:color="auto" w:sz="12" w:space="0"/>
            </w:tcBorders>
            <w:noWrap w:val="0"/>
            <w:vAlign w:val="top"/>
          </w:tcPr>
          <w:p w14:paraId="74F19092">
            <w:pPr>
              <w:pStyle w:val="1358"/>
              <w:rPr>
                <w:color w:val="auto"/>
                <w:highlight w:val="none"/>
              </w:rPr>
            </w:pPr>
          </w:p>
        </w:tc>
      </w:tr>
    </w:tbl>
    <w:p w14:paraId="2D8DCEF3">
      <w:pPr>
        <w:pStyle w:val="2"/>
        <w:numPr>
          <w:ilvl w:val="0"/>
          <w:numId w:val="0"/>
        </w:numPr>
        <w:bidi w:val="0"/>
        <w:ind w:leftChars="0"/>
        <w:rPr>
          <w:rFonts w:hint="eastAsia"/>
          <w:color w:val="auto"/>
          <w:highlight w:val="none"/>
          <w:lang w:val="en-US" w:eastAsia="zh-CN"/>
        </w:rPr>
        <w:sectPr>
          <w:pgSz w:w="11905" w:h="16838"/>
          <w:pgMar w:top="1587" w:right="1417" w:bottom="1417" w:left="1701" w:header="850" w:footer="992" w:gutter="0"/>
          <w:pgBorders w:offsetFrom="page">
            <w:top w:val="none" w:sz="0" w:space="0"/>
            <w:left w:val="none" w:sz="0" w:space="0"/>
            <w:bottom w:val="none" w:sz="0" w:space="0"/>
            <w:right w:val="none" w:sz="0" w:space="0"/>
          </w:pgBorders>
          <w:pgNumType w:fmt="decimal"/>
          <w:cols w:space="720" w:num="1"/>
          <w:rtlGutter w:val="0"/>
          <w:docGrid w:linePitch="314" w:charSpace="0"/>
        </w:sectPr>
      </w:pPr>
    </w:p>
    <w:p w14:paraId="6E790B78">
      <w:pPr>
        <w:pStyle w:val="3"/>
        <w:numPr>
          <w:ilvl w:val="1"/>
          <w:numId w:val="0"/>
        </w:numPr>
        <w:bidi w:val="0"/>
        <w:rPr>
          <w:color w:val="auto"/>
          <w:highlight w:val="none"/>
        </w:rPr>
      </w:pPr>
      <w:bookmarkStart w:id="533" w:name="_Toc1286"/>
      <w:r>
        <w:rPr>
          <w:color w:val="auto"/>
          <w:highlight w:val="none"/>
        </w:rPr>
        <w:t>5.</w:t>
      </w:r>
      <w:r>
        <w:rPr>
          <w:rFonts w:hint="eastAsia"/>
          <w:color w:val="auto"/>
          <w:highlight w:val="none"/>
          <w:lang w:val="en-US" w:eastAsia="zh-CN"/>
        </w:rPr>
        <w:t xml:space="preserve">7 </w:t>
      </w:r>
      <w:r>
        <w:rPr>
          <w:color w:val="auto"/>
          <w:highlight w:val="none"/>
        </w:rPr>
        <w:t>运营期地下水环境影响分析</w:t>
      </w:r>
      <w:bookmarkEnd w:id="529"/>
      <w:bookmarkEnd w:id="533"/>
    </w:p>
    <w:p w14:paraId="6D02B6DA">
      <w:pPr>
        <w:pStyle w:val="4"/>
        <w:numPr>
          <w:ilvl w:val="2"/>
          <w:numId w:val="0"/>
        </w:numPr>
        <w:tabs>
          <w:tab w:val="clear" w:pos="720"/>
        </w:tabs>
        <w:bidi w:val="0"/>
        <w:rPr>
          <w:color w:val="auto"/>
          <w:highlight w:val="none"/>
        </w:rPr>
      </w:pPr>
      <w:bookmarkStart w:id="534" w:name="_Toc10787"/>
      <w:r>
        <w:rPr>
          <w:color w:val="auto"/>
          <w:highlight w:val="none"/>
        </w:rPr>
        <w:t>5.</w:t>
      </w:r>
      <w:r>
        <w:rPr>
          <w:rFonts w:hint="eastAsia"/>
          <w:color w:val="auto"/>
          <w:highlight w:val="none"/>
          <w:lang w:val="en-US" w:eastAsia="zh-CN"/>
        </w:rPr>
        <w:t>7</w:t>
      </w:r>
      <w:r>
        <w:rPr>
          <w:color w:val="auto"/>
          <w:highlight w:val="none"/>
        </w:rPr>
        <w:t>.1</w:t>
      </w:r>
      <w:r>
        <w:rPr>
          <w:rFonts w:hint="eastAsia"/>
          <w:color w:val="auto"/>
          <w:highlight w:val="none"/>
          <w:lang w:val="en-US" w:eastAsia="zh-CN"/>
        </w:rPr>
        <w:t xml:space="preserve"> </w:t>
      </w:r>
      <w:r>
        <w:rPr>
          <w:color w:val="auto"/>
          <w:highlight w:val="none"/>
        </w:rPr>
        <w:t>区域水文地质条件</w:t>
      </w:r>
      <w:bookmarkEnd w:id="534"/>
    </w:p>
    <w:p w14:paraId="493D6FFE">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1</w:t>
      </w:r>
      <w:r>
        <w:rPr>
          <w:rFonts w:hint="eastAsia"/>
          <w:color w:val="auto"/>
          <w:highlight w:val="none"/>
          <w:lang w:eastAsia="zh-CN"/>
        </w:rPr>
        <w:t>）</w:t>
      </w:r>
      <w:r>
        <w:rPr>
          <w:rFonts w:hint="eastAsia"/>
          <w:color w:val="auto"/>
          <w:highlight w:val="none"/>
        </w:rPr>
        <w:t>场地地形地貌特征</w:t>
      </w:r>
    </w:p>
    <w:p w14:paraId="4F25E81A">
      <w:pPr>
        <w:pStyle w:val="1336"/>
        <w:ind w:firstLine="480"/>
        <w:rPr>
          <w:rFonts w:hint="eastAsia"/>
          <w:color w:val="auto"/>
          <w:highlight w:val="none"/>
        </w:rPr>
      </w:pPr>
      <w:r>
        <w:rPr>
          <w:rFonts w:hint="eastAsia"/>
          <w:color w:val="auto"/>
          <w:highlight w:val="none"/>
        </w:rPr>
        <w:t>闽侯县位于福建省东南沿海，闽江贯穿其中。江北的山地属鹫峰山的东伸支脉，江南山地属戴云山北延山麓，区内地形以丘陵为主，部分为闽江河流阶地，高程一般在10</w:t>
      </w:r>
      <w:r>
        <w:rPr>
          <w:rFonts w:hint="eastAsia"/>
          <w:color w:val="auto"/>
          <w:highlight w:val="none"/>
          <w:lang w:eastAsia="zh-CN"/>
        </w:rPr>
        <w:t>—</w:t>
      </w:r>
      <w:r>
        <w:rPr>
          <w:rFonts w:hint="eastAsia"/>
          <w:color w:val="auto"/>
          <w:highlight w:val="none"/>
        </w:rPr>
        <w:t>500m之间。</w:t>
      </w:r>
    </w:p>
    <w:p w14:paraId="7555912C">
      <w:pPr>
        <w:pStyle w:val="1336"/>
        <w:ind w:firstLine="480"/>
        <w:rPr>
          <w:rFonts w:hint="eastAsia"/>
          <w:color w:val="auto"/>
          <w:highlight w:val="none"/>
        </w:rPr>
      </w:pPr>
      <w:r>
        <w:rPr>
          <w:rFonts w:hint="eastAsia"/>
          <w:color w:val="auto"/>
          <w:highlight w:val="none"/>
        </w:rPr>
        <w:t>项目所在区域地貌主要为丘陵、冲洪积阶地。区内地势总体自南向北、东向西倾斜，丘陵高程多在50—150m。项目场地处于丘陵山前地带，山间冲洪积阶地分布于河流两侧，地势相对平坦，高程多在10—50m。</w:t>
      </w:r>
    </w:p>
    <w:p w14:paraId="58A429A3">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2</w:t>
      </w:r>
      <w:r>
        <w:rPr>
          <w:rFonts w:hint="eastAsia"/>
          <w:color w:val="auto"/>
          <w:highlight w:val="none"/>
          <w:lang w:eastAsia="zh-CN"/>
        </w:rPr>
        <w:t>）</w:t>
      </w:r>
      <w:r>
        <w:rPr>
          <w:rFonts w:hint="eastAsia"/>
          <w:color w:val="auto"/>
          <w:highlight w:val="none"/>
        </w:rPr>
        <w:t>场地岩土层的基本特征</w:t>
      </w:r>
    </w:p>
    <w:p w14:paraId="6EC5E55C">
      <w:pPr>
        <w:pStyle w:val="1336"/>
        <w:ind w:firstLine="480"/>
        <w:rPr>
          <w:rFonts w:hint="eastAsia"/>
          <w:color w:val="auto"/>
          <w:highlight w:val="none"/>
        </w:rPr>
      </w:pPr>
      <w:r>
        <w:rPr>
          <w:rFonts w:hint="eastAsia"/>
          <w:color w:val="auto"/>
          <w:highlight w:val="none"/>
        </w:rPr>
        <w:t>厂区及周边分布的地层为第四系更新统残坡积砂质粘性土</w:t>
      </w:r>
      <w:r>
        <w:rPr>
          <w:rFonts w:hint="eastAsia"/>
          <w:color w:val="auto"/>
          <w:highlight w:val="none"/>
          <w:lang w:eastAsia="zh-CN"/>
        </w:rPr>
        <w:t>（</w:t>
      </w:r>
      <w:r>
        <w:rPr>
          <w:rFonts w:hint="eastAsia"/>
          <w:color w:val="auto"/>
          <w:highlight w:val="none"/>
        </w:rPr>
        <w:t>Qpel-d</w:t>
      </w:r>
      <w:r>
        <w:rPr>
          <w:rFonts w:hint="eastAsia"/>
          <w:color w:val="auto"/>
          <w:highlight w:val="none"/>
          <w:lang w:eastAsia="zh-CN"/>
        </w:rPr>
        <w:t>）</w:t>
      </w:r>
      <w:r>
        <w:rPr>
          <w:rFonts w:hint="eastAsia"/>
          <w:color w:val="auto"/>
          <w:highlight w:val="none"/>
        </w:rPr>
        <w:t>、侏罗系上统南园组</w:t>
      </w:r>
      <w:r>
        <w:rPr>
          <w:rFonts w:hint="eastAsia"/>
          <w:color w:val="auto"/>
          <w:highlight w:val="none"/>
          <w:lang w:eastAsia="zh-CN"/>
        </w:rPr>
        <w:t>（</w:t>
      </w:r>
      <w:r>
        <w:rPr>
          <w:rFonts w:hint="eastAsia"/>
          <w:color w:val="auto"/>
          <w:highlight w:val="none"/>
        </w:rPr>
        <w:t>J3n</w:t>
      </w:r>
      <w:r>
        <w:rPr>
          <w:rFonts w:hint="eastAsia"/>
          <w:color w:val="auto"/>
          <w:highlight w:val="none"/>
          <w:lang w:eastAsia="zh-CN"/>
        </w:rPr>
        <w:t>）</w:t>
      </w:r>
      <w:r>
        <w:rPr>
          <w:rFonts w:hint="eastAsia"/>
          <w:color w:val="auto"/>
          <w:highlight w:val="none"/>
        </w:rPr>
        <w:t>及其风化层。厂区及周边分布岩土体特征自上而下为：</w:t>
      </w:r>
    </w:p>
    <w:p w14:paraId="1BA343E9">
      <w:pPr>
        <w:pStyle w:val="1336"/>
        <w:ind w:firstLine="480"/>
        <w:rPr>
          <w:rFonts w:hint="eastAsia"/>
          <w:color w:val="auto"/>
          <w:highlight w:val="none"/>
        </w:rPr>
      </w:pPr>
      <w:r>
        <w:rPr>
          <w:rFonts w:hint="eastAsia"/>
          <w:color w:val="auto"/>
          <w:highlight w:val="none"/>
        </w:rPr>
        <w:t>①残坡积砂质粘性土</w:t>
      </w:r>
      <w:r>
        <w:rPr>
          <w:rFonts w:hint="eastAsia"/>
          <w:color w:val="auto"/>
          <w:highlight w:val="none"/>
          <w:lang w:eastAsia="zh-CN"/>
        </w:rPr>
        <w:t>（</w:t>
      </w:r>
      <w:r>
        <w:rPr>
          <w:rFonts w:hint="eastAsia"/>
          <w:color w:val="auto"/>
          <w:highlight w:val="none"/>
        </w:rPr>
        <w:t>Qpel-dl</w:t>
      </w:r>
      <w:r>
        <w:rPr>
          <w:rFonts w:hint="eastAsia"/>
          <w:color w:val="auto"/>
          <w:highlight w:val="none"/>
          <w:lang w:eastAsia="zh-CN"/>
        </w:rPr>
        <w:t>）：</w:t>
      </w:r>
      <w:r>
        <w:rPr>
          <w:rFonts w:hint="eastAsia"/>
          <w:color w:val="auto"/>
          <w:highlight w:val="none"/>
        </w:rPr>
        <w:t>黄褐、黄棕色，可~硬塑，成分主要为粉、粘粒。本层主要分布于原山坡地表，厚约1—3m不等。</w:t>
      </w:r>
    </w:p>
    <w:p w14:paraId="66C60FD4">
      <w:pPr>
        <w:pStyle w:val="1336"/>
        <w:ind w:firstLine="480"/>
        <w:rPr>
          <w:rFonts w:hint="eastAsia"/>
          <w:color w:val="auto"/>
          <w:highlight w:val="none"/>
        </w:rPr>
      </w:pPr>
      <w:r>
        <w:rPr>
          <w:rFonts w:hint="eastAsia"/>
          <w:color w:val="auto"/>
          <w:highlight w:val="none"/>
        </w:rPr>
        <w:t>②砂土状强风化凝灰岩</w:t>
      </w:r>
      <w:r>
        <w:rPr>
          <w:rFonts w:hint="eastAsia"/>
          <w:color w:val="auto"/>
          <w:highlight w:val="none"/>
          <w:lang w:eastAsia="zh-CN"/>
        </w:rPr>
        <w:t>（</w:t>
      </w:r>
      <w:r>
        <w:rPr>
          <w:rFonts w:hint="eastAsia"/>
          <w:color w:val="auto"/>
          <w:highlight w:val="none"/>
        </w:rPr>
        <w:t>J3n</w:t>
      </w:r>
      <w:r>
        <w:rPr>
          <w:rFonts w:hint="eastAsia"/>
          <w:color w:val="auto"/>
          <w:highlight w:val="none"/>
          <w:lang w:eastAsia="zh-CN"/>
        </w:rPr>
        <w:t>）：</w:t>
      </w:r>
      <w:r>
        <w:rPr>
          <w:rFonts w:hint="eastAsia"/>
          <w:color w:val="auto"/>
          <w:highlight w:val="none"/>
        </w:rPr>
        <w:t>灰黄、褐黄色，散体状构造，岩芯呈砂土状，可辨原岩结构，手搓易散，浸水易软化、崩解。原岩矿物大部分已风化呈粉、粘土状。岩体极破碎，为极软岩，岩体基本质量等级为V级。本层在场地内均有分布，本次监测井揭露厚度达25m。本层为风化孔隙裂隙含水层。</w:t>
      </w:r>
    </w:p>
    <w:p w14:paraId="4E104A99">
      <w:pPr>
        <w:pStyle w:val="1336"/>
        <w:ind w:firstLine="480"/>
        <w:rPr>
          <w:rFonts w:hint="eastAsia"/>
          <w:color w:val="auto"/>
          <w:highlight w:val="none"/>
        </w:rPr>
      </w:pPr>
      <w:r>
        <w:rPr>
          <w:rFonts w:hint="eastAsia"/>
          <w:color w:val="auto"/>
          <w:highlight w:val="none"/>
        </w:rPr>
        <w:t>③碎块状强风化凝灰岩</w:t>
      </w:r>
      <w:r>
        <w:rPr>
          <w:rFonts w:hint="eastAsia"/>
          <w:color w:val="auto"/>
          <w:highlight w:val="none"/>
          <w:lang w:eastAsia="zh-CN"/>
        </w:rPr>
        <w:t>（</w:t>
      </w:r>
      <w:r>
        <w:rPr>
          <w:rFonts w:hint="eastAsia"/>
          <w:color w:val="auto"/>
          <w:highlight w:val="none"/>
        </w:rPr>
        <w:t>J3n</w:t>
      </w:r>
      <w:r>
        <w:rPr>
          <w:rFonts w:hint="eastAsia"/>
          <w:color w:val="auto"/>
          <w:highlight w:val="none"/>
          <w:lang w:eastAsia="zh-CN"/>
        </w:rPr>
        <w:t>）：</w:t>
      </w:r>
      <w:r>
        <w:rPr>
          <w:rFonts w:hint="eastAsia"/>
          <w:color w:val="auto"/>
          <w:highlight w:val="none"/>
        </w:rPr>
        <w:t>浅灰、灰黄色，碎裂状构造，原岩凝灰结构清晰可见，风化节理裂隙极发育，岩体极破碎，属极软岩，岩体基本质量等级为V级。本层厚约1—10m不等。本层为风化孔隙裂隙含水层。</w:t>
      </w:r>
    </w:p>
    <w:p w14:paraId="52203871">
      <w:pPr>
        <w:pStyle w:val="1336"/>
        <w:ind w:firstLine="480"/>
        <w:rPr>
          <w:rFonts w:hint="eastAsia"/>
          <w:color w:val="auto"/>
          <w:highlight w:val="none"/>
        </w:rPr>
      </w:pPr>
      <w:r>
        <w:rPr>
          <w:rFonts w:hint="eastAsia"/>
          <w:color w:val="auto"/>
          <w:highlight w:val="none"/>
        </w:rPr>
        <w:t>④中风化凝灰岩</w:t>
      </w:r>
      <w:r>
        <w:rPr>
          <w:rFonts w:hint="eastAsia"/>
          <w:color w:val="auto"/>
          <w:highlight w:val="none"/>
          <w:lang w:eastAsia="zh-CN"/>
        </w:rPr>
        <w:t>（</w:t>
      </w:r>
      <w:r>
        <w:rPr>
          <w:rFonts w:hint="eastAsia"/>
          <w:color w:val="auto"/>
          <w:highlight w:val="none"/>
        </w:rPr>
        <w:t>J3n</w:t>
      </w:r>
      <w:r>
        <w:rPr>
          <w:rFonts w:hint="eastAsia"/>
          <w:color w:val="auto"/>
          <w:highlight w:val="none"/>
          <w:lang w:eastAsia="zh-CN"/>
        </w:rPr>
        <w:t>）：</w:t>
      </w:r>
      <w:r>
        <w:rPr>
          <w:rFonts w:hint="eastAsia"/>
          <w:color w:val="auto"/>
          <w:highlight w:val="none"/>
        </w:rPr>
        <w:t>青灰、浅灰色，凝灰结构，块状构造。节理、裂隙发育不均，一般为较硬岩，岩体基本质量等级IV级。本层在场地下部均有分布，富水性极不均一，一般较弱。</w:t>
      </w:r>
    </w:p>
    <w:p w14:paraId="3DB56808">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3</w:t>
      </w:r>
      <w:r>
        <w:rPr>
          <w:rFonts w:hint="eastAsia"/>
          <w:color w:val="auto"/>
          <w:highlight w:val="none"/>
          <w:lang w:eastAsia="zh-CN"/>
        </w:rPr>
        <w:t>）</w:t>
      </w:r>
      <w:r>
        <w:rPr>
          <w:rFonts w:hint="eastAsia"/>
          <w:color w:val="auto"/>
          <w:highlight w:val="none"/>
        </w:rPr>
        <w:t>地质构造</w:t>
      </w:r>
    </w:p>
    <w:p w14:paraId="1DB02AD8">
      <w:pPr>
        <w:pStyle w:val="1336"/>
        <w:ind w:firstLine="480"/>
        <w:rPr>
          <w:rFonts w:hint="eastAsia"/>
          <w:color w:val="auto"/>
          <w:highlight w:val="none"/>
        </w:rPr>
      </w:pPr>
      <w:r>
        <w:rPr>
          <w:rFonts w:hint="eastAsia"/>
          <w:color w:val="auto"/>
          <w:highlight w:val="none"/>
        </w:rPr>
        <w:t>场地大地构造位置处于欧亚大陆东南部的陆缘地带，构造体系主要为新华夏系构造、东西向构造和南北向构造，其中新华夏构造为主体构造。</w:t>
      </w:r>
    </w:p>
    <w:p w14:paraId="56316782">
      <w:pPr>
        <w:pStyle w:val="1336"/>
        <w:ind w:firstLine="480"/>
        <w:rPr>
          <w:rFonts w:hint="eastAsia"/>
          <w:color w:val="auto"/>
          <w:highlight w:val="none"/>
        </w:rPr>
      </w:pPr>
      <w:r>
        <w:rPr>
          <w:rFonts w:hint="eastAsia"/>
          <w:color w:val="auto"/>
          <w:highlight w:val="none"/>
        </w:rPr>
        <w:t>本场地及附近可能影响范围内未见区域断裂构造通过。</w:t>
      </w:r>
    </w:p>
    <w:p w14:paraId="13915523">
      <w:pPr>
        <w:pStyle w:val="1336"/>
        <w:ind w:firstLine="480"/>
        <w:rPr>
          <w:rFonts w:hint="eastAsia"/>
          <w:color w:val="auto"/>
          <w:highlight w:val="none"/>
        </w:rPr>
      </w:pPr>
      <w:r>
        <w:rPr>
          <w:rFonts w:hint="eastAsia"/>
          <w:color w:val="auto"/>
          <w:highlight w:val="none"/>
        </w:rPr>
        <w:t>项目所在场地无区域性断裂、活动断裂通过，地质构造相对稳定。</w:t>
      </w:r>
    </w:p>
    <w:p w14:paraId="66793EE3">
      <w:pPr>
        <w:pStyle w:val="1336"/>
        <w:ind w:firstLine="480"/>
        <w:rPr>
          <w:rFonts w:hint="eastAsia"/>
          <w:color w:val="auto"/>
          <w:highlight w:val="none"/>
        </w:rPr>
      </w:pPr>
      <w:r>
        <w:rPr>
          <w:rFonts w:hint="eastAsia"/>
          <w:color w:val="auto"/>
          <w:highlight w:val="none"/>
          <w:lang w:eastAsia="zh-CN"/>
        </w:rPr>
        <w:t>（</w:t>
      </w:r>
      <w:r>
        <w:rPr>
          <w:rFonts w:hint="eastAsia"/>
          <w:color w:val="auto"/>
          <w:highlight w:val="none"/>
        </w:rPr>
        <w:t>4</w:t>
      </w:r>
      <w:r>
        <w:rPr>
          <w:rFonts w:hint="eastAsia"/>
          <w:color w:val="auto"/>
          <w:highlight w:val="none"/>
          <w:lang w:eastAsia="zh-CN"/>
        </w:rPr>
        <w:t>）</w:t>
      </w:r>
      <w:r>
        <w:rPr>
          <w:rFonts w:hint="eastAsia"/>
          <w:color w:val="auto"/>
          <w:highlight w:val="none"/>
        </w:rPr>
        <w:t>水文地质条件</w:t>
      </w:r>
    </w:p>
    <w:p w14:paraId="245CBDE0">
      <w:pPr>
        <w:pStyle w:val="1336"/>
        <w:ind w:firstLine="480"/>
        <w:rPr>
          <w:rFonts w:hint="eastAsia"/>
          <w:color w:val="auto"/>
          <w:highlight w:val="none"/>
        </w:rPr>
      </w:pPr>
      <w:r>
        <w:rPr>
          <w:rFonts w:hint="eastAsia"/>
          <w:color w:val="auto"/>
          <w:highlight w:val="none"/>
        </w:rPr>
        <w:t>根据区内分布的地层以及地下水赋存条件，区内地下水类型可划分为：松散岩类孔隙水、碎屑岩类孔隙裂隙水。</w:t>
      </w:r>
    </w:p>
    <w:p w14:paraId="25E00C37">
      <w:pPr>
        <w:pStyle w:val="1336"/>
        <w:ind w:firstLine="480"/>
        <w:rPr>
          <w:rFonts w:hint="eastAsia"/>
          <w:color w:val="auto"/>
          <w:highlight w:val="none"/>
        </w:rPr>
      </w:pPr>
      <w:r>
        <w:rPr>
          <w:rFonts w:hint="eastAsia"/>
          <w:color w:val="auto"/>
          <w:highlight w:val="none"/>
        </w:rPr>
        <w:t>①松散岩类孔隙水</w:t>
      </w:r>
    </w:p>
    <w:p w14:paraId="10FF9F19">
      <w:pPr>
        <w:pStyle w:val="1336"/>
        <w:ind w:firstLine="480"/>
        <w:rPr>
          <w:rFonts w:hint="eastAsia"/>
          <w:color w:val="auto"/>
          <w:highlight w:val="none"/>
        </w:rPr>
      </w:pPr>
      <w:r>
        <w:rPr>
          <w:rFonts w:hint="eastAsia"/>
          <w:color w:val="auto"/>
          <w:highlight w:val="none"/>
        </w:rPr>
        <w:t>松散岩类孔隙水赋存于第四系松散岩类孔隙中，为孔隙潜水。厂区东、西面及北侧源里溪冲洪积阶地分布有第四系冲洪积层</w:t>
      </w:r>
      <w:r>
        <w:rPr>
          <w:rFonts w:hint="eastAsia"/>
          <w:color w:val="auto"/>
          <w:highlight w:val="none"/>
          <w:lang w:eastAsia="zh-CN"/>
        </w:rPr>
        <w:t>（</w:t>
      </w:r>
      <w:r>
        <w:rPr>
          <w:rFonts w:hint="eastAsia"/>
          <w:color w:val="auto"/>
          <w:highlight w:val="none"/>
        </w:rPr>
        <w:t>Q3al-p</w:t>
      </w:r>
      <w:r>
        <w:rPr>
          <w:rFonts w:hint="eastAsia"/>
          <w:color w:val="auto"/>
          <w:highlight w:val="none"/>
          <w:lang w:eastAsia="zh-CN"/>
        </w:rPr>
        <w:t>）</w:t>
      </w:r>
      <w:r>
        <w:rPr>
          <w:rFonts w:hint="eastAsia"/>
          <w:color w:val="auto"/>
          <w:highlight w:val="none"/>
        </w:rPr>
        <w:t>砂层、卵石层，一般厚约3—14m不等，上覆厚约1—7m不等粉质粘土，赋存孔隙潜水，地下水位埋深一般约为0.5—3m</w:t>
      </w:r>
      <w:r>
        <w:rPr>
          <w:rFonts w:hint="eastAsia"/>
          <w:color w:val="auto"/>
          <w:highlight w:val="none"/>
          <w:lang w:eastAsia="zh-CN"/>
        </w:rPr>
        <w:t>，</w:t>
      </w:r>
      <w:r>
        <w:rPr>
          <w:rFonts w:hint="eastAsia"/>
          <w:color w:val="auto"/>
          <w:highlight w:val="none"/>
        </w:rPr>
        <w:t>水量中等</w:t>
      </w:r>
      <w:r>
        <w:rPr>
          <w:rFonts w:hint="eastAsia"/>
          <w:color w:val="auto"/>
          <w:highlight w:val="none"/>
          <w:lang w:eastAsia="zh-CN"/>
        </w:rPr>
        <w:t>（</w:t>
      </w:r>
      <w:r>
        <w:rPr>
          <w:rFonts w:hint="eastAsia"/>
          <w:color w:val="auto"/>
          <w:highlight w:val="none"/>
        </w:rPr>
        <w:t>单井涌水量&lt;100-500m</w:t>
      </w:r>
      <w:r>
        <w:rPr>
          <w:rFonts w:hint="eastAsia"/>
          <w:color w:val="auto"/>
          <w:highlight w:val="none"/>
          <w:vertAlign w:val="superscript"/>
          <w:lang w:val="en-US" w:eastAsia="zh-CN"/>
        </w:rPr>
        <w:t>3</w:t>
      </w:r>
      <w:r>
        <w:rPr>
          <w:rFonts w:hint="eastAsia"/>
          <w:color w:val="auto"/>
          <w:highlight w:val="none"/>
        </w:rPr>
        <w:t>/d</w:t>
      </w:r>
      <w:r>
        <w:rPr>
          <w:rFonts w:hint="eastAsia"/>
          <w:color w:val="auto"/>
          <w:highlight w:val="none"/>
          <w:lang w:eastAsia="zh-CN"/>
        </w:rPr>
        <w:t>）</w:t>
      </w:r>
      <w:r>
        <w:rPr>
          <w:rFonts w:hint="eastAsia"/>
          <w:color w:val="auto"/>
          <w:highlight w:val="none"/>
        </w:rPr>
        <w:t>。中砂孔隙承压含水层与下伏凝灰岩风化层之间无良好隔水层分布，两者水力联系密切。</w:t>
      </w:r>
    </w:p>
    <w:p w14:paraId="7D52BB0C">
      <w:pPr>
        <w:pStyle w:val="1336"/>
        <w:ind w:firstLine="480"/>
        <w:rPr>
          <w:rFonts w:hint="eastAsia"/>
          <w:color w:val="auto"/>
          <w:highlight w:val="none"/>
        </w:rPr>
      </w:pPr>
      <w:r>
        <w:rPr>
          <w:rFonts w:hint="eastAsia"/>
          <w:color w:val="auto"/>
          <w:highlight w:val="none"/>
        </w:rPr>
        <w:t>②碎屑岩类孔隙裂隙水</w:t>
      </w:r>
    </w:p>
    <w:p w14:paraId="75476A5E">
      <w:pPr>
        <w:pStyle w:val="1336"/>
        <w:ind w:firstLine="480"/>
        <w:rPr>
          <w:rFonts w:hint="eastAsia"/>
          <w:color w:val="auto"/>
          <w:highlight w:val="none"/>
        </w:rPr>
      </w:pPr>
      <w:r>
        <w:rPr>
          <w:rFonts w:hint="eastAsia"/>
          <w:color w:val="auto"/>
          <w:highlight w:val="none"/>
        </w:rPr>
        <w:t>含水岩组为侏罗系上统南园组</w:t>
      </w:r>
      <w:r>
        <w:rPr>
          <w:rFonts w:hint="eastAsia"/>
          <w:color w:val="auto"/>
          <w:highlight w:val="none"/>
          <w:lang w:eastAsia="zh-CN"/>
        </w:rPr>
        <w:t>（</w:t>
      </w:r>
      <w:r>
        <w:rPr>
          <w:rFonts w:hint="eastAsia"/>
          <w:color w:val="auto"/>
          <w:highlight w:val="none"/>
        </w:rPr>
        <w:t>Jsn</w:t>
      </w:r>
      <w:r>
        <w:rPr>
          <w:rFonts w:hint="eastAsia"/>
          <w:color w:val="auto"/>
          <w:highlight w:val="none"/>
          <w:lang w:eastAsia="zh-CN"/>
        </w:rPr>
        <w:t>）</w:t>
      </w:r>
      <w:r>
        <w:rPr>
          <w:rFonts w:hint="eastAsia"/>
          <w:color w:val="auto"/>
          <w:highlight w:val="none"/>
        </w:rPr>
        <w:t>凝灰岩。</w:t>
      </w:r>
    </w:p>
    <w:p w14:paraId="6A1CECE0">
      <w:pPr>
        <w:pStyle w:val="1336"/>
        <w:ind w:firstLine="480"/>
        <w:rPr>
          <w:rFonts w:hint="eastAsia"/>
          <w:color w:val="auto"/>
          <w:highlight w:val="none"/>
        </w:rPr>
      </w:pPr>
      <w:r>
        <w:rPr>
          <w:rFonts w:hint="eastAsia"/>
          <w:color w:val="auto"/>
          <w:highlight w:val="none"/>
        </w:rPr>
        <w:t>碎屑岩类孔隙裂隙水分布于丘陵山区及下伏于冲洪积阶地第四系松散堆积层之下，地下水赋存于基岩风化层孔隙裂隙中。厂区地下水主要赋存于凝灰岩上部强风化带孔隙裂隙中。据区域地质资料及厂区勘察资料，强风化岩层厚度变化较大，本次勘察测得：厂区强风化岩层厚度达1.5—16.9m。</w:t>
      </w:r>
    </w:p>
    <w:p w14:paraId="6D5EE506">
      <w:pPr>
        <w:pStyle w:val="1336"/>
        <w:ind w:firstLine="480"/>
        <w:rPr>
          <w:rFonts w:hint="eastAsia"/>
          <w:color w:val="auto"/>
          <w:highlight w:val="none"/>
        </w:rPr>
      </w:pPr>
      <w:r>
        <w:rPr>
          <w:rFonts w:hint="eastAsia"/>
          <w:color w:val="auto"/>
          <w:highlight w:val="none"/>
        </w:rPr>
        <w:t>③基岩裂隙水</w:t>
      </w:r>
    </w:p>
    <w:p w14:paraId="2300B284">
      <w:pPr>
        <w:pStyle w:val="1336"/>
        <w:ind w:firstLine="480"/>
        <w:rPr>
          <w:rFonts w:hint="eastAsia"/>
          <w:color w:val="auto"/>
          <w:highlight w:val="none"/>
        </w:rPr>
      </w:pPr>
      <w:r>
        <w:rPr>
          <w:rFonts w:hint="eastAsia"/>
          <w:color w:val="auto"/>
          <w:highlight w:val="none"/>
        </w:rPr>
        <w:t>含水岩组为侏罗系上统南园组</w:t>
      </w:r>
      <w:r>
        <w:rPr>
          <w:rFonts w:hint="eastAsia"/>
          <w:color w:val="auto"/>
          <w:highlight w:val="none"/>
          <w:lang w:eastAsia="zh-CN"/>
        </w:rPr>
        <w:t>（</w:t>
      </w:r>
      <w:r>
        <w:rPr>
          <w:rFonts w:hint="eastAsia"/>
          <w:color w:val="auto"/>
          <w:highlight w:val="none"/>
        </w:rPr>
        <w:t>J</w:t>
      </w:r>
      <w:r>
        <w:rPr>
          <w:rFonts w:hint="eastAsia"/>
          <w:color w:val="auto"/>
          <w:highlight w:val="none"/>
          <w:vertAlign w:val="subscript"/>
          <w:lang w:val="en-US" w:eastAsia="zh-CN"/>
        </w:rPr>
        <w:t>3</w:t>
      </w:r>
      <w:r>
        <w:rPr>
          <w:rFonts w:hint="eastAsia"/>
          <w:color w:val="auto"/>
          <w:highlight w:val="none"/>
        </w:rPr>
        <w:t>n</w:t>
      </w:r>
      <w:r>
        <w:rPr>
          <w:rFonts w:hint="eastAsia"/>
          <w:color w:val="auto"/>
          <w:highlight w:val="none"/>
          <w:lang w:eastAsia="zh-CN"/>
        </w:rPr>
        <w:t>）</w:t>
      </w:r>
      <w:r>
        <w:rPr>
          <w:rFonts w:hint="eastAsia"/>
          <w:color w:val="auto"/>
          <w:highlight w:val="none"/>
        </w:rPr>
        <w:t>凝灰岩。基岩裂隙水富水性不均一，水量贫乏</w:t>
      </w:r>
      <w:r>
        <w:rPr>
          <w:rFonts w:hint="eastAsia"/>
          <w:color w:val="auto"/>
          <w:highlight w:val="none"/>
          <w:lang w:eastAsia="zh-CN"/>
        </w:rPr>
        <w:t>（</w:t>
      </w:r>
      <w:r>
        <w:rPr>
          <w:rFonts w:hint="eastAsia"/>
          <w:color w:val="auto"/>
          <w:highlight w:val="none"/>
        </w:rPr>
        <w:t>单井涌水量&lt;100ms/d</w:t>
      </w:r>
      <w:r>
        <w:rPr>
          <w:rFonts w:hint="eastAsia"/>
          <w:color w:val="auto"/>
          <w:highlight w:val="none"/>
          <w:lang w:eastAsia="zh-CN"/>
        </w:rPr>
        <w:t>）；</w:t>
      </w:r>
      <w:r>
        <w:rPr>
          <w:rFonts w:hint="eastAsia"/>
          <w:color w:val="auto"/>
          <w:highlight w:val="none"/>
        </w:rPr>
        <w:t>下部中一微风化基岩风化、构造裂隙一般不发育，埋藏深度较大，透水性相对较弱，富水性极贫乏，仅在局部构造裂隙发育处富水性相对稍好。</w:t>
      </w:r>
    </w:p>
    <w:p w14:paraId="15B03453">
      <w:pPr>
        <w:pStyle w:val="4"/>
        <w:numPr>
          <w:ilvl w:val="2"/>
          <w:numId w:val="0"/>
        </w:numPr>
        <w:tabs>
          <w:tab w:val="clear" w:pos="720"/>
        </w:tabs>
        <w:bidi w:val="0"/>
        <w:rPr>
          <w:color w:val="auto"/>
          <w:highlight w:val="none"/>
        </w:rPr>
      </w:pPr>
      <w:bookmarkStart w:id="535" w:name="_Toc7566"/>
      <w:r>
        <w:rPr>
          <w:color w:val="auto"/>
          <w:highlight w:val="none"/>
        </w:rPr>
        <w:t>5.</w:t>
      </w:r>
      <w:r>
        <w:rPr>
          <w:rFonts w:hint="eastAsia"/>
          <w:color w:val="auto"/>
          <w:highlight w:val="none"/>
          <w:lang w:val="en-US" w:eastAsia="zh-CN"/>
        </w:rPr>
        <w:t>7</w:t>
      </w:r>
      <w:r>
        <w:rPr>
          <w:color w:val="auto"/>
          <w:highlight w:val="none"/>
        </w:rPr>
        <w:t>.2</w:t>
      </w:r>
      <w:r>
        <w:rPr>
          <w:rFonts w:hint="eastAsia"/>
          <w:color w:val="auto"/>
          <w:highlight w:val="none"/>
          <w:lang w:val="en-US" w:eastAsia="zh-CN"/>
        </w:rPr>
        <w:t xml:space="preserve"> </w:t>
      </w:r>
      <w:r>
        <w:rPr>
          <w:color w:val="auto"/>
          <w:highlight w:val="none"/>
        </w:rPr>
        <w:t>地下水污染源及污染途径分析</w:t>
      </w:r>
      <w:bookmarkEnd w:id="535"/>
    </w:p>
    <w:p w14:paraId="28074E5B">
      <w:pPr>
        <w:pStyle w:val="1336"/>
        <w:ind w:firstLine="480"/>
        <w:rPr>
          <w:color w:val="auto"/>
          <w:highlight w:val="none"/>
        </w:rPr>
      </w:pPr>
      <w:r>
        <w:rPr>
          <w:color w:val="auto"/>
          <w:highlight w:val="none"/>
        </w:rPr>
        <w:t>本项目不取用地下水，对区域地下水水资源基本不会产生影响。本项目运营过程中可能对地下水造成影响的污染源如下：</w:t>
      </w:r>
    </w:p>
    <w:p w14:paraId="6D9F5F73">
      <w:pPr>
        <w:pStyle w:val="1336"/>
        <w:ind w:firstLine="480"/>
        <w:rPr>
          <w:color w:val="auto"/>
          <w:highlight w:val="none"/>
        </w:rPr>
      </w:pPr>
      <w:r>
        <w:rPr>
          <w:color w:val="auto"/>
          <w:highlight w:val="none"/>
        </w:rPr>
        <w:t>（1）废水对地下水的污染</w:t>
      </w:r>
    </w:p>
    <w:p w14:paraId="0EF2228F">
      <w:pPr>
        <w:pStyle w:val="1336"/>
        <w:ind w:firstLine="480"/>
        <w:rPr>
          <w:color w:val="auto"/>
          <w:highlight w:val="none"/>
        </w:rPr>
      </w:pPr>
      <w:r>
        <w:rPr>
          <w:color w:val="auto"/>
          <w:highlight w:val="none"/>
        </w:rPr>
        <w:t>项目废水主要为生产废水和生活污水，</w:t>
      </w:r>
      <w:r>
        <w:rPr>
          <w:rFonts w:hint="eastAsia"/>
          <w:color w:val="auto"/>
          <w:highlight w:val="none"/>
        </w:rPr>
        <w:t>生产废水经污水处理站处理后循环回用，定期清渣，实现厂内零排放</w:t>
      </w:r>
      <w:r>
        <w:rPr>
          <w:rFonts w:hint="eastAsia"/>
          <w:color w:val="auto"/>
          <w:highlight w:val="none"/>
          <w:lang w:eastAsia="zh-CN"/>
        </w:rPr>
        <w:t>；</w:t>
      </w:r>
      <w:r>
        <w:rPr>
          <w:color w:val="auto"/>
          <w:highlight w:val="none"/>
        </w:rPr>
        <w:t>生活污水经化粪池处理后通过市政污水管网排入</w:t>
      </w:r>
      <w:r>
        <w:rPr>
          <w:rFonts w:hint="eastAsia"/>
          <w:color w:val="auto"/>
          <w:highlight w:val="none"/>
          <w:lang w:eastAsia="zh-CN"/>
        </w:rPr>
        <w:t>青口汽车工业开发区污水处理厂</w:t>
      </w:r>
      <w:r>
        <w:rPr>
          <w:color w:val="auto"/>
          <w:highlight w:val="none"/>
        </w:rPr>
        <w:t>统一处理。</w:t>
      </w:r>
    </w:p>
    <w:p w14:paraId="17A74FE4">
      <w:pPr>
        <w:pStyle w:val="1336"/>
        <w:ind w:firstLine="480"/>
        <w:rPr>
          <w:color w:val="auto"/>
          <w:highlight w:val="none"/>
        </w:rPr>
      </w:pPr>
      <w:r>
        <w:rPr>
          <w:color w:val="auto"/>
          <w:highlight w:val="none"/>
        </w:rPr>
        <w:t>本项目废水可能造成地下水污染的主要有污水收集管、污水处理站、化粪池等区域。若没有采取防渗措施，废水中含有的COD、NH</w:t>
      </w:r>
      <w:r>
        <w:rPr>
          <w:color w:val="auto"/>
          <w:highlight w:val="none"/>
          <w:vertAlign w:val="subscript"/>
        </w:rPr>
        <w:t>3</w:t>
      </w:r>
      <w:r>
        <w:rPr>
          <w:color w:val="auto"/>
          <w:highlight w:val="none"/>
        </w:rPr>
        <w:t>-N、SS 等污染物可能渗入地下，污染地下水。</w:t>
      </w:r>
    </w:p>
    <w:p w14:paraId="5690225F">
      <w:pPr>
        <w:pStyle w:val="1336"/>
        <w:ind w:firstLine="480"/>
        <w:rPr>
          <w:color w:val="auto"/>
          <w:highlight w:val="none"/>
        </w:rPr>
      </w:pPr>
      <w:r>
        <w:rPr>
          <w:color w:val="auto"/>
          <w:highlight w:val="none"/>
        </w:rPr>
        <w:t>（2）固体废物对地下水的污染</w:t>
      </w:r>
    </w:p>
    <w:p w14:paraId="77CD05DA">
      <w:pPr>
        <w:pStyle w:val="1336"/>
        <w:ind w:firstLine="480"/>
        <w:rPr>
          <w:color w:val="auto"/>
          <w:highlight w:val="none"/>
        </w:rPr>
      </w:pPr>
      <w:r>
        <w:rPr>
          <w:color w:val="auto"/>
          <w:highlight w:val="none"/>
        </w:rPr>
        <w:t>本项目固废可能造成地下水污染的主要有</w:t>
      </w:r>
      <w:r>
        <w:rPr>
          <w:rFonts w:hint="eastAsia"/>
          <w:color w:val="auto"/>
          <w:highlight w:val="none"/>
          <w:lang w:eastAsia="zh-CN"/>
        </w:rPr>
        <w:t>危废贮存库</w:t>
      </w:r>
      <w:r>
        <w:rPr>
          <w:color w:val="auto"/>
          <w:highlight w:val="none"/>
        </w:rPr>
        <w:t>。</w:t>
      </w:r>
    </w:p>
    <w:p w14:paraId="74351EAF">
      <w:pPr>
        <w:pStyle w:val="1336"/>
        <w:ind w:firstLine="480"/>
        <w:rPr>
          <w:color w:val="auto"/>
          <w:highlight w:val="none"/>
        </w:rPr>
      </w:pPr>
      <w:r>
        <w:rPr>
          <w:color w:val="auto"/>
          <w:highlight w:val="none"/>
        </w:rPr>
        <w:t>（3）其他污染源</w:t>
      </w:r>
    </w:p>
    <w:p w14:paraId="3F11D84B">
      <w:pPr>
        <w:pStyle w:val="1336"/>
        <w:ind w:firstLine="480"/>
        <w:rPr>
          <w:color w:val="auto"/>
          <w:highlight w:val="none"/>
        </w:rPr>
      </w:pPr>
      <w:r>
        <w:rPr>
          <w:color w:val="auto"/>
          <w:highlight w:val="none"/>
        </w:rPr>
        <w:t>项目厂房地面</w:t>
      </w:r>
      <w:r>
        <w:rPr>
          <w:rFonts w:hint="eastAsia"/>
          <w:color w:val="auto"/>
          <w:highlight w:val="none"/>
        </w:rPr>
        <w:t>规范采取地面硬化</w:t>
      </w:r>
      <w:r>
        <w:rPr>
          <w:color w:val="auto"/>
          <w:highlight w:val="none"/>
        </w:rPr>
        <w:t>，操作不当产生</w:t>
      </w:r>
      <w:r>
        <w:rPr>
          <w:rFonts w:hint="eastAsia"/>
          <w:color w:val="auto"/>
          <w:highlight w:val="none"/>
          <w:lang w:eastAsia="zh-CN"/>
        </w:rPr>
        <w:t>“</w:t>
      </w:r>
      <w:r>
        <w:rPr>
          <w:color w:val="auto"/>
          <w:highlight w:val="none"/>
        </w:rPr>
        <w:t>跑、冒、滴、漏</w:t>
      </w:r>
      <w:r>
        <w:rPr>
          <w:rFonts w:hint="eastAsia"/>
          <w:color w:val="auto"/>
          <w:highlight w:val="none"/>
          <w:lang w:eastAsia="zh-CN"/>
        </w:rPr>
        <w:t>”</w:t>
      </w:r>
      <w:r>
        <w:rPr>
          <w:color w:val="auto"/>
          <w:highlight w:val="none"/>
        </w:rPr>
        <w:t>均可控制在厂房地面，基本不会下渗到地下水。</w:t>
      </w:r>
    </w:p>
    <w:p w14:paraId="2444D0E0">
      <w:pPr>
        <w:pStyle w:val="4"/>
        <w:numPr>
          <w:ilvl w:val="2"/>
          <w:numId w:val="0"/>
        </w:numPr>
        <w:tabs>
          <w:tab w:val="clear" w:pos="720"/>
        </w:tabs>
        <w:bidi w:val="0"/>
        <w:rPr>
          <w:color w:val="auto"/>
          <w:highlight w:val="none"/>
        </w:rPr>
      </w:pPr>
      <w:bookmarkStart w:id="536" w:name="_Toc8954"/>
      <w:r>
        <w:rPr>
          <w:color w:val="auto"/>
          <w:highlight w:val="none"/>
        </w:rPr>
        <w:t>5.</w:t>
      </w:r>
      <w:r>
        <w:rPr>
          <w:rFonts w:hint="eastAsia"/>
          <w:color w:val="auto"/>
          <w:highlight w:val="none"/>
          <w:lang w:val="en-US" w:eastAsia="zh-CN"/>
        </w:rPr>
        <w:t>7</w:t>
      </w:r>
      <w:r>
        <w:rPr>
          <w:color w:val="auto"/>
          <w:highlight w:val="none"/>
        </w:rPr>
        <w:t>.3</w:t>
      </w:r>
      <w:r>
        <w:rPr>
          <w:rFonts w:hint="eastAsia"/>
          <w:color w:val="auto"/>
          <w:highlight w:val="none"/>
          <w:lang w:val="en-US" w:eastAsia="zh-CN"/>
        </w:rPr>
        <w:t xml:space="preserve"> </w:t>
      </w:r>
      <w:r>
        <w:rPr>
          <w:color w:val="auto"/>
          <w:highlight w:val="none"/>
        </w:rPr>
        <w:t>地下水污染防治措施</w:t>
      </w:r>
      <w:bookmarkEnd w:id="536"/>
    </w:p>
    <w:p w14:paraId="339AE98C">
      <w:pPr>
        <w:pStyle w:val="1336"/>
        <w:ind w:firstLine="480"/>
        <w:rPr>
          <w:color w:val="auto"/>
          <w:highlight w:val="none"/>
        </w:rPr>
      </w:pPr>
      <w:r>
        <w:rPr>
          <w:color w:val="auto"/>
          <w:highlight w:val="none"/>
        </w:rPr>
        <w:t>（1）地下水污染防治原则</w:t>
      </w:r>
    </w:p>
    <w:p w14:paraId="423EEA37">
      <w:pPr>
        <w:pStyle w:val="1336"/>
        <w:ind w:firstLine="480"/>
        <w:rPr>
          <w:color w:val="auto"/>
          <w:highlight w:val="none"/>
        </w:rPr>
      </w:pPr>
      <w:r>
        <w:rPr>
          <w:color w:val="auto"/>
          <w:highlight w:val="none"/>
        </w:rPr>
        <w:t>针对本项目可能发生的地下水污染，地下水污染防治措施按照</w:t>
      </w:r>
      <w:r>
        <w:rPr>
          <w:rFonts w:hint="eastAsia"/>
          <w:color w:val="auto"/>
          <w:highlight w:val="none"/>
          <w:lang w:eastAsia="zh-CN"/>
        </w:rPr>
        <w:t>“</w:t>
      </w:r>
      <w:r>
        <w:rPr>
          <w:color w:val="auto"/>
          <w:highlight w:val="none"/>
        </w:rPr>
        <w:t>源头控制、末端防治、污染监控、应急响应</w:t>
      </w:r>
      <w:r>
        <w:rPr>
          <w:rFonts w:hint="eastAsia"/>
          <w:color w:val="auto"/>
          <w:highlight w:val="none"/>
          <w:lang w:eastAsia="zh-CN"/>
        </w:rPr>
        <w:t>”</w:t>
      </w:r>
      <w:r>
        <w:rPr>
          <w:color w:val="auto"/>
          <w:highlight w:val="none"/>
        </w:rPr>
        <w:t>相结合的原则，从污染物的产生、入渗、扩散、应急响应全阶段进行控制。</w:t>
      </w:r>
    </w:p>
    <w:p w14:paraId="3897684F">
      <w:pPr>
        <w:pStyle w:val="1336"/>
        <w:ind w:firstLine="480"/>
        <w:rPr>
          <w:color w:val="auto"/>
          <w:highlight w:val="none"/>
        </w:rPr>
      </w:pPr>
      <w:r>
        <w:rPr>
          <w:color w:val="auto"/>
          <w:highlight w:val="none"/>
        </w:rPr>
        <w:t>源头控制措施：主要包括在工艺、管道、设备、污水储存及处理构筑物采取相应措施，防止和降低污染物跑、冒、滴、漏，将污染物泄漏的环境风险事故降到最低程度；管线敷设尽量采用</w:t>
      </w:r>
      <w:r>
        <w:rPr>
          <w:rFonts w:hint="eastAsia"/>
          <w:color w:val="auto"/>
          <w:highlight w:val="none"/>
          <w:lang w:eastAsia="zh-CN"/>
        </w:rPr>
        <w:t>“</w:t>
      </w:r>
      <w:r>
        <w:rPr>
          <w:color w:val="auto"/>
          <w:highlight w:val="none"/>
        </w:rPr>
        <w:t>可视化</w:t>
      </w:r>
      <w:r>
        <w:rPr>
          <w:rFonts w:hint="eastAsia"/>
          <w:color w:val="auto"/>
          <w:highlight w:val="none"/>
          <w:lang w:eastAsia="zh-CN"/>
        </w:rPr>
        <w:t>”</w:t>
      </w:r>
      <w:r>
        <w:rPr>
          <w:color w:val="auto"/>
          <w:highlight w:val="none"/>
        </w:rPr>
        <w:t>原则，即管道尽可能地上敷设，做到污染物</w:t>
      </w:r>
      <w:r>
        <w:rPr>
          <w:rFonts w:hint="eastAsia"/>
          <w:color w:val="auto"/>
          <w:highlight w:val="none"/>
          <w:lang w:eastAsia="zh-CN"/>
        </w:rPr>
        <w:t>“</w:t>
      </w:r>
      <w:r>
        <w:rPr>
          <w:color w:val="auto"/>
          <w:highlight w:val="none"/>
        </w:rPr>
        <w:t>早发现、早处理</w:t>
      </w:r>
      <w:r>
        <w:rPr>
          <w:rFonts w:hint="eastAsia"/>
          <w:color w:val="auto"/>
          <w:highlight w:val="none"/>
          <w:lang w:eastAsia="zh-CN"/>
        </w:rPr>
        <w:t>”</w:t>
      </w:r>
      <w:r>
        <w:rPr>
          <w:color w:val="auto"/>
          <w:highlight w:val="none"/>
        </w:rPr>
        <w:t>，减少由于埋地管道泄漏而造成的地下水污染。</w:t>
      </w:r>
    </w:p>
    <w:p w14:paraId="2AB42D98">
      <w:pPr>
        <w:pStyle w:val="1336"/>
        <w:ind w:firstLine="480"/>
        <w:rPr>
          <w:color w:val="auto"/>
          <w:highlight w:val="none"/>
        </w:rPr>
      </w:pPr>
      <w:r>
        <w:rPr>
          <w:color w:val="auto"/>
          <w:highlight w:val="none"/>
        </w:rPr>
        <w:t>末端控制措施：主要包括建设区域污染区地面的防渗措施和泄漏、渗漏污染物收集措施，即在污染区地面进行防渗处理，防止洒落地面的污染物渗入地下，并把滞留在地面的污染物收集起来，集中送至污水处理站处理；末端控制采取分区防渗，按一般防渗区和非污染区防渗措施有区别的防渗原则。</w:t>
      </w:r>
    </w:p>
    <w:p w14:paraId="7A18094F">
      <w:pPr>
        <w:pStyle w:val="1336"/>
        <w:ind w:firstLine="480"/>
        <w:rPr>
          <w:color w:val="auto"/>
          <w:highlight w:val="none"/>
        </w:rPr>
      </w:pPr>
      <w:r>
        <w:rPr>
          <w:color w:val="auto"/>
          <w:highlight w:val="none"/>
        </w:rPr>
        <w:t>污染监控：建立场地区地下水环境监控体系，建立完善的监测制度和环境管理体系，制定监测计划，及时发现污染、控制污染，在地下水下游设置1 口污染监控井。</w:t>
      </w:r>
    </w:p>
    <w:p w14:paraId="077F153A">
      <w:pPr>
        <w:pStyle w:val="1336"/>
        <w:ind w:firstLine="480"/>
        <w:rPr>
          <w:color w:val="auto"/>
          <w:highlight w:val="none"/>
        </w:rPr>
      </w:pPr>
      <w:r>
        <w:rPr>
          <w:color w:val="auto"/>
          <w:highlight w:val="none"/>
        </w:rPr>
        <w:t>（2）污染防治区划分</w:t>
      </w:r>
    </w:p>
    <w:p w14:paraId="51AA90CE">
      <w:pPr>
        <w:pStyle w:val="1336"/>
        <w:ind w:firstLine="480"/>
        <w:rPr>
          <w:color w:val="auto"/>
          <w:highlight w:val="none"/>
        </w:rPr>
      </w:pPr>
      <w:r>
        <w:rPr>
          <w:rFonts w:hint="eastAsia" w:ascii="宋体" w:hAnsi="宋体" w:cs="宋体"/>
          <w:color w:val="auto"/>
          <w:highlight w:val="none"/>
        </w:rPr>
        <w:t>①</w:t>
      </w:r>
      <w:r>
        <w:rPr>
          <w:color w:val="auto"/>
          <w:highlight w:val="none"/>
        </w:rPr>
        <w:t>重点防渗区</w:t>
      </w:r>
    </w:p>
    <w:p w14:paraId="61037C7F">
      <w:pPr>
        <w:pStyle w:val="1336"/>
        <w:ind w:firstLine="480"/>
        <w:rPr>
          <w:color w:val="auto"/>
          <w:highlight w:val="none"/>
        </w:rPr>
      </w:pPr>
      <w:r>
        <w:rPr>
          <w:color w:val="auto"/>
          <w:highlight w:val="none"/>
        </w:rPr>
        <w:t>本项目地下水重点防渗区主要为</w:t>
      </w:r>
      <w:r>
        <w:rPr>
          <w:rFonts w:hint="eastAsia"/>
          <w:color w:val="auto"/>
          <w:highlight w:val="none"/>
          <w:lang w:val="en-US" w:eastAsia="zh-CN"/>
        </w:rPr>
        <w:t>A库</w:t>
      </w:r>
      <w:r>
        <w:rPr>
          <w:color w:val="auto"/>
          <w:highlight w:val="none"/>
        </w:rPr>
        <w:t>厂房</w:t>
      </w:r>
      <w:r>
        <w:rPr>
          <w:rFonts w:hint="eastAsia"/>
          <w:color w:val="auto"/>
          <w:highlight w:val="none"/>
          <w:lang w:val="en-US" w:eastAsia="zh-CN"/>
        </w:rPr>
        <w:t>（辅料仓库1、喷涂区</w:t>
      </w:r>
      <w:r>
        <w:rPr>
          <w:color w:val="auto"/>
          <w:highlight w:val="none"/>
        </w:rPr>
        <w:t>）、</w:t>
      </w:r>
      <w:r>
        <w:rPr>
          <w:rFonts w:hint="eastAsia"/>
          <w:color w:val="auto"/>
          <w:highlight w:val="none"/>
          <w:lang w:eastAsia="zh-CN"/>
        </w:rPr>
        <w:t>危废贮存库</w:t>
      </w:r>
      <w:r>
        <w:rPr>
          <w:color w:val="auto"/>
          <w:highlight w:val="none"/>
        </w:rPr>
        <w:t>。防渗技术要求：等效黏土防渗层Mb≥6.0m，K≤1×10</w:t>
      </w:r>
      <w:r>
        <w:rPr>
          <w:color w:val="auto"/>
          <w:highlight w:val="none"/>
          <w:vertAlign w:val="superscript"/>
        </w:rPr>
        <w:t>-7</w:t>
      </w:r>
      <w:r>
        <w:rPr>
          <w:color w:val="auto"/>
          <w:highlight w:val="none"/>
        </w:rPr>
        <w:t>cm/s 或参照</w:t>
      </w:r>
      <w:r>
        <w:rPr>
          <w:rFonts w:hint="eastAsia"/>
          <w:color w:val="auto"/>
          <w:highlight w:val="none"/>
        </w:rPr>
        <w:t>《危险废物贮存污染控制标准》</w:t>
      </w:r>
      <w:r>
        <w:rPr>
          <w:rFonts w:hint="eastAsia"/>
          <w:color w:val="auto"/>
          <w:highlight w:val="none"/>
          <w:lang w:eastAsia="zh-CN"/>
        </w:rPr>
        <w:t>（</w:t>
      </w:r>
      <w:r>
        <w:rPr>
          <w:rFonts w:hint="eastAsia"/>
          <w:color w:val="auto"/>
          <w:highlight w:val="none"/>
        </w:rPr>
        <w:t>GB18597-2023</w:t>
      </w:r>
      <w:r>
        <w:rPr>
          <w:rFonts w:hint="eastAsia"/>
          <w:color w:val="auto"/>
          <w:highlight w:val="none"/>
          <w:lang w:eastAsia="zh-CN"/>
        </w:rPr>
        <w:t>）</w:t>
      </w:r>
      <w:r>
        <w:rPr>
          <w:color w:val="auto"/>
          <w:highlight w:val="none"/>
        </w:rPr>
        <w:t>执行。</w:t>
      </w:r>
    </w:p>
    <w:p w14:paraId="56A4F9D6">
      <w:pPr>
        <w:pStyle w:val="1336"/>
        <w:ind w:firstLine="480"/>
        <w:rPr>
          <w:color w:val="auto"/>
          <w:highlight w:val="none"/>
        </w:rPr>
      </w:pPr>
      <w:r>
        <w:rPr>
          <w:rFonts w:hint="eastAsia"/>
          <w:color w:val="auto"/>
          <w:highlight w:val="none"/>
        </w:rPr>
        <w:t>②</w:t>
      </w:r>
      <w:r>
        <w:rPr>
          <w:color w:val="auto"/>
          <w:highlight w:val="none"/>
        </w:rPr>
        <w:t>一般防渗区</w:t>
      </w:r>
    </w:p>
    <w:p w14:paraId="7D2564C9">
      <w:pPr>
        <w:pStyle w:val="1336"/>
        <w:ind w:firstLine="480"/>
        <w:rPr>
          <w:color w:val="auto"/>
          <w:highlight w:val="none"/>
        </w:rPr>
      </w:pPr>
      <w:r>
        <w:rPr>
          <w:color w:val="auto"/>
          <w:highlight w:val="none"/>
        </w:rPr>
        <w:t>一般防渗区主要包括</w:t>
      </w:r>
      <w:r>
        <w:rPr>
          <w:rFonts w:hint="eastAsia"/>
          <w:color w:val="auto"/>
          <w:highlight w:val="none"/>
          <w:lang w:val="en-US" w:eastAsia="zh-CN"/>
        </w:rPr>
        <w:t>B库</w:t>
      </w:r>
      <w:r>
        <w:rPr>
          <w:color w:val="auto"/>
          <w:highlight w:val="none"/>
        </w:rPr>
        <w:t>厂房、一般固废暂存间</w:t>
      </w:r>
      <w:r>
        <w:rPr>
          <w:rFonts w:hint="eastAsia"/>
          <w:color w:val="auto"/>
          <w:highlight w:val="none"/>
          <w:lang w:eastAsia="zh-CN"/>
        </w:rPr>
        <w:t>、</w:t>
      </w:r>
      <w:r>
        <w:rPr>
          <w:rFonts w:hint="eastAsia"/>
          <w:color w:val="auto"/>
          <w:highlight w:val="none"/>
          <w:lang w:val="en-US" w:eastAsia="zh-CN"/>
        </w:rPr>
        <w:t>应急池</w:t>
      </w:r>
      <w:r>
        <w:rPr>
          <w:color w:val="auto"/>
          <w:highlight w:val="none"/>
        </w:rPr>
        <w:t>等区域。防渗技术要求：等效黏土防渗层Mb≥1.5m，K≤1×10</w:t>
      </w:r>
      <w:r>
        <w:rPr>
          <w:color w:val="auto"/>
          <w:highlight w:val="none"/>
          <w:vertAlign w:val="superscript"/>
        </w:rPr>
        <w:t>-7</w:t>
      </w:r>
      <w:r>
        <w:rPr>
          <w:color w:val="auto"/>
          <w:highlight w:val="none"/>
        </w:rPr>
        <w:t>cm/s；或参照《一般工业固体废物贮存和填埋污染控制标准》（GB18599-2020）执行。</w:t>
      </w:r>
    </w:p>
    <w:p w14:paraId="41CA8D30">
      <w:pPr>
        <w:pStyle w:val="1336"/>
        <w:ind w:firstLine="480"/>
        <w:rPr>
          <w:color w:val="auto"/>
          <w:highlight w:val="none"/>
        </w:rPr>
      </w:pPr>
      <w:r>
        <w:rPr>
          <w:rFonts w:hint="eastAsia"/>
          <w:color w:val="auto"/>
          <w:highlight w:val="none"/>
        </w:rPr>
        <w:t>③</w:t>
      </w:r>
      <w:r>
        <w:rPr>
          <w:color w:val="auto"/>
          <w:highlight w:val="none"/>
        </w:rPr>
        <w:t>简单防渗区</w:t>
      </w:r>
    </w:p>
    <w:p w14:paraId="788CF677">
      <w:pPr>
        <w:pStyle w:val="1336"/>
        <w:ind w:firstLine="480"/>
        <w:rPr>
          <w:color w:val="auto"/>
          <w:highlight w:val="none"/>
        </w:rPr>
      </w:pPr>
      <w:r>
        <w:rPr>
          <w:color w:val="auto"/>
          <w:highlight w:val="none"/>
        </w:rPr>
        <w:t>简单防渗区主要包括</w:t>
      </w:r>
      <w:r>
        <w:rPr>
          <w:rFonts w:hint="eastAsia"/>
          <w:color w:val="auto"/>
          <w:highlight w:val="none"/>
          <w:lang w:val="en-US" w:eastAsia="zh-CN"/>
        </w:rPr>
        <w:t>办公室</w:t>
      </w:r>
      <w:r>
        <w:rPr>
          <w:color w:val="auto"/>
          <w:highlight w:val="none"/>
        </w:rPr>
        <w:t>、配电房等其他区域。防渗技术要求：一般地面硬化。</w:t>
      </w:r>
    </w:p>
    <w:p w14:paraId="6AA7008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5.6-1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地下水</w:t>
      </w:r>
      <w:r>
        <w:rPr>
          <w:rFonts w:hint="default" w:ascii="Times New Roman" w:hAnsi="Times New Roman" w:cs="Times New Roman"/>
          <w:color w:val="auto"/>
          <w:highlight w:val="none"/>
        </w:rPr>
        <w:t>污染防治分区一览表</w:t>
      </w:r>
    </w:p>
    <w:tbl>
      <w:tblPr>
        <w:tblStyle w:val="80"/>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80"/>
        <w:gridCol w:w="4192"/>
        <w:gridCol w:w="2066"/>
      </w:tblGrid>
      <w:tr w14:paraId="5DBBBF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80" w:type="dxa"/>
            <w:tcBorders>
              <w:top w:val="single" w:color="auto" w:sz="12" w:space="0"/>
            </w:tcBorders>
            <w:noWrap w:val="0"/>
            <w:vAlign w:val="center"/>
          </w:tcPr>
          <w:p w14:paraId="20F2F791">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防治分区</w:t>
            </w:r>
          </w:p>
        </w:tc>
        <w:tc>
          <w:tcPr>
            <w:tcW w:w="4192" w:type="dxa"/>
            <w:tcBorders>
              <w:top w:val="single" w:color="auto" w:sz="12" w:space="0"/>
            </w:tcBorders>
            <w:noWrap w:val="0"/>
            <w:vAlign w:val="center"/>
          </w:tcPr>
          <w:p w14:paraId="2B2E3173">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装置或者构筑物名称</w:t>
            </w:r>
          </w:p>
        </w:tc>
        <w:tc>
          <w:tcPr>
            <w:tcW w:w="2066" w:type="dxa"/>
            <w:tcBorders>
              <w:top w:val="single" w:color="auto" w:sz="12" w:space="0"/>
            </w:tcBorders>
            <w:noWrap w:val="0"/>
            <w:vAlign w:val="center"/>
          </w:tcPr>
          <w:p w14:paraId="72EBBA00">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防渗区域</w:t>
            </w:r>
          </w:p>
        </w:tc>
      </w:tr>
      <w:tr w14:paraId="35F01C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80" w:type="dxa"/>
            <w:noWrap w:val="0"/>
            <w:vAlign w:val="center"/>
          </w:tcPr>
          <w:p w14:paraId="2B91E13E">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重点污染防治区</w:t>
            </w:r>
          </w:p>
        </w:tc>
        <w:tc>
          <w:tcPr>
            <w:tcW w:w="4192" w:type="dxa"/>
            <w:noWrap w:val="0"/>
            <w:vAlign w:val="center"/>
          </w:tcPr>
          <w:p w14:paraId="05D05D74">
            <w:pPr>
              <w:pStyle w:val="1369"/>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A库</w:t>
            </w:r>
            <w:r>
              <w:rPr>
                <w:color w:val="auto"/>
                <w:highlight w:val="none"/>
              </w:rPr>
              <w:t>厂房</w:t>
            </w:r>
            <w:r>
              <w:rPr>
                <w:rFonts w:hint="eastAsia"/>
                <w:color w:val="auto"/>
                <w:highlight w:val="none"/>
                <w:lang w:val="en-US" w:eastAsia="zh-CN"/>
              </w:rPr>
              <w:t>（辅料仓库1、喷涂区</w:t>
            </w:r>
            <w:r>
              <w:rPr>
                <w:color w:val="auto"/>
                <w:highlight w:val="none"/>
              </w:rPr>
              <w:t>）</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危废贮存库</w:t>
            </w:r>
          </w:p>
        </w:tc>
        <w:tc>
          <w:tcPr>
            <w:tcW w:w="2066" w:type="dxa"/>
            <w:noWrap w:val="0"/>
            <w:vAlign w:val="center"/>
          </w:tcPr>
          <w:p w14:paraId="6F80B37D">
            <w:pPr>
              <w:pStyle w:val="136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地面、裙角、围堰</w:t>
            </w:r>
          </w:p>
        </w:tc>
      </w:tr>
      <w:tr w14:paraId="5CA150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80" w:type="dxa"/>
            <w:noWrap w:val="0"/>
            <w:vAlign w:val="center"/>
          </w:tcPr>
          <w:p w14:paraId="590FA2C8">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一般污染防治区</w:t>
            </w:r>
          </w:p>
        </w:tc>
        <w:tc>
          <w:tcPr>
            <w:tcW w:w="4192" w:type="dxa"/>
            <w:noWrap w:val="0"/>
            <w:vAlign w:val="center"/>
          </w:tcPr>
          <w:p w14:paraId="08CD4337">
            <w:pPr>
              <w:pStyle w:val="1369"/>
              <w:rPr>
                <w:rFonts w:hint="default" w:ascii="Times New Roman" w:hAnsi="Times New Roman" w:eastAsia="宋体" w:cs="Times New Roman"/>
                <w:color w:val="auto"/>
                <w:highlight w:val="none"/>
              </w:rPr>
            </w:pPr>
            <w:r>
              <w:rPr>
                <w:rFonts w:hint="eastAsia"/>
                <w:color w:val="auto"/>
                <w:highlight w:val="none"/>
                <w:lang w:val="en-US" w:eastAsia="zh-CN"/>
              </w:rPr>
              <w:t>B库</w:t>
            </w:r>
            <w:r>
              <w:rPr>
                <w:color w:val="auto"/>
                <w:highlight w:val="none"/>
              </w:rPr>
              <w:t>厂房</w:t>
            </w:r>
            <w:r>
              <w:rPr>
                <w:rFonts w:ascii="Times New Roman" w:hAnsi="Times New Roman" w:eastAsia="宋体" w:cs="Times New Roman"/>
                <w:color w:val="auto"/>
                <w:highlight w:val="none"/>
              </w:rPr>
              <w:t>、一般固废暂存间</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应急池</w:t>
            </w:r>
          </w:p>
        </w:tc>
        <w:tc>
          <w:tcPr>
            <w:tcW w:w="2066" w:type="dxa"/>
            <w:noWrap w:val="0"/>
            <w:vAlign w:val="center"/>
          </w:tcPr>
          <w:p w14:paraId="38119DB7">
            <w:pPr>
              <w:pStyle w:val="136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地面</w:t>
            </w:r>
          </w:p>
        </w:tc>
      </w:tr>
      <w:tr w14:paraId="256F0C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80" w:type="dxa"/>
            <w:noWrap w:val="0"/>
            <w:vAlign w:val="center"/>
          </w:tcPr>
          <w:p w14:paraId="12EDDDF2">
            <w:pPr>
              <w:pStyle w:val="1369"/>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简单防渗区</w:t>
            </w:r>
          </w:p>
        </w:tc>
        <w:tc>
          <w:tcPr>
            <w:tcW w:w="4192" w:type="dxa"/>
            <w:noWrap w:val="0"/>
            <w:vAlign w:val="center"/>
          </w:tcPr>
          <w:p w14:paraId="6C8E0035">
            <w:pPr>
              <w:pStyle w:val="136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办公室、配电房</w:t>
            </w:r>
          </w:p>
        </w:tc>
        <w:tc>
          <w:tcPr>
            <w:tcW w:w="2066" w:type="dxa"/>
            <w:noWrap w:val="0"/>
            <w:vAlign w:val="center"/>
          </w:tcPr>
          <w:p w14:paraId="5C70D525">
            <w:pPr>
              <w:pStyle w:val="136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地面</w:t>
            </w:r>
          </w:p>
        </w:tc>
      </w:tr>
    </w:tbl>
    <w:p w14:paraId="2DA7118F">
      <w:pPr>
        <w:pStyle w:val="4"/>
        <w:numPr>
          <w:ilvl w:val="2"/>
          <w:numId w:val="0"/>
        </w:numPr>
        <w:tabs>
          <w:tab w:val="clear" w:pos="720"/>
        </w:tabs>
        <w:bidi w:val="0"/>
        <w:rPr>
          <w:color w:val="auto"/>
          <w:highlight w:val="none"/>
        </w:rPr>
      </w:pPr>
      <w:bookmarkStart w:id="537" w:name="_Toc7135"/>
      <w:r>
        <w:rPr>
          <w:color w:val="auto"/>
          <w:highlight w:val="none"/>
        </w:rPr>
        <w:t>5.</w:t>
      </w:r>
      <w:r>
        <w:rPr>
          <w:rFonts w:hint="eastAsia"/>
          <w:color w:val="auto"/>
          <w:highlight w:val="none"/>
          <w:lang w:val="en-US" w:eastAsia="zh-CN"/>
        </w:rPr>
        <w:t>7</w:t>
      </w:r>
      <w:r>
        <w:rPr>
          <w:color w:val="auto"/>
          <w:highlight w:val="none"/>
        </w:rPr>
        <w:t>.4</w:t>
      </w:r>
      <w:r>
        <w:rPr>
          <w:rFonts w:hint="eastAsia"/>
          <w:color w:val="auto"/>
          <w:highlight w:val="none"/>
          <w:lang w:val="en-US" w:eastAsia="zh-CN"/>
        </w:rPr>
        <w:t xml:space="preserve"> </w:t>
      </w:r>
      <w:r>
        <w:rPr>
          <w:color w:val="auto"/>
          <w:highlight w:val="none"/>
        </w:rPr>
        <w:t>地下水环境影响分析</w:t>
      </w:r>
      <w:bookmarkEnd w:id="537"/>
    </w:p>
    <w:p w14:paraId="01662067">
      <w:pPr>
        <w:pStyle w:val="1336"/>
        <w:ind w:firstLine="480"/>
        <w:rPr>
          <w:color w:val="auto"/>
          <w:highlight w:val="none"/>
        </w:rPr>
      </w:pPr>
      <w:r>
        <w:rPr>
          <w:color w:val="auto"/>
          <w:highlight w:val="none"/>
        </w:rPr>
        <w:t>区域地下水没有集中式生活供水水源及热水、温泉等特殊地下水资源保护区，属于地下水环境不敏感区。</w:t>
      </w:r>
    </w:p>
    <w:p w14:paraId="7BF142C7">
      <w:pPr>
        <w:pStyle w:val="1336"/>
        <w:ind w:firstLine="480"/>
        <w:rPr>
          <w:color w:val="auto"/>
          <w:highlight w:val="none"/>
        </w:rPr>
      </w:pPr>
      <w:r>
        <w:rPr>
          <w:color w:val="auto"/>
          <w:highlight w:val="none"/>
        </w:rPr>
        <w:t>（1）对项目区域地下水位影响分析</w:t>
      </w:r>
    </w:p>
    <w:p w14:paraId="5D2A1E7C">
      <w:pPr>
        <w:pStyle w:val="1336"/>
        <w:ind w:firstLine="480"/>
        <w:rPr>
          <w:color w:val="auto"/>
          <w:highlight w:val="none"/>
        </w:rPr>
      </w:pPr>
      <w:r>
        <w:rPr>
          <w:color w:val="auto"/>
          <w:highlight w:val="none"/>
        </w:rPr>
        <w:t>项目用水采用自来水，不取用地下水，不会对区域地下水的水位、水量产生影响。</w:t>
      </w:r>
    </w:p>
    <w:p w14:paraId="49219335">
      <w:pPr>
        <w:pStyle w:val="1336"/>
        <w:ind w:firstLine="480"/>
        <w:rPr>
          <w:color w:val="auto"/>
          <w:highlight w:val="none"/>
        </w:rPr>
      </w:pPr>
      <w:r>
        <w:rPr>
          <w:color w:val="auto"/>
          <w:highlight w:val="none"/>
        </w:rPr>
        <w:t>（2）化学品泄漏对地下水的影响分析</w:t>
      </w:r>
    </w:p>
    <w:p w14:paraId="19353D4A">
      <w:pPr>
        <w:pStyle w:val="1336"/>
        <w:ind w:firstLine="480"/>
        <w:rPr>
          <w:color w:val="auto"/>
          <w:highlight w:val="none"/>
        </w:rPr>
      </w:pPr>
      <w:r>
        <w:rPr>
          <w:color w:val="auto"/>
          <w:highlight w:val="none"/>
        </w:rPr>
        <w:t>项目按要求进行分区防渗，采取防渗措施后，</w:t>
      </w:r>
      <w:r>
        <w:rPr>
          <w:rFonts w:hint="eastAsia"/>
          <w:color w:val="auto"/>
          <w:highlight w:val="none"/>
          <w:lang w:eastAsia="zh-CN"/>
        </w:rPr>
        <w:t>“</w:t>
      </w:r>
      <w:r>
        <w:rPr>
          <w:color w:val="auto"/>
          <w:highlight w:val="none"/>
        </w:rPr>
        <w:t>跑、冒、滴、漏</w:t>
      </w:r>
      <w:r>
        <w:rPr>
          <w:rFonts w:hint="eastAsia"/>
          <w:color w:val="auto"/>
          <w:highlight w:val="none"/>
          <w:lang w:eastAsia="zh-CN"/>
        </w:rPr>
        <w:t>”</w:t>
      </w:r>
      <w:r>
        <w:rPr>
          <w:color w:val="auto"/>
          <w:highlight w:val="none"/>
        </w:rPr>
        <w:t>的污染物均可控制在地面上，基本不会影响地下水。</w:t>
      </w:r>
    </w:p>
    <w:p w14:paraId="156835AA">
      <w:pPr>
        <w:pStyle w:val="1336"/>
        <w:ind w:firstLine="480"/>
        <w:rPr>
          <w:color w:val="auto"/>
          <w:highlight w:val="none"/>
        </w:rPr>
      </w:pPr>
      <w:r>
        <w:rPr>
          <w:color w:val="auto"/>
          <w:highlight w:val="none"/>
        </w:rPr>
        <w:t>（3）对深层地下水的污染影响</w:t>
      </w:r>
    </w:p>
    <w:p w14:paraId="795ED547">
      <w:pPr>
        <w:pStyle w:val="1336"/>
        <w:ind w:firstLine="480"/>
        <w:rPr>
          <w:color w:val="auto"/>
          <w:highlight w:val="none"/>
        </w:rPr>
      </w:pPr>
      <w:r>
        <w:rPr>
          <w:color w:val="auto"/>
          <w:highlight w:val="none"/>
        </w:rPr>
        <w:t>判断深层地下水是否会受到污染影响，通常分析深层地下水含水组上覆地层的防污性能和有无与浅层地下水的水利联系。通过水文地质条件分析，区域地下水垂直渗入补给条件较差，与浅层地下水水利联系不密切。因此，深层地下水不会受到项目下渗污水的污染影响。</w:t>
      </w:r>
    </w:p>
    <w:p w14:paraId="4208CB16">
      <w:pPr>
        <w:pStyle w:val="1336"/>
        <w:ind w:firstLine="480"/>
        <w:rPr>
          <w:color w:val="auto"/>
          <w:highlight w:val="none"/>
        </w:rPr>
      </w:pPr>
      <w:r>
        <w:rPr>
          <w:color w:val="auto"/>
          <w:highlight w:val="none"/>
        </w:rPr>
        <w:t>因此，在严格按照上述地下水分区防渗措施的前提下，项目运营对区域地下水环境影响较小。</w:t>
      </w:r>
    </w:p>
    <w:p w14:paraId="5656431A">
      <w:pPr>
        <w:pStyle w:val="2"/>
        <w:numPr>
          <w:ilvl w:val="0"/>
          <w:numId w:val="0"/>
        </w:numPr>
        <w:bidi w:val="0"/>
        <w:ind w:leftChars="0"/>
        <w:rPr>
          <w:color w:val="auto"/>
          <w:highlight w:val="none"/>
        </w:rPr>
      </w:pPr>
      <w:bookmarkStart w:id="538" w:name="_Toc23839"/>
      <w:r>
        <w:rPr>
          <w:rFonts w:hint="eastAsia"/>
          <w:color w:val="auto"/>
          <w:highlight w:val="none"/>
          <w:lang w:val="en-US" w:eastAsia="zh-CN"/>
        </w:rPr>
        <w:t xml:space="preserve">6 </w:t>
      </w:r>
      <w:r>
        <w:rPr>
          <w:color w:val="auto"/>
          <w:highlight w:val="none"/>
        </w:rPr>
        <w:t>环境</w:t>
      </w:r>
      <w:bookmarkEnd w:id="133"/>
      <w:bookmarkEnd w:id="134"/>
      <w:bookmarkEnd w:id="135"/>
      <w:r>
        <w:rPr>
          <w:color w:val="auto"/>
          <w:highlight w:val="none"/>
        </w:rPr>
        <w:t>风险分析</w:t>
      </w:r>
      <w:bookmarkEnd w:id="136"/>
      <w:bookmarkEnd w:id="137"/>
      <w:bookmarkEnd w:id="138"/>
      <w:bookmarkEnd w:id="139"/>
      <w:bookmarkEnd w:id="140"/>
      <w:bookmarkEnd w:id="141"/>
      <w:bookmarkEnd w:id="142"/>
      <w:bookmarkEnd w:id="143"/>
      <w:bookmarkEnd w:id="144"/>
      <w:bookmarkEnd w:id="145"/>
      <w:bookmarkEnd w:id="146"/>
      <w:bookmarkEnd w:id="147"/>
      <w:bookmarkEnd w:id="538"/>
    </w:p>
    <w:p w14:paraId="66D478B0">
      <w:pPr>
        <w:pStyle w:val="3"/>
        <w:numPr>
          <w:ilvl w:val="0"/>
          <w:numId w:val="0"/>
        </w:numPr>
        <w:bidi w:val="0"/>
        <w:rPr>
          <w:rFonts w:hint="eastAsia" w:eastAsia="宋体"/>
          <w:color w:val="auto"/>
          <w:highlight w:val="none"/>
          <w:lang w:val="en-US" w:eastAsia="zh-CN"/>
        </w:rPr>
      </w:pPr>
      <w:bookmarkStart w:id="539" w:name="_Toc9496"/>
      <w:bookmarkStart w:id="540" w:name="_Toc19787"/>
      <w:bookmarkStart w:id="541" w:name="_Toc16669960"/>
      <w:bookmarkStart w:id="542" w:name="_Toc3845"/>
      <w:bookmarkStart w:id="543" w:name="_Toc3594"/>
      <w:bookmarkStart w:id="544" w:name="_Toc3575"/>
      <w:bookmarkStart w:id="545" w:name="_Toc28152"/>
      <w:bookmarkStart w:id="546" w:name="_Toc32580"/>
      <w:bookmarkStart w:id="547" w:name="_Toc17435"/>
      <w:bookmarkStart w:id="548" w:name="_Toc6887"/>
      <w:bookmarkStart w:id="549" w:name="_Toc8688"/>
      <w:r>
        <w:rPr>
          <w:color w:val="auto"/>
          <w:highlight w:val="none"/>
        </w:rPr>
        <w:t>6.1</w:t>
      </w:r>
      <w:r>
        <w:rPr>
          <w:rFonts w:hint="eastAsia"/>
          <w:color w:val="auto"/>
          <w:highlight w:val="none"/>
          <w:lang w:val="en-US" w:eastAsia="zh-CN"/>
        </w:rPr>
        <w:t xml:space="preserve"> </w:t>
      </w:r>
      <w:r>
        <w:rPr>
          <w:color w:val="auto"/>
          <w:highlight w:val="none"/>
        </w:rPr>
        <w:t>风险评价总则</w:t>
      </w:r>
      <w:bookmarkEnd w:id="539"/>
      <w:bookmarkEnd w:id="540"/>
      <w:bookmarkEnd w:id="541"/>
      <w:bookmarkEnd w:id="542"/>
      <w:bookmarkEnd w:id="543"/>
      <w:bookmarkEnd w:id="544"/>
      <w:bookmarkEnd w:id="545"/>
      <w:bookmarkEnd w:id="546"/>
      <w:bookmarkEnd w:id="547"/>
      <w:bookmarkEnd w:id="548"/>
      <w:bookmarkEnd w:id="549"/>
    </w:p>
    <w:p w14:paraId="7DC929EB">
      <w:pPr>
        <w:pStyle w:val="4"/>
        <w:numPr>
          <w:ilvl w:val="0"/>
          <w:numId w:val="0"/>
        </w:numPr>
        <w:tabs>
          <w:tab w:val="clear" w:pos="720"/>
        </w:tabs>
        <w:bidi w:val="0"/>
        <w:rPr>
          <w:color w:val="auto"/>
          <w:highlight w:val="none"/>
        </w:rPr>
      </w:pPr>
      <w:bookmarkStart w:id="550" w:name="_Toc32273"/>
      <w:bookmarkStart w:id="551" w:name="_Toc13954"/>
      <w:bookmarkStart w:id="552" w:name="_Toc3504"/>
      <w:bookmarkStart w:id="553" w:name="_Toc10263"/>
      <w:bookmarkStart w:id="554" w:name="_Toc25717"/>
      <w:bookmarkStart w:id="555" w:name="_Toc27162"/>
      <w:bookmarkStart w:id="556" w:name="_Toc27808"/>
      <w:bookmarkStart w:id="557" w:name="_Toc10368"/>
      <w:bookmarkStart w:id="558" w:name="_Toc4522"/>
      <w:r>
        <w:rPr>
          <w:color w:val="auto"/>
          <w:highlight w:val="none"/>
        </w:rPr>
        <w:t>6.1.1</w:t>
      </w:r>
      <w:r>
        <w:rPr>
          <w:rFonts w:hint="eastAsia"/>
          <w:color w:val="auto"/>
          <w:highlight w:val="none"/>
          <w:lang w:val="en-US" w:eastAsia="zh-CN"/>
        </w:rPr>
        <w:t xml:space="preserve"> </w:t>
      </w:r>
      <w:r>
        <w:rPr>
          <w:color w:val="auto"/>
          <w:highlight w:val="none"/>
        </w:rPr>
        <w:t>一般性原则</w:t>
      </w:r>
      <w:bookmarkEnd w:id="550"/>
      <w:bookmarkEnd w:id="551"/>
      <w:bookmarkEnd w:id="552"/>
      <w:bookmarkEnd w:id="553"/>
      <w:bookmarkEnd w:id="554"/>
      <w:bookmarkEnd w:id="555"/>
      <w:bookmarkEnd w:id="556"/>
      <w:bookmarkEnd w:id="557"/>
      <w:bookmarkEnd w:id="558"/>
    </w:p>
    <w:p w14:paraId="470E3FD8">
      <w:pPr>
        <w:bidi w:val="0"/>
        <w:rPr>
          <w:rFonts w:hint="eastAsia"/>
          <w:color w:val="auto"/>
          <w:highlight w:val="none"/>
        </w:rPr>
      </w:pPr>
      <w:r>
        <w:rPr>
          <w:rFonts w:hint="eastAsia"/>
          <w:color w:val="auto"/>
          <w:highlight w:val="none"/>
        </w:rPr>
        <w:t>根据《建设项目环境风险评价技术导则》</w:t>
      </w:r>
      <w:r>
        <w:rPr>
          <w:rFonts w:hint="eastAsia"/>
          <w:color w:val="auto"/>
          <w:highlight w:val="none"/>
          <w:lang w:eastAsia="zh-CN"/>
        </w:rPr>
        <w:t>（</w:t>
      </w:r>
      <w:r>
        <w:rPr>
          <w:rFonts w:hint="eastAsia"/>
          <w:color w:val="auto"/>
          <w:highlight w:val="none"/>
        </w:rPr>
        <w:t>HJ 169-2018</w:t>
      </w:r>
      <w:r>
        <w:rPr>
          <w:rFonts w:hint="eastAsia"/>
          <w:color w:val="auto"/>
          <w:highlight w:val="none"/>
          <w:lang w:eastAsia="zh-CN"/>
        </w:rPr>
        <w:t>）</w:t>
      </w:r>
      <w:r>
        <w:rPr>
          <w:rFonts w:hint="eastAsia"/>
          <w:color w:val="auto"/>
          <w:highlight w:val="none"/>
        </w:rPr>
        <w:t>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49A1414E">
      <w:pPr>
        <w:bidi w:val="0"/>
        <w:rPr>
          <w:rFonts w:hint="eastAsia"/>
          <w:color w:val="auto"/>
          <w:highlight w:val="none"/>
        </w:rPr>
      </w:pPr>
      <w:r>
        <w:rPr>
          <w:rFonts w:hint="eastAsia"/>
          <w:color w:val="auto"/>
          <w:highlight w:val="none"/>
        </w:rPr>
        <w:t>本章节主要依据《建设项目环境风险评价技术导则》</w:t>
      </w:r>
      <w:r>
        <w:rPr>
          <w:rFonts w:hint="eastAsia"/>
          <w:color w:val="auto"/>
          <w:highlight w:val="none"/>
          <w:lang w:eastAsia="zh-CN"/>
        </w:rPr>
        <w:t>（</w:t>
      </w:r>
      <w:r>
        <w:rPr>
          <w:rFonts w:hint="eastAsia"/>
          <w:color w:val="auto"/>
          <w:highlight w:val="none"/>
        </w:rPr>
        <w:t>HJ 169-2018</w:t>
      </w:r>
      <w:r>
        <w:rPr>
          <w:rFonts w:hint="eastAsia"/>
          <w:color w:val="auto"/>
          <w:highlight w:val="none"/>
          <w:lang w:eastAsia="zh-CN"/>
        </w:rPr>
        <w:t>）</w:t>
      </w:r>
      <w:r>
        <w:rPr>
          <w:rFonts w:hint="eastAsia"/>
          <w:color w:val="auto"/>
          <w:highlight w:val="none"/>
        </w:rPr>
        <w:t>和原国家环境保护总局《关于进一步加强环境影响评价管理防范环境风险的通知》</w:t>
      </w:r>
      <w:r>
        <w:rPr>
          <w:rFonts w:hint="eastAsia"/>
          <w:color w:val="auto"/>
          <w:highlight w:val="none"/>
          <w:lang w:eastAsia="zh-CN"/>
        </w:rPr>
        <w:t>，</w:t>
      </w:r>
      <w:r>
        <w:rPr>
          <w:rFonts w:hint="eastAsia"/>
          <w:color w:val="auto"/>
          <w:highlight w:val="none"/>
        </w:rPr>
        <w:t>项目实施后环境风险评价的基本内容包括风险调查、环境风险潜势初判、风险识别、风险事故情形分析、风险预测与评价、环境风险管理等</w:t>
      </w:r>
      <w:r>
        <w:rPr>
          <w:rFonts w:hint="eastAsia"/>
          <w:color w:val="auto"/>
          <w:highlight w:val="none"/>
          <w:lang w:eastAsia="zh-CN"/>
        </w:rPr>
        <w:t>，对</w:t>
      </w:r>
      <w:r>
        <w:rPr>
          <w:rFonts w:hint="eastAsia"/>
          <w:color w:val="auto"/>
          <w:highlight w:val="none"/>
        </w:rPr>
        <w:t>项目建设进行环境风险评价。</w:t>
      </w:r>
    </w:p>
    <w:p w14:paraId="79759CBF">
      <w:pPr>
        <w:pStyle w:val="4"/>
        <w:numPr>
          <w:ilvl w:val="0"/>
          <w:numId w:val="0"/>
        </w:numPr>
        <w:tabs>
          <w:tab w:val="clear" w:pos="720"/>
        </w:tabs>
        <w:bidi w:val="0"/>
        <w:rPr>
          <w:color w:val="auto"/>
          <w:highlight w:val="none"/>
        </w:rPr>
      </w:pPr>
      <w:bookmarkStart w:id="559" w:name="_Toc476928802"/>
      <w:bookmarkStart w:id="560" w:name="_Toc395778125"/>
      <w:bookmarkStart w:id="561" w:name="_Toc22729"/>
      <w:bookmarkStart w:id="562" w:name="_Toc523324065"/>
      <w:bookmarkStart w:id="563" w:name="_Toc24932"/>
      <w:bookmarkStart w:id="564" w:name="_Toc13790"/>
      <w:bookmarkStart w:id="565" w:name="_Toc15953"/>
      <w:bookmarkStart w:id="566" w:name="_Toc12811"/>
      <w:bookmarkStart w:id="567" w:name="_Toc15546"/>
      <w:bookmarkStart w:id="568" w:name="_Toc27899"/>
      <w:bookmarkStart w:id="569" w:name="_Toc253"/>
      <w:bookmarkStart w:id="570" w:name="_Toc15519"/>
      <w:bookmarkStart w:id="571" w:name="_Toc29191"/>
      <w:bookmarkStart w:id="572" w:name="_Toc11681"/>
      <w:bookmarkStart w:id="573" w:name="bookmark561"/>
      <w:bookmarkStart w:id="574" w:name="_Toc2954"/>
      <w:bookmarkStart w:id="575" w:name="bookmark560"/>
      <w:bookmarkStart w:id="576" w:name="bookmark562"/>
      <w:r>
        <w:rPr>
          <w:color w:val="auto"/>
          <w:highlight w:val="none"/>
        </w:rPr>
        <w:t>6.</w:t>
      </w:r>
      <w:bookmarkEnd w:id="559"/>
      <w:bookmarkEnd w:id="560"/>
      <w:r>
        <w:rPr>
          <w:color w:val="auto"/>
          <w:highlight w:val="none"/>
        </w:rPr>
        <w:t>1.2</w:t>
      </w:r>
      <w:bookmarkEnd w:id="561"/>
      <w:bookmarkEnd w:id="562"/>
      <w:bookmarkEnd w:id="563"/>
      <w:r>
        <w:rPr>
          <w:rFonts w:hint="eastAsia"/>
          <w:color w:val="auto"/>
          <w:highlight w:val="none"/>
          <w:lang w:val="en-US" w:eastAsia="zh-CN"/>
        </w:rPr>
        <w:t xml:space="preserve"> </w:t>
      </w:r>
      <w:r>
        <w:rPr>
          <w:color w:val="auto"/>
          <w:highlight w:val="none"/>
        </w:rPr>
        <w:t>评价工作程序</w:t>
      </w:r>
      <w:bookmarkEnd w:id="564"/>
      <w:bookmarkEnd w:id="565"/>
      <w:bookmarkEnd w:id="566"/>
      <w:bookmarkEnd w:id="567"/>
      <w:bookmarkEnd w:id="568"/>
      <w:bookmarkEnd w:id="569"/>
      <w:bookmarkEnd w:id="570"/>
      <w:bookmarkEnd w:id="571"/>
      <w:bookmarkEnd w:id="572"/>
    </w:p>
    <w:p w14:paraId="5AFD1559">
      <w:pPr>
        <w:pStyle w:val="8"/>
        <w:bidi w:val="0"/>
        <w:rPr>
          <w:rFonts w:hint="default" w:ascii="Times New Roman" w:hAnsi="Times New Roman" w:cs="Times New Roman"/>
          <w:color w:val="auto"/>
          <w:highlight w:val="none"/>
        </w:rPr>
      </w:pPr>
      <w:r>
        <w:rPr>
          <w:color w:val="auto"/>
          <w:highlight w:val="none"/>
        </w:rPr>
        <w:drawing>
          <wp:inline distT="0" distB="0" distL="114300" distR="114300">
            <wp:extent cx="5450205" cy="6486525"/>
            <wp:effectExtent l="0" t="0" r="17145" b="9525"/>
            <wp:docPr id="111" name="图片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807"/>
                    <pic:cNvPicPr>
                      <a:picLocks noChangeAspect="1"/>
                    </pic:cNvPicPr>
                  </pic:nvPicPr>
                  <pic:blipFill>
                    <a:blip r:embed="rId93"/>
                    <a:stretch>
                      <a:fillRect/>
                    </a:stretch>
                  </pic:blipFill>
                  <pic:spPr>
                    <a:xfrm>
                      <a:off x="0" y="0"/>
                      <a:ext cx="5450205" cy="6486525"/>
                    </a:xfrm>
                    <a:prstGeom prst="rect">
                      <a:avLst/>
                    </a:prstGeom>
                    <a:noFill/>
                    <a:ln>
                      <a:noFill/>
                    </a:ln>
                  </pic:spPr>
                </pic:pic>
              </a:graphicData>
            </a:graphic>
          </wp:inline>
        </w:drawing>
      </w:r>
      <w:r>
        <w:rPr>
          <w:rFonts w:hint="default" w:ascii="Times New Roman" w:hAnsi="Times New Roman" w:cs="Times New Roman"/>
          <w:color w:val="auto"/>
          <w:highlight w:val="none"/>
        </w:rPr>
        <w:t xml:space="preserve">图6.1-1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评价工作程序</w:t>
      </w:r>
    </w:p>
    <w:p w14:paraId="58FE9991">
      <w:pPr>
        <w:ind w:firstLine="0" w:firstLineChars="0"/>
        <w:jc w:val="center"/>
        <w:rPr>
          <w:color w:val="auto"/>
          <w:highlight w:val="none"/>
        </w:rPr>
      </w:pPr>
    </w:p>
    <w:bookmarkEnd w:id="573"/>
    <w:bookmarkEnd w:id="574"/>
    <w:bookmarkEnd w:id="575"/>
    <w:bookmarkEnd w:id="576"/>
    <w:p w14:paraId="1CA9E16D">
      <w:pPr>
        <w:pStyle w:val="3"/>
        <w:numPr>
          <w:ilvl w:val="0"/>
          <w:numId w:val="0"/>
        </w:numPr>
        <w:bidi w:val="0"/>
        <w:rPr>
          <w:color w:val="auto"/>
          <w:highlight w:val="none"/>
        </w:rPr>
      </w:pPr>
      <w:bookmarkStart w:id="577" w:name="_Toc21065"/>
      <w:bookmarkStart w:id="578" w:name="_Toc21926"/>
      <w:bookmarkStart w:id="579" w:name="_Toc30032"/>
      <w:bookmarkStart w:id="580" w:name="_Toc2239"/>
      <w:bookmarkStart w:id="581" w:name="_Toc11311"/>
      <w:bookmarkStart w:id="582" w:name="_Toc24366"/>
      <w:bookmarkStart w:id="583" w:name="_Toc28321"/>
      <w:bookmarkStart w:id="584" w:name="_Toc12493"/>
      <w:bookmarkStart w:id="585" w:name="_Toc16669961"/>
      <w:bookmarkStart w:id="586" w:name="_Toc6777"/>
      <w:bookmarkStart w:id="587" w:name="_Toc13469"/>
      <w:r>
        <w:rPr>
          <w:color w:val="auto"/>
          <w:highlight w:val="none"/>
        </w:rPr>
        <w:t>6.2</w:t>
      </w:r>
      <w:r>
        <w:rPr>
          <w:rFonts w:hint="eastAsia"/>
          <w:color w:val="auto"/>
          <w:highlight w:val="none"/>
          <w:lang w:val="en-US" w:eastAsia="zh-CN"/>
        </w:rPr>
        <w:t xml:space="preserve"> </w:t>
      </w:r>
      <w:r>
        <w:rPr>
          <w:color w:val="auto"/>
          <w:highlight w:val="none"/>
        </w:rPr>
        <w:t>风险调查</w:t>
      </w:r>
      <w:bookmarkEnd w:id="577"/>
      <w:bookmarkEnd w:id="578"/>
      <w:bookmarkEnd w:id="579"/>
      <w:bookmarkEnd w:id="580"/>
      <w:bookmarkEnd w:id="581"/>
      <w:bookmarkEnd w:id="582"/>
      <w:bookmarkEnd w:id="583"/>
      <w:bookmarkEnd w:id="584"/>
      <w:bookmarkEnd w:id="585"/>
      <w:bookmarkEnd w:id="586"/>
      <w:bookmarkEnd w:id="587"/>
    </w:p>
    <w:p w14:paraId="4AE8AA96">
      <w:pPr>
        <w:pStyle w:val="4"/>
        <w:numPr>
          <w:ilvl w:val="0"/>
          <w:numId w:val="0"/>
        </w:numPr>
        <w:tabs>
          <w:tab w:val="clear" w:pos="720"/>
        </w:tabs>
        <w:bidi w:val="0"/>
        <w:rPr>
          <w:color w:val="auto"/>
          <w:highlight w:val="none"/>
        </w:rPr>
      </w:pPr>
      <w:bookmarkStart w:id="588" w:name="_Toc8933"/>
      <w:bookmarkStart w:id="589" w:name="_Toc12222"/>
      <w:bookmarkStart w:id="590" w:name="_Toc26472"/>
      <w:bookmarkStart w:id="591" w:name="_Toc4407"/>
      <w:bookmarkStart w:id="592" w:name="_Toc23960"/>
      <w:bookmarkStart w:id="593" w:name="_Toc27"/>
      <w:bookmarkStart w:id="594" w:name="_Toc14371"/>
      <w:bookmarkStart w:id="595" w:name="_Toc10605"/>
      <w:bookmarkStart w:id="596" w:name="_Toc22010"/>
      <w:r>
        <w:rPr>
          <w:color w:val="auto"/>
          <w:highlight w:val="none"/>
        </w:rPr>
        <w:t>6.2.1</w:t>
      </w:r>
      <w:r>
        <w:rPr>
          <w:rFonts w:hint="eastAsia"/>
          <w:color w:val="auto"/>
          <w:highlight w:val="none"/>
          <w:lang w:val="en-US" w:eastAsia="zh-CN"/>
        </w:rPr>
        <w:t xml:space="preserve"> </w:t>
      </w:r>
      <w:r>
        <w:rPr>
          <w:color w:val="auto"/>
          <w:highlight w:val="none"/>
        </w:rPr>
        <w:t>建设项目风险源调查</w:t>
      </w:r>
      <w:bookmarkEnd w:id="588"/>
      <w:bookmarkEnd w:id="589"/>
      <w:bookmarkEnd w:id="590"/>
      <w:bookmarkEnd w:id="591"/>
      <w:bookmarkEnd w:id="592"/>
      <w:bookmarkEnd w:id="593"/>
      <w:bookmarkEnd w:id="594"/>
      <w:bookmarkEnd w:id="595"/>
      <w:bookmarkEnd w:id="596"/>
    </w:p>
    <w:p w14:paraId="1F6B7EFD">
      <w:pPr>
        <w:pStyle w:val="6"/>
        <w:bidi w:val="0"/>
        <w:rPr>
          <w:rFonts w:hint="eastAsia"/>
          <w:color w:val="auto"/>
          <w:highlight w:val="none"/>
        </w:rPr>
      </w:pPr>
      <w:bookmarkStart w:id="597" w:name="_Toc26227"/>
      <w:bookmarkStart w:id="598" w:name="_Toc29712"/>
      <w:bookmarkStart w:id="599" w:name="_Toc523324067"/>
      <w:r>
        <w:rPr>
          <w:rFonts w:hint="eastAsia"/>
          <w:color w:val="auto"/>
          <w:highlight w:val="none"/>
          <w:lang w:eastAsia="zh-CN"/>
        </w:rPr>
        <w:t>（</w:t>
      </w:r>
      <w:r>
        <w:rPr>
          <w:rFonts w:hint="eastAsia"/>
          <w:color w:val="auto"/>
          <w:highlight w:val="none"/>
        </w:rPr>
        <w:t>1</w:t>
      </w:r>
      <w:r>
        <w:rPr>
          <w:rFonts w:hint="eastAsia"/>
          <w:color w:val="auto"/>
          <w:highlight w:val="none"/>
          <w:lang w:eastAsia="zh-CN"/>
        </w:rPr>
        <w:t>）</w:t>
      </w:r>
      <w:r>
        <w:rPr>
          <w:rFonts w:hint="eastAsia"/>
          <w:color w:val="auto"/>
          <w:highlight w:val="none"/>
        </w:rPr>
        <w:t>风险识别范围和类型</w:t>
      </w:r>
    </w:p>
    <w:p w14:paraId="010C6AAF">
      <w:pPr>
        <w:bidi w:val="0"/>
        <w:rPr>
          <w:rFonts w:hint="eastAsia"/>
          <w:color w:val="auto"/>
          <w:highlight w:val="none"/>
        </w:rPr>
      </w:pPr>
      <w:r>
        <w:rPr>
          <w:rFonts w:hint="eastAsia"/>
          <w:color w:val="auto"/>
          <w:highlight w:val="none"/>
        </w:rPr>
        <w:t>A、风险识别范围</w:t>
      </w:r>
    </w:p>
    <w:p w14:paraId="35A0C93D">
      <w:pPr>
        <w:bidi w:val="0"/>
        <w:rPr>
          <w:rFonts w:hint="eastAsia"/>
          <w:color w:val="auto"/>
          <w:highlight w:val="none"/>
        </w:rPr>
      </w:pPr>
      <w:r>
        <w:rPr>
          <w:rFonts w:hint="eastAsia"/>
          <w:color w:val="auto"/>
          <w:highlight w:val="none"/>
        </w:rPr>
        <w:t>风险识别范围包括全厂生产设施风险识别和生产过程中所涉及的物质风险识别。</w:t>
      </w:r>
    </w:p>
    <w:p w14:paraId="528B422C">
      <w:pPr>
        <w:bidi w:val="0"/>
        <w:rPr>
          <w:rFonts w:hint="eastAsia"/>
          <w:color w:val="auto"/>
          <w:highlight w:val="none"/>
        </w:rPr>
      </w:pPr>
      <w:r>
        <w:rPr>
          <w:rFonts w:hint="eastAsia"/>
          <w:color w:val="auto"/>
          <w:highlight w:val="none"/>
        </w:rPr>
        <w:t>①物质风险识别范围包括：全厂主要原材料及辅助材料、燃料、中间产品、副产品、最终产品以及生产过程中排放的</w:t>
      </w:r>
      <w:r>
        <w:rPr>
          <w:rFonts w:hint="eastAsia"/>
          <w:color w:val="auto"/>
          <w:highlight w:val="none"/>
          <w:lang w:eastAsia="zh-CN"/>
        </w:rPr>
        <w:t>“</w:t>
      </w:r>
      <w:r>
        <w:rPr>
          <w:rFonts w:hint="eastAsia"/>
          <w:color w:val="auto"/>
          <w:highlight w:val="none"/>
        </w:rPr>
        <w:t>三废</w:t>
      </w:r>
      <w:r>
        <w:rPr>
          <w:rFonts w:hint="eastAsia"/>
          <w:color w:val="auto"/>
          <w:highlight w:val="none"/>
          <w:lang w:eastAsia="zh-CN"/>
        </w:rPr>
        <w:t>”</w:t>
      </w:r>
      <w:r>
        <w:rPr>
          <w:rFonts w:hint="eastAsia"/>
          <w:color w:val="auto"/>
          <w:highlight w:val="none"/>
        </w:rPr>
        <w:t>污染物等。</w:t>
      </w:r>
    </w:p>
    <w:p w14:paraId="7DE8A119">
      <w:pPr>
        <w:bidi w:val="0"/>
        <w:rPr>
          <w:rFonts w:hint="eastAsia"/>
          <w:color w:val="auto"/>
          <w:highlight w:val="none"/>
        </w:rPr>
      </w:pPr>
      <w:r>
        <w:rPr>
          <w:rFonts w:hint="eastAsia"/>
          <w:color w:val="auto"/>
          <w:highlight w:val="none"/>
        </w:rPr>
        <w:t>②生产设施风险识别范围包括：全厂主要生产装置、储运系统、公用工程系统、工程环保设施及辅助生产设施等。</w:t>
      </w:r>
    </w:p>
    <w:p w14:paraId="42E90BDF">
      <w:pPr>
        <w:bidi w:val="0"/>
        <w:rPr>
          <w:rFonts w:hint="eastAsia"/>
          <w:color w:val="auto"/>
          <w:highlight w:val="none"/>
        </w:rPr>
      </w:pPr>
      <w:r>
        <w:rPr>
          <w:rFonts w:hint="eastAsia"/>
          <w:color w:val="auto"/>
          <w:highlight w:val="none"/>
        </w:rPr>
        <w:t>B、风险识别类型</w:t>
      </w:r>
    </w:p>
    <w:p w14:paraId="7AFD1AB0">
      <w:pPr>
        <w:bidi w:val="0"/>
        <w:rPr>
          <w:rFonts w:hint="eastAsia"/>
          <w:color w:val="auto"/>
          <w:highlight w:val="none"/>
        </w:rPr>
      </w:pPr>
      <w:r>
        <w:rPr>
          <w:rFonts w:hint="eastAsia"/>
          <w:color w:val="auto"/>
          <w:highlight w:val="none"/>
        </w:rPr>
        <w:t>根据有毒有害物质</w:t>
      </w:r>
      <w:r>
        <w:rPr>
          <w:rFonts w:hint="eastAsia"/>
          <w:color w:val="auto"/>
          <w:highlight w:val="none"/>
          <w:lang w:val="en-US" w:eastAsia="zh-CN"/>
        </w:rPr>
        <w:t>扩散</w:t>
      </w:r>
      <w:r>
        <w:rPr>
          <w:rFonts w:hint="eastAsia"/>
          <w:color w:val="auto"/>
          <w:highlight w:val="none"/>
        </w:rPr>
        <w:t>起因，分为泄漏、火灾、爆炸引起的伴生/次生污染物排放三种类型。本项目生产过程和储存中这三种风险类型均会出现，因此考虑由此造成污染事故排放，不考虑自然火灾如地震、洪水、台风等引起的事故风险。</w:t>
      </w:r>
    </w:p>
    <w:p w14:paraId="6F3BB493">
      <w:pPr>
        <w:pStyle w:val="6"/>
        <w:bidi w:val="0"/>
        <w:rPr>
          <w:rFonts w:hint="eastAsia"/>
          <w:color w:val="auto"/>
          <w:highlight w:val="none"/>
        </w:rPr>
      </w:pPr>
      <w:r>
        <w:rPr>
          <w:rFonts w:hint="eastAsia"/>
          <w:color w:val="auto"/>
          <w:highlight w:val="none"/>
          <w:lang w:eastAsia="zh-CN"/>
        </w:rPr>
        <w:t>（</w:t>
      </w:r>
      <w:r>
        <w:rPr>
          <w:rFonts w:hint="eastAsia"/>
          <w:color w:val="auto"/>
          <w:highlight w:val="none"/>
        </w:rPr>
        <w:t>2</w:t>
      </w:r>
      <w:r>
        <w:rPr>
          <w:rFonts w:hint="eastAsia"/>
          <w:color w:val="auto"/>
          <w:highlight w:val="none"/>
          <w:lang w:eastAsia="zh-CN"/>
        </w:rPr>
        <w:t>）</w:t>
      </w:r>
      <w:r>
        <w:rPr>
          <w:rFonts w:hint="eastAsia"/>
          <w:color w:val="auto"/>
          <w:highlight w:val="none"/>
        </w:rPr>
        <w:t>物质危险性识别</w:t>
      </w:r>
    </w:p>
    <w:p w14:paraId="23D7E29B">
      <w:pPr>
        <w:ind w:firstLine="480"/>
        <w:rPr>
          <w:rFonts w:hint="eastAsia"/>
          <w:color w:val="auto"/>
          <w:highlight w:val="none"/>
          <w:lang w:eastAsia="zh-CN"/>
        </w:rPr>
      </w:pPr>
      <w:r>
        <w:rPr>
          <w:rFonts w:hint="default"/>
          <w:color w:val="auto"/>
          <w:highlight w:val="none"/>
        </w:rPr>
        <w:t>根据本项目工程分析以及项目所使用的主要原辅材料、燃料、产品及生产过程中排放的</w:t>
      </w:r>
      <w:r>
        <w:rPr>
          <w:rFonts w:hint="eastAsia"/>
          <w:color w:val="auto"/>
          <w:highlight w:val="none"/>
          <w:lang w:eastAsia="zh-CN"/>
        </w:rPr>
        <w:t>“</w:t>
      </w:r>
      <w:r>
        <w:rPr>
          <w:rFonts w:hint="default"/>
          <w:color w:val="auto"/>
          <w:highlight w:val="none"/>
        </w:rPr>
        <w:t>三废</w:t>
      </w:r>
      <w:r>
        <w:rPr>
          <w:rFonts w:hint="eastAsia"/>
          <w:color w:val="auto"/>
          <w:highlight w:val="none"/>
          <w:lang w:eastAsia="zh-CN"/>
        </w:rPr>
        <w:t>”</w:t>
      </w:r>
      <w:r>
        <w:rPr>
          <w:rFonts w:hint="default"/>
          <w:color w:val="auto"/>
          <w:highlight w:val="none"/>
        </w:rPr>
        <w:t>污染物情况，对照《建设项目环境风险评价技术导则》（HJ 169-2018）附录B《重点关注的危险物质及临界量</w:t>
      </w:r>
      <w:r>
        <w:rPr>
          <w:rFonts w:hint="eastAsia"/>
          <w:color w:val="auto"/>
          <w:highlight w:val="none"/>
          <w:lang w:eastAsia="zh-CN"/>
        </w:rPr>
        <w:t>》《危险化学品分类信息表》（2022修改版）、《化学品分类和标签规范第18部分：急性毒性》（GB30000.18-2013）及《化学品分类和标签规范第28部分：对水生环境的危害》（GB30000.28-201</w:t>
      </w:r>
      <w:r>
        <w:rPr>
          <w:rFonts w:hint="eastAsia"/>
          <w:color w:val="auto"/>
          <w:highlight w:val="none"/>
          <w:lang w:val="en-US" w:eastAsia="zh-CN"/>
        </w:rPr>
        <w:t>3</w:t>
      </w:r>
      <w:r>
        <w:rPr>
          <w:rFonts w:hint="eastAsia"/>
          <w:color w:val="auto"/>
          <w:highlight w:val="none"/>
          <w:lang w:eastAsia="zh-CN"/>
        </w:rPr>
        <w:t>），识别本项目存在的危险物质种类。本项目危险物质主要为涂料（</w:t>
      </w:r>
      <w:r>
        <w:rPr>
          <w:rFonts w:hint="eastAsia"/>
          <w:color w:val="auto"/>
          <w:highlight w:val="none"/>
          <w:lang w:val="en-US" w:eastAsia="zh-CN"/>
        </w:rPr>
        <w:t>底漆、色漆和清漆</w:t>
      </w:r>
      <w:r>
        <w:rPr>
          <w:rFonts w:hint="eastAsia"/>
          <w:color w:val="auto"/>
          <w:highlight w:val="none"/>
          <w:lang w:eastAsia="zh-CN"/>
        </w:rPr>
        <w:t>）及配套稀释剂、固化剂、清洗剂中所含的二甲苯、乙酸丁酯，废润滑油及天然气。</w:t>
      </w:r>
    </w:p>
    <w:p w14:paraId="6B13444F">
      <w:pPr>
        <w:ind w:firstLine="480"/>
        <w:rPr>
          <w:rFonts w:hint="eastAsia" w:eastAsia="宋体"/>
          <w:color w:val="auto"/>
          <w:highlight w:val="none"/>
          <w:lang w:eastAsia="zh-CN"/>
        </w:rPr>
      </w:pPr>
      <w:r>
        <w:rPr>
          <w:rFonts w:hint="default"/>
          <w:color w:val="auto"/>
          <w:highlight w:val="none"/>
        </w:rPr>
        <w:t>本项目油漆、稀释剂和固化剂中含有二甲苯和乙酸丁酯</w:t>
      </w:r>
      <w:r>
        <w:rPr>
          <w:rFonts w:hint="eastAsia"/>
          <w:color w:val="auto"/>
          <w:highlight w:val="none"/>
          <w:lang w:eastAsia="zh-CN"/>
        </w:rPr>
        <w:t>（</w:t>
      </w:r>
      <w:r>
        <w:rPr>
          <w:rFonts w:hint="default"/>
          <w:color w:val="auto"/>
          <w:highlight w:val="none"/>
        </w:rPr>
        <w:t>又名醋酸正丁酯</w:t>
      </w:r>
      <w:r>
        <w:rPr>
          <w:rFonts w:hint="eastAsia"/>
          <w:color w:val="auto"/>
          <w:highlight w:val="none"/>
          <w:lang w:eastAsia="zh-CN"/>
        </w:rPr>
        <w:t>）</w:t>
      </w:r>
      <w:r>
        <w:rPr>
          <w:rFonts w:hint="default"/>
          <w:color w:val="auto"/>
          <w:highlight w:val="none"/>
        </w:rPr>
        <w:t>，底漆最大存在量为</w:t>
      </w:r>
      <w:r>
        <w:rPr>
          <w:rFonts w:hint="eastAsia"/>
          <w:color w:val="auto"/>
          <w:highlight w:val="none"/>
          <w:lang w:val="en-US" w:eastAsia="zh-CN"/>
        </w:rPr>
        <w:t>1</w:t>
      </w:r>
      <w:r>
        <w:rPr>
          <w:rFonts w:hint="default"/>
          <w:color w:val="auto"/>
          <w:highlight w:val="none"/>
        </w:rPr>
        <w:t>t</w:t>
      </w:r>
      <w:r>
        <w:rPr>
          <w:rFonts w:hint="eastAsia"/>
          <w:color w:val="auto"/>
          <w:highlight w:val="none"/>
          <w:lang w:eastAsia="zh-CN"/>
        </w:rPr>
        <w:t>（</w:t>
      </w:r>
      <w:r>
        <w:rPr>
          <w:rFonts w:hint="default"/>
          <w:color w:val="auto"/>
          <w:highlight w:val="none"/>
        </w:rPr>
        <w:t>含二甲苯</w:t>
      </w:r>
      <w:r>
        <w:rPr>
          <w:rFonts w:hint="eastAsia"/>
          <w:color w:val="auto"/>
          <w:highlight w:val="none"/>
          <w:lang w:val="en-US" w:eastAsia="zh-CN"/>
        </w:rPr>
        <w:t>20</w:t>
      </w:r>
      <w:r>
        <w:rPr>
          <w:rFonts w:hint="default"/>
          <w:color w:val="auto"/>
          <w:highlight w:val="none"/>
        </w:rPr>
        <w:t>%、乙酸丁酯</w:t>
      </w:r>
      <w:r>
        <w:rPr>
          <w:rFonts w:hint="eastAsia"/>
          <w:color w:val="auto"/>
          <w:highlight w:val="none"/>
          <w:lang w:val="en-US" w:eastAsia="zh-CN"/>
        </w:rPr>
        <w:t>15</w:t>
      </w:r>
      <w:r>
        <w:rPr>
          <w:rFonts w:hint="default"/>
          <w:color w:val="auto"/>
          <w:highlight w:val="none"/>
        </w:rPr>
        <w:t>%</w:t>
      </w:r>
      <w:r>
        <w:rPr>
          <w:rFonts w:hint="eastAsia"/>
          <w:color w:val="auto"/>
          <w:highlight w:val="none"/>
          <w:lang w:eastAsia="zh-CN"/>
        </w:rPr>
        <w:t>）</w:t>
      </w:r>
      <w:r>
        <w:rPr>
          <w:rFonts w:hint="default"/>
          <w:color w:val="auto"/>
          <w:highlight w:val="none"/>
        </w:rPr>
        <w:t>，色漆最大存在量为</w:t>
      </w:r>
      <w:r>
        <w:rPr>
          <w:rFonts w:hint="eastAsia"/>
          <w:color w:val="auto"/>
          <w:highlight w:val="none"/>
          <w:lang w:val="en-US" w:eastAsia="zh-CN"/>
        </w:rPr>
        <w:t>2</w:t>
      </w:r>
      <w:r>
        <w:rPr>
          <w:rFonts w:hint="default"/>
          <w:color w:val="auto"/>
          <w:highlight w:val="none"/>
        </w:rPr>
        <w:t>t</w:t>
      </w:r>
      <w:r>
        <w:rPr>
          <w:rFonts w:hint="eastAsia"/>
          <w:color w:val="auto"/>
          <w:highlight w:val="none"/>
          <w:lang w:eastAsia="zh-CN"/>
        </w:rPr>
        <w:t>（</w:t>
      </w:r>
      <w:r>
        <w:rPr>
          <w:rFonts w:hint="default"/>
          <w:color w:val="auto"/>
          <w:highlight w:val="none"/>
        </w:rPr>
        <w:t>含二甲苯</w:t>
      </w:r>
      <w:r>
        <w:rPr>
          <w:rFonts w:hint="eastAsia"/>
          <w:color w:val="auto"/>
          <w:highlight w:val="none"/>
          <w:lang w:val="en-US" w:eastAsia="zh-CN"/>
        </w:rPr>
        <w:t>20</w:t>
      </w:r>
      <w:r>
        <w:rPr>
          <w:rFonts w:hint="default"/>
          <w:color w:val="auto"/>
          <w:highlight w:val="none"/>
        </w:rPr>
        <w:t>%、乙酸丁酯</w:t>
      </w:r>
      <w:r>
        <w:rPr>
          <w:rFonts w:hint="eastAsia"/>
          <w:color w:val="auto"/>
          <w:highlight w:val="none"/>
          <w:lang w:val="en-US" w:eastAsia="zh-CN"/>
        </w:rPr>
        <w:t>25</w:t>
      </w:r>
      <w:r>
        <w:rPr>
          <w:rFonts w:hint="default"/>
          <w:color w:val="auto"/>
          <w:highlight w:val="none"/>
        </w:rPr>
        <w:t>%</w:t>
      </w:r>
      <w:r>
        <w:rPr>
          <w:rFonts w:hint="eastAsia"/>
          <w:color w:val="auto"/>
          <w:highlight w:val="none"/>
          <w:lang w:eastAsia="zh-CN"/>
        </w:rPr>
        <w:t>）</w:t>
      </w:r>
      <w:r>
        <w:rPr>
          <w:rFonts w:hint="default"/>
          <w:color w:val="auto"/>
          <w:highlight w:val="none"/>
        </w:rPr>
        <w:t>，清漆最大存在量为</w:t>
      </w:r>
      <w:r>
        <w:rPr>
          <w:rFonts w:hint="eastAsia"/>
          <w:color w:val="auto"/>
          <w:highlight w:val="none"/>
          <w:lang w:val="en-US" w:eastAsia="zh-CN"/>
        </w:rPr>
        <w:t>2</w:t>
      </w:r>
      <w:r>
        <w:rPr>
          <w:rFonts w:hint="default"/>
          <w:color w:val="auto"/>
          <w:highlight w:val="none"/>
        </w:rPr>
        <w:t>t</w:t>
      </w:r>
      <w:r>
        <w:rPr>
          <w:rFonts w:hint="eastAsia"/>
          <w:color w:val="auto"/>
          <w:highlight w:val="none"/>
          <w:lang w:eastAsia="zh-CN"/>
        </w:rPr>
        <w:t>（</w:t>
      </w:r>
      <w:r>
        <w:rPr>
          <w:rFonts w:hint="default"/>
          <w:color w:val="auto"/>
          <w:highlight w:val="none"/>
        </w:rPr>
        <w:t>含二甲苯</w:t>
      </w:r>
      <w:r>
        <w:rPr>
          <w:rFonts w:hint="eastAsia"/>
          <w:color w:val="auto"/>
          <w:highlight w:val="none"/>
          <w:lang w:val="en-US" w:eastAsia="zh-CN"/>
        </w:rPr>
        <w:t>10</w:t>
      </w:r>
      <w:r>
        <w:rPr>
          <w:rFonts w:hint="default"/>
          <w:color w:val="auto"/>
          <w:highlight w:val="none"/>
        </w:rPr>
        <w:t>%、乙酸丁酯</w:t>
      </w:r>
      <w:r>
        <w:rPr>
          <w:rFonts w:hint="eastAsia"/>
          <w:color w:val="auto"/>
          <w:highlight w:val="none"/>
          <w:lang w:val="en-US" w:eastAsia="zh-CN"/>
        </w:rPr>
        <w:t>20</w:t>
      </w:r>
      <w:r>
        <w:rPr>
          <w:rFonts w:hint="default"/>
          <w:color w:val="auto"/>
          <w:highlight w:val="none"/>
        </w:rPr>
        <w:t>%</w:t>
      </w:r>
      <w:r>
        <w:rPr>
          <w:rFonts w:hint="eastAsia"/>
          <w:color w:val="auto"/>
          <w:highlight w:val="none"/>
          <w:lang w:eastAsia="zh-CN"/>
        </w:rPr>
        <w:t>）</w:t>
      </w:r>
      <w:r>
        <w:rPr>
          <w:rFonts w:hint="default"/>
          <w:color w:val="auto"/>
          <w:highlight w:val="none"/>
        </w:rPr>
        <w:t>，稀释剂最大存在量为</w:t>
      </w:r>
      <w:r>
        <w:rPr>
          <w:rFonts w:hint="eastAsia"/>
          <w:color w:val="auto"/>
          <w:highlight w:val="none"/>
          <w:lang w:val="en-US" w:eastAsia="zh-CN"/>
        </w:rPr>
        <w:t>1</w:t>
      </w:r>
      <w:r>
        <w:rPr>
          <w:rFonts w:hint="default"/>
          <w:color w:val="auto"/>
          <w:highlight w:val="none"/>
        </w:rPr>
        <w:t>t</w:t>
      </w:r>
      <w:r>
        <w:rPr>
          <w:rFonts w:hint="eastAsia"/>
          <w:color w:val="auto"/>
          <w:highlight w:val="none"/>
          <w:lang w:eastAsia="zh-CN"/>
        </w:rPr>
        <w:t>（</w:t>
      </w:r>
      <w:r>
        <w:rPr>
          <w:rFonts w:hint="default"/>
          <w:color w:val="auto"/>
          <w:highlight w:val="none"/>
        </w:rPr>
        <w:t>含二甲苯</w:t>
      </w:r>
      <w:r>
        <w:rPr>
          <w:rFonts w:hint="eastAsia"/>
          <w:color w:val="auto"/>
          <w:highlight w:val="none"/>
          <w:lang w:val="en-US" w:eastAsia="zh-CN"/>
        </w:rPr>
        <w:t>3</w:t>
      </w:r>
      <w:r>
        <w:rPr>
          <w:rFonts w:hint="default"/>
          <w:color w:val="auto"/>
          <w:highlight w:val="none"/>
        </w:rPr>
        <w:t>5%、乙酸丁酯</w:t>
      </w:r>
      <w:r>
        <w:rPr>
          <w:rFonts w:hint="eastAsia"/>
          <w:color w:val="auto"/>
          <w:highlight w:val="none"/>
          <w:lang w:val="en-US" w:eastAsia="zh-CN"/>
        </w:rPr>
        <w:t>35</w:t>
      </w:r>
      <w:r>
        <w:rPr>
          <w:rFonts w:hint="default"/>
          <w:color w:val="auto"/>
          <w:highlight w:val="none"/>
        </w:rPr>
        <w:t>%</w:t>
      </w:r>
      <w:r>
        <w:rPr>
          <w:rFonts w:hint="eastAsia"/>
          <w:color w:val="auto"/>
          <w:highlight w:val="none"/>
          <w:lang w:eastAsia="zh-CN"/>
        </w:rPr>
        <w:t>）</w:t>
      </w:r>
      <w:r>
        <w:rPr>
          <w:rFonts w:hint="default"/>
          <w:color w:val="auto"/>
          <w:highlight w:val="none"/>
        </w:rPr>
        <w:t>，固化剂最大存在量为</w:t>
      </w:r>
      <w:r>
        <w:rPr>
          <w:rFonts w:hint="eastAsia"/>
          <w:color w:val="auto"/>
          <w:highlight w:val="none"/>
          <w:lang w:val="en-US" w:eastAsia="zh-CN"/>
        </w:rPr>
        <w:t>0.1</w:t>
      </w:r>
      <w:r>
        <w:rPr>
          <w:rFonts w:hint="default"/>
          <w:color w:val="auto"/>
          <w:highlight w:val="none"/>
        </w:rPr>
        <w:t>t</w:t>
      </w:r>
      <w:r>
        <w:rPr>
          <w:rFonts w:hint="eastAsia"/>
          <w:color w:val="auto"/>
          <w:highlight w:val="none"/>
          <w:lang w:eastAsia="zh-CN"/>
        </w:rPr>
        <w:t>（</w:t>
      </w:r>
      <w:r>
        <w:rPr>
          <w:rFonts w:hint="default"/>
          <w:color w:val="auto"/>
          <w:highlight w:val="none"/>
        </w:rPr>
        <w:t>含二甲苯10%、乙酸丁酯</w:t>
      </w:r>
      <w:r>
        <w:rPr>
          <w:rFonts w:hint="eastAsia"/>
          <w:color w:val="auto"/>
          <w:highlight w:val="none"/>
          <w:lang w:val="en-US" w:eastAsia="zh-CN"/>
        </w:rPr>
        <w:t>3</w:t>
      </w:r>
      <w:r>
        <w:rPr>
          <w:rFonts w:hint="default"/>
          <w:color w:val="auto"/>
          <w:highlight w:val="none"/>
        </w:rPr>
        <w:t>0%</w:t>
      </w:r>
      <w:r>
        <w:rPr>
          <w:rFonts w:hint="eastAsia"/>
          <w:color w:val="auto"/>
          <w:highlight w:val="none"/>
          <w:lang w:eastAsia="zh-CN"/>
        </w:rPr>
        <w:t>）。</w:t>
      </w:r>
      <w:r>
        <w:rPr>
          <w:rFonts w:hint="default"/>
          <w:color w:val="auto"/>
          <w:highlight w:val="none"/>
        </w:rPr>
        <w:t>本项目清洗剂为乙酸丁酯，未使用清洗剂最大贮存量为0.2t，按乙酸丁酯含量100%计，其中乙酸丁酯最大存在量为0.2t。废清洗剂产生量为1.</w:t>
      </w:r>
      <w:r>
        <w:rPr>
          <w:rFonts w:hint="eastAsia"/>
          <w:color w:val="auto"/>
          <w:highlight w:val="none"/>
          <w:lang w:val="en-US" w:eastAsia="zh-CN"/>
        </w:rPr>
        <w:t>953</w:t>
      </w:r>
      <w:r>
        <w:rPr>
          <w:rFonts w:hint="default"/>
          <w:color w:val="auto"/>
          <w:highlight w:val="none"/>
        </w:rPr>
        <w:t>t/a，贮存周期最长为1个月，废清洗剂最大存在量为0.</w:t>
      </w:r>
      <w:r>
        <w:rPr>
          <w:rFonts w:hint="eastAsia"/>
          <w:color w:val="auto"/>
          <w:highlight w:val="none"/>
          <w:lang w:val="en-US" w:eastAsia="zh-CN"/>
        </w:rPr>
        <w:t>16</w:t>
      </w:r>
      <w:r>
        <w:rPr>
          <w:rFonts w:hint="default"/>
          <w:color w:val="auto"/>
          <w:highlight w:val="none"/>
        </w:rPr>
        <w:t>t，按乙酸丁酯含量100%计，其中乙酸丁酯最大存在量为0.</w:t>
      </w:r>
      <w:r>
        <w:rPr>
          <w:rFonts w:hint="eastAsia"/>
          <w:color w:val="auto"/>
          <w:highlight w:val="none"/>
          <w:lang w:val="en-US" w:eastAsia="zh-CN"/>
        </w:rPr>
        <w:t>16</w:t>
      </w:r>
      <w:r>
        <w:rPr>
          <w:rFonts w:hint="default"/>
          <w:color w:val="auto"/>
          <w:highlight w:val="none"/>
        </w:rPr>
        <w:t>t。</w:t>
      </w:r>
    </w:p>
    <w:p w14:paraId="680A9269">
      <w:pPr>
        <w:pStyle w:val="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 xml:space="preserve">表6.2-1  </w:t>
      </w:r>
      <w:r>
        <w:rPr>
          <w:rFonts w:hint="default" w:ascii="Times New Roman" w:hAnsi="Times New Roman" w:cs="Times New Roman"/>
          <w:color w:val="auto"/>
          <w:highlight w:val="none"/>
          <w:lang w:eastAsia="zh-CN"/>
        </w:rPr>
        <w:t>项目涂料及配套稀释剂、固化剂、清洗剂中二甲苯、乙酸丁酯折纯最大存在量核算表</w:t>
      </w:r>
    </w:p>
    <w:tbl>
      <w:tblPr>
        <w:tblStyle w:val="8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160"/>
        <w:gridCol w:w="1235"/>
        <w:gridCol w:w="1064"/>
        <w:gridCol w:w="1286"/>
        <w:gridCol w:w="1286"/>
        <w:gridCol w:w="1287"/>
      </w:tblGrid>
      <w:tr w14:paraId="4A31C9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0AD7CA35">
            <w:pPr>
              <w:pStyle w:val="1405"/>
              <w:bidi w:val="0"/>
              <w:rPr>
                <w:rFonts w:hint="default"/>
                <w:color w:val="auto"/>
                <w:highlight w:val="none"/>
                <w:lang w:val="en-US" w:eastAsia="zh-CN"/>
              </w:rPr>
            </w:pPr>
            <w:r>
              <w:rPr>
                <w:rFonts w:hint="eastAsia"/>
                <w:color w:val="auto"/>
                <w:highlight w:val="none"/>
                <w:lang w:val="en-US" w:eastAsia="zh-CN"/>
              </w:rPr>
              <w:t>序号</w:t>
            </w:r>
          </w:p>
        </w:tc>
        <w:tc>
          <w:tcPr>
            <w:tcW w:w="2160" w:type="dxa"/>
            <w:tcBorders>
              <w:tl2br w:val="nil"/>
              <w:tr2bl w:val="nil"/>
            </w:tcBorders>
          </w:tcPr>
          <w:p w14:paraId="1F0136AE">
            <w:pPr>
              <w:pStyle w:val="1405"/>
              <w:bidi w:val="0"/>
              <w:rPr>
                <w:rFonts w:hint="default"/>
                <w:color w:val="auto"/>
                <w:highlight w:val="none"/>
                <w:lang w:val="en-US" w:eastAsia="zh-CN"/>
              </w:rPr>
            </w:pPr>
            <w:r>
              <w:rPr>
                <w:rFonts w:hint="eastAsia"/>
                <w:color w:val="auto"/>
                <w:highlight w:val="none"/>
                <w:lang w:val="en-US" w:eastAsia="zh-CN"/>
              </w:rPr>
              <w:t>物料名称</w:t>
            </w:r>
          </w:p>
        </w:tc>
        <w:tc>
          <w:tcPr>
            <w:tcW w:w="1235" w:type="dxa"/>
            <w:tcBorders>
              <w:tl2br w:val="nil"/>
              <w:tr2bl w:val="nil"/>
            </w:tcBorders>
          </w:tcPr>
          <w:p w14:paraId="42DFEFE0">
            <w:pPr>
              <w:pStyle w:val="1405"/>
              <w:bidi w:val="0"/>
              <w:rPr>
                <w:rFonts w:hint="default"/>
                <w:color w:val="auto"/>
                <w:highlight w:val="none"/>
                <w:lang w:val="en-US" w:eastAsia="zh-CN"/>
              </w:rPr>
            </w:pPr>
            <w:r>
              <w:rPr>
                <w:rFonts w:hint="eastAsia"/>
                <w:color w:val="auto"/>
                <w:highlight w:val="none"/>
                <w:lang w:val="en-US" w:eastAsia="zh-CN"/>
              </w:rPr>
              <w:t>最大存在量（t）</w:t>
            </w:r>
          </w:p>
        </w:tc>
        <w:tc>
          <w:tcPr>
            <w:tcW w:w="1064" w:type="dxa"/>
            <w:tcBorders>
              <w:tl2br w:val="nil"/>
              <w:tr2bl w:val="nil"/>
            </w:tcBorders>
          </w:tcPr>
          <w:p w14:paraId="00CE2BD4">
            <w:pPr>
              <w:pStyle w:val="1405"/>
              <w:bidi w:val="0"/>
              <w:rPr>
                <w:rFonts w:hint="default"/>
                <w:color w:val="auto"/>
                <w:highlight w:val="none"/>
                <w:lang w:val="en-US" w:eastAsia="zh-CN"/>
              </w:rPr>
            </w:pPr>
            <w:r>
              <w:rPr>
                <w:rFonts w:hint="eastAsia"/>
                <w:color w:val="auto"/>
                <w:highlight w:val="none"/>
                <w:lang w:val="en-US" w:eastAsia="zh-CN"/>
              </w:rPr>
              <w:t>二甲苯含量（%）</w:t>
            </w:r>
          </w:p>
        </w:tc>
        <w:tc>
          <w:tcPr>
            <w:tcW w:w="1286" w:type="dxa"/>
            <w:tcBorders>
              <w:tl2br w:val="nil"/>
              <w:tr2bl w:val="nil"/>
            </w:tcBorders>
          </w:tcPr>
          <w:p w14:paraId="3BAA0B85">
            <w:pPr>
              <w:pStyle w:val="1405"/>
              <w:bidi w:val="0"/>
              <w:rPr>
                <w:rFonts w:hint="default"/>
                <w:color w:val="auto"/>
                <w:highlight w:val="none"/>
                <w:lang w:val="en-US" w:eastAsia="zh-CN"/>
              </w:rPr>
            </w:pPr>
            <w:r>
              <w:rPr>
                <w:rFonts w:hint="eastAsia"/>
                <w:color w:val="auto"/>
                <w:highlight w:val="none"/>
                <w:lang w:val="en-US" w:eastAsia="zh-CN"/>
              </w:rPr>
              <w:t>二甲苯折纯量（t）</w:t>
            </w:r>
          </w:p>
        </w:tc>
        <w:tc>
          <w:tcPr>
            <w:tcW w:w="1286" w:type="dxa"/>
            <w:tcBorders>
              <w:tl2br w:val="nil"/>
              <w:tr2bl w:val="nil"/>
            </w:tcBorders>
          </w:tcPr>
          <w:p w14:paraId="59A8CFCC">
            <w:pPr>
              <w:pStyle w:val="1405"/>
              <w:bidi w:val="0"/>
              <w:rPr>
                <w:rFonts w:hint="default"/>
                <w:color w:val="auto"/>
                <w:highlight w:val="none"/>
                <w:lang w:val="en-US" w:eastAsia="zh-CN"/>
              </w:rPr>
            </w:pPr>
            <w:r>
              <w:rPr>
                <w:rFonts w:hint="eastAsia"/>
                <w:color w:val="auto"/>
                <w:highlight w:val="none"/>
                <w:lang w:val="en-US" w:eastAsia="zh-CN"/>
              </w:rPr>
              <w:t>乙酸丁酯含量（%）</w:t>
            </w:r>
          </w:p>
        </w:tc>
        <w:tc>
          <w:tcPr>
            <w:tcW w:w="1287" w:type="dxa"/>
            <w:tcBorders>
              <w:tl2br w:val="nil"/>
              <w:tr2bl w:val="nil"/>
            </w:tcBorders>
          </w:tcPr>
          <w:p w14:paraId="0F12BF07">
            <w:pPr>
              <w:pStyle w:val="1405"/>
              <w:bidi w:val="0"/>
              <w:rPr>
                <w:rFonts w:hint="eastAsia"/>
                <w:color w:val="auto"/>
                <w:highlight w:val="none"/>
                <w:lang w:eastAsia="zh-CN"/>
              </w:rPr>
            </w:pPr>
            <w:r>
              <w:rPr>
                <w:rFonts w:hint="eastAsia"/>
                <w:color w:val="auto"/>
                <w:highlight w:val="none"/>
                <w:lang w:val="en-US" w:eastAsia="zh-CN"/>
              </w:rPr>
              <w:t>乙酸丁酯折纯量（t）</w:t>
            </w:r>
          </w:p>
        </w:tc>
      </w:tr>
      <w:tr w14:paraId="03BB1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30A162B6">
            <w:pPr>
              <w:pStyle w:val="1405"/>
              <w:bidi w:val="0"/>
              <w:rPr>
                <w:rFonts w:hint="default"/>
                <w:color w:val="auto"/>
                <w:highlight w:val="none"/>
                <w:lang w:val="en-US" w:eastAsia="zh-CN"/>
              </w:rPr>
            </w:pPr>
            <w:r>
              <w:rPr>
                <w:rFonts w:hint="eastAsia"/>
                <w:color w:val="auto"/>
                <w:highlight w:val="none"/>
                <w:lang w:val="en-US" w:eastAsia="zh-CN"/>
              </w:rPr>
              <w:t>1</w:t>
            </w:r>
          </w:p>
        </w:tc>
        <w:tc>
          <w:tcPr>
            <w:tcW w:w="2160" w:type="dxa"/>
            <w:tcBorders>
              <w:tl2br w:val="nil"/>
              <w:tr2bl w:val="nil"/>
            </w:tcBorders>
          </w:tcPr>
          <w:p w14:paraId="6E2F9989">
            <w:pPr>
              <w:pStyle w:val="1405"/>
              <w:bidi w:val="0"/>
              <w:rPr>
                <w:rFonts w:hint="default"/>
                <w:color w:val="auto"/>
                <w:highlight w:val="none"/>
                <w:lang w:val="en-US" w:eastAsia="zh-CN"/>
              </w:rPr>
            </w:pPr>
            <w:r>
              <w:rPr>
                <w:rFonts w:hint="eastAsia"/>
                <w:color w:val="auto"/>
                <w:highlight w:val="none"/>
                <w:lang w:val="en-US" w:eastAsia="zh-CN"/>
              </w:rPr>
              <w:t>底漆</w:t>
            </w:r>
          </w:p>
        </w:tc>
        <w:tc>
          <w:tcPr>
            <w:tcW w:w="1235" w:type="dxa"/>
            <w:tcBorders>
              <w:tl2br w:val="nil"/>
              <w:tr2bl w:val="nil"/>
            </w:tcBorders>
          </w:tcPr>
          <w:p w14:paraId="28B5423E">
            <w:pPr>
              <w:pStyle w:val="1405"/>
              <w:bidi w:val="0"/>
              <w:rPr>
                <w:rFonts w:hint="default"/>
                <w:color w:val="auto"/>
                <w:highlight w:val="none"/>
                <w:lang w:val="en-US" w:eastAsia="zh-CN"/>
              </w:rPr>
            </w:pPr>
            <w:r>
              <w:rPr>
                <w:rFonts w:hint="eastAsia"/>
                <w:color w:val="auto"/>
                <w:highlight w:val="none"/>
                <w:lang w:val="en-US" w:eastAsia="zh-CN"/>
              </w:rPr>
              <w:t>1.0</w:t>
            </w:r>
          </w:p>
        </w:tc>
        <w:tc>
          <w:tcPr>
            <w:tcW w:w="1064" w:type="dxa"/>
            <w:tcBorders>
              <w:tl2br w:val="nil"/>
              <w:tr2bl w:val="nil"/>
            </w:tcBorders>
          </w:tcPr>
          <w:p w14:paraId="0007DEAF">
            <w:pPr>
              <w:pStyle w:val="1405"/>
              <w:bidi w:val="0"/>
              <w:rPr>
                <w:rFonts w:hint="default"/>
                <w:color w:val="auto"/>
                <w:highlight w:val="none"/>
                <w:lang w:val="en-US" w:eastAsia="zh-CN"/>
              </w:rPr>
            </w:pPr>
            <w:r>
              <w:rPr>
                <w:rFonts w:hint="eastAsia"/>
                <w:color w:val="auto"/>
                <w:highlight w:val="none"/>
                <w:lang w:val="en-US" w:eastAsia="zh-CN"/>
              </w:rPr>
              <w:t>20</w:t>
            </w:r>
          </w:p>
        </w:tc>
        <w:tc>
          <w:tcPr>
            <w:tcW w:w="1286" w:type="dxa"/>
            <w:tcBorders>
              <w:tl2br w:val="nil"/>
              <w:tr2bl w:val="nil"/>
            </w:tcBorders>
          </w:tcPr>
          <w:p w14:paraId="3542A8E3">
            <w:pPr>
              <w:pStyle w:val="1405"/>
              <w:bidi w:val="0"/>
              <w:rPr>
                <w:rFonts w:hint="default"/>
                <w:color w:val="auto"/>
                <w:highlight w:val="none"/>
                <w:lang w:val="en-US" w:eastAsia="zh-CN"/>
              </w:rPr>
            </w:pPr>
            <w:r>
              <w:rPr>
                <w:rFonts w:hint="eastAsia"/>
                <w:color w:val="auto"/>
                <w:highlight w:val="none"/>
                <w:lang w:val="en-US" w:eastAsia="zh-CN"/>
              </w:rPr>
              <w:t>0.2</w:t>
            </w:r>
          </w:p>
        </w:tc>
        <w:tc>
          <w:tcPr>
            <w:tcW w:w="1286" w:type="dxa"/>
            <w:tcBorders>
              <w:tl2br w:val="nil"/>
              <w:tr2bl w:val="nil"/>
            </w:tcBorders>
          </w:tcPr>
          <w:p w14:paraId="48B8C956">
            <w:pPr>
              <w:pStyle w:val="1405"/>
              <w:bidi w:val="0"/>
              <w:rPr>
                <w:rFonts w:hint="default"/>
                <w:color w:val="auto"/>
                <w:highlight w:val="none"/>
                <w:lang w:val="en-US" w:eastAsia="zh-CN"/>
              </w:rPr>
            </w:pPr>
            <w:r>
              <w:rPr>
                <w:rFonts w:hint="eastAsia"/>
                <w:color w:val="auto"/>
                <w:highlight w:val="none"/>
                <w:lang w:val="en-US" w:eastAsia="zh-CN"/>
              </w:rPr>
              <w:t>15</w:t>
            </w:r>
          </w:p>
        </w:tc>
        <w:tc>
          <w:tcPr>
            <w:tcW w:w="1287" w:type="dxa"/>
            <w:tcBorders>
              <w:tl2br w:val="nil"/>
              <w:tr2bl w:val="nil"/>
            </w:tcBorders>
          </w:tcPr>
          <w:p w14:paraId="78754C0F">
            <w:pPr>
              <w:pStyle w:val="1405"/>
              <w:bidi w:val="0"/>
              <w:rPr>
                <w:rFonts w:hint="default"/>
                <w:color w:val="auto"/>
                <w:highlight w:val="none"/>
                <w:lang w:val="en-US" w:eastAsia="zh-CN"/>
              </w:rPr>
            </w:pPr>
            <w:r>
              <w:rPr>
                <w:rFonts w:hint="eastAsia"/>
                <w:color w:val="auto"/>
                <w:highlight w:val="none"/>
                <w:lang w:val="en-US" w:eastAsia="zh-CN"/>
              </w:rPr>
              <w:t>0.15</w:t>
            </w:r>
          </w:p>
        </w:tc>
      </w:tr>
      <w:tr w14:paraId="470B8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5F87167E">
            <w:pPr>
              <w:pStyle w:val="1405"/>
              <w:bidi w:val="0"/>
              <w:rPr>
                <w:rFonts w:hint="default"/>
                <w:color w:val="auto"/>
                <w:highlight w:val="none"/>
                <w:lang w:val="en-US" w:eastAsia="zh-CN"/>
              </w:rPr>
            </w:pPr>
            <w:r>
              <w:rPr>
                <w:rFonts w:hint="eastAsia"/>
                <w:color w:val="auto"/>
                <w:highlight w:val="none"/>
                <w:lang w:val="en-US" w:eastAsia="zh-CN"/>
              </w:rPr>
              <w:t>2</w:t>
            </w:r>
          </w:p>
        </w:tc>
        <w:tc>
          <w:tcPr>
            <w:tcW w:w="2160" w:type="dxa"/>
            <w:tcBorders>
              <w:tl2br w:val="nil"/>
              <w:tr2bl w:val="nil"/>
            </w:tcBorders>
          </w:tcPr>
          <w:p w14:paraId="7D7E1423">
            <w:pPr>
              <w:pStyle w:val="1405"/>
              <w:bidi w:val="0"/>
              <w:rPr>
                <w:rFonts w:hint="default"/>
                <w:color w:val="auto"/>
                <w:highlight w:val="none"/>
                <w:lang w:val="en-US" w:eastAsia="zh-CN"/>
              </w:rPr>
            </w:pPr>
            <w:r>
              <w:rPr>
                <w:rFonts w:hint="eastAsia"/>
                <w:color w:val="auto"/>
                <w:highlight w:val="none"/>
                <w:lang w:val="en-US" w:eastAsia="zh-CN"/>
              </w:rPr>
              <w:t>色漆</w:t>
            </w:r>
          </w:p>
        </w:tc>
        <w:tc>
          <w:tcPr>
            <w:tcW w:w="1235" w:type="dxa"/>
            <w:tcBorders>
              <w:tl2br w:val="nil"/>
              <w:tr2bl w:val="nil"/>
            </w:tcBorders>
          </w:tcPr>
          <w:p w14:paraId="3B25BF2E">
            <w:pPr>
              <w:pStyle w:val="1405"/>
              <w:bidi w:val="0"/>
              <w:rPr>
                <w:rFonts w:hint="default"/>
                <w:color w:val="auto"/>
                <w:highlight w:val="none"/>
                <w:lang w:val="en-US" w:eastAsia="zh-CN"/>
              </w:rPr>
            </w:pPr>
            <w:r>
              <w:rPr>
                <w:rFonts w:hint="eastAsia"/>
                <w:color w:val="auto"/>
                <w:highlight w:val="none"/>
                <w:lang w:val="en-US" w:eastAsia="zh-CN"/>
              </w:rPr>
              <w:t>2.0</w:t>
            </w:r>
          </w:p>
        </w:tc>
        <w:tc>
          <w:tcPr>
            <w:tcW w:w="1064" w:type="dxa"/>
            <w:tcBorders>
              <w:tl2br w:val="nil"/>
              <w:tr2bl w:val="nil"/>
            </w:tcBorders>
          </w:tcPr>
          <w:p w14:paraId="013321CE">
            <w:pPr>
              <w:pStyle w:val="1405"/>
              <w:bidi w:val="0"/>
              <w:rPr>
                <w:rFonts w:hint="default"/>
                <w:color w:val="auto"/>
                <w:highlight w:val="none"/>
                <w:lang w:val="en-US" w:eastAsia="zh-CN"/>
              </w:rPr>
            </w:pPr>
            <w:r>
              <w:rPr>
                <w:rFonts w:hint="eastAsia"/>
                <w:color w:val="auto"/>
                <w:highlight w:val="none"/>
                <w:lang w:val="en-US" w:eastAsia="zh-CN"/>
              </w:rPr>
              <w:t>20</w:t>
            </w:r>
          </w:p>
        </w:tc>
        <w:tc>
          <w:tcPr>
            <w:tcW w:w="1286" w:type="dxa"/>
            <w:tcBorders>
              <w:tl2br w:val="nil"/>
              <w:tr2bl w:val="nil"/>
            </w:tcBorders>
          </w:tcPr>
          <w:p w14:paraId="3CA78891">
            <w:pPr>
              <w:pStyle w:val="1405"/>
              <w:bidi w:val="0"/>
              <w:rPr>
                <w:rFonts w:hint="default"/>
                <w:color w:val="auto"/>
                <w:highlight w:val="none"/>
                <w:lang w:val="en-US" w:eastAsia="zh-CN"/>
              </w:rPr>
            </w:pPr>
            <w:r>
              <w:rPr>
                <w:rFonts w:hint="eastAsia"/>
                <w:color w:val="auto"/>
                <w:highlight w:val="none"/>
                <w:lang w:val="en-US" w:eastAsia="zh-CN"/>
              </w:rPr>
              <w:t>0.4</w:t>
            </w:r>
          </w:p>
        </w:tc>
        <w:tc>
          <w:tcPr>
            <w:tcW w:w="1286" w:type="dxa"/>
            <w:tcBorders>
              <w:tl2br w:val="nil"/>
              <w:tr2bl w:val="nil"/>
            </w:tcBorders>
          </w:tcPr>
          <w:p w14:paraId="60EB8115">
            <w:pPr>
              <w:pStyle w:val="1405"/>
              <w:bidi w:val="0"/>
              <w:rPr>
                <w:rFonts w:hint="default"/>
                <w:color w:val="auto"/>
                <w:highlight w:val="none"/>
                <w:lang w:val="en-US" w:eastAsia="zh-CN"/>
              </w:rPr>
            </w:pPr>
            <w:r>
              <w:rPr>
                <w:rFonts w:hint="eastAsia"/>
                <w:color w:val="auto"/>
                <w:highlight w:val="none"/>
                <w:lang w:val="en-US" w:eastAsia="zh-CN"/>
              </w:rPr>
              <w:t>25</w:t>
            </w:r>
          </w:p>
        </w:tc>
        <w:tc>
          <w:tcPr>
            <w:tcW w:w="1287" w:type="dxa"/>
            <w:tcBorders>
              <w:tl2br w:val="nil"/>
              <w:tr2bl w:val="nil"/>
            </w:tcBorders>
          </w:tcPr>
          <w:p w14:paraId="7F81D45C">
            <w:pPr>
              <w:pStyle w:val="1405"/>
              <w:bidi w:val="0"/>
              <w:rPr>
                <w:rFonts w:hint="default"/>
                <w:color w:val="auto"/>
                <w:highlight w:val="none"/>
                <w:lang w:val="en-US" w:eastAsia="zh-CN"/>
              </w:rPr>
            </w:pPr>
            <w:r>
              <w:rPr>
                <w:rFonts w:hint="eastAsia"/>
                <w:color w:val="auto"/>
                <w:highlight w:val="none"/>
                <w:lang w:val="en-US" w:eastAsia="zh-CN"/>
              </w:rPr>
              <w:t>0.5</w:t>
            </w:r>
          </w:p>
        </w:tc>
      </w:tr>
      <w:tr w14:paraId="1B378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3347D6E2">
            <w:pPr>
              <w:pStyle w:val="1405"/>
              <w:bidi w:val="0"/>
              <w:rPr>
                <w:rFonts w:hint="default"/>
                <w:color w:val="auto"/>
                <w:highlight w:val="none"/>
                <w:lang w:val="en-US" w:eastAsia="zh-CN"/>
              </w:rPr>
            </w:pPr>
            <w:r>
              <w:rPr>
                <w:rFonts w:hint="eastAsia"/>
                <w:color w:val="auto"/>
                <w:highlight w:val="none"/>
                <w:lang w:val="en-US" w:eastAsia="zh-CN"/>
              </w:rPr>
              <w:t>3</w:t>
            </w:r>
          </w:p>
        </w:tc>
        <w:tc>
          <w:tcPr>
            <w:tcW w:w="2160" w:type="dxa"/>
            <w:tcBorders>
              <w:tl2br w:val="nil"/>
              <w:tr2bl w:val="nil"/>
            </w:tcBorders>
          </w:tcPr>
          <w:p w14:paraId="10ECFC49">
            <w:pPr>
              <w:pStyle w:val="1405"/>
              <w:bidi w:val="0"/>
              <w:rPr>
                <w:rFonts w:hint="default"/>
                <w:color w:val="auto"/>
                <w:highlight w:val="none"/>
                <w:lang w:val="en-US" w:eastAsia="zh-CN"/>
              </w:rPr>
            </w:pPr>
            <w:r>
              <w:rPr>
                <w:rFonts w:hint="eastAsia"/>
                <w:color w:val="auto"/>
                <w:highlight w:val="none"/>
                <w:lang w:val="en-US" w:eastAsia="zh-CN"/>
              </w:rPr>
              <w:t>清漆</w:t>
            </w:r>
          </w:p>
        </w:tc>
        <w:tc>
          <w:tcPr>
            <w:tcW w:w="1235" w:type="dxa"/>
            <w:tcBorders>
              <w:tl2br w:val="nil"/>
              <w:tr2bl w:val="nil"/>
            </w:tcBorders>
          </w:tcPr>
          <w:p w14:paraId="49E00328">
            <w:pPr>
              <w:pStyle w:val="1405"/>
              <w:bidi w:val="0"/>
              <w:rPr>
                <w:rFonts w:hint="default"/>
                <w:color w:val="auto"/>
                <w:highlight w:val="none"/>
                <w:lang w:val="en-US" w:eastAsia="zh-CN"/>
              </w:rPr>
            </w:pPr>
            <w:r>
              <w:rPr>
                <w:rFonts w:hint="eastAsia"/>
                <w:color w:val="auto"/>
                <w:highlight w:val="none"/>
                <w:lang w:val="en-US" w:eastAsia="zh-CN"/>
              </w:rPr>
              <w:t>2.0</w:t>
            </w:r>
          </w:p>
        </w:tc>
        <w:tc>
          <w:tcPr>
            <w:tcW w:w="1064" w:type="dxa"/>
            <w:tcBorders>
              <w:tl2br w:val="nil"/>
              <w:tr2bl w:val="nil"/>
            </w:tcBorders>
          </w:tcPr>
          <w:p w14:paraId="4B7AD41B">
            <w:pPr>
              <w:pStyle w:val="1405"/>
              <w:bidi w:val="0"/>
              <w:rPr>
                <w:rFonts w:hint="default"/>
                <w:color w:val="auto"/>
                <w:highlight w:val="none"/>
                <w:lang w:val="en-US" w:eastAsia="zh-CN"/>
              </w:rPr>
            </w:pPr>
            <w:r>
              <w:rPr>
                <w:rFonts w:hint="eastAsia"/>
                <w:color w:val="auto"/>
                <w:highlight w:val="none"/>
                <w:lang w:val="en-US" w:eastAsia="zh-CN"/>
              </w:rPr>
              <w:t>10</w:t>
            </w:r>
          </w:p>
        </w:tc>
        <w:tc>
          <w:tcPr>
            <w:tcW w:w="1286" w:type="dxa"/>
            <w:tcBorders>
              <w:tl2br w:val="nil"/>
              <w:tr2bl w:val="nil"/>
            </w:tcBorders>
          </w:tcPr>
          <w:p w14:paraId="0C5F7D51">
            <w:pPr>
              <w:pStyle w:val="1405"/>
              <w:bidi w:val="0"/>
              <w:rPr>
                <w:rFonts w:hint="default"/>
                <w:color w:val="auto"/>
                <w:highlight w:val="none"/>
                <w:lang w:val="en-US" w:eastAsia="zh-CN"/>
              </w:rPr>
            </w:pPr>
            <w:r>
              <w:rPr>
                <w:rFonts w:hint="eastAsia"/>
                <w:color w:val="auto"/>
                <w:highlight w:val="none"/>
                <w:lang w:val="en-US" w:eastAsia="zh-CN"/>
              </w:rPr>
              <w:t>0.2</w:t>
            </w:r>
          </w:p>
        </w:tc>
        <w:tc>
          <w:tcPr>
            <w:tcW w:w="1286" w:type="dxa"/>
            <w:tcBorders>
              <w:tl2br w:val="nil"/>
              <w:tr2bl w:val="nil"/>
            </w:tcBorders>
          </w:tcPr>
          <w:p w14:paraId="164EAB6C">
            <w:pPr>
              <w:pStyle w:val="1405"/>
              <w:bidi w:val="0"/>
              <w:rPr>
                <w:rFonts w:hint="default"/>
                <w:color w:val="auto"/>
                <w:highlight w:val="none"/>
                <w:lang w:val="en-US" w:eastAsia="zh-CN"/>
              </w:rPr>
            </w:pPr>
            <w:r>
              <w:rPr>
                <w:rFonts w:hint="eastAsia"/>
                <w:color w:val="auto"/>
                <w:highlight w:val="none"/>
                <w:lang w:val="en-US" w:eastAsia="zh-CN"/>
              </w:rPr>
              <w:t>20</w:t>
            </w:r>
          </w:p>
        </w:tc>
        <w:tc>
          <w:tcPr>
            <w:tcW w:w="1287" w:type="dxa"/>
            <w:tcBorders>
              <w:tl2br w:val="nil"/>
              <w:tr2bl w:val="nil"/>
            </w:tcBorders>
          </w:tcPr>
          <w:p w14:paraId="1DBAD631">
            <w:pPr>
              <w:pStyle w:val="1405"/>
              <w:bidi w:val="0"/>
              <w:rPr>
                <w:rFonts w:hint="default"/>
                <w:color w:val="auto"/>
                <w:highlight w:val="none"/>
                <w:lang w:val="en-US" w:eastAsia="zh-CN"/>
              </w:rPr>
            </w:pPr>
            <w:r>
              <w:rPr>
                <w:rFonts w:hint="eastAsia"/>
                <w:color w:val="auto"/>
                <w:highlight w:val="none"/>
                <w:lang w:val="en-US" w:eastAsia="zh-CN"/>
              </w:rPr>
              <w:t>0.4</w:t>
            </w:r>
          </w:p>
        </w:tc>
      </w:tr>
      <w:tr w14:paraId="26682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5432D09F">
            <w:pPr>
              <w:pStyle w:val="1405"/>
              <w:bidi w:val="0"/>
              <w:rPr>
                <w:rFonts w:hint="default"/>
                <w:color w:val="auto"/>
                <w:highlight w:val="none"/>
                <w:lang w:val="en-US" w:eastAsia="zh-CN"/>
              </w:rPr>
            </w:pPr>
            <w:r>
              <w:rPr>
                <w:rFonts w:hint="eastAsia"/>
                <w:color w:val="auto"/>
                <w:highlight w:val="none"/>
                <w:lang w:val="en-US" w:eastAsia="zh-CN"/>
              </w:rPr>
              <w:t>4</w:t>
            </w:r>
          </w:p>
        </w:tc>
        <w:tc>
          <w:tcPr>
            <w:tcW w:w="2160" w:type="dxa"/>
            <w:tcBorders>
              <w:tl2br w:val="nil"/>
              <w:tr2bl w:val="nil"/>
            </w:tcBorders>
          </w:tcPr>
          <w:p w14:paraId="2A50E598">
            <w:pPr>
              <w:pStyle w:val="1405"/>
              <w:bidi w:val="0"/>
              <w:rPr>
                <w:rFonts w:hint="default"/>
                <w:color w:val="auto"/>
                <w:highlight w:val="none"/>
                <w:lang w:val="en-US" w:eastAsia="zh-CN"/>
              </w:rPr>
            </w:pPr>
            <w:r>
              <w:rPr>
                <w:rFonts w:hint="eastAsia"/>
                <w:color w:val="auto"/>
                <w:highlight w:val="none"/>
                <w:lang w:val="en-US" w:eastAsia="zh-CN"/>
              </w:rPr>
              <w:t>稀释剂</w:t>
            </w:r>
          </w:p>
        </w:tc>
        <w:tc>
          <w:tcPr>
            <w:tcW w:w="1235" w:type="dxa"/>
            <w:tcBorders>
              <w:tl2br w:val="nil"/>
              <w:tr2bl w:val="nil"/>
            </w:tcBorders>
          </w:tcPr>
          <w:p w14:paraId="7F5BF6F3">
            <w:pPr>
              <w:pStyle w:val="1405"/>
              <w:bidi w:val="0"/>
              <w:rPr>
                <w:rFonts w:hint="default"/>
                <w:color w:val="auto"/>
                <w:highlight w:val="none"/>
                <w:lang w:val="en-US" w:eastAsia="zh-CN"/>
              </w:rPr>
            </w:pPr>
            <w:r>
              <w:rPr>
                <w:rFonts w:hint="eastAsia"/>
                <w:color w:val="auto"/>
                <w:highlight w:val="none"/>
                <w:lang w:val="en-US" w:eastAsia="zh-CN"/>
              </w:rPr>
              <w:t>1.0</w:t>
            </w:r>
          </w:p>
        </w:tc>
        <w:tc>
          <w:tcPr>
            <w:tcW w:w="1064" w:type="dxa"/>
            <w:tcBorders>
              <w:tl2br w:val="nil"/>
              <w:tr2bl w:val="nil"/>
            </w:tcBorders>
          </w:tcPr>
          <w:p w14:paraId="1D885069">
            <w:pPr>
              <w:pStyle w:val="1405"/>
              <w:bidi w:val="0"/>
              <w:rPr>
                <w:rFonts w:hint="default"/>
                <w:color w:val="auto"/>
                <w:highlight w:val="none"/>
                <w:lang w:val="en-US" w:eastAsia="zh-CN"/>
              </w:rPr>
            </w:pPr>
            <w:r>
              <w:rPr>
                <w:rFonts w:hint="eastAsia"/>
                <w:color w:val="auto"/>
                <w:highlight w:val="none"/>
                <w:lang w:val="en-US" w:eastAsia="zh-CN"/>
              </w:rPr>
              <w:t>35</w:t>
            </w:r>
          </w:p>
        </w:tc>
        <w:tc>
          <w:tcPr>
            <w:tcW w:w="1286" w:type="dxa"/>
            <w:tcBorders>
              <w:tl2br w:val="nil"/>
              <w:tr2bl w:val="nil"/>
            </w:tcBorders>
          </w:tcPr>
          <w:p w14:paraId="5D6E85AC">
            <w:pPr>
              <w:pStyle w:val="1405"/>
              <w:bidi w:val="0"/>
              <w:rPr>
                <w:rFonts w:hint="default"/>
                <w:color w:val="auto"/>
                <w:highlight w:val="none"/>
                <w:lang w:val="en-US" w:eastAsia="zh-CN"/>
              </w:rPr>
            </w:pPr>
            <w:r>
              <w:rPr>
                <w:rFonts w:hint="eastAsia"/>
                <w:color w:val="auto"/>
                <w:highlight w:val="none"/>
                <w:lang w:val="en-US" w:eastAsia="zh-CN"/>
              </w:rPr>
              <w:t>0.35</w:t>
            </w:r>
          </w:p>
        </w:tc>
        <w:tc>
          <w:tcPr>
            <w:tcW w:w="1286" w:type="dxa"/>
            <w:tcBorders>
              <w:tl2br w:val="nil"/>
              <w:tr2bl w:val="nil"/>
            </w:tcBorders>
          </w:tcPr>
          <w:p w14:paraId="19E38C59">
            <w:pPr>
              <w:pStyle w:val="1405"/>
              <w:bidi w:val="0"/>
              <w:rPr>
                <w:rFonts w:hint="default"/>
                <w:color w:val="auto"/>
                <w:highlight w:val="none"/>
                <w:lang w:val="en-US" w:eastAsia="zh-CN"/>
              </w:rPr>
            </w:pPr>
            <w:r>
              <w:rPr>
                <w:rFonts w:hint="eastAsia"/>
                <w:color w:val="auto"/>
                <w:highlight w:val="none"/>
                <w:lang w:val="en-US" w:eastAsia="zh-CN"/>
              </w:rPr>
              <w:t>35</w:t>
            </w:r>
          </w:p>
        </w:tc>
        <w:tc>
          <w:tcPr>
            <w:tcW w:w="1287" w:type="dxa"/>
            <w:tcBorders>
              <w:tl2br w:val="nil"/>
              <w:tr2bl w:val="nil"/>
            </w:tcBorders>
          </w:tcPr>
          <w:p w14:paraId="32BC5EC9">
            <w:pPr>
              <w:pStyle w:val="1405"/>
              <w:bidi w:val="0"/>
              <w:rPr>
                <w:rFonts w:hint="default"/>
                <w:color w:val="auto"/>
                <w:highlight w:val="none"/>
                <w:lang w:val="en-US" w:eastAsia="zh-CN"/>
              </w:rPr>
            </w:pPr>
            <w:r>
              <w:rPr>
                <w:rFonts w:hint="eastAsia"/>
                <w:color w:val="auto"/>
                <w:highlight w:val="none"/>
                <w:lang w:val="en-US" w:eastAsia="zh-CN"/>
              </w:rPr>
              <w:t>0.35</w:t>
            </w:r>
          </w:p>
        </w:tc>
      </w:tr>
      <w:tr w14:paraId="2EB28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tcPr>
          <w:p w14:paraId="1E740847">
            <w:pPr>
              <w:pStyle w:val="1405"/>
              <w:bidi w:val="0"/>
              <w:rPr>
                <w:rFonts w:hint="default"/>
                <w:color w:val="auto"/>
                <w:highlight w:val="none"/>
                <w:lang w:val="en-US" w:eastAsia="zh-CN"/>
              </w:rPr>
            </w:pPr>
            <w:r>
              <w:rPr>
                <w:rFonts w:hint="eastAsia"/>
                <w:color w:val="auto"/>
                <w:highlight w:val="none"/>
                <w:lang w:val="en-US" w:eastAsia="zh-CN"/>
              </w:rPr>
              <w:t>5</w:t>
            </w:r>
          </w:p>
        </w:tc>
        <w:tc>
          <w:tcPr>
            <w:tcW w:w="2160" w:type="dxa"/>
            <w:tcBorders>
              <w:tl2br w:val="nil"/>
              <w:tr2bl w:val="nil"/>
            </w:tcBorders>
          </w:tcPr>
          <w:p w14:paraId="5D927C93">
            <w:pPr>
              <w:pStyle w:val="1405"/>
              <w:bidi w:val="0"/>
              <w:rPr>
                <w:rFonts w:hint="default"/>
                <w:color w:val="auto"/>
                <w:highlight w:val="none"/>
                <w:lang w:val="en-US" w:eastAsia="zh-CN"/>
              </w:rPr>
            </w:pPr>
            <w:r>
              <w:rPr>
                <w:rFonts w:hint="eastAsia"/>
                <w:color w:val="auto"/>
                <w:highlight w:val="none"/>
                <w:lang w:val="en-US" w:eastAsia="zh-CN"/>
              </w:rPr>
              <w:t>固化剂</w:t>
            </w:r>
          </w:p>
        </w:tc>
        <w:tc>
          <w:tcPr>
            <w:tcW w:w="1235" w:type="dxa"/>
            <w:tcBorders>
              <w:tl2br w:val="nil"/>
              <w:tr2bl w:val="nil"/>
            </w:tcBorders>
          </w:tcPr>
          <w:p w14:paraId="03C300B3">
            <w:pPr>
              <w:pStyle w:val="1405"/>
              <w:bidi w:val="0"/>
              <w:rPr>
                <w:rFonts w:hint="default"/>
                <w:color w:val="auto"/>
                <w:highlight w:val="none"/>
                <w:lang w:val="en-US" w:eastAsia="zh-CN"/>
              </w:rPr>
            </w:pPr>
            <w:r>
              <w:rPr>
                <w:rFonts w:hint="eastAsia"/>
                <w:color w:val="auto"/>
                <w:highlight w:val="none"/>
                <w:lang w:val="en-US" w:eastAsia="zh-CN"/>
              </w:rPr>
              <w:t>0.1</w:t>
            </w:r>
          </w:p>
        </w:tc>
        <w:tc>
          <w:tcPr>
            <w:tcW w:w="1064" w:type="dxa"/>
            <w:tcBorders>
              <w:tl2br w:val="nil"/>
              <w:tr2bl w:val="nil"/>
            </w:tcBorders>
          </w:tcPr>
          <w:p w14:paraId="7F7556B8">
            <w:pPr>
              <w:pStyle w:val="1405"/>
              <w:bidi w:val="0"/>
              <w:rPr>
                <w:rFonts w:hint="default"/>
                <w:color w:val="auto"/>
                <w:highlight w:val="none"/>
                <w:lang w:val="en-US" w:eastAsia="zh-CN"/>
              </w:rPr>
            </w:pPr>
            <w:r>
              <w:rPr>
                <w:rFonts w:hint="eastAsia"/>
                <w:color w:val="auto"/>
                <w:highlight w:val="none"/>
                <w:lang w:val="en-US" w:eastAsia="zh-CN"/>
              </w:rPr>
              <w:t>10</w:t>
            </w:r>
          </w:p>
        </w:tc>
        <w:tc>
          <w:tcPr>
            <w:tcW w:w="1286" w:type="dxa"/>
            <w:tcBorders>
              <w:tl2br w:val="nil"/>
              <w:tr2bl w:val="nil"/>
            </w:tcBorders>
          </w:tcPr>
          <w:p w14:paraId="1C5016D0">
            <w:pPr>
              <w:pStyle w:val="1405"/>
              <w:bidi w:val="0"/>
              <w:rPr>
                <w:rFonts w:hint="default"/>
                <w:color w:val="auto"/>
                <w:highlight w:val="none"/>
                <w:lang w:val="en-US" w:eastAsia="zh-CN"/>
              </w:rPr>
            </w:pPr>
            <w:r>
              <w:rPr>
                <w:rFonts w:hint="eastAsia"/>
                <w:color w:val="auto"/>
                <w:highlight w:val="none"/>
                <w:lang w:val="en-US" w:eastAsia="zh-CN"/>
              </w:rPr>
              <w:t>0.01</w:t>
            </w:r>
          </w:p>
        </w:tc>
        <w:tc>
          <w:tcPr>
            <w:tcW w:w="1286" w:type="dxa"/>
            <w:tcBorders>
              <w:tl2br w:val="nil"/>
              <w:tr2bl w:val="nil"/>
            </w:tcBorders>
          </w:tcPr>
          <w:p w14:paraId="1934D1DC">
            <w:pPr>
              <w:pStyle w:val="1405"/>
              <w:bidi w:val="0"/>
              <w:rPr>
                <w:rFonts w:hint="default"/>
                <w:color w:val="auto"/>
                <w:highlight w:val="none"/>
                <w:lang w:val="en-US" w:eastAsia="zh-CN"/>
              </w:rPr>
            </w:pPr>
            <w:r>
              <w:rPr>
                <w:rFonts w:hint="eastAsia"/>
                <w:color w:val="auto"/>
                <w:highlight w:val="none"/>
                <w:lang w:val="en-US" w:eastAsia="zh-CN"/>
              </w:rPr>
              <w:t>30</w:t>
            </w:r>
          </w:p>
        </w:tc>
        <w:tc>
          <w:tcPr>
            <w:tcW w:w="1287" w:type="dxa"/>
            <w:tcBorders>
              <w:tl2br w:val="nil"/>
              <w:tr2bl w:val="nil"/>
            </w:tcBorders>
          </w:tcPr>
          <w:p w14:paraId="48B3B705">
            <w:pPr>
              <w:pStyle w:val="1405"/>
              <w:bidi w:val="0"/>
              <w:rPr>
                <w:rFonts w:hint="default"/>
                <w:color w:val="auto"/>
                <w:highlight w:val="none"/>
                <w:lang w:val="en-US" w:eastAsia="zh-CN"/>
              </w:rPr>
            </w:pPr>
            <w:r>
              <w:rPr>
                <w:rFonts w:hint="eastAsia"/>
                <w:color w:val="auto"/>
                <w:highlight w:val="none"/>
                <w:lang w:val="en-US" w:eastAsia="zh-CN"/>
              </w:rPr>
              <w:t>0.03</w:t>
            </w:r>
          </w:p>
        </w:tc>
      </w:tr>
      <w:tr w14:paraId="6F9251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5" w:type="dxa"/>
            <w:tcBorders>
              <w:tl2br w:val="nil"/>
              <w:tr2bl w:val="nil"/>
            </w:tcBorders>
            <w:vAlign w:val="top"/>
          </w:tcPr>
          <w:p w14:paraId="3731FC21">
            <w:pPr>
              <w:pStyle w:val="1405"/>
              <w:bidi w:val="0"/>
              <w:ind w:firstLine="0" w:firstLineChars="0"/>
              <w:rPr>
                <w:rFonts w:hint="default"/>
                <w:color w:val="auto"/>
                <w:highlight w:val="none"/>
                <w:lang w:val="en-US" w:eastAsia="zh-CN"/>
              </w:rPr>
            </w:pPr>
            <w:r>
              <w:rPr>
                <w:rFonts w:hint="eastAsia"/>
                <w:color w:val="auto"/>
                <w:highlight w:val="none"/>
                <w:lang w:val="en-US" w:eastAsia="zh-CN"/>
              </w:rPr>
              <w:t>6</w:t>
            </w:r>
          </w:p>
        </w:tc>
        <w:tc>
          <w:tcPr>
            <w:tcW w:w="2160" w:type="dxa"/>
            <w:tcBorders>
              <w:tl2br w:val="nil"/>
              <w:tr2bl w:val="nil"/>
            </w:tcBorders>
            <w:vAlign w:val="top"/>
          </w:tcPr>
          <w:p w14:paraId="7964AFD0">
            <w:pPr>
              <w:pStyle w:val="1405"/>
              <w:bidi w:val="0"/>
              <w:ind w:firstLine="0" w:firstLineChars="0"/>
              <w:rPr>
                <w:rFonts w:hint="default"/>
                <w:color w:val="auto"/>
                <w:highlight w:val="none"/>
                <w:lang w:val="en-US" w:eastAsia="zh-CN"/>
              </w:rPr>
            </w:pPr>
            <w:r>
              <w:rPr>
                <w:rFonts w:hint="eastAsia"/>
                <w:color w:val="auto"/>
                <w:highlight w:val="none"/>
                <w:lang w:val="en-US" w:eastAsia="zh-CN"/>
              </w:rPr>
              <w:t>清洗剂（含废清洗剂）</w:t>
            </w:r>
          </w:p>
        </w:tc>
        <w:tc>
          <w:tcPr>
            <w:tcW w:w="1235" w:type="dxa"/>
            <w:tcBorders>
              <w:tl2br w:val="nil"/>
              <w:tr2bl w:val="nil"/>
            </w:tcBorders>
            <w:vAlign w:val="top"/>
          </w:tcPr>
          <w:p w14:paraId="02D2E892">
            <w:pPr>
              <w:pStyle w:val="1405"/>
              <w:bidi w:val="0"/>
              <w:ind w:firstLine="0" w:firstLineChars="0"/>
              <w:rPr>
                <w:rFonts w:hint="default"/>
                <w:color w:val="auto"/>
                <w:highlight w:val="none"/>
                <w:lang w:val="en-US" w:eastAsia="zh-CN"/>
              </w:rPr>
            </w:pPr>
            <w:r>
              <w:rPr>
                <w:rFonts w:hint="eastAsia"/>
                <w:color w:val="auto"/>
                <w:highlight w:val="none"/>
                <w:lang w:val="en-US" w:eastAsia="zh-CN"/>
              </w:rPr>
              <w:t>0.36</w:t>
            </w:r>
          </w:p>
        </w:tc>
        <w:tc>
          <w:tcPr>
            <w:tcW w:w="1064" w:type="dxa"/>
            <w:tcBorders>
              <w:tl2br w:val="nil"/>
              <w:tr2bl w:val="nil"/>
            </w:tcBorders>
            <w:vAlign w:val="top"/>
          </w:tcPr>
          <w:p w14:paraId="5532FED2">
            <w:pPr>
              <w:pStyle w:val="1405"/>
              <w:bidi w:val="0"/>
              <w:ind w:firstLine="0" w:firstLineChars="0"/>
              <w:rPr>
                <w:rFonts w:hint="default"/>
                <w:color w:val="auto"/>
                <w:highlight w:val="none"/>
                <w:lang w:val="en-US" w:eastAsia="zh-CN"/>
              </w:rPr>
            </w:pPr>
            <w:r>
              <w:rPr>
                <w:rFonts w:hint="eastAsia"/>
                <w:color w:val="auto"/>
                <w:highlight w:val="none"/>
                <w:lang w:val="en-US" w:eastAsia="zh-CN"/>
              </w:rPr>
              <w:t>/</w:t>
            </w:r>
          </w:p>
        </w:tc>
        <w:tc>
          <w:tcPr>
            <w:tcW w:w="1286" w:type="dxa"/>
            <w:tcBorders>
              <w:tl2br w:val="nil"/>
              <w:tr2bl w:val="nil"/>
            </w:tcBorders>
            <w:vAlign w:val="top"/>
          </w:tcPr>
          <w:p w14:paraId="4DACFD94">
            <w:pPr>
              <w:pStyle w:val="1405"/>
              <w:bidi w:val="0"/>
              <w:ind w:firstLine="0" w:firstLineChars="0"/>
              <w:rPr>
                <w:rFonts w:hint="default"/>
                <w:color w:val="auto"/>
                <w:highlight w:val="none"/>
                <w:lang w:val="en-US" w:eastAsia="zh-CN"/>
              </w:rPr>
            </w:pPr>
            <w:r>
              <w:rPr>
                <w:rFonts w:hint="eastAsia"/>
                <w:color w:val="auto"/>
                <w:highlight w:val="none"/>
                <w:lang w:val="en-US" w:eastAsia="zh-CN"/>
              </w:rPr>
              <w:t>/</w:t>
            </w:r>
          </w:p>
        </w:tc>
        <w:tc>
          <w:tcPr>
            <w:tcW w:w="1286" w:type="dxa"/>
            <w:tcBorders>
              <w:tl2br w:val="nil"/>
              <w:tr2bl w:val="nil"/>
            </w:tcBorders>
            <w:vAlign w:val="top"/>
          </w:tcPr>
          <w:p w14:paraId="6661F66F">
            <w:pPr>
              <w:pStyle w:val="1405"/>
              <w:bidi w:val="0"/>
              <w:ind w:firstLine="0" w:firstLineChars="0"/>
              <w:rPr>
                <w:rFonts w:hint="default"/>
                <w:color w:val="auto"/>
                <w:highlight w:val="none"/>
                <w:lang w:val="en-US" w:eastAsia="zh-CN"/>
              </w:rPr>
            </w:pPr>
            <w:r>
              <w:rPr>
                <w:rFonts w:hint="eastAsia"/>
                <w:color w:val="auto"/>
                <w:highlight w:val="none"/>
                <w:lang w:val="en-US" w:eastAsia="zh-CN"/>
              </w:rPr>
              <w:t>100</w:t>
            </w:r>
          </w:p>
        </w:tc>
        <w:tc>
          <w:tcPr>
            <w:tcW w:w="1287" w:type="dxa"/>
            <w:tcBorders>
              <w:tl2br w:val="nil"/>
              <w:tr2bl w:val="nil"/>
            </w:tcBorders>
            <w:vAlign w:val="top"/>
          </w:tcPr>
          <w:p w14:paraId="29049CEE">
            <w:pPr>
              <w:pStyle w:val="1405"/>
              <w:bidi w:val="0"/>
              <w:ind w:firstLine="0" w:firstLineChars="0"/>
              <w:rPr>
                <w:rFonts w:hint="default"/>
                <w:color w:val="auto"/>
                <w:highlight w:val="none"/>
                <w:lang w:val="en-US" w:eastAsia="zh-CN"/>
              </w:rPr>
            </w:pPr>
            <w:r>
              <w:rPr>
                <w:rFonts w:hint="eastAsia"/>
                <w:color w:val="auto"/>
                <w:highlight w:val="none"/>
                <w:lang w:val="en-US" w:eastAsia="zh-CN"/>
              </w:rPr>
              <w:t>0.36</w:t>
            </w:r>
          </w:p>
        </w:tc>
      </w:tr>
      <w:tr w14:paraId="7707DE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5" w:type="dxa"/>
            <w:gridSpan w:val="2"/>
            <w:tcBorders>
              <w:tl2br w:val="nil"/>
              <w:tr2bl w:val="nil"/>
            </w:tcBorders>
            <w:vAlign w:val="top"/>
          </w:tcPr>
          <w:p w14:paraId="657DD858">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合计</w:t>
            </w:r>
          </w:p>
        </w:tc>
        <w:tc>
          <w:tcPr>
            <w:tcW w:w="1235" w:type="dxa"/>
            <w:tcBorders>
              <w:tl2br w:val="nil"/>
              <w:tr2bl w:val="nil"/>
            </w:tcBorders>
            <w:vAlign w:val="top"/>
          </w:tcPr>
          <w:p w14:paraId="35D55205">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6.46</w:t>
            </w:r>
          </w:p>
        </w:tc>
        <w:tc>
          <w:tcPr>
            <w:tcW w:w="1064" w:type="dxa"/>
            <w:tcBorders>
              <w:tl2br w:val="nil"/>
              <w:tr2bl w:val="nil"/>
            </w:tcBorders>
            <w:vAlign w:val="top"/>
          </w:tcPr>
          <w:p w14:paraId="0FF5CDD5">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合计</w:t>
            </w:r>
          </w:p>
        </w:tc>
        <w:tc>
          <w:tcPr>
            <w:tcW w:w="1286" w:type="dxa"/>
            <w:tcBorders>
              <w:tl2br w:val="nil"/>
              <w:tr2bl w:val="nil"/>
            </w:tcBorders>
            <w:vAlign w:val="top"/>
          </w:tcPr>
          <w:p w14:paraId="30597DE0">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1.16</w:t>
            </w:r>
          </w:p>
        </w:tc>
        <w:tc>
          <w:tcPr>
            <w:tcW w:w="1286" w:type="dxa"/>
            <w:tcBorders>
              <w:tl2br w:val="nil"/>
              <w:tr2bl w:val="nil"/>
            </w:tcBorders>
            <w:vAlign w:val="top"/>
          </w:tcPr>
          <w:p w14:paraId="1E5D5CFA">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合计</w:t>
            </w:r>
          </w:p>
        </w:tc>
        <w:tc>
          <w:tcPr>
            <w:tcW w:w="1287" w:type="dxa"/>
            <w:tcBorders>
              <w:tl2br w:val="nil"/>
              <w:tr2bl w:val="nil"/>
            </w:tcBorders>
            <w:vAlign w:val="top"/>
          </w:tcPr>
          <w:p w14:paraId="75546CE1">
            <w:pPr>
              <w:pStyle w:val="1405"/>
              <w:bidi w:val="0"/>
              <w:ind w:firstLine="0" w:firstLineChars="0"/>
              <w:rPr>
                <w:rFonts w:hint="default"/>
                <w:b/>
                <w:bCs/>
                <w:color w:val="auto"/>
                <w:highlight w:val="none"/>
                <w:lang w:val="en-US" w:eastAsia="zh-CN"/>
              </w:rPr>
            </w:pPr>
            <w:r>
              <w:rPr>
                <w:rFonts w:hint="eastAsia"/>
                <w:b/>
                <w:bCs/>
                <w:color w:val="auto"/>
                <w:highlight w:val="none"/>
                <w:lang w:val="en-US" w:eastAsia="zh-CN"/>
              </w:rPr>
              <w:t>1.79</w:t>
            </w:r>
          </w:p>
        </w:tc>
      </w:tr>
    </w:tbl>
    <w:p w14:paraId="1CB768D9">
      <w:pPr>
        <w:ind w:firstLine="480"/>
        <w:rPr>
          <w:rFonts w:hint="default"/>
          <w:color w:val="auto"/>
          <w:highlight w:val="none"/>
          <w:lang w:val="en-US" w:eastAsia="zh-CN"/>
        </w:rPr>
      </w:pPr>
      <w:r>
        <w:rPr>
          <w:rFonts w:hint="eastAsia"/>
          <w:color w:val="auto"/>
          <w:highlight w:val="none"/>
          <w:lang w:eastAsia="zh-CN"/>
        </w:rPr>
        <w:t>本项目生产设备维护保养过程中使用润滑油，年用量约为0.65t/a，厂区内最大贮存量约为0.3t，存放于仓库，采用密闭桶装。本项目废润滑油产生量约为0.5t/a，贮存周期最长为半年，则废润滑油最大贮存量为0.25t。</w:t>
      </w:r>
    </w:p>
    <w:p w14:paraId="2FAD126D">
      <w:pPr>
        <w:ind w:firstLine="480"/>
        <w:rPr>
          <w:rFonts w:hint="default"/>
          <w:color w:val="auto"/>
          <w:highlight w:val="none"/>
        </w:rPr>
      </w:pPr>
      <w:r>
        <w:rPr>
          <w:rFonts w:hint="default"/>
          <w:color w:val="auto"/>
          <w:highlight w:val="none"/>
        </w:rPr>
        <w:t>本项目使用管道天然气，不设天然气储罐，天然气密度0.7174kg/m</w:t>
      </w:r>
      <w:r>
        <w:rPr>
          <w:rFonts w:hint="default"/>
          <w:color w:val="auto"/>
          <w:highlight w:val="none"/>
          <w:vertAlign w:val="superscript"/>
        </w:rPr>
        <w:t>3</w:t>
      </w:r>
      <w:r>
        <w:rPr>
          <w:rFonts w:hint="default"/>
          <w:color w:val="auto"/>
          <w:highlight w:val="none"/>
        </w:rPr>
        <w:t>，厂区内天然气管道约为200m，管径100mm，设计压力约为1.2MPa，则天然气最大存在量为0.013t。</w:t>
      </w:r>
    </w:p>
    <w:p w14:paraId="2C32C84D">
      <w:pPr>
        <w:ind w:firstLine="480"/>
        <w:rPr>
          <w:rFonts w:hint="default"/>
          <w:color w:val="auto"/>
          <w:highlight w:val="none"/>
        </w:rPr>
      </w:pPr>
      <w:r>
        <w:rPr>
          <w:rFonts w:hint="default"/>
          <w:color w:val="auto"/>
          <w:highlight w:val="none"/>
        </w:rPr>
        <w:t>本项目涉及的环境风险物质</w:t>
      </w:r>
      <w:r>
        <w:rPr>
          <w:rFonts w:hint="eastAsia"/>
          <w:color w:val="auto"/>
          <w:highlight w:val="none"/>
          <w:lang w:val="en-US" w:eastAsia="zh-CN"/>
        </w:rPr>
        <w:t>以及</w:t>
      </w:r>
      <w:r>
        <w:rPr>
          <w:rFonts w:hint="default"/>
          <w:color w:val="auto"/>
          <w:highlight w:val="none"/>
        </w:rPr>
        <w:t>储存情况见表6.2-</w:t>
      </w:r>
      <w:r>
        <w:rPr>
          <w:rFonts w:hint="eastAsia"/>
          <w:color w:val="auto"/>
          <w:highlight w:val="none"/>
          <w:lang w:val="en-US" w:eastAsia="zh-CN"/>
        </w:rPr>
        <w:t>2</w:t>
      </w:r>
      <w:r>
        <w:rPr>
          <w:rFonts w:hint="default"/>
          <w:color w:val="auto"/>
          <w:highlight w:val="none"/>
        </w:rPr>
        <w:t>。</w:t>
      </w:r>
    </w:p>
    <w:p w14:paraId="24825DC8">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6.2-2</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各单元主要环境风险物质理化性质及危险特性一览表</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991"/>
        <w:gridCol w:w="992"/>
        <w:gridCol w:w="1650"/>
        <w:gridCol w:w="866"/>
        <w:gridCol w:w="1130"/>
        <w:gridCol w:w="1408"/>
        <w:gridCol w:w="1062"/>
      </w:tblGrid>
      <w:tr w14:paraId="4032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57" w:type="dxa"/>
            <w:tcBorders>
              <w:top w:val="single" w:color="auto" w:sz="12" w:space="0"/>
              <w:left w:val="nil"/>
              <w:bottom w:val="single" w:color="auto" w:sz="4" w:space="0"/>
            </w:tcBorders>
            <w:noWrap w:val="0"/>
            <w:vAlign w:val="top"/>
          </w:tcPr>
          <w:p w14:paraId="4AC11486">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983" w:type="dxa"/>
            <w:gridSpan w:val="2"/>
            <w:tcBorders>
              <w:top w:val="single" w:color="auto" w:sz="12" w:space="0"/>
              <w:bottom w:val="single" w:color="auto" w:sz="4" w:space="0"/>
            </w:tcBorders>
            <w:noWrap w:val="0"/>
            <w:vAlign w:val="top"/>
          </w:tcPr>
          <w:p w14:paraId="610BBF98">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物质名称</w:t>
            </w:r>
          </w:p>
        </w:tc>
        <w:tc>
          <w:tcPr>
            <w:tcW w:w="1650" w:type="dxa"/>
            <w:tcBorders>
              <w:top w:val="single" w:color="auto" w:sz="12" w:space="0"/>
              <w:bottom w:val="single" w:color="auto" w:sz="4" w:space="0"/>
            </w:tcBorders>
            <w:noWrap w:val="0"/>
            <w:vAlign w:val="top"/>
          </w:tcPr>
          <w:p w14:paraId="28B22257">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危险性类别</w:t>
            </w:r>
          </w:p>
        </w:tc>
        <w:tc>
          <w:tcPr>
            <w:tcW w:w="866" w:type="dxa"/>
            <w:tcBorders>
              <w:top w:val="single" w:color="auto" w:sz="12" w:space="0"/>
              <w:bottom w:val="single" w:color="auto" w:sz="4" w:space="0"/>
            </w:tcBorders>
            <w:noWrap w:val="0"/>
            <w:vAlign w:val="top"/>
          </w:tcPr>
          <w:p w14:paraId="4D2DE6BE">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形态</w:t>
            </w:r>
          </w:p>
        </w:tc>
        <w:tc>
          <w:tcPr>
            <w:tcW w:w="1130" w:type="dxa"/>
            <w:tcBorders>
              <w:top w:val="single" w:color="auto" w:sz="12" w:space="0"/>
              <w:bottom w:val="single" w:color="auto" w:sz="4" w:space="0"/>
            </w:tcBorders>
            <w:noWrap w:val="0"/>
            <w:vAlign w:val="top"/>
          </w:tcPr>
          <w:p w14:paraId="396DC896">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储存方式</w:t>
            </w:r>
          </w:p>
        </w:tc>
        <w:tc>
          <w:tcPr>
            <w:tcW w:w="1408" w:type="dxa"/>
            <w:tcBorders>
              <w:top w:val="single" w:color="auto" w:sz="12" w:space="0"/>
              <w:bottom w:val="single" w:color="auto" w:sz="4" w:space="0"/>
              <w:right w:val="nil"/>
            </w:tcBorders>
            <w:noWrap w:val="0"/>
            <w:vAlign w:val="top"/>
          </w:tcPr>
          <w:p w14:paraId="72C4EAC7">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最大储存量</w:t>
            </w:r>
          </w:p>
        </w:tc>
        <w:tc>
          <w:tcPr>
            <w:tcW w:w="1062" w:type="dxa"/>
            <w:tcBorders>
              <w:top w:val="single" w:color="auto" w:sz="12" w:space="0"/>
              <w:bottom w:val="single" w:color="auto" w:sz="4" w:space="0"/>
              <w:right w:val="nil"/>
            </w:tcBorders>
            <w:noWrap w:val="0"/>
            <w:vAlign w:val="top"/>
          </w:tcPr>
          <w:p w14:paraId="7BEA2AF9">
            <w:pPr>
              <w:pStyle w:val="1405"/>
              <w:bidi w:val="0"/>
              <w:rPr>
                <w:rFonts w:hint="default" w:cs="Times New Roman"/>
                <w:color w:val="auto"/>
                <w:highlight w:val="none"/>
                <w:lang w:val="en-US" w:eastAsia="zh-CN"/>
              </w:rPr>
            </w:pPr>
            <w:r>
              <w:rPr>
                <w:rFonts w:hint="eastAsia" w:cs="Times New Roman"/>
                <w:color w:val="auto"/>
                <w:highlight w:val="none"/>
                <w:lang w:val="en-US" w:eastAsia="zh-CN"/>
              </w:rPr>
              <w:t>储存位置</w:t>
            </w:r>
          </w:p>
        </w:tc>
      </w:tr>
      <w:tr w14:paraId="52E9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57" w:type="dxa"/>
            <w:tcBorders>
              <w:top w:val="single" w:color="auto" w:sz="4" w:space="0"/>
              <w:left w:val="nil"/>
            </w:tcBorders>
            <w:noWrap w:val="0"/>
            <w:vAlign w:val="top"/>
          </w:tcPr>
          <w:p w14:paraId="1820D42E">
            <w:pPr>
              <w:pStyle w:val="1405"/>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991" w:type="dxa"/>
            <w:vMerge w:val="restart"/>
            <w:tcBorders>
              <w:top w:val="single" w:color="auto" w:sz="4" w:space="0"/>
            </w:tcBorders>
            <w:noWrap w:val="0"/>
            <w:vAlign w:val="top"/>
          </w:tcPr>
          <w:p w14:paraId="48DDD5D5">
            <w:pPr>
              <w:pStyle w:val="1405"/>
              <w:bidi w:val="0"/>
              <w:rPr>
                <w:rFonts w:hint="default" w:ascii="Times New Roman" w:hAnsi="Times New Roman" w:cs="Times New Roman"/>
                <w:color w:val="auto"/>
                <w:highlight w:val="none"/>
                <w:lang w:val="en-US" w:eastAsia="zh-CN"/>
              </w:rPr>
            </w:pPr>
            <w:r>
              <w:rPr>
                <w:rFonts w:hint="eastAsia"/>
                <w:color w:val="auto"/>
                <w:highlight w:val="none"/>
                <w:lang w:eastAsia="zh-CN"/>
              </w:rPr>
              <w:t>油漆、稀释剂和固化剂、</w:t>
            </w:r>
            <w:r>
              <w:rPr>
                <w:rFonts w:hint="eastAsia"/>
                <w:color w:val="auto"/>
                <w:highlight w:val="none"/>
                <w:lang w:val="en-US" w:eastAsia="zh-CN"/>
              </w:rPr>
              <w:t>清洗剂（含废清洗剂）</w:t>
            </w:r>
          </w:p>
        </w:tc>
        <w:tc>
          <w:tcPr>
            <w:tcW w:w="992" w:type="dxa"/>
            <w:tcBorders>
              <w:top w:val="single" w:color="auto" w:sz="4" w:space="0"/>
            </w:tcBorders>
            <w:noWrap w:val="0"/>
            <w:vAlign w:val="top"/>
          </w:tcPr>
          <w:p w14:paraId="1598A171">
            <w:pPr>
              <w:pStyle w:val="1405"/>
              <w:bidi w:val="0"/>
              <w:rPr>
                <w:rFonts w:hint="eastAsia" w:cs="Times New Roman"/>
                <w:color w:val="auto"/>
                <w:highlight w:val="none"/>
                <w:lang w:val="en-US" w:eastAsia="zh-CN"/>
              </w:rPr>
            </w:pPr>
            <w:r>
              <w:rPr>
                <w:rFonts w:hint="eastAsia" w:cs="Times New Roman"/>
                <w:color w:val="auto"/>
                <w:highlight w:val="none"/>
                <w:lang w:val="en-US" w:eastAsia="zh-CN"/>
              </w:rPr>
              <w:t>二甲苯</w:t>
            </w:r>
          </w:p>
        </w:tc>
        <w:tc>
          <w:tcPr>
            <w:tcW w:w="1650" w:type="dxa"/>
            <w:tcBorders>
              <w:top w:val="single" w:color="auto" w:sz="4" w:space="0"/>
            </w:tcBorders>
            <w:noWrap w:val="0"/>
            <w:vAlign w:val="top"/>
          </w:tcPr>
          <w:p w14:paraId="21819D8D">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易燃液体，类别3 危害水生环境，类别2</w:t>
            </w:r>
          </w:p>
        </w:tc>
        <w:tc>
          <w:tcPr>
            <w:tcW w:w="866" w:type="dxa"/>
            <w:tcBorders>
              <w:top w:val="single" w:color="auto" w:sz="4" w:space="0"/>
            </w:tcBorders>
            <w:noWrap w:val="0"/>
            <w:vAlign w:val="top"/>
          </w:tcPr>
          <w:p w14:paraId="49D0536F">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液态</w:t>
            </w:r>
          </w:p>
        </w:tc>
        <w:tc>
          <w:tcPr>
            <w:tcW w:w="1130" w:type="dxa"/>
            <w:tcBorders>
              <w:top w:val="single" w:color="auto" w:sz="4" w:space="0"/>
            </w:tcBorders>
            <w:noWrap w:val="0"/>
            <w:vAlign w:val="top"/>
          </w:tcPr>
          <w:p w14:paraId="279E8F58">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密闭桶装</w:t>
            </w:r>
          </w:p>
        </w:tc>
        <w:tc>
          <w:tcPr>
            <w:tcW w:w="1408" w:type="dxa"/>
            <w:tcBorders>
              <w:top w:val="single" w:color="auto" w:sz="4" w:space="0"/>
              <w:right w:val="nil"/>
            </w:tcBorders>
            <w:noWrap w:val="0"/>
            <w:vAlign w:val="top"/>
          </w:tcPr>
          <w:p w14:paraId="2D221B4D">
            <w:pPr>
              <w:pStyle w:val="1405"/>
              <w:bidi w:val="0"/>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1.16</w:t>
            </w:r>
          </w:p>
        </w:tc>
        <w:tc>
          <w:tcPr>
            <w:tcW w:w="1062" w:type="dxa"/>
            <w:vMerge w:val="restart"/>
            <w:tcBorders>
              <w:top w:val="single" w:color="auto" w:sz="4" w:space="0"/>
              <w:right w:val="nil"/>
            </w:tcBorders>
            <w:noWrap w:val="0"/>
            <w:vAlign w:val="top"/>
          </w:tcPr>
          <w:p w14:paraId="730DE9FB">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调漆房</w:t>
            </w:r>
          </w:p>
        </w:tc>
      </w:tr>
      <w:tr w14:paraId="75AC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Borders>
              <w:left w:val="nil"/>
            </w:tcBorders>
            <w:noWrap w:val="0"/>
            <w:vAlign w:val="top"/>
          </w:tcPr>
          <w:p w14:paraId="3E7FC476">
            <w:pPr>
              <w:pStyle w:val="1405"/>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991" w:type="dxa"/>
            <w:vMerge w:val="continue"/>
            <w:noWrap w:val="0"/>
            <w:vAlign w:val="top"/>
          </w:tcPr>
          <w:p w14:paraId="034BA955">
            <w:pPr>
              <w:pStyle w:val="1405"/>
              <w:bidi w:val="0"/>
              <w:rPr>
                <w:rFonts w:hint="default" w:ascii="Times New Roman" w:hAnsi="Times New Roman" w:eastAsia="宋体" w:cs="Times New Roman"/>
                <w:color w:val="auto"/>
                <w:highlight w:val="none"/>
                <w:lang w:val="en-US" w:eastAsia="zh-CN"/>
              </w:rPr>
            </w:pPr>
          </w:p>
        </w:tc>
        <w:tc>
          <w:tcPr>
            <w:tcW w:w="992" w:type="dxa"/>
            <w:noWrap w:val="0"/>
            <w:vAlign w:val="top"/>
          </w:tcPr>
          <w:p w14:paraId="76355CAC">
            <w:pPr>
              <w:pStyle w:val="1405"/>
              <w:bidi w:val="0"/>
              <w:rPr>
                <w:rFonts w:hint="eastAsia" w:cs="Times New Roman"/>
                <w:color w:val="auto"/>
                <w:highlight w:val="none"/>
                <w:lang w:val="en-US" w:eastAsia="zh-CN"/>
              </w:rPr>
            </w:pPr>
            <w:r>
              <w:rPr>
                <w:rFonts w:hint="eastAsia" w:cs="Times New Roman"/>
                <w:color w:val="auto"/>
                <w:highlight w:val="none"/>
                <w:lang w:val="en-US" w:eastAsia="zh-CN"/>
              </w:rPr>
              <w:t>乙酸丁酯</w:t>
            </w:r>
          </w:p>
        </w:tc>
        <w:tc>
          <w:tcPr>
            <w:tcW w:w="1650" w:type="dxa"/>
            <w:noWrap w:val="0"/>
            <w:vAlign w:val="top"/>
          </w:tcPr>
          <w:p w14:paraId="58625757">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易燃液体，类别3</w:t>
            </w:r>
          </w:p>
        </w:tc>
        <w:tc>
          <w:tcPr>
            <w:tcW w:w="866" w:type="dxa"/>
            <w:shd w:val="clear" w:color="auto" w:fill="auto"/>
            <w:noWrap w:val="0"/>
            <w:vAlign w:val="top"/>
          </w:tcPr>
          <w:p w14:paraId="581E5387">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highlight w:val="none"/>
                <w:lang w:val="en-US" w:eastAsia="zh-CN"/>
              </w:rPr>
              <w:t>液态</w:t>
            </w:r>
          </w:p>
        </w:tc>
        <w:tc>
          <w:tcPr>
            <w:tcW w:w="1130" w:type="dxa"/>
            <w:shd w:val="clear" w:color="auto" w:fill="auto"/>
            <w:noWrap w:val="0"/>
            <w:vAlign w:val="top"/>
          </w:tcPr>
          <w:p w14:paraId="5534BC49">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highlight w:val="none"/>
                <w:lang w:val="en-US" w:eastAsia="zh-CN"/>
              </w:rPr>
              <w:t>桶装</w:t>
            </w:r>
          </w:p>
        </w:tc>
        <w:tc>
          <w:tcPr>
            <w:tcW w:w="1408" w:type="dxa"/>
            <w:tcBorders>
              <w:right w:val="nil"/>
            </w:tcBorders>
            <w:shd w:val="clear" w:color="auto" w:fill="auto"/>
            <w:noWrap w:val="0"/>
            <w:vAlign w:val="top"/>
          </w:tcPr>
          <w:p w14:paraId="363B0988">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1.79</w:t>
            </w:r>
          </w:p>
        </w:tc>
        <w:tc>
          <w:tcPr>
            <w:tcW w:w="1062" w:type="dxa"/>
            <w:vMerge w:val="continue"/>
            <w:tcBorders>
              <w:right w:val="nil"/>
            </w:tcBorders>
            <w:noWrap w:val="0"/>
            <w:vAlign w:val="top"/>
          </w:tcPr>
          <w:p w14:paraId="3245B637">
            <w:pPr>
              <w:pStyle w:val="1405"/>
              <w:bidi w:val="0"/>
              <w:rPr>
                <w:rFonts w:hint="default" w:ascii="Times New Roman" w:hAnsi="Times New Roman" w:eastAsia="宋体" w:cs="Times New Roman"/>
                <w:color w:val="auto"/>
                <w:highlight w:val="none"/>
                <w:lang w:val="en-US" w:eastAsia="zh-CN"/>
              </w:rPr>
            </w:pPr>
          </w:p>
        </w:tc>
      </w:tr>
      <w:tr w14:paraId="17C7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7" w:type="dxa"/>
            <w:tcBorders>
              <w:left w:val="nil"/>
            </w:tcBorders>
            <w:noWrap w:val="0"/>
            <w:vAlign w:val="top"/>
          </w:tcPr>
          <w:p w14:paraId="39ED8C90">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w:t>
            </w:r>
          </w:p>
        </w:tc>
        <w:tc>
          <w:tcPr>
            <w:tcW w:w="1983" w:type="dxa"/>
            <w:gridSpan w:val="2"/>
            <w:noWrap w:val="0"/>
            <w:vAlign w:val="top"/>
          </w:tcPr>
          <w:p w14:paraId="3E9A9B78">
            <w:pPr>
              <w:pStyle w:val="1405"/>
              <w:bidi w:val="0"/>
              <w:rPr>
                <w:rFonts w:hint="eastAsia" w:cs="Times New Roman"/>
                <w:color w:val="auto"/>
                <w:highlight w:val="none"/>
                <w:lang w:val="en-US" w:eastAsia="zh-CN"/>
              </w:rPr>
            </w:pPr>
            <w:r>
              <w:rPr>
                <w:rFonts w:hint="eastAsia" w:cs="Times New Roman"/>
                <w:color w:val="auto"/>
                <w:highlight w:val="none"/>
                <w:lang w:val="en-US" w:eastAsia="zh-CN"/>
              </w:rPr>
              <w:t>润滑油</w:t>
            </w:r>
          </w:p>
        </w:tc>
        <w:tc>
          <w:tcPr>
            <w:tcW w:w="1650" w:type="dxa"/>
            <w:shd w:val="clear" w:color="auto" w:fill="auto"/>
            <w:noWrap w:val="0"/>
            <w:vAlign w:val="top"/>
          </w:tcPr>
          <w:p w14:paraId="79B37829">
            <w:pPr>
              <w:pStyle w:val="1405"/>
              <w:bidi w:val="0"/>
              <w:ind w:firstLine="0" w:firstLineChars="0"/>
              <w:rPr>
                <w:rFonts w:hint="eastAsia" w:ascii="Times New Roman" w:hAnsi="Times New Roman" w:eastAsia="宋体" w:cs="Times New Roman"/>
                <w:color w:val="auto"/>
                <w:kern w:val="2"/>
                <w:sz w:val="21"/>
                <w:szCs w:val="20"/>
                <w:highlight w:val="none"/>
                <w:lang w:val="en-US" w:eastAsia="zh-CN" w:bidi="ar-SA"/>
              </w:rPr>
            </w:pPr>
            <w:r>
              <w:rPr>
                <w:rFonts w:hint="eastAsia" w:cs="Times New Roman"/>
                <w:color w:val="auto"/>
                <w:highlight w:val="none"/>
                <w:lang w:val="en-US" w:eastAsia="zh-CN"/>
              </w:rPr>
              <w:t>/</w:t>
            </w:r>
          </w:p>
        </w:tc>
        <w:tc>
          <w:tcPr>
            <w:tcW w:w="866" w:type="dxa"/>
            <w:shd w:val="clear" w:color="auto" w:fill="auto"/>
            <w:noWrap w:val="0"/>
            <w:vAlign w:val="top"/>
          </w:tcPr>
          <w:p w14:paraId="21601114">
            <w:pPr>
              <w:pStyle w:val="1405"/>
              <w:bidi w:val="0"/>
              <w:ind w:firstLine="0" w:firstLineChars="0"/>
              <w:rPr>
                <w:rFonts w:hint="eastAsia" w:ascii="Times New Roman" w:hAnsi="Times New Roman" w:eastAsia="宋体" w:cs="Times New Roman"/>
                <w:color w:val="auto"/>
                <w:kern w:val="2"/>
                <w:sz w:val="21"/>
                <w:szCs w:val="20"/>
                <w:highlight w:val="none"/>
                <w:lang w:val="en-US" w:eastAsia="zh-CN" w:bidi="ar-SA"/>
              </w:rPr>
            </w:pPr>
            <w:r>
              <w:rPr>
                <w:rFonts w:hint="eastAsia" w:cs="Times New Roman"/>
                <w:color w:val="auto"/>
                <w:highlight w:val="none"/>
                <w:lang w:val="en-US" w:eastAsia="zh-CN"/>
              </w:rPr>
              <w:t>液态</w:t>
            </w:r>
          </w:p>
        </w:tc>
        <w:tc>
          <w:tcPr>
            <w:tcW w:w="1130" w:type="dxa"/>
            <w:shd w:val="clear" w:color="auto" w:fill="auto"/>
            <w:noWrap w:val="0"/>
            <w:vAlign w:val="top"/>
          </w:tcPr>
          <w:p w14:paraId="15E2F75F">
            <w:pPr>
              <w:pStyle w:val="1405"/>
              <w:bidi w:val="0"/>
              <w:ind w:firstLine="0" w:firstLineChars="0"/>
              <w:rPr>
                <w:rFonts w:hint="eastAsia"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密闭桶装</w:t>
            </w:r>
          </w:p>
        </w:tc>
        <w:tc>
          <w:tcPr>
            <w:tcW w:w="1408" w:type="dxa"/>
            <w:tcBorders>
              <w:right w:val="nil"/>
            </w:tcBorders>
            <w:shd w:val="clear" w:color="auto" w:fill="auto"/>
            <w:noWrap w:val="0"/>
            <w:vAlign w:val="top"/>
          </w:tcPr>
          <w:p w14:paraId="079B6173">
            <w:pPr>
              <w:pStyle w:val="1405"/>
              <w:bidi w:val="0"/>
              <w:ind w:firstLine="0" w:firstLineChars="0"/>
              <w:rPr>
                <w:rFonts w:hint="default"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0.3</w:t>
            </w:r>
          </w:p>
        </w:tc>
        <w:tc>
          <w:tcPr>
            <w:tcW w:w="1062" w:type="dxa"/>
            <w:tcBorders>
              <w:right w:val="nil"/>
            </w:tcBorders>
            <w:noWrap w:val="0"/>
            <w:vAlign w:val="top"/>
          </w:tcPr>
          <w:p w14:paraId="49BE8327">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辅料仓库</w:t>
            </w:r>
          </w:p>
        </w:tc>
      </w:tr>
      <w:tr w14:paraId="6509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Borders>
              <w:left w:val="nil"/>
            </w:tcBorders>
            <w:noWrap w:val="0"/>
            <w:vAlign w:val="top"/>
          </w:tcPr>
          <w:p w14:paraId="1461DFCB">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w:t>
            </w:r>
          </w:p>
        </w:tc>
        <w:tc>
          <w:tcPr>
            <w:tcW w:w="1983" w:type="dxa"/>
            <w:gridSpan w:val="2"/>
            <w:noWrap w:val="0"/>
            <w:vAlign w:val="top"/>
          </w:tcPr>
          <w:p w14:paraId="1C986F7C">
            <w:pPr>
              <w:pStyle w:val="1405"/>
              <w:bidi w:val="0"/>
              <w:rPr>
                <w:rFonts w:hint="default" w:cs="Times New Roman"/>
                <w:color w:val="auto"/>
                <w:highlight w:val="none"/>
                <w:lang w:val="en-US" w:eastAsia="zh-CN"/>
              </w:rPr>
            </w:pPr>
            <w:r>
              <w:rPr>
                <w:rFonts w:hint="eastAsia" w:cs="Times New Roman"/>
                <w:color w:val="auto"/>
                <w:highlight w:val="none"/>
                <w:lang w:val="en-US" w:eastAsia="zh-CN"/>
              </w:rPr>
              <w:t>废润滑油</w:t>
            </w:r>
          </w:p>
        </w:tc>
        <w:tc>
          <w:tcPr>
            <w:tcW w:w="1650" w:type="dxa"/>
            <w:noWrap w:val="0"/>
            <w:vAlign w:val="top"/>
          </w:tcPr>
          <w:p w14:paraId="011AEF33">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866" w:type="dxa"/>
            <w:shd w:val="clear" w:color="auto" w:fill="auto"/>
            <w:noWrap w:val="0"/>
            <w:vAlign w:val="top"/>
          </w:tcPr>
          <w:p w14:paraId="50A09A5D">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highlight w:val="none"/>
                <w:lang w:val="en-US" w:eastAsia="zh-CN"/>
              </w:rPr>
              <w:t>液态</w:t>
            </w:r>
          </w:p>
        </w:tc>
        <w:tc>
          <w:tcPr>
            <w:tcW w:w="1130" w:type="dxa"/>
            <w:shd w:val="clear" w:color="auto" w:fill="auto"/>
            <w:noWrap w:val="0"/>
            <w:vAlign w:val="top"/>
          </w:tcPr>
          <w:p w14:paraId="60DF7C42">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密闭桶装</w:t>
            </w:r>
          </w:p>
        </w:tc>
        <w:tc>
          <w:tcPr>
            <w:tcW w:w="1408" w:type="dxa"/>
            <w:tcBorders>
              <w:right w:val="nil"/>
            </w:tcBorders>
            <w:shd w:val="clear" w:color="auto" w:fill="auto"/>
            <w:noWrap w:val="0"/>
            <w:vAlign w:val="top"/>
          </w:tcPr>
          <w:p w14:paraId="27C613E4">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0.25</w:t>
            </w:r>
          </w:p>
        </w:tc>
        <w:tc>
          <w:tcPr>
            <w:tcW w:w="1062" w:type="dxa"/>
            <w:tcBorders>
              <w:right w:val="nil"/>
            </w:tcBorders>
            <w:noWrap w:val="0"/>
            <w:vAlign w:val="top"/>
          </w:tcPr>
          <w:p w14:paraId="7047F1EC">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危废贮存间</w:t>
            </w:r>
          </w:p>
        </w:tc>
      </w:tr>
      <w:tr w14:paraId="443D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Borders>
              <w:left w:val="nil"/>
              <w:bottom w:val="single" w:color="auto" w:sz="12" w:space="0"/>
            </w:tcBorders>
            <w:noWrap w:val="0"/>
            <w:vAlign w:val="top"/>
          </w:tcPr>
          <w:p w14:paraId="267B8868">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p>
        </w:tc>
        <w:tc>
          <w:tcPr>
            <w:tcW w:w="1983" w:type="dxa"/>
            <w:gridSpan w:val="2"/>
            <w:tcBorders>
              <w:bottom w:val="single" w:color="auto" w:sz="12" w:space="0"/>
            </w:tcBorders>
            <w:noWrap w:val="0"/>
            <w:vAlign w:val="top"/>
          </w:tcPr>
          <w:p w14:paraId="5F982325">
            <w:pPr>
              <w:pStyle w:val="1405"/>
              <w:bidi w:val="0"/>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天然气（甲烷）</w:t>
            </w:r>
          </w:p>
        </w:tc>
        <w:tc>
          <w:tcPr>
            <w:tcW w:w="1650" w:type="dxa"/>
            <w:tcBorders>
              <w:bottom w:val="single" w:color="auto" w:sz="12" w:space="0"/>
            </w:tcBorders>
            <w:noWrap w:val="0"/>
            <w:vAlign w:val="top"/>
          </w:tcPr>
          <w:p w14:paraId="40DECA62">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易燃气体，类别1</w:t>
            </w:r>
          </w:p>
        </w:tc>
        <w:tc>
          <w:tcPr>
            <w:tcW w:w="866" w:type="dxa"/>
            <w:tcBorders>
              <w:bottom w:val="single" w:color="auto" w:sz="12" w:space="0"/>
            </w:tcBorders>
            <w:noWrap w:val="0"/>
            <w:vAlign w:val="top"/>
          </w:tcPr>
          <w:p w14:paraId="69452E92">
            <w:pPr>
              <w:pStyle w:val="1405"/>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气态</w:t>
            </w:r>
          </w:p>
        </w:tc>
        <w:tc>
          <w:tcPr>
            <w:tcW w:w="1130" w:type="dxa"/>
            <w:tcBorders>
              <w:bottom w:val="single" w:color="auto" w:sz="12" w:space="0"/>
            </w:tcBorders>
            <w:noWrap w:val="0"/>
            <w:vAlign w:val="top"/>
          </w:tcPr>
          <w:p w14:paraId="4B6EA064">
            <w:pPr>
              <w:pStyle w:val="1405"/>
              <w:bidi w:val="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管道</w:t>
            </w:r>
          </w:p>
        </w:tc>
        <w:tc>
          <w:tcPr>
            <w:tcW w:w="1408" w:type="dxa"/>
            <w:tcBorders>
              <w:bottom w:val="single" w:color="auto" w:sz="12" w:space="0"/>
              <w:right w:val="nil"/>
            </w:tcBorders>
            <w:noWrap w:val="0"/>
            <w:vAlign w:val="top"/>
          </w:tcPr>
          <w:p w14:paraId="316C6FFD">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0.013</w:t>
            </w:r>
          </w:p>
        </w:tc>
        <w:tc>
          <w:tcPr>
            <w:tcW w:w="1062" w:type="dxa"/>
            <w:tcBorders>
              <w:bottom w:val="single" w:color="auto" w:sz="12" w:space="0"/>
              <w:right w:val="nil"/>
            </w:tcBorders>
            <w:noWrap w:val="0"/>
            <w:vAlign w:val="top"/>
          </w:tcPr>
          <w:p w14:paraId="49A8F497">
            <w:pPr>
              <w:pStyle w:val="1405"/>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天然气管道</w:t>
            </w:r>
          </w:p>
        </w:tc>
      </w:tr>
    </w:tbl>
    <w:p w14:paraId="68023857">
      <w:pPr>
        <w:pStyle w:val="6"/>
        <w:bidi w:val="0"/>
        <w:rPr>
          <w:rFonts w:hint="eastAsia"/>
          <w:color w:val="auto"/>
          <w:highlight w:val="none"/>
          <w:lang w:eastAsia="zh-CN"/>
        </w:rPr>
      </w:pPr>
      <w:r>
        <w:rPr>
          <w:rFonts w:hint="eastAsia"/>
          <w:color w:val="auto"/>
          <w:highlight w:val="none"/>
          <w:lang w:eastAsia="zh-CN"/>
        </w:rPr>
        <w:t>（3）生产过程主要危险、有害因素辨识</w:t>
      </w:r>
    </w:p>
    <w:p w14:paraId="76C98996">
      <w:pPr>
        <w:bidi w:val="0"/>
        <w:rPr>
          <w:rFonts w:hint="eastAsia"/>
          <w:color w:val="auto"/>
          <w:highlight w:val="none"/>
        </w:rPr>
      </w:pPr>
      <w:r>
        <w:rPr>
          <w:rFonts w:hint="eastAsia"/>
          <w:color w:val="auto"/>
          <w:highlight w:val="none"/>
        </w:rPr>
        <w:t>①生产过程风险性识别</w:t>
      </w:r>
    </w:p>
    <w:p w14:paraId="2B39EF8B">
      <w:pPr>
        <w:bidi w:val="0"/>
        <w:rPr>
          <w:rFonts w:hint="eastAsia"/>
          <w:color w:val="auto"/>
          <w:highlight w:val="none"/>
        </w:rPr>
      </w:pPr>
      <w:r>
        <w:rPr>
          <w:rFonts w:hint="eastAsia"/>
          <w:color w:val="auto"/>
          <w:highlight w:val="none"/>
        </w:rPr>
        <w:t>在使用涂料、稀释剂、固化剂等进行生产过程中，可能因操作不当而引发事故；同时，设施、管道、机泵等若发生泄漏、断裂或损坏，亦可能导致相应物料泄漏等事故。</w:t>
      </w:r>
    </w:p>
    <w:p w14:paraId="170FD39D">
      <w:pPr>
        <w:bidi w:val="0"/>
        <w:rPr>
          <w:rFonts w:hint="eastAsia"/>
          <w:color w:val="auto"/>
          <w:highlight w:val="none"/>
        </w:rPr>
      </w:pPr>
      <w:r>
        <w:rPr>
          <w:rFonts w:hint="eastAsia"/>
          <w:color w:val="auto"/>
          <w:highlight w:val="none"/>
        </w:rPr>
        <w:t>②贮存过程潜在的风险因素</w:t>
      </w:r>
    </w:p>
    <w:p w14:paraId="36DEEBC5">
      <w:pPr>
        <w:bidi w:val="0"/>
        <w:rPr>
          <w:rFonts w:hint="eastAsia"/>
          <w:color w:val="auto"/>
          <w:highlight w:val="none"/>
        </w:rPr>
      </w:pPr>
      <w:r>
        <w:rPr>
          <w:rFonts w:hint="eastAsia"/>
          <w:color w:val="auto"/>
          <w:highlight w:val="none"/>
        </w:rPr>
        <w:t>项目所用涂料、稀释剂、固化剂等贮存于厂区辅料仓库，均为桶装。其主要风险为贮存桶泄漏，以及火灾、爆炸引发的次生/伴生污染物排放等。</w:t>
      </w:r>
    </w:p>
    <w:p w14:paraId="04FC3BF7">
      <w:pPr>
        <w:bidi w:val="0"/>
        <w:rPr>
          <w:rFonts w:hint="eastAsia"/>
          <w:color w:val="auto"/>
          <w:highlight w:val="none"/>
        </w:rPr>
      </w:pPr>
      <w:r>
        <w:rPr>
          <w:rFonts w:hint="eastAsia"/>
          <w:color w:val="auto"/>
          <w:highlight w:val="none"/>
        </w:rPr>
        <w:t>③运输过程潜在的风险因素</w:t>
      </w:r>
    </w:p>
    <w:p w14:paraId="1ECCEFA9">
      <w:pPr>
        <w:bidi w:val="0"/>
        <w:rPr>
          <w:rFonts w:hint="eastAsia"/>
          <w:color w:val="auto"/>
          <w:highlight w:val="none"/>
        </w:rPr>
      </w:pPr>
      <w:r>
        <w:rPr>
          <w:rFonts w:hint="eastAsia"/>
          <w:color w:val="auto"/>
          <w:highlight w:val="none"/>
        </w:rPr>
        <w:t>项目生产所需涂料、稀释剂、固化剂等主要通过汽车运输进入厂区，再由工人用手推车运至辅料仓库。运输过程中若发生倾倒、碰撞等，可能导致物料泄漏。</w:t>
      </w:r>
    </w:p>
    <w:p w14:paraId="7CDC8044">
      <w:pPr>
        <w:bidi w:val="0"/>
        <w:rPr>
          <w:rFonts w:hint="eastAsia"/>
          <w:color w:val="auto"/>
          <w:highlight w:val="none"/>
          <w:lang w:eastAsia="zh-CN"/>
        </w:rPr>
      </w:pPr>
      <w:r>
        <w:rPr>
          <w:rFonts w:hint="default"/>
          <w:color w:val="auto"/>
          <w:highlight w:val="none"/>
          <w:lang w:eastAsia="zh-CN"/>
        </w:rPr>
        <w:t>④</w:t>
      </w:r>
      <w:r>
        <w:rPr>
          <w:rFonts w:hint="eastAsia"/>
          <w:color w:val="auto"/>
          <w:highlight w:val="none"/>
          <w:lang w:eastAsia="zh-CN"/>
        </w:rPr>
        <w:t>公用工程及辅助设施识别</w:t>
      </w:r>
    </w:p>
    <w:p w14:paraId="0D40437D">
      <w:pPr>
        <w:bidi w:val="0"/>
        <w:rPr>
          <w:rFonts w:hint="eastAsia"/>
          <w:color w:val="auto"/>
          <w:highlight w:val="none"/>
          <w:lang w:eastAsia="zh-CN"/>
        </w:rPr>
      </w:pPr>
      <w:r>
        <w:rPr>
          <w:rFonts w:hint="eastAsia"/>
          <w:color w:val="auto"/>
          <w:highlight w:val="none"/>
          <w:lang w:eastAsia="zh-CN"/>
        </w:rPr>
        <w:t>电气火灾通常由电气线路或电气设备运行过程中的短路、过载、接触不良、漏电，以及蓄电、静电等原因产生的高温、电弧或电火花引发。此外，电气设备的机械故障、发热等也可能导致电气火灾。上述成因与人的行为、设备运行状态及使用环境条件等密切相关。当电气线路、电气设备及其运行状态或使用环境条件劣化，且工作人员缺乏安全用电知识，不遵守运行、操作、维护、管理规程，违反工作制度时，便可能发生电气火灾。</w:t>
      </w:r>
    </w:p>
    <w:p w14:paraId="75853046">
      <w:pPr>
        <w:bidi w:val="0"/>
        <w:rPr>
          <w:rFonts w:hint="eastAsia"/>
          <w:color w:val="auto"/>
          <w:highlight w:val="none"/>
          <w:lang w:eastAsia="zh-CN"/>
        </w:rPr>
      </w:pPr>
      <w:r>
        <w:rPr>
          <w:rFonts w:hint="eastAsia"/>
          <w:color w:val="auto"/>
          <w:highlight w:val="none"/>
          <w:lang w:eastAsia="zh-CN"/>
        </w:rPr>
        <w:t>电气火灾原因主要有以下几个方面：</w:t>
      </w:r>
    </w:p>
    <w:p w14:paraId="78026D0E">
      <w:pPr>
        <w:bidi w:val="0"/>
        <w:rPr>
          <w:rFonts w:hint="eastAsia"/>
          <w:color w:val="auto"/>
          <w:highlight w:val="none"/>
          <w:lang w:eastAsia="zh-CN"/>
        </w:rPr>
      </w:pPr>
      <w:r>
        <w:rPr>
          <w:rFonts w:hint="eastAsia"/>
          <w:color w:val="auto"/>
          <w:highlight w:val="none"/>
          <w:lang w:eastAsia="zh-CN"/>
        </w:rPr>
        <w:t>a.过载：过载时发热量往往大大超过允许限度，轻则加速绝缘层老化，重则会使可燃绝缘层燃烧而引起火灾事故。</w:t>
      </w:r>
    </w:p>
    <w:p w14:paraId="51AB303F">
      <w:pPr>
        <w:bidi w:val="0"/>
        <w:rPr>
          <w:rFonts w:hint="eastAsia"/>
          <w:color w:val="auto"/>
          <w:highlight w:val="none"/>
          <w:lang w:eastAsia="zh-CN"/>
        </w:rPr>
      </w:pPr>
      <w:r>
        <w:rPr>
          <w:rFonts w:hint="eastAsia"/>
          <w:color w:val="auto"/>
          <w:highlight w:val="none"/>
          <w:lang w:eastAsia="zh-CN"/>
        </w:rPr>
        <w:t>b.短路：</w:t>
      </w:r>
      <w:r>
        <w:rPr>
          <w:rFonts w:hint="default"/>
          <w:color w:val="auto"/>
          <w:highlight w:val="none"/>
          <w:lang w:eastAsia="zh-CN"/>
        </w:rPr>
        <w:t>发生短路时，电源电动势被短接，短路点阻抗变小，造成电气回路中电流突然增大，在短路处可产生高达700℃的火花，甚至产生6000℃以上的电弧；不仅会使金属导线熔化和绝缘材料燃烧，还会引起附近的可燃物着火及可燃性气体与空气混合物的爆炸。</w:t>
      </w:r>
    </w:p>
    <w:p w14:paraId="059E0492">
      <w:pPr>
        <w:bidi w:val="0"/>
        <w:rPr>
          <w:rFonts w:hint="eastAsia"/>
          <w:color w:val="auto"/>
          <w:highlight w:val="none"/>
          <w:lang w:eastAsia="zh-CN"/>
        </w:rPr>
      </w:pPr>
      <w:r>
        <w:rPr>
          <w:rFonts w:hint="eastAsia"/>
          <w:color w:val="auto"/>
          <w:highlight w:val="none"/>
          <w:lang w:eastAsia="zh-CN"/>
        </w:rPr>
        <w:t>c.接触电阻大：这是指导线与导线、导线与电气设备的连接处，由于接触不良，使接触部位的局部电阻过大的现象。当电流通过时，在接触电阻过大的部位，就会吸收很大的电能，产生极大的热量，从而使绝缘层损坏以致燃烧，使金属导线变色甚至熔化，严重时可引起附近的可燃物质着火而造成火灾。</w:t>
      </w:r>
    </w:p>
    <w:p w14:paraId="16BF5740">
      <w:pPr>
        <w:bidi w:val="0"/>
        <w:rPr>
          <w:rFonts w:hint="eastAsia"/>
          <w:color w:val="auto"/>
          <w:highlight w:val="none"/>
          <w:lang w:eastAsia="zh-CN"/>
        </w:rPr>
      </w:pPr>
      <w:r>
        <w:rPr>
          <w:rFonts w:hint="eastAsia"/>
          <w:color w:val="auto"/>
          <w:highlight w:val="none"/>
          <w:lang w:eastAsia="zh-CN"/>
        </w:rPr>
        <w:t>d.雷电和静电形成的点火源：大自然的雷电产生的电效应、热效应、机械效应和电磁感应及生产过程中的静电放电火花，也常常是企业火灾、爆炸的根源之一。</w:t>
      </w:r>
    </w:p>
    <w:p w14:paraId="68EBDFA7">
      <w:pPr>
        <w:bidi w:val="0"/>
        <w:rPr>
          <w:rFonts w:hint="eastAsia"/>
          <w:color w:val="auto"/>
          <w:highlight w:val="none"/>
          <w:lang w:eastAsia="zh-CN"/>
        </w:rPr>
      </w:pPr>
      <w:r>
        <w:rPr>
          <w:rFonts w:hint="eastAsia"/>
          <w:color w:val="auto"/>
          <w:highlight w:val="none"/>
          <w:lang w:eastAsia="zh-CN"/>
        </w:rPr>
        <w:t>e.电力线路或电气设备设计、安装或运行维护不当：工作人员由于思想麻痹而忘记切断电源等导致火灾、爆炸事故。</w:t>
      </w:r>
    </w:p>
    <w:p w14:paraId="3DD9EC2F">
      <w:pPr>
        <w:pStyle w:val="6"/>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）环保工程存在的危险性、有害性</w:t>
      </w:r>
    </w:p>
    <w:p w14:paraId="749F41EB">
      <w:pPr>
        <w:bidi w:val="0"/>
        <w:rPr>
          <w:rFonts w:hint="eastAsia"/>
          <w:color w:val="auto"/>
          <w:highlight w:val="none"/>
          <w:lang w:eastAsia="zh-CN"/>
        </w:rPr>
      </w:pPr>
      <w:r>
        <w:rPr>
          <w:rFonts w:hint="default"/>
          <w:color w:val="auto"/>
          <w:highlight w:val="none"/>
          <w:lang w:eastAsia="zh-CN"/>
        </w:rPr>
        <w:t>①</w:t>
      </w:r>
      <w:r>
        <w:rPr>
          <w:rFonts w:hint="eastAsia"/>
          <w:color w:val="auto"/>
          <w:highlight w:val="none"/>
          <w:lang w:eastAsia="zh-CN"/>
        </w:rPr>
        <w:t>废气处理设施</w:t>
      </w:r>
    </w:p>
    <w:p w14:paraId="4D4582E2">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本项目废气排放的主要污染物有颗粒物、乙酸乙酯、二甲苯和非甲烷总烃，废气处理装置若出现故障，会造成大量有毒有害气体排放，甚至出现超标排放，对周围环境产生较重影响。因此，企业</w:t>
      </w:r>
      <w:r>
        <w:rPr>
          <w:rFonts w:hint="eastAsia" w:cs="Times New Roman"/>
          <w:color w:val="auto"/>
          <w:highlight w:val="none"/>
          <w:lang w:eastAsia="zh-CN"/>
        </w:rPr>
        <w:t>应加强</w:t>
      </w:r>
      <w:r>
        <w:rPr>
          <w:rFonts w:hint="eastAsia" w:ascii="Times New Roman" w:hAnsi="Times New Roman" w:eastAsia="宋体" w:cs="Times New Roman"/>
          <w:color w:val="auto"/>
          <w:highlight w:val="none"/>
        </w:rPr>
        <w:t>定期检查处理设施的内部装置是否完好，设置备用的设施配件，如有缺损应及时更换或修理，防止设备出现故障。</w:t>
      </w:r>
    </w:p>
    <w:p w14:paraId="375FC006">
      <w:pPr>
        <w:pStyle w:val="1336"/>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综上所述，当废气</w:t>
      </w:r>
      <w:r>
        <w:rPr>
          <w:rFonts w:hint="eastAsia" w:cs="Times New Roman"/>
          <w:color w:val="auto"/>
          <w:highlight w:val="none"/>
          <w:lang w:val="en-US" w:eastAsia="zh-CN"/>
        </w:rPr>
        <w:t>处理装置</w:t>
      </w:r>
      <w:r>
        <w:rPr>
          <w:rFonts w:hint="eastAsia" w:ascii="Times New Roman" w:hAnsi="Times New Roman" w:eastAsia="宋体" w:cs="Times New Roman"/>
          <w:color w:val="auto"/>
          <w:highlight w:val="none"/>
        </w:rPr>
        <w:t>出现故障</w:t>
      </w:r>
      <w:r>
        <w:rPr>
          <w:rFonts w:hint="eastAsia" w:cs="Times New Roman"/>
          <w:color w:val="auto"/>
          <w:highlight w:val="none"/>
          <w:lang w:eastAsia="zh-CN"/>
        </w:rPr>
        <w:t>时，</w:t>
      </w:r>
      <w:r>
        <w:rPr>
          <w:rFonts w:hint="eastAsia" w:ascii="Times New Roman" w:hAnsi="Times New Roman" w:eastAsia="宋体" w:cs="Times New Roman"/>
          <w:color w:val="auto"/>
          <w:highlight w:val="none"/>
        </w:rPr>
        <w:t>通过有效控制措施，可以很快恢复正常排放状态。</w:t>
      </w:r>
    </w:p>
    <w:p w14:paraId="680FF94E">
      <w:pPr>
        <w:bidi w:val="0"/>
        <w:rPr>
          <w:rFonts w:hint="eastAsia"/>
          <w:color w:val="auto"/>
          <w:highlight w:val="none"/>
          <w:lang w:eastAsia="zh-CN"/>
        </w:rPr>
      </w:pPr>
      <w:r>
        <w:rPr>
          <w:rFonts w:hint="default"/>
          <w:color w:val="auto"/>
          <w:highlight w:val="none"/>
          <w:lang w:eastAsia="zh-CN"/>
        </w:rPr>
        <w:t>②</w:t>
      </w:r>
      <w:r>
        <w:rPr>
          <w:rFonts w:hint="eastAsia"/>
          <w:color w:val="auto"/>
          <w:highlight w:val="none"/>
          <w:lang w:eastAsia="zh-CN"/>
        </w:rPr>
        <w:t>废水收集系统</w:t>
      </w:r>
    </w:p>
    <w:p w14:paraId="524BA358">
      <w:pPr>
        <w:bidi w:val="0"/>
        <w:rPr>
          <w:rFonts w:hint="eastAsia"/>
          <w:color w:val="auto"/>
          <w:highlight w:val="none"/>
          <w:lang w:eastAsia="zh-CN"/>
        </w:rPr>
      </w:pPr>
      <w:r>
        <w:rPr>
          <w:rFonts w:hint="eastAsia"/>
          <w:color w:val="auto"/>
          <w:highlight w:val="none"/>
          <w:lang w:eastAsia="zh-CN"/>
        </w:rPr>
        <w:t>本项目产生的废水主要包括注塑工序冷却水、冰水机配套的设备冷却水、热洁炉换热器冷却水、纯水制备浓水及锅炉排污水。其中，注塑工序冷却水、冰水机配套的设备冷却水与热洁炉换热器冷却水均为间接冷却水，水质基本不受污染，经降温后全部循环使用不外排，仅定期补充蒸发、风吹带来的水量损耗；纯水制备浓水和锅炉排污水属于清洁废水，水质简单，不含重金属及有毒有害物质，经厂区污水总排口接入市政污水管网。</w:t>
      </w:r>
    </w:p>
    <w:p w14:paraId="350ED6A9">
      <w:pPr>
        <w:bidi w:val="0"/>
        <w:rPr>
          <w:rFonts w:hint="eastAsia"/>
          <w:color w:val="auto"/>
          <w:highlight w:val="none"/>
          <w:lang w:eastAsia="zh-CN"/>
        </w:rPr>
      </w:pPr>
      <w:r>
        <w:rPr>
          <w:rFonts w:hint="eastAsia"/>
          <w:color w:val="auto"/>
          <w:highlight w:val="none"/>
          <w:lang w:eastAsia="zh-CN"/>
        </w:rPr>
        <w:t>上述废水污染物含量较低，正常工况下不会对周边地下水和土壤环境造成污染。</w:t>
      </w:r>
    </w:p>
    <w:p w14:paraId="56F35B8F">
      <w:pPr>
        <w:pStyle w:val="6"/>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olor w:val="auto"/>
          <w:highlight w:val="none"/>
        </w:rPr>
        <w:t>风险识别结果</w:t>
      </w:r>
    </w:p>
    <w:p w14:paraId="1640656C">
      <w:pPr>
        <w:bidi w:val="0"/>
        <w:rPr>
          <w:rFonts w:hint="eastAsia"/>
          <w:color w:val="auto"/>
          <w:highlight w:val="none"/>
        </w:rPr>
      </w:pPr>
      <w:r>
        <w:rPr>
          <w:rFonts w:hint="eastAsia"/>
          <w:color w:val="auto"/>
          <w:highlight w:val="none"/>
        </w:rPr>
        <w:t>根据以上分析，建设项目环境风险识别汇总见表</w:t>
      </w:r>
      <w:r>
        <w:rPr>
          <w:rFonts w:hint="eastAsia"/>
          <w:color w:val="auto"/>
          <w:highlight w:val="none"/>
          <w:lang w:val="en-US" w:eastAsia="zh-CN"/>
        </w:rPr>
        <w:t>6.2-3</w:t>
      </w:r>
      <w:r>
        <w:rPr>
          <w:rFonts w:hint="eastAsia"/>
          <w:color w:val="auto"/>
          <w:highlight w:val="none"/>
        </w:rPr>
        <w:t>。</w:t>
      </w:r>
    </w:p>
    <w:p w14:paraId="4805F69F">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表6.2-</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建设项目环境风险识别汇总表</w:t>
      </w:r>
    </w:p>
    <w:tbl>
      <w:tblPr>
        <w:tblStyle w:val="8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690"/>
        <w:gridCol w:w="1785"/>
        <w:gridCol w:w="997"/>
        <w:gridCol w:w="1958"/>
        <w:gridCol w:w="1794"/>
        <w:gridCol w:w="1286"/>
      </w:tblGrid>
      <w:tr w14:paraId="7EDEA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4793EA1A">
            <w:pPr>
              <w:pStyle w:val="1405"/>
              <w:bidi w:val="0"/>
              <w:rPr>
                <w:rFonts w:hint="eastAsia"/>
                <w:color w:val="auto"/>
                <w:highlight w:val="none"/>
                <w:lang w:val="en-US" w:eastAsia="zh-CN"/>
              </w:rPr>
            </w:pPr>
            <w:r>
              <w:rPr>
                <w:rFonts w:hint="eastAsia"/>
                <w:color w:val="auto"/>
                <w:highlight w:val="none"/>
                <w:lang w:val="en-US" w:eastAsia="zh-CN"/>
              </w:rPr>
              <w:t>序号</w:t>
            </w:r>
          </w:p>
        </w:tc>
        <w:tc>
          <w:tcPr>
            <w:tcW w:w="690" w:type="dxa"/>
            <w:tcBorders>
              <w:tl2br w:val="nil"/>
              <w:tr2bl w:val="nil"/>
            </w:tcBorders>
            <w:noWrap w:val="0"/>
            <w:vAlign w:val="center"/>
          </w:tcPr>
          <w:p w14:paraId="1470ECDC">
            <w:pPr>
              <w:pStyle w:val="1405"/>
              <w:bidi w:val="0"/>
              <w:rPr>
                <w:rFonts w:hint="default"/>
                <w:color w:val="auto"/>
                <w:highlight w:val="none"/>
                <w:lang w:val="en-US" w:eastAsia="zh-CN"/>
              </w:rPr>
            </w:pPr>
            <w:r>
              <w:rPr>
                <w:rFonts w:hint="eastAsia"/>
                <w:color w:val="auto"/>
                <w:highlight w:val="none"/>
                <w:lang w:val="en-US" w:eastAsia="zh-CN"/>
              </w:rPr>
              <w:t>危险单元</w:t>
            </w:r>
          </w:p>
        </w:tc>
        <w:tc>
          <w:tcPr>
            <w:tcW w:w="1785" w:type="dxa"/>
            <w:tcBorders>
              <w:tl2br w:val="nil"/>
              <w:tr2bl w:val="nil"/>
            </w:tcBorders>
            <w:noWrap w:val="0"/>
            <w:vAlign w:val="center"/>
          </w:tcPr>
          <w:p w14:paraId="3CEAFAA7">
            <w:pPr>
              <w:pStyle w:val="1405"/>
              <w:bidi w:val="0"/>
              <w:rPr>
                <w:rFonts w:hint="default"/>
                <w:color w:val="auto"/>
                <w:highlight w:val="none"/>
                <w:lang w:val="en-US" w:eastAsia="zh-CN"/>
              </w:rPr>
            </w:pPr>
            <w:r>
              <w:rPr>
                <w:rFonts w:hint="eastAsia"/>
                <w:color w:val="auto"/>
                <w:highlight w:val="none"/>
                <w:lang w:val="en-US" w:eastAsia="zh-CN"/>
              </w:rPr>
              <w:t>潜在的风险源</w:t>
            </w:r>
          </w:p>
        </w:tc>
        <w:tc>
          <w:tcPr>
            <w:tcW w:w="997" w:type="dxa"/>
            <w:tcBorders>
              <w:tl2br w:val="nil"/>
              <w:tr2bl w:val="nil"/>
            </w:tcBorders>
            <w:noWrap w:val="0"/>
            <w:vAlign w:val="center"/>
          </w:tcPr>
          <w:p w14:paraId="2B61FEF3">
            <w:pPr>
              <w:pStyle w:val="1405"/>
              <w:bidi w:val="0"/>
              <w:rPr>
                <w:rFonts w:hint="default"/>
                <w:color w:val="auto"/>
                <w:highlight w:val="none"/>
                <w:lang w:val="en-US" w:eastAsia="zh-CN"/>
              </w:rPr>
            </w:pPr>
            <w:r>
              <w:rPr>
                <w:rFonts w:hint="eastAsia"/>
                <w:color w:val="auto"/>
                <w:highlight w:val="none"/>
                <w:lang w:val="en-US" w:eastAsia="zh-CN"/>
              </w:rPr>
              <w:t>主要危险物质</w:t>
            </w:r>
          </w:p>
        </w:tc>
        <w:tc>
          <w:tcPr>
            <w:tcW w:w="1958" w:type="dxa"/>
            <w:tcBorders>
              <w:tl2br w:val="nil"/>
              <w:tr2bl w:val="nil"/>
            </w:tcBorders>
            <w:noWrap w:val="0"/>
            <w:vAlign w:val="center"/>
          </w:tcPr>
          <w:p w14:paraId="3CF2FEB5">
            <w:pPr>
              <w:pStyle w:val="1405"/>
              <w:bidi w:val="0"/>
              <w:rPr>
                <w:rFonts w:hint="default"/>
                <w:color w:val="auto"/>
                <w:highlight w:val="none"/>
                <w:lang w:val="en-US" w:eastAsia="zh-CN"/>
              </w:rPr>
            </w:pPr>
            <w:r>
              <w:rPr>
                <w:rFonts w:hint="eastAsia"/>
                <w:color w:val="auto"/>
                <w:highlight w:val="none"/>
                <w:lang w:val="en-US" w:eastAsia="zh-CN"/>
              </w:rPr>
              <w:t>环境风险类型</w:t>
            </w:r>
          </w:p>
        </w:tc>
        <w:tc>
          <w:tcPr>
            <w:tcW w:w="1794" w:type="dxa"/>
            <w:tcBorders>
              <w:tl2br w:val="nil"/>
              <w:tr2bl w:val="nil"/>
            </w:tcBorders>
            <w:noWrap w:val="0"/>
            <w:vAlign w:val="center"/>
          </w:tcPr>
          <w:p w14:paraId="5B8FE8AD">
            <w:pPr>
              <w:pStyle w:val="1405"/>
              <w:bidi w:val="0"/>
              <w:rPr>
                <w:rFonts w:hint="default"/>
                <w:color w:val="auto"/>
                <w:highlight w:val="none"/>
                <w:lang w:val="en-US" w:eastAsia="zh-CN"/>
              </w:rPr>
            </w:pPr>
            <w:r>
              <w:rPr>
                <w:rFonts w:hint="eastAsia"/>
                <w:color w:val="auto"/>
                <w:highlight w:val="none"/>
                <w:lang w:val="en-US" w:eastAsia="zh-CN"/>
              </w:rPr>
              <w:t>环境影响途径</w:t>
            </w:r>
          </w:p>
        </w:tc>
        <w:tc>
          <w:tcPr>
            <w:tcW w:w="1286" w:type="dxa"/>
            <w:tcBorders>
              <w:tl2br w:val="nil"/>
              <w:tr2bl w:val="nil"/>
            </w:tcBorders>
            <w:noWrap w:val="0"/>
            <w:vAlign w:val="center"/>
          </w:tcPr>
          <w:p w14:paraId="38507184">
            <w:pPr>
              <w:pStyle w:val="1405"/>
              <w:bidi w:val="0"/>
              <w:rPr>
                <w:rFonts w:hint="default"/>
                <w:color w:val="auto"/>
                <w:highlight w:val="none"/>
                <w:lang w:val="en-US" w:eastAsia="zh-CN"/>
              </w:rPr>
            </w:pPr>
            <w:r>
              <w:rPr>
                <w:rFonts w:hint="eastAsia"/>
                <w:color w:val="auto"/>
                <w:highlight w:val="none"/>
                <w:lang w:val="en-US" w:eastAsia="zh-CN"/>
              </w:rPr>
              <w:t>可能受影响的环境敏感目标</w:t>
            </w:r>
          </w:p>
        </w:tc>
      </w:tr>
      <w:tr w14:paraId="16987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34B397C4">
            <w:pPr>
              <w:pStyle w:val="1405"/>
              <w:bidi w:val="0"/>
              <w:rPr>
                <w:rFonts w:hint="eastAsia"/>
                <w:color w:val="auto"/>
                <w:highlight w:val="none"/>
                <w:lang w:val="en-US" w:eastAsia="zh-CN"/>
              </w:rPr>
            </w:pPr>
            <w:r>
              <w:rPr>
                <w:rFonts w:hint="eastAsia"/>
                <w:color w:val="auto"/>
                <w:highlight w:val="none"/>
                <w:lang w:val="en-US" w:eastAsia="zh-CN"/>
              </w:rPr>
              <w:t>1</w:t>
            </w:r>
          </w:p>
        </w:tc>
        <w:tc>
          <w:tcPr>
            <w:tcW w:w="690" w:type="dxa"/>
            <w:tcBorders>
              <w:tl2br w:val="nil"/>
              <w:tr2bl w:val="nil"/>
            </w:tcBorders>
            <w:noWrap w:val="0"/>
            <w:vAlign w:val="center"/>
          </w:tcPr>
          <w:p w14:paraId="030BFA41">
            <w:pPr>
              <w:pStyle w:val="1405"/>
              <w:bidi w:val="0"/>
              <w:rPr>
                <w:rFonts w:hint="default"/>
                <w:color w:val="auto"/>
                <w:highlight w:val="none"/>
                <w:lang w:val="en-US" w:eastAsia="zh-CN"/>
              </w:rPr>
            </w:pPr>
            <w:r>
              <w:rPr>
                <w:rFonts w:hint="eastAsia"/>
                <w:color w:val="auto"/>
                <w:highlight w:val="none"/>
                <w:lang w:val="en-US" w:eastAsia="zh-CN"/>
              </w:rPr>
              <w:t>调漆房/辅料仓库</w:t>
            </w:r>
          </w:p>
        </w:tc>
        <w:tc>
          <w:tcPr>
            <w:tcW w:w="1785" w:type="dxa"/>
            <w:tcBorders>
              <w:tl2br w:val="nil"/>
              <w:tr2bl w:val="nil"/>
            </w:tcBorders>
            <w:noWrap w:val="0"/>
            <w:vAlign w:val="center"/>
          </w:tcPr>
          <w:p w14:paraId="542E60A0">
            <w:pPr>
              <w:pStyle w:val="1405"/>
              <w:bidi w:val="0"/>
              <w:rPr>
                <w:rFonts w:hint="eastAsia"/>
                <w:color w:val="auto"/>
                <w:highlight w:val="none"/>
                <w:lang w:val="en-US" w:eastAsia="zh-CN"/>
              </w:rPr>
            </w:pPr>
            <w:r>
              <w:rPr>
                <w:rFonts w:hint="eastAsia"/>
                <w:color w:val="auto"/>
                <w:highlight w:val="none"/>
                <w:lang w:val="en-US" w:eastAsia="zh-CN"/>
              </w:rPr>
              <w:t>油漆、稀释剂、固化剂、清洗剂储存桶破损或操作不当</w:t>
            </w:r>
          </w:p>
        </w:tc>
        <w:tc>
          <w:tcPr>
            <w:tcW w:w="997" w:type="dxa"/>
            <w:tcBorders>
              <w:tl2br w:val="nil"/>
              <w:tr2bl w:val="nil"/>
            </w:tcBorders>
            <w:noWrap w:val="0"/>
            <w:vAlign w:val="center"/>
          </w:tcPr>
          <w:p w14:paraId="118561DB">
            <w:pPr>
              <w:pStyle w:val="1405"/>
              <w:bidi w:val="0"/>
              <w:rPr>
                <w:rFonts w:hint="default"/>
                <w:color w:val="auto"/>
                <w:highlight w:val="none"/>
                <w:lang w:val="en-US" w:eastAsia="zh-CN"/>
              </w:rPr>
            </w:pPr>
            <w:r>
              <w:rPr>
                <w:rFonts w:hint="eastAsia"/>
                <w:color w:val="auto"/>
                <w:highlight w:val="none"/>
                <w:lang w:val="en-US" w:eastAsia="zh-CN"/>
              </w:rPr>
              <w:t>二甲苯、乙酸丁酯等</w:t>
            </w:r>
          </w:p>
        </w:tc>
        <w:tc>
          <w:tcPr>
            <w:tcW w:w="1958" w:type="dxa"/>
            <w:tcBorders>
              <w:tl2br w:val="nil"/>
              <w:tr2bl w:val="nil"/>
            </w:tcBorders>
            <w:noWrap w:val="0"/>
            <w:vAlign w:val="center"/>
          </w:tcPr>
          <w:p w14:paraId="4C53F4F7">
            <w:pPr>
              <w:pStyle w:val="1405"/>
              <w:bidi w:val="0"/>
              <w:rPr>
                <w:rFonts w:hint="default"/>
                <w:color w:val="auto"/>
                <w:highlight w:val="none"/>
                <w:lang w:val="en-US" w:eastAsia="zh-CN"/>
              </w:rPr>
            </w:pPr>
            <w:r>
              <w:rPr>
                <w:rFonts w:hint="default"/>
                <w:color w:val="auto"/>
                <w:highlight w:val="none"/>
                <w:lang w:val="en-US" w:eastAsia="zh-CN"/>
              </w:rPr>
              <w:t>泄漏、火灾/爆炸引发的伴生/次生污染物排放</w:t>
            </w:r>
          </w:p>
        </w:tc>
        <w:tc>
          <w:tcPr>
            <w:tcW w:w="1794" w:type="dxa"/>
            <w:tcBorders>
              <w:tl2br w:val="nil"/>
              <w:tr2bl w:val="nil"/>
            </w:tcBorders>
            <w:noWrap w:val="0"/>
            <w:vAlign w:val="center"/>
          </w:tcPr>
          <w:p w14:paraId="52811E39">
            <w:pPr>
              <w:pStyle w:val="1405"/>
              <w:bidi w:val="0"/>
              <w:rPr>
                <w:rFonts w:hint="default"/>
                <w:color w:val="auto"/>
                <w:highlight w:val="none"/>
                <w:lang w:val="en-US" w:eastAsia="zh-CN"/>
              </w:rPr>
            </w:pPr>
            <w:r>
              <w:rPr>
                <w:rFonts w:hint="default"/>
                <w:color w:val="auto"/>
                <w:highlight w:val="none"/>
                <w:lang w:val="en-US" w:eastAsia="zh-CN"/>
              </w:rPr>
              <w:t>泄漏物料下渗污染地下水、土壤；挥发进入大气环境；火灾产生有毒烟气污染大气环境</w:t>
            </w:r>
          </w:p>
        </w:tc>
        <w:tc>
          <w:tcPr>
            <w:tcW w:w="1286" w:type="dxa"/>
            <w:vMerge w:val="restart"/>
            <w:tcBorders>
              <w:tl2br w:val="nil"/>
              <w:tr2bl w:val="nil"/>
            </w:tcBorders>
            <w:noWrap w:val="0"/>
            <w:vAlign w:val="center"/>
          </w:tcPr>
          <w:p w14:paraId="5D3B75CF">
            <w:pPr>
              <w:pStyle w:val="1405"/>
              <w:bidi w:val="0"/>
              <w:rPr>
                <w:rFonts w:hint="eastAsia"/>
                <w:color w:val="auto"/>
                <w:highlight w:val="none"/>
                <w:lang w:val="en-US" w:eastAsia="zh-CN"/>
              </w:rPr>
            </w:pPr>
            <w:r>
              <w:rPr>
                <w:rFonts w:hint="eastAsia"/>
                <w:color w:val="auto"/>
                <w:highlight w:val="none"/>
                <w:lang w:val="en-US" w:eastAsia="zh-CN"/>
              </w:rPr>
              <w:t>周围地表水、地下水、土壤及周围人口集中的居民区、学校等</w:t>
            </w:r>
          </w:p>
        </w:tc>
      </w:tr>
      <w:tr w14:paraId="3A33C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3ECBEB5F">
            <w:pPr>
              <w:pStyle w:val="1405"/>
              <w:bidi w:val="0"/>
              <w:rPr>
                <w:rFonts w:hint="default"/>
                <w:color w:val="auto"/>
                <w:highlight w:val="none"/>
                <w:lang w:val="en-US" w:eastAsia="zh-CN"/>
              </w:rPr>
            </w:pPr>
            <w:r>
              <w:rPr>
                <w:rFonts w:hint="eastAsia"/>
                <w:color w:val="auto"/>
                <w:highlight w:val="none"/>
                <w:lang w:val="en-US" w:eastAsia="zh-CN"/>
              </w:rPr>
              <w:t>2</w:t>
            </w:r>
          </w:p>
        </w:tc>
        <w:tc>
          <w:tcPr>
            <w:tcW w:w="690" w:type="dxa"/>
            <w:tcBorders>
              <w:tl2br w:val="nil"/>
              <w:tr2bl w:val="nil"/>
            </w:tcBorders>
            <w:noWrap w:val="0"/>
            <w:vAlign w:val="center"/>
          </w:tcPr>
          <w:p w14:paraId="0D963CFC">
            <w:pPr>
              <w:pStyle w:val="1405"/>
              <w:bidi w:val="0"/>
              <w:rPr>
                <w:rFonts w:hint="default"/>
                <w:color w:val="auto"/>
                <w:highlight w:val="none"/>
                <w:lang w:val="en-US" w:eastAsia="zh-CN"/>
              </w:rPr>
            </w:pPr>
            <w:r>
              <w:rPr>
                <w:rFonts w:hint="eastAsia"/>
                <w:color w:val="auto"/>
                <w:highlight w:val="none"/>
                <w:lang w:val="en-US" w:eastAsia="zh-CN"/>
              </w:rPr>
              <w:t>危废贮存库</w:t>
            </w:r>
          </w:p>
        </w:tc>
        <w:tc>
          <w:tcPr>
            <w:tcW w:w="1785" w:type="dxa"/>
            <w:tcBorders>
              <w:tl2br w:val="nil"/>
              <w:tr2bl w:val="nil"/>
            </w:tcBorders>
            <w:noWrap w:val="0"/>
            <w:vAlign w:val="center"/>
          </w:tcPr>
          <w:p w14:paraId="4416510C">
            <w:pPr>
              <w:pStyle w:val="1405"/>
              <w:bidi w:val="0"/>
              <w:rPr>
                <w:rFonts w:hint="default"/>
                <w:color w:val="auto"/>
                <w:highlight w:val="none"/>
                <w:lang w:val="en-US" w:eastAsia="zh-CN"/>
              </w:rPr>
            </w:pPr>
            <w:r>
              <w:rPr>
                <w:rFonts w:hint="eastAsia"/>
                <w:color w:val="auto"/>
                <w:highlight w:val="none"/>
                <w:lang w:val="en-US" w:eastAsia="zh-CN"/>
              </w:rPr>
              <w:t>废润滑油、废清洗剂等危废储桶破损</w:t>
            </w:r>
          </w:p>
        </w:tc>
        <w:tc>
          <w:tcPr>
            <w:tcW w:w="997" w:type="dxa"/>
            <w:tcBorders>
              <w:tl2br w:val="nil"/>
              <w:tr2bl w:val="nil"/>
            </w:tcBorders>
            <w:noWrap w:val="0"/>
            <w:vAlign w:val="center"/>
          </w:tcPr>
          <w:p w14:paraId="4BAF473A">
            <w:pPr>
              <w:pStyle w:val="1405"/>
              <w:bidi w:val="0"/>
              <w:rPr>
                <w:rFonts w:hint="default"/>
                <w:color w:val="auto"/>
                <w:highlight w:val="none"/>
                <w:lang w:val="en-US" w:eastAsia="zh-CN"/>
              </w:rPr>
            </w:pPr>
            <w:r>
              <w:rPr>
                <w:rFonts w:hint="eastAsia"/>
                <w:color w:val="auto"/>
                <w:highlight w:val="none"/>
                <w:lang w:val="en-US" w:eastAsia="zh-CN"/>
              </w:rPr>
              <w:t>废润滑油、废清洗剂（乙酸丁酯）等</w:t>
            </w:r>
          </w:p>
        </w:tc>
        <w:tc>
          <w:tcPr>
            <w:tcW w:w="1958" w:type="dxa"/>
            <w:tcBorders>
              <w:tl2br w:val="nil"/>
              <w:tr2bl w:val="nil"/>
            </w:tcBorders>
            <w:noWrap w:val="0"/>
            <w:vAlign w:val="center"/>
          </w:tcPr>
          <w:p w14:paraId="5604C099">
            <w:pPr>
              <w:pStyle w:val="1405"/>
              <w:bidi w:val="0"/>
              <w:rPr>
                <w:rFonts w:hint="default"/>
                <w:color w:val="auto"/>
                <w:highlight w:val="none"/>
                <w:lang w:val="en-US" w:eastAsia="zh-CN"/>
              </w:rPr>
            </w:pPr>
            <w:r>
              <w:rPr>
                <w:rFonts w:hint="default"/>
                <w:color w:val="auto"/>
                <w:highlight w:val="none"/>
                <w:lang w:val="en-US" w:eastAsia="zh-CN"/>
              </w:rPr>
              <w:t>泄漏、火灾引发的伴生/次生污染物排放</w:t>
            </w:r>
          </w:p>
        </w:tc>
        <w:tc>
          <w:tcPr>
            <w:tcW w:w="1794" w:type="dxa"/>
            <w:tcBorders>
              <w:tl2br w:val="nil"/>
              <w:tr2bl w:val="nil"/>
            </w:tcBorders>
            <w:noWrap w:val="0"/>
            <w:vAlign w:val="center"/>
          </w:tcPr>
          <w:p w14:paraId="7A54AF7E">
            <w:pPr>
              <w:pStyle w:val="1405"/>
              <w:bidi w:val="0"/>
              <w:rPr>
                <w:rFonts w:hint="eastAsia"/>
                <w:color w:val="auto"/>
                <w:highlight w:val="none"/>
                <w:lang w:val="en-US" w:eastAsia="zh-CN"/>
              </w:rPr>
            </w:pPr>
            <w:r>
              <w:rPr>
                <w:rFonts w:hint="eastAsia"/>
                <w:color w:val="auto"/>
                <w:highlight w:val="none"/>
                <w:lang w:val="en-US" w:eastAsia="zh-CN"/>
              </w:rPr>
              <w:t>泄漏物料下渗污染地下水、土壤；挥发进入大气环境；火灾产生有毒烟气污染大气环境</w:t>
            </w:r>
          </w:p>
        </w:tc>
        <w:tc>
          <w:tcPr>
            <w:tcW w:w="1286" w:type="dxa"/>
            <w:vMerge w:val="continue"/>
            <w:tcBorders>
              <w:tl2br w:val="nil"/>
              <w:tr2bl w:val="nil"/>
            </w:tcBorders>
            <w:noWrap w:val="0"/>
            <w:vAlign w:val="center"/>
          </w:tcPr>
          <w:p w14:paraId="36017A44">
            <w:pPr>
              <w:pStyle w:val="1405"/>
              <w:bidi w:val="0"/>
              <w:rPr>
                <w:rFonts w:hint="eastAsia"/>
                <w:color w:val="auto"/>
                <w:highlight w:val="none"/>
                <w:lang w:val="en-US" w:eastAsia="zh-CN"/>
              </w:rPr>
            </w:pPr>
          </w:p>
        </w:tc>
      </w:tr>
      <w:tr w14:paraId="15C72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4F6F7BD1">
            <w:pPr>
              <w:pStyle w:val="1405"/>
              <w:bidi w:val="0"/>
              <w:rPr>
                <w:rFonts w:hint="default"/>
                <w:color w:val="auto"/>
                <w:highlight w:val="none"/>
                <w:lang w:val="en-US" w:eastAsia="zh-CN"/>
              </w:rPr>
            </w:pPr>
            <w:r>
              <w:rPr>
                <w:rFonts w:hint="eastAsia"/>
                <w:color w:val="auto"/>
                <w:highlight w:val="none"/>
                <w:lang w:val="en-US" w:eastAsia="zh-CN"/>
              </w:rPr>
              <w:t>3</w:t>
            </w:r>
          </w:p>
        </w:tc>
        <w:tc>
          <w:tcPr>
            <w:tcW w:w="690" w:type="dxa"/>
            <w:tcBorders>
              <w:tl2br w:val="nil"/>
              <w:tr2bl w:val="nil"/>
            </w:tcBorders>
            <w:noWrap w:val="0"/>
            <w:vAlign w:val="center"/>
          </w:tcPr>
          <w:p w14:paraId="56C9C491">
            <w:pPr>
              <w:pStyle w:val="1405"/>
              <w:bidi w:val="0"/>
              <w:rPr>
                <w:rFonts w:hint="eastAsia"/>
                <w:color w:val="auto"/>
                <w:highlight w:val="none"/>
                <w:lang w:val="en-US" w:eastAsia="zh-CN"/>
              </w:rPr>
            </w:pPr>
            <w:r>
              <w:rPr>
                <w:rFonts w:hint="eastAsia"/>
                <w:color w:val="auto"/>
                <w:highlight w:val="none"/>
                <w:lang w:val="en-US" w:eastAsia="zh-CN"/>
              </w:rPr>
              <w:t>调漆房/喷漆房</w:t>
            </w:r>
          </w:p>
        </w:tc>
        <w:tc>
          <w:tcPr>
            <w:tcW w:w="1785" w:type="dxa"/>
            <w:tcBorders>
              <w:tl2br w:val="nil"/>
              <w:tr2bl w:val="nil"/>
            </w:tcBorders>
            <w:noWrap w:val="0"/>
            <w:vAlign w:val="center"/>
          </w:tcPr>
          <w:p w14:paraId="3E07FE54">
            <w:pPr>
              <w:pStyle w:val="1405"/>
              <w:bidi w:val="0"/>
              <w:rPr>
                <w:rFonts w:hint="eastAsia"/>
                <w:color w:val="auto"/>
                <w:highlight w:val="none"/>
                <w:lang w:val="en-US" w:eastAsia="zh-CN"/>
              </w:rPr>
            </w:pPr>
            <w:r>
              <w:rPr>
                <w:rFonts w:hint="eastAsia"/>
                <w:color w:val="auto"/>
                <w:highlight w:val="none"/>
                <w:lang w:val="en-US" w:eastAsia="zh-CN"/>
              </w:rPr>
              <w:t>调漆、喷漆过程中溶剂挥发或操作不当</w:t>
            </w:r>
          </w:p>
        </w:tc>
        <w:tc>
          <w:tcPr>
            <w:tcW w:w="997" w:type="dxa"/>
            <w:tcBorders>
              <w:tl2br w:val="nil"/>
              <w:tr2bl w:val="nil"/>
            </w:tcBorders>
            <w:noWrap w:val="0"/>
            <w:vAlign w:val="center"/>
          </w:tcPr>
          <w:p w14:paraId="56041168">
            <w:pPr>
              <w:pStyle w:val="1405"/>
              <w:bidi w:val="0"/>
              <w:rPr>
                <w:rFonts w:hint="default"/>
                <w:color w:val="auto"/>
                <w:highlight w:val="none"/>
                <w:lang w:val="en-US" w:eastAsia="zh-CN"/>
              </w:rPr>
            </w:pPr>
            <w:r>
              <w:rPr>
                <w:rFonts w:hint="eastAsia"/>
                <w:color w:val="auto"/>
                <w:highlight w:val="none"/>
                <w:lang w:val="en-US" w:eastAsia="zh-CN"/>
              </w:rPr>
              <w:t>二甲苯、乙酸丁酯、颗粒物等</w:t>
            </w:r>
          </w:p>
        </w:tc>
        <w:tc>
          <w:tcPr>
            <w:tcW w:w="1958" w:type="dxa"/>
            <w:tcBorders>
              <w:tl2br w:val="nil"/>
              <w:tr2bl w:val="nil"/>
            </w:tcBorders>
            <w:noWrap w:val="0"/>
            <w:vAlign w:val="center"/>
          </w:tcPr>
          <w:p w14:paraId="2BB2E3F5">
            <w:pPr>
              <w:pStyle w:val="1405"/>
              <w:bidi w:val="0"/>
              <w:rPr>
                <w:rFonts w:hint="default"/>
                <w:color w:val="auto"/>
                <w:highlight w:val="none"/>
                <w:lang w:val="en-US" w:eastAsia="zh-CN"/>
              </w:rPr>
            </w:pPr>
            <w:r>
              <w:rPr>
                <w:rFonts w:hint="default"/>
                <w:color w:val="auto"/>
                <w:highlight w:val="none"/>
                <w:lang w:val="en-US" w:eastAsia="zh-CN"/>
              </w:rPr>
              <w:t>泄漏、火灾/爆炸引发的伴生/次生污染物排放</w:t>
            </w:r>
          </w:p>
        </w:tc>
        <w:tc>
          <w:tcPr>
            <w:tcW w:w="1794" w:type="dxa"/>
            <w:tcBorders>
              <w:tl2br w:val="nil"/>
              <w:tr2bl w:val="nil"/>
            </w:tcBorders>
            <w:noWrap w:val="0"/>
            <w:vAlign w:val="center"/>
          </w:tcPr>
          <w:p w14:paraId="6C194405">
            <w:pPr>
              <w:pStyle w:val="1405"/>
              <w:bidi w:val="0"/>
              <w:rPr>
                <w:rFonts w:hint="eastAsia"/>
                <w:color w:val="auto"/>
                <w:highlight w:val="none"/>
                <w:lang w:val="en-US" w:eastAsia="zh-CN"/>
              </w:rPr>
            </w:pPr>
            <w:r>
              <w:rPr>
                <w:rFonts w:hint="eastAsia"/>
                <w:color w:val="auto"/>
                <w:highlight w:val="none"/>
                <w:lang w:val="en-US" w:eastAsia="zh-CN"/>
              </w:rPr>
              <w:t>挥发进入大气环境；火灾产生有毒烟气污染大气环境</w:t>
            </w:r>
          </w:p>
        </w:tc>
        <w:tc>
          <w:tcPr>
            <w:tcW w:w="1286" w:type="dxa"/>
            <w:vMerge w:val="continue"/>
            <w:tcBorders>
              <w:tl2br w:val="nil"/>
              <w:tr2bl w:val="nil"/>
            </w:tcBorders>
            <w:noWrap w:val="0"/>
            <w:vAlign w:val="center"/>
          </w:tcPr>
          <w:p w14:paraId="7BB35BBB">
            <w:pPr>
              <w:pStyle w:val="1405"/>
              <w:bidi w:val="0"/>
              <w:rPr>
                <w:rFonts w:hint="eastAsia"/>
                <w:color w:val="auto"/>
                <w:highlight w:val="none"/>
                <w:lang w:val="en-US" w:eastAsia="zh-CN"/>
              </w:rPr>
            </w:pPr>
          </w:p>
        </w:tc>
      </w:tr>
      <w:tr w14:paraId="75DAD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0866BA91">
            <w:pPr>
              <w:pStyle w:val="1405"/>
              <w:bidi w:val="0"/>
              <w:rPr>
                <w:rFonts w:hint="default"/>
                <w:color w:val="auto"/>
                <w:highlight w:val="none"/>
                <w:lang w:val="en-US" w:eastAsia="zh-CN"/>
              </w:rPr>
            </w:pPr>
            <w:r>
              <w:rPr>
                <w:rFonts w:hint="eastAsia"/>
                <w:color w:val="auto"/>
                <w:highlight w:val="none"/>
                <w:lang w:val="en-US" w:eastAsia="zh-CN"/>
              </w:rPr>
              <w:t>3</w:t>
            </w:r>
          </w:p>
        </w:tc>
        <w:tc>
          <w:tcPr>
            <w:tcW w:w="690" w:type="dxa"/>
            <w:tcBorders>
              <w:tl2br w:val="nil"/>
              <w:tr2bl w:val="nil"/>
            </w:tcBorders>
            <w:noWrap w:val="0"/>
            <w:vAlign w:val="center"/>
          </w:tcPr>
          <w:p w14:paraId="32D0DCBC">
            <w:pPr>
              <w:pStyle w:val="1405"/>
              <w:bidi w:val="0"/>
              <w:rPr>
                <w:rFonts w:hint="default"/>
                <w:color w:val="auto"/>
                <w:highlight w:val="none"/>
                <w:lang w:val="en-US" w:eastAsia="zh-CN"/>
              </w:rPr>
            </w:pPr>
            <w:r>
              <w:rPr>
                <w:rFonts w:hint="eastAsia"/>
                <w:color w:val="auto"/>
                <w:highlight w:val="none"/>
                <w:lang w:val="en-US" w:eastAsia="zh-CN"/>
              </w:rPr>
              <w:t>生产区</w:t>
            </w:r>
          </w:p>
        </w:tc>
        <w:tc>
          <w:tcPr>
            <w:tcW w:w="1785" w:type="dxa"/>
            <w:tcBorders>
              <w:tl2br w:val="nil"/>
              <w:tr2bl w:val="nil"/>
            </w:tcBorders>
            <w:noWrap w:val="0"/>
            <w:vAlign w:val="center"/>
          </w:tcPr>
          <w:p w14:paraId="4448E9E9">
            <w:pPr>
              <w:pStyle w:val="1405"/>
              <w:bidi w:val="0"/>
              <w:rPr>
                <w:rFonts w:hint="default"/>
                <w:color w:val="auto"/>
                <w:highlight w:val="none"/>
                <w:lang w:val="en-US" w:eastAsia="zh-CN"/>
              </w:rPr>
            </w:pPr>
            <w:r>
              <w:rPr>
                <w:rFonts w:hint="eastAsia"/>
                <w:color w:val="auto"/>
                <w:highlight w:val="none"/>
                <w:lang w:val="en-US" w:eastAsia="zh-CN"/>
              </w:rPr>
              <w:t>生产设备电路故障、电气短路等引发火灾</w:t>
            </w:r>
          </w:p>
        </w:tc>
        <w:tc>
          <w:tcPr>
            <w:tcW w:w="997" w:type="dxa"/>
            <w:tcBorders>
              <w:tl2br w:val="nil"/>
              <w:tr2bl w:val="nil"/>
            </w:tcBorders>
            <w:noWrap w:val="0"/>
            <w:vAlign w:val="center"/>
          </w:tcPr>
          <w:p w14:paraId="7277CE7B">
            <w:pPr>
              <w:pStyle w:val="1405"/>
              <w:bidi w:val="0"/>
              <w:rPr>
                <w:rFonts w:hint="default"/>
                <w:color w:val="auto"/>
                <w:highlight w:val="none"/>
                <w:lang w:val="en-US" w:eastAsia="zh-CN"/>
              </w:rPr>
            </w:pPr>
            <w:r>
              <w:rPr>
                <w:rFonts w:hint="eastAsia"/>
                <w:color w:val="auto"/>
                <w:highlight w:val="none"/>
                <w:lang w:val="en-US" w:eastAsia="zh-CN"/>
              </w:rPr>
              <w:t>二甲苯、乙酸丁酯、润滑油等</w:t>
            </w:r>
          </w:p>
        </w:tc>
        <w:tc>
          <w:tcPr>
            <w:tcW w:w="1958" w:type="dxa"/>
            <w:tcBorders>
              <w:tl2br w:val="nil"/>
              <w:tr2bl w:val="nil"/>
            </w:tcBorders>
            <w:noWrap w:val="0"/>
            <w:vAlign w:val="center"/>
          </w:tcPr>
          <w:p w14:paraId="10B156B4">
            <w:pPr>
              <w:pStyle w:val="1405"/>
              <w:bidi w:val="0"/>
              <w:rPr>
                <w:rFonts w:hint="default"/>
                <w:color w:val="auto"/>
                <w:highlight w:val="none"/>
                <w:lang w:val="en-US" w:eastAsia="zh-CN"/>
              </w:rPr>
            </w:pPr>
            <w:r>
              <w:rPr>
                <w:rFonts w:hint="default"/>
                <w:color w:val="auto"/>
                <w:highlight w:val="none"/>
                <w:lang w:val="en-US" w:eastAsia="zh-CN"/>
              </w:rPr>
              <w:t>火灾/爆炸引发的伴生/次生污染物排放</w:t>
            </w:r>
          </w:p>
        </w:tc>
        <w:tc>
          <w:tcPr>
            <w:tcW w:w="1794" w:type="dxa"/>
            <w:tcBorders>
              <w:tl2br w:val="nil"/>
              <w:tr2bl w:val="nil"/>
            </w:tcBorders>
            <w:noWrap w:val="0"/>
            <w:vAlign w:val="center"/>
          </w:tcPr>
          <w:p w14:paraId="15591642">
            <w:pPr>
              <w:pStyle w:val="1405"/>
              <w:bidi w:val="0"/>
              <w:rPr>
                <w:rFonts w:hint="eastAsia"/>
                <w:color w:val="auto"/>
                <w:highlight w:val="none"/>
                <w:lang w:val="en-US" w:eastAsia="zh-CN"/>
              </w:rPr>
            </w:pPr>
            <w:r>
              <w:rPr>
                <w:rFonts w:hint="eastAsia"/>
                <w:color w:val="auto"/>
                <w:highlight w:val="none"/>
                <w:lang w:val="en-US" w:eastAsia="zh-CN"/>
              </w:rPr>
              <w:t>燃烧产生有毒烟气污染大气环境；消防废水下渗或径流污染土壤、地下水及地表水体</w:t>
            </w:r>
          </w:p>
        </w:tc>
        <w:tc>
          <w:tcPr>
            <w:tcW w:w="1286" w:type="dxa"/>
            <w:vMerge w:val="continue"/>
            <w:tcBorders>
              <w:tl2br w:val="nil"/>
              <w:tr2bl w:val="nil"/>
            </w:tcBorders>
            <w:noWrap w:val="0"/>
            <w:vAlign w:val="center"/>
          </w:tcPr>
          <w:p w14:paraId="1E3BE17A">
            <w:pPr>
              <w:pStyle w:val="1405"/>
              <w:bidi w:val="0"/>
              <w:rPr>
                <w:rFonts w:hint="eastAsia"/>
                <w:color w:val="auto"/>
                <w:highlight w:val="none"/>
                <w:lang w:val="en-US" w:eastAsia="zh-CN"/>
              </w:rPr>
            </w:pPr>
          </w:p>
        </w:tc>
      </w:tr>
      <w:tr w14:paraId="4119F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52C58493">
            <w:pPr>
              <w:pStyle w:val="1405"/>
              <w:bidi w:val="0"/>
              <w:rPr>
                <w:rFonts w:hint="eastAsia"/>
                <w:color w:val="auto"/>
                <w:highlight w:val="none"/>
                <w:lang w:val="en-US" w:eastAsia="zh-CN"/>
              </w:rPr>
            </w:pPr>
            <w:r>
              <w:rPr>
                <w:rFonts w:hint="eastAsia"/>
                <w:color w:val="auto"/>
                <w:highlight w:val="none"/>
                <w:lang w:val="en-US" w:eastAsia="zh-CN"/>
              </w:rPr>
              <w:t>4</w:t>
            </w:r>
          </w:p>
        </w:tc>
        <w:tc>
          <w:tcPr>
            <w:tcW w:w="690" w:type="dxa"/>
            <w:tcBorders>
              <w:tl2br w:val="nil"/>
              <w:tr2bl w:val="nil"/>
            </w:tcBorders>
            <w:noWrap w:val="0"/>
            <w:vAlign w:val="center"/>
          </w:tcPr>
          <w:p w14:paraId="5A33B1AE">
            <w:pPr>
              <w:pStyle w:val="1405"/>
              <w:bidi w:val="0"/>
              <w:rPr>
                <w:rFonts w:hint="default"/>
                <w:color w:val="auto"/>
                <w:highlight w:val="none"/>
                <w:lang w:val="en-US" w:eastAsia="zh-CN"/>
              </w:rPr>
            </w:pPr>
            <w:r>
              <w:rPr>
                <w:rFonts w:hint="eastAsia"/>
                <w:color w:val="auto"/>
                <w:highlight w:val="none"/>
                <w:lang w:val="en-US" w:eastAsia="zh-CN"/>
              </w:rPr>
              <w:t>废气处理设施</w:t>
            </w:r>
          </w:p>
        </w:tc>
        <w:tc>
          <w:tcPr>
            <w:tcW w:w="1785" w:type="dxa"/>
            <w:tcBorders>
              <w:tl2br w:val="nil"/>
              <w:tr2bl w:val="nil"/>
            </w:tcBorders>
            <w:noWrap w:val="0"/>
            <w:vAlign w:val="center"/>
          </w:tcPr>
          <w:p w14:paraId="35B41A67">
            <w:pPr>
              <w:pStyle w:val="1405"/>
              <w:bidi w:val="0"/>
              <w:rPr>
                <w:rFonts w:hint="eastAsia"/>
                <w:color w:val="auto"/>
                <w:highlight w:val="none"/>
                <w:lang w:val="en-US" w:eastAsia="zh-CN"/>
              </w:rPr>
            </w:pPr>
            <w:r>
              <w:rPr>
                <w:rFonts w:hint="eastAsia"/>
                <w:color w:val="auto"/>
                <w:highlight w:val="none"/>
                <w:lang w:val="en-US" w:eastAsia="zh-CN"/>
              </w:rPr>
              <w:t>废气处理装置故障或处理效率下降</w:t>
            </w:r>
          </w:p>
        </w:tc>
        <w:tc>
          <w:tcPr>
            <w:tcW w:w="997" w:type="dxa"/>
            <w:tcBorders>
              <w:tl2br w:val="nil"/>
              <w:tr2bl w:val="nil"/>
            </w:tcBorders>
            <w:noWrap w:val="0"/>
            <w:vAlign w:val="center"/>
          </w:tcPr>
          <w:p w14:paraId="12B49A11">
            <w:pPr>
              <w:pStyle w:val="1405"/>
              <w:bidi w:val="0"/>
              <w:rPr>
                <w:rFonts w:hint="default"/>
                <w:color w:val="auto"/>
                <w:highlight w:val="none"/>
                <w:lang w:val="en-US" w:eastAsia="zh-CN"/>
              </w:rPr>
            </w:pPr>
            <w:r>
              <w:rPr>
                <w:rFonts w:hint="default"/>
                <w:color w:val="auto"/>
                <w:highlight w:val="none"/>
                <w:lang w:val="en-US" w:eastAsia="zh-CN"/>
              </w:rPr>
              <w:t>颗粒物、乙酸乙酯、二甲苯、非甲烷总烃等</w:t>
            </w:r>
          </w:p>
        </w:tc>
        <w:tc>
          <w:tcPr>
            <w:tcW w:w="1958" w:type="dxa"/>
            <w:tcBorders>
              <w:tl2br w:val="nil"/>
              <w:tr2bl w:val="nil"/>
            </w:tcBorders>
            <w:noWrap w:val="0"/>
            <w:vAlign w:val="center"/>
          </w:tcPr>
          <w:p w14:paraId="399BDC16">
            <w:pPr>
              <w:pStyle w:val="1405"/>
              <w:bidi w:val="0"/>
              <w:rPr>
                <w:rFonts w:hint="default"/>
                <w:color w:val="auto"/>
                <w:highlight w:val="none"/>
                <w:lang w:val="en-US" w:eastAsia="zh-CN"/>
              </w:rPr>
            </w:pPr>
            <w:r>
              <w:rPr>
                <w:rFonts w:hint="default"/>
                <w:color w:val="auto"/>
                <w:highlight w:val="none"/>
                <w:lang w:val="en-US" w:eastAsia="zh-CN"/>
              </w:rPr>
              <w:t>事故排放</w:t>
            </w:r>
          </w:p>
        </w:tc>
        <w:tc>
          <w:tcPr>
            <w:tcW w:w="1794" w:type="dxa"/>
            <w:tcBorders>
              <w:tl2br w:val="nil"/>
              <w:tr2bl w:val="nil"/>
            </w:tcBorders>
            <w:noWrap w:val="0"/>
            <w:vAlign w:val="center"/>
          </w:tcPr>
          <w:p w14:paraId="5614AF32">
            <w:pPr>
              <w:pStyle w:val="1405"/>
              <w:bidi w:val="0"/>
              <w:rPr>
                <w:rFonts w:hint="default"/>
                <w:color w:val="auto"/>
                <w:highlight w:val="none"/>
                <w:lang w:val="en-US" w:eastAsia="zh-CN"/>
              </w:rPr>
            </w:pPr>
            <w:r>
              <w:rPr>
                <w:rFonts w:hint="default"/>
                <w:color w:val="auto"/>
                <w:highlight w:val="none"/>
                <w:lang w:val="en-US" w:eastAsia="zh-CN"/>
              </w:rPr>
              <w:t>废气超标排放，污染大气环境</w:t>
            </w:r>
          </w:p>
        </w:tc>
        <w:tc>
          <w:tcPr>
            <w:tcW w:w="1286" w:type="dxa"/>
            <w:vMerge w:val="continue"/>
            <w:tcBorders>
              <w:tl2br w:val="nil"/>
              <w:tr2bl w:val="nil"/>
            </w:tcBorders>
            <w:noWrap w:val="0"/>
            <w:vAlign w:val="center"/>
          </w:tcPr>
          <w:p w14:paraId="1F580B2F">
            <w:pPr>
              <w:pStyle w:val="1405"/>
              <w:bidi w:val="0"/>
              <w:rPr>
                <w:rFonts w:hint="eastAsia"/>
                <w:color w:val="auto"/>
                <w:highlight w:val="none"/>
                <w:lang w:val="en-US" w:eastAsia="zh-CN"/>
              </w:rPr>
            </w:pPr>
          </w:p>
        </w:tc>
      </w:tr>
      <w:tr w14:paraId="5EA1F9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0" w:type="dxa"/>
            <w:tcBorders>
              <w:tl2br w:val="nil"/>
              <w:tr2bl w:val="nil"/>
            </w:tcBorders>
            <w:noWrap w:val="0"/>
            <w:vAlign w:val="center"/>
          </w:tcPr>
          <w:p w14:paraId="01EAAEDD">
            <w:pPr>
              <w:pStyle w:val="1405"/>
              <w:bidi w:val="0"/>
              <w:rPr>
                <w:rFonts w:hint="default"/>
                <w:color w:val="auto"/>
                <w:highlight w:val="none"/>
                <w:lang w:val="en-US" w:eastAsia="zh-CN"/>
              </w:rPr>
            </w:pPr>
            <w:r>
              <w:rPr>
                <w:rFonts w:hint="eastAsia"/>
                <w:color w:val="auto"/>
                <w:highlight w:val="none"/>
                <w:lang w:val="en-US" w:eastAsia="zh-CN"/>
              </w:rPr>
              <w:t>5</w:t>
            </w:r>
          </w:p>
        </w:tc>
        <w:tc>
          <w:tcPr>
            <w:tcW w:w="690" w:type="dxa"/>
            <w:tcBorders>
              <w:tl2br w:val="nil"/>
              <w:tr2bl w:val="nil"/>
            </w:tcBorders>
            <w:noWrap w:val="0"/>
            <w:vAlign w:val="center"/>
          </w:tcPr>
          <w:p w14:paraId="036015DB">
            <w:pPr>
              <w:pStyle w:val="1405"/>
              <w:bidi w:val="0"/>
              <w:rPr>
                <w:rFonts w:hint="default"/>
                <w:color w:val="auto"/>
                <w:highlight w:val="none"/>
                <w:lang w:val="en-US" w:eastAsia="zh-CN"/>
              </w:rPr>
            </w:pPr>
            <w:r>
              <w:rPr>
                <w:rFonts w:hint="eastAsia"/>
                <w:color w:val="auto"/>
                <w:highlight w:val="none"/>
                <w:lang w:val="en-US" w:eastAsia="zh-CN"/>
              </w:rPr>
              <w:t>天然气管道</w:t>
            </w:r>
          </w:p>
        </w:tc>
        <w:tc>
          <w:tcPr>
            <w:tcW w:w="1785" w:type="dxa"/>
            <w:tcBorders>
              <w:tl2br w:val="nil"/>
              <w:tr2bl w:val="nil"/>
            </w:tcBorders>
            <w:noWrap w:val="0"/>
            <w:vAlign w:val="center"/>
          </w:tcPr>
          <w:p w14:paraId="49D79075">
            <w:pPr>
              <w:pStyle w:val="1405"/>
              <w:bidi w:val="0"/>
              <w:rPr>
                <w:rFonts w:hint="eastAsia"/>
                <w:color w:val="auto"/>
                <w:highlight w:val="none"/>
                <w:lang w:val="en-US" w:eastAsia="zh-CN"/>
              </w:rPr>
            </w:pPr>
            <w:r>
              <w:rPr>
                <w:rFonts w:hint="eastAsia"/>
                <w:color w:val="auto"/>
                <w:highlight w:val="none"/>
                <w:lang w:val="en-US" w:eastAsia="zh-CN"/>
              </w:rPr>
              <w:t>天然气管道破裂、阀门泄漏等</w:t>
            </w:r>
          </w:p>
        </w:tc>
        <w:tc>
          <w:tcPr>
            <w:tcW w:w="997" w:type="dxa"/>
            <w:tcBorders>
              <w:tl2br w:val="nil"/>
              <w:tr2bl w:val="nil"/>
            </w:tcBorders>
            <w:noWrap w:val="0"/>
            <w:vAlign w:val="center"/>
          </w:tcPr>
          <w:p w14:paraId="6C7CC71A">
            <w:pPr>
              <w:pStyle w:val="1405"/>
              <w:bidi w:val="0"/>
              <w:rPr>
                <w:rFonts w:hint="eastAsia"/>
                <w:color w:val="auto"/>
                <w:highlight w:val="none"/>
                <w:lang w:val="en-US" w:eastAsia="zh-CN"/>
              </w:rPr>
            </w:pPr>
            <w:r>
              <w:rPr>
                <w:rFonts w:hint="eastAsia"/>
                <w:color w:val="auto"/>
                <w:highlight w:val="none"/>
                <w:lang w:val="en-US" w:eastAsia="zh-CN"/>
              </w:rPr>
              <w:t>天然气（甲烷）</w:t>
            </w:r>
          </w:p>
        </w:tc>
        <w:tc>
          <w:tcPr>
            <w:tcW w:w="1958" w:type="dxa"/>
            <w:tcBorders>
              <w:tl2br w:val="nil"/>
              <w:tr2bl w:val="nil"/>
            </w:tcBorders>
            <w:noWrap w:val="0"/>
            <w:vAlign w:val="center"/>
          </w:tcPr>
          <w:p w14:paraId="003FBA4C">
            <w:pPr>
              <w:pStyle w:val="1405"/>
              <w:bidi w:val="0"/>
              <w:rPr>
                <w:rFonts w:hint="eastAsia"/>
                <w:color w:val="auto"/>
                <w:highlight w:val="none"/>
                <w:lang w:val="en-US" w:eastAsia="zh-CN"/>
              </w:rPr>
            </w:pPr>
            <w:r>
              <w:rPr>
                <w:rFonts w:hint="eastAsia"/>
                <w:color w:val="auto"/>
                <w:highlight w:val="none"/>
                <w:lang w:val="en-US" w:eastAsia="zh-CN"/>
              </w:rPr>
              <w:t>泄漏、火灾/爆炸引发的伴生/次生污染物排放</w:t>
            </w:r>
          </w:p>
        </w:tc>
        <w:tc>
          <w:tcPr>
            <w:tcW w:w="1794" w:type="dxa"/>
            <w:tcBorders>
              <w:tl2br w:val="nil"/>
              <w:tr2bl w:val="nil"/>
            </w:tcBorders>
            <w:noWrap w:val="0"/>
            <w:vAlign w:val="center"/>
          </w:tcPr>
          <w:p w14:paraId="4AB88905">
            <w:pPr>
              <w:pStyle w:val="1405"/>
              <w:bidi w:val="0"/>
              <w:rPr>
                <w:rFonts w:hint="eastAsia"/>
                <w:color w:val="auto"/>
                <w:highlight w:val="none"/>
                <w:lang w:val="en-US" w:eastAsia="zh-CN"/>
              </w:rPr>
            </w:pPr>
            <w:r>
              <w:rPr>
                <w:rFonts w:hint="eastAsia"/>
                <w:color w:val="auto"/>
                <w:highlight w:val="none"/>
                <w:lang w:val="en-US" w:eastAsia="zh-CN"/>
              </w:rPr>
              <w:t>泄漏气体挥发进入大气环境；火灾/爆炸产生有毒烟气污染大气环境</w:t>
            </w:r>
          </w:p>
        </w:tc>
        <w:tc>
          <w:tcPr>
            <w:tcW w:w="1286" w:type="dxa"/>
            <w:vMerge w:val="continue"/>
            <w:tcBorders>
              <w:tl2br w:val="nil"/>
              <w:tr2bl w:val="nil"/>
            </w:tcBorders>
            <w:noWrap w:val="0"/>
            <w:vAlign w:val="center"/>
          </w:tcPr>
          <w:p w14:paraId="10F31CEA">
            <w:pPr>
              <w:pStyle w:val="1405"/>
              <w:bidi w:val="0"/>
              <w:rPr>
                <w:rFonts w:hint="eastAsia"/>
                <w:color w:val="auto"/>
                <w:highlight w:val="none"/>
                <w:lang w:val="en-US" w:eastAsia="zh-CN"/>
              </w:rPr>
            </w:pPr>
          </w:p>
        </w:tc>
      </w:tr>
    </w:tbl>
    <w:p w14:paraId="79B0AAD9">
      <w:pPr>
        <w:pStyle w:val="4"/>
        <w:numPr>
          <w:ilvl w:val="0"/>
          <w:numId w:val="0"/>
        </w:numPr>
        <w:tabs>
          <w:tab w:val="clear" w:pos="720"/>
        </w:tabs>
        <w:bidi w:val="0"/>
        <w:rPr>
          <w:rFonts w:hint="eastAsia"/>
          <w:color w:val="auto"/>
          <w:highlight w:val="none"/>
        </w:rPr>
      </w:pPr>
      <w:bookmarkStart w:id="600" w:name="_Toc11251"/>
      <w:bookmarkStart w:id="601" w:name="_Toc23930"/>
      <w:bookmarkStart w:id="602" w:name="_Toc20720"/>
      <w:bookmarkStart w:id="603" w:name="_Toc5857"/>
      <w:bookmarkStart w:id="604" w:name="_Toc4070"/>
      <w:bookmarkStart w:id="605" w:name="_Toc21214"/>
      <w:bookmarkStart w:id="606" w:name="_Toc28206"/>
      <w:bookmarkStart w:id="607" w:name="_Toc18041"/>
      <w:bookmarkStart w:id="608" w:name="_Toc4897"/>
      <w:r>
        <w:rPr>
          <w:color w:val="auto"/>
          <w:highlight w:val="none"/>
        </w:rPr>
        <w:t>6.2.</w:t>
      </w:r>
      <w:r>
        <w:rPr>
          <w:rFonts w:hint="eastAsia"/>
          <w:color w:val="auto"/>
          <w:highlight w:val="none"/>
          <w:lang w:val="en-US" w:eastAsia="zh-CN"/>
        </w:rPr>
        <w:t xml:space="preserve">2 </w:t>
      </w:r>
      <w:r>
        <w:rPr>
          <w:rFonts w:hint="eastAsia"/>
          <w:color w:val="auto"/>
          <w:highlight w:val="none"/>
        </w:rPr>
        <w:t>风险评价等级</w:t>
      </w:r>
      <w:bookmarkEnd w:id="600"/>
      <w:bookmarkEnd w:id="601"/>
      <w:bookmarkEnd w:id="602"/>
      <w:bookmarkEnd w:id="603"/>
      <w:bookmarkEnd w:id="604"/>
      <w:bookmarkEnd w:id="605"/>
      <w:bookmarkEnd w:id="606"/>
      <w:bookmarkEnd w:id="607"/>
      <w:bookmarkEnd w:id="608"/>
    </w:p>
    <w:p w14:paraId="3BA0A89A">
      <w:pPr>
        <w:pStyle w:val="5"/>
        <w:numPr>
          <w:ilvl w:val="0"/>
          <w:numId w:val="0"/>
        </w:numPr>
        <w:bidi w:val="0"/>
        <w:ind w:leftChars="0"/>
        <w:rPr>
          <w:rFonts w:hint="eastAsia"/>
          <w:color w:val="auto"/>
          <w:highlight w:val="none"/>
        </w:rPr>
      </w:pPr>
      <w:r>
        <w:rPr>
          <w:rFonts w:hint="eastAsia"/>
          <w:color w:val="auto"/>
          <w:highlight w:val="none"/>
          <w:lang w:val="en-US" w:eastAsia="zh-CN"/>
        </w:rPr>
        <w:t xml:space="preserve">6.2.2.1 </w:t>
      </w:r>
      <w:r>
        <w:rPr>
          <w:rFonts w:hint="eastAsia"/>
          <w:color w:val="auto"/>
          <w:highlight w:val="none"/>
        </w:rPr>
        <w:t>环境风险潜势判断</w:t>
      </w:r>
    </w:p>
    <w:p w14:paraId="200E40CB">
      <w:pPr>
        <w:bidi w:val="0"/>
        <w:rPr>
          <w:rFonts w:hint="eastAsia"/>
          <w:color w:val="auto"/>
          <w:highlight w:val="none"/>
        </w:rPr>
      </w:pPr>
      <w:r>
        <w:rPr>
          <w:rFonts w:hint="eastAsia"/>
          <w:color w:val="auto"/>
          <w:highlight w:val="none"/>
        </w:rPr>
        <w:t>根据《建设项目环境风险评价技术导则》</w:t>
      </w:r>
      <w:r>
        <w:rPr>
          <w:rFonts w:hint="eastAsia"/>
          <w:color w:val="auto"/>
          <w:highlight w:val="none"/>
          <w:lang w:eastAsia="zh-CN"/>
        </w:rPr>
        <w:t>（HJ 169-2018）</w:t>
      </w:r>
      <w:r>
        <w:rPr>
          <w:rFonts w:hint="eastAsia"/>
          <w:color w:val="auto"/>
          <w:highlight w:val="none"/>
        </w:rPr>
        <w:t>、《危险化学品重大危险源辨识》</w:t>
      </w:r>
      <w:r>
        <w:rPr>
          <w:rFonts w:hint="eastAsia"/>
          <w:color w:val="auto"/>
          <w:highlight w:val="none"/>
          <w:lang w:eastAsia="zh-CN"/>
        </w:rPr>
        <w:t>（</w:t>
      </w:r>
      <w:r>
        <w:rPr>
          <w:rFonts w:hint="eastAsia"/>
          <w:color w:val="auto"/>
          <w:highlight w:val="none"/>
        </w:rPr>
        <w:t>GB</w:t>
      </w:r>
      <w:r>
        <w:rPr>
          <w:rFonts w:hint="eastAsia"/>
          <w:color w:val="auto"/>
          <w:highlight w:val="none"/>
          <w:lang w:val="en-US" w:eastAsia="zh-CN"/>
        </w:rPr>
        <w:t xml:space="preserve"> </w:t>
      </w:r>
      <w:r>
        <w:rPr>
          <w:rFonts w:hint="eastAsia"/>
          <w:color w:val="auto"/>
          <w:highlight w:val="none"/>
        </w:rPr>
        <w:t>18218-2018</w:t>
      </w:r>
      <w:r>
        <w:rPr>
          <w:rFonts w:hint="eastAsia"/>
          <w:color w:val="auto"/>
          <w:highlight w:val="none"/>
          <w:lang w:eastAsia="zh-CN"/>
        </w:rPr>
        <w:t>）</w:t>
      </w:r>
      <w:r>
        <w:rPr>
          <w:rFonts w:hint="eastAsia"/>
          <w:color w:val="auto"/>
          <w:highlight w:val="none"/>
        </w:rPr>
        <w:t>、《企业突发环境事件风险评估指南》筛选出重点关注的危险物质。根据《建设项目环境风险评价技术导则》</w:t>
      </w:r>
      <w:r>
        <w:rPr>
          <w:rFonts w:hint="eastAsia"/>
          <w:color w:val="auto"/>
          <w:highlight w:val="none"/>
          <w:lang w:eastAsia="zh-CN"/>
        </w:rPr>
        <w:t>（HJ 169-2018）</w:t>
      </w:r>
      <w:r>
        <w:rPr>
          <w:rFonts w:hint="eastAsia"/>
          <w:color w:val="auto"/>
          <w:highlight w:val="none"/>
        </w:rPr>
        <w:t>附录B对应的临界量，计算所涉及的每种危险物质在厂区最大存在总量与其比值Q</w:t>
      </w:r>
      <w:r>
        <w:rPr>
          <w:rFonts w:hint="eastAsia"/>
          <w:color w:val="auto"/>
          <w:highlight w:val="none"/>
          <w:lang w:eastAsia="zh-CN"/>
        </w:rPr>
        <w:t>，</w:t>
      </w:r>
      <w:r>
        <w:rPr>
          <w:rFonts w:hint="eastAsia"/>
          <w:color w:val="auto"/>
          <w:highlight w:val="none"/>
        </w:rPr>
        <w:t>在不同厂区的同一种物质，按其在厂界内的最大存在总量计算。</w:t>
      </w:r>
    </w:p>
    <w:p w14:paraId="0CA2CC1C">
      <w:pPr>
        <w:bidi w:val="0"/>
        <w:rPr>
          <w:rFonts w:hint="eastAsia"/>
          <w:color w:val="auto"/>
          <w:highlight w:val="none"/>
          <w:lang w:eastAsia="zh-CN"/>
        </w:rPr>
      </w:pPr>
      <w:r>
        <w:rPr>
          <w:rFonts w:hint="eastAsia"/>
          <w:color w:val="auto"/>
          <w:highlight w:val="none"/>
        </w:rPr>
        <w:t>当只涉及一种危险物质时，计算该物质的总量与其临界量比值，即为Q</w:t>
      </w:r>
      <w:r>
        <w:rPr>
          <w:rFonts w:hint="eastAsia"/>
          <w:color w:val="auto"/>
          <w:highlight w:val="none"/>
          <w:lang w:eastAsia="zh-CN"/>
        </w:rPr>
        <w:t>：</w:t>
      </w:r>
    </w:p>
    <w:p w14:paraId="30446A54">
      <w:pPr>
        <w:bidi w:val="0"/>
        <w:rPr>
          <w:rFonts w:hint="eastAsia"/>
          <w:color w:val="auto"/>
          <w:highlight w:val="none"/>
          <w:lang w:eastAsia="zh-CN"/>
        </w:rPr>
      </w:pPr>
      <w:r>
        <w:rPr>
          <w:rFonts w:hint="eastAsia"/>
          <w:color w:val="auto"/>
          <w:highlight w:val="none"/>
        </w:rPr>
        <w:t>当存在多种危险物质时，则按下式计算物质数量与其临界量比值</w:t>
      </w:r>
      <w:r>
        <w:rPr>
          <w:rFonts w:hint="eastAsia"/>
          <w:color w:val="auto"/>
          <w:highlight w:val="none"/>
          <w:lang w:eastAsia="zh-CN"/>
        </w:rPr>
        <w:t>（</w:t>
      </w:r>
      <w:r>
        <w:rPr>
          <w:rFonts w:hint="eastAsia"/>
          <w:color w:val="auto"/>
          <w:highlight w:val="none"/>
        </w:rPr>
        <w:t>Q</w:t>
      </w:r>
      <w:r>
        <w:rPr>
          <w:rFonts w:hint="eastAsia"/>
          <w:color w:val="auto"/>
          <w:highlight w:val="none"/>
          <w:lang w:eastAsia="zh-CN"/>
        </w:rPr>
        <w:t>）：</w:t>
      </w:r>
    </w:p>
    <w:p w14:paraId="52CB433B">
      <w:pPr>
        <w:bidi w:val="0"/>
        <w:ind w:left="0" w:leftChars="0" w:firstLine="0" w:firstLineChars="0"/>
        <w:jc w:val="center"/>
        <w:rPr>
          <w:color w:val="auto"/>
          <w:highlight w:val="none"/>
        </w:rPr>
      </w:pPr>
      <w:r>
        <w:rPr>
          <w:color w:val="auto"/>
          <w:highlight w:val="none"/>
        </w:rPr>
        <w:drawing>
          <wp:inline distT="0" distB="0" distL="114300" distR="114300">
            <wp:extent cx="1771650" cy="419100"/>
            <wp:effectExtent l="0" t="0" r="0" b="0"/>
            <wp:docPr id="112"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57"/>
                    <pic:cNvPicPr>
                      <a:picLocks noChangeAspect="1"/>
                    </pic:cNvPicPr>
                  </pic:nvPicPr>
                  <pic:blipFill>
                    <a:blip r:embed="rId94"/>
                    <a:stretch>
                      <a:fillRect/>
                    </a:stretch>
                  </pic:blipFill>
                  <pic:spPr>
                    <a:xfrm>
                      <a:off x="0" y="0"/>
                      <a:ext cx="1771650" cy="419100"/>
                    </a:xfrm>
                    <a:prstGeom prst="rect">
                      <a:avLst/>
                    </a:prstGeom>
                    <a:noFill/>
                    <a:ln>
                      <a:noFill/>
                    </a:ln>
                  </pic:spPr>
                </pic:pic>
              </a:graphicData>
            </a:graphic>
          </wp:inline>
        </w:drawing>
      </w:r>
    </w:p>
    <w:p w14:paraId="006751C7">
      <w:pPr>
        <w:bidi w:val="0"/>
        <w:rPr>
          <w:color w:val="auto"/>
          <w:highlight w:val="none"/>
        </w:rPr>
      </w:pPr>
      <w:r>
        <w:rPr>
          <w:color w:val="auto"/>
          <w:highlight w:val="none"/>
        </w:rPr>
        <w:t>式中：q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···q</w:t>
      </w:r>
      <w:r>
        <w:rPr>
          <w:color w:val="auto"/>
          <w:highlight w:val="none"/>
          <w:vertAlign w:val="subscript"/>
        </w:rPr>
        <w:t>n</w:t>
      </w:r>
      <w:r>
        <w:rPr>
          <w:color w:val="auto"/>
          <w:highlight w:val="none"/>
        </w:rPr>
        <w:t>：每种危险物质的最大存在总量，t；</w:t>
      </w:r>
    </w:p>
    <w:p w14:paraId="7CE3C68D">
      <w:pPr>
        <w:bidi w:val="0"/>
        <w:rPr>
          <w:color w:val="auto"/>
          <w:highlight w:val="none"/>
        </w:rPr>
      </w:pPr>
      <w:r>
        <w:rPr>
          <w:color w:val="auto"/>
          <w:highlight w:val="none"/>
        </w:rPr>
        <w:t>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····Q</w:t>
      </w:r>
      <w:r>
        <w:rPr>
          <w:color w:val="auto"/>
          <w:highlight w:val="none"/>
          <w:vertAlign w:val="subscript"/>
        </w:rPr>
        <w:t>n</w:t>
      </w:r>
      <w:r>
        <w:rPr>
          <w:color w:val="auto"/>
          <w:highlight w:val="none"/>
        </w:rPr>
        <w:t>：每种危险物质的临界量，t。</w:t>
      </w:r>
    </w:p>
    <w:p w14:paraId="3FE2FD4C">
      <w:pPr>
        <w:bidi w:val="0"/>
        <w:rPr>
          <w:color w:val="auto"/>
          <w:highlight w:val="none"/>
        </w:rPr>
      </w:pPr>
      <w:r>
        <w:rPr>
          <w:color w:val="auto"/>
          <w:highlight w:val="none"/>
        </w:rPr>
        <w:t>当Q＜1时，该项目环境风险潜势为Ⅰ。</w:t>
      </w:r>
    </w:p>
    <w:p w14:paraId="1739C9A3">
      <w:pPr>
        <w:bidi w:val="0"/>
        <w:rPr>
          <w:color w:val="auto"/>
          <w:highlight w:val="none"/>
        </w:rPr>
      </w:pPr>
      <w:r>
        <w:rPr>
          <w:color w:val="auto"/>
          <w:highlight w:val="none"/>
        </w:rPr>
        <w:t>当Q≥1时，将Q值划分为：</w:t>
      </w:r>
      <w:r>
        <w:rPr>
          <w:rFonts w:hint="eastAsia"/>
          <w:color w:val="auto"/>
          <w:highlight w:val="none"/>
        </w:rPr>
        <w:t>⑴</w:t>
      </w:r>
      <w:r>
        <w:rPr>
          <w:color w:val="auto"/>
          <w:highlight w:val="none"/>
        </w:rPr>
        <w:t>1≤Q＜10；</w:t>
      </w:r>
      <w:r>
        <w:rPr>
          <w:rFonts w:hint="eastAsia"/>
          <w:color w:val="auto"/>
          <w:highlight w:val="none"/>
        </w:rPr>
        <w:t>⑵</w:t>
      </w:r>
      <w:r>
        <w:rPr>
          <w:color w:val="auto"/>
          <w:highlight w:val="none"/>
        </w:rPr>
        <w:t>10≤Q＜100；</w:t>
      </w:r>
      <w:r>
        <w:rPr>
          <w:rFonts w:hint="eastAsia"/>
          <w:color w:val="auto"/>
          <w:highlight w:val="none"/>
        </w:rPr>
        <w:t>⑶</w:t>
      </w:r>
      <w:r>
        <w:rPr>
          <w:color w:val="auto"/>
          <w:highlight w:val="none"/>
        </w:rPr>
        <w:t>Q≥100。</w:t>
      </w:r>
    </w:p>
    <w:p w14:paraId="7EDF727F">
      <w:pPr>
        <w:bidi w:val="0"/>
        <w:rPr>
          <w:color w:val="auto"/>
          <w:highlight w:val="none"/>
        </w:rPr>
      </w:pPr>
      <w:r>
        <w:rPr>
          <w:color w:val="auto"/>
          <w:highlight w:val="none"/>
        </w:rPr>
        <w:t>对照《建设项目环境风险评价技术导则》附录B中的临界量，本项目涉及的危险物质数量与临界量比值见下表6.</w:t>
      </w:r>
      <w:r>
        <w:rPr>
          <w:rFonts w:hint="eastAsia"/>
          <w:color w:val="auto"/>
          <w:highlight w:val="none"/>
          <w:lang w:val="en-US" w:eastAsia="zh-CN"/>
        </w:rPr>
        <w:t>2</w:t>
      </w:r>
      <w:r>
        <w:rPr>
          <w:color w:val="auto"/>
          <w:highlight w:val="none"/>
        </w:rPr>
        <w:t>-</w:t>
      </w:r>
      <w:r>
        <w:rPr>
          <w:rFonts w:hint="eastAsia"/>
          <w:color w:val="auto"/>
          <w:highlight w:val="none"/>
          <w:lang w:val="en-US" w:eastAsia="zh-CN"/>
        </w:rPr>
        <w:t>4</w:t>
      </w:r>
      <w:r>
        <w:rPr>
          <w:color w:val="auto"/>
          <w:highlight w:val="none"/>
        </w:rPr>
        <w:t>。</w:t>
      </w:r>
    </w:p>
    <w:p w14:paraId="11D8E65F">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表6.</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项目涉及危险物质临界量一览表</w:t>
      </w:r>
    </w:p>
    <w:tbl>
      <w:tblPr>
        <w:tblStyle w:val="8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1706"/>
        <w:gridCol w:w="2616"/>
        <w:gridCol w:w="2002"/>
        <w:gridCol w:w="1436"/>
        <w:gridCol w:w="1042"/>
      </w:tblGrid>
      <w:tr w14:paraId="54F6B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46" w:hRule="exact"/>
          <w:jc w:val="center"/>
        </w:trPr>
        <w:tc>
          <w:tcPr>
            <w:tcW w:w="969" w:type="pct"/>
            <w:noWrap w:val="0"/>
            <w:vAlign w:val="center"/>
          </w:tcPr>
          <w:p w14:paraId="40EA9CEA">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环境风险物质</w:t>
            </w:r>
          </w:p>
        </w:tc>
        <w:tc>
          <w:tcPr>
            <w:tcW w:w="1486" w:type="pct"/>
            <w:noWrap w:val="0"/>
            <w:vAlign w:val="center"/>
          </w:tcPr>
          <w:p w14:paraId="07C08B2D">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en-US"/>
              </w:rPr>
              <w:t>CAS</w:t>
            </w:r>
            <w:r>
              <w:rPr>
                <w:rFonts w:ascii="Times New Roman" w:hAnsi="Times New Roman" w:eastAsia="宋体" w:cs="Times New Roman"/>
                <w:color w:val="auto"/>
                <w:highlight w:val="none"/>
              </w:rPr>
              <w:t>号</w:t>
            </w:r>
          </w:p>
        </w:tc>
        <w:tc>
          <w:tcPr>
            <w:tcW w:w="1137" w:type="pct"/>
            <w:noWrap w:val="0"/>
            <w:vAlign w:val="center"/>
          </w:tcPr>
          <w:p w14:paraId="0B3366C0">
            <w:pPr>
              <w:pStyle w:val="1405"/>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最大储存量</w:t>
            </w:r>
            <w:r>
              <w:rPr>
                <w:rFonts w:ascii="Times New Roman" w:hAnsi="Times New Roman" w:eastAsia="宋体" w:cs="Times New Roman"/>
                <w:color w:val="auto"/>
                <w:highlight w:val="none"/>
                <w:lang w:val="en-US" w:eastAsia="en-US"/>
              </w:rPr>
              <w:t>（t）</w:t>
            </w:r>
          </w:p>
        </w:tc>
        <w:tc>
          <w:tcPr>
            <w:tcW w:w="815" w:type="pct"/>
            <w:noWrap w:val="0"/>
            <w:vAlign w:val="center"/>
          </w:tcPr>
          <w:p w14:paraId="4F9F464A">
            <w:pPr>
              <w:pStyle w:val="1405"/>
              <w:bidi w:val="0"/>
              <w:rPr>
                <w:rFonts w:ascii="Times New Roman" w:hAnsi="Times New Roman" w:eastAsia="宋体" w:cs="Times New Roman"/>
                <w:color w:val="auto"/>
                <w:highlight w:val="none"/>
              </w:rPr>
            </w:pPr>
            <w:r>
              <w:rPr>
                <w:rFonts w:hint="eastAsia"/>
                <w:color w:val="auto"/>
                <w:highlight w:val="none"/>
                <w:lang w:val="de-DE" w:eastAsia="zh-CN"/>
              </w:rPr>
              <w:t>临界量Q</w:t>
            </w:r>
            <w:r>
              <w:rPr>
                <w:rFonts w:hint="eastAsia"/>
                <w:color w:val="auto"/>
                <w:highlight w:val="none"/>
                <w:vertAlign w:val="subscript"/>
                <w:lang w:val="de-DE" w:eastAsia="zh-CN"/>
              </w:rPr>
              <w:t>n</w:t>
            </w:r>
            <w:r>
              <w:rPr>
                <w:rFonts w:hint="eastAsia"/>
                <w:color w:val="auto"/>
                <w:highlight w:val="none"/>
                <w:lang w:val="de-DE" w:eastAsia="zh-CN"/>
              </w:rPr>
              <w:t>（</w:t>
            </w:r>
            <w:r>
              <w:rPr>
                <w:rFonts w:hint="eastAsia"/>
                <w:color w:val="auto"/>
                <w:highlight w:val="none"/>
                <w:lang w:val="en-US" w:eastAsia="zh-CN"/>
              </w:rPr>
              <w:t>t</w:t>
            </w:r>
            <w:r>
              <w:rPr>
                <w:rFonts w:hint="eastAsia"/>
                <w:color w:val="auto"/>
                <w:highlight w:val="none"/>
                <w:lang w:val="de-DE" w:eastAsia="zh-CN"/>
              </w:rPr>
              <w:t>）</w:t>
            </w:r>
          </w:p>
        </w:tc>
        <w:tc>
          <w:tcPr>
            <w:tcW w:w="591" w:type="pct"/>
            <w:noWrap w:val="0"/>
            <w:vAlign w:val="center"/>
          </w:tcPr>
          <w:p w14:paraId="0FF94414">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eastAsia="en-US"/>
              </w:rPr>
              <w:t>Q</w:t>
            </w:r>
            <w:r>
              <w:rPr>
                <w:rFonts w:ascii="Times New Roman" w:hAnsi="Times New Roman" w:eastAsia="宋体" w:cs="Times New Roman"/>
                <w:color w:val="auto"/>
                <w:highlight w:val="none"/>
              </w:rPr>
              <w:t>值</w:t>
            </w:r>
          </w:p>
        </w:tc>
      </w:tr>
      <w:tr w14:paraId="3E49A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46" w:hRule="exact"/>
          <w:jc w:val="center"/>
        </w:trPr>
        <w:tc>
          <w:tcPr>
            <w:tcW w:w="1706" w:type="dxa"/>
            <w:noWrap w:val="0"/>
            <w:vAlign w:val="center"/>
          </w:tcPr>
          <w:p w14:paraId="6AB46E42">
            <w:pPr>
              <w:pStyle w:val="1405"/>
              <w:bidi w:val="0"/>
              <w:ind w:firstLine="0" w:firstLineChars="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二甲苯</w:t>
            </w:r>
          </w:p>
        </w:tc>
        <w:tc>
          <w:tcPr>
            <w:tcW w:w="2616" w:type="dxa"/>
            <w:noWrap w:val="0"/>
            <w:vAlign w:val="center"/>
          </w:tcPr>
          <w:p w14:paraId="3B84C6E3">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1330-20-7</w:t>
            </w:r>
          </w:p>
        </w:tc>
        <w:tc>
          <w:tcPr>
            <w:tcW w:w="2002" w:type="dxa"/>
            <w:noWrap w:val="0"/>
            <w:vAlign w:val="center"/>
          </w:tcPr>
          <w:p w14:paraId="48006CB8">
            <w:pPr>
              <w:pStyle w:val="1405"/>
              <w:bidi w:val="0"/>
              <w:ind w:firstLine="0" w:firstLineChars="0"/>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1.16</w:t>
            </w:r>
          </w:p>
        </w:tc>
        <w:tc>
          <w:tcPr>
            <w:tcW w:w="1436" w:type="dxa"/>
            <w:noWrap w:val="0"/>
            <w:vAlign w:val="center"/>
          </w:tcPr>
          <w:p w14:paraId="18BDB3DF">
            <w:pPr>
              <w:pStyle w:val="1405"/>
              <w:bidi w:val="0"/>
              <w:ind w:firstLine="0" w:firstLineChars="0"/>
              <w:rPr>
                <w:rFonts w:hint="default"/>
                <w:color w:val="auto"/>
                <w:highlight w:val="none"/>
                <w:lang w:val="en-US" w:eastAsia="zh-CN"/>
              </w:rPr>
            </w:pPr>
            <w:r>
              <w:rPr>
                <w:rFonts w:hint="eastAsia"/>
                <w:color w:val="auto"/>
                <w:highlight w:val="none"/>
                <w:lang w:val="en-US" w:eastAsia="zh-CN"/>
              </w:rPr>
              <w:t>10</w:t>
            </w:r>
          </w:p>
        </w:tc>
        <w:tc>
          <w:tcPr>
            <w:tcW w:w="1042" w:type="dxa"/>
            <w:noWrap w:val="0"/>
            <w:vAlign w:val="center"/>
          </w:tcPr>
          <w:p w14:paraId="34441B4A">
            <w:pPr>
              <w:pStyle w:val="1405"/>
              <w:bidi w:val="0"/>
              <w:ind w:firstLine="0" w:firstLineChars="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0.116</w:t>
            </w:r>
          </w:p>
        </w:tc>
      </w:tr>
      <w:tr w14:paraId="46086B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591" w:hRule="exact"/>
          <w:jc w:val="center"/>
        </w:trPr>
        <w:tc>
          <w:tcPr>
            <w:tcW w:w="1706" w:type="dxa"/>
            <w:noWrap w:val="0"/>
            <w:vAlign w:val="center"/>
          </w:tcPr>
          <w:p w14:paraId="1A041A8B">
            <w:pPr>
              <w:pStyle w:val="1405"/>
              <w:bidi w:val="0"/>
              <w:ind w:firstLine="0" w:firstLineChars="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乙酸丁酯（含废清洗剂）</w:t>
            </w:r>
          </w:p>
        </w:tc>
        <w:tc>
          <w:tcPr>
            <w:tcW w:w="2616" w:type="dxa"/>
            <w:noWrap w:val="0"/>
            <w:vAlign w:val="center"/>
          </w:tcPr>
          <w:p w14:paraId="30AEA702">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123-86-4</w:t>
            </w:r>
          </w:p>
        </w:tc>
        <w:tc>
          <w:tcPr>
            <w:tcW w:w="2002" w:type="dxa"/>
            <w:noWrap w:val="0"/>
            <w:vAlign w:val="center"/>
          </w:tcPr>
          <w:p w14:paraId="101E7484">
            <w:pPr>
              <w:pStyle w:val="1405"/>
              <w:bidi w:val="0"/>
              <w:ind w:firstLine="0" w:firstLineChars="0"/>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7</w:t>
            </w:r>
            <w:r>
              <w:rPr>
                <w:rFonts w:hint="default"/>
                <w:color w:val="auto"/>
                <w:highlight w:val="none"/>
                <w:lang w:val="en-US" w:eastAsia="zh-CN"/>
              </w:rPr>
              <w:t>9</w:t>
            </w:r>
          </w:p>
        </w:tc>
        <w:tc>
          <w:tcPr>
            <w:tcW w:w="1436" w:type="dxa"/>
            <w:noWrap w:val="0"/>
            <w:vAlign w:val="center"/>
          </w:tcPr>
          <w:p w14:paraId="055511C2">
            <w:pPr>
              <w:pStyle w:val="1405"/>
              <w:bidi w:val="0"/>
              <w:ind w:firstLine="0" w:firstLineChars="0"/>
              <w:rPr>
                <w:rFonts w:hint="default"/>
                <w:color w:val="auto"/>
                <w:highlight w:val="none"/>
                <w:lang w:val="en-US" w:eastAsia="zh-CN"/>
              </w:rPr>
            </w:pPr>
            <w:r>
              <w:rPr>
                <w:rFonts w:hint="eastAsia"/>
                <w:color w:val="auto"/>
                <w:highlight w:val="none"/>
                <w:lang w:val="en-US" w:eastAsia="zh-CN"/>
              </w:rPr>
              <w:t>50</w:t>
            </w:r>
          </w:p>
        </w:tc>
        <w:tc>
          <w:tcPr>
            <w:tcW w:w="1042" w:type="dxa"/>
            <w:noWrap w:val="0"/>
            <w:vAlign w:val="center"/>
          </w:tcPr>
          <w:p w14:paraId="50170251">
            <w:pPr>
              <w:pStyle w:val="1405"/>
              <w:bidi w:val="0"/>
              <w:ind w:firstLine="0" w:firstLineChars="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0.03</w:t>
            </w:r>
            <w:r>
              <w:rPr>
                <w:rFonts w:hint="eastAsia"/>
                <w:color w:val="auto"/>
                <w:highlight w:val="none"/>
                <w:lang w:val="en-US" w:eastAsia="zh-CN"/>
              </w:rPr>
              <w:t>5</w:t>
            </w:r>
            <w:r>
              <w:rPr>
                <w:rFonts w:hint="default"/>
                <w:color w:val="auto"/>
                <w:highlight w:val="none"/>
                <w:lang w:val="en-US" w:eastAsia="zh-CN"/>
              </w:rPr>
              <w:t>8</w:t>
            </w:r>
          </w:p>
        </w:tc>
      </w:tr>
      <w:tr w14:paraId="7879E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464" w:hRule="exact"/>
          <w:jc w:val="center"/>
        </w:trPr>
        <w:tc>
          <w:tcPr>
            <w:tcW w:w="1706" w:type="dxa"/>
            <w:noWrap w:val="0"/>
            <w:vAlign w:val="center"/>
          </w:tcPr>
          <w:p w14:paraId="55B89BB4">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润滑油</w:t>
            </w:r>
          </w:p>
        </w:tc>
        <w:tc>
          <w:tcPr>
            <w:tcW w:w="2616" w:type="dxa"/>
            <w:noWrap w:val="0"/>
            <w:vAlign w:val="center"/>
          </w:tcPr>
          <w:p w14:paraId="314E1C6C">
            <w:pPr>
              <w:pStyle w:val="1405"/>
              <w:bidi w:val="0"/>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油类物质（矿物油类）</w:t>
            </w:r>
          </w:p>
        </w:tc>
        <w:tc>
          <w:tcPr>
            <w:tcW w:w="2002" w:type="dxa"/>
            <w:noWrap w:val="0"/>
            <w:vAlign w:val="center"/>
          </w:tcPr>
          <w:p w14:paraId="588ED0DA">
            <w:pPr>
              <w:pStyle w:val="1405"/>
              <w:bidi w:val="0"/>
              <w:ind w:firstLine="0" w:firstLineChars="0"/>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0.3</w:t>
            </w:r>
          </w:p>
        </w:tc>
        <w:tc>
          <w:tcPr>
            <w:tcW w:w="1436" w:type="dxa"/>
            <w:noWrap w:val="0"/>
            <w:vAlign w:val="center"/>
          </w:tcPr>
          <w:p w14:paraId="68733062">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2500</w:t>
            </w:r>
          </w:p>
        </w:tc>
        <w:tc>
          <w:tcPr>
            <w:tcW w:w="1042" w:type="dxa"/>
            <w:noWrap w:val="0"/>
            <w:vAlign w:val="center"/>
          </w:tcPr>
          <w:p w14:paraId="5AD13574">
            <w:pPr>
              <w:pStyle w:val="1405"/>
              <w:bidi w:val="0"/>
              <w:ind w:firstLine="0" w:firstLineChars="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0.00012</w:t>
            </w:r>
          </w:p>
        </w:tc>
      </w:tr>
      <w:tr w14:paraId="36FBA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464" w:hRule="exact"/>
          <w:jc w:val="center"/>
        </w:trPr>
        <w:tc>
          <w:tcPr>
            <w:tcW w:w="1706" w:type="dxa"/>
            <w:noWrap w:val="0"/>
            <w:vAlign w:val="center"/>
          </w:tcPr>
          <w:p w14:paraId="0857EAD0">
            <w:pPr>
              <w:pStyle w:val="1405"/>
              <w:bidi w:val="0"/>
              <w:ind w:firstLine="0" w:firstLineChars="0"/>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废润滑油</w:t>
            </w:r>
          </w:p>
        </w:tc>
        <w:tc>
          <w:tcPr>
            <w:tcW w:w="2616" w:type="dxa"/>
            <w:noWrap w:val="0"/>
            <w:vAlign w:val="center"/>
          </w:tcPr>
          <w:p w14:paraId="4A6106F9">
            <w:pPr>
              <w:pStyle w:val="1405"/>
              <w:bidi w:val="0"/>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油类物质（矿物油类）</w:t>
            </w:r>
          </w:p>
        </w:tc>
        <w:tc>
          <w:tcPr>
            <w:tcW w:w="2002" w:type="dxa"/>
            <w:noWrap w:val="0"/>
            <w:vAlign w:val="center"/>
          </w:tcPr>
          <w:p w14:paraId="71FBB1F0">
            <w:pPr>
              <w:pStyle w:val="1405"/>
              <w:bidi w:val="0"/>
              <w:ind w:firstLine="0" w:firstLineChars="0"/>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0.25</w:t>
            </w:r>
          </w:p>
        </w:tc>
        <w:tc>
          <w:tcPr>
            <w:tcW w:w="1436" w:type="dxa"/>
            <w:noWrap w:val="0"/>
            <w:vAlign w:val="center"/>
          </w:tcPr>
          <w:p w14:paraId="0ABE1B00">
            <w:pPr>
              <w:pStyle w:val="1405"/>
              <w:bidi w:val="0"/>
              <w:ind w:firstLine="0" w:firstLineChars="0"/>
              <w:rPr>
                <w:rFonts w:ascii="Times New Roman" w:hAnsi="Times New Roman" w:eastAsia="宋体" w:cs="Times New Roman"/>
                <w:color w:val="auto"/>
                <w:highlight w:val="none"/>
              </w:rPr>
            </w:pPr>
            <w:r>
              <w:rPr>
                <w:rFonts w:ascii="Times New Roman" w:hAnsi="Times New Roman" w:eastAsia="宋体" w:cs="Times New Roman"/>
                <w:color w:val="auto"/>
                <w:highlight w:val="none"/>
              </w:rPr>
              <w:t>2500</w:t>
            </w:r>
          </w:p>
        </w:tc>
        <w:tc>
          <w:tcPr>
            <w:tcW w:w="1042" w:type="dxa"/>
            <w:noWrap w:val="0"/>
            <w:vAlign w:val="center"/>
          </w:tcPr>
          <w:p w14:paraId="3D4EB757">
            <w:pPr>
              <w:pStyle w:val="1405"/>
              <w:bidi w:val="0"/>
              <w:ind w:firstLine="0" w:firstLineChars="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0.0001</w:t>
            </w:r>
          </w:p>
        </w:tc>
      </w:tr>
      <w:tr w14:paraId="7989D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52" w:hRule="exact"/>
          <w:jc w:val="center"/>
        </w:trPr>
        <w:tc>
          <w:tcPr>
            <w:tcW w:w="1706" w:type="dxa"/>
            <w:noWrap w:val="0"/>
            <w:vAlign w:val="center"/>
          </w:tcPr>
          <w:p w14:paraId="4649C64B">
            <w:pPr>
              <w:pStyle w:val="1405"/>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天然气（甲烷）</w:t>
            </w:r>
          </w:p>
        </w:tc>
        <w:tc>
          <w:tcPr>
            <w:tcW w:w="2616" w:type="dxa"/>
            <w:noWrap w:val="0"/>
            <w:vAlign w:val="center"/>
          </w:tcPr>
          <w:p w14:paraId="11611565">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74-82-8</w:t>
            </w:r>
          </w:p>
        </w:tc>
        <w:tc>
          <w:tcPr>
            <w:tcW w:w="2002" w:type="dxa"/>
            <w:noWrap w:val="0"/>
            <w:vAlign w:val="center"/>
          </w:tcPr>
          <w:p w14:paraId="2C9E872E">
            <w:pPr>
              <w:pStyle w:val="1405"/>
              <w:bidi w:val="0"/>
              <w:ind w:firstLine="0" w:firstLineChars="0"/>
              <w:rPr>
                <w:rFonts w:hint="default" w:cs="Times New Roman"/>
                <w:color w:val="auto"/>
                <w:highlight w:val="none"/>
                <w:lang w:val="en-US" w:eastAsia="zh-CN"/>
              </w:rPr>
            </w:pPr>
            <w:r>
              <w:rPr>
                <w:rFonts w:hint="default"/>
                <w:color w:val="auto"/>
                <w:highlight w:val="none"/>
                <w:lang w:val="en-US" w:eastAsia="zh-CN"/>
              </w:rPr>
              <w:t>0.013</w:t>
            </w:r>
          </w:p>
        </w:tc>
        <w:tc>
          <w:tcPr>
            <w:tcW w:w="1436" w:type="dxa"/>
            <w:noWrap w:val="0"/>
            <w:vAlign w:val="center"/>
          </w:tcPr>
          <w:p w14:paraId="216684F5">
            <w:pPr>
              <w:pStyle w:val="1405"/>
              <w:bidi w:val="0"/>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p>
        </w:tc>
        <w:tc>
          <w:tcPr>
            <w:tcW w:w="1042" w:type="dxa"/>
            <w:noWrap w:val="0"/>
            <w:vAlign w:val="center"/>
          </w:tcPr>
          <w:p w14:paraId="15882DF1">
            <w:pPr>
              <w:pStyle w:val="1405"/>
              <w:bidi w:val="0"/>
              <w:ind w:firstLine="0" w:firstLineChars="0"/>
              <w:jc w:val="center"/>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0.0013</w:t>
            </w:r>
          </w:p>
        </w:tc>
      </w:tr>
      <w:tr w14:paraId="2C446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50" w:hRule="exact"/>
          <w:jc w:val="center"/>
        </w:trPr>
        <w:tc>
          <w:tcPr>
            <w:tcW w:w="4408" w:type="pct"/>
            <w:gridSpan w:val="4"/>
            <w:noWrap w:val="0"/>
            <w:vAlign w:val="center"/>
          </w:tcPr>
          <w:p w14:paraId="717B8765">
            <w:pPr>
              <w:pStyle w:val="1405"/>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合计</w:t>
            </w:r>
          </w:p>
        </w:tc>
        <w:tc>
          <w:tcPr>
            <w:tcW w:w="591" w:type="pct"/>
            <w:noWrap w:val="0"/>
            <w:vAlign w:val="center"/>
          </w:tcPr>
          <w:p w14:paraId="13B59A27">
            <w:pPr>
              <w:pStyle w:val="1405"/>
              <w:bidi w:val="0"/>
              <w:rPr>
                <w:rFonts w:hint="default" w:ascii="Times New Roman" w:hAnsi="Times New Roman" w:eastAsia="宋体" w:cs="Times New Roman"/>
                <w:color w:val="auto"/>
                <w:highlight w:val="none"/>
                <w:lang w:val="en-US" w:eastAsia="zh-CN"/>
              </w:rPr>
            </w:pPr>
            <w:r>
              <w:rPr>
                <w:rFonts w:hint="default"/>
                <w:color w:val="auto"/>
                <w:highlight w:val="none"/>
                <w:lang w:val="en-US" w:eastAsia="zh-CN"/>
              </w:rPr>
              <w:t>0.1</w:t>
            </w:r>
            <w:r>
              <w:rPr>
                <w:rFonts w:hint="eastAsia"/>
                <w:color w:val="auto"/>
                <w:highlight w:val="none"/>
                <w:lang w:val="en-US" w:eastAsia="zh-CN"/>
              </w:rPr>
              <w:t>533</w:t>
            </w:r>
          </w:p>
        </w:tc>
      </w:tr>
      <w:tr w14:paraId="2E007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600" w:hRule="exact"/>
          <w:jc w:val="center"/>
        </w:trPr>
        <w:tc>
          <w:tcPr>
            <w:tcW w:w="5000" w:type="pct"/>
            <w:gridSpan w:val="5"/>
            <w:noWrap w:val="0"/>
            <w:vAlign w:val="center"/>
          </w:tcPr>
          <w:p w14:paraId="75AA228D">
            <w:pPr>
              <w:pStyle w:val="1405"/>
              <w:bidi w:val="0"/>
              <w:rPr>
                <w:rFonts w:hint="eastAsia" w:cs="Times New Roman"/>
                <w:color w:val="auto"/>
                <w:highlight w:val="none"/>
                <w:lang w:val="en-US" w:eastAsia="zh-CN"/>
              </w:rPr>
            </w:pPr>
            <w:r>
              <w:rPr>
                <w:rFonts w:hint="eastAsia"/>
                <w:color w:val="auto"/>
                <w:highlight w:val="none"/>
                <w:lang w:val="en-US" w:eastAsia="zh-CN"/>
              </w:rPr>
              <w:t>注：乙酸丁酯未列入HJ 169-2018表B.1，参照表B.2中“健康危险急性毒性物质（类别2、类别3）”的推荐临界量，取50t。</w:t>
            </w:r>
          </w:p>
          <w:p w14:paraId="6A7BB530">
            <w:pPr>
              <w:pStyle w:val="1405"/>
              <w:bidi w:val="0"/>
              <w:rPr>
                <w:rFonts w:hint="default" w:cs="Times New Roman"/>
                <w:color w:val="auto"/>
                <w:highlight w:val="none"/>
                <w:lang w:val="en-US" w:eastAsia="zh-CN"/>
              </w:rPr>
            </w:pPr>
          </w:p>
        </w:tc>
      </w:tr>
    </w:tbl>
    <w:p w14:paraId="4791FA99">
      <w:pPr>
        <w:bidi w:val="0"/>
        <w:rPr>
          <w:color w:val="auto"/>
          <w:highlight w:val="none"/>
        </w:rPr>
      </w:pPr>
      <w:r>
        <w:rPr>
          <w:color w:val="auto"/>
          <w:highlight w:val="none"/>
        </w:rPr>
        <w:t>根据上表计算结果，本项目全厂危险物质数量与临界量比值为</w:t>
      </w:r>
      <w:r>
        <w:rPr>
          <w:rFonts w:hint="default"/>
          <w:color w:val="auto"/>
          <w:highlight w:val="none"/>
          <w:lang w:val="en-US" w:eastAsia="zh-CN"/>
        </w:rPr>
        <w:t>0.1</w:t>
      </w:r>
      <w:r>
        <w:rPr>
          <w:rFonts w:hint="eastAsia"/>
          <w:color w:val="auto"/>
          <w:highlight w:val="none"/>
          <w:lang w:val="en-US" w:eastAsia="zh-CN"/>
        </w:rPr>
        <w:t>533</w:t>
      </w:r>
      <w:r>
        <w:rPr>
          <w:color w:val="auto"/>
          <w:highlight w:val="none"/>
        </w:rPr>
        <w:t>，Q值划分为Q＜1。根据《建设项目环境风险评价技术导则》（HJ</w:t>
      </w:r>
      <w:r>
        <w:rPr>
          <w:rFonts w:hint="eastAsia"/>
          <w:color w:val="auto"/>
          <w:highlight w:val="none"/>
          <w:lang w:val="en-US" w:eastAsia="zh-CN"/>
        </w:rPr>
        <w:t xml:space="preserve"> </w:t>
      </w:r>
      <w:r>
        <w:rPr>
          <w:color w:val="auto"/>
          <w:highlight w:val="none"/>
        </w:rPr>
        <w:t>169-2018）评价工作等级划分，本项目环境风险潜势为Ⅰ，进行简单分析。</w:t>
      </w:r>
    </w:p>
    <w:bookmarkEnd w:id="597"/>
    <w:bookmarkEnd w:id="598"/>
    <w:bookmarkEnd w:id="599"/>
    <w:p w14:paraId="67D92379">
      <w:pPr>
        <w:pStyle w:val="5"/>
        <w:numPr>
          <w:ilvl w:val="0"/>
          <w:numId w:val="0"/>
        </w:numPr>
        <w:bidi w:val="0"/>
        <w:ind w:leftChars="0"/>
        <w:rPr>
          <w:rFonts w:hint="eastAsia"/>
          <w:color w:val="auto"/>
          <w:highlight w:val="none"/>
          <w:lang w:val="en-US" w:eastAsia="zh-CN"/>
        </w:rPr>
      </w:pPr>
      <w:bookmarkStart w:id="609" w:name="_Toc16669963"/>
      <w:r>
        <w:rPr>
          <w:rFonts w:hint="eastAsia"/>
          <w:color w:val="auto"/>
          <w:highlight w:val="none"/>
          <w:lang w:val="en-US" w:eastAsia="zh-CN"/>
        </w:rPr>
        <w:t>6.2.2.2 风险评价等级</w:t>
      </w:r>
    </w:p>
    <w:p w14:paraId="2C02A68C">
      <w:pPr>
        <w:bidi w:val="0"/>
        <w:rPr>
          <w:color w:val="auto"/>
          <w:highlight w:val="none"/>
        </w:rPr>
      </w:pPr>
      <w:r>
        <w:rPr>
          <w:color w:val="auto"/>
          <w:highlight w:val="none"/>
        </w:rPr>
        <w:t>根据《建设项目环境风险评价技术导则》（</w:t>
      </w:r>
      <w:r>
        <w:rPr>
          <w:rFonts w:hint="eastAsia"/>
          <w:color w:val="auto"/>
          <w:highlight w:val="none"/>
          <w:lang w:eastAsia="zh-CN"/>
        </w:rPr>
        <w:t>HJ 169-2018</w:t>
      </w:r>
      <w:r>
        <w:rPr>
          <w:color w:val="auto"/>
          <w:highlight w:val="none"/>
        </w:rPr>
        <w:t>）评价工作等级划分，本项目环境风险潜势为Ⅰ，进行简单分析，主要针对危险物质、环境影响途径、环境危害后果及风险防范措施等方面定性说明。</w:t>
      </w:r>
    </w:p>
    <w:bookmarkEnd w:id="609"/>
    <w:p w14:paraId="387A77C8">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表6.</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评价工作等级划分</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959"/>
        <w:gridCol w:w="1959"/>
        <w:gridCol w:w="1961"/>
        <w:gridCol w:w="1554"/>
        <w:gridCol w:w="1570"/>
      </w:tblGrid>
      <w:tr w14:paraId="4BC250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8" w:type="pct"/>
            <w:tcBorders>
              <w:bottom w:val="single" w:color="auto" w:sz="4" w:space="0"/>
              <w:right w:val="single" w:color="auto" w:sz="4" w:space="0"/>
            </w:tcBorders>
            <w:noWrap w:val="0"/>
            <w:vAlign w:val="top"/>
          </w:tcPr>
          <w:p w14:paraId="18CD8D83">
            <w:pPr>
              <w:pStyle w:val="1358"/>
              <w:bidi w:val="0"/>
              <w:rPr>
                <w:color w:val="auto"/>
                <w:highlight w:val="none"/>
              </w:rPr>
            </w:pPr>
            <w:r>
              <w:rPr>
                <w:color w:val="auto"/>
                <w:highlight w:val="none"/>
              </w:rPr>
              <w:t>环境风险潜势</w:t>
            </w:r>
          </w:p>
        </w:tc>
        <w:tc>
          <w:tcPr>
            <w:tcW w:w="1088" w:type="pct"/>
            <w:tcBorders>
              <w:left w:val="single" w:color="auto" w:sz="4" w:space="0"/>
              <w:bottom w:val="single" w:color="auto" w:sz="4" w:space="0"/>
              <w:right w:val="single" w:color="auto" w:sz="4" w:space="0"/>
            </w:tcBorders>
            <w:noWrap w:val="0"/>
            <w:vAlign w:val="top"/>
          </w:tcPr>
          <w:p w14:paraId="09CF0961">
            <w:pPr>
              <w:pStyle w:val="1358"/>
              <w:bidi w:val="0"/>
              <w:rPr>
                <w:color w:val="auto"/>
                <w:highlight w:val="none"/>
              </w:rPr>
            </w:pPr>
            <w:r>
              <w:rPr>
                <w:color w:val="auto"/>
                <w:highlight w:val="none"/>
              </w:rPr>
              <w:t>Ⅳ、Ⅳ+</w:t>
            </w:r>
          </w:p>
        </w:tc>
        <w:tc>
          <w:tcPr>
            <w:tcW w:w="1089" w:type="pct"/>
            <w:tcBorders>
              <w:left w:val="single" w:color="auto" w:sz="4" w:space="0"/>
              <w:bottom w:val="single" w:color="auto" w:sz="4" w:space="0"/>
              <w:right w:val="single" w:color="auto" w:sz="4" w:space="0"/>
            </w:tcBorders>
            <w:noWrap w:val="0"/>
            <w:vAlign w:val="top"/>
          </w:tcPr>
          <w:p w14:paraId="590BAC44">
            <w:pPr>
              <w:pStyle w:val="1358"/>
              <w:bidi w:val="0"/>
              <w:rPr>
                <w:color w:val="auto"/>
                <w:highlight w:val="none"/>
              </w:rPr>
            </w:pPr>
            <w:r>
              <w:rPr>
                <w:color w:val="auto"/>
                <w:highlight w:val="none"/>
              </w:rPr>
              <w:t>Ⅲ</w:t>
            </w:r>
          </w:p>
        </w:tc>
        <w:tc>
          <w:tcPr>
            <w:tcW w:w="863" w:type="pct"/>
            <w:tcBorders>
              <w:left w:val="single" w:color="auto" w:sz="4" w:space="0"/>
              <w:bottom w:val="single" w:color="auto" w:sz="4" w:space="0"/>
              <w:right w:val="single" w:color="auto" w:sz="4" w:space="0"/>
            </w:tcBorders>
            <w:noWrap w:val="0"/>
            <w:vAlign w:val="top"/>
          </w:tcPr>
          <w:p w14:paraId="2EE8C4CA">
            <w:pPr>
              <w:pStyle w:val="1358"/>
              <w:bidi w:val="0"/>
              <w:rPr>
                <w:color w:val="auto"/>
                <w:highlight w:val="none"/>
              </w:rPr>
            </w:pPr>
            <w:r>
              <w:rPr>
                <w:color w:val="auto"/>
                <w:highlight w:val="none"/>
              </w:rPr>
              <w:t>Ⅱ</w:t>
            </w:r>
          </w:p>
        </w:tc>
        <w:tc>
          <w:tcPr>
            <w:tcW w:w="873" w:type="pct"/>
            <w:tcBorders>
              <w:left w:val="single" w:color="auto" w:sz="4" w:space="0"/>
              <w:bottom w:val="single" w:color="auto" w:sz="4" w:space="0"/>
            </w:tcBorders>
            <w:noWrap w:val="0"/>
            <w:vAlign w:val="top"/>
          </w:tcPr>
          <w:p w14:paraId="396D41A8">
            <w:pPr>
              <w:pStyle w:val="1358"/>
              <w:bidi w:val="0"/>
              <w:rPr>
                <w:color w:val="auto"/>
                <w:highlight w:val="none"/>
              </w:rPr>
            </w:pPr>
            <w:r>
              <w:rPr>
                <w:color w:val="auto"/>
                <w:highlight w:val="none"/>
              </w:rPr>
              <w:t>Ⅰ</w:t>
            </w:r>
          </w:p>
        </w:tc>
      </w:tr>
      <w:tr w14:paraId="0B74B8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8" w:type="pct"/>
            <w:tcBorders>
              <w:top w:val="single" w:color="auto" w:sz="4" w:space="0"/>
              <w:bottom w:val="single" w:color="auto" w:sz="4" w:space="0"/>
              <w:right w:val="single" w:color="auto" w:sz="4" w:space="0"/>
            </w:tcBorders>
            <w:noWrap w:val="0"/>
            <w:vAlign w:val="top"/>
          </w:tcPr>
          <w:p w14:paraId="1454763F">
            <w:pPr>
              <w:pStyle w:val="1358"/>
              <w:bidi w:val="0"/>
              <w:rPr>
                <w:color w:val="auto"/>
                <w:highlight w:val="none"/>
              </w:rPr>
            </w:pPr>
            <w:r>
              <w:rPr>
                <w:color w:val="auto"/>
                <w:highlight w:val="none"/>
              </w:rPr>
              <w:t>评价工作等级</w:t>
            </w:r>
          </w:p>
        </w:tc>
        <w:tc>
          <w:tcPr>
            <w:tcW w:w="1088" w:type="pct"/>
            <w:tcBorders>
              <w:top w:val="single" w:color="auto" w:sz="4" w:space="0"/>
              <w:left w:val="single" w:color="auto" w:sz="4" w:space="0"/>
              <w:bottom w:val="single" w:color="auto" w:sz="4" w:space="0"/>
              <w:right w:val="single" w:color="auto" w:sz="4" w:space="0"/>
            </w:tcBorders>
            <w:noWrap w:val="0"/>
            <w:vAlign w:val="top"/>
          </w:tcPr>
          <w:p w14:paraId="13BE242D">
            <w:pPr>
              <w:pStyle w:val="1358"/>
              <w:bidi w:val="0"/>
              <w:rPr>
                <w:color w:val="auto"/>
                <w:highlight w:val="none"/>
              </w:rPr>
            </w:pPr>
            <w:r>
              <w:rPr>
                <w:color w:val="auto"/>
                <w:highlight w:val="none"/>
              </w:rPr>
              <w:t>一</w:t>
            </w:r>
          </w:p>
        </w:tc>
        <w:tc>
          <w:tcPr>
            <w:tcW w:w="1089" w:type="pct"/>
            <w:tcBorders>
              <w:top w:val="single" w:color="auto" w:sz="4" w:space="0"/>
              <w:left w:val="single" w:color="auto" w:sz="4" w:space="0"/>
              <w:bottom w:val="single" w:color="auto" w:sz="4" w:space="0"/>
              <w:right w:val="single" w:color="auto" w:sz="4" w:space="0"/>
            </w:tcBorders>
            <w:noWrap w:val="0"/>
            <w:vAlign w:val="top"/>
          </w:tcPr>
          <w:p w14:paraId="3836D60F">
            <w:pPr>
              <w:pStyle w:val="1358"/>
              <w:bidi w:val="0"/>
              <w:rPr>
                <w:color w:val="auto"/>
                <w:highlight w:val="none"/>
              </w:rPr>
            </w:pPr>
            <w:r>
              <w:rPr>
                <w:color w:val="auto"/>
                <w:highlight w:val="none"/>
              </w:rPr>
              <w:t>二</w:t>
            </w:r>
          </w:p>
        </w:tc>
        <w:tc>
          <w:tcPr>
            <w:tcW w:w="863" w:type="pct"/>
            <w:tcBorders>
              <w:top w:val="single" w:color="auto" w:sz="4" w:space="0"/>
              <w:left w:val="single" w:color="auto" w:sz="4" w:space="0"/>
              <w:bottom w:val="single" w:color="auto" w:sz="4" w:space="0"/>
              <w:right w:val="single" w:color="auto" w:sz="4" w:space="0"/>
            </w:tcBorders>
            <w:noWrap w:val="0"/>
            <w:vAlign w:val="top"/>
          </w:tcPr>
          <w:p w14:paraId="2D9D2D30">
            <w:pPr>
              <w:pStyle w:val="1358"/>
              <w:bidi w:val="0"/>
              <w:rPr>
                <w:color w:val="auto"/>
                <w:highlight w:val="none"/>
              </w:rPr>
            </w:pPr>
            <w:r>
              <w:rPr>
                <w:color w:val="auto"/>
                <w:highlight w:val="none"/>
              </w:rPr>
              <w:t>三</w:t>
            </w:r>
          </w:p>
        </w:tc>
        <w:tc>
          <w:tcPr>
            <w:tcW w:w="873" w:type="pct"/>
            <w:tcBorders>
              <w:top w:val="single" w:color="auto" w:sz="4" w:space="0"/>
              <w:left w:val="single" w:color="auto" w:sz="4" w:space="0"/>
              <w:bottom w:val="single" w:color="auto" w:sz="4" w:space="0"/>
            </w:tcBorders>
            <w:noWrap w:val="0"/>
            <w:vAlign w:val="top"/>
          </w:tcPr>
          <w:p w14:paraId="78CAEC00">
            <w:pPr>
              <w:pStyle w:val="1358"/>
              <w:bidi w:val="0"/>
              <w:rPr>
                <w:color w:val="auto"/>
                <w:highlight w:val="none"/>
              </w:rPr>
            </w:pPr>
            <w:r>
              <w:rPr>
                <w:color w:val="auto"/>
                <w:highlight w:val="none"/>
              </w:rPr>
              <w:t>简单分析</w:t>
            </w:r>
            <w:r>
              <w:rPr>
                <w:color w:val="auto"/>
                <w:highlight w:val="none"/>
                <w:vertAlign w:val="superscript"/>
              </w:rPr>
              <w:t>a</w:t>
            </w:r>
          </w:p>
        </w:tc>
      </w:tr>
      <w:tr w14:paraId="5CE8E8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5"/>
            <w:tcBorders>
              <w:top w:val="single" w:color="auto" w:sz="4" w:space="0"/>
            </w:tcBorders>
            <w:noWrap w:val="0"/>
            <w:vAlign w:val="top"/>
          </w:tcPr>
          <w:p w14:paraId="47F8EFB5">
            <w:pPr>
              <w:pStyle w:val="1358"/>
              <w:bidi w:val="0"/>
              <w:rPr>
                <w:color w:val="auto"/>
                <w:highlight w:val="none"/>
              </w:rPr>
            </w:pPr>
            <w:r>
              <w:rPr>
                <w:color w:val="auto"/>
                <w:highlight w:val="none"/>
              </w:rPr>
              <w:t>a 是相对于详细评价工作内容而言，在描述危险物质、环境影响途径、环境危害后果、风险防范措施等方面给出定性的说明。</w:t>
            </w:r>
          </w:p>
        </w:tc>
      </w:tr>
    </w:tbl>
    <w:p w14:paraId="17FEE761">
      <w:pPr>
        <w:pStyle w:val="4"/>
        <w:numPr>
          <w:ilvl w:val="0"/>
          <w:numId w:val="0"/>
        </w:numPr>
        <w:tabs>
          <w:tab w:val="clear" w:pos="720"/>
        </w:tabs>
        <w:bidi w:val="0"/>
        <w:rPr>
          <w:color w:val="auto"/>
          <w:highlight w:val="none"/>
        </w:rPr>
      </w:pPr>
      <w:bookmarkStart w:id="610" w:name="_Toc7538"/>
      <w:bookmarkStart w:id="611" w:name="_Toc5544"/>
      <w:bookmarkStart w:id="612" w:name="_Toc3035"/>
      <w:bookmarkStart w:id="613" w:name="_Toc8768"/>
      <w:bookmarkStart w:id="614" w:name="_Toc1156"/>
      <w:bookmarkStart w:id="615" w:name="_Toc10908"/>
      <w:bookmarkStart w:id="616" w:name="_Toc19895"/>
      <w:bookmarkStart w:id="617" w:name="_Toc30727"/>
      <w:bookmarkStart w:id="618" w:name="_Toc1780"/>
      <w:r>
        <w:rPr>
          <w:color w:val="auto"/>
          <w:highlight w:val="none"/>
        </w:rPr>
        <w:t>6.2.</w:t>
      </w:r>
      <w:r>
        <w:rPr>
          <w:rFonts w:hint="eastAsia"/>
          <w:color w:val="auto"/>
          <w:highlight w:val="none"/>
          <w:lang w:val="en-US" w:eastAsia="zh-CN"/>
        </w:rPr>
        <w:t xml:space="preserve">3 </w:t>
      </w:r>
      <w:r>
        <w:rPr>
          <w:color w:val="auto"/>
          <w:highlight w:val="none"/>
        </w:rPr>
        <w:t>环境敏感目标调查</w:t>
      </w:r>
      <w:bookmarkEnd w:id="610"/>
      <w:bookmarkEnd w:id="611"/>
      <w:bookmarkEnd w:id="612"/>
      <w:bookmarkEnd w:id="613"/>
      <w:bookmarkEnd w:id="614"/>
      <w:bookmarkEnd w:id="615"/>
      <w:bookmarkEnd w:id="616"/>
      <w:bookmarkEnd w:id="617"/>
      <w:bookmarkEnd w:id="618"/>
    </w:p>
    <w:p w14:paraId="785A0C5E">
      <w:pPr>
        <w:bidi w:val="0"/>
        <w:rPr>
          <w:color w:val="auto"/>
          <w:highlight w:val="none"/>
        </w:rPr>
      </w:pPr>
      <w:bookmarkStart w:id="619" w:name="_Toc12352945"/>
      <w:bookmarkStart w:id="620" w:name="_Toc16669962"/>
      <w:bookmarkStart w:id="621" w:name="_Toc10541584"/>
      <w:r>
        <w:rPr>
          <w:color w:val="auto"/>
          <w:highlight w:val="none"/>
        </w:rPr>
        <w:t>根据工程特性，结合物质危险性识别结果，本项目危险物质主要为涂料（底漆、色漆和清漆）及配套稀释剂、固化剂、清洗剂中所含的二甲苯、乙酸丁酯，以及废润滑油和天然气。上述危险物质在泄漏、火灾、爆炸等事故状态下，可能通过大气扩散、地表径流、地下水下渗等途径，对厂区周边的居民区、地表水及地下水等环境敏感目标造成影响。项目周边敏感目标见表2.</w:t>
      </w:r>
      <w:r>
        <w:rPr>
          <w:rFonts w:hint="eastAsia"/>
          <w:color w:val="auto"/>
          <w:highlight w:val="none"/>
          <w:lang w:val="en-US" w:eastAsia="zh-CN"/>
        </w:rPr>
        <w:t>7</w:t>
      </w:r>
      <w:r>
        <w:rPr>
          <w:color w:val="auto"/>
          <w:highlight w:val="none"/>
        </w:rPr>
        <w:t>-1、附图2。</w:t>
      </w:r>
    </w:p>
    <w:bookmarkEnd w:id="619"/>
    <w:bookmarkEnd w:id="620"/>
    <w:bookmarkEnd w:id="621"/>
    <w:p w14:paraId="50B3F03E">
      <w:pPr>
        <w:pStyle w:val="3"/>
        <w:numPr>
          <w:ilvl w:val="0"/>
          <w:numId w:val="0"/>
        </w:numPr>
        <w:bidi w:val="0"/>
        <w:rPr>
          <w:color w:val="auto"/>
          <w:highlight w:val="none"/>
        </w:rPr>
      </w:pPr>
      <w:bookmarkStart w:id="622" w:name="_Toc16669965"/>
      <w:bookmarkStart w:id="623" w:name="_Toc19114"/>
      <w:bookmarkStart w:id="624" w:name="_Toc13902"/>
      <w:bookmarkStart w:id="625" w:name="_Toc5860"/>
      <w:bookmarkStart w:id="626" w:name="_Toc19833"/>
      <w:bookmarkStart w:id="627" w:name="_Toc24479"/>
      <w:bookmarkStart w:id="628" w:name="_Toc15172"/>
      <w:bookmarkStart w:id="629" w:name="_Toc30372"/>
      <w:bookmarkStart w:id="630" w:name="_Toc2488"/>
      <w:bookmarkStart w:id="631" w:name="_Toc8851"/>
      <w:bookmarkStart w:id="632" w:name="_Toc24373"/>
      <w:r>
        <w:rPr>
          <w:color w:val="auto"/>
          <w:highlight w:val="none"/>
        </w:rPr>
        <w:t>6.</w:t>
      </w:r>
      <w:bookmarkEnd w:id="622"/>
      <w:r>
        <w:rPr>
          <w:rFonts w:hint="eastAsia"/>
          <w:color w:val="auto"/>
          <w:highlight w:val="none"/>
          <w:lang w:val="en-US" w:eastAsia="zh-CN"/>
        </w:rPr>
        <w:t xml:space="preserve">3 </w:t>
      </w:r>
      <w:r>
        <w:rPr>
          <w:color w:val="auto"/>
          <w:highlight w:val="none"/>
        </w:rPr>
        <w:t>环境风险</w:t>
      </w:r>
      <w:r>
        <w:rPr>
          <w:rFonts w:hint="eastAsia"/>
          <w:color w:val="auto"/>
          <w:highlight w:val="none"/>
          <w:lang w:val="en-US" w:eastAsia="zh-CN"/>
        </w:rPr>
        <w:t>影响</w:t>
      </w:r>
      <w:r>
        <w:rPr>
          <w:color w:val="auto"/>
          <w:highlight w:val="none"/>
        </w:rPr>
        <w:t>分析</w:t>
      </w:r>
      <w:bookmarkEnd w:id="623"/>
      <w:bookmarkEnd w:id="624"/>
      <w:bookmarkEnd w:id="625"/>
      <w:bookmarkEnd w:id="626"/>
      <w:bookmarkEnd w:id="627"/>
      <w:bookmarkEnd w:id="628"/>
      <w:bookmarkEnd w:id="629"/>
      <w:bookmarkEnd w:id="630"/>
      <w:bookmarkEnd w:id="631"/>
      <w:bookmarkEnd w:id="632"/>
    </w:p>
    <w:p w14:paraId="7971E1AE">
      <w:pPr>
        <w:pStyle w:val="1336"/>
        <w:ind w:firstLine="480"/>
        <w:rPr>
          <w:color w:val="auto"/>
          <w:highlight w:val="none"/>
        </w:rPr>
      </w:pPr>
      <w:bookmarkStart w:id="633" w:name="_Toc9380"/>
      <w:r>
        <w:rPr>
          <w:color w:val="auto"/>
          <w:highlight w:val="none"/>
        </w:rPr>
        <w:t>根据项目风险识别结果，项目危险单元主要在</w:t>
      </w:r>
      <w:r>
        <w:rPr>
          <w:rFonts w:hint="eastAsia"/>
          <w:color w:val="auto"/>
          <w:highlight w:val="none"/>
          <w:lang w:val="en-US" w:eastAsia="zh-CN"/>
        </w:rPr>
        <w:t>A库</w:t>
      </w:r>
      <w:r>
        <w:rPr>
          <w:color w:val="auto"/>
          <w:highlight w:val="none"/>
        </w:rPr>
        <w:t>厂房、</w:t>
      </w:r>
      <w:r>
        <w:rPr>
          <w:rFonts w:hint="eastAsia"/>
          <w:color w:val="auto"/>
          <w:highlight w:val="none"/>
          <w:lang w:val="en-US" w:eastAsia="zh-CN"/>
        </w:rPr>
        <w:t>B库厂房、</w:t>
      </w:r>
      <w:r>
        <w:rPr>
          <w:rFonts w:hint="eastAsia"/>
          <w:color w:val="auto"/>
          <w:highlight w:val="none"/>
          <w:lang w:eastAsia="zh-CN"/>
        </w:rPr>
        <w:t>危废贮存库</w:t>
      </w:r>
      <w:r>
        <w:rPr>
          <w:color w:val="auto"/>
          <w:highlight w:val="none"/>
        </w:rPr>
        <w:t>，各危险单元中危险物质</w:t>
      </w:r>
      <w:r>
        <w:rPr>
          <w:rFonts w:hint="eastAsia"/>
          <w:color w:val="auto"/>
          <w:highlight w:val="none"/>
          <w:lang w:eastAsia="zh-CN"/>
        </w:rPr>
        <w:t>在事故</w:t>
      </w:r>
      <w:r>
        <w:rPr>
          <w:color w:val="auto"/>
          <w:highlight w:val="none"/>
        </w:rPr>
        <w:t>状态下</w:t>
      </w:r>
      <w:r>
        <w:rPr>
          <w:rFonts w:hint="eastAsia"/>
          <w:color w:val="auto"/>
          <w:highlight w:val="none"/>
          <w:lang w:eastAsia="zh-CN"/>
        </w:rPr>
        <w:t>可能主要</w:t>
      </w:r>
      <w:r>
        <w:rPr>
          <w:color w:val="auto"/>
          <w:highlight w:val="none"/>
        </w:rPr>
        <w:t>对周边地表水体或地下水的水质造成污染。</w:t>
      </w:r>
    </w:p>
    <w:p w14:paraId="4095933E">
      <w:pPr>
        <w:pStyle w:val="6"/>
        <w:bidi w:val="0"/>
        <w:rPr>
          <w:rFonts w:hint="eastAsia" w:ascii="Times New Roman" w:hAnsi="Times New Roman" w:eastAsia="宋体" w:cs="Times New Roman"/>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ascii="Times New Roman" w:hAnsi="Times New Roman" w:eastAsia="宋体" w:cs="Times New Roman"/>
          <w:color w:val="auto"/>
          <w:highlight w:val="none"/>
        </w:rPr>
        <w:t>废气事故排放风险分析</w:t>
      </w:r>
    </w:p>
    <w:p w14:paraId="5E3C9AE2">
      <w:pPr>
        <w:rPr>
          <w:rFonts w:hint="eastAsia"/>
          <w:color w:val="auto"/>
          <w:highlight w:val="none"/>
          <w:lang w:eastAsia="zh-CN"/>
        </w:rPr>
      </w:pPr>
      <w:r>
        <w:rPr>
          <w:rFonts w:hint="eastAsia"/>
          <w:color w:val="auto"/>
          <w:highlight w:val="none"/>
          <w:lang w:eastAsia="zh-CN"/>
        </w:rPr>
        <w:t>本项目废气处理设施主要包括RTO蓄热式焚烧炉、二级活性炭吸附装置及布袋除尘器等。其中，喷漆、流平、烘干废气采用“干式纸盒+过滤棉过滤+RTO蓄热式焚烧炉”处理；调漆废气采用二级活性炭吸附装置处理；点补废气采用“干式过滤箱+过滤棉过滤+二级活性炭吸附”处理；注塑废气采用二级活性炭吸附装置处理；塑料粉碎废气采用布袋除尘器处理。</w:t>
      </w:r>
    </w:p>
    <w:p w14:paraId="5DDB6EF7">
      <w:pPr>
        <w:rPr>
          <w:rFonts w:hint="eastAsia"/>
          <w:color w:val="auto"/>
          <w:highlight w:val="none"/>
          <w:lang w:eastAsia="zh-CN"/>
        </w:rPr>
      </w:pPr>
      <w:r>
        <w:rPr>
          <w:rFonts w:hint="eastAsia"/>
          <w:color w:val="auto"/>
          <w:highlight w:val="none"/>
          <w:lang w:eastAsia="zh-CN"/>
        </w:rPr>
        <w:t>本项目废气处理设施一旦发生事故，如RTO蓄热式焚烧炉故障、二级活性炭吸附装置破损或吸附饱和、布袋除尘器破损或堵塞等，均可能导致废气未经有效处理直接排放，对周围大气环境造成一定影响。上述事故排放的影响时间一般较短，操作人员较容易发现，一旦发现会立即停产、修复或更换相应废气处理装置。根据4.2章节大气预测结果，在非正常排放情况下，项目外排颗粒物、乙酸乙酯、NMHC</w:t>
      </w:r>
      <w:r>
        <w:rPr>
          <w:rFonts w:hint="eastAsia"/>
          <w:color w:val="auto"/>
          <w:highlight w:val="none"/>
          <w:lang w:val="en-US" w:eastAsia="zh-CN"/>
        </w:rPr>
        <w:t>等</w:t>
      </w:r>
      <w:r>
        <w:rPr>
          <w:rFonts w:hint="eastAsia"/>
          <w:color w:val="auto"/>
          <w:highlight w:val="none"/>
          <w:lang w:eastAsia="zh-CN"/>
        </w:rPr>
        <w:t>的最大落地浓度未超过环境质量标准，对区域大气环境的影响较小。本评价要求企业运营期间加强对废气处理系统的维护和检修，使其处于良好的运行状态，尽量避免事故排放情况出现。</w:t>
      </w:r>
    </w:p>
    <w:p w14:paraId="6A416C05">
      <w:pPr>
        <w:pStyle w:val="6"/>
        <w:bidi w:val="0"/>
        <w:rPr>
          <w:rFonts w:hint="default"/>
          <w:color w:val="auto"/>
          <w:highlight w:val="none"/>
        </w:rPr>
      </w:pPr>
      <w:r>
        <w:rPr>
          <w:rFonts w:hint="default"/>
          <w:color w:val="auto"/>
          <w:highlight w:val="none"/>
        </w:rPr>
        <w:t>（</w:t>
      </w:r>
      <w:r>
        <w:rPr>
          <w:rFonts w:hint="eastAsia"/>
          <w:color w:val="auto"/>
          <w:highlight w:val="none"/>
          <w:lang w:val="en-US" w:eastAsia="zh-CN"/>
        </w:rPr>
        <w:t>2</w:t>
      </w:r>
      <w:r>
        <w:rPr>
          <w:rFonts w:hint="default"/>
          <w:color w:val="auto"/>
          <w:highlight w:val="none"/>
        </w:rPr>
        <w:t>）废水事故排放风险分析</w:t>
      </w:r>
    </w:p>
    <w:p w14:paraId="3BDD7DD8">
      <w:pPr>
        <w:bidi w:val="0"/>
        <w:rPr>
          <w:color w:val="auto"/>
          <w:highlight w:val="none"/>
        </w:rPr>
      </w:pPr>
      <w:r>
        <w:rPr>
          <w:rFonts w:hint="default"/>
          <w:color w:val="auto"/>
          <w:highlight w:val="none"/>
        </w:rPr>
        <w:t>本项目</w:t>
      </w:r>
      <w:r>
        <w:rPr>
          <w:rFonts w:hint="eastAsia"/>
          <w:color w:val="auto"/>
          <w:highlight w:val="none"/>
          <w:lang w:val="en-US" w:eastAsia="zh-CN"/>
        </w:rPr>
        <w:t>生产</w:t>
      </w:r>
      <w:r>
        <w:rPr>
          <w:rFonts w:hint="default"/>
          <w:color w:val="auto"/>
          <w:highlight w:val="none"/>
        </w:rPr>
        <w:t>废水主要为注塑冷却水、冰水机配套的设备冷却水</w:t>
      </w:r>
      <w:r>
        <w:rPr>
          <w:rFonts w:hint="eastAsia"/>
          <w:color w:val="auto"/>
          <w:highlight w:val="none"/>
          <w:lang w:eastAsia="zh-CN"/>
        </w:rPr>
        <w:t>、</w:t>
      </w:r>
      <w:r>
        <w:rPr>
          <w:rFonts w:hint="default"/>
          <w:color w:val="auto"/>
          <w:highlight w:val="none"/>
        </w:rPr>
        <w:t>热洁炉换热器冷却水、锅炉排污水和纯水制备反渗透浓水。其中，注塑冷却水、冰水机配套的设备冷却水</w:t>
      </w:r>
      <w:r>
        <w:rPr>
          <w:rFonts w:hint="eastAsia"/>
          <w:color w:val="auto"/>
          <w:highlight w:val="none"/>
          <w:lang w:val="en-US" w:eastAsia="zh-CN"/>
        </w:rPr>
        <w:t>和</w:t>
      </w:r>
      <w:r>
        <w:rPr>
          <w:rFonts w:hint="default"/>
          <w:color w:val="auto"/>
          <w:highlight w:val="none"/>
        </w:rPr>
        <w:t>热洁炉换热器冷却水均为间接冷却水，循环使用不外排；锅炉排污水和反渗透浓水水质简单，经厂区污水总排口接入市政污水管网。上述废水污染物含量低，不含重金属及有毒有害物质，正常工况下不会对周边地下水和土壤环境造成污染；即使收集管网发生破裂泄漏，因其水质简单，对周边环境影响较小，不存在明显的地下水、土壤污染风险。</w:t>
      </w:r>
    </w:p>
    <w:p w14:paraId="3626ECB1">
      <w:pPr>
        <w:pStyle w:val="6"/>
        <w:bidi w:val="0"/>
        <w:rPr>
          <w:rFonts w:hint="default"/>
          <w:color w:val="auto"/>
          <w:highlight w:val="none"/>
        </w:rPr>
      </w:pPr>
      <w:r>
        <w:rPr>
          <w:rFonts w:hint="default"/>
          <w:color w:val="auto"/>
          <w:highlight w:val="none"/>
        </w:rPr>
        <w:t>（</w:t>
      </w:r>
      <w:r>
        <w:rPr>
          <w:rFonts w:hint="eastAsia"/>
          <w:color w:val="auto"/>
          <w:highlight w:val="none"/>
          <w:lang w:val="en-US" w:eastAsia="zh-CN"/>
        </w:rPr>
        <w:t>3</w:t>
      </w:r>
      <w:r>
        <w:rPr>
          <w:rFonts w:hint="default"/>
          <w:color w:val="auto"/>
          <w:highlight w:val="none"/>
        </w:rPr>
        <w:t>）危险物质泄漏风险分析</w:t>
      </w:r>
    </w:p>
    <w:p w14:paraId="38924CE2">
      <w:pPr>
        <w:bidi w:val="0"/>
        <w:rPr>
          <w:rFonts w:hint="default"/>
          <w:color w:val="auto"/>
          <w:highlight w:val="none"/>
        </w:rPr>
      </w:pPr>
      <w:r>
        <w:rPr>
          <w:rFonts w:hint="default"/>
          <w:color w:val="auto"/>
          <w:highlight w:val="none"/>
        </w:rPr>
        <w:t>润滑油泄漏风险：本项目润滑油储存于专用储桶中，储存量较小，</w:t>
      </w:r>
      <w:r>
        <w:rPr>
          <w:rFonts w:hint="eastAsia"/>
          <w:color w:val="auto"/>
          <w:highlight w:val="none"/>
          <w:lang w:val="en-US" w:eastAsia="zh-CN"/>
        </w:rPr>
        <w:t>拟</w:t>
      </w:r>
      <w:r>
        <w:rPr>
          <w:rFonts w:hint="default"/>
          <w:color w:val="auto"/>
          <w:highlight w:val="none"/>
        </w:rPr>
        <w:t>放置于辅料仓库内。若储桶破损导致泄漏，可能通过地面下渗污染土壤及地下水，或少量挥发进入大气环境。企业计划对仓库地面采取防渗处理，并配备泄漏收集工具，确保泄漏发生后可及时控制，环境风险较小。</w:t>
      </w:r>
    </w:p>
    <w:p w14:paraId="133B9175">
      <w:pPr>
        <w:bidi w:val="0"/>
        <w:rPr>
          <w:rFonts w:hint="default"/>
          <w:color w:val="auto"/>
          <w:highlight w:val="none"/>
        </w:rPr>
      </w:pPr>
      <w:r>
        <w:rPr>
          <w:rFonts w:hint="default"/>
          <w:color w:val="auto"/>
          <w:highlight w:val="none"/>
        </w:rPr>
        <w:t>废润滑油泄漏风险：废润滑油属于危险废物，</w:t>
      </w:r>
      <w:r>
        <w:rPr>
          <w:rFonts w:hint="eastAsia"/>
          <w:color w:val="auto"/>
          <w:highlight w:val="none"/>
          <w:lang w:val="en-US" w:eastAsia="zh-CN"/>
        </w:rPr>
        <w:t>拟</w:t>
      </w:r>
      <w:r>
        <w:rPr>
          <w:rFonts w:hint="default"/>
          <w:color w:val="auto"/>
          <w:highlight w:val="none"/>
        </w:rPr>
        <w:t>暂存于危废贮存库的专用储桶中。危废贮存库已按要求采取防风、防雨、防晒、防渗漏措施（渗透系数≤10</w:t>
      </w:r>
      <w:r>
        <w:rPr>
          <w:rFonts w:hint="eastAsia"/>
          <w:color w:val="auto"/>
          <w:highlight w:val="none"/>
          <w:vertAlign w:val="superscript"/>
          <w:lang w:val="en-US" w:eastAsia="zh-CN"/>
        </w:rPr>
        <w:t>-7</w:t>
      </w:r>
      <w:r>
        <w:rPr>
          <w:rFonts w:hint="default"/>
          <w:color w:val="auto"/>
          <w:highlight w:val="none"/>
        </w:rPr>
        <w:t>cm/s），可有效防止废润滑油泄漏造成二次污染。废润滑油产生量小、暂存周期短，定期委托有</w:t>
      </w:r>
      <w:r>
        <w:rPr>
          <w:rFonts w:hint="eastAsia"/>
          <w:color w:val="auto"/>
          <w:highlight w:val="none"/>
          <w:lang w:val="en-US" w:eastAsia="zh-CN"/>
        </w:rPr>
        <w:t>危废处置</w:t>
      </w:r>
      <w:r>
        <w:rPr>
          <w:rFonts w:hint="default"/>
          <w:color w:val="auto"/>
          <w:highlight w:val="none"/>
        </w:rPr>
        <w:t>资质</w:t>
      </w:r>
      <w:r>
        <w:rPr>
          <w:rFonts w:hint="eastAsia"/>
          <w:color w:val="auto"/>
          <w:highlight w:val="none"/>
          <w:lang w:eastAsia="zh-CN"/>
        </w:rPr>
        <w:t>的单位</w:t>
      </w:r>
      <w:r>
        <w:rPr>
          <w:rFonts w:hint="eastAsia"/>
          <w:color w:val="auto"/>
          <w:highlight w:val="none"/>
          <w:lang w:val="en-US" w:eastAsia="zh-CN"/>
        </w:rPr>
        <w:t>进行处理</w:t>
      </w:r>
      <w:r>
        <w:rPr>
          <w:rFonts w:hint="default"/>
          <w:color w:val="auto"/>
          <w:highlight w:val="none"/>
        </w:rPr>
        <w:t>，环境风险较小。</w:t>
      </w:r>
    </w:p>
    <w:p w14:paraId="7B44BDF0">
      <w:pPr>
        <w:bidi w:val="0"/>
        <w:rPr>
          <w:rFonts w:hint="default"/>
          <w:color w:val="auto"/>
          <w:highlight w:val="none"/>
        </w:rPr>
      </w:pPr>
      <w:r>
        <w:rPr>
          <w:rFonts w:hint="default"/>
          <w:color w:val="auto"/>
          <w:highlight w:val="none"/>
        </w:rPr>
        <w:t>涂料、稀释剂、固化剂及清洗剂泄漏风险：本项目不设储罐，涂料、稀释剂、固化剂和清洗剂均以桶装形式储存。如包装桶破裂或倾覆，会导致液体物料泄漏，泄漏过程中少量易挥发性有机物可通过表面挥发扩散至大气环境。本项目液体物料虽为桶装储存，但作为主要原材料，日常储存量较大，若泄漏未能及时发现和收集，可能通过地面下渗污染土壤及地下水，或经雨水管网进入周边地表水体。企业计划对储存区地面采取防渗处理，并设置围堰或导流设施，配备泄漏收集工具及应急物资，确保泄漏发生后可及时拦截、收集并转移至密闭容器内，避免大面积漫流。在落实上述措施的前提下，液体物料泄漏引发较严重环境污染事故的可能性较小，一般仅对泄漏区域周围较小范围的环境空气、土壤及地下水产生一定影响，不会对周围环境保护目标造成明显影响。</w:t>
      </w:r>
    </w:p>
    <w:p w14:paraId="774412E6">
      <w:pPr>
        <w:bidi w:val="0"/>
        <w:rPr>
          <w:rFonts w:hint="default"/>
          <w:color w:val="auto"/>
          <w:highlight w:val="none"/>
        </w:rPr>
      </w:pPr>
      <w:r>
        <w:rPr>
          <w:rFonts w:hint="default"/>
          <w:color w:val="auto"/>
          <w:highlight w:val="none"/>
        </w:rPr>
        <w:t>火灾次生风险：润滑油和废润滑油均具有可燃性，若遇明火或电气故障可能引发火灾。火灾事故将导致燃烧产生的有毒烟气污染大气环境，同时消防废水若收集不当，可能夹带油类物质进入地表水体或下渗污染地下水。企业应加强火源管理，并确保消防废水可导入事故应急池，防止次生环境污染。</w:t>
      </w:r>
    </w:p>
    <w:p w14:paraId="35BADAE0">
      <w:pPr>
        <w:keepNext w:val="0"/>
        <w:keepLines w:val="0"/>
        <w:pageBreakBefore w:val="0"/>
        <w:widowControl w:val="0"/>
        <w:kinsoku/>
        <w:wordWrap/>
        <w:overflowPunct/>
        <w:topLinePunct w:val="0"/>
        <w:autoSpaceDE/>
        <w:autoSpaceDN/>
        <w:bidi w:val="0"/>
        <w:adjustRightInd/>
        <w:snapToGrid/>
        <w:textAlignment w:val="auto"/>
        <w:outlineLvl w:val="4"/>
        <w:rPr>
          <w:rFonts w:hint="eastAsia"/>
          <w:b/>
          <w:bCs/>
          <w:color w:val="auto"/>
          <w:highlight w:val="none"/>
          <w:lang w:eastAsia="zh-CN"/>
        </w:rPr>
      </w:pPr>
      <w:r>
        <w:rPr>
          <w:rFonts w:hint="eastAsia"/>
          <w:b/>
          <w:bCs/>
          <w:color w:val="auto"/>
          <w:highlight w:val="none"/>
          <w:lang w:eastAsia="zh-CN"/>
        </w:rPr>
        <w:t>（</w:t>
      </w:r>
      <w:r>
        <w:rPr>
          <w:rFonts w:hint="eastAsia"/>
          <w:b/>
          <w:bCs/>
          <w:color w:val="auto"/>
          <w:highlight w:val="none"/>
          <w:lang w:val="en-US" w:eastAsia="zh-CN"/>
        </w:rPr>
        <w:t>4</w:t>
      </w:r>
      <w:r>
        <w:rPr>
          <w:rFonts w:hint="eastAsia"/>
          <w:b/>
          <w:bCs/>
          <w:color w:val="auto"/>
          <w:highlight w:val="none"/>
          <w:lang w:eastAsia="zh-CN"/>
        </w:rPr>
        <w:t>）天然气泄漏</w:t>
      </w:r>
    </w:p>
    <w:p w14:paraId="0E1E43DA">
      <w:pPr>
        <w:bidi w:val="0"/>
        <w:rPr>
          <w:rFonts w:hint="default"/>
          <w:color w:val="auto"/>
          <w:highlight w:val="none"/>
        </w:rPr>
      </w:pPr>
      <w:r>
        <w:rPr>
          <w:rFonts w:hint="default"/>
          <w:color w:val="auto"/>
          <w:highlight w:val="none"/>
        </w:rPr>
        <w:t>本项目使用管道天然气，厂区内不设天然气储罐。如天然气管道破裂造成天然气泄漏，泄漏气体挥发进入大气环境，遇火源可能引发火灾、爆炸事故，并对周边人员安全造成威胁。因此，一旦发生此类事故，应立即关闭天然气入厂阀门，疏散周边人员，并通知天然气公司进行专业处理。本项目天然气采用无缝钢管输送，管道内实际存在量较小，且具备泄漏报警装置，可及时发现并切断气源，避免事故扩大。</w:t>
      </w:r>
    </w:p>
    <w:p w14:paraId="0F97D6B2">
      <w:pPr>
        <w:pStyle w:val="6"/>
        <w:bidi w:val="0"/>
        <w:rPr>
          <w:rFonts w:hint="default"/>
          <w:color w:val="auto"/>
          <w:highlight w:val="none"/>
        </w:rPr>
      </w:pPr>
      <w:r>
        <w:rPr>
          <w:rFonts w:hint="default"/>
          <w:color w:val="auto"/>
          <w:highlight w:val="none"/>
        </w:rPr>
        <w:t>（</w:t>
      </w:r>
      <w:r>
        <w:rPr>
          <w:rFonts w:hint="eastAsia"/>
          <w:color w:val="auto"/>
          <w:highlight w:val="none"/>
          <w:lang w:val="en-US" w:eastAsia="zh-CN"/>
        </w:rPr>
        <w:t>5</w:t>
      </w:r>
      <w:r>
        <w:rPr>
          <w:rFonts w:hint="default"/>
          <w:color w:val="auto"/>
          <w:highlight w:val="none"/>
        </w:rPr>
        <w:t>）地下水环境风险分析</w:t>
      </w:r>
    </w:p>
    <w:p w14:paraId="0A6B46AC">
      <w:pPr>
        <w:bidi w:val="0"/>
        <w:rPr>
          <w:rFonts w:hint="default"/>
          <w:color w:val="auto"/>
          <w:highlight w:val="none"/>
        </w:rPr>
      </w:pPr>
      <w:r>
        <w:rPr>
          <w:rFonts w:hint="default"/>
          <w:color w:val="auto"/>
          <w:highlight w:val="none"/>
        </w:rPr>
        <w:t>本项目厂区主要区域采用硬地面，本项目无生产废水外排。发生事故时，泄漏的物料或消防废水可通过导流设施收集至事故应急池，避免直接渗入地下</w:t>
      </w:r>
      <w:r>
        <w:rPr>
          <w:rFonts w:hint="eastAsia"/>
          <w:color w:val="auto"/>
          <w:highlight w:val="none"/>
          <w:lang w:eastAsia="zh-CN"/>
        </w:rPr>
        <w:t>，对</w:t>
      </w:r>
      <w:r>
        <w:rPr>
          <w:rFonts w:hint="default"/>
          <w:color w:val="auto"/>
          <w:highlight w:val="none"/>
        </w:rPr>
        <w:t>地下水带来影响。在企业做好系统防渗、加强日常巡查、严格实施环保措施的前提下，发生地下水污染的概率较小。即便发生少量泄漏，由于防渗层的保护，污染物下渗速度极慢，可在及时发现并清理后，将环境影响控制在最小范围。</w:t>
      </w:r>
    </w:p>
    <w:p w14:paraId="34A9C63D">
      <w:pPr>
        <w:pStyle w:val="3"/>
        <w:numPr>
          <w:ilvl w:val="0"/>
          <w:numId w:val="0"/>
        </w:numPr>
        <w:bidi w:val="0"/>
        <w:rPr>
          <w:color w:val="auto"/>
          <w:highlight w:val="none"/>
        </w:rPr>
      </w:pPr>
      <w:bookmarkStart w:id="634" w:name="_Toc14829"/>
      <w:bookmarkStart w:id="635" w:name="_Toc4888"/>
      <w:bookmarkStart w:id="636" w:name="_Toc4956"/>
      <w:bookmarkStart w:id="637" w:name="_Toc9508"/>
      <w:bookmarkStart w:id="638" w:name="_Toc9748"/>
      <w:bookmarkStart w:id="639" w:name="_Toc7488"/>
      <w:bookmarkStart w:id="640" w:name="_Toc28336"/>
      <w:bookmarkStart w:id="641" w:name="_Toc1317"/>
      <w:bookmarkStart w:id="642" w:name="_Toc26829"/>
      <w:r>
        <w:rPr>
          <w:color w:val="auto"/>
          <w:highlight w:val="none"/>
        </w:rPr>
        <w:t>6.</w:t>
      </w:r>
      <w:r>
        <w:rPr>
          <w:rFonts w:hint="eastAsia"/>
          <w:color w:val="auto"/>
          <w:highlight w:val="none"/>
          <w:lang w:val="en-US" w:eastAsia="zh-CN"/>
        </w:rPr>
        <w:t>4</w:t>
      </w:r>
      <w:bookmarkEnd w:id="633"/>
      <w:bookmarkEnd w:id="634"/>
      <w:bookmarkEnd w:id="635"/>
      <w:bookmarkEnd w:id="636"/>
      <w:bookmarkEnd w:id="637"/>
      <w:bookmarkEnd w:id="638"/>
      <w:bookmarkEnd w:id="639"/>
      <w:bookmarkEnd w:id="640"/>
      <w:bookmarkEnd w:id="641"/>
      <w:r>
        <w:rPr>
          <w:rFonts w:hint="eastAsia"/>
          <w:color w:val="auto"/>
          <w:highlight w:val="none"/>
          <w:lang w:val="en-US" w:eastAsia="zh-CN"/>
        </w:rPr>
        <w:t xml:space="preserve"> </w:t>
      </w:r>
      <w:r>
        <w:rPr>
          <w:rFonts w:hint="eastAsia"/>
          <w:color w:val="auto"/>
          <w:highlight w:val="none"/>
        </w:rPr>
        <w:t>环境风险防范措施</w:t>
      </w:r>
      <w:bookmarkEnd w:id="642"/>
    </w:p>
    <w:p w14:paraId="1D1347D2">
      <w:pPr>
        <w:pStyle w:val="4"/>
        <w:numPr>
          <w:ilvl w:val="0"/>
          <w:numId w:val="0"/>
        </w:numPr>
        <w:tabs>
          <w:tab w:val="clear" w:pos="720"/>
        </w:tabs>
        <w:bidi w:val="0"/>
        <w:rPr>
          <w:rFonts w:hint="eastAsia" w:ascii="Times New Roman" w:hAnsi="Times New Roman" w:cs="Times New Roman"/>
          <w:bCs/>
          <w:color w:val="auto"/>
          <w:highlight w:val="none"/>
        </w:rPr>
      </w:pPr>
      <w:bookmarkStart w:id="643" w:name="_Toc4699"/>
      <w:bookmarkStart w:id="644" w:name="_Toc23673"/>
      <w:bookmarkStart w:id="645" w:name="_Toc30513"/>
      <w:bookmarkStart w:id="646" w:name="_Toc14726"/>
      <w:bookmarkStart w:id="647" w:name="_Toc11429"/>
      <w:bookmarkStart w:id="648" w:name="_Toc7489"/>
      <w:bookmarkStart w:id="649" w:name="_Toc8878"/>
      <w:bookmarkStart w:id="650" w:name="_Toc14279"/>
      <w:bookmarkStart w:id="651" w:name="_Toc21508"/>
      <w:r>
        <w:rPr>
          <w:rFonts w:hint="eastAsia"/>
          <w:color w:val="auto"/>
          <w:highlight w:val="none"/>
          <w:lang w:val="en-US" w:eastAsia="zh-CN"/>
        </w:rPr>
        <w:t>6.4.1 废气</w:t>
      </w:r>
      <w:r>
        <w:rPr>
          <w:rFonts w:hint="eastAsia"/>
          <w:color w:val="auto"/>
          <w:highlight w:val="none"/>
        </w:rPr>
        <w:t>泄漏事故防范措施</w:t>
      </w:r>
      <w:bookmarkEnd w:id="643"/>
      <w:bookmarkEnd w:id="644"/>
      <w:bookmarkEnd w:id="645"/>
      <w:bookmarkEnd w:id="646"/>
      <w:bookmarkEnd w:id="647"/>
      <w:bookmarkEnd w:id="648"/>
      <w:bookmarkEnd w:id="649"/>
      <w:bookmarkEnd w:id="650"/>
      <w:bookmarkEnd w:id="651"/>
    </w:p>
    <w:p w14:paraId="6081B8CB">
      <w:pPr>
        <w:bidi w:val="0"/>
        <w:rPr>
          <w:rFonts w:hint="eastAsia"/>
          <w:color w:val="auto"/>
          <w:highlight w:val="none"/>
          <w:lang w:eastAsia="zh-CN"/>
        </w:rPr>
      </w:pPr>
      <w:r>
        <w:rPr>
          <w:rFonts w:hint="eastAsia"/>
          <w:color w:val="auto"/>
          <w:highlight w:val="none"/>
          <w:lang w:eastAsia="zh-CN"/>
        </w:rPr>
        <w:t>（1）加强废气处理设施的日常维护和保养，定期检查，确保RTO蓄热式焚烧炉、二级活性炭吸附装置及布袋除尘器等设施正常运行。由专人负责日常环境管理工作，制订《环保管理人员职责》和《环境污染防治措施》制度，加强对废气处理设施的监督和管理。对操作人员进行岗位培训，严格按操作规程操作，严禁违章作业。</w:t>
      </w:r>
    </w:p>
    <w:p w14:paraId="7F4BB509">
      <w:pPr>
        <w:bidi w:val="0"/>
        <w:rPr>
          <w:rFonts w:hint="eastAsia"/>
          <w:color w:val="auto"/>
          <w:highlight w:val="none"/>
          <w:lang w:eastAsia="zh-CN"/>
        </w:rPr>
      </w:pPr>
      <w:r>
        <w:rPr>
          <w:rFonts w:hint="eastAsia"/>
          <w:color w:val="auto"/>
          <w:highlight w:val="none"/>
          <w:lang w:eastAsia="zh-CN"/>
        </w:rPr>
        <w:t>（2）对废气处理设施进行定期监测和检修，如发生腐蚀、堵塞、设备运行不稳定等情况，需及时对设备进行更换和修理，确保废气处理设施正常运行。配套备用风机等备用设备，确保处理设施长期稳定运行，切实防止事故排放的发生。</w:t>
      </w:r>
    </w:p>
    <w:p w14:paraId="6E1731EC">
      <w:pPr>
        <w:bidi w:val="0"/>
        <w:rPr>
          <w:rFonts w:hint="eastAsia"/>
          <w:color w:val="auto"/>
          <w:highlight w:val="none"/>
          <w:lang w:eastAsia="zh-CN"/>
        </w:rPr>
      </w:pPr>
      <w:r>
        <w:rPr>
          <w:rFonts w:hint="eastAsia"/>
          <w:color w:val="auto"/>
          <w:highlight w:val="none"/>
          <w:lang w:eastAsia="zh-CN"/>
        </w:rPr>
        <w:t>（3）定期更换废气处理设施的活性炭、RTO蓄热体、滤袋等消耗品，保证废气处理效率。其中，二级活性炭吸附装置应定期更换活性炭，布袋除尘器应定期检查并更换破损滤袋，RTO蓄热式焚烧炉应定期检查蓄热体和燃烧系统运行状况。</w:t>
      </w:r>
    </w:p>
    <w:p w14:paraId="54EBB848">
      <w:pPr>
        <w:bidi w:val="0"/>
        <w:rPr>
          <w:rFonts w:hint="eastAsia"/>
          <w:color w:val="auto"/>
          <w:highlight w:val="none"/>
          <w:lang w:eastAsia="zh-CN"/>
        </w:rPr>
      </w:pPr>
      <w:r>
        <w:rPr>
          <w:rFonts w:hint="eastAsia"/>
          <w:color w:val="auto"/>
          <w:highlight w:val="none"/>
          <w:lang w:eastAsia="zh-CN"/>
        </w:rPr>
        <w:t>（4）为防范可能的非正常排放，减轻环境污染，实际生产中在开启生产线之前，应先开启废气处理设施；停产、检修时先关闭生产线，方可关闭废气处理设施。防止生产线开启和关闭时废气污染物未经处理直接排放，造成环境影响。</w:t>
      </w:r>
    </w:p>
    <w:p w14:paraId="51165546">
      <w:pPr>
        <w:bidi w:val="0"/>
        <w:rPr>
          <w:rFonts w:hint="eastAsia"/>
          <w:color w:val="auto"/>
          <w:highlight w:val="none"/>
          <w:lang w:eastAsia="zh-CN"/>
        </w:rPr>
      </w:pPr>
      <w:r>
        <w:rPr>
          <w:rFonts w:hint="eastAsia"/>
          <w:color w:val="auto"/>
          <w:highlight w:val="none"/>
          <w:lang w:eastAsia="zh-CN"/>
        </w:rPr>
        <w:t>（5）当废气处理装置出现故障时，应及时维修，相应生产工序停止生产，待废气处理设施恢复正常后方可恢复生产。</w:t>
      </w:r>
    </w:p>
    <w:p w14:paraId="36E44715">
      <w:pPr>
        <w:bidi w:val="0"/>
        <w:rPr>
          <w:rFonts w:hint="eastAsia"/>
          <w:color w:val="auto"/>
          <w:highlight w:val="none"/>
          <w:lang w:eastAsia="zh-CN"/>
        </w:rPr>
      </w:pPr>
      <w:r>
        <w:rPr>
          <w:rFonts w:hint="eastAsia"/>
          <w:color w:val="auto"/>
          <w:highlight w:val="none"/>
          <w:lang w:eastAsia="zh-CN"/>
        </w:rPr>
        <w:t>（6）按时进行自行监测，减少非正常排放的可能。对比监测数据，对于排放数据异常的情况，分析其原因，排查异常排放是否因废气处理设施处理效率下降所致，并及时消除影响。</w:t>
      </w:r>
    </w:p>
    <w:p w14:paraId="27765A6E">
      <w:pPr>
        <w:bidi w:val="0"/>
        <w:rPr>
          <w:rFonts w:hint="eastAsia"/>
          <w:color w:val="auto"/>
          <w:highlight w:val="none"/>
          <w:lang w:eastAsia="zh-CN"/>
        </w:rPr>
      </w:pPr>
      <w:r>
        <w:rPr>
          <w:rFonts w:hint="eastAsia"/>
          <w:color w:val="auto"/>
          <w:highlight w:val="none"/>
          <w:lang w:eastAsia="zh-CN"/>
        </w:rPr>
        <w:t>（7）企业应建立废气处理设施运行台账，记录设施运行状态、耗材更换、检修维护及异常情况处理等信息，确保废气处理设施管理有据可查。</w:t>
      </w:r>
    </w:p>
    <w:p w14:paraId="0B599B30">
      <w:pPr>
        <w:pStyle w:val="4"/>
        <w:numPr>
          <w:ilvl w:val="0"/>
          <w:numId w:val="0"/>
        </w:numPr>
        <w:tabs>
          <w:tab w:val="clear" w:pos="720"/>
        </w:tabs>
        <w:bidi w:val="0"/>
        <w:rPr>
          <w:rFonts w:hint="eastAsia"/>
          <w:color w:val="auto"/>
          <w:highlight w:val="none"/>
          <w:lang w:eastAsia="zh-CN"/>
        </w:rPr>
      </w:pPr>
      <w:bookmarkStart w:id="652" w:name="_Toc24106"/>
      <w:r>
        <w:rPr>
          <w:rFonts w:hint="eastAsia"/>
          <w:color w:val="auto"/>
          <w:highlight w:val="none"/>
          <w:lang w:val="en-US" w:eastAsia="zh-CN"/>
        </w:rPr>
        <w:t>6.4.2 废水</w:t>
      </w:r>
      <w:r>
        <w:rPr>
          <w:rFonts w:hint="eastAsia"/>
          <w:color w:val="auto"/>
          <w:highlight w:val="none"/>
        </w:rPr>
        <w:t>泄漏事故防范措施</w:t>
      </w:r>
      <w:bookmarkEnd w:id="652"/>
    </w:p>
    <w:p w14:paraId="345A6A7F">
      <w:pPr>
        <w:keepNext w:val="0"/>
        <w:keepLines w:val="0"/>
        <w:pageBreakBefore w:val="0"/>
        <w:widowControl w:val="0"/>
        <w:kinsoku/>
        <w:wordWrap/>
        <w:overflowPunct/>
        <w:topLinePunct w:val="0"/>
        <w:autoSpaceDE/>
        <w:autoSpaceDN/>
        <w:bidi w:val="0"/>
        <w:adjustRightInd/>
        <w:snapToGrid/>
        <w:textAlignment w:val="auto"/>
        <w:outlineLvl w:val="4"/>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）环境风险防范</w:t>
      </w:r>
    </w:p>
    <w:p w14:paraId="3268F4B6">
      <w:pPr>
        <w:bidi w:val="0"/>
        <w:rPr>
          <w:rFonts w:hint="eastAsia"/>
          <w:color w:val="auto"/>
          <w:highlight w:val="none"/>
        </w:rPr>
      </w:pPr>
      <w:r>
        <w:rPr>
          <w:rFonts w:hint="eastAsia"/>
          <w:color w:val="auto"/>
          <w:highlight w:val="none"/>
        </w:rPr>
        <w:t>针对企业污染物来源及其特性，以实现达标排放和满足应急处置为原则，建立</w:t>
      </w:r>
      <w:r>
        <w:rPr>
          <w:rFonts w:hint="eastAsia"/>
          <w:color w:val="auto"/>
          <w:highlight w:val="none"/>
          <w:lang w:eastAsia="zh-CN"/>
        </w:rPr>
        <w:t>“</w:t>
      </w:r>
      <w:r>
        <w:rPr>
          <w:rFonts w:hint="eastAsia"/>
          <w:color w:val="auto"/>
          <w:highlight w:val="none"/>
        </w:rPr>
        <w:t>二级</w:t>
      </w:r>
      <w:r>
        <w:rPr>
          <w:rFonts w:hint="eastAsia"/>
          <w:color w:val="auto"/>
          <w:highlight w:val="none"/>
          <w:lang w:eastAsia="zh-CN"/>
        </w:rPr>
        <w:t>”</w:t>
      </w:r>
      <w:r>
        <w:rPr>
          <w:rFonts w:hint="eastAsia"/>
          <w:color w:val="auto"/>
          <w:highlight w:val="none"/>
        </w:rPr>
        <w:t>防控机制。</w:t>
      </w:r>
    </w:p>
    <w:p w14:paraId="303EF5A7">
      <w:pPr>
        <w:bidi w:val="0"/>
        <w:rPr>
          <w:rFonts w:hint="eastAsia"/>
          <w:color w:val="auto"/>
          <w:highlight w:val="none"/>
        </w:rPr>
      </w:pPr>
      <w:r>
        <w:rPr>
          <w:rFonts w:hint="eastAsia"/>
          <w:color w:val="auto"/>
          <w:highlight w:val="none"/>
        </w:rPr>
        <w:t>一级防控措施：本项目一级防控措施为在危废贮存库设置导流渠或环形收集沟及泄漏液体收集装置，可有效收集泄漏物料及渗滤液，避免其污染外界环境。危废贮存库、辅料仓库等区域应按照相应规范进行防腐防渗处理，其中危废贮存库防渗层渗透系数应≤10</w:t>
      </w:r>
      <w:r>
        <w:rPr>
          <w:rFonts w:hint="eastAsia"/>
          <w:color w:val="auto"/>
          <w:highlight w:val="none"/>
          <w:vertAlign w:val="superscript"/>
          <w:lang w:val="en-US" w:eastAsia="zh-CN"/>
        </w:rPr>
        <w:t>-10</w:t>
      </w:r>
      <w:r>
        <w:rPr>
          <w:rFonts w:hint="eastAsia"/>
          <w:color w:val="auto"/>
          <w:highlight w:val="none"/>
        </w:rPr>
        <w:t>cm/s，可有效防止危废及原料泄漏下渗污染地下水和土壤。一级防控措施是构筑生产过程中环境安全的第一层防控网，通过拦截、收集泄漏物料，防止污染雨水和轻微事故泄漏造成的环境污染。</w:t>
      </w:r>
    </w:p>
    <w:p w14:paraId="385C0AC9">
      <w:pPr>
        <w:bidi w:val="0"/>
        <w:rPr>
          <w:rFonts w:hint="eastAsia"/>
          <w:color w:val="auto"/>
          <w:highlight w:val="none"/>
        </w:rPr>
      </w:pPr>
      <w:r>
        <w:rPr>
          <w:rFonts w:hint="eastAsia"/>
          <w:color w:val="auto"/>
          <w:highlight w:val="none"/>
        </w:rPr>
        <w:t>二级防控措施：本项目二级防控措施包含两部分：①依托租赁方已建事故应急池及配套事故导排系统，并利用生产车间排水沟、调节池剩余容积及应急水袋作为补充，切断污染物与外部的通道，将污染控制在厂内，防止事故泄漏物料和消防废水造成的环境污染；②在厂区污水及雨水总排口设置切断措施，同时依托上述事故应急池作为防控设施，当风险事故情况下一级防控措施不能满足要求时，将物料及消防水引入应急池，防止污染物进入地表水体。</w:t>
      </w:r>
    </w:p>
    <w:p w14:paraId="04A42164">
      <w:pPr>
        <w:keepNext w:val="0"/>
        <w:keepLines w:val="0"/>
        <w:pageBreakBefore w:val="0"/>
        <w:widowControl/>
        <w:kinsoku/>
        <w:wordWrap w:val="0"/>
        <w:overflowPunct/>
        <w:topLinePunct w:val="0"/>
        <w:autoSpaceDE w:val="0"/>
        <w:autoSpaceDN w:val="0"/>
        <w:bidi w:val="0"/>
        <w:adjustRightInd w:val="0"/>
        <w:snapToGrid w:val="0"/>
        <w:ind w:firstLine="480"/>
        <w:jc w:val="both"/>
        <w:textAlignment w:val="baseline"/>
        <w:outlineLvl w:val="4"/>
        <w:rPr>
          <w:rFonts w:hint="default" w:ascii="Times New Roman" w:hAnsi="Times New Roman" w:eastAsia="宋体" w:cs="Arial"/>
          <w:snapToGrid w:val="0"/>
          <w:color w:val="auto"/>
          <w:kern w:val="0"/>
          <w:szCs w:val="21"/>
          <w:highlight w:val="none"/>
          <w:lang w:val="en-US" w:eastAsia="zh-CN"/>
        </w:rPr>
      </w:pPr>
      <w:r>
        <w:rPr>
          <w:rFonts w:hint="eastAsia" w:cs="Arial"/>
          <w:snapToGrid w:val="0"/>
          <w:color w:val="auto"/>
          <w:kern w:val="0"/>
          <w:szCs w:val="21"/>
          <w:highlight w:val="none"/>
          <w:lang w:eastAsia="zh-CN"/>
        </w:rPr>
        <w:t>（</w:t>
      </w:r>
      <w:r>
        <w:rPr>
          <w:rFonts w:hint="eastAsia" w:cs="Arial"/>
          <w:snapToGrid w:val="0"/>
          <w:color w:val="auto"/>
          <w:kern w:val="0"/>
          <w:szCs w:val="21"/>
          <w:highlight w:val="none"/>
          <w:lang w:val="en-US" w:eastAsia="zh-CN"/>
        </w:rPr>
        <w:t>2</w:t>
      </w:r>
      <w:r>
        <w:rPr>
          <w:rFonts w:hint="eastAsia" w:cs="Arial"/>
          <w:snapToGrid w:val="0"/>
          <w:color w:val="auto"/>
          <w:kern w:val="0"/>
          <w:szCs w:val="21"/>
          <w:highlight w:val="none"/>
          <w:lang w:eastAsia="zh-CN"/>
        </w:rPr>
        <w:t>）</w:t>
      </w:r>
      <w:r>
        <w:rPr>
          <w:rFonts w:hint="eastAsia" w:cs="Arial"/>
          <w:snapToGrid w:val="0"/>
          <w:color w:val="auto"/>
          <w:kern w:val="0"/>
          <w:szCs w:val="21"/>
          <w:highlight w:val="none"/>
          <w:lang w:val="en-US" w:eastAsia="zh-CN"/>
        </w:rPr>
        <w:t>事故应急池容积核算</w:t>
      </w:r>
    </w:p>
    <w:p w14:paraId="47B3D578">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参照《事故状态下水体污染的预防和控制规范》（Q/SY 08190-2019）计算项目所需事故池容积，容量按下式计算：</w:t>
      </w:r>
    </w:p>
    <w:p w14:paraId="5743B0CF">
      <w:pPr>
        <w:widowControl/>
        <w:wordWrap w:val="0"/>
        <w:autoSpaceDE w:val="0"/>
        <w:autoSpaceDN w:val="0"/>
        <w:adjustRightInd w:val="0"/>
        <w:snapToGrid w:val="0"/>
        <w:ind w:firstLine="480"/>
        <w:jc w:val="center"/>
        <w:textAlignment w:val="baseline"/>
        <w:rPr>
          <w:rFonts w:ascii="Times New Roman" w:hAnsi="Times New Roman" w:eastAsia="宋体" w:cs="Arial"/>
          <w:snapToGrid w:val="0"/>
          <w:color w:val="auto"/>
          <w:kern w:val="0"/>
          <w:szCs w:val="21"/>
          <w:highlight w:val="none"/>
          <w:lang w:eastAsia="en-US"/>
        </w:rPr>
      </w:pPr>
      <w:r>
        <w:rPr>
          <w:rFonts w:ascii="Times New Roman" w:hAnsi="Times New Roman" w:eastAsia="宋体" w:cs="Arial"/>
          <w:snapToGrid w:val="0"/>
          <w:color w:val="auto"/>
          <w:kern w:val="0"/>
          <w:szCs w:val="21"/>
          <w:highlight w:val="none"/>
          <w:lang w:eastAsia="en-US"/>
        </w:rPr>
        <w:t>V事故池=（V1+V2-V3）max+V4+V5</w:t>
      </w:r>
    </w:p>
    <w:p w14:paraId="317CABCA">
      <w:pPr>
        <w:widowControl/>
        <w:wordWrap w:val="0"/>
        <w:autoSpaceDE w:val="0"/>
        <w:autoSpaceDN w:val="0"/>
        <w:adjustRightInd w:val="0"/>
        <w:snapToGrid w:val="0"/>
        <w:ind w:firstLine="480"/>
        <w:jc w:val="center"/>
        <w:textAlignment w:val="baseline"/>
        <w:rPr>
          <w:rFonts w:ascii="Times New Roman" w:hAnsi="Times New Roman" w:eastAsia="宋体" w:cs="Arial"/>
          <w:snapToGrid w:val="0"/>
          <w:color w:val="auto"/>
          <w:kern w:val="0"/>
          <w:szCs w:val="21"/>
          <w:highlight w:val="none"/>
          <w:lang w:eastAsia="en-US"/>
        </w:rPr>
      </w:pPr>
      <w:r>
        <w:rPr>
          <w:rFonts w:ascii="Times New Roman" w:hAnsi="Times New Roman" w:eastAsia="宋体" w:cs="Arial"/>
          <w:snapToGrid w:val="0"/>
          <w:color w:val="auto"/>
          <w:kern w:val="0"/>
          <w:szCs w:val="21"/>
          <w:highlight w:val="none"/>
          <w:lang w:eastAsia="en-US"/>
        </w:rPr>
        <w:t>V2=∑Q消·t消</w:t>
      </w:r>
    </w:p>
    <w:p w14:paraId="234F65A4">
      <w:pPr>
        <w:widowControl/>
        <w:wordWrap w:val="0"/>
        <w:autoSpaceDE w:val="0"/>
        <w:autoSpaceDN w:val="0"/>
        <w:adjustRightInd w:val="0"/>
        <w:snapToGrid w:val="0"/>
        <w:ind w:firstLine="480"/>
        <w:jc w:val="center"/>
        <w:textAlignment w:val="baseline"/>
        <w:rPr>
          <w:rFonts w:ascii="Times New Roman" w:hAnsi="Times New Roman" w:eastAsia="宋体" w:cs="Arial"/>
          <w:snapToGrid w:val="0"/>
          <w:color w:val="auto"/>
          <w:kern w:val="0"/>
          <w:szCs w:val="21"/>
          <w:highlight w:val="none"/>
          <w:lang w:eastAsia="en-US"/>
        </w:rPr>
      </w:pPr>
      <w:r>
        <w:rPr>
          <w:rFonts w:ascii="Times New Roman" w:hAnsi="Times New Roman" w:eastAsia="宋体" w:cs="Arial"/>
          <w:snapToGrid w:val="0"/>
          <w:color w:val="auto"/>
          <w:kern w:val="0"/>
          <w:szCs w:val="21"/>
          <w:highlight w:val="none"/>
          <w:lang w:eastAsia="en-US"/>
        </w:rPr>
        <w:t>V5=10qf</w:t>
      </w:r>
    </w:p>
    <w:p w14:paraId="6EBB6540">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式中：（V1+V2-V3）max是指对收集系统范围内不同罐组或装置分别计算V1+V2-V3，取其中最大值，m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6B62A9BB">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V1—收集系统范围内发生事故的一个罐组或一套装置的物料量，m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1FCF3BE2">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V2—发生事故的储罐或装置的消防水量，m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7C0B7725">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Q消—发生事故的储罐或装置的同时使用的消防设施给水流量，m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/h；</w:t>
      </w:r>
    </w:p>
    <w:p w14:paraId="3FEF8392">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t消—消防设施对应的设计消防历时，h；</w:t>
      </w:r>
    </w:p>
    <w:p w14:paraId="098ECEF5">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V3—发生事故时可以</w:t>
      </w:r>
      <w:r>
        <w:rPr>
          <w:rFonts w:hint="eastAsia" w:ascii="Times New Roman" w:hAnsi="Times New Roman" w:eastAsia="宋体" w:cs="Arial"/>
          <w:snapToGrid w:val="0"/>
          <w:color w:val="auto"/>
          <w:kern w:val="0"/>
          <w:szCs w:val="21"/>
          <w:highlight w:val="none"/>
          <w:lang w:eastAsia="zh-CN"/>
        </w:rPr>
        <w:t>传输</w:t>
      </w:r>
      <w:r>
        <w:rPr>
          <w:rFonts w:ascii="Times New Roman" w:hAnsi="Times New Roman" w:eastAsia="宋体" w:cs="Arial"/>
          <w:snapToGrid w:val="0"/>
          <w:color w:val="auto"/>
          <w:kern w:val="0"/>
          <w:szCs w:val="21"/>
          <w:highlight w:val="none"/>
          <w:lang w:eastAsia="zh-CN"/>
        </w:rPr>
        <w:t>到其他储存或处理设施的物料量，m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2E6B8999">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V4—发生事故时仍必须进入该收集系统的生产废水量，m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48C16F72">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V5—发生事故时可能进入该收集系统的降雨量，m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034A6DAB">
      <w:pPr>
        <w:bidi w:val="0"/>
        <w:rPr>
          <w:color w:val="auto"/>
          <w:highlight w:val="none"/>
          <w:lang w:eastAsia="zh-CN"/>
        </w:rPr>
      </w:pPr>
      <w:r>
        <w:rPr>
          <w:rFonts w:hint="eastAsia"/>
          <w:color w:val="auto"/>
          <w:highlight w:val="none"/>
          <w:lang w:eastAsia="zh-CN"/>
        </w:rPr>
        <w:t>①</w:t>
      </w:r>
      <w:r>
        <w:rPr>
          <w:color w:val="auto"/>
          <w:highlight w:val="none"/>
          <w:lang w:eastAsia="zh-CN"/>
        </w:rPr>
        <w:t>事故状态下物料量（V1）</w:t>
      </w:r>
      <w:r>
        <w:rPr>
          <w:rFonts w:hint="eastAsia"/>
          <w:color w:val="auto"/>
          <w:highlight w:val="none"/>
          <w:lang w:eastAsia="zh-CN"/>
        </w:rPr>
        <w:t>，</w:t>
      </w:r>
      <w:r>
        <w:rPr>
          <w:rFonts w:hint="eastAsia"/>
          <w:color w:val="auto"/>
          <w:highlight w:val="none"/>
          <w:lang w:val="en-US" w:eastAsia="zh-CN"/>
        </w:rPr>
        <w:t>本项目不设置储罐，V1=0</w:t>
      </w:r>
      <w:r>
        <w:rPr>
          <w:color w:val="auto"/>
          <w:highlight w:val="none"/>
          <w:lang w:eastAsia="zh-CN"/>
        </w:rPr>
        <w:t>m</w:t>
      </w:r>
      <w:r>
        <w:rPr>
          <w:rFonts w:hint="eastAsia"/>
          <w:color w:val="auto"/>
          <w:highlight w:val="none"/>
          <w:vertAlign w:val="superscript"/>
          <w:lang w:val="en-US" w:eastAsia="zh-CN"/>
        </w:rPr>
        <w:t>3</w:t>
      </w:r>
      <w:r>
        <w:rPr>
          <w:rFonts w:hint="default"/>
          <w:color w:val="auto"/>
          <w:highlight w:val="none"/>
          <w:lang w:eastAsia="zh-CN"/>
        </w:rPr>
        <w:t>。</w:t>
      </w:r>
    </w:p>
    <w:p w14:paraId="437F9301">
      <w:pPr>
        <w:bidi w:val="0"/>
        <w:rPr>
          <w:rFonts w:hint="default"/>
          <w:color w:val="auto"/>
          <w:highlight w:val="none"/>
          <w:lang w:val="en-US" w:eastAsia="zh-CN"/>
        </w:rPr>
      </w:pPr>
      <w:r>
        <w:rPr>
          <w:rFonts w:hint="eastAsia"/>
          <w:color w:val="auto"/>
          <w:highlight w:val="none"/>
          <w:lang w:eastAsia="zh-CN"/>
        </w:rPr>
        <w:t>②</w:t>
      </w:r>
      <w:r>
        <w:rPr>
          <w:color w:val="auto"/>
          <w:highlight w:val="none"/>
          <w:lang w:eastAsia="zh-CN"/>
        </w:rPr>
        <w:t>消防用水量（V2）：</w:t>
      </w:r>
      <w:r>
        <w:rPr>
          <w:rFonts w:hint="default"/>
          <w:color w:val="auto"/>
          <w:highlight w:val="none"/>
          <w:lang w:eastAsia="zh-CN"/>
        </w:rPr>
        <w:t>根据《消防给水及消火栓系统技术规范》（GB50974-2014）</w:t>
      </w:r>
      <w:r>
        <w:rPr>
          <w:rFonts w:hint="eastAsia"/>
          <w:color w:val="auto"/>
          <w:highlight w:val="none"/>
          <w:lang w:val="en-US" w:eastAsia="zh-CN"/>
        </w:rPr>
        <w:t>中有关规定</w:t>
      </w:r>
      <w:r>
        <w:rPr>
          <w:rFonts w:hint="default"/>
          <w:color w:val="auto"/>
          <w:highlight w:val="none"/>
          <w:lang w:eastAsia="zh-CN"/>
        </w:rPr>
        <w:t>，</w:t>
      </w:r>
      <w:r>
        <w:rPr>
          <w:rFonts w:hint="eastAsia"/>
          <w:color w:val="auto"/>
          <w:highlight w:val="none"/>
          <w:lang w:val="en-US" w:eastAsia="zh-CN"/>
        </w:rPr>
        <w:t>厂区内同时火灾次数为1次，室内消火栓设计流量取10</w:t>
      </w:r>
      <w:r>
        <w:rPr>
          <w:rFonts w:hint="default"/>
          <w:color w:val="auto"/>
          <w:highlight w:val="none"/>
          <w:lang w:eastAsia="zh-CN"/>
        </w:rPr>
        <w:t>L/s</w:t>
      </w:r>
      <w:r>
        <w:rPr>
          <w:rFonts w:hint="eastAsia"/>
          <w:color w:val="auto"/>
          <w:highlight w:val="none"/>
          <w:lang w:eastAsia="zh-CN"/>
        </w:rPr>
        <w:t>（</w:t>
      </w:r>
      <w:r>
        <w:rPr>
          <w:rFonts w:hint="eastAsia"/>
          <w:color w:val="auto"/>
          <w:highlight w:val="none"/>
          <w:lang w:val="en-US" w:eastAsia="zh-CN"/>
        </w:rPr>
        <w:t>厂房，h≤24m</w:t>
      </w:r>
      <w:r>
        <w:rPr>
          <w:rFonts w:hint="eastAsia"/>
          <w:color w:val="auto"/>
          <w:highlight w:val="none"/>
          <w:lang w:eastAsia="zh-CN"/>
        </w:rPr>
        <w:t>），</w:t>
      </w:r>
      <w:r>
        <w:rPr>
          <w:rFonts w:hint="eastAsia"/>
          <w:color w:val="auto"/>
          <w:highlight w:val="none"/>
          <w:lang w:val="en-US" w:eastAsia="zh-CN"/>
        </w:rPr>
        <w:t>工业建筑火灾延续时间按3h</w:t>
      </w:r>
      <w:r>
        <w:rPr>
          <w:rFonts w:hint="eastAsia"/>
          <w:color w:val="auto"/>
          <w:highlight w:val="none"/>
          <w:lang w:eastAsia="zh-CN"/>
        </w:rPr>
        <w:t>，</w:t>
      </w:r>
      <w:r>
        <w:rPr>
          <w:rFonts w:hint="eastAsia"/>
          <w:color w:val="auto"/>
          <w:highlight w:val="none"/>
          <w:lang w:val="en-US" w:eastAsia="zh-CN"/>
        </w:rPr>
        <w:t>则V2=Q×t÷1000=10</w:t>
      </w:r>
      <w:r>
        <w:rPr>
          <w:rFonts w:hint="default"/>
          <w:color w:val="auto"/>
          <w:highlight w:val="none"/>
          <w:lang w:eastAsia="zh-CN"/>
        </w:rPr>
        <w:t>L/s</w:t>
      </w:r>
      <w:r>
        <w:rPr>
          <w:rFonts w:hint="eastAsia"/>
          <w:color w:val="auto"/>
          <w:highlight w:val="none"/>
          <w:lang w:val="en-US" w:eastAsia="zh-CN"/>
        </w:rPr>
        <w:t>×2h÷1000=108m</w:t>
      </w:r>
      <w:r>
        <w:rPr>
          <w:rFonts w:hint="eastAsia"/>
          <w:color w:val="auto"/>
          <w:highlight w:val="none"/>
          <w:vertAlign w:val="superscript"/>
          <w:lang w:val="en-US" w:eastAsia="zh-CN"/>
        </w:rPr>
        <w:t>3</w:t>
      </w:r>
    </w:p>
    <w:p w14:paraId="53DA7AD6">
      <w:pPr>
        <w:bidi w:val="0"/>
        <w:rPr>
          <w:color w:val="auto"/>
          <w:highlight w:val="none"/>
          <w:lang w:eastAsia="zh-CN"/>
        </w:rPr>
      </w:pPr>
      <w:r>
        <w:rPr>
          <w:rFonts w:hint="eastAsia"/>
          <w:color w:val="auto"/>
          <w:highlight w:val="none"/>
          <w:lang w:eastAsia="zh-CN"/>
        </w:rPr>
        <w:t>③</w:t>
      </w:r>
      <w:r>
        <w:rPr>
          <w:color w:val="auto"/>
          <w:highlight w:val="none"/>
          <w:lang w:eastAsia="zh-CN"/>
        </w:rPr>
        <w:t>V3：本项目生产车间设有排水沟，可用于暂存部分事故废水</w:t>
      </w:r>
      <w:r>
        <w:rPr>
          <w:rFonts w:hint="default"/>
          <w:color w:val="auto"/>
          <w:highlight w:val="none"/>
          <w:lang w:eastAsia="zh-CN"/>
        </w:rPr>
        <w:t>，本次偏安全考虑，不计入事故废水有效收集容积</w:t>
      </w:r>
      <w:r>
        <w:rPr>
          <w:rFonts w:hint="eastAsia"/>
          <w:color w:val="auto"/>
          <w:highlight w:val="none"/>
          <w:lang w:eastAsia="zh-CN"/>
        </w:rPr>
        <w:t>，</w:t>
      </w:r>
      <w:r>
        <w:rPr>
          <w:color w:val="auto"/>
          <w:highlight w:val="none"/>
          <w:lang w:eastAsia="zh-CN"/>
        </w:rPr>
        <w:t>V3=0m</w:t>
      </w:r>
      <w:r>
        <w:rPr>
          <w:rFonts w:hint="eastAsia"/>
          <w:color w:val="auto"/>
          <w:highlight w:val="none"/>
          <w:vertAlign w:val="superscript"/>
          <w:lang w:val="en-US" w:eastAsia="zh-CN"/>
        </w:rPr>
        <w:t>3</w:t>
      </w:r>
      <w:r>
        <w:rPr>
          <w:rFonts w:hint="default"/>
          <w:color w:val="auto"/>
          <w:highlight w:val="none"/>
          <w:lang w:eastAsia="zh-CN"/>
        </w:rPr>
        <w:t>。</w:t>
      </w:r>
    </w:p>
    <w:p w14:paraId="18DEF7A9">
      <w:pPr>
        <w:bidi w:val="0"/>
        <w:rPr>
          <w:color w:val="auto"/>
          <w:highlight w:val="none"/>
          <w:lang w:eastAsia="zh-CN"/>
        </w:rPr>
      </w:pPr>
      <w:r>
        <w:rPr>
          <w:rFonts w:hint="eastAsia"/>
          <w:color w:val="auto"/>
          <w:highlight w:val="none"/>
          <w:lang w:eastAsia="zh-CN"/>
        </w:rPr>
        <w:t>④</w:t>
      </w:r>
      <w:r>
        <w:rPr>
          <w:color w:val="auto"/>
          <w:highlight w:val="none"/>
          <w:lang w:eastAsia="zh-CN"/>
        </w:rPr>
        <w:t>V4：发生事故时立即关闭前一工序的管道阀门，V4=0m</w:t>
      </w:r>
      <w:r>
        <w:rPr>
          <w:rFonts w:hint="eastAsia"/>
          <w:color w:val="auto"/>
          <w:highlight w:val="none"/>
          <w:vertAlign w:val="superscript"/>
          <w:lang w:val="en-US" w:eastAsia="zh-CN"/>
        </w:rPr>
        <w:t>3</w:t>
      </w:r>
      <w:r>
        <w:rPr>
          <w:color w:val="auto"/>
          <w:highlight w:val="none"/>
          <w:lang w:eastAsia="zh-CN"/>
        </w:rPr>
        <w:t>。</w:t>
      </w:r>
    </w:p>
    <w:p w14:paraId="23FE43F0">
      <w:pPr>
        <w:bidi w:val="0"/>
        <w:rPr>
          <w:rFonts w:hint="eastAsia"/>
          <w:color w:val="auto"/>
          <w:highlight w:val="none"/>
          <w:lang w:eastAsia="zh-CN"/>
        </w:rPr>
      </w:pPr>
      <w:r>
        <w:rPr>
          <w:rFonts w:hint="eastAsia"/>
          <w:color w:val="auto"/>
          <w:highlight w:val="none"/>
          <w:lang w:eastAsia="zh-CN"/>
        </w:rPr>
        <w:t>⑤</w:t>
      </w:r>
      <w:r>
        <w:rPr>
          <w:color w:val="auto"/>
          <w:highlight w:val="none"/>
          <w:lang w:eastAsia="zh-CN"/>
        </w:rPr>
        <w:t>雨水量（V5）</w:t>
      </w:r>
      <w:r>
        <w:rPr>
          <w:rFonts w:hint="eastAsia"/>
          <w:color w:val="auto"/>
          <w:highlight w:val="none"/>
          <w:lang w:eastAsia="zh-CN"/>
        </w:rPr>
        <w:t>：</w:t>
      </w:r>
    </w:p>
    <w:p w14:paraId="4B078931">
      <w:pPr>
        <w:bidi w:val="0"/>
        <w:jc w:val="center"/>
        <w:rPr>
          <w:rFonts w:hint="eastAsia"/>
          <w:color w:val="auto"/>
          <w:highlight w:val="none"/>
          <w:lang w:eastAsia="zh-CN"/>
        </w:rPr>
      </w:pPr>
      <w:r>
        <w:rPr>
          <w:rFonts w:hint="eastAsia"/>
          <w:color w:val="auto"/>
          <w:highlight w:val="none"/>
          <w:lang w:eastAsia="zh-CN"/>
        </w:rPr>
        <w:t>V5=10qf</w:t>
      </w:r>
    </w:p>
    <w:p w14:paraId="2394CE00">
      <w:pPr>
        <w:bidi w:val="0"/>
        <w:jc w:val="center"/>
        <w:rPr>
          <w:color w:val="auto"/>
          <w:highlight w:val="none"/>
          <w:lang w:eastAsia="zh-CN"/>
        </w:rPr>
      </w:pPr>
      <w:r>
        <w:rPr>
          <w:color w:val="auto"/>
          <w:highlight w:val="none"/>
          <w:lang w:eastAsia="zh-CN"/>
        </w:rPr>
        <w:t>q=qa/n</w:t>
      </w:r>
    </w:p>
    <w:p w14:paraId="5A7C449D">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式中：V5—发生事故时可能进入该收集系统的降雨量，m</w:t>
      </w:r>
      <w:r>
        <w:rPr>
          <w:rFonts w:ascii="Times New Roman" w:hAnsi="Times New Roman" w:eastAsia="宋体" w:cs="Arial"/>
          <w:snapToGrid w:val="0"/>
          <w:color w:val="auto"/>
          <w:kern w:val="0"/>
          <w:szCs w:val="21"/>
          <w:highlight w:val="none"/>
          <w:vertAlign w:val="superscript"/>
          <w:lang w:eastAsia="zh-CN"/>
        </w:rPr>
        <w:t>3</w:t>
      </w:r>
      <w:r>
        <w:rPr>
          <w:rFonts w:ascii="Times New Roman" w:hAnsi="Times New Roman" w:eastAsia="宋体" w:cs="Arial"/>
          <w:snapToGrid w:val="0"/>
          <w:color w:val="auto"/>
          <w:kern w:val="0"/>
          <w:szCs w:val="21"/>
          <w:highlight w:val="none"/>
          <w:lang w:eastAsia="zh-CN"/>
        </w:rPr>
        <w:t>；</w:t>
      </w:r>
    </w:p>
    <w:p w14:paraId="1348E439">
      <w:pPr>
        <w:widowControl/>
        <w:wordWrap w:val="0"/>
        <w:autoSpaceDE w:val="0"/>
        <w:autoSpaceDN w:val="0"/>
        <w:adjustRightInd w:val="0"/>
        <w:snapToGrid w:val="0"/>
        <w:ind w:left="0" w:leftChars="0" w:firstLine="1200" w:firstLineChars="50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q—降雨强度，mm；按平均日降雨量；</w:t>
      </w:r>
    </w:p>
    <w:p w14:paraId="2EEA0141">
      <w:pPr>
        <w:widowControl/>
        <w:wordWrap w:val="0"/>
        <w:autoSpaceDE w:val="0"/>
        <w:autoSpaceDN w:val="0"/>
        <w:adjustRightInd w:val="0"/>
        <w:snapToGrid w:val="0"/>
        <w:ind w:left="0" w:leftChars="0" w:firstLine="1200" w:firstLineChars="500"/>
        <w:jc w:val="both"/>
        <w:textAlignment w:val="baseline"/>
        <w:rPr>
          <w:rFonts w:ascii="Times New Roman" w:hAnsi="Times New Roman" w:eastAsia="宋体" w:cs="Arial"/>
          <w:snapToGrid w:val="0"/>
          <w:color w:val="auto"/>
          <w:kern w:val="0"/>
          <w:szCs w:val="21"/>
          <w:highlight w:val="none"/>
          <w:lang w:eastAsia="en-US"/>
        </w:rPr>
      </w:pPr>
      <w:r>
        <w:rPr>
          <w:rFonts w:ascii="Times New Roman" w:hAnsi="Times New Roman" w:eastAsia="宋体" w:cs="Arial"/>
          <w:snapToGrid w:val="0"/>
          <w:color w:val="auto"/>
          <w:kern w:val="0"/>
          <w:szCs w:val="21"/>
          <w:highlight w:val="none"/>
          <w:lang w:eastAsia="en-US"/>
        </w:rPr>
        <w:t>qa—年平均降雨量，mm；取</w:t>
      </w:r>
      <w:r>
        <w:rPr>
          <w:rFonts w:hint="eastAsia" w:cs="Arial"/>
          <w:snapToGrid w:val="0"/>
          <w:color w:val="auto"/>
          <w:kern w:val="0"/>
          <w:szCs w:val="21"/>
          <w:highlight w:val="none"/>
          <w:lang w:val="en-US" w:eastAsia="zh-CN"/>
        </w:rPr>
        <w:t>闽侯县年平均降雨量</w:t>
      </w:r>
      <w:r>
        <w:rPr>
          <w:rFonts w:ascii="Times New Roman" w:hAnsi="Times New Roman" w:eastAsia="宋体" w:cs="Arial"/>
          <w:snapToGrid w:val="0"/>
          <w:color w:val="auto"/>
          <w:kern w:val="0"/>
          <w:szCs w:val="21"/>
          <w:highlight w:val="none"/>
          <w:lang w:eastAsia="en-US"/>
        </w:rPr>
        <w:t>qa=</w:t>
      </w:r>
      <w:r>
        <w:rPr>
          <w:rFonts w:hint="eastAsia" w:cs="Arial"/>
          <w:snapToGrid w:val="0"/>
          <w:color w:val="auto"/>
          <w:kern w:val="0"/>
          <w:szCs w:val="21"/>
          <w:highlight w:val="none"/>
          <w:lang w:val="en-US" w:eastAsia="zh-CN"/>
        </w:rPr>
        <w:t>1673</w:t>
      </w:r>
      <w:r>
        <w:rPr>
          <w:rFonts w:ascii="Times New Roman" w:hAnsi="Times New Roman" w:eastAsia="宋体" w:cs="Arial"/>
          <w:snapToGrid w:val="0"/>
          <w:color w:val="auto"/>
          <w:kern w:val="0"/>
          <w:szCs w:val="21"/>
          <w:highlight w:val="none"/>
          <w:lang w:eastAsia="en-US"/>
        </w:rPr>
        <w:t>mm；</w:t>
      </w:r>
    </w:p>
    <w:p w14:paraId="1B867C48">
      <w:pPr>
        <w:widowControl/>
        <w:wordWrap w:val="0"/>
        <w:autoSpaceDE w:val="0"/>
        <w:autoSpaceDN w:val="0"/>
        <w:adjustRightInd w:val="0"/>
        <w:snapToGrid w:val="0"/>
        <w:ind w:left="0" w:leftChars="0" w:firstLine="1200" w:firstLineChars="50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n—年平均降雨日数。</w:t>
      </w:r>
      <w:r>
        <w:rPr>
          <w:rFonts w:hint="eastAsia" w:cs="Arial"/>
          <w:snapToGrid w:val="0"/>
          <w:color w:val="auto"/>
          <w:kern w:val="0"/>
          <w:szCs w:val="21"/>
          <w:highlight w:val="none"/>
          <w:lang w:val="en-US" w:eastAsia="zh-CN"/>
        </w:rPr>
        <w:t>闽侯县年平均降雨日数</w:t>
      </w:r>
      <w:r>
        <w:rPr>
          <w:rFonts w:ascii="Times New Roman" w:hAnsi="Times New Roman" w:eastAsia="宋体" w:cs="Arial"/>
          <w:snapToGrid w:val="0"/>
          <w:color w:val="auto"/>
          <w:kern w:val="0"/>
          <w:szCs w:val="21"/>
          <w:highlight w:val="none"/>
          <w:lang w:eastAsia="zh-CN"/>
        </w:rPr>
        <w:t>n</w:t>
      </w:r>
      <w:r>
        <w:rPr>
          <w:rFonts w:hint="eastAsia" w:cs="Arial"/>
          <w:snapToGrid w:val="0"/>
          <w:color w:val="auto"/>
          <w:kern w:val="0"/>
          <w:szCs w:val="21"/>
          <w:highlight w:val="none"/>
          <w:lang w:val="en-US" w:eastAsia="zh-CN"/>
        </w:rPr>
        <w:t>=</w:t>
      </w:r>
      <w:r>
        <w:rPr>
          <w:rFonts w:ascii="Times New Roman" w:hAnsi="Times New Roman" w:eastAsia="宋体" w:cs="Arial"/>
          <w:snapToGrid w:val="0"/>
          <w:color w:val="auto"/>
          <w:kern w:val="0"/>
          <w:szCs w:val="21"/>
          <w:highlight w:val="none"/>
          <w:lang w:eastAsia="zh-CN"/>
        </w:rPr>
        <w:t>150天；</w:t>
      </w:r>
    </w:p>
    <w:p w14:paraId="5A6BA517">
      <w:pPr>
        <w:keepNext w:val="0"/>
        <w:keepLines w:val="0"/>
        <w:pageBreakBefore w:val="0"/>
        <w:widowControl/>
        <w:kinsoku/>
        <w:wordWrap/>
        <w:overflowPunct/>
        <w:topLinePunct w:val="0"/>
        <w:autoSpaceDE w:val="0"/>
        <w:autoSpaceDN w:val="0"/>
        <w:bidi w:val="0"/>
        <w:adjustRightInd w:val="0"/>
        <w:snapToGrid w:val="0"/>
        <w:ind w:left="0" w:leftChars="0" w:firstLine="1200" w:firstLineChars="50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f—必须进入事故废水收集系统的雨水汇水面积，ha；</w:t>
      </w:r>
      <w:r>
        <w:rPr>
          <w:rFonts w:hint="eastAsia" w:ascii="Times New Roman" w:hAnsi="Times New Roman" w:eastAsia="宋体" w:cs="Arial"/>
          <w:snapToGrid w:val="0"/>
          <w:color w:val="auto"/>
          <w:kern w:val="0"/>
          <w:szCs w:val="21"/>
          <w:highlight w:val="none"/>
          <w:lang w:val="en-US" w:eastAsia="zh-CN"/>
        </w:rPr>
        <w:t>f</w:t>
      </w:r>
      <w:r>
        <w:rPr>
          <w:rFonts w:ascii="Times New Roman" w:hAnsi="Times New Roman" w:eastAsia="宋体" w:cs="Arial"/>
          <w:snapToGrid w:val="0"/>
          <w:color w:val="auto"/>
          <w:kern w:val="0"/>
          <w:szCs w:val="21"/>
          <w:highlight w:val="none"/>
          <w:lang w:eastAsia="zh-CN"/>
        </w:rPr>
        <w:t>=</w:t>
      </w:r>
      <w:r>
        <w:rPr>
          <w:rFonts w:hint="eastAsia" w:ascii="Times New Roman" w:hAnsi="Times New Roman" w:eastAsia="宋体" w:cs="Arial"/>
          <w:snapToGrid w:val="0"/>
          <w:color w:val="auto"/>
          <w:kern w:val="0"/>
          <w:szCs w:val="21"/>
          <w:highlight w:val="none"/>
          <w:lang w:val="en-US" w:eastAsia="zh-CN"/>
        </w:rPr>
        <w:t>0.</w:t>
      </w:r>
      <w:r>
        <w:rPr>
          <w:rFonts w:hint="eastAsia" w:cs="Arial"/>
          <w:snapToGrid w:val="0"/>
          <w:color w:val="auto"/>
          <w:kern w:val="0"/>
          <w:szCs w:val="21"/>
          <w:highlight w:val="none"/>
          <w:lang w:val="en-US" w:eastAsia="zh-CN"/>
        </w:rPr>
        <w:t>0218</w:t>
      </w:r>
      <w:r>
        <w:rPr>
          <w:rFonts w:ascii="Times New Roman" w:hAnsi="Times New Roman" w:eastAsia="宋体" w:cs="Arial"/>
          <w:snapToGrid w:val="0"/>
          <w:color w:val="auto"/>
          <w:kern w:val="0"/>
          <w:szCs w:val="21"/>
          <w:highlight w:val="none"/>
          <w:lang w:eastAsia="zh-CN"/>
        </w:rPr>
        <w:t>a</w:t>
      </w:r>
      <w:r>
        <w:rPr>
          <w:rFonts w:hint="eastAsia" w:ascii="Times New Roman" w:hAnsi="Times New Roman" w:eastAsia="宋体" w:cs="Arial"/>
          <w:snapToGrid w:val="0"/>
          <w:color w:val="auto"/>
          <w:kern w:val="0"/>
          <w:szCs w:val="21"/>
          <w:highlight w:val="none"/>
          <w:lang w:eastAsia="zh-CN"/>
        </w:rPr>
        <w:t>（</w:t>
      </w:r>
      <w:r>
        <w:rPr>
          <w:rFonts w:hint="eastAsia" w:cs="Arial"/>
          <w:snapToGrid w:val="0"/>
          <w:color w:val="auto"/>
          <w:kern w:val="0"/>
          <w:szCs w:val="21"/>
          <w:highlight w:val="none"/>
          <w:lang w:val="en-US" w:eastAsia="zh-CN"/>
        </w:rPr>
        <w:t>218m</w:t>
      </w:r>
      <w:r>
        <w:rPr>
          <w:rFonts w:hint="eastAsia" w:cs="Arial"/>
          <w:snapToGrid w:val="0"/>
          <w:color w:val="auto"/>
          <w:kern w:val="0"/>
          <w:szCs w:val="21"/>
          <w:highlight w:val="none"/>
          <w:vertAlign w:val="superscript"/>
          <w:lang w:val="en-US" w:eastAsia="zh-CN"/>
        </w:rPr>
        <w:t>2</w:t>
      </w:r>
      <w:r>
        <w:rPr>
          <w:rFonts w:hint="eastAsia" w:ascii="Times New Roman" w:hAnsi="Times New Roman" w:eastAsia="宋体" w:cs="Arial"/>
          <w:snapToGrid w:val="0"/>
          <w:color w:val="auto"/>
          <w:kern w:val="0"/>
          <w:szCs w:val="21"/>
          <w:highlight w:val="none"/>
          <w:lang w:eastAsia="zh-CN"/>
        </w:rPr>
        <w:t>可能被污染且能自流或通过导流设施进入事故废水系统的露天区域</w:t>
      </w:r>
      <w:r>
        <w:rPr>
          <w:rFonts w:hint="eastAsia" w:cs="Arial"/>
          <w:snapToGrid w:val="0"/>
          <w:color w:val="auto"/>
          <w:kern w:val="0"/>
          <w:szCs w:val="21"/>
          <w:highlight w:val="none"/>
          <w:lang w:eastAsia="zh-CN"/>
        </w:rPr>
        <w:t>（</w:t>
      </w:r>
      <w:r>
        <w:rPr>
          <w:rFonts w:hint="eastAsia" w:cs="Arial"/>
          <w:snapToGrid w:val="0"/>
          <w:color w:val="auto"/>
          <w:kern w:val="0"/>
          <w:szCs w:val="21"/>
          <w:highlight w:val="none"/>
          <w:lang w:val="en-US" w:eastAsia="zh-CN"/>
        </w:rPr>
        <w:t>A库、B库四周露天区域</w:t>
      </w:r>
      <w:r>
        <w:rPr>
          <w:rFonts w:hint="eastAsia" w:cs="Arial"/>
          <w:snapToGrid w:val="0"/>
          <w:color w:val="auto"/>
          <w:kern w:val="0"/>
          <w:szCs w:val="21"/>
          <w:highlight w:val="none"/>
          <w:lang w:eastAsia="zh-CN"/>
        </w:rPr>
        <w:t>）</w:t>
      </w:r>
      <w:r>
        <w:rPr>
          <w:rFonts w:hint="eastAsia" w:ascii="Times New Roman" w:hAnsi="Times New Roman" w:eastAsia="宋体" w:cs="Arial"/>
          <w:snapToGrid w:val="0"/>
          <w:color w:val="auto"/>
          <w:kern w:val="0"/>
          <w:szCs w:val="21"/>
          <w:highlight w:val="none"/>
          <w:lang w:eastAsia="zh-CN"/>
        </w:rPr>
        <w:t>）</w:t>
      </w:r>
      <w:r>
        <w:rPr>
          <w:rFonts w:ascii="Times New Roman" w:hAnsi="Times New Roman" w:eastAsia="宋体" w:cs="Arial"/>
          <w:snapToGrid w:val="0"/>
          <w:color w:val="auto"/>
          <w:kern w:val="0"/>
          <w:szCs w:val="21"/>
          <w:highlight w:val="none"/>
          <w:lang w:eastAsia="zh-CN"/>
        </w:rPr>
        <w:t>；</w:t>
      </w:r>
      <w:r>
        <w:rPr>
          <w:rFonts w:hint="default" w:ascii="Times New Roman" w:hAnsi="Times New Roman" w:eastAsia="宋体" w:cs="Arial"/>
          <w:snapToGrid w:val="0"/>
          <w:color w:val="auto"/>
          <w:kern w:val="0"/>
          <w:szCs w:val="21"/>
          <w:highlight w:val="none"/>
          <w:lang w:eastAsia="zh-CN"/>
        </w:rPr>
        <w:t>平均日降雨量q=qa/n=1</w:t>
      </w:r>
      <w:r>
        <w:rPr>
          <w:rFonts w:hint="eastAsia" w:cs="Arial"/>
          <w:snapToGrid w:val="0"/>
          <w:color w:val="auto"/>
          <w:kern w:val="0"/>
          <w:szCs w:val="21"/>
          <w:highlight w:val="none"/>
          <w:lang w:val="en-US" w:eastAsia="zh-CN"/>
        </w:rPr>
        <w:t>1.15</w:t>
      </w:r>
      <w:r>
        <w:rPr>
          <w:rFonts w:hint="default" w:ascii="Times New Roman" w:hAnsi="Times New Roman" w:eastAsia="宋体" w:cs="Arial"/>
          <w:snapToGrid w:val="0"/>
          <w:color w:val="auto"/>
          <w:kern w:val="0"/>
          <w:szCs w:val="21"/>
          <w:highlight w:val="none"/>
          <w:lang w:eastAsia="zh-CN"/>
        </w:rPr>
        <w:t>mm</w:t>
      </w:r>
      <w:r>
        <w:rPr>
          <w:rFonts w:hint="eastAsia" w:cs="Arial"/>
          <w:snapToGrid w:val="0"/>
          <w:color w:val="auto"/>
          <w:kern w:val="0"/>
          <w:szCs w:val="21"/>
          <w:highlight w:val="none"/>
          <w:lang w:eastAsia="zh-CN"/>
        </w:rPr>
        <w:t>，</w:t>
      </w:r>
      <w:r>
        <w:rPr>
          <w:rFonts w:hint="default" w:ascii="Times New Roman" w:hAnsi="Times New Roman" w:eastAsia="宋体" w:cs="Arial"/>
          <w:snapToGrid w:val="0"/>
          <w:color w:val="auto"/>
          <w:kern w:val="0"/>
          <w:szCs w:val="21"/>
          <w:highlight w:val="none"/>
          <w:lang w:eastAsia="zh-CN"/>
        </w:rPr>
        <w:t>则：V</w:t>
      </w:r>
      <w:r>
        <w:rPr>
          <w:rFonts w:hint="eastAsia" w:ascii="Times New Roman" w:hAnsi="Times New Roman" w:eastAsia="宋体" w:cs="Arial"/>
          <w:snapToGrid w:val="0"/>
          <w:color w:val="auto"/>
          <w:kern w:val="0"/>
          <w:szCs w:val="21"/>
          <w:highlight w:val="none"/>
          <w:lang w:val="en-US" w:eastAsia="zh-CN"/>
        </w:rPr>
        <w:t>5</w:t>
      </w:r>
      <w:r>
        <w:rPr>
          <w:rFonts w:hint="default" w:ascii="Times New Roman" w:hAnsi="Times New Roman" w:eastAsia="宋体" w:cs="Arial"/>
          <w:snapToGrid w:val="0"/>
          <w:color w:val="auto"/>
          <w:kern w:val="0"/>
          <w:szCs w:val="21"/>
          <w:highlight w:val="none"/>
          <w:lang w:eastAsia="zh-CN"/>
        </w:rPr>
        <w:t>=10×q×f=</w:t>
      </w:r>
      <w:r>
        <w:rPr>
          <w:rFonts w:hint="eastAsia" w:ascii="Times New Roman" w:hAnsi="Times New Roman" w:eastAsia="宋体" w:cs="Arial"/>
          <w:snapToGrid w:val="0"/>
          <w:color w:val="auto"/>
          <w:kern w:val="0"/>
          <w:szCs w:val="21"/>
          <w:highlight w:val="none"/>
          <w:lang w:val="en-US" w:eastAsia="zh-CN"/>
        </w:rPr>
        <w:t>1</w:t>
      </w:r>
      <w:r>
        <w:rPr>
          <w:rFonts w:hint="default" w:ascii="Times New Roman" w:hAnsi="Times New Roman" w:eastAsia="宋体" w:cs="Arial"/>
          <w:snapToGrid w:val="0"/>
          <w:color w:val="auto"/>
          <w:kern w:val="0"/>
          <w:szCs w:val="21"/>
          <w:highlight w:val="none"/>
          <w:lang w:eastAsia="zh-CN"/>
        </w:rPr>
        <w:t>0×1</w:t>
      </w:r>
      <w:r>
        <w:rPr>
          <w:rFonts w:hint="eastAsia" w:cs="Arial"/>
          <w:snapToGrid w:val="0"/>
          <w:color w:val="auto"/>
          <w:kern w:val="0"/>
          <w:szCs w:val="21"/>
          <w:highlight w:val="none"/>
          <w:lang w:val="en-US" w:eastAsia="zh-CN"/>
        </w:rPr>
        <w:t>1.15</w:t>
      </w:r>
      <w:r>
        <w:rPr>
          <w:rFonts w:hint="default" w:ascii="Times New Roman" w:hAnsi="Times New Roman" w:eastAsia="宋体" w:cs="Arial"/>
          <w:snapToGrid w:val="0"/>
          <w:color w:val="auto"/>
          <w:kern w:val="0"/>
          <w:szCs w:val="21"/>
          <w:highlight w:val="none"/>
          <w:lang w:eastAsia="zh-CN"/>
        </w:rPr>
        <w:t>×0.</w:t>
      </w:r>
      <w:r>
        <w:rPr>
          <w:rFonts w:hint="eastAsia" w:cs="Arial"/>
          <w:snapToGrid w:val="0"/>
          <w:color w:val="auto"/>
          <w:kern w:val="0"/>
          <w:szCs w:val="21"/>
          <w:highlight w:val="none"/>
          <w:lang w:val="en-US" w:eastAsia="zh-CN"/>
        </w:rPr>
        <w:t>0218</w:t>
      </w:r>
      <w:r>
        <w:rPr>
          <w:rFonts w:hint="default" w:ascii="Times New Roman" w:hAnsi="Times New Roman" w:eastAsia="宋体" w:cs="Arial"/>
          <w:snapToGrid w:val="0"/>
          <w:color w:val="auto"/>
          <w:kern w:val="0"/>
          <w:szCs w:val="21"/>
          <w:highlight w:val="none"/>
          <w:lang w:eastAsia="zh-CN"/>
        </w:rPr>
        <w:t>=</w:t>
      </w:r>
      <w:r>
        <w:rPr>
          <w:rFonts w:hint="eastAsia" w:cs="Arial"/>
          <w:snapToGrid w:val="0"/>
          <w:color w:val="auto"/>
          <w:kern w:val="0"/>
          <w:szCs w:val="21"/>
          <w:highlight w:val="none"/>
          <w:lang w:val="en-US" w:eastAsia="zh-CN"/>
        </w:rPr>
        <w:t>2.43</w:t>
      </w:r>
      <w:r>
        <w:rPr>
          <w:rFonts w:hint="default" w:ascii="Times New Roman" w:hAnsi="Times New Roman" w:eastAsia="宋体" w:cs="Arial"/>
          <w:snapToGrid w:val="0"/>
          <w:color w:val="auto"/>
          <w:kern w:val="0"/>
          <w:szCs w:val="21"/>
          <w:highlight w:val="none"/>
          <w:lang w:eastAsia="zh-CN"/>
        </w:rPr>
        <w:t>m</w:t>
      </w:r>
      <w:r>
        <w:rPr>
          <w:rFonts w:hint="eastAsia" w:ascii="Times New Roman" w:hAnsi="Times New Roman" w:eastAsia="宋体" w:cs="Arial"/>
          <w:snapToGrid w:val="0"/>
          <w:color w:val="auto"/>
          <w:kern w:val="0"/>
          <w:szCs w:val="21"/>
          <w:highlight w:val="none"/>
          <w:vertAlign w:val="superscript"/>
          <w:lang w:val="en-US" w:eastAsia="zh-CN"/>
        </w:rPr>
        <w:t>3</w:t>
      </w:r>
      <w:r>
        <w:rPr>
          <w:rFonts w:hint="eastAsia"/>
          <w:color w:val="auto"/>
          <w:highlight w:val="none"/>
          <w:lang w:val="en-US" w:eastAsia="zh-CN"/>
        </w:rPr>
        <w:t>（</w:t>
      </w:r>
      <w:r>
        <w:rPr>
          <w:color w:val="auto"/>
          <w:highlight w:val="none"/>
        </w:rPr>
        <w:t>按最不利全日降雨量考虑，不进行时间折减</w:t>
      </w:r>
      <w:r>
        <w:rPr>
          <w:rFonts w:hint="eastAsia"/>
          <w:color w:val="auto"/>
          <w:highlight w:val="none"/>
          <w:lang w:val="en-US" w:eastAsia="zh-CN"/>
        </w:rPr>
        <w:t>）</w:t>
      </w:r>
    </w:p>
    <w:p w14:paraId="4D5CF1C6">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zh-CN"/>
        </w:rPr>
      </w:pPr>
      <w:r>
        <w:rPr>
          <w:rFonts w:ascii="Times New Roman" w:hAnsi="Times New Roman" w:eastAsia="宋体" w:cs="Arial"/>
          <w:snapToGrid w:val="0"/>
          <w:color w:val="auto"/>
          <w:kern w:val="0"/>
          <w:szCs w:val="21"/>
          <w:highlight w:val="none"/>
          <w:lang w:eastAsia="zh-CN"/>
        </w:rPr>
        <w:t>因此，厂区应建设的应急事故池容积：</w:t>
      </w:r>
    </w:p>
    <w:p w14:paraId="7BF75578">
      <w:pPr>
        <w:widowControl/>
        <w:wordWrap w:val="0"/>
        <w:autoSpaceDE w:val="0"/>
        <w:autoSpaceDN w:val="0"/>
        <w:adjustRightInd w:val="0"/>
        <w:snapToGrid w:val="0"/>
        <w:ind w:firstLine="480"/>
        <w:jc w:val="both"/>
        <w:textAlignment w:val="baseline"/>
        <w:rPr>
          <w:rFonts w:ascii="Times New Roman" w:hAnsi="Times New Roman" w:eastAsia="宋体" w:cs="Arial"/>
          <w:snapToGrid w:val="0"/>
          <w:color w:val="auto"/>
          <w:kern w:val="0"/>
          <w:szCs w:val="21"/>
          <w:highlight w:val="none"/>
          <w:lang w:eastAsia="en-US"/>
        </w:rPr>
      </w:pPr>
      <w:bookmarkStart w:id="653" w:name="_Toc3520"/>
      <w:bookmarkStart w:id="654" w:name="_Toc8188"/>
      <w:bookmarkStart w:id="655" w:name="_Toc22071"/>
      <w:bookmarkStart w:id="656" w:name="_Toc27541"/>
      <w:bookmarkStart w:id="657" w:name="_Toc1325"/>
      <w:bookmarkStart w:id="658" w:name="_Toc25948"/>
      <w:bookmarkStart w:id="659" w:name="_Toc12153"/>
      <w:bookmarkStart w:id="660" w:name="_Toc17908"/>
      <w:r>
        <w:rPr>
          <w:rFonts w:ascii="Times New Roman" w:hAnsi="Times New Roman" w:eastAsia="宋体" w:cs="Arial"/>
          <w:snapToGrid w:val="0"/>
          <w:color w:val="auto"/>
          <w:kern w:val="0"/>
          <w:szCs w:val="21"/>
          <w:highlight w:val="none"/>
          <w:lang w:eastAsia="en-US"/>
        </w:rPr>
        <w:t>V事故池=（V1+V2-V3）max+V4+V5=（</w:t>
      </w:r>
      <w:r>
        <w:rPr>
          <w:rFonts w:hint="eastAsia" w:ascii="Times New Roman" w:hAnsi="Times New Roman" w:eastAsia="宋体" w:cs="Arial"/>
          <w:snapToGrid w:val="0"/>
          <w:color w:val="auto"/>
          <w:kern w:val="0"/>
          <w:szCs w:val="21"/>
          <w:highlight w:val="none"/>
          <w:lang w:val="en-US" w:eastAsia="zh-CN"/>
        </w:rPr>
        <w:t>0</w:t>
      </w:r>
      <w:r>
        <w:rPr>
          <w:rFonts w:ascii="Times New Roman" w:hAnsi="Times New Roman" w:eastAsia="宋体" w:cs="Arial"/>
          <w:snapToGrid w:val="0"/>
          <w:color w:val="auto"/>
          <w:kern w:val="0"/>
          <w:szCs w:val="21"/>
          <w:highlight w:val="none"/>
          <w:lang w:eastAsia="en-US"/>
        </w:rPr>
        <w:t>+</w:t>
      </w:r>
      <w:r>
        <w:rPr>
          <w:rFonts w:hint="eastAsia" w:cs="Arial"/>
          <w:snapToGrid w:val="0"/>
          <w:color w:val="auto"/>
          <w:kern w:val="0"/>
          <w:szCs w:val="21"/>
          <w:highlight w:val="none"/>
          <w:lang w:val="en-US" w:eastAsia="zh-CN"/>
        </w:rPr>
        <w:t>108-0</w:t>
      </w:r>
      <w:r>
        <w:rPr>
          <w:rFonts w:ascii="Times New Roman" w:hAnsi="Times New Roman" w:eastAsia="宋体" w:cs="Arial"/>
          <w:snapToGrid w:val="0"/>
          <w:color w:val="auto"/>
          <w:kern w:val="0"/>
          <w:szCs w:val="21"/>
          <w:highlight w:val="none"/>
          <w:lang w:eastAsia="en-US"/>
        </w:rPr>
        <w:t>）+0+</w:t>
      </w:r>
      <w:r>
        <w:rPr>
          <w:rFonts w:hint="eastAsia" w:cs="Arial"/>
          <w:snapToGrid w:val="0"/>
          <w:color w:val="auto"/>
          <w:kern w:val="0"/>
          <w:szCs w:val="21"/>
          <w:highlight w:val="none"/>
          <w:lang w:val="en-US" w:eastAsia="zh-CN"/>
        </w:rPr>
        <w:t>2.43</w:t>
      </w:r>
      <w:r>
        <w:rPr>
          <w:rFonts w:ascii="Times New Roman" w:hAnsi="Times New Roman" w:eastAsia="宋体" w:cs="Arial"/>
          <w:snapToGrid w:val="0"/>
          <w:color w:val="auto"/>
          <w:kern w:val="0"/>
          <w:szCs w:val="21"/>
          <w:highlight w:val="none"/>
          <w:lang w:eastAsia="en-US"/>
        </w:rPr>
        <w:t>=</w:t>
      </w:r>
      <w:r>
        <w:rPr>
          <w:rFonts w:hint="eastAsia" w:cs="Arial"/>
          <w:snapToGrid w:val="0"/>
          <w:color w:val="auto"/>
          <w:kern w:val="0"/>
          <w:szCs w:val="21"/>
          <w:highlight w:val="none"/>
          <w:lang w:val="en-US" w:eastAsia="zh-CN"/>
        </w:rPr>
        <w:t>110.43</w:t>
      </w:r>
      <w:r>
        <w:rPr>
          <w:rFonts w:ascii="Times New Roman" w:hAnsi="Times New Roman" w:eastAsia="宋体" w:cs="Arial"/>
          <w:snapToGrid w:val="0"/>
          <w:color w:val="auto"/>
          <w:kern w:val="0"/>
          <w:szCs w:val="21"/>
          <w:highlight w:val="none"/>
          <w:lang w:eastAsia="en-US"/>
        </w:rPr>
        <w:t>m</w:t>
      </w:r>
      <w:r>
        <w:rPr>
          <w:rFonts w:ascii="Times New Roman" w:hAnsi="Times New Roman" w:eastAsia="宋体" w:cs="Arial"/>
          <w:snapToGrid w:val="0"/>
          <w:color w:val="auto"/>
          <w:kern w:val="0"/>
          <w:szCs w:val="21"/>
          <w:highlight w:val="none"/>
          <w:vertAlign w:val="superscript"/>
          <w:lang w:eastAsia="en-US"/>
        </w:rPr>
        <w:t>3</w:t>
      </w:r>
    </w:p>
    <w:p w14:paraId="3E14DFA8">
      <w:pPr>
        <w:widowControl/>
        <w:wordWrap w:val="0"/>
        <w:autoSpaceDE w:val="0"/>
        <w:autoSpaceDN w:val="0"/>
        <w:adjustRightInd w:val="0"/>
        <w:snapToGrid w:val="0"/>
        <w:ind w:firstLine="480"/>
        <w:jc w:val="both"/>
        <w:textAlignment w:val="baseline"/>
        <w:rPr>
          <w:rFonts w:hint="default" w:ascii="Times New Roman" w:hAnsi="Times New Roman" w:eastAsia="宋体" w:cs="Arial"/>
          <w:snapToGrid w:val="0"/>
          <w:color w:val="auto"/>
          <w:kern w:val="0"/>
          <w:szCs w:val="21"/>
          <w:highlight w:val="none"/>
          <w:lang w:eastAsia="zh-CN"/>
        </w:rPr>
      </w:pPr>
      <w:r>
        <w:rPr>
          <w:rFonts w:hint="default" w:ascii="Times New Roman" w:hAnsi="Times New Roman" w:eastAsia="宋体" w:cs="Arial"/>
          <w:snapToGrid w:val="0"/>
          <w:color w:val="auto"/>
          <w:kern w:val="0"/>
          <w:szCs w:val="21"/>
          <w:highlight w:val="none"/>
          <w:lang w:eastAsia="zh-CN"/>
        </w:rPr>
        <w:t>根据核算，本项目事故状态下需暂存的事故废水量为110.43m</w:t>
      </w:r>
      <w:r>
        <w:rPr>
          <w:rFonts w:hint="eastAsia" w:cs="Arial"/>
          <w:snapToGrid w:val="0"/>
          <w:color w:val="auto"/>
          <w:kern w:val="0"/>
          <w:szCs w:val="21"/>
          <w:highlight w:val="none"/>
          <w:vertAlign w:val="superscript"/>
          <w:lang w:val="en-US" w:eastAsia="zh-CN"/>
        </w:rPr>
        <w:t>3</w:t>
      </w:r>
      <w:r>
        <w:rPr>
          <w:rFonts w:hint="default" w:ascii="Times New Roman" w:hAnsi="Times New Roman" w:eastAsia="宋体" w:cs="Arial"/>
          <w:snapToGrid w:val="0"/>
          <w:color w:val="auto"/>
          <w:kern w:val="0"/>
          <w:szCs w:val="21"/>
          <w:highlight w:val="none"/>
          <w:lang w:eastAsia="zh-CN"/>
        </w:rPr>
        <w:t>。为防范事故废水外排，本项目</w:t>
      </w:r>
      <w:r>
        <w:rPr>
          <w:rFonts w:hint="eastAsia" w:cs="Arial"/>
          <w:snapToGrid w:val="0"/>
          <w:color w:val="auto"/>
          <w:kern w:val="0"/>
          <w:szCs w:val="21"/>
          <w:highlight w:val="none"/>
          <w:lang w:val="en-US" w:eastAsia="zh-CN"/>
        </w:rPr>
        <w:t>拟</w:t>
      </w:r>
      <w:r>
        <w:rPr>
          <w:rFonts w:hint="default" w:ascii="Times New Roman" w:hAnsi="Times New Roman" w:eastAsia="宋体" w:cs="Arial"/>
          <w:snapToGrid w:val="0"/>
          <w:color w:val="auto"/>
          <w:kern w:val="0"/>
          <w:szCs w:val="21"/>
          <w:highlight w:val="none"/>
          <w:lang w:eastAsia="zh-CN"/>
        </w:rPr>
        <w:t>采取</w:t>
      </w:r>
      <w:r>
        <w:rPr>
          <w:rFonts w:hint="eastAsia" w:cs="Arial"/>
          <w:snapToGrid w:val="0"/>
          <w:color w:val="auto"/>
          <w:kern w:val="0"/>
          <w:szCs w:val="21"/>
          <w:highlight w:val="none"/>
          <w:lang w:val="en-US" w:eastAsia="zh-CN"/>
        </w:rPr>
        <w:t>以下</w:t>
      </w:r>
      <w:r>
        <w:rPr>
          <w:rFonts w:hint="default" w:ascii="Times New Roman" w:hAnsi="Times New Roman" w:eastAsia="宋体" w:cs="Arial"/>
          <w:snapToGrid w:val="0"/>
          <w:color w:val="auto"/>
          <w:kern w:val="0"/>
          <w:szCs w:val="21"/>
          <w:highlight w:val="none"/>
          <w:lang w:eastAsia="zh-CN"/>
        </w:rPr>
        <w:t>防控措施：</w:t>
      </w:r>
    </w:p>
    <w:p w14:paraId="0CD6F328">
      <w:pPr>
        <w:widowControl/>
        <w:wordWrap w:val="0"/>
        <w:autoSpaceDE w:val="0"/>
        <w:autoSpaceDN w:val="0"/>
        <w:adjustRightInd w:val="0"/>
        <w:snapToGrid w:val="0"/>
        <w:ind w:firstLine="480"/>
        <w:jc w:val="both"/>
        <w:textAlignment w:val="baseline"/>
        <w:rPr>
          <w:rFonts w:hint="default" w:ascii="Times New Roman" w:hAnsi="Times New Roman" w:eastAsia="宋体" w:cs="Arial"/>
          <w:snapToGrid w:val="0"/>
          <w:color w:val="auto"/>
          <w:kern w:val="0"/>
          <w:szCs w:val="21"/>
          <w:highlight w:val="none"/>
          <w:lang w:eastAsia="zh-CN"/>
        </w:rPr>
      </w:pPr>
      <w:r>
        <w:rPr>
          <w:rFonts w:hint="default" w:ascii="Times New Roman" w:hAnsi="Times New Roman" w:eastAsia="宋体" w:cs="Arial"/>
          <w:snapToGrid w:val="0"/>
          <w:color w:val="auto"/>
          <w:kern w:val="0"/>
          <w:szCs w:val="21"/>
          <w:highlight w:val="none"/>
          <w:lang w:eastAsia="zh-CN"/>
        </w:rPr>
        <w:t>依托现有事故应急池：本项目依托租赁方已建事故应急池1座（位于厂区北侧），有效容积为79m</w:t>
      </w:r>
      <w:r>
        <w:rPr>
          <w:rFonts w:hint="eastAsia" w:cs="Arial"/>
          <w:snapToGrid w:val="0"/>
          <w:color w:val="auto"/>
          <w:kern w:val="0"/>
          <w:szCs w:val="21"/>
          <w:highlight w:val="none"/>
          <w:vertAlign w:val="superscript"/>
          <w:lang w:val="en-US" w:eastAsia="zh-CN"/>
        </w:rPr>
        <w:t>3</w:t>
      </w:r>
      <w:r>
        <w:rPr>
          <w:rFonts w:hint="default" w:ascii="Times New Roman" w:hAnsi="Times New Roman" w:eastAsia="宋体" w:cs="Arial"/>
          <w:snapToGrid w:val="0"/>
          <w:color w:val="auto"/>
          <w:kern w:val="0"/>
          <w:szCs w:val="21"/>
          <w:highlight w:val="none"/>
          <w:lang w:eastAsia="zh-CN"/>
        </w:rPr>
        <w:t>，经核算，其容积与结构可满足事故废水的暂存及防渗要求。</w:t>
      </w:r>
    </w:p>
    <w:p w14:paraId="6DDAB2C7">
      <w:pPr>
        <w:widowControl/>
        <w:wordWrap w:val="0"/>
        <w:autoSpaceDE w:val="0"/>
        <w:autoSpaceDN w:val="0"/>
        <w:adjustRightInd w:val="0"/>
        <w:snapToGrid w:val="0"/>
        <w:ind w:firstLine="480"/>
        <w:jc w:val="both"/>
        <w:textAlignment w:val="baseline"/>
        <w:rPr>
          <w:rFonts w:hint="default" w:ascii="Times New Roman" w:hAnsi="Times New Roman" w:eastAsia="宋体" w:cs="Arial"/>
          <w:snapToGrid w:val="0"/>
          <w:color w:val="auto"/>
          <w:kern w:val="0"/>
          <w:szCs w:val="21"/>
          <w:highlight w:val="none"/>
          <w:lang w:eastAsia="zh-CN"/>
        </w:rPr>
      </w:pPr>
      <w:r>
        <w:rPr>
          <w:rFonts w:hint="default" w:ascii="Times New Roman" w:hAnsi="Times New Roman" w:eastAsia="宋体" w:cs="Arial"/>
          <w:snapToGrid w:val="0"/>
          <w:color w:val="auto"/>
          <w:kern w:val="0"/>
          <w:szCs w:val="21"/>
          <w:highlight w:val="none"/>
          <w:lang w:eastAsia="zh-CN"/>
        </w:rPr>
        <w:t>自建应急水袋兜底：针对现有事故池容积不足（31.43m</w:t>
      </w:r>
      <w:r>
        <w:rPr>
          <w:rFonts w:hint="eastAsia" w:cs="Arial"/>
          <w:snapToGrid w:val="0"/>
          <w:color w:val="auto"/>
          <w:kern w:val="0"/>
          <w:szCs w:val="21"/>
          <w:highlight w:val="none"/>
          <w:vertAlign w:val="superscript"/>
          <w:lang w:val="en-US" w:eastAsia="zh-CN"/>
        </w:rPr>
        <w:t>3</w:t>
      </w:r>
      <w:r>
        <w:rPr>
          <w:rFonts w:hint="default" w:ascii="Times New Roman" w:hAnsi="Times New Roman" w:eastAsia="宋体" w:cs="Arial"/>
          <w:snapToGrid w:val="0"/>
          <w:color w:val="auto"/>
          <w:kern w:val="0"/>
          <w:szCs w:val="21"/>
          <w:highlight w:val="none"/>
          <w:lang w:eastAsia="zh-CN"/>
        </w:rPr>
        <w:t>），为确保项目具备独立、完整的事故废水收集能力，</w:t>
      </w:r>
      <w:r>
        <w:rPr>
          <w:rFonts w:hint="eastAsia" w:cs="Arial"/>
          <w:snapToGrid w:val="0"/>
          <w:color w:val="auto"/>
          <w:kern w:val="0"/>
          <w:szCs w:val="21"/>
          <w:highlight w:val="none"/>
          <w:lang w:val="en-US" w:eastAsia="zh-CN"/>
        </w:rPr>
        <w:t>建设单位拟</w:t>
      </w:r>
      <w:r>
        <w:rPr>
          <w:rFonts w:hint="default" w:ascii="Times New Roman" w:hAnsi="Times New Roman" w:eastAsia="宋体" w:cs="Arial"/>
          <w:snapToGrid w:val="0"/>
          <w:color w:val="auto"/>
          <w:kern w:val="0"/>
          <w:szCs w:val="21"/>
          <w:highlight w:val="none"/>
          <w:lang w:eastAsia="zh-CN"/>
        </w:rPr>
        <w:t>配备容积不小于40m</w:t>
      </w:r>
      <w:r>
        <w:rPr>
          <w:rFonts w:hint="eastAsia" w:cs="Arial"/>
          <w:snapToGrid w:val="0"/>
          <w:color w:val="auto"/>
          <w:kern w:val="0"/>
          <w:szCs w:val="21"/>
          <w:highlight w:val="none"/>
          <w:vertAlign w:val="superscript"/>
          <w:lang w:val="en-US" w:eastAsia="zh-CN"/>
        </w:rPr>
        <w:t>3</w:t>
      </w:r>
      <w:r>
        <w:rPr>
          <w:rFonts w:hint="default" w:ascii="Times New Roman" w:hAnsi="Times New Roman" w:eastAsia="宋体" w:cs="Arial"/>
          <w:snapToGrid w:val="0"/>
          <w:color w:val="auto"/>
          <w:kern w:val="0"/>
          <w:szCs w:val="21"/>
          <w:highlight w:val="none"/>
          <w:lang w:eastAsia="zh-CN"/>
        </w:rPr>
        <w:t>的应急水袋。应急水袋平时收纳备用，事故状态下可迅速展开，作为事故废水收集的主力补充设施，不依赖其他外部设施。</w:t>
      </w:r>
    </w:p>
    <w:p w14:paraId="3FB2B2AF">
      <w:pPr>
        <w:widowControl/>
        <w:wordWrap w:val="0"/>
        <w:autoSpaceDE w:val="0"/>
        <w:autoSpaceDN w:val="0"/>
        <w:adjustRightInd w:val="0"/>
        <w:snapToGrid w:val="0"/>
        <w:ind w:firstLine="480"/>
        <w:jc w:val="both"/>
        <w:textAlignment w:val="baseline"/>
        <w:rPr>
          <w:rFonts w:hint="default" w:ascii="Times New Roman" w:hAnsi="Times New Roman" w:eastAsia="宋体" w:cs="Arial"/>
          <w:snapToGrid w:val="0"/>
          <w:color w:val="auto"/>
          <w:kern w:val="0"/>
          <w:szCs w:val="21"/>
          <w:highlight w:val="none"/>
          <w:lang w:eastAsia="zh-CN"/>
        </w:rPr>
      </w:pPr>
      <w:r>
        <w:rPr>
          <w:rFonts w:hint="default" w:ascii="Times New Roman" w:hAnsi="Times New Roman" w:eastAsia="宋体" w:cs="Arial"/>
          <w:snapToGrid w:val="0"/>
          <w:color w:val="auto"/>
          <w:kern w:val="0"/>
          <w:szCs w:val="21"/>
          <w:highlight w:val="none"/>
          <w:lang w:eastAsia="zh-CN"/>
        </w:rPr>
        <w:t>厂区调节池备用补充：鉴于厂区内其余建筑均为仓库，厂区现有调节池</w:t>
      </w:r>
      <w:r>
        <w:rPr>
          <w:rFonts w:hint="eastAsia" w:cs="Arial"/>
          <w:snapToGrid w:val="0"/>
          <w:color w:val="auto"/>
          <w:kern w:val="0"/>
          <w:szCs w:val="21"/>
          <w:highlight w:val="none"/>
          <w:lang w:eastAsia="zh-CN"/>
        </w:rPr>
        <w:t>（</w:t>
      </w:r>
      <w:r>
        <w:rPr>
          <w:rFonts w:hint="eastAsia" w:cs="Arial"/>
          <w:snapToGrid w:val="0"/>
          <w:color w:val="auto"/>
          <w:kern w:val="0"/>
          <w:szCs w:val="21"/>
          <w:highlight w:val="none"/>
          <w:lang w:val="en-US" w:eastAsia="zh-CN"/>
        </w:rPr>
        <w:t>约37.5m</w:t>
      </w:r>
      <w:r>
        <w:rPr>
          <w:rFonts w:hint="eastAsia" w:cs="Arial"/>
          <w:snapToGrid w:val="0"/>
          <w:color w:val="auto"/>
          <w:kern w:val="0"/>
          <w:szCs w:val="21"/>
          <w:highlight w:val="none"/>
          <w:vertAlign w:val="superscript"/>
          <w:lang w:val="en-US" w:eastAsia="zh-CN"/>
        </w:rPr>
        <w:t>3</w:t>
      </w:r>
      <w:r>
        <w:rPr>
          <w:rFonts w:hint="eastAsia" w:cs="Arial"/>
          <w:snapToGrid w:val="0"/>
          <w:color w:val="auto"/>
          <w:kern w:val="0"/>
          <w:szCs w:val="21"/>
          <w:highlight w:val="none"/>
          <w:lang w:eastAsia="zh-CN"/>
        </w:rPr>
        <w:t>）</w:t>
      </w:r>
      <w:r>
        <w:rPr>
          <w:rFonts w:hint="default" w:ascii="Times New Roman" w:hAnsi="Times New Roman" w:eastAsia="宋体" w:cs="Arial"/>
          <w:snapToGrid w:val="0"/>
          <w:color w:val="auto"/>
          <w:kern w:val="0"/>
          <w:szCs w:val="21"/>
          <w:highlight w:val="none"/>
          <w:lang w:eastAsia="zh-CN"/>
        </w:rPr>
        <w:t>处于空置状态。在应急水袋满载的极端不利工况下，该空置调节池可作为事故废水收集的额外备用暂存设施，提供进一步的调蓄缓冲空间。</w:t>
      </w:r>
    </w:p>
    <w:p w14:paraId="1237A685">
      <w:pPr>
        <w:pStyle w:val="4"/>
        <w:numPr>
          <w:ilvl w:val="0"/>
          <w:numId w:val="0"/>
        </w:numPr>
        <w:tabs>
          <w:tab w:val="clear" w:pos="720"/>
        </w:tabs>
        <w:bidi w:val="0"/>
        <w:rPr>
          <w:rFonts w:hint="eastAsia"/>
          <w:color w:val="auto"/>
          <w:highlight w:val="none"/>
        </w:rPr>
      </w:pPr>
      <w:bookmarkStart w:id="661" w:name="_Toc27851"/>
      <w:r>
        <w:rPr>
          <w:rFonts w:hint="eastAsia"/>
          <w:color w:val="auto"/>
          <w:highlight w:val="none"/>
        </w:rPr>
        <w:t>6.4.</w:t>
      </w:r>
      <w:r>
        <w:rPr>
          <w:rFonts w:hint="eastAsia"/>
          <w:color w:val="auto"/>
          <w:highlight w:val="none"/>
          <w:lang w:val="en-US" w:eastAsia="zh-CN"/>
        </w:rPr>
        <w:t>3</w:t>
      </w:r>
      <w:bookmarkEnd w:id="653"/>
      <w:bookmarkEnd w:id="654"/>
      <w:bookmarkEnd w:id="655"/>
      <w:bookmarkEnd w:id="656"/>
      <w:bookmarkEnd w:id="657"/>
      <w:bookmarkEnd w:id="658"/>
      <w:bookmarkEnd w:id="659"/>
      <w:bookmarkEnd w:id="660"/>
      <w:r>
        <w:rPr>
          <w:rFonts w:hint="eastAsia"/>
          <w:color w:val="auto"/>
          <w:highlight w:val="none"/>
          <w:lang w:val="en-US" w:eastAsia="zh-CN"/>
        </w:rPr>
        <w:t xml:space="preserve"> 原辅材料、燃料及危险废物贮存事故风险防范措施</w:t>
      </w:r>
      <w:bookmarkEnd w:id="661"/>
    </w:p>
    <w:p w14:paraId="33A40708">
      <w:pPr>
        <w:bidi w:val="0"/>
        <w:rPr>
          <w:rFonts w:hint="eastAsia"/>
          <w:color w:val="auto"/>
          <w:highlight w:val="none"/>
        </w:rPr>
      </w:pPr>
      <w:r>
        <w:rPr>
          <w:rFonts w:hint="eastAsia"/>
          <w:color w:val="auto"/>
          <w:highlight w:val="none"/>
        </w:rPr>
        <w:t>本项目生产过程中使用的主要原辅材料包括涂料（底漆、色漆和清漆）、稀释剂、固化剂、清洗剂等，油类物质主要为润滑油，危险废物主要为废润滑油、废清洗剂等。上述物质中，涂料及配套稀释剂、固化剂、清洗剂含有二甲苯、乙酸丁酯等危险物质，废润滑油属于危险废物，贮存过程中一旦发生泄漏，可能污染周边地表水、地下水及土壤环境。为此，需对其贮存环节采取事故风险防范措施。</w:t>
      </w:r>
    </w:p>
    <w:p w14:paraId="03DB88FA">
      <w:pPr>
        <w:bidi w:val="0"/>
        <w:rPr>
          <w:rFonts w:hint="eastAsia"/>
          <w:color w:val="auto"/>
          <w:highlight w:val="none"/>
          <w:lang w:val="en-US" w:eastAsia="zh-CN"/>
        </w:rPr>
      </w:pPr>
      <w:bookmarkStart w:id="662" w:name="_Toc7760"/>
      <w:bookmarkStart w:id="663" w:name="_Toc7872"/>
      <w:bookmarkStart w:id="664" w:name="_Toc16720"/>
      <w:bookmarkStart w:id="665" w:name="_Toc24543"/>
      <w:bookmarkStart w:id="666" w:name="_Toc3405"/>
      <w:bookmarkStart w:id="667" w:name="_Toc1893"/>
      <w:bookmarkStart w:id="668" w:name="_Toc19066"/>
      <w:bookmarkStart w:id="669" w:name="_Toc2936"/>
      <w:r>
        <w:rPr>
          <w:rFonts w:hint="eastAsia"/>
          <w:color w:val="auto"/>
          <w:highlight w:val="none"/>
          <w:lang w:val="en-US" w:eastAsia="zh-CN"/>
        </w:rPr>
        <w:t>（1）一般原辅材料贮存要求</w:t>
      </w:r>
    </w:p>
    <w:p w14:paraId="191995B3">
      <w:pPr>
        <w:bidi w:val="0"/>
        <w:rPr>
          <w:rFonts w:hint="eastAsia"/>
          <w:color w:val="auto"/>
          <w:highlight w:val="none"/>
          <w:lang w:val="en-US" w:eastAsia="zh-CN"/>
        </w:rPr>
      </w:pPr>
      <w:r>
        <w:rPr>
          <w:rFonts w:hint="eastAsia"/>
          <w:color w:val="auto"/>
          <w:highlight w:val="none"/>
          <w:lang w:val="en-US" w:eastAsia="zh-CN"/>
        </w:rPr>
        <w:t>涂料（底漆、色漆和清漆）、稀释剂、固化剂、清洗剂等原辅材料应按类别分类贮存于辅料仓库或调漆房内，保持仓库干燥、通风，防止受潮变质。上述物料应密封保存，避免泄漏。入库前应检查包装是否完好、标识是否清晰、有无泄漏，核对数量及规格，经确认后方可入库，并建立出入库台账，确保可追溯。</w:t>
      </w:r>
    </w:p>
    <w:p w14:paraId="352368F5">
      <w:pPr>
        <w:bidi w:val="0"/>
        <w:rPr>
          <w:rFonts w:hint="eastAsia"/>
          <w:color w:val="auto"/>
          <w:highlight w:val="none"/>
          <w:lang w:val="en-US" w:eastAsia="zh-CN"/>
        </w:rPr>
      </w:pPr>
      <w:r>
        <w:rPr>
          <w:rFonts w:hint="eastAsia"/>
          <w:color w:val="auto"/>
          <w:highlight w:val="none"/>
          <w:lang w:val="en-US" w:eastAsia="zh-CN"/>
        </w:rPr>
        <w:t>（2）易燃物料贮存及管理要求</w:t>
      </w:r>
    </w:p>
    <w:p w14:paraId="70BCA67E">
      <w:pPr>
        <w:bidi w:val="0"/>
        <w:rPr>
          <w:rFonts w:hint="eastAsia"/>
          <w:color w:val="auto"/>
          <w:highlight w:val="none"/>
          <w:lang w:val="en-US" w:eastAsia="zh-CN"/>
        </w:rPr>
      </w:pPr>
      <w:r>
        <w:rPr>
          <w:rFonts w:hint="eastAsia"/>
          <w:color w:val="auto"/>
          <w:highlight w:val="none"/>
          <w:lang w:val="en-US" w:eastAsia="zh-CN"/>
        </w:rPr>
        <w:t>涂料（底漆、色漆和清漆）、稀释剂、固化剂、清洗剂及润滑油等均以桶装形式贮存于专用仓库内。库区应符合《建筑设计防火规范》（GB 50016-2014，2018年修订版）要求，与生产区、办公区保持安全距离；贮存区域应阴凉、通风，远离热源、火源，避免阳光直射。库区入口及贮存区域应设置“禁止吸烟和使用明火”警示标志，电气线路敷设应符合规范要求，库房内照明、开关等电气设备应符合防爆要求，消防用电设施应满足消防用电需要。</w:t>
      </w:r>
    </w:p>
    <w:p w14:paraId="619BA633">
      <w:pPr>
        <w:bidi w:val="0"/>
        <w:rPr>
          <w:rFonts w:hint="eastAsia"/>
          <w:color w:val="auto"/>
          <w:highlight w:val="none"/>
          <w:lang w:val="en-US" w:eastAsia="zh-CN"/>
        </w:rPr>
      </w:pPr>
      <w:r>
        <w:rPr>
          <w:rFonts w:hint="eastAsia"/>
          <w:color w:val="auto"/>
          <w:highlight w:val="none"/>
          <w:lang w:val="en-US" w:eastAsia="zh-CN"/>
        </w:rPr>
        <w:t>储桶下方应设置防泄漏托盘，防止泄漏物料扩散。贮存温度按产品说明书要求控制。操作人员应佩戴防护手套、防护眼镜等个人防护用品；装卸、搬运时应轻装轻卸，严禁摔、碰、撞、击、拖拉、倾斜和滚动。定期检查消防设施，确保完好有效。</w:t>
      </w:r>
    </w:p>
    <w:p w14:paraId="39AFD18D">
      <w:pPr>
        <w:bidi w:val="0"/>
        <w:rPr>
          <w:rFonts w:hint="eastAsia"/>
          <w:color w:val="auto"/>
          <w:highlight w:val="none"/>
          <w:lang w:val="en-US" w:eastAsia="zh-CN"/>
        </w:rPr>
      </w:pPr>
      <w:r>
        <w:rPr>
          <w:rFonts w:hint="eastAsia"/>
          <w:color w:val="auto"/>
          <w:highlight w:val="none"/>
          <w:lang w:val="en-US" w:eastAsia="zh-CN"/>
        </w:rPr>
        <w:t>（3）危险废物管理要求</w:t>
      </w:r>
    </w:p>
    <w:p w14:paraId="544FEAD2">
      <w:pPr>
        <w:bidi w:val="0"/>
        <w:rPr>
          <w:rFonts w:hint="eastAsia"/>
          <w:color w:val="auto"/>
          <w:highlight w:val="none"/>
          <w:lang w:val="en-US" w:eastAsia="zh-CN"/>
        </w:rPr>
      </w:pPr>
      <w:r>
        <w:rPr>
          <w:rFonts w:hint="eastAsia"/>
          <w:color w:val="auto"/>
          <w:highlight w:val="none"/>
          <w:lang w:val="en-US" w:eastAsia="zh-CN"/>
        </w:rPr>
        <w:t>本项目危险废物主要包括废润滑油、废清洗剂等，暂存于危废贮存库，按《危险废物贮存污染控制标准》（GB 18597-2023）要求管理。危险废物应分类分区存放，设置危险废物识别标志，危废贮存库应满足防风、防雨、防晒、防渗漏要求，并设置导流渠或环形收集沟及渗滤液收集装置。建立危险废物管理台账，定期委托有资质单位处置。</w:t>
      </w:r>
    </w:p>
    <w:p w14:paraId="0F967CE8">
      <w:pPr>
        <w:bidi w:val="0"/>
        <w:rPr>
          <w:rFonts w:hint="eastAsia"/>
          <w:color w:val="auto"/>
          <w:highlight w:val="none"/>
          <w:lang w:val="en-US" w:eastAsia="zh-CN"/>
        </w:rPr>
      </w:pPr>
      <w:r>
        <w:rPr>
          <w:rFonts w:hint="eastAsia"/>
          <w:color w:val="auto"/>
          <w:highlight w:val="none"/>
          <w:lang w:val="en-US" w:eastAsia="zh-CN"/>
        </w:rPr>
        <w:t>（4）天然气使用风险防范要求</w:t>
      </w:r>
    </w:p>
    <w:p w14:paraId="328E1719">
      <w:pPr>
        <w:bidi w:val="0"/>
        <w:rPr>
          <w:rFonts w:hint="eastAsia"/>
          <w:color w:val="auto"/>
          <w:highlight w:val="none"/>
          <w:lang w:val="en-US" w:eastAsia="zh-CN"/>
        </w:rPr>
      </w:pPr>
      <w:r>
        <w:rPr>
          <w:rFonts w:hint="eastAsia"/>
          <w:color w:val="auto"/>
          <w:highlight w:val="none"/>
          <w:lang w:val="en-US" w:eastAsia="zh-CN"/>
        </w:rPr>
        <w:t>本项目使用管道天然气，厂区内不设天然气储罐。为防范天然气泄漏及火灾、爆炸事故，应采取以下措施：</w:t>
      </w:r>
    </w:p>
    <w:p w14:paraId="3C64FB09">
      <w:pPr>
        <w:bidi w:val="0"/>
        <w:rPr>
          <w:rFonts w:hint="eastAsia"/>
          <w:color w:val="auto"/>
          <w:highlight w:val="none"/>
          <w:lang w:val="en-US" w:eastAsia="zh-CN"/>
        </w:rPr>
      </w:pPr>
      <w:r>
        <w:rPr>
          <w:rFonts w:hint="eastAsia"/>
          <w:color w:val="auto"/>
          <w:highlight w:val="none"/>
          <w:lang w:val="en-US" w:eastAsia="zh-CN"/>
        </w:rPr>
        <w:t>①监测报警：在可能产生天然气泄漏的区域及关键设备适当部位安装气体监测报警装置，一旦发生泄漏可及早发现并采取措施。</w:t>
      </w:r>
    </w:p>
    <w:p w14:paraId="3A153BB5">
      <w:pPr>
        <w:bidi w:val="0"/>
        <w:rPr>
          <w:rFonts w:hint="eastAsia"/>
          <w:color w:val="auto"/>
          <w:highlight w:val="none"/>
          <w:lang w:val="en-US" w:eastAsia="zh-CN"/>
        </w:rPr>
      </w:pPr>
      <w:r>
        <w:rPr>
          <w:rFonts w:hint="eastAsia"/>
          <w:color w:val="auto"/>
          <w:highlight w:val="none"/>
          <w:lang w:val="en-US" w:eastAsia="zh-CN"/>
        </w:rPr>
        <w:t>②防雷防静电：天然气管线应做防雷击接地；在需要防静电的工艺装置场所做好防静电接地系统，采取消除、减弱静电的措施。</w:t>
      </w:r>
    </w:p>
    <w:p w14:paraId="0522295D">
      <w:pPr>
        <w:bidi w:val="0"/>
        <w:rPr>
          <w:rFonts w:hint="eastAsia"/>
          <w:color w:val="auto"/>
          <w:highlight w:val="none"/>
          <w:lang w:val="en-US" w:eastAsia="zh-CN"/>
        </w:rPr>
      </w:pPr>
      <w:r>
        <w:rPr>
          <w:rFonts w:hint="eastAsia"/>
          <w:color w:val="auto"/>
          <w:highlight w:val="none"/>
          <w:lang w:val="en-US" w:eastAsia="zh-CN"/>
        </w:rPr>
        <w:t>③紧急切断：在进入厂区的天然气管道处应设置紧急切断阀，对明显故障实施直接切断。</w:t>
      </w:r>
    </w:p>
    <w:p w14:paraId="57EBB96C">
      <w:pPr>
        <w:bidi w:val="0"/>
        <w:rPr>
          <w:rFonts w:hint="eastAsia"/>
          <w:color w:val="auto"/>
          <w:highlight w:val="none"/>
          <w:lang w:val="en-US" w:eastAsia="zh-CN"/>
        </w:rPr>
      </w:pPr>
      <w:r>
        <w:rPr>
          <w:rFonts w:hint="eastAsia"/>
          <w:color w:val="auto"/>
          <w:highlight w:val="none"/>
          <w:lang w:val="en-US" w:eastAsia="zh-CN"/>
        </w:rPr>
        <w:t>④日常管理：企业应定期对天然气管道进行检查，发现泄漏及时处理并采取必要的堵漏措施；天然气管道检修时严格按照操作规程进行，天然气管道必须维持正压。在有爆炸危险的区域，必须选用防爆或隔离火花的保安型设备和仪表。关键区域应配置消防器材并定期检查更新。</w:t>
      </w:r>
    </w:p>
    <w:p w14:paraId="4E574C08">
      <w:pPr>
        <w:bidi w:val="0"/>
        <w:rPr>
          <w:rFonts w:hint="eastAsia"/>
          <w:color w:val="auto"/>
          <w:highlight w:val="none"/>
          <w:lang w:val="en-US" w:eastAsia="zh-CN"/>
        </w:rPr>
      </w:pPr>
      <w:r>
        <w:rPr>
          <w:rFonts w:hint="eastAsia"/>
          <w:color w:val="auto"/>
          <w:highlight w:val="none"/>
          <w:lang w:val="en-US" w:eastAsia="zh-CN"/>
        </w:rPr>
        <w:t>⑤应急管理：企业应建立专门的应急事故小组，定期培训，加强防范意识，提高操作管理水平，严格遵守操作规程，避免事故发生。</w:t>
      </w:r>
    </w:p>
    <w:p w14:paraId="394DAD19">
      <w:pPr>
        <w:bidi w:val="0"/>
        <w:rPr>
          <w:rFonts w:hint="eastAsia"/>
          <w:color w:val="auto"/>
          <w:highlight w:val="none"/>
          <w:lang w:val="en-US" w:eastAsia="zh-CN"/>
        </w:rPr>
      </w:pPr>
      <w:r>
        <w:rPr>
          <w:rFonts w:hint="eastAsia"/>
          <w:color w:val="auto"/>
          <w:highlight w:val="none"/>
          <w:lang w:val="en-US" w:eastAsia="zh-CN"/>
        </w:rPr>
        <w:t>（5）消防安全管理</w:t>
      </w:r>
    </w:p>
    <w:p w14:paraId="06EA1446">
      <w:pPr>
        <w:bidi w:val="0"/>
        <w:rPr>
          <w:rFonts w:hint="eastAsia"/>
          <w:color w:val="auto"/>
          <w:highlight w:val="none"/>
          <w:lang w:val="en-US" w:eastAsia="zh-CN"/>
        </w:rPr>
      </w:pPr>
      <w:r>
        <w:rPr>
          <w:rFonts w:hint="eastAsia"/>
          <w:color w:val="auto"/>
          <w:highlight w:val="none"/>
          <w:lang w:val="en-US" w:eastAsia="zh-CN"/>
        </w:rPr>
        <w:t>涉及易燃物质的贮存区域应配备消防灭火器材，严禁烟火。定期检查消防设施，确保完好有效。</w:t>
      </w:r>
    </w:p>
    <w:p w14:paraId="635A503D">
      <w:pPr>
        <w:pStyle w:val="4"/>
        <w:numPr>
          <w:ilvl w:val="0"/>
          <w:numId w:val="0"/>
        </w:numPr>
        <w:tabs>
          <w:tab w:val="clear" w:pos="720"/>
        </w:tabs>
        <w:bidi w:val="0"/>
        <w:rPr>
          <w:rFonts w:hint="eastAsia" w:ascii="Times New Roman" w:hAnsi="Times New Roman" w:cs="Times New Roman"/>
          <w:bCs/>
          <w:color w:val="auto"/>
          <w:highlight w:val="none"/>
          <w:lang w:val="en-US" w:eastAsia="zh-CN"/>
        </w:rPr>
      </w:pPr>
      <w:bookmarkStart w:id="670" w:name="_Toc18525"/>
      <w:r>
        <w:rPr>
          <w:rFonts w:hint="eastAsia"/>
          <w:color w:val="auto"/>
          <w:highlight w:val="none"/>
          <w:lang w:val="en-US" w:eastAsia="zh-CN"/>
        </w:rPr>
        <w:t>6.4.4 火灾事故风险防范措施</w:t>
      </w:r>
      <w:bookmarkEnd w:id="662"/>
      <w:bookmarkEnd w:id="663"/>
      <w:bookmarkEnd w:id="664"/>
      <w:bookmarkEnd w:id="665"/>
      <w:bookmarkEnd w:id="666"/>
      <w:bookmarkEnd w:id="667"/>
      <w:bookmarkEnd w:id="668"/>
      <w:bookmarkEnd w:id="669"/>
      <w:bookmarkEnd w:id="670"/>
    </w:p>
    <w:p w14:paraId="358185D8">
      <w:pPr>
        <w:bidi w:val="0"/>
        <w:rPr>
          <w:rFonts w:hint="eastAsia"/>
          <w:color w:val="auto"/>
          <w:highlight w:val="none"/>
        </w:rPr>
      </w:pPr>
      <w:r>
        <w:rPr>
          <w:rFonts w:hint="eastAsia"/>
          <w:color w:val="auto"/>
          <w:highlight w:val="none"/>
        </w:rPr>
        <w:t>（1）平面布置：车间布置应符合《工业企业总平面设计规范》（GB50187-2012）、</w:t>
      </w:r>
      <w:r>
        <w:rPr>
          <w:rFonts w:hint="eastAsia"/>
          <w:color w:val="auto"/>
          <w:highlight w:val="none"/>
          <w:lang w:val="en-US" w:eastAsia="zh-CN"/>
        </w:rPr>
        <w:t>《建筑设计防火规范》（GB 50016-2014，2018年修订版）</w:t>
      </w:r>
      <w:r>
        <w:rPr>
          <w:rFonts w:hint="eastAsia"/>
          <w:color w:val="auto"/>
          <w:highlight w:val="none"/>
        </w:rPr>
        <w:t>等要求。危废贮存库按《危险废物贮存污染控制标准》（GB18597-2023）建设，分类存放、设置识别标志及警示牌。</w:t>
      </w:r>
    </w:p>
    <w:p w14:paraId="1A33D25D">
      <w:pPr>
        <w:bidi w:val="0"/>
        <w:rPr>
          <w:rFonts w:hint="eastAsia"/>
          <w:color w:val="auto"/>
          <w:highlight w:val="none"/>
        </w:rPr>
      </w:pPr>
      <w:r>
        <w:rPr>
          <w:rFonts w:hint="eastAsia"/>
          <w:color w:val="auto"/>
          <w:highlight w:val="none"/>
        </w:rPr>
        <w:t>（2）消防安全：加强重点区域消防管理，严禁明火，远离热源。定期检查消防设施，到期更换；应急物资及时补充，建立检查台账。</w:t>
      </w:r>
    </w:p>
    <w:p w14:paraId="3B714771">
      <w:pPr>
        <w:bidi w:val="0"/>
        <w:rPr>
          <w:rFonts w:hint="eastAsia"/>
          <w:color w:val="auto"/>
          <w:highlight w:val="none"/>
        </w:rPr>
      </w:pPr>
      <w:r>
        <w:rPr>
          <w:rFonts w:hint="eastAsia"/>
          <w:color w:val="auto"/>
          <w:highlight w:val="none"/>
        </w:rPr>
        <w:t>（3）培训演练：定期组织员工消防安全培训，每年至少开展一次消防及环境应急演练，提升应急处置能力。</w:t>
      </w:r>
    </w:p>
    <w:p w14:paraId="7F9EAB75">
      <w:pPr>
        <w:bidi w:val="0"/>
        <w:rPr>
          <w:rFonts w:hint="eastAsia"/>
          <w:color w:val="auto"/>
          <w:highlight w:val="none"/>
        </w:rPr>
      </w:pPr>
      <w:r>
        <w:rPr>
          <w:rFonts w:hint="eastAsia"/>
          <w:color w:val="auto"/>
          <w:highlight w:val="none"/>
        </w:rPr>
        <w:t>（4）设施维护：定期检查</w:t>
      </w:r>
      <w:r>
        <w:rPr>
          <w:rFonts w:hint="eastAsia"/>
          <w:color w:val="auto"/>
          <w:highlight w:val="none"/>
          <w:lang w:val="en-US" w:eastAsia="zh-CN"/>
        </w:rPr>
        <w:t>废气</w:t>
      </w:r>
      <w:r>
        <w:rPr>
          <w:rFonts w:hint="eastAsia"/>
          <w:color w:val="auto"/>
          <w:highlight w:val="none"/>
        </w:rPr>
        <w:t>收集管道</w:t>
      </w:r>
      <w:r>
        <w:rPr>
          <w:rFonts w:hint="eastAsia"/>
          <w:color w:val="auto"/>
          <w:highlight w:val="none"/>
          <w:lang w:val="en-US" w:eastAsia="zh-CN"/>
        </w:rPr>
        <w:t>及</w:t>
      </w:r>
      <w:r>
        <w:rPr>
          <w:rFonts w:hint="eastAsia"/>
          <w:color w:val="auto"/>
          <w:highlight w:val="none"/>
        </w:rPr>
        <w:t>危废</w:t>
      </w:r>
      <w:r>
        <w:rPr>
          <w:rFonts w:hint="eastAsia"/>
          <w:color w:val="auto"/>
          <w:highlight w:val="none"/>
          <w:lang w:val="en-US" w:eastAsia="zh-CN"/>
        </w:rPr>
        <w:t>贮存</w:t>
      </w:r>
      <w:r>
        <w:rPr>
          <w:rFonts w:hint="eastAsia"/>
          <w:color w:val="auto"/>
          <w:highlight w:val="none"/>
        </w:rPr>
        <w:t>库防渗层</w:t>
      </w:r>
      <w:r>
        <w:rPr>
          <w:rFonts w:hint="eastAsia"/>
          <w:color w:val="auto"/>
          <w:highlight w:val="none"/>
          <w:lang w:val="en-US" w:eastAsia="zh-CN"/>
        </w:rPr>
        <w:t>等</w:t>
      </w:r>
      <w:r>
        <w:rPr>
          <w:rFonts w:hint="eastAsia"/>
          <w:color w:val="auto"/>
          <w:highlight w:val="none"/>
        </w:rPr>
        <w:t>，发现问题及时修复，确保应急设施随时可用。</w:t>
      </w:r>
    </w:p>
    <w:p w14:paraId="3691C572">
      <w:pPr>
        <w:bidi w:val="0"/>
        <w:rPr>
          <w:rFonts w:hint="eastAsia"/>
          <w:color w:val="auto"/>
          <w:highlight w:val="none"/>
        </w:rPr>
      </w:pPr>
      <w:r>
        <w:rPr>
          <w:rFonts w:hint="eastAsia"/>
          <w:color w:val="auto"/>
          <w:highlight w:val="none"/>
        </w:rPr>
        <w:t>（5）应急联动：与</w:t>
      </w:r>
      <w:r>
        <w:rPr>
          <w:rFonts w:hint="eastAsia"/>
          <w:color w:val="auto"/>
          <w:highlight w:val="none"/>
          <w:lang w:val="en-US" w:eastAsia="zh-CN"/>
        </w:rPr>
        <w:t>福州市应急管理局</w:t>
      </w:r>
      <w:r>
        <w:rPr>
          <w:rFonts w:hint="eastAsia"/>
          <w:color w:val="auto"/>
          <w:highlight w:val="none"/>
        </w:rPr>
        <w:t>、</w:t>
      </w:r>
      <w:r>
        <w:rPr>
          <w:rFonts w:hint="eastAsia"/>
          <w:color w:val="auto"/>
          <w:highlight w:val="none"/>
          <w:lang w:val="en-US" w:eastAsia="zh-CN"/>
        </w:rPr>
        <w:t>福州市生态环境局</w:t>
      </w:r>
      <w:r>
        <w:rPr>
          <w:rFonts w:hint="eastAsia"/>
          <w:color w:val="auto"/>
          <w:highlight w:val="none"/>
        </w:rPr>
        <w:t>、消防大队</w:t>
      </w:r>
      <w:r>
        <w:rPr>
          <w:rFonts w:hint="eastAsia"/>
          <w:color w:val="auto"/>
          <w:highlight w:val="none"/>
          <w:lang w:val="en-US" w:eastAsia="zh-CN"/>
        </w:rPr>
        <w:t>等相关部门</w:t>
      </w:r>
      <w:r>
        <w:rPr>
          <w:rFonts w:hint="eastAsia"/>
          <w:color w:val="auto"/>
          <w:highlight w:val="none"/>
        </w:rPr>
        <w:t>建立应急联系通道，发生事故时及时请求外部支援。</w:t>
      </w:r>
    </w:p>
    <w:p w14:paraId="6F9F6FF8">
      <w:pPr>
        <w:bidi w:val="0"/>
        <w:rPr>
          <w:rFonts w:hint="eastAsia"/>
          <w:color w:val="auto"/>
          <w:highlight w:val="none"/>
        </w:rPr>
      </w:pPr>
      <w:r>
        <w:rPr>
          <w:rFonts w:hint="eastAsia"/>
          <w:color w:val="auto"/>
          <w:highlight w:val="none"/>
        </w:rPr>
        <w:t>（6）疏散标识：厂区设置应急疏散标志及照明设施，保持通道畅通，确保事故状态下人员有序疏散。</w:t>
      </w:r>
    </w:p>
    <w:p w14:paraId="2F7151F7">
      <w:pPr>
        <w:pStyle w:val="3"/>
        <w:numPr>
          <w:ilvl w:val="0"/>
          <w:numId w:val="0"/>
        </w:numPr>
        <w:bidi w:val="0"/>
        <w:rPr>
          <w:color w:val="auto"/>
          <w:highlight w:val="none"/>
        </w:rPr>
      </w:pPr>
      <w:bookmarkStart w:id="671" w:name="_Toc15279"/>
      <w:bookmarkStart w:id="672" w:name="_Toc29580"/>
      <w:bookmarkStart w:id="673" w:name="_Toc15824"/>
      <w:bookmarkStart w:id="674" w:name="_Toc29713"/>
      <w:bookmarkStart w:id="675" w:name="_Toc5965"/>
      <w:bookmarkStart w:id="676" w:name="_Toc22380"/>
      <w:bookmarkStart w:id="677" w:name="_Toc13112"/>
      <w:bookmarkStart w:id="678" w:name="_Toc22403"/>
      <w:bookmarkStart w:id="679" w:name="_Toc28279"/>
      <w:bookmarkStart w:id="680" w:name="_Toc29920"/>
      <w:r>
        <w:rPr>
          <w:color w:val="auto"/>
          <w:highlight w:val="none"/>
        </w:rPr>
        <w:t>6.</w:t>
      </w:r>
      <w:r>
        <w:rPr>
          <w:rFonts w:hint="eastAsia"/>
          <w:color w:val="auto"/>
          <w:highlight w:val="none"/>
          <w:lang w:val="en-US" w:eastAsia="zh-CN"/>
        </w:rPr>
        <w:t xml:space="preserve">5 </w:t>
      </w:r>
      <w:r>
        <w:rPr>
          <w:color w:val="auto"/>
          <w:highlight w:val="none"/>
        </w:rPr>
        <w:t>突发环境事件应急预案</w:t>
      </w:r>
      <w:bookmarkEnd w:id="671"/>
      <w:bookmarkEnd w:id="672"/>
      <w:bookmarkEnd w:id="673"/>
      <w:bookmarkEnd w:id="674"/>
      <w:bookmarkEnd w:id="675"/>
      <w:bookmarkEnd w:id="676"/>
      <w:bookmarkEnd w:id="677"/>
      <w:bookmarkEnd w:id="678"/>
      <w:bookmarkEnd w:id="679"/>
      <w:bookmarkEnd w:id="680"/>
    </w:p>
    <w:p w14:paraId="35A5FF56">
      <w:pPr>
        <w:bidi w:val="0"/>
        <w:rPr>
          <w:color w:val="auto"/>
          <w:highlight w:val="none"/>
        </w:rPr>
      </w:pPr>
      <w:r>
        <w:rPr>
          <w:color w:val="auto"/>
          <w:highlight w:val="none"/>
        </w:rPr>
        <w:t>按照《建设项目环境风险评价技术导则</w:t>
      </w:r>
      <w:r>
        <w:rPr>
          <w:rFonts w:hint="eastAsia"/>
          <w:color w:val="auto"/>
          <w:highlight w:val="none"/>
          <w:lang w:eastAsia="zh-CN"/>
        </w:rPr>
        <w:t>》</w:t>
      </w:r>
      <w:r>
        <w:rPr>
          <w:color w:val="auto"/>
          <w:highlight w:val="none"/>
        </w:rPr>
        <w:t>（</w:t>
      </w:r>
      <w:r>
        <w:rPr>
          <w:rFonts w:hint="eastAsia"/>
          <w:color w:val="auto"/>
          <w:highlight w:val="none"/>
          <w:lang w:eastAsia="zh-CN"/>
        </w:rPr>
        <w:t>HJ 169-2018</w:t>
      </w:r>
      <w:r>
        <w:rPr>
          <w:color w:val="auto"/>
          <w:highlight w:val="none"/>
        </w:rPr>
        <w:t>）《突发环境事件应急管理办法》（部令第34号文）和</w:t>
      </w:r>
      <w:r>
        <w:rPr>
          <w:rFonts w:hint="eastAsia"/>
          <w:color w:val="auto"/>
          <w:highlight w:val="none"/>
          <w:lang w:val="en-US" w:eastAsia="zh-CN"/>
        </w:rPr>
        <w:t>原</w:t>
      </w:r>
      <w:r>
        <w:rPr>
          <w:color w:val="auto"/>
          <w:highlight w:val="none"/>
        </w:rPr>
        <w:t>福建省环保厅转发</w:t>
      </w:r>
      <w:r>
        <w:rPr>
          <w:rFonts w:hint="eastAsia"/>
          <w:color w:val="auto"/>
          <w:highlight w:val="none"/>
          <w:lang w:val="en-US" w:eastAsia="zh-CN"/>
        </w:rPr>
        <w:t>原</w:t>
      </w:r>
      <w:r>
        <w:rPr>
          <w:color w:val="auto"/>
          <w:highlight w:val="none"/>
        </w:rPr>
        <w:t>环保部关于印发《企业事业单位突发环境事件应急预案备案管理办法（试行）》的通知（闽环保应急</w:t>
      </w:r>
      <w:r>
        <w:rPr>
          <w:rFonts w:hint="eastAsia"/>
          <w:color w:val="auto"/>
          <w:highlight w:val="none"/>
          <w:lang w:eastAsia="zh-CN"/>
        </w:rPr>
        <w:t>〔2015〕2号</w:t>
      </w:r>
      <w:r>
        <w:rPr>
          <w:color w:val="auto"/>
          <w:highlight w:val="none"/>
        </w:rPr>
        <w:t>）等文件中规定的</w:t>
      </w:r>
      <w:r>
        <w:rPr>
          <w:rFonts w:hint="eastAsia"/>
          <w:color w:val="auto"/>
          <w:highlight w:val="none"/>
          <w:lang w:eastAsia="zh-CN"/>
        </w:rPr>
        <w:t>“</w:t>
      </w:r>
      <w:r>
        <w:rPr>
          <w:color w:val="auto"/>
          <w:highlight w:val="none"/>
        </w:rPr>
        <w:t>环境风险事故应急预案编制原则</w:t>
      </w:r>
      <w:r>
        <w:rPr>
          <w:rFonts w:hint="eastAsia"/>
          <w:color w:val="auto"/>
          <w:highlight w:val="none"/>
          <w:lang w:eastAsia="zh-CN"/>
        </w:rPr>
        <w:t>”</w:t>
      </w:r>
      <w:r>
        <w:rPr>
          <w:color w:val="auto"/>
          <w:highlight w:val="none"/>
        </w:rPr>
        <w:t>要求，建设单位应委托编制突发环境事件应急预案。</w:t>
      </w:r>
    </w:p>
    <w:p w14:paraId="607A52ED">
      <w:pPr>
        <w:bidi w:val="0"/>
        <w:rPr>
          <w:color w:val="auto"/>
          <w:highlight w:val="none"/>
        </w:rPr>
      </w:pPr>
      <w:bookmarkStart w:id="681" w:name="_Toc500940521"/>
      <w:bookmarkStart w:id="682" w:name="_Toc523646277"/>
      <w:bookmarkStart w:id="683" w:name="_Toc529434262"/>
      <w:bookmarkStart w:id="684" w:name="_Toc516136514"/>
      <w:r>
        <w:rPr>
          <w:color w:val="auto"/>
          <w:highlight w:val="none"/>
        </w:rPr>
        <w:t>本评价</w:t>
      </w:r>
      <w:r>
        <w:rPr>
          <w:rFonts w:hint="eastAsia"/>
          <w:color w:val="auto"/>
          <w:highlight w:val="none"/>
          <w:lang w:eastAsia="zh-CN"/>
        </w:rPr>
        <w:t>主要</w:t>
      </w:r>
      <w:r>
        <w:rPr>
          <w:color w:val="auto"/>
          <w:highlight w:val="none"/>
        </w:rPr>
        <w:t>提出本项目《突发环境事件应急预案》的编制原则和总体要求、主要管理内容和应急措施等，指导环境风险应急预案编制，本评价与应急预案有冲突部分应以应急预案为准。</w:t>
      </w:r>
    </w:p>
    <w:p w14:paraId="5B5AD9BC">
      <w:pPr>
        <w:pStyle w:val="4"/>
        <w:numPr>
          <w:ilvl w:val="0"/>
          <w:numId w:val="0"/>
        </w:numPr>
        <w:tabs>
          <w:tab w:val="clear" w:pos="720"/>
        </w:tabs>
        <w:bidi w:val="0"/>
        <w:rPr>
          <w:rFonts w:hint="eastAsia"/>
          <w:color w:val="auto"/>
          <w:highlight w:val="none"/>
        </w:rPr>
      </w:pPr>
      <w:bookmarkStart w:id="685" w:name="_Toc5473"/>
      <w:bookmarkStart w:id="686" w:name="_Toc23067"/>
      <w:bookmarkStart w:id="687" w:name="_Toc21905"/>
      <w:bookmarkStart w:id="688" w:name="_Toc2204"/>
      <w:bookmarkStart w:id="689" w:name="_Toc19466"/>
      <w:bookmarkStart w:id="690" w:name="_Toc2882"/>
      <w:bookmarkStart w:id="691" w:name="_Toc32286"/>
      <w:bookmarkStart w:id="692" w:name="_Toc28984"/>
      <w:bookmarkStart w:id="693" w:name="_Toc10425"/>
      <w:r>
        <w:rPr>
          <w:rFonts w:hint="eastAsia"/>
          <w:color w:val="auto"/>
          <w:highlight w:val="none"/>
          <w:lang w:val="en-US" w:eastAsia="zh-CN"/>
        </w:rPr>
        <w:t xml:space="preserve">6.5.1 </w:t>
      </w:r>
      <w:r>
        <w:rPr>
          <w:rFonts w:hint="eastAsia"/>
          <w:color w:val="auto"/>
          <w:highlight w:val="none"/>
        </w:rPr>
        <w:t>应急预案编制要求</w:t>
      </w:r>
      <w:bookmarkEnd w:id="685"/>
      <w:bookmarkEnd w:id="686"/>
      <w:bookmarkEnd w:id="687"/>
      <w:bookmarkEnd w:id="688"/>
      <w:bookmarkEnd w:id="689"/>
      <w:bookmarkEnd w:id="690"/>
      <w:bookmarkEnd w:id="691"/>
      <w:bookmarkEnd w:id="692"/>
      <w:bookmarkEnd w:id="693"/>
    </w:p>
    <w:p w14:paraId="37F50EA4">
      <w:pPr>
        <w:bidi w:val="0"/>
        <w:rPr>
          <w:rFonts w:hint="eastAsia"/>
          <w:color w:val="auto"/>
          <w:highlight w:val="none"/>
        </w:rPr>
      </w:pPr>
      <w:r>
        <w:rPr>
          <w:rFonts w:hint="eastAsia"/>
          <w:color w:val="auto"/>
          <w:highlight w:val="none"/>
        </w:rPr>
        <w:t>突发环境事件应急预案可由企业自主编制或委托相关专业技术服务机构编制。委托相关专业技术服务机构编制的，企业应指定有关人员全程参与。建设单位按照以下步骤制定环境应急预案：</w:t>
      </w:r>
    </w:p>
    <w:p w14:paraId="61FB1E75">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成立环境应急预案编制组，明确编制组组长和成员组成、工作任务、编制计划和经费预算。成立以企业主要负责人为领导的应急预案编制工作组，针对可能发生的事件类别和应急职责，结合企业部门职能分工抽调预案编制人员，确保预案编制人员熟悉现场的实际情况，编制出适合本企业使用的预案。</w:t>
      </w:r>
    </w:p>
    <w:p w14:paraId="32085FAD">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开展环境风险评估和应急资源调查。环境风险评估包括但不限于：分析</w:t>
      </w:r>
      <w:r>
        <w:rPr>
          <w:rFonts w:hint="eastAsia"/>
          <w:color w:val="auto"/>
          <w:highlight w:val="none"/>
          <w:lang w:eastAsia="zh-CN"/>
        </w:rPr>
        <w:t>各类</w:t>
      </w:r>
      <w:r>
        <w:rPr>
          <w:rFonts w:hint="eastAsia"/>
          <w:color w:val="auto"/>
          <w:highlight w:val="none"/>
        </w:rPr>
        <w:t>事故衍化规律、自然灾害影响程度，识别环境危害因素，分析与周边可能受影响的居民、单位、区域环境的关系，构建突发环境事件及其后果情景，确定环境风险等级。应急资源调查包括但不限于：调查企业第一时间可调用的环境应急队伍、装备、物资场所等应急资源状况和可请求援助或协议援助的应急资源状况。</w:t>
      </w:r>
    </w:p>
    <w:p w14:paraId="23253E24">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编制环境应急预案。合理选择类别，确定内容，重点说明可能的突发环境事件情景下需要采取的处置措施、向可能受影响的居民和单位通报的内容与方式、向</w:t>
      </w:r>
      <w:r>
        <w:rPr>
          <w:rFonts w:hint="eastAsia"/>
          <w:color w:val="auto"/>
          <w:highlight w:val="none"/>
          <w:lang w:eastAsia="zh-CN"/>
        </w:rPr>
        <w:t>生态环境主管部门</w:t>
      </w:r>
      <w:r>
        <w:rPr>
          <w:rFonts w:hint="eastAsia"/>
          <w:color w:val="auto"/>
          <w:highlight w:val="none"/>
        </w:rPr>
        <w:t>和有关部门报告的内容与方式，以及与当地突发环境事件应急预案的衔接方式，形成环境应急预案。修编过程中，应征求员工和可能受影响的居民和单位代表的意见。</w:t>
      </w:r>
    </w:p>
    <w:p w14:paraId="781554E8">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评审和演练环境应急预案。建设单位组织专家和可能受影响的居民、单位代表对环境应急预案进行评审，开展演练进行检验。</w:t>
      </w:r>
    </w:p>
    <w:p w14:paraId="6C994A7E">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olor w:val="auto"/>
          <w:highlight w:val="none"/>
        </w:rPr>
        <w:t>签署发布环境应急预案。环境应急预案经企业有关会议审议，由企业主要负责人签署发布。</w:t>
      </w:r>
    </w:p>
    <w:p w14:paraId="6908BDDE">
      <w:pPr>
        <w:pStyle w:val="4"/>
        <w:numPr>
          <w:ilvl w:val="0"/>
          <w:numId w:val="0"/>
        </w:numPr>
        <w:tabs>
          <w:tab w:val="clear" w:pos="720"/>
        </w:tabs>
        <w:bidi w:val="0"/>
        <w:rPr>
          <w:color w:val="auto"/>
          <w:highlight w:val="none"/>
        </w:rPr>
      </w:pPr>
      <w:bookmarkStart w:id="694" w:name="_Toc23542"/>
      <w:bookmarkStart w:id="695" w:name="_Toc1859"/>
      <w:bookmarkStart w:id="696" w:name="_Toc24965"/>
      <w:bookmarkStart w:id="697" w:name="_Toc11898"/>
      <w:bookmarkStart w:id="698" w:name="_Toc11086"/>
      <w:bookmarkStart w:id="699" w:name="_Toc6520"/>
      <w:bookmarkStart w:id="700" w:name="_Toc8977"/>
      <w:bookmarkStart w:id="701" w:name="_Toc16623"/>
      <w:bookmarkStart w:id="702" w:name="_Toc31783"/>
      <w:r>
        <w:rPr>
          <w:color w:val="auto"/>
          <w:highlight w:val="none"/>
        </w:rPr>
        <w:t>6.</w:t>
      </w:r>
      <w:r>
        <w:rPr>
          <w:rFonts w:hint="eastAsia"/>
          <w:color w:val="auto"/>
          <w:highlight w:val="none"/>
          <w:lang w:val="en-US" w:eastAsia="zh-CN"/>
        </w:rPr>
        <w:t>5</w:t>
      </w:r>
      <w:r>
        <w:rPr>
          <w:color w:val="auto"/>
          <w:highlight w:val="none"/>
        </w:rPr>
        <w:t>.</w:t>
      </w:r>
      <w:bookmarkEnd w:id="681"/>
      <w:bookmarkEnd w:id="682"/>
      <w:bookmarkEnd w:id="683"/>
      <w:bookmarkEnd w:id="684"/>
      <w:r>
        <w:rPr>
          <w:rFonts w:hint="eastAsia"/>
          <w:color w:val="auto"/>
          <w:highlight w:val="none"/>
          <w:lang w:val="en-US" w:eastAsia="zh-CN"/>
        </w:rPr>
        <w:t xml:space="preserve">2 </w:t>
      </w:r>
      <w:r>
        <w:rPr>
          <w:color w:val="auto"/>
          <w:highlight w:val="none"/>
        </w:rPr>
        <w:t>应急预案框架内容</w:t>
      </w:r>
      <w:bookmarkEnd w:id="694"/>
      <w:bookmarkEnd w:id="695"/>
      <w:bookmarkEnd w:id="696"/>
      <w:bookmarkEnd w:id="697"/>
      <w:bookmarkEnd w:id="698"/>
      <w:bookmarkEnd w:id="699"/>
      <w:bookmarkEnd w:id="700"/>
      <w:bookmarkEnd w:id="701"/>
      <w:bookmarkEnd w:id="702"/>
    </w:p>
    <w:p w14:paraId="058B8FC4">
      <w:pPr>
        <w:bidi w:val="0"/>
        <w:rPr>
          <w:color w:val="auto"/>
          <w:highlight w:val="none"/>
        </w:rPr>
      </w:pPr>
      <w:r>
        <w:rPr>
          <w:color w:val="auto"/>
          <w:highlight w:val="none"/>
        </w:rPr>
        <w:t>根据《建设项目环境风险评价技术导则》（</w:t>
      </w:r>
      <w:r>
        <w:rPr>
          <w:rFonts w:hint="eastAsia"/>
          <w:color w:val="auto"/>
          <w:highlight w:val="none"/>
          <w:lang w:eastAsia="zh-CN"/>
        </w:rPr>
        <w:t>HJ 169-2018</w:t>
      </w:r>
      <w:r>
        <w:rPr>
          <w:color w:val="auto"/>
          <w:highlight w:val="none"/>
        </w:rPr>
        <w:t>）的要求，本评价</w:t>
      </w:r>
      <w:r>
        <w:rPr>
          <w:rFonts w:hint="eastAsia"/>
          <w:color w:val="auto"/>
          <w:highlight w:val="none"/>
          <w:lang w:eastAsia="zh-CN"/>
        </w:rPr>
        <w:t>主要</w:t>
      </w:r>
      <w:r>
        <w:rPr>
          <w:color w:val="auto"/>
          <w:highlight w:val="none"/>
        </w:rPr>
        <w:t>提出本项目《</w:t>
      </w:r>
      <w:r>
        <w:rPr>
          <w:rFonts w:hint="eastAsia"/>
          <w:color w:val="auto"/>
          <w:highlight w:val="none"/>
        </w:rPr>
        <w:t>突发环境事件应急预案</w:t>
      </w:r>
      <w:r>
        <w:rPr>
          <w:color w:val="auto"/>
          <w:highlight w:val="none"/>
        </w:rPr>
        <w:t>》的编制原则和总体要求、主要管理内容和应急措施等，指导环境风险应急预案编制。环境风险应急预案应包括内容见表6</w:t>
      </w:r>
      <w:r>
        <w:rPr>
          <w:rFonts w:hint="eastAsia"/>
          <w:color w:val="auto"/>
          <w:highlight w:val="none"/>
          <w:lang w:val="en-US" w:eastAsia="zh-CN"/>
        </w:rPr>
        <w:t>.5</w:t>
      </w:r>
      <w:r>
        <w:rPr>
          <w:color w:val="auto"/>
          <w:highlight w:val="none"/>
        </w:rPr>
        <w:t>-1。</w:t>
      </w:r>
    </w:p>
    <w:p w14:paraId="7B745131">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6.5-1</w:t>
      </w:r>
      <w:r>
        <w:rPr>
          <w:rFonts w:hint="default" w:ascii="Times New Roman" w:hAnsi="Times New Roman" w:cs="Times New Roman"/>
          <w:color w:val="auto"/>
          <w:highlight w:val="none"/>
        </w:rPr>
        <w:t xml:space="preserve">  应急预案框架</w:t>
      </w:r>
    </w:p>
    <w:tbl>
      <w:tblPr>
        <w:tblStyle w:val="8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99"/>
        <w:gridCol w:w="6012"/>
      </w:tblGrid>
      <w:tr w14:paraId="697454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675" w:type="dxa"/>
            <w:tcBorders>
              <w:tl2br w:val="nil"/>
              <w:tr2bl w:val="nil"/>
            </w:tcBorders>
            <w:noWrap w:val="0"/>
            <w:vAlign w:val="center"/>
          </w:tcPr>
          <w:p w14:paraId="107E6FAD">
            <w:pPr>
              <w:pStyle w:val="1405"/>
              <w:bidi w:val="0"/>
              <w:rPr>
                <w:color w:val="auto"/>
                <w:highlight w:val="none"/>
              </w:rPr>
            </w:pPr>
            <w:r>
              <w:rPr>
                <w:color w:val="auto"/>
                <w:highlight w:val="none"/>
              </w:rPr>
              <w:t>序号</w:t>
            </w:r>
          </w:p>
        </w:tc>
        <w:tc>
          <w:tcPr>
            <w:tcW w:w="2599" w:type="dxa"/>
            <w:tcBorders>
              <w:tl2br w:val="nil"/>
              <w:tr2bl w:val="nil"/>
            </w:tcBorders>
            <w:noWrap w:val="0"/>
            <w:vAlign w:val="center"/>
          </w:tcPr>
          <w:p w14:paraId="1EC57B99">
            <w:pPr>
              <w:pStyle w:val="1405"/>
              <w:bidi w:val="0"/>
              <w:rPr>
                <w:color w:val="auto"/>
                <w:highlight w:val="none"/>
              </w:rPr>
            </w:pPr>
            <w:r>
              <w:rPr>
                <w:color w:val="auto"/>
                <w:highlight w:val="none"/>
              </w:rPr>
              <w:t>项 目</w:t>
            </w:r>
          </w:p>
        </w:tc>
        <w:tc>
          <w:tcPr>
            <w:tcW w:w="6012" w:type="dxa"/>
            <w:tcBorders>
              <w:tl2br w:val="nil"/>
              <w:tr2bl w:val="nil"/>
            </w:tcBorders>
            <w:noWrap w:val="0"/>
            <w:vAlign w:val="center"/>
          </w:tcPr>
          <w:p w14:paraId="3C738611">
            <w:pPr>
              <w:pStyle w:val="1405"/>
              <w:bidi w:val="0"/>
              <w:rPr>
                <w:color w:val="auto"/>
                <w:highlight w:val="none"/>
              </w:rPr>
            </w:pPr>
            <w:r>
              <w:rPr>
                <w:color w:val="auto"/>
                <w:highlight w:val="none"/>
              </w:rPr>
              <w:t>内 容 及 要 求</w:t>
            </w:r>
          </w:p>
        </w:tc>
      </w:tr>
      <w:tr w14:paraId="0103B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34724CF">
            <w:pPr>
              <w:pStyle w:val="1405"/>
              <w:bidi w:val="0"/>
              <w:rPr>
                <w:color w:val="auto"/>
                <w:highlight w:val="none"/>
              </w:rPr>
            </w:pPr>
            <w:r>
              <w:rPr>
                <w:color w:val="auto"/>
                <w:highlight w:val="none"/>
              </w:rPr>
              <w:t>1</w:t>
            </w:r>
          </w:p>
        </w:tc>
        <w:tc>
          <w:tcPr>
            <w:tcW w:w="2599" w:type="dxa"/>
            <w:tcBorders>
              <w:tl2br w:val="nil"/>
              <w:tr2bl w:val="nil"/>
            </w:tcBorders>
            <w:noWrap w:val="0"/>
            <w:vAlign w:val="center"/>
          </w:tcPr>
          <w:p w14:paraId="2E3C74B3">
            <w:pPr>
              <w:pStyle w:val="1405"/>
              <w:bidi w:val="0"/>
              <w:rPr>
                <w:color w:val="auto"/>
                <w:highlight w:val="none"/>
              </w:rPr>
            </w:pPr>
            <w:r>
              <w:rPr>
                <w:color w:val="auto"/>
                <w:highlight w:val="none"/>
              </w:rPr>
              <w:t>应急计划区</w:t>
            </w:r>
          </w:p>
        </w:tc>
        <w:tc>
          <w:tcPr>
            <w:tcW w:w="6012" w:type="dxa"/>
            <w:tcBorders>
              <w:tl2br w:val="nil"/>
              <w:tr2bl w:val="nil"/>
            </w:tcBorders>
            <w:noWrap w:val="0"/>
            <w:vAlign w:val="center"/>
          </w:tcPr>
          <w:p w14:paraId="29D76EBD">
            <w:pPr>
              <w:pStyle w:val="1405"/>
              <w:bidi w:val="0"/>
              <w:rPr>
                <w:color w:val="auto"/>
                <w:highlight w:val="none"/>
              </w:rPr>
            </w:pPr>
            <w:r>
              <w:rPr>
                <w:color w:val="auto"/>
                <w:highlight w:val="none"/>
              </w:rPr>
              <w:t>危险目标：整个厂区、环境保护目标</w:t>
            </w:r>
          </w:p>
        </w:tc>
      </w:tr>
      <w:tr w14:paraId="417E5B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202E6BB8">
            <w:pPr>
              <w:pStyle w:val="1405"/>
              <w:bidi w:val="0"/>
              <w:rPr>
                <w:color w:val="auto"/>
                <w:highlight w:val="none"/>
              </w:rPr>
            </w:pPr>
            <w:r>
              <w:rPr>
                <w:color w:val="auto"/>
                <w:highlight w:val="none"/>
              </w:rPr>
              <w:t>2</w:t>
            </w:r>
          </w:p>
        </w:tc>
        <w:tc>
          <w:tcPr>
            <w:tcW w:w="2599" w:type="dxa"/>
            <w:tcBorders>
              <w:tl2br w:val="nil"/>
              <w:tr2bl w:val="nil"/>
            </w:tcBorders>
            <w:noWrap w:val="0"/>
            <w:vAlign w:val="center"/>
          </w:tcPr>
          <w:p w14:paraId="27B65BA0">
            <w:pPr>
              <w:pStyle w:val="1405"/>
              <w:bidi w:val="0"/>
              <w:rPr>
                <w:color w:val="auto"/>
                <w:highlight w:val="none"/>
              </w:rPr>
            </w:pPr>
            <w:r>
              <w:rPr>
                <w:color w:val="auto"/>
                <w:highlight w:val="none"/>
              </w:rPr>
              <w:t>应急组织机构、人员</w:t>
            </w:r>
          </w:p>
        </w:tc>
        <w:tc>
          <w:tcPr>
            <w:tcW w:w="6012" w:type="dxa"/>
            <w:tcBorders>
              <w:tl2br w:val="nil"/>
              <w:tr2bl w:val="nil"/>
            </w:tcBorders>
            <w:noWrap w:val="0"/>
            <w:vAlign w:val="center"/>
          </w:tcPr>
          <w:p w14:paraId="07FFD728">
            <w:pPr>
              <w:pStyle w:val="1405"/>
              <w:bidi w:val="0"/>
              <w:rPr>
                <w:color w:val="auto"/>
                <w:highlight w:val="none"/>
              </w:rPr>
            </w:pPr>
            <w:r>
              <w:rPr>
                <w:color w:val="auto"/>
                <w:highlight w:val="none"/>
              </w:rPr>
              <w:t>工厂、地区应急组织机构、人员</w:t>
            </w:r>
          </w:p>
        </w:tc>
      </w:tr>
      <w:tr w14:paraId="01BE0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E04289A">
            <w:pPr>
              <w:pStyle w:val="1405"/>
              <w:bidi w:val="0"/>
              <w:rPr>
                <w:color w:val="auto"/>
                <w:highlight w:val="none"/>
              </w:rPr>
            </w:pPr>
            <w:r>
              <w:rPr>
                <w:color w:val="auto"/>
                <w:highlight w:val="none"/>
              </w:rPr>
              <w:t>3</w:t>
            </w:r>
          </w:p>
        </w:tc>
        <w:tc>
          <w:tcPr>
            <w:tcW w:w="2599" w:type="dxa"/>
            <w:tcBorders>
              <w:tl2br w:val="nil"/>
              <w:tr2bl w:val="nil"/>
            </w:tcBorders>
            <w:noWrap w:val="0"/>
            <w:vAlign w:val="center"/>
          </w:tcPr>
          <w:p w14:paraId="32CC8D59">
            <w:pPr>
              <w:pStyle w:val="1405"/>
              <w:bidi w:val="0"/>
              <w:rPr>
                <w:color w:val="auto"/>
                <w:highlight w:val="none"/>
              </w:rPr>
            </w:pPr>
            <w:r>
              <w:rPr>
                <w:color w:val="auto"/>
                <w:highlight w:val="none"/>
              </w:rPr>
              <w:t>预案分级响应条件</w:t>
            </w:r>
          </w:p>
        </w:tc>
        <w:tc>
          <w:tcPr>
            <w:tcW w:w="6012" w:type="dxa"/>
            <w:tcBorders>
              <w:tl2br w:val="nil"/>
              <w:tr2bl w:val="nil"/>
            </w:tcBorders>
            <w:noWrap w:val="0"/>
            <w:vAlign w:val="center"/>
          </w:tcPr>
          <w:p w14:paraId="01052ED4">
            <w:pPr>
              <w:pStyle w:val="1405"/>
              <w:bidi w:val="0"/>
              <w:rPr>
                <w:color w:val="auto"/>
                <w:highlight w:val="none"/>
              </w:rPr>
            </w:pPr>
            <w:r>
              <w:rPr>
                <w:color w:val="auto"/>
                <w:highlight w:val="none"/>
              </w:rPr>
              <w:t>规定预案的级别及分级响应程序</w:t>
            </w:r>
          </w:p>
        </w:tc>
      </w:tr>
      <w:tr w14:paraId="644CE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04890FA">
            <w:pPr>
              <w:pStyle w:val="1405"/>
              <w:bidi w:val="0"/>
              <w:rPr>
                <w:color w:val="auto"/>
                <w:highlight w:val="none"/>
              </w:rPr>
            </w:pPr>
            <w:r>
              <w:rPr>
                <w:color w:val="auto"/>
                <w:highlight w:val="none"/>
              </w:rPr>
              <w:t>4</w:t>
            </w:r>
          </w:p>
        </w:tc>
        <w:tc>
          <w:tcPr>
            <w:tcW w:w="2599" w:type="dxa"/>
            <w:tcBorders>
              <w:tl2br w:val="nil"/>
              <w:tr2bl w:val="nil"/>
            </w:tcBorders>
            <w:noWrap w:val="0"/>
            <w:vAlign w:val="center"/>
          </w:tcPr>
          <w:p w14:paraId="36D8126F">
            <w:pPr>
              <w:pStyle w:val="1405"/>
              <w:bidi w:val="0"/>
              <w:rPr>
                <w:color w:val="auto"/>
                <w:highlight w:val="none"/>
              </w:rPr>
            </w:pPr>
            <w:r>
              <w:rPr>
                <w:color w:val="auto"/>
                <w:highlight w:val="none"/>
              </w:rPr>
              <w:t>应急救援保障</w:t>
            </w:r>
          </w:p>
        </w:tc>
        <w:tc>
          <w:tcPr>
            <w:tcW w:w="6012" w:type="dxa"/>
            <w:tcBorders>
              <w:tl2br w:val="nil"/>
              <w:tr2bl w:val="nil"/>
            </w:tcBorders>
            <w:noWrap w:val="0"/>
            <w:vAlign w:val="center"/>
          </w:tcPr>
          <w:p w14:paraId="3AB2DCDE">
            <w:pPr>
              <w:pStyle w:val="1405"/>
              <w:bidi w:val="0"/>
              <w:rPr>
                <w:color w:val="auto"/>
                <w:highlight w:val="none"/>
              </w:rPr>
            </w:pPr>
            <w:r>
              <w:rPr>
                <w:color w:val="auto"/>
                <w:highlight w:val="none"/>
              </w:rPr>
              <w:t>应急设施，设备与器材等</w:t>
            </w:r>
          </w:p>
        </w:tc>
      </w:tr>
      <w:tr w14:paraId="1E2959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4C521C6">
            <w:pPr>
              <w:pStyle w:val="1405"/>
              <w:bidi w:val="0"/>
              <w:rPr>
                <w:color w:val="auto"/>
                <w:highlight w:val="none"/>
              </w:rPr>
            </w:pPr>
            <w:r>
              <w:rPr>
                <w:color w:val="auto"/>
                <w:highlight w:val="none"/>
              </w:rPr>
              <w:t>5</w:t>
            </w:r>
          </w:p>
        </w:tc>
        <w:tc>
          <w:tcPr>
            <w:tcW w:w="2599" w:type="dxa"/>
            <w:tcBorders>
              <w:tl2br w:val="nil"/>
              <w:tr2bl w:val="nil"/>
            </w:tcBorders>
            <w:noWrap w:val="0"/>
            <w:vAlign w:val="center"/>
          </w:tcPr>
          <w:p w14:paraId="5BF3C5CF">
            <w:pPr>
              <w:pStyle w:val="1405"/>
              <w:bidi w:val="0"/>
              <w:rPr>
                <w:color w:val="auto"/>
                <w:highlight w:val="none"/>
              </w:rPr>
            </w:pPr>
            <w:r>
              <w:rPr>
                <w:color w:val="auto"/>
                <w:highlight w:val="none"/>
              </w:rPr>
              <w:t>报警、通讯联络方式</w:t>
            </w:r>
          </w:p>
        </w:tc>
        <w:tc>
          <w:tcPr>
            <w:tcW w:w="6012" w:type="dxa"/>
            <w:tcBorders>
              <w:tl2br w:val="nil"/>
              <w:tr2bl w:val="nil"/>
            </w:tcBorders>
            <w:noWrap w:val="0"/>
            <w:vAlign w:val="center"/>
          </w:tcPr>
          <w:p w14:paraId="708690A6">
            <w:pPr>
              <w:pStyle w:val="1405"/>
              <w:bidi w:val="0"/>
              <w:rPr>
                <w:color w:val="auto"/>
                <w:highlight w:val="none"/>
              </w:rPr>
            </w:pPr>
            <w:r>
              <w:rPr>
                <w:color w:val="auto"/>
                <w:highlight w:val="none"/>
              </w:rPr>
              <w:t>规定应急状态下的报警通讯方式、通知方式和交通保障、管制</w:t>
            </w:r>
          </w:p>
        </w:tc>
      </w:tr>
      <w:tr w14:paraId="45A9B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C86F63E">
            <w:pPr>
              <w:pStyle w:val="1405"/>
              <w:bidi w:val="0"/>
              <w:rPr>
                <w:color w:val="auto"/>
                <w:highlight w:val="none"/>
              </w:rPr>
            </w:pPr>
            <w:r>
              <w:rPr>
                <w:color w:val="auto"/>
                <w:highlight w:val="none"/>
              </w:rPr>
              <w:t>6</w:t>
            </w:r>
          </w:p>
        </w:tc>
        <w:tc>
          <w:tcPr>
            <w:tcW w:w="2599" w:type="dxa"/>
            <w:tcBorders>
              <w:tl2br w:val="nil"/>
              <w:tr2bl w:val="nil"/>
            </w:tcBorders>
            <w:noWrap w:val="0"/>
            <w:vAlign w:val="center"/>
          </w:tcPr>
          <w:p w14:paraId="253012D0">
            <w:pPr>
              <w:pStyle w:val="1405"/>
              <w:bidi w:val="0"/>
              <w:rPr>
                <w:color w:val="auto"/>
                <w:highlight w:val="none"/>
              </w:rPr>
            </w:pPr>
            <w:r>
              <w:rPr>
                <w:color w:val="auto"/>
                <w:highlight w:val="none"/>
              </w:rPr>
              <w:t>应急环境监测、抢险、救援及控制措施</w:t>
            </w:r>
          </w:p>
        </w:tc>
        <w:tc>
          <w:tcPr>
            <w:tcW w:w="6012" w:type="dxa"/>
            <w:tcBorders>
              <w:tl2br w:val="nil"/>
              <w:tr2bl w:val="nil"/>
            </w:tcBorders>
            <w:noWrap w:val="0"/>
            <w:vAlign w:val="center"/>
          </w:tcPr>
          <w:p w14:paraId="053CF511">
            <w:pPr>
              <w:pStyle w:val="1405"/>
              <w:bidi w:val="0"/>
              <w:rPr>
                <w:color w:val="auto"/>
                <w:highlight w:val="none"/>
              </w:rPr>
            </w:pPr>
            <w:r>
              <w:rPr>
                <w:color w:val="auto"/>
                <w:highlight w:val="none"/>
              </w:rPr>
              <w:t>由专业队伍负责对事故现场进行侦察监测，对事故性质、参数与后果进行评估，为指挥部门提供决策依据</w:t>
            </w:r>
          </w:p>
        </w:tc>
      </w:tr>
      <w:tr w14:paraId="1D969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36684D25">
            <w:pPr>
              <w:pStyle w:val="1405"/>
              <w:bidi w:val="0"/>
              <w:rPr>
                <w:color w:val="auto"/>
                <w:highlight w:val="none"/>
              </w:rPr>
            </w:pPr>
            <w:r>
              <w:rPr>
                <w:color w:val="auto"/>
                <w:highlight w:val="none"/>
              </w:rPr>
              <w:t>7</w:t>
            </w:r>
          </w:p>
        </w:tc>
        <w:tc>
          <w:tcPr>
            <w:tcW w:w="2599" w:type="dxa"/>
            <w:tcBorders>
              <w:tl2br w:val="nil"/>
              <w:tr2bl w:val="nil"/>
            </w:tcBorders>
            <w:noWrap w:val="0"/>
            <w:vAlign w:val="center"/>
          </w:tcPr>
          <w:p w14:paraId="2212168A">
            <w:pPr>
              <w:pStyle w:val="1405"/>
              <w:bidi w:val="0"/>
              <w:rPr>
                <w:color w:val="auto"/>
                <w:highlight w:val="none"/>
              </w:rPr>
            </w:pPr>
            <w:r>
              <w:rPr>
                <w:color w:val="auto"/>
                <w:highlight w:val="none"/>
              </w:rPr>
              <w:t>应急检测、防护措施、清除泄漏措施和器材</w:t>
            </w:r>
          </w:p>
        </w:tc>
        <w:tc>
          <w:tcPr>
            <w:tcW w:w="6012" w:type="dxa"/>
            <w:tcBorders>
              <w:tl2br w:val="nil"/>
              <w:tr2bl w:val="nil"/>
            </w:tcBorders>
            <w:noWrap w:val="0"/>
            <w:vAlign w:val="center"/>
          </w:tcPr>
          <w:p w14:paraId="42339C89">
            <w:pPr>
              <w:pStyle w:val="1405"/>
              <w:bidi w:val="0"/>
              <w:rPr>
                <w:color w:val="auto"/>
                <w:highlight w:val="none"/>
              </w:rPr>
            </w:pPr>
            <w:r>
              <w:rPr>
                <w:color w:val="auto"/>
                <w:highlight w:val="none"/>
              </w:rPr>
              <w:t>事故现场、邻近区域、控制防火区域，控制和清除污染措施及相应设备</w:t>
            </w:r>
          </w:p>
        </w:tc>
      </w:tr>
      <w:tr w14:paraId="564EC7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46F100A9">
            <w:pPr>
              <w:pStyle w:val="1405"/>
              <w:bidi w:val="0"/>
              <w:rPr>
                <w:color w:val="auto"/>
                <w:highlight w:val="none"/>
              </w:rPr>
            </w:pPr>
            <w:r>
              <w:rPr>
                <w:color w:val="auto"/>
                <w:highlight w:val="none"/>
              </w:rPr>
              <w:t>8</w:t>
            </w:r>
          </w:p>
        </w:tc>
        <w:tc>
          <w:tcPr>
            <w:tcW w:w="2599" w:type="dxa"/>
            <w:tcBorders>
              <w:tl2br w:val="nil"/>
              <w:tr2bl w:val="nil"/>
            </w:tcBorders>
            <w:noWrap w:val="0"/>
            <w:vAlign w:val="center"/>
          </w:tcPr>
          <w:p w14:paraId="145AD33F">
            <w:pPr>
              <w:pStyle w:val="1405"/>
              <w:bidi w:val="0"/>
              <w:rPr>
                <w:color w:val="auto"/>
                <w:highlight w:val="none"/>
              </w:rPr>
            </w:pPr>
            <w:r>
              <w:rPr>
                <w:color w:val="auto"/>
                <w:highlight w:val="none"/>
              </w:rPr>
              <w:t>人员紧急撤离、疏散，应急剂量控制、撤离组织计划</w:t>
            </w:r>
          </w:p>
        </w:tc>
        <w:tc>
          <w:tcPr>
            <w:tcW w:w="6012" w:type="dxa"/>
            <w:tcBorders>
              <w:tl2br w:val="nil"/>
              <w:tr2bl w:val="nil"/>
            </w:tcBorders>
            <w:noWrap w:val="0"/>
            <w:vAlign w:val="center"/>
          </w:tcPr>
          <w:p w14:paraId="603E327D">
            <w:pPr>
              <w:pStyle w:val="1405"/>
              <w:bidi w:val="0"/>
              <w:rPr>
                <w:color w:val="auto"/>
                <w:highlight w:val="none"/>
              </w:rPr>
            </w:pPr>
            <w:r>
              <w:rPr>
                <w:color w:val="auto"/>
                <w:highlight w:val="none"/>
              </w:rPr>
              <w:t>事故现场、工厂邻近</w:t>
            </w:r>
            <w:r>
              <w:rPr>
                <w:rFonts w:hint="eastAsia"/>
                <w:color w:val="auto"/>
                <w:highlight w:val="none"/>
                <w:lang w:eastAsia="zh-CN"/>
              </w:rPr>
              <w:t>区域</w:t>
            </w:r>
            <w:r>
              <w:rPr>
                <w:color w:val="auto"/>
                <w:highlight w:val="none"/>
              </w:rPr>
              <w:t>、受事故影响的区域人员及公众对毒物应急剂量控制规定，撤离组织计划及救护，医疗救护与公众健康</w:t>
            </w:r>
          </w:p>
        </w:tc>
      </w:tr>
      <w:tr w14:paraId="3CAFB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08F92E32">
            <w:pPr>
              <w:pStyle w:val="1405"/>
              <w:bidi w:val="0"/>
              <w:rPr>
                <w:color w:val="auto"/>
                <w:highlight w:val="none"/>
              </w:rPr>
            </w:pPr>
            <w:r>
              <w:rPr>
                <w:color w:val="auto"/>
                <w:highlight w:val="none"/>
              </w:rPr>
              <w:t>9</w:t>
            </w:r>
          </w:p>
        </w:tc>
        <w:tc>
          <w:tcPr>
            <w:tcW w:w="2599" w:type="dxa"/>
            <w:tcBorders>
              <w:tl2br w:val="nil"/>
              <w:tr2bl w:val="nil"/>
            </w:tcBorders>
            <w:noWrap w:val="0"/>
            <w:vAlign w:val="center"/>
          </w:tcPr>
          <w:p w14:paraId="50D0358F">
            <w:pPr>
              <w:pStyle w:val="1405"/>
              <w:bidi w:val="0"/>
              <w:rPr>
                <w:color w:val="auto"/>
                <w:highlight w:val="none"/>
              </w:rPr>
            </w:pPr>
            <w:r>
              <w:rPr>
                <w:color w:val="auto"/>
                <w:highlight w:val="none"/>
              </w:rPr>
              <w:t>事故应急救援关闭程序与恢复措施</w:t>
            </w:r>
          </w:p>
        </w:tc>
        <w:tc>
          <w:tcPr>
            <w:tcW w:w="6012" w:type="dxa"/>
            <w:tcBorders>
              <w:tl2br w:val="nil"/>
              <w:tr2bl w:val="nil"/>
            </w:tcBorders>
            <w:noWrap w:val="0"/>
            <w:vAlign w:val="center"/>
          </w:tcPr>
          <w:p w14:paraId="233EAE3C">
            <w:pPr>
              <w:pStyle w:val="1405"/>
              <w:bidi w:val="0"/>
              <w:rPr>
                <w:color w:val="auto"/>
                <w:highlight w:val="none"/>
              </w:rPr>
            </w:pPr>
            <w:r>
              <w:rPr>
                <w:color w:val="auto"/>
                <w:highlight w:val="none"/>
              </w:rPr>
              <w:t>规定应急状态终止程序；事故现场善后处理，恢复措施；邻近区域解除事故警戒及善后恢复措施</w:t>
            </w:r>
          </w:p>
        </w:tc>
      </w:tr>
      <w:tr w14:paraId="3647F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47538710">
            <w:pPr>
              <w:pStyle w:val="1405"/>
              <w:bidi w:val="0"/>
              <w:rPr>
                <w:color w:val="auto"/>
                <w:highlight w:val="none"/>
              </w:rPr>
            </w:pPr>
            <w:r>
              <w:rPr>
                <w:color w:val="auto"/>
                <w:highlight w:val="none"/>
              </w:rPr>
              <w:t>10</w:t>
            </w:r>
          </w:p>
        </w:tc>
        <w:tc>
          <w:tcPr>
            <w:tcW w:w="2599" w:type="dxa"/>
            <w:tcBorders>
              <w:tl2br w:val="nil"/>
              <w:tr2bl w:val="nil"/>
            </w:tcBorders>
            <w:noWrap w:val="0"/>
            <w:vAlign w:val="center"/>
          </w:tcPr>
          <w:p w14:paraId="23A36E59">
            <w:pPr>
              <w:pStyle w:val="1405"/>
              <w:bidi w:val="0"/>
              <w:rPr>
                <w:color w:val="auto"/>
                <w:highlight w:val="none"/>
              </w:rPr>
            </w:pPr>
            <w:r>
              <w:rPr>
                <w:color w:val="auto"/>
                <w:highlight w:val="none"/>
              </w:rPr>
              <w:t>应急培训计划</w:t>
            </w:r>
          </w:p>
        </w:tc>
        <w:tc>
          <w:tcPr>
            <w:tcW w:w="6012" w:type="dxa"/>
            <w:tcBorders>
              <w:tl2br w:val="nil"/>
              <w:tr2bl w:val="nil"/>
            </w:tcBorders>
            <w:noWrap w:val="0"/>
            <w:vAlign w:val="center"/>
          </w:tcPr>
          <w:p w14:paraId="2FEB683D">
            <w:pPr>
              <w:pStyle w:val="1405"/>
              <w:bidi w:val="0"/>
              <w:rPr>
                <w:color w:val="auto"/>
                <w:highlight w:val="none"/>
              </w:rPr>
            </w:pPr>
            <w:r>
              <w:rPr>
                <w:color w:val="auto"/>
                <w:highlight w:val="none"/>
              </w:rPr>
              <w:t>应急计划制定后，平时安排人员培训与演练</w:t>
            </w:r>
          </w:p>
        </w:tc>
      </w:tr>
      <w:tr w14:paraId="0D1CE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5" w:type="dxa"/>
            <w:tcBorders>
              <w:tl2br w:val="nil"/>
              <w:tr2bl w:val="nil"/>
            </w:tcBorders>
            <w:noWrap w:val="0"/>
            <w:vAlign w:val="center"/>
          </w:tcPr>
          <w:p w14:paraId="311B6B95">
            <w:pPr>
              <w:pStyle w:val="1405"/>
              <w:bidi w:val="0"/>
              <w:rPr>
                <w:color w:val="auto"/>
                <w:highlight w:val="none"/>
              </w:rPr>
            </w:pPr>
            <w:r>
              <w:rPr>
                <w:color w:val="auto"/>
                <w:highlight w:val="none"/>
              </w:rPr>
              <w:t>11</w:t>
            </w:r>
          </w:p>
        </w:tc>
        <w:tc>
          <w:tcPr>
            <w:tcW w:w="2599" w:type="dxa"/>
            <w:tcBorders>
              <w:tl2br w:val="nil"/>
              <w:tr2bl w:val="nil"/>
            </w:tcBorders>
            <w:noWrap w:val="0"/>
            <w:vAlign w:val="center"/>
          </w:tcPr>
          <w:p w14:paraId="4942AE50">
            <w:pPr>
              <w:pStyle w:val="1405"/>
              <w:bidi w:val="0"/>
              <w:rPr>
                <w:color w:val="auto"/>
                <w:highlight w:val="none"/>
              </w:rPr>
            </w:pPr>
            <w:r>
              <w:rPr>
                <w:color w:val="auto"/>
                <w:highlight w:val="none"/>
              </w:rPr>
              <w:t>公众教育和信息</w:t>
            </w:r>
          </w:p>
        </w:tc>
        <w:tc>
          <w:tcPr>
            <w:tcW w:w="6012" w:type="dxa"/>
            <w:tcBorders>
              <w:tl2br w:val="nil"/>
              <w:tr2bl w:val="nil"/>
            </w:tcBorders>
            <w:noWrap w:val="0"/>
            <w:vAlign w:val="center"/>
          </w:tcPr>
          <w:p w14:paraId="0AA41F37">
            <w:pPr>
              <w:pStyle w:val="1405"/>
              <w:bidi w:val="0"/>
              <w:rPr>
                <w:color w:val="auto"/>
                <w:highlight w:val="none"/>
              </w:rPr>
            </w:pPr>
            <w:r>
              <w:rPr>
                <w:color w:val="auto"/>
                <w:highlight w:val="none"/>
              </w:rPr>
              <w:t>对工厂邻近地区开展公众教育、培训和发布有关信息</w:t>
            </w:r>
          </w:p>
        </w:tc>
      </w:tr>
    </w:tbl>
    <w:p w14:paraId="21A445BB">
      <w:pPr>
        <w:pStyle w:val="3"/>
        <w:numPr>
          <w:ilvl w:val="1"/>
          <w:numId w:val="0"/>
        </w:numPr>
        <w:bidi w:val="0"/>
        <w:rPr>
          <w:rFonts w:hint="default"/>
          <w:color w:val="auto"/>
          <w:highlight w:val="none"/>
          <w:lang w:val="en-US" w:eastAsia="zh-CN"/>
        </w:rPr>
      </w:pPr>
      <w:bookmarkStart w:id="703" w:name="_Toc25919"/>
      <w:bookmarkStart w:id="704" w:name="_Toc15071"/>
      <w:bookmarkStart w:id="705" w:name="_Toc4076"/>
      <w:bookmarkStart w:id="706" w:name="_Toc27279"/>
      <w:r>
        <w:rPr>
          <w:rFonts w:hint="default"/>
          <w:color w:val="auto"/>
          <w:highlight w:val="none"/>
          <w:lang w:val="en-US" w:eastAsia="zh-CN"/>
        </w:rPr>
        <w:t>6.</w:t>
      </w:r>
      <w:r>
        <w:rPr>
          <w:rFonts w:hint="eastAsia"/>
          <w:color w:val="auto"/>
          <w:highlight w:val="none"/>
          <w:lang w:val="en-US" w:eastAsia="zh-CN"/>
        </w:rPr>
        <w:t xml:space="preserve">6 </w:t>
      </w:r>
      <w:r>
        <w:rPr>
          <w:rFonts w:hint="default"/>
          <w:color w:val="auto"/>
          <w:highlight w:val="none"/>
          <w:lang w:val="en-US" w:eastAsia="zh-CN"/>
        </w:rPr>
        <w:t>碳排放环境影响评价</w:t>
      </w:r>
      <w:bookmarkEnd w:id="703"/>
      <w:bookmarkEnd w:id="704"/>
      <w:bookmarkEnd w:id="705"/>
      <w:bookmarkEnd w:id="706"/>
    </w:p>
    <w:p w14:paraId="16CAE373">
      <w:pPr>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jc w:val="both"/>
        <w:textAlignment w:val="auto"/>
        <w:outlineLvl w:val="2"/>
        <w:rPr>
          <w:rFonts w:hint="default" w:ascii="Times New Roman" w:hAnsi="Times New Roman" w:eastAsia="宋体" w:cs="Times New Roman"/>
          <w:b/>
          <w:bCs/>
          <w:color w:val="auto"/>
          <w:kern w:val="2"/>
          <w:sz w:val="28"/>
          <w:szCs w:val="32"/>
          <w:highlight w:val="none"/>
          <w:lang w:val="en-US" w:eastAsia="zh-CN" w:bidi="ar-SA"/>
        </w:rPr>
      </w:pPr>
      <w:bookmarkStart w:id="707" w:name="_Toc30467"/>
      <w:bookmarkStart w:id="708" w:name="_Toc15587"/>
      <w:bookmarkStart w:id="709" w:name="_Toc31682"/>
      <w:bookmarkStart w:id="710" w:name="_Toc20985"/>
      <w:bookmarkStart w:id="711" w:name="_Toc23708"/>
      <w:bookmarkStart w:id="712" w:name="_Toc4461"/>
      <w:bookmarkStart w:id="713" w:name="_Toc31004"/>
      <w:bookmarkStart w:id="714" w:name="_Toc3324"/>
      <w:bookmarkStart w:id="715" w:name="_Toc18745"/>
      <w:bookmarkStart w:id="716" w:name="_Toc17677"/>
      <w:bookmarkStart w:id="717" w:name="_Toc31234"/>
      <w:bookmarkStart w:id="718" w:name="_Toc3792"/>
      <w:bookmarkStart w:id="719" w:name="_Toc15730"/>
      <w:bookmarkStart w:id="720" w:name="_Toc25331"/>
      <w:bookmarkStart w:id="721" w:name="_Toc6394"/>
      <w:bookmarkStart w:id="722" w:name="_Toc17418"/>
      <w:bookmarkStart w:id="723" w:name="_Toc20293"/>
      <w:bookmarkStart w:id="724" w:name="_Toc8930"/>
      <w:bookmarkStart w:id="725" w:name="_Toc21803"/>
      <w:bookmarkStart w:id="726" w:name="_Toc21057"/>
      <w:bookmarkStart w:id="727" w:name="_Toc28237"/>
      <w:bookmarkStart w:id="728" w:name="_Toc20077"/>
      <w:r>
        <w:rPr>
          <w:rFonts w:hint="default" w:ascii="Times New Roman" w:hAnsi="Times New Roman" w:eastAsia="宋体" w:cs="Times New Roman"/>
          <w:b/>
          <w:bCs/>
          <w:color w:val="auto"/>
          <w:kern w:val="2"/>
          <w:sz w:val="28"/>
          <w:szCs w:val="32"/>
          <w:highlight w:val="none"/>
          <w:lang w:val="en-US" w:eastAsia="zh-CN" w:bidi="ar-SA"/>
        </w:rPr>
        <w:t>6.</w:t>
      </w:r>
      <w:r>
        <w:rPr>
          <w:rFonts w:hint="eastAsia" w:ascii="Times New Roman" w:hAnsi="Times New Roman" w:eastAsia="宋体" w:cs="Times New Roman"/>
          <w:b/>
          <w:bCs/>
          <w:color w:val="auto"/>
          <w:kern w:val="2"/>
          <w:sz w:val="28"/>
          <w:szCs w:val="32"/>
          <w:highlight w:val="none"/>
          <w:lang w:val="en-US" w:eastAsia="zh-CN" w:bidi="ar-SA"/>
        </w:rPr>
        <w:t>6</w:t>
      </w:r>
      <w:r>
        <w:rPr>
          <w:rFonts w:hint="default" w:ascii="Times New Roman" w:hAnsi="Times New Roman" w:eastAsia="宋体" w:cs="Times New Roman"/>
          <w:b/>
          <w:bCs/>
          <w:color w:val="auto"/>
          <w:kern w:val="2"/>
          <w:sz w:val="28"/>
          <w:szCs w:val="32"/>
          <w:highlight w:val="none"/>
          <w:lang w:val="en-US" w:eastAsia="zh-CN" w:bidi="ar-SA"/>
        </w:rPr>
        <w:t>.1</w:t>
      </w:r>
      <w:r>
        <w:rPr>
          <w:rFonts w:hint="eastAsia" w:cs="Times New Roman"/>
          <w:b/>
          <w:bCs/>
          <w:color w:val="auto"/>
          <w:kern w:val="2"/>
          <w:sz w:val="28"/>
          <w:szCs w:val="32"/>
          <w:highlight w:val="none"/>
          <w:lang w:val="en-US" w:eastAsia="zh-CN" w:bidi="ar-SA"/>
        </w:rPr>
        <w:t xml:space="preserve"> </w:t>
      </w:r>
      <w:r>
        <w:rPr>
          <w:rFonts w:hint="default" w:ascii="Times New Roman" w:hAnsi="Times New Roman" w:eastAsia="宋体" w:cs="Times New Roman"/>
          <w:b/>
          <w:bCs/>
          <w:color w:val="auto"/>
          <w:kern w:val="2"/>
          <w:sz w:val="28"/>
          <w:szCs w:val="32"/>
          <w:highlight w:val="none"/>
          <w:lang w:val="en-US" w:eastAsia="zh-CN" w:bidi="ar-SA"/>
        </w:rPr>
        <w:t>碳排放政策符合性分析</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3E73E948">
      <w:pPr>
        <w:bidi w:val="0"/>
        <w:rPr>
          <w:rFonts w:hint="default"/>
          <w:color w:val="auto"/>
          <w:highlight w:val="none"/>
        </w:rPr>
      </w:pPr>
      <w:r>
        <w:rPr>
          <w:rFonts w:hint="default"/>
          <w:color w:val="auto"/>
          <w:highlight w:val="none"/>
        </w:rPr>
        <w:t>本项目与碳排放相关政策符合性情况如下：</w:t>
      </w:r>
    </w:p>
    <w:p w14:paraId="16F7F3C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表6.6-1  本项目与碳排放相关政策符合性对比结果一览表</w:t>
      </w:r>
    </w:p>
    <w:tbl>
      <w:tblPr>
        <w:tblStyle w:val="1311"/>
        <w:tblW w:w="506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1592"/>
        <w:gridCol w:w="3608"/>
        <w:gridCol w:w="3113"/>
        <w:gridCol w:w="590"/>
      </w:tblGrid>
      <w:tr w14:paraId="46CC372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06" w:hRule="atLeast"/>
          <w:jc w:val="center"/>
        </w:trPr>
        <w:tc>
          <w:tcPr>
            <w:tcW w:w="1505" w:type="dxa"/>
            <w:tcBorders>
              <w:tl2br w:val="nil"/>
              <w:tr2bl w:val="nil"/>
            </w:tcBorders>
            <w:noWrap w:val="0"/>
            <w:vAlign w:val="center"/>
          </w:tcPr>
          <w:p w14:paraId="4F9FC0C3">
            <w:pPr>
              <w:pStyle w:val="1389"/>
              <w:tabs>
                <w:tab w:val="left" w:pos="0"/>
              </w:tabs>
              <w:autoSpaceDE w:val="0"/>
              <w:autoSpaceDN w:val="0"/>
              <w:rPr>
                <w:color w:val="auto"/>
                <w:highlight w:val="none"/>
                <w:lang w:eastAsia="en-US"/>
              </w:rPr>
            </w:pPr>
            <w:r>
              <w:rPr>
                <w:color w:val="auto"/>
                <w:highlight w:val="none"/>
                <w:lang w:eastAsia="en-US"/>
              </w:rPr>
              <w:t>文件名称</w:t>
            </w:r>
          </w:p>
        </w:tc>
        <w:tc>
          <w:tcPr>
            <w:tcW w:w="3411" w:type="dxa"/>
            <w:tcBorders>
              <w:tl2br w:val="nil"/>
              <w:tr2bl w:val="nil"/>
            </w:tcBorders>
            <w:noWrap w:val="0"/>
            <w:vAlign w:val="center"/>
          </w:tcPr>
          <w:p w14:paraId="2AC9FC0E">
            <w:pPr>
              <w:pStyle w:val="1389"/>
              <w:tabs>
                <w:tab w:val="left" w:pos="0"/>
              </w:tabs>
              <w:autoSpaceDE w:val="0"/>
              <w:autoSpaceDN w:val="0"/>
              <w:rPr>
                <w:color w:val="auto"/>
                <w:highlight w:val="none"/>
                <w:lang w:eastAsia="en-US"/>
              </w:rPr>
            </w:pPr>
            <w:r>
              <w:rPr>
                <w:color w:val="auto"/>
                <w:highlight w:val="none"/>
                <w:lang w:eastAsia="en-US"/>
              </w:rPr>
              <w:t>相关具体要求</w:t>
            </w:r>
          </w:p>
        </w:tc>
        <w:tc>
          <w:tcPr>
            <w:tcW w:w="2943" w:type="dxa"/>
            <w:tcBorders>
              <w:tl2br w:val="nil"/>
              <w:tr2bl w:val="nil"/>
            </w:tcBorders>
            <w:noWrap w:val="0"/>
            <w:vAlign w:val="center"/>
          </w:tcPr>
          <w:p w14:paraId="04BC437A">
            <w:pPr>
              <w:pStyle w:val="1389"/>
              <w:tabs>
                <w:tab w:val="left" w:pos="0"/>
              </w:tabs>
              <w:autoSpaceDE w:val="0"/>
              <w:autoSpaceDN w:val="0"/>
              <w:rPr>
                <w:color w:val="auto"/>
                <w:highlight w:val="none"/>
                <w:lang w:eastAsia="en-US"/>
              </w:rPr>
            </w:pPr>
            <w:r>
              <w:rPr>
                <w:color w:val="auto"/>
                <w:highlight w:val="none"/>
                <w:lang w:eastAsia="en-US"/>
              </w:rPr>
              <w:t>本项目相关内容</w:t>
            </w:r>
          </w:p>
        </w:tc>
        <w:tc>
          <w:tcPr>
            <w:tcW w:w="558" w:type="dxa"/>
            <w:tcBorders>
              <w:tl2br w:val="nil"/>
              <w:tr2bl w:val="nil"/>
            </w:tcBorders>
            <w:noWrap w:val="0"/>
            <w:vAlign w:val="center"/>
          </w:tcPr>
          <w:p w14:paraId="70A18C9D">
            <w:pPr>
              <w:pStyle w:val="1389"/>
              <w:tabs>
                <w:tab w:val="left" w:pos="0"/>
              </w:tabs>
              <w:autoSpaceDE w:val="0"/>
              <w:autoSpaceDN w:val="0"/>
              <w:rPr>
                <w:color w:val="auto"/>
                <w:highlight w:val="none"/>
                <w:lang w:eastAsia="en-US"/>
              </w:rPr>
            </w:pPr>
            <w:r>
              <w:rPr>
                <w:color w:val="auto"/>
                <w:highlight w:val="none"/>
                <w:lang w:eastAsia="en-US"/>
              </w:rPr>
              <w:t>是否</w:t>
            </w:r>
          </w:p>
          <w:p w14:paraId="72EB1B95">
            <w:pPr>
              <w:pStyle w:val="1389"/>
              <w:tabs>
                <w:tab w:val="left" w:pos="0"/>
              </w:tabs>
              <w:autoSpaceDE w:val="0"/>
              <w:autoSpaceDN w:val="0"/>
              <w:rPr>
                <w:color w:val="auto"/>
                <w:highlight w:val="none"/>
                <w:lang w:eastAsia="en-US"/>
              </w:rPr>
            </w:pPr>
            <w:r>
              <w:rPr>
                <w:color w:val="auto"/>
                <w:highlight w:val="none"/>
                <w:lang w:eastAsia="en-US"/>
              </w:rPr>
              <w:t>符合</w:t>
            </w:r>
          </w:p>
        </w:tc>
      </w:tr>
      <w:tr w14:paraId="3CA06B6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06" w:hRule="atLeast"/>
          <w:jc w:val="center"/>
        </w:trPr>
        <w:tc>
          <w:tcPr>
            <w:tcW w:w="1505" w:type="dxa"/>
            <w:vMerge w:val="restart"/>
            <w:tcBorders>
              <w:tl2br w:val="nil"/>
              <w:tr2bl w:val="nil"/>
            </w:tcBorders>
            <w:noWrap w:val="0"/>
            <w:vAlign w:val="center"/>
          </w:tcPr>
          <w:p w14:paraId="794E8A37">
            <w:pPr>
              <w:pStyle w:val="1389"/>
              <w:tabs>
                <w:tab w:val="left" w:pos="0"/>
              </w:tabs>
              <w:autoSpaceDE w:val="0"/>
              <w:autoSpaceDN w:val="0"/>
              <w:rPr>
                <w:color w:val="auto"/>
                <w:highlight w:val="none"/>
              </w:rPr>
            </w:pPr>
            <w:r>
              <w:rPr>
                <w:color w:val="auto"/>
                <w:highlight w:val="none"/>
              </w:rPr>
              <w:t>《关于加强高耗能、高排放建设项目生态环境源头防控的指导意见的通知（环评</w:t>
            </w:r>
            <w:r>
              <w:rPr>
                <w:rFonts w:hint="eastAsia"/>
                <w:color w:val="auto"/>
                <w:highlight w:val="none"/>
                <w:lang w:eastAsia="zh-CN"/>
              </w:rPr>
              <w:t>〔2021〕45号</w:t>
            </w:r>
            <w:r>
              <w:rPr>
                <w:color w:val="auto"/>
                <w:highlight w:val="none"/>
              </w:rPr>
              <w:t>）</w:t>
            </w:r>
          </w:p>
        </w:tc>
        <w:tc>
          <w:tcPr>
            <w:tcW w:w="3411" w:type="dxa"/>
            <w:tcBorders>
              <w:tl2br w:val="nil"/>
              <w:tr2bl w:val="nil"/>
            </w:tcBorders>
            <w:noWrap w:val="0"/>
            <w:vAlign w:val="center"/>
          </w:tcPr>
          <w:p w14:paraId="5D0EAA97">
            <w:pPr>
              <w:pStyle w:val="1389"/>
              <w:tabs>
                <w:tab w:val="left" w:pos="0"/>
              </w:tabs>
              <w:autoSpaceDE w:val="0"/>
              <w:autoSpaceDN w:val="0"/>
              <w:rPr>
                <w:color w:val="auto"/>
                <w:highlight w:val="none"/>
              </w:rPr>
            </w:pPr>
            <w:r>
              <w:rPr>
                <w:color w:val="auto"/>
                <w:highlight w:val="none"/>
              </w:rPr>
              <w:t>（一）深入实施</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。各级生态环境部门应加快推进</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成果在</w:t>
            </w:r>
            <w:r>
              <w:rPr>
                <w:rFonts w:hint="eastAsia"/>
                <w:color w:val="auto"/>
                <w:highlight w:val="none"/>
                <w:lang w:eastAsia="zh-CN"/>
              </w:rPr>
              <w:t>“</w:t>
            </w:r>
            <w:r>
              <w:rPr>
                <w:color w:val="auto"/>
                <w:highlight w:val="none"/>
              </w:rPr>
              <w:t>两高</w:t>
            </w:r>
            <w:r>
              <w:rPr>
                <w:rFonts w:hint="eastAsia"/>
                <w:color w:val="auto"/>
                <w:highlight w:val="none"/>
                <w:lang w:eastAsia="zh-CN"/>
              </w:rPr>
              <w:t>”</w:t>
            </w:r>
            <w:r>
              <w:rPr>
                <w:color w:val="auto"/>
                <w:highlight w:val="none"/>
              </w:rPr>
              <w:t>行业产业布局和结构调整、重大项目选址中的应用。地方生态环境部门组织</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地市落地细化及后续更新调整时，应在生态环境准入清单中深化</w:t>
            </w:r>
            <w:r>
              <w:rPr>
                <w:rFonts w:hint="eastAsia"/>
                <w:color w:val="auto"/>
                <w:highlight w:val="none"/>
                <w:lang w:eastAsia="zh-CN"/>
              </w:rPr>
              <w:t>“</w:t>
            </w:r>
            <w:r>
              <w:rPr>
                <w:color w:val="auto"/>
                <w:highlight w:val="none"/>
              </w:rPr>
              <w:t>两高</w:t>
            </w:r>
            <w:r>
              <w:rPr>
                <w:rFonts w:hint="eastAsia"/>
                <w:color w:val="auto"/>
                <w:highlight w:val="none"/>
                <w:lang w:eastAsia="zh-CN"/>
              </w:rPr>
              <w:t>”</w:t>
            </w:r>
            <w:r>
              <w:rPr>
                <w:color w:val="auto"/>
                <w:highlight w:val="none"/>
              </w:rPr>
              <w:t>项目环境准入及管控要求；承接钢铁、电解铝等产业转移地区应严格落实生态环境分区管控要求，将环境质量底线作为硬约束。</w:t>
            </w:r>
          </w:p>
        </w:tc>
        <w:tc>
          <w:tcPr>
            <w:tcW w:w="2943" w:type="dxa"/>
            <w:tcBorders>
              <w:tl2br w:val="nil"/>
              <w:tr2bl w:val="nil"/>
            </w:tcBorders>
            <w:noWrap w:val="0"/>
            <w:vAlign w:val="center"/>
          </w:tcPr>
          <w:p w14:paraId="4CCB2756">
            <w:pPr>
              <w:pStyle w:val="1389"/>
              <w:tabs>
                <w:tab w:val="left" w:pos="0"/>
              </w:tabs>
              <w:autoSpaceDE w:val="0"/>
              <w:autoSpaceDN w:val="0"/>
              <w:jc w:val="left"/>
              <w:rPr>
                <w:color w:val="auto"/>
                <w:highlight w:val="none"/>
              </w:rPr>
            </w:pPr>
            <w:r>
              <w:rPr>
                <w:color w:val="auto"/>
                <w:highlight w:val="none"/>
              </w:rPr>
              <w:t>本项目建设符合</w:t>
            </w:r>
            <w:r>
              <w:rPr>
                <w:rFonts w:hint="eastAsia"/>
                <w:color w:val="auto"/>
                <w:kern w:val="0"/>
                <w:highlight w:val="none"/>
              </w:rPr>
              <w:t>《福州市人民政府办公厅关于印发〈福州市生态环境分区管控方案（2023年更新）〉的通知》（榕政办规〔2024〕20号）</w:t>
            </w:r>
            <w:r>
              <w:rPr>
                <w:rFonts w:hint="eastAsia"/>
                <w:color w:val="auto"/>
                <w:kern w:val="0"/>
                <w:highlight w:val="none"/>
                <w:lang w:val="en-US" w:eastAsia="zh-CN"/>
              </w:rPr>
              <w:t>和</w:t>
            </w:r>
            <w:r>
              <w:rPr>
                <w:rFonts w:hint="eastAsia"/>
                <w:color w:val="auto"/>
                <w:kern w:val="0"/>
                <w:highlight w:val="none"/>
              </w:rPr>
              <w:t>《</w:t>
            </w:r>
            <w:r>
              <w:rPr>
                <w:rFonts w:hint="eastAsia"/>
                <w:color w:val="auto"/>
                <w:kern w:val="0"/>
                <w:highlight w:val="none"/>
                <w:lang w:val="en-US" w:eastAsia="zh-CN"/>
              </w:rPr>
              <w:t>福州市生态环境局关于发布福州市2024年生态环境分区管控动态更新成果的通知</w:t>
            </w:r>
            <w:r>
              <w:rPr>
                <w:rFonts w:hint="eastAsia"/>
                <w:color w:val="auto"/>
                <w:kern w:val="0"/>
                <w:highlight w:val="none"/>
              </w:rPr>
              <w:t>》（榕环保综〔2025〕1号）</w:t>
            </w:r>
            <w:r>
              <w:rPr>
                <w:rFonts w:hint="eastAsia"/>
                <w:color w:val="auto"/>
                <w:kern w:val="0"/>
                <w:highlight w:val="none"/>
                <w:lang w:val="en-US" w:eastAsia="zh-CN"/>
              </w:rPr>
              <w:t>要求</w:t>
            </w:r>
            <w:r>
              <w:rPr>
                <w:color w:val="auto"/>
                <w:highlight w:val="none"/>
              </w:rPr>
              <w:t>，具体分析见</w:t>
            </w:r>
            <w:r>
              <w:rPr>
                <w:rFonts w:hint="eastAsia"/>
                <w:color w:val="auto"/>
                <w:highlight w:val="none"/>
                <w:lang w:val="en-US" w:eastAsia="zh-CN"/>
              </w:rPr>
              <w:t>3.5.3</w:t>
            </w:r>
            <w:r>
              <w:rPr>
                <w:color w:val="auto"/>
                <w:highlight w:val="none"/>
              </w:rPr>
              <w:t>节。</w:t>
            </w:r>
          </w:p>
        </w:tc>
        <w:tc>
          <w:tcPr>
            <w:tcW w:w="558" w:type="dxa"/>
            <w:tcBorders>
              <w:tl2br w:val="nil"/>
              <w:tr2bl w:val="nil"/>
            </w:tcBorders>
            <w:noWrap w:val="0"/>
            <w:vAlign w:val="center"/>
          </w:tcPr>
          <w:p w14:paraId="3338EBC4">
            <w:pPr>
              <w:pStyle w:val="1389"/>
              <w:tabs>
                <w:tab w:val="left" w:pos="0"/>
              </w:tabs>
              <w:autoSpaceDE w:val="0"/>
              <w:autoSpaceDN w:val="0"/>
              <w:rPr>
                <w:color w:val="auto"/>
                <w:highlight w:val="none"/>
                <w:lang w:eastAsia="en-US"/>
              </w:rPr>
            </w:pPr>
            <w:r>
              <w:rPr>
                <w:color w:val="auto"/>
                <w:highlight w:val="none"/>
                <w:lang w:eastAsia="en-US"/>
              </w:rPr>
              <w:t>符合</w:t>
            </w:r>
          </w:p>
        </w:tc>
      </w:tr>
      <w:tr w14:paraId="211784F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06" w:hRule="atLeast"/>
          <w:jc w:val="center"/>
        </w:trPr>
        <w:tc>
          <w:tcPr>
            <w:tcW w:w="1505" w:type="dxa"/>
            <w:vMerge w:val="continue"/>
            <w:tcBorders>
              <w:tl2br w:val="nil"/>
              <w:tr2bl w:val="nil"/>
            </w:tcBorders>
            <w:noWrap w:val="0"/>
            <w:vAlign w:val="center"/>
          </w:tcPr>
          <w:p w14:paraId="114323A6">
            <w:pPr>
              <w:pStyle w:val="1389"/>
              <w:tabs>
                <w:tab w:val="left" w:pos="0"/>
              </w:tabs>
              <w:autoSpaceDE w:val="0"/>
              <w:autoSpaceDN w:val="0"/>
              <w:rPr>
                <w:color w:val="auto"/>
                <w:highlight w:val="none"/>
                <w:lang w:eastAsia="en-US"/>
              </w:rPr>
            </w:pPr>
          </w:p>
        </w:tc>
        <w:tc>
          <w:tcPr>
            <w:tcW w:w="3411" w:type="dxa"/>
            <w:tcBorders>
              <w:tl2br w:val="nil"/>
              <w:tr2bl w:val="nil"/>
            </w:tcBorders>
            <w:noWrap w:val="0"/>
            <w:vAlign w:val="center"/>
          </w:tcPr>
          <w:p w14:paraId="619DB03A">
            <w:pPr>
              <w:pStyle w:val="1389"/>
              <w:tabs>
                <w:tab w:val="left" w:pos="0"/>
              </w:tabs>
              <w:autoSpaceDE w:val="0"/>
              <w:autoSpaceDN w:val="0"/>
              <w:rPr>
                <w:color w:val="auto"/>
                <w:highlight w:val="none"/>
              </w:rPr>
            </w:pPr>
            <w:r>
              <w:rPr>
                <w:color w:val="auto"/>
                <w:highlight w:val="none"/>
              </w:rPr>
              <w:t>（三）严把建设项目环境准入关。新建、改建、扩建</w:t>
            </w:r>
            <w:r>
              <w:rPr>
                <w:rFonts w:hint="eastAsia"/>
                <w:color w:val="auto"/>
                <w:highlight w:val="none"/>
                <w:lang w:eastAsia="zh-CN"/>
              </w:rPr>
              <w:t>“</w:t>
            </w:r>
            <w:r>
              <w:rPr>
                <w:color w:val="auto"/>
                <w:highlight w:val="none"/>
              </w:rPr>
              <w:t>两高</w:t>
            </w:r>
            <w:r>
              <w:rPr>
                <w:rFonts w:hint="eastAsia"/>
                <w:color w:val="auto"/>
                <w:highlight w:val="none"/>
                <w:lang w:eastAsia="zh-CN"/>
              </w:rPr>
              <w:t>”</w:t>
            </w:r>
            <w:r>
              <w:rPr>
                <w:color w:val="auto"/>
                <w:highlight w:val="none"/>
              </w:rPr>
              <w:t>项目须符合生态环境保护法律法规和相关法定规划，满足重点污染物排放总量控制、碳排放达峰目标、生态环境准入清单、相关规划环评和相应行业建设项目环境准入条件、环评文件审批原则要求。</w:t>
            </w:r>
          </w:p>
        </w:tc>
        <w:tc>
          <w:tcPr>
            <w:tcW w:w="2943" w:type="dxa"/>
            <w:tcBorders>
              <w:tl2br w:val="nil"/>
              <w:tr2bl w:val="nil"/>
            </w:tcBorders>
            <w:noWrap w:val="0"/>
            <w:vAlign w:val="center"/>
          </w:tcPr>
          <w:p w14:paraId="55429F0D">
            <w:pPr>
              <w:pStyle w:val="1389"/>
              <w:tabs>
                <w:tab w:val="left" w:pos="0"/>
              </w:tabs>
              <w:autoSpaceDE w:val="0"/>
              <w:autoSpaceDN w:val="0"/>
              <w:jc w:val="left"/>
              <w:rPr>
                <w:color w:val="auto"/>
                <w:highlight w:val="none"/>
              </w:rPr>
            </w:pPr>
            <w:r>
              <w:rPr>
                <w:color w:val="auto"/>
                <w:highlight w:val="none"/>
              </w:rPr>
              <w:t>项目符合相关法律法规、法定规划要求。根据《福建省生态环境厅关于印发</w:t>
            </w:r>
            <w:r>
              <w:rPr>
                <w:rFonts w:hint="eastAsia"/>
                <w:color w:val="auto"/>
                <w:highlight w:val="none"/>
                <w:lang w:eastAsia="zh-CN"/>
              </w:rPr>
              <w:t>〈</w:t>
            </w:r>
            <w:r>
              <w:rPr>
                <w:color w:val="auto"/>
                <w:highlight w:val="none"/>
              </w:rPr>
              <w:t>进一步优化环评审批服务助推两大协同发展区高质量发展的意见</w:t>
            </w:r>
            <w:r>
              <w:rPr>
                <w:rFonts w:hint="eastAsia"/>
                <w:color w:val="auto"/>
                <w:highlight w:val="none"/>
                <w:lang w:eastAsia="zh-CN"/>
              </w:rPr>
              <w:t>〉</w:t>
            </w:r>
            <w:r>
              <w:rPr>
                <w:color w:val="auto"/>
                <w:highlight w:val="none"/>
              </w:rPr>
              <w:t>的函，对实行排污权交易的二氧化硫、氮氧化物、化学需氧量、氨氮等指标，调整管理方式，不再要求建设单位在环评审批前取得，建设单位在书面承诺投产前取得上述指标并依法申领排污许可证后，即可审批。因此，项目主要污染物排放量在项目投产前取得即可。项目满足碳排放达峰目标、生态环境准入清单、相关规划环评和相应行业建设项目环境准入条件。</w:t>
            </w:r>
          </w:p>
        </w:tc>
        <w:tc>
          <w:tcPr>
            <w:tcW w:w="558" w:type="dxa"/>
            <w:tcBorders>
              <w:tl2br w:val="nil"/>
              <w:tr2bl w:val="nil"/>
            </w:tcBorders>
            <w:noWrap w:val="0"/>
            <w:vAlign w:val="center"/>
          </w:tcPr>
          <w:p w14:paraId="249437AE">
            <w:pPr>
              <w:pStyle w:val="1389"/>
              <w:tabs>
                <w:tab w:val="left" w:pos="0"/>
              </w:tabs>
              <w:autoSpaceDE w:val="0"/>
              <w:autoSpaceDN w:val="0"/>
              <w:rPr>
                <w:color w:val="auto"/>
                <w:highlight w:val="none"/>
                <w:lang w:eastAsia="en-US"/>
              </w:rPr>
            </w:pPr>
            <w:r>
              <w:rPr>
                <w:color w:val="auto"/>
                <w:highlight w:val="none"/>
                <w:lang w:eastAsia="en-US"/>
              </w:rPr>
              <w:t>符合</w:t>
            </w:r>
          </w:p>
        </w:tc>
      </w:tr>
      <w:tr w14:paraId="5C4C216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06" w:hRule="atLeast"/>
          <w:jc w:val="center"/>
        </w:trPr>
        <w:tc>
          <w:tcPr>
            <w:tcW w:w="1505" w:type="dxa"/>
            <w:vMerge w:val="continue"/>
            <w:tcBorders>
              <w:tl2br w:val="nil"/>
              <w:tr2bl w:val="nil"/>
            </w:tcBorders>
            <w:noWrap w:val="0"/>
            <w:vAlign w:val="center"/>
          </w:tcPr>
          <w:p w14:paraId="6E484111">
            <w:pPr>
              <w:pStyle w:val="1389"/>
              <w:tabs>
                <w:tab w:val="left" w:pos="0"/>
              </w:tabs>
              <w:autoSpaceDE w:val="0"/>
              <w:autoSpaceDN w:val="0"/>
              <w:rPr>
                <w:color w:val="auto"/>
                <w:highlight w:val="none"/>
                <w:lang w:eastAsia="en-US"/>
              </w:rPr>
            </w:pPr>
          </w:p>
        </w:tc>
        <w:tc>
          <w:tcPr>
            <w:tcW w:w="3411" w:type="dxa"/>
            <w:tcBorders>
              <w:tl2br w:val="nil"/>
              <w:tr2bl w:val="nil"/>
            </w:tcBorders>
            <w:noWrap w:val="0"/>
            <w:vAlign w:val="center"/>
          </w:tcPr>
          <w:p w14:paraId="2A31F297">
            <w:pPr>
              <w:pStyle w:val="1389"/>
              <w:tabs>
                <w:tab w:val="left" w:pos="0"/>
              </w:tabs>
              <w:autoSpaceDE w:val="0"/>
              <w:autoSpaceDN w:val="0"/>
              <w:rPr>
                <w:color w:val="auto"/>
                <w:highlight w:val="none"/>
              </w:rPr>
            </w:pPr>
            <w:r>
              <w:rPr>
                <w:color w:val="auto"/>
                <w:highlight w:val="none"/>
              </w:rPr>
              <w:t>（六）提升清洁生产和污染防治水平。新建、扩建</w:t>
            </w:r>
            <w:r>
              <w:rPr>
                <w:rFonts w:hint="eastAsia"/>
                <w:color w:val="auto"/>
                <w:highlight w:val="none"/>
                <w:lang w:eastAsia="zh-CN"/>
              </w:rPr>
              <w:t>“</w:t>
            </w:r>
            <w:r>
              <w:rPr>
                <w:color w:val="auto"/>
                <w:highlight w:val="none"/>
              </w:rPr>
              <w:t>两高</w:t>
            </w:r>
            <w:r>
              <w:rPr>
                <w:rFonts w:hint="eastAsia"/>
                <w:color w:val="auto"/>
                <w:highlight w:val="none"/>
                <w:lang w:eastAsia="zh-CN"/>
              </w:rPr>
              <w:t>”</w:t>
            </w:r>
            <w:r>
              <w:rPr>
                <w:color w:val="auto"/>
                <w:highlight w:val="none"/>
              </w:rPr>
              <w:t>项目应采用先进适用的工艺技术和装备，单位产品物耗、能耗、水耗等达到清洁生产先进水平，依法制定并严格落实防治土壤与地下水污染的措施。</w:t>
            </w:r>
          </w:p>
        </w:tc>
        <w:tc>
          <w:tcPr>
            <w:tcW w:w="2943" w:type="dxa"/>
            <w:tcBorders>
              <w:tl2br w:val="nil"/>
              <w:tr2bl w:val="nil"/>
            </w:tcBorders>
            <w:noWrap w:val="0"/>
            <w:vAlign w:val="center"/>
          </w:tcPr>
          <w:p w14:paraId="5D2CDFF8">
            <w:pPr>
              <w:pStyle w:val="1389"/>
              <w:tabs>
                <w:tab w:val="left" w:pos="0"/>
              </w:tabs>
              <w:autoSpaceDE w:val="0"/>
              <w:autoSpaceDN w:val="0"/>
              <w:jc w:val="left"/>
              <w:rPr>
                <w:color w:val="auto"/>
                <w:highlight w:val="none"/>
              </w:rPr>
            </w:pPr>
            <w:r>
              <w:rPr>
                <w:color w:val="auto"/>
                <w:highlight w:val="none"/>
              </w:rPr>
              <w:t>项目单位产品物耗、能耗、水耗等达到国内清洁生产先进水平；已制定相应的地下水和土壤污染防治措施，投产后拟严格落实防治土壤与地下水污染的措施。</w:t>
            </w:r>
          </w:p>
        </w:tc>
        <w:tc>
          <w:tcPr>
            <w:tcW w:w="558" w:type="dxa"/>
            <w:tcBorders>
              <w:tl2br w:val="nil"/>
              <w:tr2bl w:val="nil"/>
            </w:tcBorders>
            <w:noWrap w:val="0"/>
            <w:vAlign w:val="center"/>
          </w:tcPr>
          <w:p w14:paraId="1D059AAD">
            <w:pPr>
              <w:pStyle w:val="1389"/>
              <w:tabs>
                <w:tab w:val="left" w:pos="0"/>
              </w:tabs>
              <w:autoSpaceDE w:val="0"/>
              <w:autoSpaceDN w:val="0"/>
              <w:rPr>
                <w:color w:val="auto"/>
                <w:highlight w:val="none"/>
                <w:lang w:eastAsia="en-US"/>
              </w:rPr>
            </w:pPr>
            <w:r>
              <w:rPr>
                <w:color w:val="auto"/>
                <w:highlight w:val="none"/>
                <w:lang w:eastAsia="en-US"/>
              </w:rPr>
              <w:t>符合</w:t>
            </w:r>
          </w:p>
        </w:tc>
      </w:tr>
      <w:tr w14:paraId="0BFAE96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06" w:hRule="atLeast"/>
          <w:jc w:val="center"/>
        </w:trPr>
        <w:tc>
          <w:tcPr>
            <w:tcW w:w="1505" w:type="dxa"/>
            <w:vMerge w:val="continue"/>
            <w:tcBorders>
              <w:tl2br w:val="nil"/>
              <w:tr2bl w:val="nil"/>
            </w:tcBorders>
            <w:noWrap w:val="0"/>
            <w:vAlign w:val="center"/>
          </w:tcPr>
          <w:p w14:paraId="5F56C43C">
            <w:pPr>
              <w:pStyle w:val="1389"/>
              <w:tabs>
                <w:tab w:val="left" w:pos="0"/>
              </w:tabs>
              <w:autoSpaceDE w:val="0"/>
              <w:autoSpaceDN w:val="0"/>
              <w:rPr>
                <w:color w:val="auto"/>
                <w:highlight w:val="none"/>
                <w:lang w:eastAsia="en-US"/>
              </w:rPr>
            </w:pPr>
          </w:p>
        </w:tc>
        <w:tc>
          <w:tcPr>
            <w:tcW w:w="3411" w:type="dxa"/>
            <w:tcBorders>
              <w:tl2br w:val="nil"/>
              <w:tr2bl w:val="nil"/>
            </w:tcBorders>
            <w:noWrap w:val="0"/>
            <w:vAlign w:val="center"/>
          </w:tcPr>
          <w:p w14:paraId="4ACA8B3C">
            <w:pPr>
              <w:pStyle w:val="1389"/>
              <w:tabs>
                <w:tab w:val="left" w:pos="0"/>
              </w:tabs>
              <w:autoSpaceDE w:val="0"/>
              <w:autoSpaceDN w:val="0"/>
              <w:rPr>
                <w:color w:val="auto"/>
                <w:highlight w:val="none"/>
              </w:rPr>
            </w:pPr>
            <w:r>
              <w:rPr>
                <w:color w:val="auto"/>
                <w:highlight w:val="none"/>
              </w:rPr>
              <w:t>（七）将碳排放影响评价纳入环境影响评价体系。在环评工作中，统筹开展污染物和碳排放的源项识别、源强核算、减污降碳措施可行性论证及方案比选，提出协同控制最优方案。鼓励有条件的地区、企业探索实施减污降碳协同治理和碳捕集、封存、综合利用工程试点、示范。</w:t>
            </w:r>
          </w:p>
        </w:tc>
        <w:tc>
          <w:tcPr>
            <w:tcW w:w="2943" w:type="dxa"/>
            <w:tcBorders>
              <w:tl2br w:val="nil"/>
              <w:tr2bl w:val="nil"/>
            </w:tcBorders>
            <w:noWrap w:val="0"/>
            <w:vAlign w:val="center"/>
          </w:tcPr>
          <w:p w14:paraId="19A64AAD">
            <w:pPr>
              <w:pStyle w:val="1389"/>
              <w:tabs>
                <w:tab w:val="left" w:pos="0"/>
              </w:tabs>
              <w:autoSpaceDE w:val="0"/>
              <w:autoSpaceDN w:val="0"/>
              <w:rPr>
                <w:color w:val="auto"/>
                <w:highlight w:val="none"/>
              </w:rPr>
            </w:pPr>
            <w:r>
              <w:rPr>
                <w:color w:val="auto"/>
                <w:highlight w:val="none"/>
              </w:rPr>
              <w:t>本评价已将碳排放纳入环境影响评价体系，并按照文件要求进行源项识别、源强核算、减污降碳措施可行性论证，并提出了项目碳减排建议。项目采取了较完善的减污降碳措施。</w:t>
            </w:r>
          </w:p>
        </w:tc>
        <w:tc>
          <w:tcPr>
            <w:tcW w:w="558" w:type="dxa"/>
            <w:tcBorders>
              <w:tl2br w:val="nil"/>
              <w:tr2bl w:val="nil"/>
            </w:tcBorders>
            <w:noWrap w:val="0"/>
            <w:vAlign w:val="center"/>
          </w:tcPr>
          <w:p w14:paraId="066061F4">
            <w:pPr>
              <w:pStyle w:val="1389"/>
              <w:tabs>
                <w:tab w:val="left" w:pos="0"/>
              </w:tabs>
              <w:autoSpaceDE w:val="0"/>
              <w:autoSpaceDN w:val="0"/>
              <w:rPr>
                <w:color w:val="auto"/>
                <w:highlight w:val="none"/>
                <w:lang w:eastAsia="en-US"/>
              </w:rPr>
            </w:pPr>
            <w:r>
              <w:rPr>
                <w:color w:val="auto"/>
                <w:highlight w:val="none"/>
                <w:lang w:eastAsia="en-US"/>
              </w:rPr>
              <w:t>符合</w:t>
            </w:r>
          </w:p>
        </w:tc>
      </w:tr>
    </w:tbl>
    <w:p w14:paraId="68CA7029">
      <w:pPr>
        <w:bidi w:val="0"/>
        <w:rPr>
          <w:rFonts w:hint="default"/>
          <w:color w:val="auto"/>
          <w:highlight w:val="none"/>
        </w:rPr>
      </w:pPr>
      <w:r>
        <w:rPr>
          <w:rFonts w:hint="eastAsia"/>
          <w:color w:val="auto"/>
          <w:highlight w:val="none"/>
          <w:lang w:eastAsia="zh-CN"/>
        </w:rPr>
        <w:t>由上表分析可知，本项目相关内容符合已发布的碳减排相关文件要求。我国碳达峰行动方案、碳排放管控要求等相关政策仍在编制中，待后续政策出台后，建设单位应做好与碳达峰行动方案等相关政策的衔接。</w:t>
      </w:r>
    </w:p>
    <w:p w14:paraId="7986A446">
      <w:pPr>
        <w:pStyle w:val="4"/>
        <w:numPr>
          <w:ilvl w:val="2"/>
          <w:numId w:val="0"/>
        </w:numPr>
        <w:tabs>
          <w:tab w:val="clear" w:pos="720"/>
        </w:tabs>
        <w:bidi w:val="0"/>
        <w:rPr>
          <w:rFonts w:hint="eastAsia"/>
          <w:color w:val="auto"/>
          <w:highlight w:val="none"/>
          <w:lang w:val="en-US" w:eastAsia="zh-CN"/>
        </w:rPr>
      </w:pPr>
      <w:bookmarkStart w:id="729" w:name="_Toc22267"/>
      <w:r>
        <w:rPr>
          <w:rFonts w:hint="eastAsia"/>
          <w:color w:val="auto"/>
          <w:highlight w:val="none"/>
          <w:lang w:val="en-US" w:eastAsia="zh-CN"/>
        </w:rPr>
        <w:t>6.6.2 排放概况</w:t>
      </w:r>
      <w:bookmarkEnd w:id="725"/>
      <w:bookmarkEnd w:id="729"/>
    </w:p>
    <w:p w14:paraId="7B634CA8">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（1）燃料燃烧排放概况</w:t>
      </w:r>
    </w:p>
    <w:p w14:paraId="0994B9DB">
      <w:pPr>
        <w:widowControl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ascii="Times New Roman" w:hAnsi="Times New Roman" w:eastAsia="宋体" w:cs="宋体"/>
          <w:color w:val="auto"/>
          <w:kern w:val="2"/>
          <w:sz w:val="24"/>
          <w:szCs w:val="24"/>
          <w:highlight w:val="none"/>
          <w:lang w:val="en-US" w:eastAsia="zh-CN" w:bidi="ar-SA"/>
        </w:rPr>
        <w:t>本项目使用管道天然气作为燃料，天然气使用设备主要包括热水炉、固化炉</w:t>
      </w:r>
      <w:r>
        <w:rPr>
          <w:rFonts w:hint="eastAsia" w:cs="宋体"/>
          <w:color w:val="auto"/>
          <w:kern w:val="2"/>
          <w:sz w:val="24"/>
          <w:szCs w:val="24"/>
          <w:highlight w:val="none"/>
          <w:lang w:val="en-US" w:eastAsia="zh-CN" w:bidi="ar-SA"/>
        </w:rPr>
        <w:t>、</w:t>
      </w:r>
      <w:r>
        <w:rPr>
          <w:rFonts w:ascii="Times New Roman" w:hAnsi="Times New Roman" w:eastAsia="宋体" w:cs="宋体"/>
          <w:color w:val="auto"/>
          <w:kern w:val="2"/>
          <w:sz w:val="24"/>
          <w:szCs w:val="24"/>
          <w:highlight w:val="none"/>
          <w:lang w:val="en-US" w:eastAsia="zh-CN" w:bidi="ar-SA"/>
        </w:rPr>
        <w:t>RTO蓄热式焚烧炉</w:t>
      </w:r>
      <w:r>
        <w:rPr>
          <w:rFonts w:hint="eastAsia" w:cs="宋体"/>
          <w:color w:val="auto"/>
          <w:kern w:val="2"/>
          <w:sz w:val="24"/>
          <w:szCs w:val="24"/>
          <w:highlight w:val="none"/>
          <w:lang w:val="en-US" w:eastAsia="zh-CN" w:bidi="ar-SA"/>
        </w:rPr>
        <w:t>及热洁炉</w:t>
      </w:r>
      <w:r>
        <w:rPr>
          <w:rFonts w:ascii="Times New Roman" w:hAnsi="Times New Roman" w:eastAsia="宋体" w:cs="宋体"/>
          <w:color w:val="auto"/>
          <w:kern w:val="2"/>
          <w:sz w:val="24"/>
          <w:szCs w:val="24"/>
          <w:highlight w:val="none"/>
          <w:lang w:val="en-US" w:eastAsia="zh-CN" w:bidi="ar-SA"/>
        </w:rPr>
        <w:t>等。天然气燃烧过程会产生二氧化碳等温室气体排放，纳入燃料燃烧排放核算。本项目不涉及煤炭等化石燃料的现场燃烧。</w:t>
      </w:r>
    </w:p>
    <w:p w14:paraId="629C1007">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（2）过程排放概况</w:t>
      </w:r>
    </w:p>
    <w:p w14:paraId="5C3C407A">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根据本项目生产工艺及原辅材料使用情况，生产过程中不涉及碳酸盐分解、化学反应副产物释放等过程排放源，故不存在过程排放。</w:t>
      </w:r>
    </w:p>
    <w:p w14:paraId="59350482">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（3）购入的电力与热力产生的排放</w:t>
      </w:r>
    </w:p>
    <w:p w14:paraId="6009EACC">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本项目购入电力主要用于注塑机、机泵、风机等以电力驱动的设备运行，电力消耗产生的间接排放为本项目主要碳排放源之一。项目不涉及外购热力，无外购热力产生的排放。</w:t>
      </w:r>
    </w:p>
    <w:p w14:paraId="47BEF6A0">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（4）输出的电力与热力产生的排放</w:t>
      </w:r>
    </w:p>
    <w:p w14:paraId="6B6C5F1F">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项目不涉及电力对外输出，不存在输出能源产生的排放。</w:t>
      </w:r>
    </w:p>
    <w:p w14:paraId="02451CA5">
      <w:pPr>
        <w:pStyle w:val="5"/>
        <w:numPr>
          <w:ilvl w:val="3"/>
          <w:numId w:val="0"/>
        </w:numPr>
        <w:bidi w:val="0"/>
        <w:ind w:leftChars="0"/>
        <w:rPr>
          <w:rFonts w:hint="eastAsia"/>
          <w:color w:val="auto"/>
          <w:highlight w:val="none"/>
          <w:lang w:val="en-US" w:eastAsia="zh-CN"/>
        </w:rPr>
      </w:pPr>
      <w:r>
        <w:rPr>
          <w:rFonts w:hint="eastAsia"/>
          <w:color w:val="auto"/>
          <w:highlight w:val="none"/>
          <w:lang w:val="en-US" w:eastAsia="zh-CN"/>
        </w:rPr>
        <w:t>6.6.2.1 排放量核算方法</w:t>
      </w:r>
    </w:p>
    <w:p w14:paraId="399AC67D">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本次评价</w:t>
      </w:r>
      <w:r>
        <w:rPr>
          <w:rFonts w:ascii="Times New Roman" w:hAnsi="Times New Roman" w:eastAsia="宋体" w:cs="宋体"/>
          <w:color w:val="auto"/>
          <w:kern w:val="2"/>
          <w:sz w:val="24"/>
          <w:szCs w:val="24"/>
          <w:highlight w:val="none"/>
          <w:lang w:val="en-US" w:eastAsia="zh-CN" w:bidi="ar-SA"/>
        </w:rPr>
        <w:t>核算方法根据《</w:t>
      </w:r>
      <w:r>
        <w:rPr>
          <w:rFonts w:hint="eastAsia" w:ascii="Times New Roman" w:hAnsi="Times New Roman" w:eastAsia="宋体" w:cs="宋体"/>
          <w:color w:val="auto"/>
          <w:kern w:val="2"/>
          <w:sz w:val="24"/>
          <w:szCs w:val="24"/>
          <w:highlight w:val="none"/>
          <w:lang w:val="en-US" w:eastAsia="zh-CN" w:bidi="ar-SA"/>
        </w:rPr>
        <w:t>工业企业温室气体排放核算和报告通则</w:t>
      </w:r>
      <w:r>
        <w:rPr>
          <w:rFonts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w:t>
      </w:r>
      <w:r>
        <w:rPr>
          <w:rFonts w:ascii="Times New Roman" w:hAnsi="Times New Roman" w:eastAsia="宋体" w:cs="宋体"/>
          <w:color w:val="auto"/>
          <w:kern w:val="2"/>
          <w:sz w:val="24"/>
          <w:szCs w:val="24"/>
          <w:highlight w:val="none"/>
          <w:lang w:val="en-US" w:eastAsia="zh-CN" w:bidi="ar-SA"/>
        </w:rPr>
        <w:t>GB/T 32150-2015</w:t>
      </w:r>
      <w:r>
        <w:rPr>
          <w:rFonts w:hint="eastAsia" w:ascii="Times New Roman" w:hAnsi="Times New Roman" w:eastAsia="宋体" w:cs="宋体"/>
          <w:color w:val="auto"/>
          <w:kern w:val="2"/>
          <w:sz w:val="24"/>
          <w:szCs w:val="24"/>
          <w:highlight w:val="none"/>
          <w:lang w:val="en-US" w:eastAsia="zh-CN" w:bidi="ar-SA"/>
        </w:rPr>
        <w:t>）、《国家发展改革委办公厅关于印发第三批10个行业企业温室气体核算方法与报告指南（试行）的通知》（发改办气候〔2015〕1722号）中的《工业其他行业企业温室气体排放核算方法与报告指南（试行）》，</w:t>
      </w:r>
      <w:r>
        <w:rPr>
          <w:rFonts w:ascii="Times New Roman" w:hAnsi="Times New Roman" w:eastAsia="宋体" w:cs="宋体"/>
          <w:color w:val="auto"/>
          <w:kern w:val="2"/>
          <w:sz w:val="24"/>
          <w:szCs w:val="24"/>
          <w:highlight w:val="none"/>
          <w:lang w:val="en-US" w:eastAsia="zh-CN" w:bidi="ar-SA"/>
        </w:rPr>
        <w:t>采用排放因子法。</w:t>
      </w:r>
    </w:p>
    <w:p w14:paraId="03AB3467">
      <w:pPr>
        <w:widowControl w:val="0"/>
        <w:bidi w:val="0"/>
        <w:spacing w:line="360" w:lineRule="auto"/>
        <w:ind w:firstLine="482" w:firstLineChars="200"/>
        <w:jc w:val="both"/>
        <w:rPr>
          <w:rFonts w:hint="default" w:ascii="Times New Roman" w:hAnsi="Times New Roman" w:eastAsia="宋体" w:cs="宋体"/>
          <w:b/>
          <w:bCs/>
          <w:color w:val="auto"/>
          <w:kern w:val="2"/>
          <w:sz w:val="24"/>
          <w:szCs w:val="24"/>
          <w:highlight w:val="none"/>
          <w:lang w:val="en-US" w:eastAsia="zh-CN" w:bidi="ar-SA"/>
        </w:rPr>
      </w:pPr>
      <w:r>
        <w:rPr>
          <w:rFonts w:hint="default" w:ascii="Times New Roman" w:hAnsi="Times New Roman" w:eastAsia="宋体" w:cs="宋体"/>
          <w:b/>
          <w:bCs/>
          <w:color w:val="auto"/>
          <w:kern w:val="2"/>
          <w:sz w:val="24"/>
          <w:szCs w:val="24"/>
          <w:highlight w:val="none"/>
          <w:lang w:val="en-US" w:eastAsia="zh-CN" w:bidi="ar-SA"/>
        </w:rPr>
        <w:t>（1）</w:t>
      </w:r>
      <w:r>
        <w:rPr>
          <w:rFonts w:hint="eastAsia" w:ascii="Times New Roman" w:hAnsi="Times New Roman" w:eastAsia="宋体" w:cs="宋体"/>
          <w:b/>
          <w:bCs/>
          <w:color w:val="auto"/>
          <w:kern w:val="2"/>
          <w:sz w:val="24"/>
          <w:szCs w:val="24"/>
          <w:highlight w:val="none"/>
          <w:lang w:val="en-US" w:eastAsia="zh-CN" w:bidi="ar-SA"/>
        </w:rPr>
        <w:t>核算方法</w:t>
      </w:r>
    </w:p>
    <w:p w14:paraId="2FA038C1">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温室气体排放总量</w:t>
      </w:r>
      <w:r>
        <w:rPr>
          <w:rFonts w:hint="default" w:ascii="Times New Roman" w:hAnsi="Times New Roman" w:eastAsia="宋体" w:cs="宋体"/>
          <w:color w:val="auto"/>
          <w:kern w:val="2"/>
          <w:sz w:val="24"/>
          <w:szCs w:val="24"/>
          <w:highlight w:val="none"/>
          <w:lang w:val="en-US" w:eastAsia="zh-CN" w:bidi="ar-SA"/>
        </w:rPr>
        <w:t>公式如下：</w:t>
      </w:r>
    </w:p>
    <w:p w14:paraId="7C129783">
      <w:pPr>
        <w:widowControl w:val="0"/>
        <w:bidi w:val="0"/>
        <w:spacing w:line="360" w:lineRule="auto"/>
        <w:ind w:firstLine="480" w:firstLineChars="200"/>
        <w:jc w:val="center"/>
        <w:rPr>
          <w:rFonts w:hint="default" w:ascii="Times New Roman" w:hAnsi="Times New Roman" w:eastAsia="宋体" w:cs="宋体"/>
          <w:i w:val="0"/>
          <w:iCs w:val="0"/>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lang w:val="en-US" w:eastAsia="zh-CN" w:bidi="ar-SA"/>
        </w:rPr>
        <w:t>E=E</w:t>
      </w:r>
      <w:r>
        <w:rPr>
          <w:rFonts w:hint="eastAsia" w:ascii="Times New Roman" w:hAnsi="Times New Roman" w:eastAsia="宋体" w:cs="宋体"/>
          <w:i w:val="0"/>
          <w:iCs w:val="0"/>
          <w:color w:val="auto"/>
          <w:kern w:val="2"/>
          <w:sz w:val="24"/>
          <w:szCs w:val="24"/>
          <w:highlight w:val="none"/>
          <w:vertAlign w:val="subscript"/>
          <w:lang w:val="en-US" w:eastAsia="zh-CN" w:bidi="ar-SA"/>
        </w:rPr>
        <w:t>燃烧</w:t>
      </w:r>
      <w:r>
        <w:rPr>
          <w:rFonts w:hint="eastAsia" w:ascii="Times New Roman" w:hAnsi="Times New Roman" w:eastAsia="宋体" w:cs="宋体"/>
          <w:i/>
          <w:iCs/>
          <w:color w:val="auto"/>
          <w:kern w:val="2"/>
          <w:sz w:val="24"/>
          <w:szCs w:val="24"/>
          <w:highlight w:val="no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过程</w:t>
      </w:r>
      <w:r>
        <w:rPr>
          <w:rFonts w:hint="eastAsia" w:ascii="Times New Roman" w:hAnsi="Times New Roman" w:eastAsia="宋体" w:cs="宋体"/>
          <w:i w:val="0"/>
          <w:iCs w:val="0"/>
          <w:color w:val="auto"/>
          <w:kern w:val="2"/>
          <w:sz w:val="24"/>
          <w:szCs w:val="24"/>
          <w:highlight w:val="none"/>
          <w:vertAlign w:val="baseline"/>
          <w:lang w:val="en-US" w:eastAsia="zh-CN" w:bidi="ar-SA"/>
        </w:rPr>
        <w:t>+</w:t>
      </w: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购入电</w:t>
      </w:r>
      <w:r>
        <w:rPr>
          <w:rFonts w:hint="eastAsia" w:ascii="Times New Roman" w:hAnsi="Times New Roman" w:eastAsia="宋体" w:cs="宋体"/>
          <w:i w:val="0"/>
          <w:iCs w:val="0"/>
          <w:color w:val="auto"/>
          <w:kern w:val="2"/>
          <w:sz w:val="24"/>
          <w:szCs w:val="24"/>
          <w:highlight w:val="none"/>
          <w:vertAlign w:val="baseline"/>
          <w:lang w:val="en-US" w:eastAsia="zh-CN" w:bidi="ar-SA"/>
        </w:rPr>
        <w:t>-</w:t>
      </w: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vertAlign w:val="subscript"/>
          <w:lang w:val="en-US" w:eastAsia="zh-CN" w:bidi="ar-SA"/>
        </w:rPr>
        <w:t>输出电</w:t>
      </w:r>
      <w:r>
        <w:rPr>
          <w:rFonts w:hint="eastAsia" w:ascii="Times New Roman" w:hAnsi="Times New Roman" w:eastAsia="宋体" w:cs="宋体"/>
          <w:i w:val="0"/>
          <w:iCs w:val="0"/>
          <w:color w:val="auto"/>
          <w:kern w:val="2"/>
          <w:sz w:val="24"/>
          <w:szCs w:val="24"/>
          <w:highlight w:val="none"/>
          <w:vertAlign w:val="baseline"/>
          <w:lang w:val="en-US" w:eastAsia="zh-CN" w:bidi="ar-SA"/>
        </w:rPr>
        <w:t>+</w:t>
      </w: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购入热</w:t>
      </w:r>
      <w:r>
        <w:rPr>
          <w:rFonts w:hint="eastAsia" w:ascii="Times New Roman" w:hAnsi="Times New Roman" w:eastAsia="宋体" w:cs="宋体"/>
          <w:color w:val="auto"/>
          <w:kern w:val="2"/>
          <w:sz w:val="24"/>
          <w:szCs w:val="24"/>
          <w:highlight w:val="none"/>
          <w:vertAlign w:val="baseline"/>
          <w:lang w:val="en-US" w:eastAsia="zh-CN" w:bidi="ar-SA"/>
        </w:rPr>
        <w:t>-</w:t>
      </w: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vertAlign w:val="subscript"/>
          <w:lang w:val="en-US" w:eastAsia="zh-CN" w:bidi="ar-SA"/>
        </w:rPr>
        <w:t>输出热</w:t>
      </w:r>
      <w:r>
        <w:rPr>
          <w:rFonts w:hint="eastAsia" w:ascii="Times New Roman" w:hAnsi="Times New Roman" w:eastAsia="宋体" w:cs="宋体"/>
          <w:color w:val="auto"/>
          <w:kern w:val="2"/>
          <w:sz w:val="24"/>
          <w:szCs w:val="24"/>
          <w:highlight w:val="none"/>
          <w:vertAlign w:val="baseline"/>
          <w:lang w:val="en-US" w:eastAsia="zh-CN" w:bidi="ar-SA"/>
        </w:rPr>
        <w:t>-</w:t>
      </w: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vertAlign w:val="subscript"/>
          <w:lang w:val="en-US" w:eastAsia="zh-CN" w:bidi="ar-SA"/>
        </w:rPr>
        <w:t>回收利用</w:t>
      </w:r>
    </w:p>
    <w:p w14:paraId="3EA8F48F">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其中，</w:t>
      </w:r>
      <w:r>
        <w:rPr>
          <w:rFonts w:hint="eastAsia" w:ascii="Times New Roman" w:hAnsi="Times New Roman" w:eastAsia="宋体" w:cs="宋体"/>
          <w:i/>
          <w:iCs/>
          <w:color w:val="auto"/>
          <w:kern w:val="2"/>
          <w:sz w:val="24"/>
          <w:szCs w:val="24"/>
          <w:highlight w:val="none"/>
          <w:lang w:val="en-US" w:eastAsia="zh-CN" w:bidi="ar-SA"/>
        </w:rPr>
        <w:t>E</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温室气体排放总量，单位为吨二氧化碳当量（tCO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p>
    <w:p w14:paraId="72F427C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i/>
          <w:iCs/>
          <w:color w:val="auto"/>
          <w:kern w:val="2"/>
          <w:sz w:val="24"/>
          <w:szCs w:val="24"/>
          <w:highlight w:val="no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燃烧</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燃料燃烧产生的温室气体排放量总和，单位为吨二氧化碳当量（tCO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p>
    <w:p w14:paraId="60BD4B88">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i/>
          <w:iCs/>
          <w:color w:val="auto"/>
          <w:kern w:val="2"/>
          <w:sz w:val="24"/>
          <w:szCs w:val="24"/>
          <w:highlight w:val="no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过程</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过程温室气体排放量总和，单位为吨二氧化碳当量（tCO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p>
    <w:p w14:paraId="7BB893F2">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购入电</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购入的电力所产生的二氧化碳排放，单位为吨二氧化碳当量（tCO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w:t>
      </w:r>
    </w:p>
    <w:p w14:paraId="10AE95AB">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vertAlign w:val="subscript"/>
          <w:lang w:val="en-US" w:eastAsia="zh-CN" w:bidi="ar-SA"/>
        </w:rPr>
        <w:t>输出电</w:t>
      </w:r>
      <w:r>
        <w:rPr>
          <w:rFonts w:hint="default" w:ascii="Times New Roman" w:hAnsi="Times New Roman" w:eastAsia="宋体" w:cs="Times New Roman"/>
          <w:color w:val="auto"/>
          <w:kern w:val="2"/>
          <w:sz w:val="24"/>
          <w:szCs w:val="24"/>
          <w:highlight w:val="none"/>
          <w:vertAlign w:val="baseli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输出的电力对应的二氧化碳排放，单位为吨二氧化碳</w:t>
      </w:r>
      <w:r>
        <w:rPr>
          <w:rFonts w:hint="eastAsia" w:ascii="Times New Roman" w:hAnsi="Times New Roman" w:eastAsia="宋体" w:cs="宋体"/>
          <w:color w:val="auto"/>
          <w:kern w:val="2"/>
          <w:sz w:val="24"/>
          <w:szCs w:val="24"/>
          <w:highlight w:val="none"/>
          <w:lang w:val="en-US" w:eastAsia="zh-CN" w:bidi="ar-SA"/>
        </w:rPr>
        <w:t>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w:t>
      </w:r>
    </w:p>
    <w:p w14:paraId="5537C253">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购入热</w:t>
      </w:r>
      <w:r>
        <w:rPr>
          <w:rFonts w:hint="default" w:ascii="Times New Roman" w:hAnsi="Times New Roman" w:eastAsia="宋体" w:cs="Times New Roman"/>
          <w:color w:val="auto"/>
          <w:kern w:val="2"/>
          <w:sz w:val="24"/>
          <w:szCs w:val="24"/>
          <w:highlight w:val="none"/>
          <w:vertAlign w:val="baseli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购入的热力对应的二氧化碳排放，单位为吨二氧化碳</w:t>
      </w:r>
      <w:r>
        <w:rPr>
          <w:rFonts w:hint="eastAsia" w:ascii="Times New Roman" w:hAnsi="Times New Roman" w:eastAsia="宋体" w:cs="宋体"/>
          <w:color w:val="auto"/>
          <w:kern w:val="2"/>
          <w:sz w:val="24"/>
          <w:szCs w:val="24"/>
          <w:highlight w:val="none"/>
          <w:lang w:val="en-US" w:eastAsia="zh-CN" w:bidi="ar-SA"/>
        </w:rPr>
        <w:t>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w:t>
      </w:r>
    </w:p>
    <w:p w14:paraId="35B54972">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vertAlign w:val="subscript"/>
          <w:lang w:val="en-US" w:eastAsia="zh-CN" w:bidi="ar-SA"/>
        </w:rPr>
        <w:t>输出热</w:t>
      </w:r>
      <w:r>
        <w:rPr>
          <w:rFonts w:hint="default" w:ascii="Times New Roman" w:hAnsi="Times New Roman" w:eastAsia="宋体" w:cs="Times New Roman"/>
          <w:color w:val="auto"/>
          <w:kern w:val="2"/>
          <w:sz w:val="24"/>
          <w:szCs w:val="24"/>
          <w:highlight w:val="none"/>
          <w:vertAlign w:val="baseli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输出的热力对应的二氧化碳排放，单位为吨二氧化碳</w:t>
      </w:r>
      <w:r>
        <w:rPr>
          <w:rFonts w:hint="eastAsia" w:ascii="Times New Roman" w:hAnsi="Times New Roman" w:eastAsia="宋体" w:cs="宋体"/>
          <w:color w:val="auto"/>
          <w:kern w:val="2"/>
          <w:sz w:val="24"/>
          <w:szCs w:val="24"/>
          <w:highlight w:val="none"/>
          <w:lang w:val="en-US" w:eastAsia="zh-CN" w:bidi="ar-SA"/>
        </w:rPr>
        <w:t>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vertAlign w:val="baseline"/>
          <w:lang w:val="en-US" w:eastAsia="zh-CN" w:bidi="ar-SA"/>
        </w:rPr>
        <w:t>；</w:t>
      </w:r>
    </w:p>
    <w:p w14:paraId="3EABEF49">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vertAlign w:val="baseline"/>
          <w:lang w:val="en-US" w:eastAsia="zh-CN" w:bidi="ar-SA"/>
        </w:rPr>
      </w:pPr>
      <w:r>
        <w:rPr>
          <w:rFonts w:hint="eastAsia" w:ascii="Times New Roman" w:hAnsi="Times New Roman" w:eastAsia="宋体" w:cs="宋体"/>
          <w:i/>
          <w:iCs/>
          <w:color w:val="auto"/>
          <w:kern w:val="2"/>
          <w:sz w:val="24"/>
          <w:szCs w:val="24"/>
          <w:highlight w:val="none"/>
          <w:vertAlign w:val="baseli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回收利用</w:t>
      </w:r>
      <w:r>
        <w:rPr>
          <w:rFonts w:hint="default" w:ascii="Times New Roman" w:hAnsi="Times New Roman" w:eastAsia="宋体" w:cs="Times New Roman"/>
          <w:color w:val="auto"/>
          <w:kern w:val="2"/>
          <w:sz w:val="24"/>
          <w:szCs w:val="24"/>
          <w:highlight w:val="none"/>
          <w:vertAlign w:val="baseline"/>
          <w:lang w:val="en-US" w:eastAsia="zh-CN" w:bidi="ar-SA"/>
        </w:rPr>
        <w:t>——</w:t>
      </w:r>
      <w:r>
        <w:rPr>
          <w:rFonts w:hint="eastAsia" w:ascii="Times New Roman" w:hAnsi="Times New Roman" w:eastAsia="宋体" w:cs="Times New Roman"/>
          <w:color w:val="auto"/>
          <w:kern w:val="2"/>
          <w:sz w:val="24"/>
          <w:szCs w:val="24"/>
          <w:highlight w:val="none"/>
          <w:vertAlign w:val="baseline"/>
          <w:lang w:val="en-US" w:eastAsia="zh-CN" w:bidi="ar-SA"/>
        </w:rPr>
        <w:t>燃料燃烧、工艺过程产生的温室气体经回收作为生产原料自用或作为产品外供所对应的温室气体排放量，单位为</w:t>
      </w:r>
      <w:r>
        <w:rPr>
          <w:rFonts w:hint="eastAsia" w:ascii="Times New Roman" w:hAnsi="Times New Roman" w:eastAsia="宋体" w:cs="宋体"/>
          <w:color w:val="auto"/>
          <w:kern w:val="2"/>
          <w:sz w:val="24"/>
          <w:szCs w:val="24"/>
          <w:highlight w:val="none"/>
          <w:vertAlign w:val="baseline"/>
          <w:lang w:val="en-US" w:eastAsia="zh-CN" w:bidi="ar-SA"/>
        </w:rPr>
        <w:t>吨二氧化碳</w:t>
      </w:r>
      <w:r>
        <w:rPr>
          <w:rFonts w:hint="eastAsia" w:ascii="Times New Roman" w:hAnsi="Times New Roman" w:eastAsia="宋体" w:cs="宋体"/>
          <w:color w:val="auto"/>
          <w:kern w:val="2"/>
          <w:sz w:val="24"/>
          <w:szCs w:val="24"/>
          <w:highlight w:val="none"/>
          <w:lang w:val="en-US" w:eastAsia="zh-CN" w:bidi="ar-SA"/>
        </w:rPr>
        <w:t>当量（tCO</w:t>
      </w:r>
      <w:r>
        <w:rPr>
          <w:rFonts w:hint="eastAsia" w:ascii="Times New Roman" w:hAnsi="Times New Roman" w:eastAsia="宋体" w:cs="宋体"/>
          <w:color w:val="auto"/>
          <w:kern w:val="2"/>
          <w:sz w:val="24"/>
          <w:szCs w:val="24"/>
          <w:highlight w:val="none"/>
          <w:vertAlign w:val="subscript"/>
          <w:lang w:val="en-US" w:eastAsia="zh-CN" w:bidi="ar-SA"/>
        </w:rPr>
        <w:t>2</w:t>
      </w:r>
      <w:r>
        <w:rPr>
          <w:rFonts w:hint="eastAsia" w:ascii="Times New Roman" w:hAnsi="Times New Roman" w:eastAsia="宋体" w:cs="宋体"/>
          <w:color w:val="auto"/>
          <w:kern w:val="2"/>
          <w:sz w:val="24"/>
          <w:szCs w:val="24"/>
          <w:highlight w:val="none"/>
          <w:vertAlign w:val="baseline"/>
          <w:lang w:val="en-US" w:eastAsia="zh-CN" w:bidi="ar-SA"/>
        </w:rPr>
        <w:t>e</w:t>
      </w:r>
      <w:r>
        <w:rPr>
          <w:rFonts w:hint="eastAsia" w:ascii="Times New Roman" w:hAnsi="Times New Roman" w:eastAsia="宋体" w:cs="宋体"/>
          <w:color w:val="auto"/>
          <w:kern w:val="2"/>
          <w:sz w:val="24"/>
          <w:szCs w:val="24"/>
          <w:highlight w:val="none"/>
          <w:lang w:val="en-US" w:eastAsia="zh-CN" w:bidi="ar-SA"/>
        </w:rPr>
        <w:t>）。</w:t>
      </w:r>
    </w:p>
    <w:p w14:paraId="23AAE3A4">
      <w:pPr>
        <w:widowControl w:val="0"/>
        <w:bidi w:val="0"/>
        <w:spacing w:line="360" w:lineRule="auto"/>
        <w:ind w:firstLine="482" w:firstLineChars="200"/>
        <w:jc w:val="both"/>
        <w:rPr>
          <w:rFonts w:hint="eastAsia" w:ascii="Times New Roman" w:hAnsi="Cambria Math" w:eastAsia="宋体" w:cs="宋体"/>
          <w:b/>
          <w:bCs/>
          <w:i w:val="0"/>
          <w:color w:val="auto"/>
          <w:kern w:val="2"/>
          <w:sz w:val="24"/>
          <w:szCs w:val="24"/>
          <w:highlight w:val="none"/>
          <w:lang w:val="en-US" w:eastAsia="zh-CN" w:bidi="ar-SA"/>
        </w:rPr>
      </w:pPr>
      <w:r>
        <w:rPr>
          <w:rFonts w:hint="eastAsia" w:ascii="Times New Roman" w:hAnsi="Cambria Math" w:eastAsia="宋体" w:cs="宋体"/>
          <w:b/>
          <w:bCs/>
          <w:i w:val="0"/>
          <w:color w:val="auto"/>
          <w:kern w:val="2"/>
          <w:sz w:val="24"/>
          <w:szCs w:val="24"/>
          <w:highlight w:val="none"/>
          <w:lang w:val="en-US" w:eastAsia="zh-CN" w:bidi="ar-SA"/>
        </w:rPr>
        <w:t>（2）净购入电力、热力产生的排放</w:t>
      </w:r>
    </w:p>
    <w:p w14:paraId="18C53F41">
      <w:pPr>
        <w:widowControl w:val="0"/>
        <w:bidi w:val="0"/>
        <w:spacing w:line="360" w:lineRule="auto"/>
        <w:ind w:firstLine="480" w:firstLineChars="200"/>
        <w:jc w:val="both"/>
        <w:rPr>
          <w:rFonts w:hint="eastAsia" w:ascii="Times New Roman" w:hAnsi="Cambria Math" w:eastAsia="宋体" w:cs="宋体"/>
          <w:i w:val="0"/>
          <w:color w:val="auto"/>
          <w:kern w:val="2"/>
          <w:sz w:val="24"/>
          <w:szCs w:val="24"/>
          <w:highlight w:val="none"/>
          <w:lang w:val="en-US" w:eastAsia="zh-CN" w:bidi="ar-SA"/>
        </w:rPr>
      </w:pPr>
      <w:r>
        <w:rPr>
          <w:rFonts w:hint="eastAsia" w:ascii="Times New Roman" w:hAnsi="Cambria Math" w:eastAsia="宋体" w:cs="宋体"/>
          <w:i w:val="0"/>
          <w:color w:val="auto"/>
          <w:kern w:val="2"/>
          <w:sz w:val="24"/>
          <w:szCs w:val="24"/>
          <w:highlight w:val="none"/>
          <w:lang w:val="en-US" w:eastAsia="zh-CN" w:bidi="ar-SA"/>
        </w:rPr>
        <w:t>①计算公式</w:t>
      </w:r>
    </w:p>
    <w:p w14:paraId="3F3BCCB6">
      <w:pPr>
        <w:widowControl w:val="0"/>
        <w:bidi w:val="0"/>
        <w:spacing w:line="360" w:lineRule="auto"/>
        <w:ind w:firstLine="480" w:firstLineChars="200"/>
        <w:jc w:val="both"/>
        <w:rPr>
          <w:rFonts w:hint="eastAsia" w:ascii="Times New Roman" w:hAnsi="Cambria Math" w:eastAsia="宋体" w:cs="宋体"/>
          <w:i w:val="0"/>
          <w:color w:val="auto"/>
          <w:kern w:val="2"/>
          <w:sz w:val="24"/>
          <w:szCs w:val="24"/>
          <w:highlight w:val="none"/>
          <w:lang w:val="en-US" w:eastAsia="zh-CN" w:bidi="ar-SA"/>
        </w:rPr>
      </w:pPr>
      <w:r>
        <w:rPr>
          <w:rFonts w:hint="default" w:ascii="Times New Roman" w:hAnsi="Cambria Math" w:eastAsia="宋体" w:cs="宋体"/>
          <w:i w:val="0"/>
          <w:color w:val="auto"/>
          <w:kern w:val="2"/>
          <w:sz w:val="24"/>
          <w:szCs w:val="24"/>
          <w:highlight w:val="none"/>
          <w:lang w:val="en-US" w:eastAsia="zh-CN" w:bidi="ar-SA"/>
        </w:rPr>
        <w:t>企业购入的电力产生的二氧化碳排放量按</w:t>
      </w:r>
      <w:r>
        <w:rPr>
          <w:rFonts w:hint="eastAsia" w:ascii="Times New Roman" w:hAnsi="Cambria Math" w:eastAsia="宋体" w:cs="宋体"/>
          <w:i w:val="0"/>
          <w:color w:val="auto"/>
          <w:kern w:val="2"/>
          <w:sz w:val="24"/>
          <w:szCs w:val="24"/>
          <w:highlight w:val="none"/>
          <w:lang w:val="en-US" w:eastAsia="zh-CN" w:bidi="ar-SA"/>
        </w:rPr>
        <w:t>下列</w:t>
      </w:r>
      <w:r>
        <w:rPr>
          <w:rFonts w:hint="default" w:ascii="Times New Roman" w:hAnsi="Cambria Math" w:eastAsia="宋体" w:cs="宋体"/>
          <w:i w:val="0"/>
          <w:color w:val="auto"/>
          <w:kern w:val="2"/>
          <w:sz w:val="24"/>
          <w:szCs w:val="24"/>
          <w:highlight w:val="none"/>
          <w:lang w:val="en-US" w:eastAsia="zh-CN" w:bidi="ar-SA"/>
        </w:rPr>
        <w:t>公式</w:t>
      </w:r>
      <w:r>
        <w:rPr>
          <w:rFonts w:hint="eastAsia" w:ascii="Times New Roman" w:hAnsi="Cambria Math" w:eastAsia="宋体" w:cs="宋体"/>
          <w:i w:val="0"/>
          <w:color w:val="auto"/>
          <w:kern w:val="2"/>
          <w:sz w:val="24"/>
          <w:szCs w:val="24"/>
          <w:highlight w:val="none"/>
          <w:lang w:val="en-US" w:eastAsia="zh-CN" w:bidi="ar-SA"/>
        </w:rPr>
        <w:t>计算：</w:t>
      </w:r>
    </w:p>
    <w:p w14:paraId="6719C466">
      <w:pPr>
        <w:widowControl w:val="0"/>
        <w:bidi w:val="0"/>
        <w:spacing w:line="360" w:lineRule="auto"/>
        <w:ind w:firstLine="480" w:firstLineChars="200"/>
        <w:jc w:val="center"/>
        <w:rPr>
          <w:rFonts w:hint="eastAsia" w:ascii="Times New Roman" w:hAnsi="Cambria Math" w:eastAsia="宋体" w:cs="宋体"/>
          <w:i/>
          <w:iCs/>
          <w:color w:val="auto"/>
          <w:kern w:val="2"/>
          <w:sz w:val="24"/>
          <w:szCs w:val="24"/>
          <w:highlight w:val="none"/>
          <w:lang w:val="en-US" w:eastAsia="zh-CN" w:bidi="ar-SA"/>
        </w:rPr>
      </w:pPr>
      <w:r>
        <w:rPr>
          <w:rFonts w:hint="eastAsia" w:ascii="Times New Roman" w:hAnsi="Cambria Math" w:eastAsia="宋体" w:cs="宋体"/>
          <w:i/>
          <w:iCs/>
          <w:color w:val="auto"/>
          <w:kern w:val="2"/>
          <w:sz w:val="24"/>
          <w:szCs w:val="24"/>
          <w:highlight w:val="none"/>
          <w:lang w:val="en-US" w:eastAsia="zh-CN" w:bidi="ar-SA"/>
        </w:rPr>
        <w:t>E</w:t>
      </w:r>
      <w:r>
        <w:rPr>
          <w:rFonts w:hint="eastAsia" w:ascii="Times New Roman" w:hAnsi="Cambria Math" w:eastAsia="宋体" w:cs="宋体"/>
          <w:i w:val="0"/>
          <w:iCs w:val="0"/>
          <w:color w:val="auto"/>
          <w:kern w:val="2"/>
          <w:sz w:val="24"/>
          <w:szCs w:val="24"/>
          <w:highlight w:val="none"/>
          <w:vertAlign w:val="subscript"/>
          <w:lang w:val="en-US" w:eastAsia="zh-CN" w:bidi="ar-SA"/>
        </w:rPr>
        <w:t>购入电</w:t>
      </w:r>
      <w:r>
        <w:rPr>
          <w:rFonts w:hint="eastAsia" w:ascii="Times New Roman" w:hAnsi="Cambria Math" w:eastAsia="宋体" w:cs="宋体"/>
          <w:i/>
          <w:iCs/>
          <w:color w:val="auto"/>
          <w:kern w:val="2"/>
          <w:sz w:val="24"/>
          <w:szCs w:val="24"/>
          <w:highlight w:val="none"/>
          <w:lang w:val="en-US" w:eastAsia="zh-CN" w:bidi="ar-SA"/>
        </w:rPr>
        <w:t>=AD</w:t>
      </w:r>
      <w:r>
        <w:rPr>
          <w:rFonts w:hint="eastAsia" w:ascii="Times New Roman" w:hAnsi="Cambria Math" w:eastAsia="宋体" w:cs="宋体"/>
          <w:i w:val="0"/>
          <w:iCs w:val="0"/>
          <w:color w:val="auto"/>
          <w:kern w:val="2"/>
          <w:sz w:val="24"/>
          <w:szCs w:val="24"/>
          <w:highlight w:val="none"/>
          <w:vertAlign w:val="subscript"/>
          <w:lang w:val="en-US" w:eastAsia="zh-CN" w:bidi="ar-SA"/>
        </w:rPr>
        <w:t>购入电</w:t>
      </w:r>
      <w:r>
        <w:rPr>
          <w:rFonts w:hint="eastAsia" w:ascii="Times New Roman" w:hAnsi="Cambria Math" w:eastAsia="宋体" w:cs="宋体"/>
          <w:i w:val="0"/>
          <w:iCs w:val="0"/>
          <w:color w:val="auto"/>
          <w:kern w:val="2"/>
          <w:sz w:val="24"/>
          <w:szCs w:val="24"/>
          <w:highlight w:val="none"/>
          <w:lang w:val="en-US" w:eastAsia="zh-CN" w:bidi="ar-SA"/>
        </w:rPr>
        <w:t>×</w:t>
      </w:r>
      <w:r>
        <w:rPr>
          <w:rFonts w:hint="eastAsia" w:ascii="Times New Roman" w:hAnsi="Cambria Math" w:eastAsia="宋体" w:cs="宋体"/>
          <w:i/>
          <w:iCs/>
          <w:color w:val="auto"/>
          <w:kern w:val="2"/>
          <w:sz w:val="24"/>
          <w:szCs w:val="24"/>
          <w:highlight w:val="none"/>
          <w:lang w:val="en-US" w:eastAsia="zh-CN" w:bidi="ar-SA"/>
        </w:rPr>
        <w:t>EF</w:t>
      </w:r>
      <w:r>
        <w:rPr>
          <w:rFonts w:hint="eastAsia" w:ascii="Times New Roman" w:hAnsi="Cambria Math" w:eastAsia="宋体" w:cs="宋体"/>
          <w:i w:val="0"/>
          <w:iCs w:val="0"/>
          <w:color w:val="auto"/>
          <w:kern w:val="2"/>
          <w:sz w:val="24"/>
          <w:szCs w:val="24"/>
          <w:highlight w:val="none"/>
          <w:vertAlign w:val="subscript"/>
          <w:lang w:val="en-US" w:eastAsia="zh-CN" w:bidi="ar-SA"/>
        </w:rPr>
        <w:t>电力</w:t>
      </w:r>
    </w:p>
    <w:p w14:paraId="20B5BDF3">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其中，</w:t>
      </w:r>
      <w:r>
        <w:rPr>
          <w:rFonts w:hint="default" w:ascii="Times New Roman" w:hAnsi="Times New Roman" w:eastAsia="宋体" w:cs="宋体"/>
          <w:i/>
          <w:iCs/>
          <w:color w:val="auto"/>
          <w:kern w:val="2"/>
          <w:sz w:val="24"/>
          <w:szCs w:val="24"/>
          <w:highlight w:val="none"/>
          <w:lang w:val="en-US" w:eastAsia="zh-CN" w:bidi="ar-SA"/>
        </w:rPr>
        <w:t>E</w:t>
      </w:r>
      <w:r>
        <w:rPr>
          <w:rFonts w:hint="eastAsia" w:ascii="Times New Roman" w:hAnsi="Times New Roman" w:eastAsia="宋体" w:cs="宋体"/>
          <w:i w:val="0"/>
          <w:iCs w:val="0"/>
          <w:color w:val="auto"/>
          <w:kern w:val="2"/>
          <w:sz w:val="24"/>
          <w:szCs w:val="24"/>
          <w:highlight w:val="none"/>
          <w:vertAlign w:val="subscript"/>
          <w:lang w:val="en-US" w:eastAsia="zh-CN" w:bidi="ar-SA"/>
        </w:rPr>
        <w:t>购入电</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购入电力所产生的二氧化碳排放量，单位为吨二氧化碳（</w:t>
      </w:r>
      <w:r>
        <w:rPr>
          <w:rFonts w:hint="default" w:ascii="Times New Roman" w:hAnsi="Times New Roman" w:eastAsia="宋体" w:cs="宋体"/>
          <w:color w:val="auto"/>
          <w:kern w:val="2"/>
          <w:sz w:val="24"/>
          <w:szCs w:val="24"/>
          <w:highlight w:val="none"/>
          <w:lang w:val="en-US" w:eastAsia="zh-CN" w:bidi="ar-SA"/>
        </w:rPr>
        <w:t>tCO</w:t>
      </w:r>
      <w:r>
        <w:rPr>
          <w:rFonts w:hint="eastAsia" w:ascii="Times New Roman" w:hAnsi="Times New Roman" w:eastAsia="宋体" w:cs="宋体"/>
          <w:color w:val="auto"/>
          <w:kern w:val="2"/>
          <w:sz w:val="24"/>
          <w:szCs w:val="24"/>
          <w:highlight w:val="none"/>
          <w:lang w:val="en-US" w:eastAsia="zh-CN" w:bidi="ar-SA"/>
        </w:rPr>
        <w:t>）；</w:t>
      </w:r>
    </w:p>
    <w:p w14:paraId="4B61C217">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i/>
          <w:iCs/>
          <w:color w:val="auto"/>
          <w:kern w:val="2"/>
          <w:sz w:val="24"/>
          <w:szCs w:val="24"/>
          <w:highlight w:val="none"/>
          <w:lang w:val="en-US" w:eastAsia="zh-CN" w:bidi="ar-SA"/>
        </w:rPr>
        <w:t>AD</w:t>
      </w:r>
      <w:r>
        <w:rPr>
          <w:rFonts w:hint="eastAsia" w:ascii="Times New Roman" w:hAnsi="Times New Roman" w:eastAsia="宋体" w:cs="宋体"/>
          <w:i w:val="0"/>
          <w:iCs w:val="0"/>
          <w:color w:val="auto"/>
          <w:kern w:val="2"/>
          <w:sz w:val="24"/>
          <w:szCs w:val="24"/>
          <w:highlight w:val="none"/>
          <w:vertAlign w:val="subscript"/>
          <w:lang w:val="en-US" w:eastAsia="zh-CN" w:bidi="ar-SA"/>
        </w:rPr>
        <w:t>购入电</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核算期内购入的电量，单位为兆瓦时（</w:t>
      </w:r>
      <w:r>
        <w:rPr>
          <w:rFonts w:hint="default" w:ascii="Times New Roman" w:hAnsi="Times New Roman" w:eastAsia="宋体" w:cs="宋体"/>
          <w:color w:val="auto"/>
          <w:kern w:val="2"/>
          <w:sz w:val="24"/>
          <w:szCs w:val="24"/>
          <w:highlight w:val="none"/>
          <w:lang w:val="en-US" w:eastAsia="zh-CN" w:bidi="ar-SA"/>
        </w:rPr>
        <w:t>MWh</w:t>
      </w:r>
      <w:r>
        <w:rPr>
          <w:rFonts w:hint="eastAsia" w:ascii="Times New Roman" w:hAnsi="Times New Roman" w:eastAsia="宋体" w:cs="宋体"/>
          <w:color w:val="auto"/>
          <w:kern w:val="2"/>
          <w:sz w:val="24"/>
          <w:szCs w:val="24"/>
          <w:highlight w:val="none"/>
          <w:lang w:val="en-US" w:eastAsia="zh-CN" w:bidi="ar-SA"/>
        </w:rPr>
        <w:t>）；</w:t>
      </w:r>
    </w:p>
    <w:p w14:paraId="560AAB49">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i/>
          <w:iCs/>
          <w:color w:val="auto"/>
          <w:kern w:val="2"/>
          <w:sz w:val="24"/>
          <w:szCs w:val="24"/>
          <w:highlight w:val="none"/>
          <w:lang w:val="en-US" w:eastAsia="zh-CN" w:bidi="ar-SA"/>
        </w:rPr>
        <w:t>EF</w:t>
      </w:r>
      <w:r>
        <w:rPr>
          <w:rFonts w:hint="default" w:ascii="Times New Roman" w:hAnsi="Times New Roman" w:eastAsia="宋体" w:cs="宋体"/>
          <w:i w:val="0"/>
          <w:iCs w:val="0"/>
          <w:color w:val="auto"/>
          <w:kern w:val="2"/>
          <w:sz w:val="24"/>
          <w:szCs w:val="24"/>
          <w:highlight w:val="none"/>
          <w:vertAlign w:val="subscript"/>
          <w:lang w:val="en-US" w:eastAsia="zh-CN" w:bidi="ar-SA"/>
        </w:rPr>
        <w:t>电力</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电力的二氧化碳排放因子，单位为吨二氧化碳每兆瓦时（</w:t>
      </w:r>
      <w:r>
        <w:rPr>
          <w:rFonts w:hint="default" w:ascii="Times New Roman" w:hAnsi="Times New Roman" w:eastAsia="宋体" w:cs="宋体"/>
          <w:color w:val="auto"/>
          <w:kern w:val="2"/>
          <w:sz w:val="24"/>
          <w:szCs w:val="24"/>
          <w:highlight w:val="none"/>
          <w:lang w:val="en-US" w:eastAsia="zh-CN" w:bidi="ar-SA"/>
        </w:rPr>
        <w:t>tCO</w:t>
      </w:r>
      <w:r>
        <w:rPr>
          <w:rFonts w:hint="default" w:ascii="Times New Roman" w:hAnsi="Times New Roman" w:eastAsia="宋体" w:cs="宋体"/>
          <w:color w:val="auto"/>
          <w:kern w:val="2"/>
          <w:sz w:val="24"/>
          <w:szCs w:val="24"/>
          <w:highlight w:val="none"/>
          <w:vertAlign w:val="subscript"/>
          <w:lang w:val="en-US" w:eastAsia="zh-CN" w:bidi="ar-SA"/>
        </w:rPr>
        <w:t>2</w:t>
      </w:r>
      <w:r>
        <w:rPr>
          <w:rFonts w:hint="default" w:ascii="Times New Roman" w:hAnsi="Times New Roman" w:eastAsia="宋体" w:cs="宋体"/>
          <w:color w:val="auto"/>
          <w:kern w:val="2"/>
          <w:sz w:val="24"/>
          <w:szCs w:val="24"/>
          <w:highlight w:val="none"/>
          <w:lang w:val="en-US" w:eastAsia="zh-CN" w:bidi="ar-SA"/>
        </w:rPr>
        <w:t>/MWh</w:t>
      </w:r>
      <w:r>
        <w:rPr>
          <w:rFonts w:hint="eastAsia" w:ascii="Times New Roman" w:hAnsi="Times New Roman" w:eastAsia="宋体" w:cs="宋体"/>
          <w:color w:val="auto"/>
          <w:kern w:val="2"/>
          <w:sz w:val="24"/>
          <w:szCs w:val="24"/>
          <w:highlight w:val="none"/>
          <w:lang w:val="en-US" w:eastAsia="zh-CN" w:bidi="ar-SA"/>
        </w:rPr>
        <w:t>）；</w:t>
      </w:r>
    </w:p>
    <w:p w14:paraId="27F2D4C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②活动数据水平获取</w:t>
      </w:r>
    </w:p>
    <w:p w14:paraId="222ECCE5">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企业净购入电量数据以企业电表记录的读数为准，如果没有电表记录，可采用供应商提供的电费发票或者结算单等结算凭证上的数据。企业应按净购入电量所在的不同电网，分别统计净购入电量数据。</w:t>
      </w:r>
    </w:p>
    <w:p w14:paraId="0BA481AA">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企业净购入热力数据以企业热计量表计量的读数为准，如果没有计量表记录，可采用供应商提供的供热量发票或者结算单等结算凭证上的数据。</w:t>
      </w:r>
    </w:p>
    <w:p w14:paraId="57975E82">
      <w:pPr>
        <w:bidi w:val="0"/>
        <w:rPr>
          <w:rFonts w:hint="default"/>
          <w:b/>
          <w:bCs/>
          <w:color w:val="auto"/>
          <w:highlight w:val="none"/>
        </w:rPr>
      </w:pPr>
      <w:r>
        <w:rPr>
          <w:rFonts w:hint="eastAsia"/>
          <w:b/>
          <w:bCs/>
          <w:color w:val="auto"/>
          <w:highlight w:val="none"/>
          <w:lang w:eastAsia="zh-CN"/>
        </w:rPr>
        <w:t>（</w:t>
      </w:r>
      <w:r>
        <w:rPr>
          <w:rFonts w:hint="eastAsia"/>
          <w:b/>
          <w:bCs/>
          <w:color w:val="auto"/>
          <w:highlight w:val="none"/>
          <w:lang w:val="en-US" w:eastAsia="zh-CN"/>
        </w:rPr>
        <w:t>3</w:t>
      </w:r>
      <w:r>
        <w:rPr>
          <w:rFonts w:hint="eastAsia"/>
          <w:b/>
          <w:bCs/>
          <w:color w:val="auto"/>
          <w:highlight w:val="none"/>
          <w:lang w:eastAsia="zh-CN"/>
        </w:rPr>
        <w:t>）</w:t>
      </w:r>
      <w:r>
        <w:rPr>
          <w:rFonts w:hint="default"/>
          <w:b/>
          <w:bCs/>
          <w:color w:val="auto"/>
          <w:highlight w:val="none"/>
        </w:rPr>
        <w:t>燃料燃烧排放</w:t>
      </w:r>
    </w:p>
    <w:p w14:paraId="1A0200E3">
      <w:pPr>
        <w:bidi w:val="0"/>
        <w:rPr>
          <w:rFonts w:hint="eastAsia"/>
          <w:color w:val="auto"/>
          <w:highlight w:val="none"/>
          <w:lang w:val="en-US" w:eastAsia="zh-CN"/>
        </w:rPr>
      </w:pPr>
      <w:r>
        <w:rPr>
          <w:rFonts w:hint="eastAsia"/>
          <w:color w:val="auto"/>
          <w:highlight w:val="none"/>
          <w:lang w:val="en-US" w:eastAsia="zh-CN"/>
        </w:rPr>
        <w:t>燃料燃烧CO</w:t>
      </w:r>
      <w:r>
        <w:rPr>
          <w:rFonts w:hint="eastAsia"/>
          <w:color w:val="auto"/>
          <w:highlight w:val="none"/>
          <w:vertAlign w:val="subscript"/>
          <w:lang w:val="en-US" w:eastAsia="zh-CN"/>
        </w:rPr>
        <w:t>2</w:t>
      </w:r>
      <w:r>
        <w:rPr>
          <w:rFonts w:hint="eastAsia"/>
          <w:color w:val="auto"/>
          <w:highlight w:val="none"/>
          <w:lang w:val="en-US" w:eastAsia="zh-CN"/>
        </w:rPr>
        <w:t>排放量主要基于企业边界内各个燃烧设施分品种的化石燃料燃烧量，乘以相应的燃料含碳量和碳氧化率，再逐层累加汇总得到，公式如下：</w:t>
      </w:r>
    </w:p>
    <w:p w14:paraId="1ED29BB0">
      <w:pPr>
        <w:bidi w:val="0"/>
        <w:ind w:left="0" w:leftChars="0" w:firstLine="0" w:firstLineChars="0"/>
        <w:jc w:val="center"/>
        <w:rPr>
          <w:rFonts w:hint="eastAsia"/>
          <w:color w:val="auto"/>
          <w:highlight w:val="none"/>
          <w:lang w:val="en-US" w:eastAsia="zh-CN"/>
        </w:rPr>
      </w:pPr>
      <m:oMathPara>
        <m:oMath>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E</m:t>
              </m:r>
              <m:ctrlPr>
                <w:rPr>
                  <w:rFonts w:ascii="Cambria Math" w:hAnsi="Cambria Math"/>
                  <w:color w:val="auto"/>
                  <w:sz w:val="24"/>
                  <w:highlight w:val="none"/>
                </w:rPr>
              </m:ctrlPr>
            </m:e>
            <m:sub>
              <m:sSub>
                <m:sSubPr>
                  <m:ctrlPr>
                    <w:rPr>
                      <w:rFonts w:hint="default" w:ascii="Cambria Math" w:hAnsi="Cambria Math"/>
                      <w:color w:val="auto"/>
                      <w:sz w:val="24"/>
                      <w:highlight w:val="none"/>
                    </w:rPr>
                  </m:ctrlPr>
                </m:sSubPr>
                <m:e>
                  <m:r>
                    <m:rPr>
                      <m:sty m:val="p"/>
                    </m:rPr>
                    <w:rPr>
                      <w:rFonts w:hint="default" w:ascii="Cambria Math" w:hAnsi="Cambria Math"/>
                      <w:color w:val="auto"/>
                      <w:sz w:val="24"/>
                      <w:highlight w:val="none"/>
                    </w:rPr>
                    <m:t>CO</m:t>
                  </m:r>
                  <m:ctrlPr>
                    <w:rPr>
                      <w:rFonts w:ascii="Cambria Math" w:hAnsi="Cambria Math"/>
                      <w:color w:val="auto"/>
                      <w:sz w:val="24"/>
                      <w:highlight w:val="none"/>
                    </w:rPr>
                  </m:ctrlPr>
                </m:e>
                <m:sub>
                  <m:r>
                    <m:rPr/>
                    <w:rPr>
                      <w:rFonts w:hint="default" w:ascii="Cambria Math" w:hAnsi="Cambria Math"/>
                      <w:color w:val="auto"/>
                      <w:sz w:val="24"/>
                      <w:highlight w:val="none"/>
                    </w:rPr>
                    <m:t>2</m:t>
                  </m:r>
                  <m:ctrlPr>
                    <w:rPr>
                      <w:rFonts w:ascii="Cambria Math" w:hAnsi="Cambria Math"/>
                      <w:color w:val="auto"/>
                      <w:sz w:val="24"/>
                      <w:highlight w:val="none"/>
                    </w:rPr>
                  </m:ctrlPr>
                </m:sub>
              </m:sSub>
              <m:r>
                <m:rPr/>
                <w:rPr>
                  <w:rFonts w:hint="default" w:ascii="Cambria Math" w:hAnsi="Cambria Math"/>
                  <w:color w:val="auto"/>
                  <w:sz w:val="24"/>
                  <w:highlight w:val="none"/>
                </w:rPr>
                <m:t>燃烧</m:t>
              </m:r>
              <m:ctrlPr>
                <w:rPr>
                  <w:rFonts w:hint="default" w:ascii="Cambria Math" w:hAnsi="Cambria Math"/>
                  <w:color w:val="auto"/>
                  <w:sz w:val="24"/>
                  <w:highlight w:val="none"/>
                </w:rPr>
              </m:ctrlPr>
            </m:sub>
          </m:sSub>
          <m:r>
            <m:rPr/>
            <w:rPr>
              <w:rFonts w:hint="default" w:ascii="Cambria Math" w:hAnsi="Cambria Math"/>
              <w:color w:val="auto"/>
              <w:sz w:val="24"/>
              <w:highlight w:val="none"/>
            </w:rPr>
            <m:t>=</m:t>
          </m:r>
          <m:nary>
            <m:naryPr>
              <m:chr m:val="∑"/>
              <m:limLoc m:val="subSup"/>
              <m:supHide m:val="1"/>
              <m:ctrlPr>
                <w:rPr>
                  <w:rFonts w:hint="default" w:ascii="Cambria Math" w:hAnsi="Cambria Math"/>
                  <w:color w:val="auto"/>
                  <w:sz w:val="24"/>
                  <w:highlight w:val="none"/>
                </w:rPr>
              </m:ctrlPr>
            </m:naryPr>
            <m:sub>
              <m:r>
                <m:rPr/>
                <w:rPr>
                  <w:rFonts w:hint="default" w:ascii="Cambria Math" w:hAnsi="Cambria Math"/>
                  <w:color w:val="auto"/>
                  <w:sz w:val="24"/>
                  <w:highlight w:val="none"/>
                </w:rPr>
                <m:t>i,j</m:t>
              </m:r>
              <m:ctrlPr>
                <w:rPr>
                  <w:rFonts w:hint="default" w:ascii="Cambria Math" w:hAnsi="Cambria Math"/>
                  <w:color w:val="auto"/>
                  <w:sz w:val="24"/>
                  <w:highlight w:val="none"/>
                </w:rPr>
              </m:ctrlPr>
            </m:sub>
            <m:sup>
              <m:ctrlPr>
                <w:rPr>
                  <w:rFonts w:hint="default" w:ascii="Cambria Math" w:hAnsi="Cambria Math"/>
                  <w:color w:val="auto"/>
                  <w:sz w:val="24"/>
                  <w:highlight w:val="none"/>
                </w:rPr>
              </m:ctrlPr>
            </m:sup>
            <m:e>
              <m:d>
                <m:dPr>
                  <m:ctrlPr>
                    <w:rPr>
                      <w:rFonts w:hint="default" w:ascii="Cambria Math" w:hAnsi="Cambria Math"/>
                      <w:color w:val="auto"/>
                      <w:sz w:val="24"/>
                      <w:highlight w:val="none"/>
                    </w:rPr>
                  </m:ctrlPr>
                </m:dPr>
                <m:e>
                  <m:r>
                    <m:rPr/>
                    <w:rPr>
                      <w:rFonts w:hint="default" w:ascii="Cambria Math" w:hAnsi="Cambria Math"/>
                      <w:color w:val="auto"/>
                      <w:sz w:val="24"/>
                      <w:highlight w:val="none"/>
                    </w:rPr>
                    <m:t>A</m:t>
                  </m:r>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D</m:t>
                      </m:r>
                      <m:ctrlPr>
                        <w:rPr>
                          <w:rFonts w:ascii="Cambria Math" w:hAnsi="Cambria Math"/>
                          <w:color w:val="auto"/>
                          <w:sz w:val="24"/>
                          <w:highlight w:val="none"/>
                        </w:rPr>
                      </m:ctrlPr>
                    </m:e>
                    <m:sub>
                      <m:r>
                        <m:rPr/>
                        <w:rPr>
                          <w:rFonts w:hint="default" w:ascii="Cambria Math" w:hAnsi="Cambria Math"/>
                          <w:color w:val="auto"/>
                          <w:sz w:val="24"/>
                          <w:highlight w:val="none"/>
                        </w:rPr>
                        <m:t>i,j</m:t>
                      </m:r>
                      <m:ctrlPr>
                        <w:rPr>
                          <w:rFonts w:ascii="Cambria Math" w:hAnsi="Cambria Math"/>
                          <w:color w:val="auto"/>
                          <w:sz w:val="24"/>
                          <w:highlight w:val="none"/>
                        </w:rPr>
                      </m:ctrlPr>
                    </m:sub>
                  </m:sSub>
                  <m:r>
                    <m:rPr/>
                    <w:rPr>
                      <w:rFonts w:hint="default" w:ascii="Cambria Math" w:hAnsi="Cambria Math"/>
                      <w:color w:val="auto"/>
                      <w:sz w:val="24"/>
                      <w:highlight w:val="none"/>
                    </w:rPr>
                    <m:t>×C</m:t>
                  </m:r>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C</m:t>
                      </m:r>
                      <m:ctrlPr>
                        <w:rPr>
                          <w:rFonts w:ascii="Cambria Math" w:hAnsi="Cambria Math"/>
                          <w:color w:val="auto"/>
                          <w:sz w:val="24"/>
                          <w:highlight w:val="none"/>
                        </w:rPr>
                      </m:ctrlPr>
                    </m:e>
                    <m:sub>
                      <m:r>
                        <m:rPr/>
                        <w:rPr>
                          <w:rFonts w:hint="default" w:ascii="Cambria Math" w:hAnsi="Cambria Math"/>
                          <w:color w:val="auto"/>
                          <w:sz w:val="24"/>
                          <w:highlight w:val="none"/>
                        </w:rPr>
                        <m:t>i,j</m:t>
                      </m:r>
                      <m:ctrlPr>
                        <w:rPr>
                          <w:rFonts w:ascii="Cambria Math" w:hAnsi="Cambria Math"/>
                          <w:color w:val="auto"/>
                          <w:sz w:val="24"/>
                          <w:highlight w:val="none"/>
                        </w:rPr>
                      </m:ctrlPr>
                    </m:sub>
                  </m:sSub>
                  <m:r>
                    <m:rPr/>
                    <w:rPr>
                      <w:rFonts w:hint="default" w:ascii="Cambria Math" w:hAnsi="Cambria Math"/>
                      <w:color w:val="auto"/>
                      <w:sz w:val="24"/>
                      <w:highlight w:val="none"/>
                    </w:rPr>
                    <m:t>×O</m:t>
                  </m:r>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F</m:t>
                      </m:r>
                      <m:ctrlPr>
                        <w:rPr>
                          <w:rFonts w:ascii="Cambria Math" w:hAnsi="Cambria Math"/>
                          <w:color w:val="auto"/>
                          <w:sz w:val="24"/>
                          <w:highlight w:val="none"/>
                        </w:rPr>
                      </m:ctrlPr>
                    </m:e>
                    <m:sub>
                      <m:r>
                        <m:rPr/>
                        <w:rPr>
                          <w:rFonts w:hint="default" w:ascii="Cambria Math" w:hAnsi="Cambria Math"/>
                          <w:color w:val="auto"/>
                          <w:sz w:val="24"/>
                          <w:highlight w:val="none"/>
                        </w:rPr>
                        <m:t>i,j</m:t>
                      </m:r>
                      <m:ctrlPr>
                        <w:rPr>
                          <w:rFonts w:ascii="Cambria Math" w:hAnsi="Cambria Math"/>
                          <w:color w:val="auto"/>
                          <w:sz w:val="24"/>
                          <w:highlight w:val="none"/>
                        </w:rPr>
                      </m:ctrlPr>
                    </m:sub>
                  </m:sSub>
                  <m:r>
                    <m:rPr/>
                    <w:rPr>
                      <w:rFonts w:hint="default" w:ascii="Cambria Math" w:hAnsi="Cambria Math"/>
                      <w:color w:val="auto"/>
                      <w:sz w:val="24"/>
                      <w:highlight w:val="none"/>
                    </w:rPr>
                    <m:t>×</m:t>
                  </m:r>
                  <m:f>
                    <m:fPr>
                      <m:ctrlPr>
                        <w:rPr>
                          <w:rFonts w:hint="default" w:ascii="Cambria Math" w:hAnsi="Cambria Math"/>
                          <w:color w:val="auto"/>
                          <w:sz w:val="24"/>
                          <w:highlight w:val="none"/>
                        </w:rPr>
                      </m:ctrlPr>
                    </m:fPr>
                    <m:num>
                      <m:r>
                        <m:rPr/>
                        <w:rPr>
                          <w:rFonts w:hint="default" w:ascii="Cambria Math" w:hAnsi="Cambria Math"/>
                          <w:color w:val="auto"/>
                          <w:sz w:val="24"/>
                          <w:highlight w:val="none"/>
                        </w:rPr>
                        <m:t>44</m:t>
                      </m:r>
                      <m:ctrlPr>
                        <w:rPr>
                          <w:rFonts w:ascii="Cambria Math" w:hAnsi="Cambria Math"/>
                          <w:color w:val="auto"/>
                          <w:sz w:val="24"/>
                          <w:highlight w:val="none"/>
                        </w:rPr>
                      </m:ctrlPr>
                    </m:num>
                    <m:den>
                      <m:r>
                        <m:rPr/>
                        <w:rPr>
                          <w:rFonts w:hint="default" w:ascii="Cambria Math" w:hAnsi="Cambria Math"/>
                          <w:color w:val="auto"/>
                          <w:sz w:val="24"/>
                          <w:highlight w:val="none"/>
                        </w:rPr>
                        <m:t>12</m:t>
                      </m:r>
                      <m:ctrlPr>
                        <w:rPr>
                          <w:rFonts w:ascii="Cambria Math" w:hAnsi="Cambria Math"/>
                          <w:color w:val="auto"/>
                          <w:sz w:val="24"/>
                          <w:highlight w:val="none"/>
                        </w:rPr>
                      </m:ctrlPr>
                    </m:den>
                  </m:f>
                  <m:ctrlPr>
                    <w:rPr>
                      <w:rFonts w:hint="default" w:ascii="Cambria Math" w:hAnsi="Cambria Math"/>
                      <w:color w:val="auto"/>
                      <w:sz w:val="24"/>
                      <w:highlight w:val="none"/>
                    </w:rPr>
                  </m:ctrlPr>
                </m:e>
              </m:d>
              <m:ctrlPr>
                <w:rPr>
                  <w:rFonts w:hint="default" w:ascii="Cambria Math" w:hAnsi="Cambria Math"/>
                  <w:color w:val="auto"/>
                  <w:sz w:val="24"/>
                  <w:highlight w:val="none"/>
                </w:rPr>
              </m:ctrlPr>
            </m:e>
          </m:nary>
        </m:oMath>
      </m:oMathPara>
    </w:p>
    <w:p w14:paraId="6F29EBCB">
      <w:pPr>
        <w:bidi w:val="0"/>
        <w:rPr>
          <w:rFonts w:hint="eastAsia"/>
          <w:color w:val="auto"/>
          <w:highlight w:val="none"/>
          <w:lang w:val="en-US" w:eastAsia="zh-CN"/>
        </w:rPr>
      </w:pPr>
      <w:r>
        <w:rPr>
          <w:rFonts w:hint="eastAsia"/>
          <w:color w:val="auto"/>
          <w:highlight w:val="none"/>
          <w:lang w:val="en-US" w:eastAsia="zh-CN"/>
        </w:rPr>
        <w:t>式中，</w:t>
      </w:r>
    </w:p>
    <w:p w14:paraId="31D3BD96">
      <w:pPr>
        <w:bidi w:val="0"/>
        <w:rPr>
          <w:rFonts w:hint="eastAsia"/>
          <w:color w:val="auto"/>
          <w:highlight w:val="none"/>
          <w:lang w:val="en-US" w:eastAsia="zh-CN"/>
        </w:rPr>
      </w:pPr>
      <w:r>
        <w:rPr>
          <w:rFonts w:hint="eastAsia"/>
          <w:color w:val="auto"/>
          <w:highlight w:val="none"/>
          <w:lang w:val="en-US" w:eastAsia="zh-CN"/>
        </w:rPr>
        <w:t>ECO</w:t>
      </w:r>
      <w:r>
        <w:rPr>
          <w:rFonts w:hint="eastAsia"/>
          <w:color w:val="auto"/>
          <w:highlight w:val="none"/>
          <w:vertAlign w:val="subscript"/>
          <w:lang w:val="en-US" w:eastAsia="zh-CN"/>
        </w:rPr>
        <w:t>2</w:t>
      </w:r>
      <w:r>
        <w:rPr>
          <w:rFonts w:hint="eastAsia"/>
          <w:color w:val="auto"/>
          <w:highlight w:val="none"/>
          <w:lang w:val="en-US" w:eastAsia="zh-CN"/>
        </w:rPr>
        <w:t>燃烧为企业的化石燃料燃烧CO</w:t>
      </w:r>
      <w:r>
        <w:rPr>
          <w:rFonts w:hint="eastAsia"/>
          <w:color w:val="auto"/>
          <w:highlight w:val="none"/>
          <w:vertAlign w:val="subscript"/>
          <w:lang w:val="en-US" w:eastAsia="zh-CN"/>
        </w:rPr>
        <w:t>2</w:t>
      </w:r>
      <w:r>
        <w:rPr>
          <w:rFonts w:hint="eastAsia"/>
          <w:color w:val="auto"/>
          <w:highlight w:val="none"/>
          <w:lang w:val="en-US" w:eastAsia="zh-CN"/>
        </w:rPr>
        <w:t>排放量，单位为吨CO</w:t>
      </w:r>
      <w:r>
        <w:rPr>
          <w:rFonts w:hint="eastAsia"/>
          <w:color w:val="auto"/>
          <w:highlight w:val="none"/>
          <w:vertAlign w:val="subscript"/>
          <w:lang w:val="en-US" w:eastAsia="zh-CN"/>
        </w:rPr>
        <w:t>2</w:t>
      </w:r>
      <w:r>
        <w:rPr>
          <w:rFonts w:hint="eastAsia"/>
          <w:color w:val="auto"/>
          <w:highlight w:val="none"/>
          <w:lang w:val="en-US" w:eastAsia="zh-CN"/>
        </w:rPr>
        <w:t>；</w:t>
      </w:r>
    </w:p>
    <w:p w14:paraId="43BE9462">
      <w:pPr>
        <w:bidi w:val="0"/>
        <w:rPr>
          <w:rFonts w:hint="eastAsia"/>
          <w:color w:val="auto"/>
          <w:highlight w:val="none"/>
          <w:lang w:val="en-US" w:eastAsia="zh-CN"/>
        </w:rPr>
      </w:pPr>
      <w:r>
        <w:rPr>
          <w:rFonts w:hint="eastAsia"/>
          <w:color w:val="auto"/>
          <w:highlight w:val="none"/>
          <w:lang w:val="en-US" w:eastAsia="zh-CN"/>
        </w:rPr>
        <w:t>i为化石燃料的种类；</w:t>
      </w:r>
    </w:p>
    <w:p w14:paraId="47A6E28D">
      <w:pPr>
        <w:bidi w:val="0"/>
        <w:rPr>
          <w:rFonts w:hint="eastAsia"/>
          <w:color w:val="auto"/>
          <w:highlight w:val="none"/>
          <w:lang w:val="en-US" w:eastAsia="zh-CN"/>
        </w:rPr>
      </w:pPr>
      <w:r>
        <w:rPr>
          <w:rFonts w:hint="eastAsia"/>
          <w:color w:val="auto"/>
          <w:highlight w:val="none"/>
          <w:lang w:val="en-US" w:eastAsia="zh-CN"/>
        </w:rPr>
        <w:t>j为燃烧设施序号；</w:t>
      </w:r>
    </w:p>
    <w:p w14:paraId="2C9DCC36">
      <w:pPr>
        <w:bidi w:val="0"/>
        <w:rPr>
          <w:rFonts w:hint="eastAsia"/>
          <w:color w:val="auto"/>
          <w:highlight w:val="none"/>
          <w:lang w:val="en-US" w:eastAsia="zh-CN"/>
        </w:rPr>
      </w:pPr>
      <w:r>
        <w:rPr>
          <w:rFonts w:hint="eastAsia"/>
          <w:color w:val="auto"/>
          <w:highlight w:val="none"/>
          <w:lang w:val="en-US" w:eastAsia="zh-CN"/>
        </w:rPr>
        <w:t>ADi,j为燃烧设施j内燃烧的化石燃料品种i消费量，对固体或液体燃料以及炼厂干气以吨为单位，对其它气体燃料以气体燃料标准状况下的体积（万Nm</w:t>
      </w:r>
      <w:r>
        <w:rPr>
          <w:rFonts w:hint="eastAsia"/>
          <w:color w:val="auto"/>
          <w:highlight w:val="none"/>
          <w:vertAlign w:val="superscript"/>
          <w:lang w:val="en-US" w:eastAsia="zh-CN"/>
        </w:rPr>
        <w:t>3</w:t>
      </w:r>
      <w:r>
        <w:rPr>
          <w:rFonts w:hint="eastAsia"/>
          <w:color w:val="auto"/>
          <w:highlight w:val="none"/>
          <w:lang w:val="en-US" w:eastAsia="zh-CN"/>
        </w:rPr>
        <w:t>）为单位，非标准状况下的体积需转化成标况下进行计算；本项目燃料为天然气，属于气态燃料。</w:t>
      </w:r>
    </w:p>
    <w:p w14:paraId="67DF5A27">
      <w:pPr>
        <w:bidi w:val="0"/>
        <w:rPr>
          <w:rFonts w:hint="eastAsia"/>
          <w:color w:val="auto"/>
          <w:highlight w:val="none"/>
          <w:lang w:val="en-US" w:eastAsia="zh-CN"/>
        </w:rPr>
      </w:pPr>
      <w:r>
        <w:rPr>
          <w:rFonts w:hint="eastAsia"/>
          <w:color w:val="auto"/>
          <w:highlight w:val="none"/>
          <w:lang w:val="en-US" w:eastAsia="zh-CN"/>
        </w:rPr>
        <w:t>CCi,j为设施j内燃烧的化石燃料i的含碳量，对固体和液体燃料以吨碳/吨燃料为单位，对气体燃料以吨碳/万Nm</w:t>
      </w:r>
      <w:r>
        <w:rPr>
          <w:rFonts w:hint="eastAsia"/>
          <w:color w:val="auto"/>
          <w:highlight w:val="none"/>
          <w:vertAlign w:val="superscript"/>
          <w:lang w:val="en-US" w:eastAsia="zh-CN"/>
        </w:rPr>
        <w:t>3</w:t>
      </w:r>
      <w:r>
        <w:rPr>
          <w:rFonts w:hint="eastAsia"/>
          <w:color w:val="auto"/>
          <w:highlight w:val="none"/>
          <w:lang w:val="en-US" w:eastAsia="zh-CN"/>
        </w:rPr>
        <w:t>为单位；其中吨碳/万Nm</w:t>
      </w:r>
      <w:r>
        <w:rPr>
          <w:rFonts w:hint="eastAsia"/>
          <w:color w:val="auto"/>
          <w:highlight w:val="none"/>
          <w:vertAlign w:val="superscript"/>
          <w:lang w:val="en-US" w:eastAsia="zh-CN"/>
        </w:rPr>
        <w:t>3</w:t>
      </w:r>
      <w:r>
        <w:rPr>
          <w:rFonts w:hint="eastAsia"/>
          <w:color w:val="auto"/>
          <w:highlight w:val="none"/>
          <w:lang w:val="en-US" w:eastAsia="zh-CN"/>
        </w:rPr>
        <w:t>计算值含碳量=低位发热量×单位热值含碳量，参考《中国化工生产企业温室气体排放核算方法与报告指南（试行）》附录二：低位发热量为389.31GJ/万Nm</w:t>
      </w:r>
      <w:r>
        <w:rPr>
          <w:rFonts w:hint="eastAsia"/>
          <w:color w:val="auto"/>
          <w:highlight w:val="none"/>
          <w:vertAlign w:val="superscript"/>
          <w:lang w:val="en-US" w:eastAsia="zh-CN"/>
        </w:rPr>
        <w:t>3</w:t>
      </w:r>
      <w:r>
        <w:rPr>
          <w:rFonts w:hint="eastAsia"/>
          <w:color w:val="auto"/>
          <w:highlight w:val="none"/>
          <w:lang w:val="en-US" w:eastAsia="zh-CN"/>
        </w:rPr>
        <w:t>、单位热值含碳量为15.30×10</w:t>
      </w:r>
      <w:r>
        <w:rPr>
          <w:rFonts w:hint="eastAsia"/>
          <w:color w:val="auto"/>
          <w:highlight w:val="none"/>
          <w:vertAlign w:val="superscript"/>
          <w:lang w:val="en-US" w:eastAsia="zh-CN"/>
        </w:rPr>
        <w:t>-3</w:t>
      </w:r>
      <w:r>
        <w:rPr>
          <w:rFonts w:hint="eastAsia"/>
          <w:color w:val="auto"/>
          <w:highlight w:val="none"/>
          <w:lang w:val="en-US" w:eastAsia="zh-CN"/>
        </w:rPr>
        <w:t>tC/GJ。</w:t>
      </w:r>
    </w:p>
    <w:p w14:paraId="46E1F54B">
      <w:pPr>
        <w:bidi w:val="0"/>
        <w:rPr>
          <w:rFonts w:hint="eastAsia"/>
          <w:color w:val="auto"/>
          <w:highlight w:val="none"/>
          <w:lang w:val="en-US" w:eastAsia="zh-CN"/>
        </w:rPr>
      </w:pPr>
      <w:r>
        <w:rPr>
          <w:rFonts w:hint="eastAsia"/>
          <w:color w:val="auto"/>
          <w:highlight w:val="none"/>
          <w:lang w:val="en-US" w:eastAsia="zh-CN"/>
        </w:rPr>
        <w:t>OFi,j为燃烧的化石燃料i的碳氧化率，取值范围为0～1。本项目使用天然气含碳量参考《中国石油化工企业温室气体排放核算方法与报告指南（试行）》附录二取99%。</w:t>
      </w:r>
    </w:p>
    <w:p w14:paraId="6C9B3F5E">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表6.6-2  燃料燃烧CO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p>
    <w:tbl>
      <w:tblPr>
        <w:tblStyle w:val="8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82"/>
        <w:gridCol w:w="2060"/>
        <w:gridCol w:w="1687"/>
        <w:gridCol w:w="1129"/>
        <w:gridCol w:w="1545"/>
      </w:tblGrid>
      <w:tr w14:paraId="19A39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2" w:type="dxa"/>
            <w:tcBorders>
              <w:tl2br w:val="nil"/>
              <w:tr2bl w:val="nil"/>
            </w:tcBorders>
            <w:noWrap w:val="0"/>
            <w:vAlign w:val="center"/>
          </w:tcPr>
          <w:p w14:paraId="43253429">
            <w:pPr>
              <w:pStyle w:val="1458"/>
              <w:rPr>
                <w:color w:val="auto"/>
                <w:highlight w:val="none"/>
              </w:rPr>
            </w:pPr>
            <w:r>
              <w:rPr>
                <w:rFonts w:hint="eastAsia"/>
                <w:color w:val="auto"/>
                <w:highlight w:val="none"/>
              </w:rPr>
              <w:t>气体燃料使用单元</w:t>
            </w:r>
          </w:p>
        </w:tc>
        <w:tc>
          <w:tcPr>
            <w:tcW w:w="2060" w:type="dxa"/>
            <w:tcBorders>
              <w:tl2br w:val="nil"/>
              <w:tr2bl w:val="nil"/>
            </w:tcBorders>
            <w:noWrap w:val="0"/>
            <w:vAlign w:val="center"/>
          </w:tcPr>
          <w:p w14:paraId="1EC3F40E">
            <w:pPr>
              <w:pStyle w:val="1458"/>
              <w:rPr>
                <w:color w:val="auto"/>
                <w:highlight w:val="none"/>
              </w:rPr>
            </w:pPr>
            <w:r>
              <w:rPr>
                <w:rFonts w:hint="eastAsia"/>
                <w:color w:val="auto"/>
                <w:highlight w:val="none"/>
              </w:rPr>
              <w:t>天然气使用量-</w:t>
            </w:r>
            <w:r>
              <w:rPr>
                <w:color w:val="auto"/>
                <w:highlight w:val="none"/>
              </w:rPr>
              <w:t>ADi,j</w:t>
            </w:r>
            <w:r>
              <w:rPr>
                <w:rFonts w:hint="eastAsia"/>
                <w:color w:val="auto"/>
                <w:highlight w:val="none"/>
              </w:rPr>
              <w:t>（万</w:t>
            </w:r>
            <w:r>
              <w:rPr>
                <w:color w:val="auto"/>
                <w:highlight w:val="none"/>
              </w:rPr>
              <w:t>Nm</w:t>
            </w:r>
            <w:r>
              <w:rPr>
                <w:color w:val="auto"/>
                <w:highlight w:val="none"/>
                <w:vertAlign w:val="superscript"/>
              </w:rPr>
              <w:t>3</w:t>
            </w:r>
            <w:r>
              <w:rPr>
                <w:rFonts w:hint="eastAsia"/>
                <w:color w:val="auto"/>
                <w:highlight w:val="none"/>
              </w:rPr>
              <w:t>/</w:t>
            </w:r>
            <w:r>
              <w:rPr>
                <w:color w:val="auto"/>
                <w:highlight w:val="none"/>
              </w:rPr>
              <w:t>a</w:t>
            </w:r>
            <w:r>
              <w:rPr>
                <w:rFonts w:hint="eastAsia"/>
                <w:color w:val="auto"/>
                <w:highlight w:val="none"/>
              </w:rPr>
              <w:t>）</w:t>
            </w:r>
          </w:p>
        </w:tc>
        <w:tc>
          <w:tcPr>
            <w:tcW w:w="1687" w:type="dxa"/>
            <w:tcBorders>
              <w:tl2br w:val="nil"/>
              <w:tr2bl w:val="nil"/>
            </w:tcBorders>
            <w:noWrap w:val="0"/>
            <w:vAlign w:val="center"/>
          </w:tcPr>
          <w:p w14:paraId="7D67BA90">
            <w:pPr>
              <w:pStyle w:val="1458"/>
              <w:rPr>
                <w:color w:val="auto"/>
                <w:highlight w:val="none"/>
              </w:rPr>
            </w:pPr>
            <w:r>
              <w:rPr>
                <w:color w:val="auto"/>
                <w:highlight w:val="none"/>
              </w:rPr>
              <w:t>CCi,j</w:t>
            </w:r>
          </w:p>
          <w:p w14:paraId="6451D860">
            <w:pPr>
              <w:pStyle w:val="1458"/>
              <w:rPr>
                <w:color w:val="auto"/>
                <w:highlight w:val="none"/>
              </w:rPr>
            </w:pPr>
            <w:r>
              <w:rPr>
                <w:rFonts w:hint="eastAsia"/>
                <w:color w:val="auto"/>
                <w:highlight w:val="none"/>
              </w:rPr>
              <w:t>（</w:t>
            </w:r>
            <w:r>
              <w:rPr>
                <w:color w:val="auto"/>
                <w:highlight w:val="none"/>
              </w:rPr>
              <w:t>tC/</w:t>
            </w:r>
            <w:r>
              <w:rPr>
                <w:rFonts w:hint="eastAsia"/>
                <w:color w:val="auto"/>
                <w:highlight w:val="none"/>
              </w:rPr>
              <w:t>万</w:t>
            </w:r>
            <w:r>
              <w:rPr>
                <w:color w:val="auto"/>
                <w:highlight w:val="none"/>
              </w:rPr>
              <w:t>Nm</w:t>
            </w:r>
            <w:r>
              <w:rPr>
                <w:color w:val="auto"/>
                <w:highlight w:val="none"/>
                <w:vertAlign w:val="superscript"/>
              </w:rPr>
              <w:t>3</w:t>
            </w:r>
            <w:r>
              <w:rPr>
                <w:rFonts w:hint="eastAsia"/>
                <w:color w:val="auto"/>
                <w:highlight w:val="none"/>
              </w:rPr>
              <w:t>）</w:t>
            </w:r>
          </w:p>
        </w:tc>
        <w:tc>
          <w:tcPr>
            <w:tcW w:w="1129" w:type="dxa"/>
            <w:tcBorders>
              <w:tl2br w:val="nil"/>
              <w:tr2bl w:val="nil"/>
            </w:tcBorders>
            <w:noWrap w:val="0"/>
            <w:vAlign w:val="center"/>
          </w:tcPr>
          <w:p w14:paraId="1C8CE8C2">
            <w:pPr>
              <w:pStyle w:val="1458"/>
              <w:rPr>
                <w:color w:val="auto"/>
                <w:highlight w:val="none"/>
              </w:rPr>
            </w:pPr>
            <w:r>
              <w:rPr>
                <w:color w:val="auto"/>
                <w:highlight w:val="none"/>
              </w:rPr>
              <w:t>OFi,j</w:t>
            </w:r>
          </w:p>
        </w:tc>
        <w:tc>
          <w:tcPr>
            <w:tcW w:w="1545" w:type="dxa"/>
            <w:tcBorders>
              <w:tl2br w:val="nil"/>
              <w:tr2bl w:val="nil"/>
            </w:tcBorders>
            <w:noWrap w:val="0"/>
            <w:vAlign w:val="center"/>
          </w:tcPr>
          <w:p w14:paraId="6E181016">
            <w:pPr>
              <w:pStyle w:val="1458"/>
              <w:rPr>
                <w:color w:val="auto"/>
                <w:highlight w:val="none"/>
              </w:rPr>
            </w:pPr>
            <w:r>
              <w:rPr>
                <w:rFonts w:hint="eastAsia"/>
                <w:color w:val="auto"/>
                <w:highlight w:val="none"/>
              </w:rPr>
              <w:t>燃烧碳排放量（</w:t>
            </w:r>
            <w:r>
              <w:rPr>
                <w:color w:val="auto"/>
                <w:highlight w:val="none"/>
              </w:rPr>
              <w:t>tCO</w:t>
            </w:r>
            <w:r>
              <w:rPr>
                <w:color w:val="auto"/>
                <w:highlight w:val="none"/>
                <w:vertAlign w:val="subscript"/>
              </w:rPr>
              <w:t>2</w:t>
            </w:r>
            <w:r>
              <w:rPr>
                <w:color w:val="auto"/>
                <w:highlight w:val="none"/>
              </w:rPr>
              <w:t>/a</w:t>
            </w:r>
            <w:r>
              <w:rPr>
                <w:rFonts w:hint="eastAsia"/>
                <w:color w:val="auto"/>
                <w:highlight w:val="none"/>
              </w:rPr>
              <w:t>）</w:t>
            </w:r>
          </w:p>
        </w:tc>
      </w:tr>
      <w:tr w14:paraId="3318E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2" w:type="dxa"/>
            <w:tcBorders>
              <w:tl2br w:val="nil"/>
              <w:tr2bl w:val="nil"/>
            </w:tcBorders>
            <w:noWrap w:val="0"/>
            <w:vAlign w:val="center"/>
          </w:tcPr>
          <w:p w14:paraId="07473B27">
            <w:pPr>
              <w:pStyle w:val="1458"/>
              <w:rPr>
                <w:rFonts w:hint="default" w:eastAsia="宋体"/>
                <w:color w:val="auto"/>
                <w:highlight w:val="none"/>
                <w:lang w:val="en-US" w:eastAsia="zh-CN"/>
              </w:rPr>
            </w:pPr>
            <w:r>
              <w:rPr>
                <w:rFonts w:hint="eastAsia"/>
                <w:color w:val="auto"/>
                <w:highlight w:val="none"/>
              </w:rPr>
              <w:t>R</w:t>
            </w:r>
            <w:r>
              <w:rPr>
                <w:color w:val="auto"/>
                <w:highlight w:val="none"/>
              </w:rPr>
              <w:t>TO</w:t>
            </w:r>
            <w:r>
              <w:rPr>
                <w:rFonts w:hint="eastAsia"/>
                <w:color w:val="auto"/>
                <w:highlight w:val="none"/>
              </w:rPr>
              <w:t>装置</w:t>
            </w:r>
            <w:r>
              <w:rPr>
                <w:rFonts w:hint="eastAsia"/>
                <w:color w:val="auto"/>
                <w:highlight w:val="none"/>
                <w:lang w:eastAsia="zh-CN"/>
              </w:rPr>
              <w:t>、</w:t>
            </w:r>
            <w:r>
              <w:rPr>
                <w:rFonts w:hint="eastAsia"/>
                <w:color w:val="auto"/>
                <w:highlight w:val="none"/>
                <w:lang w:val="en-US" w:eastAsia="zh-CN"/>
              </w:rPr>
              <w:t>热水炉、固化炉</w:t>
            </w:r>
          </w:p>
        </w:tc>
        <w:tc>
          <w:tcPr>
            <w:tcW w:w="2060" w:type="dxa"/>
            <w:tcBorders>
              <w:tl2br w:val="nil"/>
              <w:tr2bl w:val="nil"/>
            </w:tcBorders>
            <w:noWrap w:val="0"/>
            <w:vAlign w:val="center"/>
          </w:tcPr>
          <w:p w14:paraId="1FD4B572">
            <w:pPr>
              <w:pStyle w:val="1405"/>
              <w:bidi w:val="0"/>
              <w:rPr>
                <w:rFonts w:hint="default"/>
                <w:color w:val="auto"/>
                <w:highlight w:val="none"/>
                <w:lang w:val="en-US" w:eastAsia="zh-CN"/>
              </w:rPr>
            </w:pPr>
            <w:r>
              <w:rPr>
                <w:rFonts w:hint="eastAsia"/>
                <w:color w:val="auto"/>
                <w:highlight w:val="none"/>
                <w:lang w:val="en-US" w:eastAsia="zh-CN"/>
              </w:rPr>
              <w:t>33.408</w:t>
            </w:r>
          </w:p>
        </w:tc>
        <w:tc>
          <w:tcPr>
            <w:tcW w:w="1687" w:type="dxa"/>
            <w:tcBorders>
              <w:tl2br w:val="nil"/>
              <w:tr2bl w:val="nil"/>
            </w:tcBorders>
            <w:noWrap w:val="0"/>
            <w:vAlign w:val="center"/>
          </w:tcPr>
          <w:p w14:paraId="1C0B35C6">
            <w:pPr>
              <w:pStyle w:val="1405"/>
              <w:bidi w:val="0"/>
              <w:rPr>
                <w:color w:val="auto"/>
                <w:highlight w:val="none"/>
              </w:rPr>
            </w:pPr>
            <w:r>
              <w:rPr>
                <w:rFonts w:hint="default"/>
                <w:color w:val="auto"/>
                <w:highlight w:val="none"/>
                <w:lang w:val="en-US" w:eastAsia="zh-CN"/>
              </w:rPr>
              <w:t>5.96</w:t>
            </w:r>
          </w:p>
        </w:tc>
        <w:tc>
          <w:tcPr>
            <w:tcW w:w="1129" w:type="dxa"/>
            <w:tcBorders>
              <w:tl2br w:val="nil"/>
              <w:tr2bl w:val="nil"/>
            </w:tcBorders>
            <w:noWrap w:val="0"/>
            <w:vAlign w:val="center"/>
          </w:tcPr>
          <w:p w14:paraId="7E2043F4">
            <w:pPr>
              <w:pStyle w:val="1405"/>
              <w:bidi w:val="0"/>
              <w:rPr>
                <w:color w:val="auto"/>
                <w:highlight w:val="none"/>
              </w:rPr>
            </w:pPr>
            <w:r>
              <w:rPr>
                <w:rFonts w:hint="default"/>
                <w:color w:val="auto"/>
                <w:highlight w:val="none"/>
                <w:lang w:val="en-US" w:eastAsia="zh-CN"/>
              </w:rPr>
              <w:t>99%</w:t>
            </w:r>
          </w:p>
        </w:tc>
        <w:tc>
          <w:tcPr>
            <w:tcW w:w="1545" w:type="dxa"/>
            <w:tcBorders>
              <w:tl2br w:val="nil"/>
              <w:tr2bl w:val="nil"/>
            </w:tcBorders>
            <w:noWrap w:val="0"/>
            <w:vAlign w:val="center"/>
          </w:tcPr>
          <w:p w14:paraId="14E4D2D5">
            <w:pPr>
              <w:pStyle w:val="1405"/>
              <w:bidi w:val="0"/>
              <w:rPr>
                <w:rFonts w:hint="default"/>
                <w:color w:val="auto"/>
                <w:highlight w:val="none"/>
                <w:lang w:val="en-US" w:eastAsia="zh-CN"/>
              </w:rPr>
            </w:pPr>
            <w:r>
              <w:rPr>
                <w:rFonts w:hint="eastAsia"/>
                <w:color w:val="auto"/>
                <w:highlight w:val="none"/>
                <w:lang w:val="en-US" w:eastAsia="zh-CN"/>
              </w:rPr>
              <w:t>722.775</w:t>
            </w:r>
          </w:p>
        </w:tc>
      </w:tr>
      <w:tr w14:paraId="34764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03" w:type="dxa"/>
            <w:gridSpan w:val="5"/>
            <w:tcBorders>
              <w:tl2br w:val="nil"/>
              <w:tr2bl w:val="nil"/>
            </w:tcBorders>
            <w:noWrap w:val="0"/>
            <w:vAlign w:val="center"/>
          </w:tcPr>
          <w:p w14:paraId="18993B73">
            <w:pPr>
              <w:pStyle w:val="1458"/>
              <w:jc w:val="left"/>
              <w:rPr>
                <w:color w:val="auto"/>
                <w:highlight w:val="none"/>
              </w:rPr>
            </w:pPr>
            <w:r>
              <w:rPr>
                <w:color w:val="auto"/>
                <w:highlight w:val="none"/>
              </w:rPr>
              <w:t>备注：5.96tC/万Nm</w:t>
            </w:r>
            <w:r>
              <w:rPr>
                <w:color w:val="auto"/>
                <w:highlight w:val="none"/>
                <w:vertAlign w:val="superscript"/>
              </w:rPr>
              <w:t>3</w:t>
            </w:r>
            <w:r>
              <w:rPr>
                <w:color w:val="auto"/>
                <w:highlight w:val="none"/>
              </w:rPr>
              <w:t>=389.31GJ/万Nm</w:t>
            </w:r>
            <w:r>
              <w:rPr>
                <w:color w:val="auto"/>
                <w:highlight w:val="none"/>
                <w:vertAlign w:val="superscript"/>
              </w:rPr>
              <w:t>3</w:t>
            </w:r>
            <w:r>
              <w:rPr>
                <w:color w:val="auto"/>
                <w:highlight w:val="none"/>
              </w:rPr>
              <w:t>×0.0153tC/GJ</w:t>
            </w:r>
            <w:r>
              <w:rPr>
                <w:rFonts w:hint="eastAsia"/>
                <w:color w:val="auto"/>
                <w:highlight w:val="none"/>
              </w:rPr>
              <w:t>。</w:t>
            </w:r>
          </w:p>
        </w:tc>
      </w:tr>
    </w:tbl>
    <w:p w14:paraId="209CCD3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w:t>
      </w:r>
      <w:r>
        <w:rPr>
          <w:rFonts w:hint="eastAsia" w:ascii="Times New Roman" w:hAnsi="Times New Roman" w:eastAsia="宋体"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）碳排放汇总</w:t>
      </w:r>
    </w:p>
    <w:p w14:paraId="56E0F98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项目CO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排放总量计算结果详见下表。</w:t>
      </w:r>
    </w:p>
    <w:p w14:paraId="533B50A6">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表6.6-3  全厂项目CO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p>
    <w:tbl>
      <w:tblPr>
        <w:tblStyle w:val="8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961"/>
        <w:gridCol w:w="1754"/>
        <w:gridCol w:w="1362"/>
        <w:gridCol w:w="2405"/>
      </w:tblGrid>
      <w:tr w14:paraId="5D425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21" w:type="dxa"/>
            <w:tcBorders>
              <w:tl2br w:val="nil"/>
              <w:tr2bl w:val="nil"/>
            </w:tcBorders>
          </w:tcPr>
          <w:p w14:paraId="0D1A0D49">
            <w:pPr>
              <w:pStyle w:val="1405"/>
              <w:bidi w:val="0"/>
              <w:rPr>
                <w:rFonts w:hint="default" w:eastAsia="宋体"/>
                <w:color w:val="auto"/>
                <w:highlight w:val="none"/>
                <w:lang w:val="en-US" w:eastAsia="zh-CN"/>
              </w:rPr>
            </w:pPr>
            <w:r>
              <w:rPr>
                <w:rFonts w:hint="eastAsia"/>
                <w:color w:val="auto"/>
                <w:highlight w:val="none"/>
                <w:lang w:val="en-US" w:eastAsia="zh-CN"/>
              </w:rPr>
              <w:t>排放类型</w:t>
            </w:r>
          </w:p>
        </w:tc>
        <w:tc>
          <w:tcPr>
            <w:tcW w:w="1961" w:type="dxa"/>
            <w:tcBorders>
              <w:tl2br w:val="nil"/>
              <w:tr2bl w:val="nil"/>
            </w:tcBorders>
          </w:tcPr>
          <w:p w14:paraId="48BD86BB">
            <w:pPr>
              <w:pStyle w:val="1405"/>
              <w:bidi w:val="0"/>
              <w:rPr>
                <w:rFonts w:hint="default" w:eastAsia="宋体"/>
                <w:color w:val="auto"/>
                <w:highlight w:val="none"/>
                <w:lang w:val="en-US" w:eastAsia="zh-CN"/>
              </w:rPr>
            </w:pPr>
            <w:r>
              <w:rPr>
                <w:rFonts w:hint="eastAsia"/>
                <w:color w:val="auto"/>
                <w:highlight w:val="none"/>
                <w:lang w:val="en-US" w:eastAsia="zh-CN"/>
              </w:rPr>
              <w:t>排放因子</w:t>
            </w:r>
          </w:p>
        </w:tc>
        <w:tc>
          <w:tcPr>
            <w:tcW w:w="1754" w:type="dxa"/>
            <w:tcBorders>
              <w:tl2br w:val="nil"/>
              <w:tr2bl w:val="nil"/>
            </w:tcBorders>
          </w:tcPr>
          <w:p w14:paraId="17B8B4E5">
            <w:pPr>
              <w:pStyle w:val="1405"/>
              <w:bidi w:val="0"/>
              <w:rPr>
                <w:rFonts w:hint="default" w:eastAsia="宋体"/>
                <w:color w:val="auto"/>
                <w:highlight w:val="none"/>
                <w:lang w:val="en-US" w:eastAsia="zh-CN"/>
              </w:rPr>
            </w:pPr>
            <w:r>
              <w:rPr>
                <w:rFonts w:hint="eastAsia"/>
                <w:color w:val="auto"/>
                <w:highlight w:val="none"/>
                <w:lang w:val="en-US" w:eastAsia="zh-CN"/>
              </w:rPr>
              <w:t>本项目数据</w:t>
            </w:r>
          </w:p>
        </w:tc>
        <w:tc>
          <w:tcPr>
            <w:tcW w:w="1362" w:type="dxa"/>
            <w:tcBorders>
              <w:tl2br w:val="nil"/>
              <w:tr2bl w:val="nil"/>
            </w:tcBorders>
          </w:tcPr>
          <w:p w14:paraId="3F68EA83">
            <w:pPr>
              <w:pStyle w:val="1405"/>
              <w:bidi w:val="0"/>
              <w:rPr>
                <w:rFonts w:hint="default" w:eastAsia="宋体"/>
                <w:color w:val="auto"/>
                <w:highlight w:val="none"/>
                <w:lang w:val="en-US" w:eastAsia="zh-CN"/>
              </w:rPr>
            </w:pPr>
            <w:r>
              <w:rPr>
                <w:rFonts w:hint="eastAsia"/>
                <w:color w:val="auto"/>
                <w:highlight w:val="none"/>
                <w:lang w:val="en-US" w:eastAsia="zh-CN"/>
              </w:rPr>
              <w:t>CO</w:t>
            </w:r>
            <w:r>
              <w:rPr>
                <w:rFonts w:hint="eastAsia"/>
                <w:color w:val="auto"/>
                <w:highlight w:val="none"/>
                <w:vertAlign w:val="subscript"/>
                <w:lang w:val="en-US" w:eastAsia="zh-CN"/>
              </w:rPr>
              <w:t>2</w:t>
            </w:r>
            <w:r>
              <w:rPr>
                <w:rFonts w:hint="eastAsia"/>
                <w:color w:val="auto"/>
                <w:highlight w:val="none"/>
                <w:lang w:val="en-US" w:eastAsia="zh-CN"/>
              </w:rPr>
              <w:t>排放量（tCO</w:t>
            </w:r>
            <w:r>
              <w:rPr>
                <w:rFonts w:hint="eastAsia"/>
                <w:color w:val="auto"/>
                <w:highlight w:val="none"/>
                <w:vertAlign w:val="subscript"/>
                <w:lang w:val="en-US" w:eastAsia="zh-CN"/>
              </w:rPr>
              <w:t>2</w:t>
            </w:r>
            <w:r>
              <w:rPr>
                <w:rFonts w:hint="eastAsia"/>
                <w:color w:val="auto"/>
                <w:highlight w:val="none"/>
                <w:lang w:val="en-US" w:eastAsia="zh-CN"/>
              </w:rPr>
              <w:t>/a）</w:t>
            </w:r>
          </w:p>
        </w:tc>
        <w:tc>
          <w:tcPr>
            <w:tcW w:w="2405" w:type="dxa"/>
            <w:tcBorders>
              <w:tl2br w:val="nil"/>
              <w:tr2bl w:val="nil"/>
            </w:tcBorders>
          </w:tcPr>
          <w:p w14:paraId="09FAF0A3">
            <w:pPr>
              <w:pStyle w:val="1405"/>
              <w:bidi w:val="0"/>
              <w:rPr>
                <w:rFonts w:hint="eastAsia" w:eastAsia="宋体"/>
                <w:color w:val="auto"/>
                <w:highlight w:val="none"/>
                <w:lang w:val="en-US" w:eastAsia="zh-CN"/>
              </w:rPr>
            </w:pPr>
            <w:r>
              <w:rPr>
                <w:rFonts w:hint="eastAsia"/>
                <w:color w:val="auto"/>
                <w:highlight w:val="none"/>
                <w:lang w:val="en-US" w:eastAsia="zh-CN"/>
              </w:rPr>
              <w:t>备注</w:t>
            </w:r>
          </w:p>
        </w:tc>
      </w:tr>
      <w:tr w14:paraId="0B8D4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21" w:type="dxa"/>
            <w:tcBorders>
              <w:tl2br w:val="nil"/>
              <w:tr2bl w:val="nil"/>
            </w:tcBorders>
          </w:tcPr>
          <w:p w14:paraId="204B08F3">
            <w:pPr>
              <w:pStyle w:val="1405"/>
              <w:bidi w:val="0"/>
              <w:rPr>
                <w:rFonts w:hint="default" w:eastAsia="宋体"/>
                <w:color w:val="auto"/>
                <w:highlight w:val="none"/>
                <w:lang w:val="en-US" w:eastAsia="zh-CN"/>
              </w:rPr>
            </w:pPr>
            <w:r>
              <w:rPr>
                <w:rFonts w:hint="eastAsia"/>
                <w:color w:val="auto"/>
                <w:highlight w:val="none"/>
                <w:lang w:val="en-US" w:eastAsia="zh-CN"/>
              </w:rPr>
              <w:t>燃料燃烧排放</w:t>
            </w:r>
          </w:p>
        </w:tc>
        <w:tc>
          <w:tcPr>
            <w:tcW w:w="1961" w:type="dxa"/>
            <w:tcBorders>
              <w:tl2br w:val="nil"/>
              <w:tr2bl w:val="nil"/>
            </w:tcBorders>
          </w:tcPr>
          <w:p w14:paraId="2D3ED71D">
            <w:pPr>
              <w:pStyle w:val="1405"/>
              <w:bidi w:val="0"/>
              <w:rPr>
                <w:rFonts w:hint="default" w:eastAsia="宋体"/>
                <w:color w:val="auto"/>
                <w:highlight w:val="none"/>
                <w:lang w:val="en-US" w:eastAsia="zh-CN"/>
              </w:rPr>
            </w:pPr>
            <w:r>
              <w:rPr>
                <w:color w:val="auto"/>
                <w:highlight w:val="none"/>
              </w:rPr>
              <w:t>5.96tC/万Nm</w:t>
            </w:r>
            <w:r>
              <w:rPr>
                <w:color w:val="auto"/>
                <w:highlight w:val="none"/>
                <w:vertAlign w:val="superscript"/>
              </w:rPr>
              <w:t>3</w:t>
            </w:r>
          </w:p>
        </w:tc>
        <w:tc>
          <w:tcPr>
            <w:tcW w:w="1754" w:type="dxa"/>
            <w:tcBorders>
              <w:tl2br w:val="nil"/>
              <w:tr2bl w:val="nil"/>
            </w:tcBorders>
          </w:tcPr>
          <w:p w14:paraId="0DDC6D8F">
            <w:pPr>
              <w:pStyle w:val="1405"/>
              <w:bidi w:val="0"/>
              <w:rPr>
                <w:rFonts w:hint="default" w:eastAsia="宋体"/>
                <w:color w:val="auto"/>
                <w:highlight w:val="none"/>
                <w:lang w:val="en-US" w:eastAsia="zh-CN"/>
              </w:rPr>
            </w:pPr>
            <w:r>
              <w:rPr>
                <w:rFonts w:hint="eastAsia"/>
                <w:color w:val="auto"/>
                <w:highlight w:val="none"/>
                <w:lang w:val="en-US" w:eastAsia="zh-CN"/>
              </w:rPr>
              <w:t>33.408万</w:t>
            </w:r>
            <w:r>
              <w:rPr>
                <w:rFonts w:hint="default"/>
                <w:color w:val="auto"/>
                <w:highlight w:val="none"/>
              </w:rPr>
              <w:t>m³</w:t>
            </w:r>
            <w:r>
              <w:rPr>
                <w:rFonts w:hint="eastAsia"/>
                <w:color w:val="auto"/>
                <w:highlight w:val="none"/>
                <w:lang w:val="en-US" w:eastAsia="zh-CN"/>
              </w:rPr>
              <w:t>/a</w:t>
            </w:r>
          </w:p>
        </w:tc>
        <w:tc>
          <w:tcPr>
            <w:tcW w:w="1362" w:type="dxa"/>
            <w:tcBorders>
              <w:tl2br w:val="nil"/>
              <w:tr2bl w:val="nil"/>
            </w:tcBorders>
            <w:vAlign w:val="top"/>
          </w:tcPr>
          <w:p w14:paraId="0F7B7491">
            <w:pPr>
              <w:pStyle w:val="1405"/>
              <w:bidi w:val="0"/>
              <w:jc w:val="center"/>
              <w:rPr>
                <w:rFonts w:hint="default"/>
                <w:color w:val="auto"/>
                <w:highlight w:val="none"/>
                <w:lang w:val="en-US" w:eastAsia="zh-CN"/>
              </w:rPr>
            </w:pPr>
            <w:r>
              <w:rPr>
                <w:rFonts w:hint="default"/>
                <w:color w:val="auto"/>
                <w:highlight w:val="none"/>
                <w:lang w:val="en-US" w:eastAsia="zh-CN"/>
              </w:rPr>
              <w:t>722.78</w:t>
            </w:r>
          </w:p>
        </w:tc>
        <w:tc>
          <w:tcPr>
            <w:tcW w:w="2405" w:type="dxa"/>
            <w:tcBorders>
              <w:tl2br w:val="nil"/>
              <w:tr2bl w:val="nil"/>
            </w:tcBorders>
          </w:tcPr>
          <w:p w14:paraId="7C5996FB">
            <w:pPr>
              <w:pStyle w:val="1405"/>
              <w:bidi w:val="0"/>
              <w:rPr>
                <w:rFonts w:hint="default" w:eastAsia="宋体"/>
                <w:color w:val="auto"/>
                <w:highlight w:val="none"/>
                <w:lang w:val="en-US" w:eastAsia="zh-CN"/>
              </w:rPr>
            </w:pPr>
            <w:r>
              <w:rPr>
                <w:rFonts w:hint="eastAsia"/>
                <w:color w:val="auto"/>
                <w:highlight w:val="none"/>
              </w:rPr>
              <w:t>R</w:t>
            </w:r>
            <w:r>
              <w:rPr>
                <w:color w:val="auto"/>
                <w:highlight w:val="none"/>
              </w:rPr>
              <w:t>TO</w:t>
            </w:r>
            <w:r>
              <w:rPr>
                <w:rFonts w:hint="eastAsia"/>
                <w:color w:val="auto"/>
                <w:highlight w:val="none"/>
              </w:rPr>
              <w:t>装置</w:t>
            </w:r>
            <w:r>
              <w:rPr>
                <w:rFonts w:hint="eastAsia"/>
                <w:color w:val="auto"/>
                <w:highlight w:val="none"/>
                <w:lang w:eastAsia="zh-CN"/>
              </w:rPr>
              <w:t>、</w:t>
            </w:r>
            <w:r>
              <w:rPr>
                <w:rFonts w:hint="eastAsia"/>
                <w:color w:val="auto"/>
                <w:highlight w:val="none"/>
                <w:lang w:val="en-US" w:eastAsia="zh-CN"/>
              </w:rPr>
              <w:t>热水炉、固化炉使用天然气</w:t>
            </w:r>
          </w:p>
        </w:tc>
      </w:tr>
      <w:tr w14:paraId="588ED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21" w:type="dxa"/>
            <w:tcBorders>
              <w:tl2br w:val="nil"/>
              <w:tr2bl w:val="nil"/>
            </w:tcBorders>
          </w:tcPr>
          <w:p w14:paraId="7C9B1E8C">
            <w:pPr>
              <w:pStyle w:val="1405"/>
              <w:bidi w:val="0"/>
              <w:rPr>
                <w:rFonts w:hint="default" w:eastAsia="宋体"/>
                <w:color w:val="auto"/>
                <w:highlight w:val="none"/>
                <w:lang w:val="en-US" w:eastAsia="zh-CN"/>
              </w:rPr>
            </w:pPr>
            <w:r>
              <w:rPr>
                <w:rFonts w:hint="eastAsia"/>
                <w:color w:val="auto"/>
                <w:highlight w:val="none"/>
                <w:lang w:val="en-US" w:eastAsia="zh-CN"/>
              </w:rPr>
              <w:t>过程排放</w:t>
            </w:r>
          </w:p>
        </w:tc>
        <w:tc>
          <w:tcPr>
            <w:tcW w:w="1961" w:type="dxa"/>
            <w:tcBorders>
              <w:tl2br w:val="nil"/>
              <w:tr2bl w:val="nil"/>
            </w:tcBorders>
          </w:tcPr>
          <w:p w14:paraId="7689914A">
            <w:pPr>
              <w:pStyle w:val="1405"/>
              <w:bidi w:val="0"/>
              <w:rPr>
                <w:rFonts w:hint="eastAsia" w:eastAsia="宋体"/>
                <w:color w:val="auto"/>
                <w:highlight w:val="none"/>
                <w:lang w:val="en-US" w:eastAsia="zh-CN"/>
              </w:rPr>
            </w:pPr>
            <w:r>
              <w:rPr>
                <w:rFonts w:hint="eastAsia"/>
                <w:color w:val="auto"/>
                <w:highlight w:val="none"/>
                <w:lang w:val="en-US" w:eastAsia="zh-CN"/>
              </w:rPr>
              <w:t>/</w:t>
            </w:r>
          </w:p>
        </w:tc>
        <w:tc>
          <w:tcPr>
            <w:tcW w:w="1754" w:type="dxa"/>
            <w:tcBorders>
              <w:tl2br w:val="nil"/>
              <w:tr2bl w:val="nil"/>
            </w:tcBorders>
          </w:tcPr>
          <w:p w14:paraId="26E5E0C1">
            <w:pPr>
              <w:pStyle w:val="1405"/>
              <w:bidi w:val="0"/>
              <w:rPr>
                <w:rFonts w:hint="eastAsia" w:eastAsia="宋体"/>
                <w:color w:val="auto"/>
                <w:highlight w:val="none"/>
                <w:lang w:val="en-US" w:eastAsia="zh-CN"/>
              </w:rPr>
            </w:pPr>
            <w:r>
              <w:rPr>
                <w:rFonts w:hint="eastAsia"/>
                <w:color w:val="auto"/>
                <w:highlight w:val="none"/>
                <w:lang w:val="en-US" w:eastAsia="zh-CN"/>
              </w:rPr>
              <w:t>/</w:t>
            </w:r>
          </w:p>
        </w:tc>
        <w:tc>
          <w:tcPr>
            <w:tcW w:w="1362" w:type="dxa"/>
            <w:tcBorders>
              <w:tl2br w:val="nil"/>
              <w:tr2bl w:val="nil"/>
            </w:tcBorders>
            <w:vAlign w:val="top"/>
          </w:tcPr>
          <w:p w14:paraId="2CDA7467">
            <w:pPr>
              <w:pStyle w:val="1405"/>
              <w:bidi w:val="0"/>
              <w:jc w:val="center"/>
              <w:rPr>
                <w:rFonts w:hint="eastAsia"/>
                <w:color w:val="auto"/>
                <w:highlight w:val="none"/>
                <w:lang w:val="en-US" w:eastAsia="zh-CN"/>
              </w:rPr>
            </w:pPr>
            <w:r>
              <w:rPr>
                <w:rFonts w:hint="default"/>
                <w:color w:val="auto"/>
                <w:highlight w:val="none"/>
                <w:lang w:val="en-US" w:eastAsia="zh-CN"/>
              </w:rPr>
              <w:t>0</w:t>
            </w:r>
          </w:p>
        </w:tc>
        <w:tc>
          <w:tcPr>
            <w:tcW w:w="2405" w:type="dxa"/>
            <w:tcBorders>
              <w:tl2br w:val="nil"/>
              <w:tr2bl w:val="nil"/>
            </w:tcBorders>
          </w:tcPr>
          <w:p w14:paraId="746AEAA0">
            <w:pPr>
              <w:pStyle w:val="1405"/>
              <w:bidi w:val="0"/>
              <w:rPr>
                <w:rFonts w:hint="eastAsia" w:eastAsia="宋体"/>
                <w:color w:val="auto"/>
                <w:highlight w:val="none"/>
                <w:lang w:val="en-US" w:eastAsia="zh-CN"/>
              </w:rPr>
            </w:pPr>
            <w:r>
              <w:rPr>
                <w:rFonts w:hint="eastAsia"/>
                <w:color w:val="auto"/>
                <w:highlight w:val="none"/>
                <w:lang w:val="en-US" w:eastAsia="zh-CN"/>
              </w:rPr>
              <w:t>不涉及</w:t>
            </w:r>
          </w:p>
        </w:tc>
      </w:tr>
      <w:tr w14:paraId="004F2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21" w:type="dxa"/>
            <w:tcBorders>
              <w:tl2br w:val="nil"/>
              <w:tr2bl w:val="nil"/>
            </w:tcBorders>
          </w:tcPr>
          <w:p w14:paraId="2C658C1E">
            <w:pPr>
              <w:pStyle w:val="1405"/>
              <w:bidi w:val="0"/>
              <w:rPr>
                <w:rFonts w:hint="default" w:eastAsia="宋体"/>
                <w:color w:val="auto"/>
                <w:highlight w:val="none"/>
                <w:lang w:val="en-US" w:eastAsia="zh-CN"/>
              </w:rPr>
            </w:pPr>
            <w:r>
              <w:rPr>
                <w:rFonts w:hint="eastAsia"/>
                <w:color w:val="auto"/>
                <w:highlight w:val="none"/>
                <w:lang w:val="en-US" w:eastAsia="zh-CN"/>
              </w:rPr>
              <w:t>购入电力排放</w:t>
            </w:r>
          </w:p>
        </w:tc>
        <w:tc>
          <w:tcPr>
            <w:tcW w:w="1961" w:type="dxa"/>
            <w:tcBorders>
              <w:tl2br w:val="nil"/>
              <w:tr2bl w:val="nil"/>
            </w:tcBorders>
          </w:tcPr>
          <w:p w14:paraId="5C381CEA">
            <w:pPr>
              <w:pStyle w:val="1405"/>
              <w:bidi w:val="0"/>
              <w:rPr>
                <w:rFonts w:hint="default" w:eastAsia="宋体"/>
                <w:color w:val="auto"/>
                <w:highlight w:val="none"/>
                <w:lang w:val="en-US" w:eastAsia="zh-CN"/>
              </w:rPr>
            </w:pPr>
            <w:r>
              <w:rPr>
                <w:rFonts w:hint="eastAsia"/>
                <w:color w:val="auto"/>
                <w:highlight w:val="none"/>
                <w:lang w:val="en-US" w:eastAsia="zh-CN"/>
              </w:rPr>
              <w:t>0.4211</w:t>
            </w:r>
            <w:r>
              <w:rPr>
                <w:rFonts w:hint="eastAsia" w:cs="Times New Roman"/>
                <w:color w:val="auto"/>
                <w:highlight w:val="none"/>
                <w:lang w:val="en-US" w:eastAsia="zh-CN"/>
              </w:rPr>
              <w:t>kgCO</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/KWh</w:t>
            </w:r>
          </w:p>
        </w:tc>
        <w:tc>
          <w:tcPr>
            <w:tcW w:w="1754" w:type="dxa"/>
            <w:tcBorders>
              <w:tl2br w:val="nil"/>
              <w:tr2bl w:val="nil"/>
            </w:tcBorders>
          </w:tcPr>
          <w:p w14:paraId="2F30BEF0">
            <w:pPr>
              <w:pStyle w:val="1405"/>
              <w:bidi w:val="0"/>
              <w:rPr>
                <w:rFonts w:hint="default" w:eastAsia="宋体"/>
                <w:color w:val="auto"/>
                <w:highlight w:val="none"/>
                <w:lang w:val="en-US" w:eastAsia="zh-CN"/>
              </w:rPr>
            </w:pPr>
            <w:r>
              <w:rPr>
                <w:rFonts w:hint="eastAsia"/>
                <w:color w:val="auto"/>
                <w:highlight w:val="none"/>
                <w:lang w:val="en-US" w:eastAsia="zh-CN"/>
              </w:rPr>
              <w:t>330万</w:t>
            </w:r>
            <w:r>
              <w:rPr>
                <w:rFonts w:hint="eastAsia" w:cs="Times New Roman"/>
                <w:color w:val="auto"/>
                <w:highlight w:val="none"/>
                <w:lang w:val="en-US" w:eastAsia="zh-CN"/>
              </w:rPr>
              <w:t>K</w:t>
            </w:r>
            <w:r>
              <w:rPr>
                <w:rFonts w:hint="eastAsia"/>
                <w:color w:val="auto"/>
                <w:highlight w:val="none"/>
                <w:lang w:val="en-US" w:eastAsia="zh-CN"/>
              </w:rPr>
              <w:t>Wh/a</w:t>
            </w:r>
          </w:p>
        </w:tc>
        <w:tc>
          <w:tcPr>
            <w:tcW w:w="1362" w:type="dxa"/>
            <w:tcBorders>
              <w:tl2br w:val="nil"/>
              <w:tr2bl w:val="nil"/>
            </w:tcBorders>
            <w:vAlign w:val="top"/>
          </w:tcPr>
          <w:p w14:paraId="18D8E1B9">
            <w:pPr>
              <w:pStyle w:val="1405"/>
              <w:bidi w:val="0"/>
              <w:jc w:val="center"/>
              <w:rPr>
                <w:rFonts w:hint="default"/>
                <w:color w:val="auto"/>
                <w:highlight w:val="none"/>
                <w:lang w:val="en-US" w:eastAsia="zh-CN"/>
              </w:rPr>
            </w:pPr>
            <w:r>
              <w:rPr>
                <w:rFonts w:hint="default"/>
                <w:color w:val="auto"/>
                <w:highlight w:val="none"/>
                <w:lang w:val="en-US" w:eastAsia="zh-CN"/>
              </w:rPr>
              <w:t>138.963</w:t>
            </w:r>
          </w:p>
        </w:tc>
        <w:tc>
          <w:tcPr>
            <w:tcW w:w="2405" w:type="dxa"/>
            <w:tcBorders>
              <w:tl2br w:val="nil"/>
              <w:tr2bl w:val="nil"/>
            </w:tcBorders>
          </w:tcPr>
          <w:p w14:paraId="159AFFCE">
            <w:pPr>
              <w:pStyle w:val="1405"/>
              <w:bidi w:val="0"/>
              <w:rPr>
                <w:rFonts w:hint="default" w:eastAsia="宋体"/>
                <w:color w:val="auto"/>
                <w:highlight w:val="none"/>
                <w:lang w:val="en-US" w:eastAsia="zh-CN"/>
              </w:rPr>
            </w:pPr>
            <w:r>
              <w:rPr>
                <w:rFonts w:hint="eastAsia"/>
                <w:color w:val="auto"/>
                <w:highlight w:val="none"/>
                <w:lang w:val="en-US" w:eastAsia="zh-CN"/>
              </w:rPr>
              <w:t>福建电网</w:t>
            </w:r>
          </w:p>
        </w:tc>
      </w:tr>
      <w:tr w14:paraId="3C6E47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21" w:type="dxa"/>
            <w:tcBorders>
              <w:tl2br w:val="nil"/>
              <w:tr2bl w:val="nil"/>
            </w:tcBorders>
          </w:tcPr>
          <w:p w14:paraId="02112B55">
            <w:pPr>
              <w:pStyle w:val="1405"/>
              <w:bidi w:val="0"/>
              <w:rPr>
                <w:rFonts w:hint="default"/>
                <w:color w:val="auto"/>
                <w:highlight w:val="none"/>
                <w:lang w:val="en-US" w:eastAsia="zh-CN"/>
              </w:rPr>
            </w:pPr>
            <w:r>
              <w:rPr>
                <w:rFonts w:hint="eastAsia"/>
                <w:color w:val="auto"/>
                <w:highlight w:val="none"/>
                <w:lang w:val="en-US" w:eastAsia="zh-CN"/>
              </w:rPr>
              <w:t>购入热力排放</w:t>
            </w:r>
          </w:p>
        </w:tc>
        <w:tc>
          <w:tcPr>
            <w:tcW w:w="1961" w:type="dxa"/>
            <w:tcBorders>
              <w:tl2br w:val="nil"/>
              <w:tr2bl w:val="nil"/>
            </w:tcBorders>
            <w:shd w:val="clear" w:color="auto" w:fill="auto"/>
            <w:vAlign w:val="top"/>
          </w:tcPr>
          <w:p w14:paraId="702D5966">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w:t>
            </w:r>
          </w:p>
        </w:tc>
        <w:tc>
          <w:tcPr>
            <w:tcW w:w="1754" w:type="dxa"/>
            <w:tcBorders>
              <w:tl2br w:val="nil"/>
              <w:tr2bl w:val="nil"/>
            </w:tcBorders>
            <w:shd w:val="clear" w:color="auto" w:fill="auto"/>
            <w:vAlign w:val="top"/>
          </w:tcPr>
          <w:p w14:paraId="12BEE06B">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w:t>
            </w:r>
          </w:p>
        </w:tc>
        <w:tc>
          <w:tcPr>
            <w:tcW w:w="1362" w:type="dxa"/>
            <w:tcBorders>
              <w:tl2br w:val="nil"/>
              <w:tr2bl w:val="nil"/>
            </w:tcBorders>
            <w:vAlign w:val="top"/>
          </w:tcPr>
          <w:p w14:paraId="581590FE">
            <w:pPr>
              <w:pStyle w:val="1405"/>
              <w:bidi w:val="0"/>
              <w:jc w:val="center"/>
              <w:rPr>
                <w:rFonts w:hint="default"/>
                <w:color w:val="auto"/>
                <w:highlight w:val="none"/>
                <w:lang w:val="en-US" w:eastAsia="zh-CN"/>
              </w:rPr>
            </w:pPr>
            <w:r>
              <w:rPr>
                <w:rFonts w:hint="default"/>
                <w:color w:val="auto"/>
                <w:highlight w:val="none"/>
                <w:lang w:val="en-US" w:eastAsia="zh-CN"/>
              </w:rPr>
              <w:t>0</w:t>
            </w:r>
          </w:p>
        </w:tc>
        <w:tc>
          <w:tcPr>
            <w:tcW w:w="2405" w:type="dxa"/>
            <w:tcBorders>
              <w:tl2br w:val="nil"/>
              <w:tr2bl w:val="nil"/>
            </w:tcBorders>
          </w:tcPr>
          <w:p w14:paraId="3C217AC6">
            <w:pPr>
              <w:pStyle w:val="1405"/>
              <w:bidi w:val="0"/>
              <w:rPr>
                <w:rFonts w:hint="default" w:eastAsia="宋体"/>
                <w:color w:val="auto"/>
                <w:highlight w:val="none"/>
                <w:lang w:val="en-US" w:eastAsia="zh-CN"/>
              </w:rPr>
            </w:pPr>
            <w:r>
              <w:rPr>
                <w:rFonts w:hint="eastAsia"/>
                <w:color w:val="auto"/>
                <w:highlight w:val="none"/>
                <w:lang w:val="en-US" w:eastAsia="zh-CN"/>
              </w:rPr>
              <w:t>不涉及</w:t>
            </w:r>
          </w:p>
        </w:tc>
      </w:tr>
      <w:tr w14:paraId="2EEC41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36" w:type="dxa"/>
            <w:gridSpan w:val="3"/>
            <w:tcBorders>
              <w:tl2br w:val="nil"/>
              <w:tr2bl w:val="nil"/>
            </w:tcBorders>
          </w:tcPr>
          <w:p w14:paraId="311AED5F">
            <w:pPr>
              <w:pStyle w:val="1405"/>
              <w:bidi w:val="0"/>
              <w:rPr>
                <w:rFonts w:hint="default"/>
                <w:color w:val="auto"/>
                <w:highlight w:val="none"/>
                <w:lang w:val="en-US" w:eastAsia="zh-CN"/>
              </w:rPr>
            </w:pPr>
            <w:r>
              <w:rPr>
                <w:rFonts w:hint="eastAsia"/>
                <w:color w:val="auto"/>
                <w:highlight w:val="none"/>
                <w:lang w:val="en-US" w:eastAsia="zh-CN"/>
              </w:rPr>
              <w:t>合计</w:t>
            </w:r>
          </w:p>
        </w:tc>
        <w:tc>
          <w:tcPr>
            <w:tcW w:w="1362" w:type="dxa"/>
            <w:tcBorders>
              <w:tl2br w:val="nil"/>
              <w:tr2bl w:val="nil"/>
            </w:tcBorders>
            <w:vAlign w:val="top"/>
          </w:tcPr>
          <w:p w14:paraId="3F47D02C">
            <w:pPr>
              <w:pStyle w:val="1405"/>
              <w:bidi w:val="0"/>
              <w:jc w:val="center"/>
              <w:rPr>
                <w:rFonts w:hint="default"/>
                <w:color w:val="auto"/>
                <w:highlight w:val="none"/>
                <w:lang w:val="en-US" w:eastAsia="zh-CN"/>
              </w:rPr>
            </w:pPr>
            <w:r>
              <w:rPr>
                <w:rFonts w:hint="default"/>
                <w:color w:val="auto"/>
                <w:highlight w:val="none"/>
                <w:lang w:val="en-US" w:eastAsia="zh-CN"/>
              </w:rPr>
              <w:t>861.738</w:t>
            </w:r>
          </w:p>
        </w:tc>
        <w:tc>
          <w:tcPr>
            <w:tcW w:w="2405" w:type="dxa"/>
            <w:tcBorders>
              <w:tl2br w:val="nil"/>
              <w:tr2bl w:val="nil"/>
            </w:tcBorders>
          </w:tcPr>
          <w:p w14:paraId="1AAFD13B">
            <w:pPr>
              <w:pStyle w:val="1405"/>
              <w:bidi w:val="0"/>
              <w:rPr>
                <w:rFonts w:hint="default"/>
                <w:color w:val="auto"/>
                <w:highlight w:val="none"/>
                <w:lang w:val="en-US" w:eastAsia="zh-CN"/>
              </w:rPr>
            </w:pPr>
            <w:r>
              <w:rPr>
                <w:rFonts w:hint="eastAsia"/>
                <w:color w:val="auto"/>
                <w:highlight w:val="none"/>
                <w:lang w:val="en-US" w:eastAsia="zh-CN"/>
              </w:rPr>
              <w:t>/</w:t>
            </w:r>
          </w:p>
        </w:tc>
      </w:tr>
      <w:tr w14:paraId="475FB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03" w:type="dxa"/>
            <w:gridSpan w:val="5"/>
            <w:tcBorders>
              <w:tl2br w:val="nil"/>
              <w:tr2bl w:val="nil"/>
            </w:tcBorders>
          </w:tcPr>
          <w:p w14:paraId="4E40719A">
            <w:pPr>
              <w:pStyle w:val="1405"/>
              <w:bidi w:val="0"/>
              <w:rPr>
                <w:rFonts w:hint="default" w:eastAsia="宋体"/>
                <w:color w:val="auto"/>
                <w:highlight w:val="none"/>
                <w:lang w:val="en-US" w:eastAsia="zh-CN"/>
              </w:rPr>
            </w:pPr>
            <w:r>
              <w:rPr>
                <w:rFonts w:hint="eastAsia"/>
                <w:color w:val="auto"/>
                <w:highlight w:val="none"/>
                <w:lang w:val="en-US" w:eastAsia="zh-CN"/>
              </w:rPr>
              <w:t>注：</w:t>
            </w:r>
            <w:r>
              <w:rPr>
                <w:rStyle w:val="153"/>
                <w:rFonts w:hint="eastAsia"/>
                <w:color w:val="auto"/>
                <w:highlight w:val="none"/>
                <w:lang w:val="en-US" w:eastAsia="zh-CN"/>
              </w:rPr>
              <w:t>电力排放因子</w:t>
            </w:r>
            <w:r>
              <w:rPr>
                <w:rFonts w:hint="eastAsia" w:cs="Times New Roman"/>
                <w:color w:val="auto"/>
                <w:highlight w:val="none"/>
                <w:lang w:val="en-US" w:eastAsia="zh-CN"/>
              </w:rPr>
              <w:t>根据《关于发布2023年电力二氧化碳排放因子的公告》表3中2023年省级电力平均二氧化碳排放因子，福建电网OM排放因子（kgCO</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/KWh）为0.4211。</w:t>
            </w:r>
          </w:p>
        </w:tc>
      </w:tr>
    </w:tbl>
    <w:p w14:paraId="2E06F839">
      <w:pPr>
        <w:pStyle w:val="4"/>
        <w:numPr>
          <w:ilvl w:val="2"/>
          <w:numId w:val="0"/>
        </w:numPr>
        <w:tabs>
          <w:tab w:val="clear" w:pos="720"/>
        </w:tabs>
        <w:bidi w:val="0"/>
        <w:rPr>
          <w:rFonts w:hint="default"/>
          <w:color w:val="auto"/>
          <w:highlight w:val="none"/>
          <w:lang w:val="en-US" w:eastAsia="zh-CN"/>
        </w:rPr>
      </w:pPr>
      <w:bookmarkStart w:id="730" w:name="_Toc16178"/>
      <w:bookmarkStart w:id="731" w:name="_Toc6510"/>
      <w:bookmarkStart w:id="732" w:name="_Toc25027"/>
      <w:bookmarkStart w:id="733" w:name="_Toc31223"/>
      <w:bookmarkStart w:id="734" w:name="_Toc3060"/>
      <w:bookmarkStart w:id="735" w:name="_Toc13443"/>
      <w:bookmarkStart w:id="736" w:name="_Toc15359"/>
      <w:bookmarkStart w:id="737" w:name="_Toc19135"/>
      <w:bookmarkStart w:id="738" w:name="_Toc16732"/>
      <w:bookmarkStart w:id="739" w:name="_Toc14616"/>
      <w:bookmarkStart w:id="740" w:name="_Toc19117"/>
      <w:bookmarkStart w:id="741" w:name="_Toc21506"/>
      <w:bookmarkStart w:id="742" w:name="_Toc17249"/>
      <w:bookmarkStart w:id="743" w:name="_Toc25250"/>
      <w:bookmarkStart w:id="744" w:name="_Toc12642"/>
      <w:bookmarkStart w:id="745" w:name="_Toc17350"/>
      <w:bookmarkStart w:id="746" w:name="_Toc24194"/>
      <w:bookmarkStart w:id="747" w:name="_Toc9201"/>
      <w:bookmarkStart w:id="748" w:name="_Toc18620"/>
      <w:r>
        <w:rPr>
          <w:rFonts w:hint="default"/>
          <w:color w:val="auto"/>
          <w:highlight w:val="none"/>
          <w:lang w:val="en-US" w:eastAsia="zh-CN"/>
        </w:rPr>
        <w:t>6.</w:t>
      </w:r>
      <w:r>
        <w:rPr>
          <w:rFonts w:hint="eastAsia"/>
          <w:color w:val="auto"/>
          <w:highlight w:val="none"/>
          <w:lang w:val="en-US" w:eastAsia="zh-CN"/>
        </w:rPr>
        <w:t>6</w:t>
      </w:r>
      <w:r>
        <w:rPr>
          <w:rFonts w:hint="default"/>
          <w:color w:val="auto"/>
          <w:highlight w:val="none"/>
          <w:lang w:val="en-US" w:eastAsia="zh-CN"/>
        </w:rPr>
        <w:t>.</w:t>
      </w:r>
      <w:r>
        <w:rPr>
          <w:rFonts w:hint="eastAsia"/>
          <w:color w:val="auto"/>
          <w:highlight w:val="none"/>
          <w:lang w:val="en-US" w:eastAsia="zh-CN"/>
        </w:rPr>
        <w:t xml:space="preserve">3 </w:t>
      </w:r>
      <w:r>
        <w:rPr>
          <w:rFonts w:hint="default"/>
          <w:color w:val="auto"/>
          <w:highlight w:val="none"/>
          <w:lang w:val="en-US" w:eastAsia="zh-CN"/>
        </w:rPr>
        <w:t>减排潜力分析</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50BCC809">
      <w:pPr>
        <w:bidi w:val="0"/>
        <w:rPr>
          <w:rFonts w:hint="default"/>
          <w:color w:val="auto"/>
          <w:highlight w:val="none"/>
          <w:lang w:val="en-US" w:eastAsia="zh-CN"/>
        </w:rPr>
      </w:pPr>
      <w:bookmarkStart w:id="749" w:name="_Toc5926"/>
      <w:bookmarkStart w:id="750" w:name="_Toc3501"/>
      <w:bookmarkStart w:id="751" w:name="_Toc8760"/>
      <w:bookmarkStart w:id="752" w:name="_Toc27042"/>
      <w:bookmarkStart w:id="753" w:name="_Toc29945"/>
      <w:bookmarkStart w:id="754" w:name="_Toc16286"/>
      <w:bookmarkStart w:id="755" w:name="_Toc30514"/>
      <w:bookmarkStart w:id="756" w:name="_Toc24253"/>
      <w:bookmarkStart w:id="757" w:name="_Toc17644"/>
      <w:bookmarkStart w:id="758" w:name="_Toc16797"/>
      <w:bookmarkStart w:id="759" w:name="_Toc3856"/>
      <w:bookmarkStart w:id="760" w:name="_Toc767"/>
      <w:bookmarkStart w:id="761" w:name="_Toc3227"/>
      <w:bookmarkStart w:id="762" w:name="_Toc15870"/>
      <w:bookmarkStart w:id="763" w:name="_Toc30871"/>
      <w:bookmarkStart w:id="764" w:name="_Toc7337"/>
      <w:r>
        <w:rPr>
          <w:rFonts w:hint="default"/>
          <w:color w:val="auto"/>
          <w:highlight w:val="none"/>
          <w:lang w:val="en-US" w:eastAsia="zh-CN"/>
        </w:rPr>
        <w:t>本项目拟采用先进的生产技术和设备，不涉及国家明令禁止或淘汰的落后工艺、设备。根据碳排放核算结果，本项目碳排放源主要包括天然气燃烧产生的直接排放和净购入电力产生的间接排放。</w:t>
      </w:r>
    </w:p>
    <w:p w14:paraId="335A6BC9">
      <w:pPr>
        <w:bidi w:val="0"/>
        <w:rPr>
          <w:rFonts w:hint="default"/>
          <w:color w:val="auto"/>
          <w:highlight w:val="none"/>
          <w:lang w:val="en-US" w:eastAsia="zh-CN"/>
        </w:rPr>
      </w:pPr>
      <w:r>
        <w:rPr>
          <w:rFonts w:hint="default"/>
          <w:color w:val="auto"/>
          <w:highlight w:val="none"/>
          <w:lang w:val="en-US" w:eastAsia="zh-CN"/>
        </w:rPr>
        <w:t>天然气减排潜力：本项目天然气主要用于热水炉、固化炉及RTO蓄热式焚烧炉，天然气燃烧是本项目直接碳排放的主要来源。减排潜力主要体现在以下方面：①热水炉、固化炉采用低氮燃烧技术，合理控制空燃比，提高燃烧效率，降低单位产品天然气消耗；②加强天然气管道、阀门及燃烧设备的日常维护，防止泄漏和不完全燃烧，降低天然气损耗；③优化固化炉和RTO的运行控制策略，根据生产负荷调节天然气用量，避免设备空烧或过度燃烧；④RTO蓄热式焚烧炉选用高效蓄热体，提高热回收效率，减少天然气补燃量；⑤优化RTO与固化炉之间的热量衔接，将RTO燃烧产生的高温烟气余热回用于固化炉等需热工序，实现热回收与热循环利用，减少天然气补燃量。</w:t>
      </w:r>
    </w:p>
    <w:p w14:paraId="164455C6">
      <w:pPr>
        <w:bidi w:val="0"/>
        <w:rPr>
          <w:rFonts w:hint="default"/>
          <w:color w:val="auto"/>
          <w:highlight w:val="none"/>
          <w:lang w:val="en-US" w:eastAsia="zh-CN"/>
        </w:rPr>
      </w:pPr>
      <w:r>
        <w:rPr>
          <w:rFonts w:hint="default"/>
          <w:color w:val="auto"/>
          <w:highlight w:val="none"/>
          <w:lang w:val="en-US" w:eastAsia="zh-CN"/>
        </w:rPr>
        <w:t>电力减排潜力：本项目电力消耗主要集中在注塑机、涂装生产线、废气处理设施、空压机及泵类等环节。减排潜力主要体现在以下方面：①选用高效节能电机和变频调速装置，根据实际工况调节设备转速，避免不必要的电能浪费；②优化工艺流程布置，缩短物料输送距离，减少输送能耗；③注塑机、空压机等主要耗电设备优先选用能效等级高的设备；④加强用电管理，合理错峰用电，降低单位产品电耗。</w:t>
      </w:r>
    </w:p>
    <w:p w14:paraId="200C5772">
      <w:pPr>
        <w:bidi w:val="0"/>
        <w:rPr>
          <w:rFonts w:hint="default"/>
          <w:color w:val="auto"/>
          <w:highlight w:val="none"/>
          <w:lang w:val="en-US" w:eastAsia="zh-CN"/>
        </w:rPr>
      </w:pPr>
      <w:r>
        <w:rPr>
          <w:rFonts w:hint="default"/>
          <w:color w:val="auto"/>
          <w:highlight w:val="none"/>
          <w:lang w:val="en-US" w:eastAsia="zh-CN"/>
        </w:rPr>
        <w:t>其他减排潜力：本项目不涉及外购热力，不涉及过程排放。企业可通过建立碳排放管理台账、定期开展能源审计和碳排放核查，持续挖掘节能降碳潜力。</w:t>
      </w:r>
    </w:p>
    <w:p w14:paraId="134E2C59">
      <w:pPr>
        <w:pStyle w:val="4"/>
        <w:numPr>
          <w:ilvl w:val="2"/>
          <w:numId w:val="0"/>
        </w:numPr>
        <w:tabs>
          <w:tab w:val="clear" w:pos="720"/>
        </w:tabs>
        <w:bidi w:val="0"/>
        <w:rPr>
          <w:rFonts w:hint="default"/>
          <w:color w:val="auto"/>
          <w:highlight w:val="none"/>
          <w:lang w:val="en-US" w:eastAsia="zh-CN"/>
        </w:rPr>
      </w:pPr>
      <w:bookmarkStart w:id="765" w:name="_Toc122"/>
      <w:bookmarkStart w:id="766" w:name="_Toc27872"/>
      <w:r>
        <w:rPr>
          <w:rFonts w:hint="default"/>
          <w:color w:val="auto"/>
          <w:highlight w:val="none"/>
          <w:lang w:val="en-US" w:eastAsia="zh-CN"/>
        </w:rPr>
        <w:t>6.</w:t>
      </w:r>
      <w:r>
        <w:rPr>
          <w:rFonts w:hint="eastAsia"/>
          <w:color w:val="auto"/>
          <w:highlight w:val="none"/>
          <w:lang w:val="en-US" w:eastAsia="zh-CN"/>
        </w:rPr>
        <w:t>6</w:t>
      </w:r>
      <w:r>
        <w:rPr>
          <w:rFonts w:hint="default"/>
          <w:color w:val="auto"/>
          <w:highlight w:val="none"/>
          <w:lang w:val="en-US" w:eastAsia="zh-CN"/>
        </w:rPr>
        <w:t>.</w:t>
      </w:r>
      <w:r>
        <w:rPr>
          <w:rFonts w:hint="eastAsia"/>
          <w:color w:val="auto"/>
          <w:highlight w:val="none"/>
          <w:lang w:val="en-US" w:eastAsia="zh-CN"/>
        </w:rPr>
        <w:t xml:space="preserve">4 </w:t>
      </w:r>
      <w:r>
        <w:rPr>
          <w:rFonts w:hint="default"/>
          <w:color w:val="auto"/>
          <w:highlight w:val="none"/>
          <w:lang w:val="en-US" w:eastAsia="zh-CN"/>
        </w:rPr>
        <w:t>减污降碳措施及其可行性论证</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74768B46">
      <w:pPr>
        <w:bidi w:val="0"/>
        <w:rPr>
          <w:rFonts w:hint="default"/>
          <w:color w:val="auto"/>
          <w:highlight w:val="none"/>
        </w:rPr>
      </w:pPr>
      <w:r>
        <w:rPr>
          <w:rFonts w:hint="eastAsia"/>
          <w:color w:val="auto"/>
          <w:highlight w:val="none"/>
          <w:lang w:val="en-US" w:eastAsia="zh-CN"/>
        </w:rPr>
        <w:t>建设单位</w:t>
      </w:r>
      <w:r>
        <w:rPr>
          <w:rFonts w:hint="default"/>
          <w:color w:val="auto"/>
          <w:highlight w:val="none"/>
        </w:rPr>
        <w:t>拟在工艺系统、电气系统、建筑设备等方面采用一系列节能措施，可取得较为明显的节能降碳效果。</w:t>
      </w:r>
    </w:p>
    <w:p w14:paraId="2D4AB277">
      <w:pPr>
        <w:bidi w:val="0"/>
        <w:rPr>
          <w:rFonts w:hint="default"/>
          <w:color w:val="auto"/>
          <w:highlight w:val="none"/>
        </w:rPr>
      </w:pPr>
      <w:r>
        <w:rPr>
          <w:rFonts w:hint="default"/>
          <w:color w:val="auto"/>
          <w:highlight w:val="none"/>
        </w:rPr>
        <w:t>（1）工艺系统</w:t>
      </w:r>
    </w:p>
    <w:p w14:paraId="4A9D9319">
      <w:pPr>
        <w:bidi w:val="0"/>
        <w:rPr>
          <w:rFonts w:hint="default"/>
          <w:color w:val="auto"/>
          <w:highlight w:val="none"/>
        </w:rPr>
      </w:pPr>
      <w:r>
        <w:rPr>
          <w:rFonts w:hint="default"/>
          <w:color w:val="auto"/>
          <w:highlight w:val="none"/>
        </w:rPr>
        <w:t>①各生产装置设备均采用</w:t>
      </w:r>
      <w:r>
        <w:rPr>
          <w:rFonts w:hint="eastAsia"/>
          <w:color w:val="auto"/>
          <w:highlight w:val="none"/>
          <w:lang w:eastAsia="zh-CN"/>
        </w:rPr>
        <w:t>高效率</w:t>
      </w:r>
      <w:r>
        <w:rPr>
          <w:rFonts w:hint="default"/>
          <w:color w:val="auto"/>
          <w:highlight w:val="none"/>
        </w:rPr>
        <w:t>、低损耗、</w:t>
      </w:r>
      <w:r>
        <w:rPr>
          <w:rFonts w:hint="eastAsia"/>
          <w:color w:val="auto"/>
          <w:highlight w:val="none"/>
          <w:lang w:eastAsia="zh-CN"/>
        </w:rPr>
        <w:t>节能的产品</w:t>
      </w:r>
      <w:r>
        <w:rPr>
          <w:rFonts w:hint="default"/>
          <w:color w:val="auto"/>
          <w:highlight w:val="none"/>
        </w:rPr>
        <w:t>，注塑机、涂装线传动系统等选用高效节能电机，有效提高能源利用率，减少二氧化碳排放强度。②优化系统设计，提高生产装置运行经济性。</w:t>
      </w:r>
      <w:r>
        <w:rPr>
          <w:rFonts w:hint="eastAsia"/>
          <w:color w:val="auto"/>
          <w:highlight w:val="none"/>
          <w:lang w:eastAsia="zh-CN"/>
        </w:rPr>
        <w:t>在满足设备、系统安全</w:t>
      </w:r>
      <w:r>
        <w:rPr>
          <w:rFonts w:hint="default"/>
          <w:color w:val="auto"/>
          <w:highlight w:val="none"/>
        </w:rPr>
        <w:t>运行、方便检修的前提下</w:t>
      </w:r>
      <w:r>
        <w:rPr>
          <w:rFonts w:hint="eastAsia"/>
          <w:color w:val="auto"/>
          <w:highlight w:val="none"/>
          <w:lang w:eastAsia="zh-CN"/>
        </w:rPr>
        <w:t>，合理布置设备和系统，</w:t>
      </w:r>
      <w:r>
        <w:rPr>
          <w:rFonts w:hint="default"/>
          <w:color w:val="auto"/>
          <w:highlight w:val="none"/>
        </w:rPr>
        <w:t>做到</w:t>
      </w:r>
      <w:r>
        <w:rPr>
          <w:rFonts w:hint="eastAsia"/>
          <w:color w:val="auto"/>
          <w:highlight w:val="none"/>
          <w:lang w:eastAsia="zh-CN"/>
        </w:rPr>
        <w:t>布局</w:t>
      </w:r>
      <w:r>
        <w:rPr>
          <w:rFonts w:hint="default"/>
          <w:color w:val="auto"/>
          <w:highlight w:val="none"/>
        </w:rPr>
        <w:t>紧凑，减少各种介质的能量损失。③涂装工序优化喷漆、流平、烘干工艺参数，合理控制烘干温度和时间，减少天然气消耗；固化炉和RTO蓄热式焚烧炉选用高效蓄热体，提高热回收效率，降低天然气补燃量。④注塑工序选用高效节能注塑机，合理控制料筒温度和冷却时间，减少电力消耗；废气处理设施风机采用变频调速，根据实际风量需求调节运行频率，降低运行能耗。</w:t>
      </w:r>
    </w:p>
    <w:p w14:paraId="4199784D">
      <w:pPr>
        <w:bidi w:val="0"/>
        <w:rPr>
          <w:rFonts w:hint="default"/>
          <w:color w:val="auto"/>
          <w:highlight w:val="none"/>
        </w:rPr>
      </w:pPr>
      <w:r>
        <w:rPr>
          <w:rFonts w:hint="default"/>
          <w:color w:val="auto"/>
          <w:highlight w:val="none"/>
        </w:rPr>
        <w:t>（2）电气系统</w:t>
      </w:r>
    </w:p>
    <w:p w14:paraId="6C0D3120">
      <w:pPr>
        <w:bidi w:val="0"/>
        <w:rPr>
          <w:rFonts w:hint="default"/>
          <w:color w:val="auto"/>
          <w:highlight w:val="none"/>
        </w:rPr>
      </w:pPr>
      <w:r>
        <w:rPr>
          <w:rFonts w:hint="default"/>
          <w:color w:val="auto"/>
          <w:highlight w:val="none"/>
        </w:rPr>
        <w:t>①在厂用电设计中，选择优质、节能型、低损耗变压器，减少能量损失；合理对各段厂用母线进行负荷分配，对负荷较集中的辅助生产区域考虑就地设置专用变压器集中供电，减少电缆能耗；所有电动机均采用国家推荐的低耗高效产品。②照明选用节能型灯具，提高照明系统功率因数，合理设置分组开关，室外照明采用光控。③合理设计配电系统，避免大电流远距离配电，降低配电系统损耗。电源及重要回路选用铜芯电缆，优化电缆通道，减小电缆总长，降低电缆系统负载损耗。</w:t>
      </w:r>
    </w:p>
    <w:p w14:paraId="23CD4650">
      <w:pPr>
        <w:bidi w:val="0"/>
        <w:rPr>
          <w:rFonts w:hint="default"/>
          <w:color w:val="auto"/>
          <w:highlight w:val="none"/>
        </w:rPr>
      </w:pPr>
      <w:r>
        <w:rPr>
          <w:rFonts w:hint="default"/>
          <w:color w:val="auto"/>
          <w:highlight w:val="none"/>
        </w:rPr>
        <w:t>（</w:t>
      </w:r>
      <w:r>
        <w:rPr>
          <w:rFonts w:hint="eastAsia"/>
          <w:color w:val="auto"/>
          <w:highlight w:val="none"/>
          <w:lang w:val="en-US" w:eastAsia="zh-CN"/>
        </w:rPr>
        <w:t>3</w:t>
      </w:r>
      <w:r>
        <w:rPr>
          <w:rFonts w:hint="default"/>
          <w:color w:val="auto"/>
          <w:highlight w:val="none"/>
        </w:rPr>
        <w:t>）碳排放管理措施</w:t>
      </w:r>
    </w:p>
    <w:p w14:paraId="48E64341">
      <w:pPr>
        <w:bidi w:val="0"/>
        <w:rPr>
          <w:rFonts w:hint="default"/>
          <w:color w:val="auto"/>
          <w:highlight w:val="none"/>
        </w:rPr>
      </w:pPr>
      <w:r>
        <w:rPr>
          <w:rFonts w:hint="default"/>
          <w:color w:val="auto"/>
          <w:highlight w:val="none"/>
        </w:rPr>
        <w:t>①建立碳排放管理台账，记录天然气、电力等能源消耗数据，定期开展碳排放核算。②加强天然气热水炉、固化炉</w:t>
      </w:r>
      <w:r>
        <w:rPr>
          <w:rFonts w:hint="eastAsia"/>
          <w:color w:val="auto"/>
          <w:highlight w:val="none"/>
          <w:lang w:eastAsia="zh-CN"/>
        </w:rPr>
        <w:t>、</w:t>
      </w:r>
      <w:r>
        <w:rPr>
          <w:rFonts w:hint="default"/>
          <w:color w:val="auto"/>
          <w:highlight w:val="none"/>
        </w:rPr>
        <w:t>RTO蓄热式焚烧炉</w:t>
      </w:r>
      <w:r>
        <w:rPr>
          <w:rFonts w:hint="eastAsia"/>
          <w:color w:val="auto"/>
          <w:highlight w:val="none"/>
          <w:lang w:val="en-US" w:eastAsia="zh-CN"/>
        </w:rPr>
        <w:t>及热洁炉等设备</w:t>
      </w:r>
      <w:r>
        <w:rPr>
          <w:rFonts w:hint="default"/>
          <w:color w:val="auto"/>
          <w:highlight w:val="none"/>
        </w:rPr>
        <w:t>运行管理，定期检查燃烧设备，防止不完全燃烧和天然气泄漏。③加强废气处理设施运行维护，确保RTO、二级活性炭吸附装置等稳定运行，避免因设施故障导致额外能耗。④定期开展能源审计和节能诊断，持续挖掘节能降碳潜力。</w:t>
      </w:r>
    </w:p>
    <w:p w14:paraId="28201931">
      <w:pPr>
        <w:pStyle w:val="4"/>
        <w:numPr>
          <w:ilvl w:val="2"/>
          <w:numId w:val="0"/>
        </w:numPr>
        <w:tabs>
          <w:tab w:val="clear" w:pos="720"/>
        </w:tabs>
        <w:bidi w:val="0"/>
        <w:rPr>
          <w:rFonts w:hint="default"/>
          <w:color w:val="auto"/>
          <w:highlight w:val="none"/>
          <w:lang w:val="en-US" w:eastAsia="zh-CN"/>
        </w:rPr>
      </w:pPr>
      <w:bookmarkStart w:id="767" w:name="_Toc28547"/>
      <w:bookmarkStart w:id="768" w:name="_Toc13892"/>
      <w:bookmarkStart w:id="769" w:name="_Toc592"/>
      <w:bookmarkStart w:id="770" w:name="_Toc29200"/>
      <w:bookmarkStart w:id="771" w:name="_Toc26654"/>
      <w:bookmarkStart w:id="772" w:name="_Toc25770"/>
      <w:bookmarkStart w:id="773" w:name="_Toc14322"/>
      <w:bookmarkStart w:id="774" w:name="_Toc3290"/>
      <w:bookmarkStart w:id="775" w:name="_Toc25111"/>
      <w:bookmarkStart w:id="776" w:name="_Toc32131"/>
      <w:bookmarkStart w:id="777" w:name="_Toc29838"/>
      <w:bookmarkStart w:id="778" w:name="_Toc12375"/>
      <w:bookmarkStart w:id="779" w:name="_Toc31828"/>
      <w:bookmarkStart w:id="780" w:name="_Toc6271"/>
      <w:bookmarkStart w:id="781" w:name="_Toc29376"/>
      <w:bookmarkStart w:id="782" w:name="_Toc11665"/>
      <w:bookmarkStart w:id="783" w:name="_Toc13828"/>
      <w:bookmarkStart w:id="784" w:name="_Toc26342"/>
      <w:r>
        <w:rPr>
          <w:rFonts w:hint="default"/>
          <w:color w:val="auto"/>
          <w:highlight w:val="none"/>
          <w:lang w:val="en-US" w:eastAsia="zh-CN"/>
        </w:rPr>
        <w:t>6.</w:t>
      </w:r>
      <w:r>
        <w:rPr>
          <w:rFonts w:hint="eastAsia"/>
          <w:color w:val="auto"/>
          <w:highlight w:val="none"/>
          <w:lang w:val="en-US" w:eastAsia="zh-CN"/>
        </w:rPr>
        <w:t>6</w:t>
      </w:r>
      <w:r>
        <w:rPr>
          <w:rFonts w:hint="default"/>
          <w:color w:val="auto"/>
          <w:highlight w:val="none"/>
          <w:lang w:val="en-US" w:eastAsia="zh-CN"/>
        </w:rPr>
        <w:t>.</w:t>
      </w:r>
      <w:r>
        <w:rPr>
          <w:rFonts w:hint="eastAsia"/>
          <w:color w:val="auto"/>
          <w:highlight w:val="none"/>
          <w:lang w:val="en-US" w:eastAsia="zh-CN"/>
        </w:rPr>
        <w:t xml:space="preserve">5 </w:t>
      </w:r>
      <w:r>
        <w:rPr>
          <w:rFonts w:hint="default"/>
          <w:color w:val="auto"/>
          <w:highlight w:val="none"/>
          <w:lang w:val="en-US" w:eastAsia="zh-CN"/>
        </w:rPr>
        <w:t>碳排放管理与监测计划</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70EE234E">
      <w:pPr>
        <w:bidi w:val="0"/>
        <w:rPr>
          <w:rFonts w:hint="default"/>
          <w:color w:val="auto"/>
          <w:highlight w:val="none"/>
        </w:rPr>
      </w:pPr>
      <w:r>
        <w:rPr>
          <w:rFonts w:hint="default"/>
          <w:color w:val="auto"/>
          <w:highlight w:val="none"/>
        </w:rPr>
        <w:t>（1）组织管理</w:t>
      </w:r>
    </w:p>
    <w:p w14:paraId="6D7E802E">
      <w:pPr>
        <w:bidi w:val="0"/>
        <w:rPr>
          <w:rFonts w:hint="default"/>
          <w:color w:val="auto"/>
          <w:highlight w:val="none"/>
        </w:rPr>
      </w:pPr>
      <w:r>
        <w:rPr>
          <w:rFonts w:hint="default"/>
          <w:color w:val="auto"/>
          <w:highlight w:val="none"/>
        </w:rPr>
        <w:t>①建立制度</w:t>
      </w:r>
    </w:p>
    <w:p w14:paraId="4EAA1F87">
      <w:pPr>
        <w:bidi w:val="0"/>
        <w:rPr>
          <w:rFonts w:hint="default"/>
          <w:color w:val="auto"/>
          <w:highlight w:val="none"/>
        </w:rPr>
      </w:pPr>
      <w:r>
        <w:rPr>
          <w:rFonts w:hint="default"/>
          <w:color w:val="auto"/>
          <w:highlight w:val="none"/>
        </w:rPr>
        <w:t>为规范企业碳管理工作，结合自身生产管理实际情况，建立碳管理制度，包括但不限于建立企业碳管理工作组织体系；明确各岗位职责及权限范围；明确战略管理、碳排放管理、碳资产管理、信息公开等具体内容；明确各事项审批流程及时限；明确管理制度的时效性。</w:t>
      </w:r>
    </w:p>
    <w:p w14:paraId="3FC15053">
      <w:pPr>
        <w:bidi w:val="0"/>
        <w:rPr>
          <w:rFonts w:hint="default"/>
          <w:color w:val="auto"/>
          <w:highlight w:val="none"/>
        </w:rPr>
      </w:pPr>
      <w:r>
        <w:rPr>
          <w:rFonts w:hint="default"/>
          <w:color w:val="auto"/>
          <w:highlight w:val="none"/>
        </w:rPr>
        <w:t>②能力培养</w:t>
      </w:r>
    </w:p>
    <w:p w14:paraId="6013D192">
      <w:pPr>
        <w:bidi w:val="0"/>
        <w:rPr>
          <w:rFonts w:hint="default"/>
          <w:color w:val="auto"/>
          <w:highlight w:val="none"/>
        </w:rPr>
      </w:pPr>
      <w:r>
        <w:rPr>
          <w:rFonts w:hint="default"/>
          <w:color w:val="auto"/>
          <w:highlight w:val="none"/>
        </w:rPr>
        <w:t>为确保企业碳管理工作人员具备相应能力，企业应开展以下工作：通过教育、培训、技能和经验交流，确保从事碳管理有关工作人员具备相应的能力，并保存相关记录；对与碳管理工作有重大影响的人员进行岗位专业技能培训，并保存培训记录；企业可选择外派培训、内部培训和横向交流等方式开展培训工作。</w:t>
      </w:r>
    </w:p>
    <w:p w14:paraId="56931B2B">
      <w:pPr>
        <w:bidi w:val="0"/>
        <w:rPr>
          <w:rFonts w:hint="default"/>
          <w:color w:val="auto"/>
          <w:highlight w:val="none"/>
        </w:rPr>
      </w:pPr>
      <w:r>
        <w:rPr>
          <w:rFonts w:hint="default"/>
          <w:color w:val="auto"/>
          <w:highlight w:val="none"/>
        </w:rPr>
        <w:t>③意识培养</w:t>
      </w:r>
    </w:p>
    <w:p w14:paraId="70ED9657">
      <w:pPr>
        <w:bidi w:val="0"/>
        <w:rPr>
          <w:rFonts w:hint="default"/>
          <w:color w:val="auto"/>
          <w:highlight w:val="none"/>
        </w:rPr>
      </w:pPr>
      <w:r>
        <w:rPr>
          <w:rFonts w:hint="default"/>
          <w:color w:val="auto"/>
          <w:highlight w:val="none"/>
        </w:rPr>
        <w:t>企业应采取措施，使全体人员都意识到：实施企业碳管理工作的重要性；降低碳排放、提高碳排放绩效给企业带来的效益，以及个人工作改进能带来的碳排放绩效；偏离碳管理制度规定运行程序的潜在后果。</w:t>
      </w:r>
    </w:p>
    <w:p w14:paraId="7620276E">
      <w:pPr>
        <w:bidi w:val="0"/>
        <w:rPr>
          <w:rFonts w:hint="default"/>
          <w:color w:val="auto"/>
          <w:highlight w:val="none"/>
        </w:rPr>
      </w:pPr>
      <w:r>
        <w:rPr>
          <w:rFonts w:hint="default"/>
          <w:color w:val="auto"/>
          <w:highlight w:val="none"/>
        </w:rPr>
        <w:t>（2）排放管理</w:t>
      </w:r>
    </w:p>
    <w:p w14:paraId="2BC89714">
      <w:pPr>
        <w:bidi w:val="0"/>
        <w:rPr>
          <w:rFonts w:hint="default"/>
          <w:color w:val="auto"/>
          <w:highlight w:val="none"/>
        </w:rPr>
      </w:pPr>
      <w:r>
        <w:rPr>
          <w:rFonts w:hint="default"/>
          <w:color w:val="auto"/>
          <w:highlight w:val="none"/>
        </w:rPr>
        <w:t>①监测管理</w:t>
      </w:r>
    </w:p>
    <w:p w14:paraId="33FAF4DD">
      <w:pPr>
        <w:bidi w:val="0"/>
        <w:rPr>
          <w:rFonts w:hint="default"/>
          <w:color w:val="auto"/>
          <w:highlight w:val="none"/>
        </w:rPr>
      </w:pPr>
      <w:r>
        <w:rPr>
          <w:rFonts w:hint="default"/>
          <w:color w:val="auto"/>
          <w:highlight w:val="none"/>
        </w:rPr>
        <w:t>企业应根据自身的生产工艺以及国家相关部门发布的技术指南等</w:t>
      </w:r>
      <w:r>
        <w:rPr>
          <w:rFonts w:hint="default"/>
          <w:color w:val="auto"/>
          <w:highlight w:val="none"/>
          <w:lang w:eastAsia="zh-CN"/>
        </w:rPr>
        <w:t>有关</w:t>
      </w:r>
      <w:r>
        <w:rPr>
          <w:rFonts w:hint="default"/>
          <w:color w:val="auto"/>
          <w:highlight w:val="none"/>
        </w:rPr>
        <w:t>要求，确保对运行</w:t>
      </w:r>
      <w:r>
        <w:rPr>
          <w:rFonts w:hint="eastAsia"/>
          <w:color w:val="auto"/>
          <w:highlight w:val="none"/>
          <w:lang w:eastAsia="zh-CN"/>
        </w:rPr>
        <w:t>中</w:t>
      </w:r>
      <w:r>
        <w:rPr>
          <w:rFonts w:hint="default"/>
          <w:color w:val="auto"/>
          <w:highlight w:val="none"/>
        </w:rPr>
        <w:t>决定碳排放绩效的关键特性进行定期监视、测量和分析，关键特性至少应包括但不限于：排放源设施、各碳源流数据、具备实测条件的与排放因子相关的数据、碳排放相关数据和生产相关数据</w:t>
      </w:r>
      <w:r>
        <w:rPr>
          <w:rFonts w:hint="eastAsia"/>
          <w:color w:val="auto"/>
          <w:highlight w:val="none"/>
          <w:lang w:eastAsia="zh-CN"/>
        </w:rPr>
        <w:t>的获取</w:t>
      </w:r>
      <w:r>
        <w:rPr>
          <w:rFonts w:hint="default"/>
          <w:color w:val="auto"/>
          <w:highlight w:val="none"/>
        </w:rPr>
        <w:t>方式、数据的准确性。</w:t>
      </w:r>
    </w:p>
    <w:p w14:paraId="71BA8F1A">
      <w:pPr>
        <w:bidi w:val="0"/>
        <w:rPr>
          <w:rFonts w:hint="default"/>
          <w:color w:val="auto"/>
          <w:highlight w:val="none"/>
        </w:rPr>
      </w:pPr>
      <w:r>
        <w:rPr>
          <w:rFonts w:hint="default"/>
          <w:color w:val="auto"/>
          <w:highlight w:val="none"/>
        </w:rPr>
        <w:t>企业应对监视和测量获取的相关数据进行分析，应开展以下工作：</w:t>
      </w:r>
    </w:p>
    <w:p w14:paraId="5C0905E8">
      <w:pPr>
        <w:bidi w:val="0"/>
        <w:rPr>
          <w:rFonts w:hint="default"/>
          <w:color w:val="auto"/>
          <w:highlight w:val="none"/>
        </w:rPr>
      </w:pPr>
      <w:r>
        <w:rPr>
          <w:rFonts w:hint="eastAsia"/>
          <w:color w:val="auto"/>
          <w:highlight w:val="none"/>
          <w:lang w:val="en-US" w:eastAsia="zh-CN"/>
        </w:rPr>
        <w:t>a</w:t>
      </w:r>
      <w:r>
        <w:rPr>
          <w:rFonts w:hint="eastAsia"/>
          <w:color w:val="auto"/>
          <w:highlight w:val="none"/>
          <w:lang w:eastAsia="zh-CN"/>
        </w:rPr>
        <w:t>）</w:t>
      </w:r>
      <w:r>
        <w:rPr>
          <w:rFonts w:hint="default"/>
          <w:color w:val="auto"/>
          <w:highlight w:val="none"/>
        </w:rPr>
        <w:t>规范碳排放数据的整理和分析；</w:t>
      </w:r>
    </w:p>
    <w:p w14:paraId="01FC60CF">
      <w:pPr>
        <w:bidi w:val="0"/>
        <w:rPr>
          <w:rFonts w:hint="default"/>
          <w:color w:val="auto"/>
          <w:highlight w:val="none"/>
        </w:rPr>
      </w:pPr>
      <w:r>
        <w:rPr>
          <w:rFonts w:hint="default"/>
          <w:color w:val="auto"/>
          <w:highlight w:val="none"/>
        </w:rPr>
        <w:t>b</w:t>
      </w:r>
      <w:r>
        <w:rPr>
          <w:rFonts w:hint="eastAsia"/>
          <w:color w:val="auto"/>
          <w:highlight w:val="none"/>
          <w:lang w:eastAsia="zh-CN"/>
        </w:rPr>
        <w:t>）</w:t>
      </w:r>
      <w:r>
        <w:rPr>
          <w:rFonts w:hint="default"/>
          <w:color w:val="auto"/>
          <w:highlight w:val="none"/>
        </w:rPr>
        <w:t>对数据来源进行分类整理；</w:t>
      </w:r>
    </w:p>
    <w:p w14:paraId="2A371E57">
      <w:pPr>
        <w:bidi w:val="0"/>
        <w:rPr>
          <w:rFonts w:hint="default"/>
          <w:color w:val="auto"/>
          <w:highlight w:val="none"/>
        </w:rPr>
      </w:pPr>
      <w:r>
        <w:rPr>
          <w:rFonts w:hint="default"/>
          <w:color w:val="auto"/>
          <w:highlight w:val="none"/>
        </w:rPr>
        <w:t>c</w:t>
      </w:r>
      <w:r>
        <w:rPr>
          <w:rFonts w:hint="eastAsia"/>
          <w:color w:val="auto"/>
          <w:highlight w:val="none"/>
          <w:lang w:eastAsia="zh-CN"/>
        </w:rPr>
        <w:t>）</w:t>
      </w:r>
      <w:r>
        <w:rPr>
          <w:rFonts w:hint="default"/>
          <w:color w:val="auto"/>
          <w:highlight w:val="none"/>
        </w:rPr>
        <w:t>对排放因子及相关参数的监测数据进行分类整理；</w:t>
      </w:r>
    </w:p>
    <w:p w14:paraId="3C071729">
      <w:pPr>
        <w:bidi w:val="0"/>
        <w:rPr>
          <w:rFonts w:hint="default"/>
          <w:color w:val="auto"/>
          <w:highlight w:val="none"/>
        </w:rPr>
      </w:pPr>
      <w:r>
        <w:rPr>
          <w:rFonts w:hint="default"/>
          <w:color w:val="auto"/>
          <w:highlight w:val="none"/>
        </w:rPr>
        <w:t>d</w:t>
      </w:r>
      <w:r>
        <w:rPr>
          <w:rFonts w:hint="eastAsia"/>
          <w:color w:val="auto"/>
          <w:highlight w:val="none"/>
          <w:lang w:eastAsia="zh-CN"/>
        </w:rPr>
        <w:t>）</w:t>
      </w:r>
      <w:r>
        <w:rPr>
          <w:rFonts w:hint="default"/>
          <w:color w:val="auto"/>
          <w:highlight w:val="none"/>
        </w:rPr>
        <w:t>对数据进行处理并进行统计分析；</w:t>
      </w:r>
    </w:p>
    <w:p w14:paraId="38B8C804">
      <w:pPr>
        <w:bidi w:val="0"/>
        <w:rPr>
          <w:rFonts w:hint="default"/>
          <w:color w:val="auto"/>
          <w:highlight w:val="none"/>
        </w:rPr>
      </w:pPr>
      <w:r>
        <w:rPr>
          <w:rFonts w:hint="default"/>
          <w:color w:val="auto"/>
          <w:highlight w:val="none"/>
        </w:rPr>
        <w:t>e</w:t>
      </w:r>
      <w:r>
        <w:rPr>
          <w:rFonts w:hint="eastAsia"/>
          <w:color w:val="auto"/>
          <w:highlight w:val="none"/>
          <w:lang w:eastAsia="zh-CN"/>
        </w:rPr>
        <w:t>）</w:t>
      </w:r>
      <w:r>
        <w:rPr>
          <w:rFonts w:hint="default"/>
          <w:color w:val="auto"/>
          <w:highlight w:val="none"/>
        </w:rPr>
        <w:t>形成数据分析报告并存档。</w:t>
      </w:r>
    </w:p>
    <w:p w14:paraId="5E18ADF1">
      <w:pPr>
        <w:bidi w:val="0"/>
        <w:rPr>
          <w:rFonts w:hint="default"/>
          <w:color w:val="auto"/>
          <w:highlight w:val="none"/>
        </w:rPr>
      </w:pPr>
      <w:r>
        <w:rPr>
          <w:rFonts w:hint="default"/>
          <w:color w:val="auto"/>
          <w:highlight w:val="none"/>
        </w:rPr>
        <w:t>②报告管理</w:t>
      </w:r>
    </w:p>
    <w:p w14:paraId="43F4307E">
      <w:pPr>
        <w:bidi w:val="0"/>
        <w:rPr>
          <w:rFonts w:hint="default"/>
          <w:color w:val="auto"/>
          <w:highlight w:val="none"/>
        </w:rPr>
      </w:pPr>
      <w:r>
        <w:rPr>
          <w:rFonts w:hint="default"/>
          <w:color w:val="auto"/>
          <w:highlight w:val="none"/>
        </w:rPr>
        <w:t>企业应基于碳排放核算的结果编写碳排放报告，并对其进行校核。</w:t>
      </w:r>
    </w:p>
    <w:p w14:paraId="7CC96A57">
      <w:pPr>
        <w:bidi w:val="0"/>
        <w:rPr>
          <w:rFonts w:hint="default"/>
          <w:color w:val="auto"/>
          <w:highlight w:val="none"/>
        </w:rPr>
      </w:pPr>
      <w:r>
        <w:rPr>
          <w:rFonts w:hint="default"/>
          <w:color w:val="auto"/>
          <w:highlight w:val="none"/>
        </w:rPr>
        <w:t>核算报告编写应符合主管部门所规定的格式要求，对经过内部质量控制的核算结果进行确认形成最终企业盖章的碳排放报告，并按要求提交给主管部门1份，本企业存档1份。</w:t>
      </w:r>
    </w:p>
    <w:p w14:paraId="7AE6E1E7">
      <w:pPr>
        <w:bidi w:val="0"/>
        <w:rPr>
          <w:rFonts w:hint="default"/>
          <w:color w:val="auto"/>
          <w:highlight w:val="none"/>
        </w:rPr>
      </w:pPr>
      <w:r>
        <w:rPr>
          <w:rFonts w:hint="default"/>
          <w:color w:val="auto"/>
          <w:highlight w:val="none"/>
        </w:rPr>
        <w:t>（3）信息公开</w:t>
      </w:r>
    </w:p>
    <w:p w14:paraId="68AC0DD5">
      <w:pPr>
        <w:bidi w:val="0"/>
        <w:rPr>
          <w:rFonts w:hint="default"/>
          <w:color w:val="auto"/>
          <w:highlight w:val="none"/>
        </w:rPr>
      </w:pPr>
      <w:r>
        <w:rPr>
          <w:rFonts w:hint="default"/>
          <w:color w:val="auto"/>
          <w:highlight w:val="none"/>
        </w:rPr>
        <w:t>企业应按照主管部门相关要求和规定，核算并上报企业碳排放情况。鼓励企业选择合适的自发性披露管道和方式，面向社会发布企业碳排放情况。</w:t>
      </w:r>
    </w:p>
    <w:bookmarkEnd w:id="726"/>
    <w:bookmarkEnd w:id="727"/>
    <w:bookmarkEnd w:id="728"/>
    <w:p w14:paraId="3995A731">
      <w:pPr>
        <w:pStyle w:val="3"/>
        <w:numPr>
          <w:ilvl w:val="1"/>
          <w:numId w:val="0"/>
        </w:numPr>
        <w:bidi w:val="0"/>
        <w:rPr>
          <w:rFonts w:hint="default"/>
          <w:color w:val="auto"/>
          <w:highlight w:val="none"/>
          <w:lang w:val="en-US"/>
        </w:rPr>
      </w:pPr>
      <w:bookmarkStart w:id="785" w:name="_Toc19280"/>
      <w:bookmarkStart w:id="786" w:name="_Toc17132"/>
      <w:bookmarkStart w:id="787" w:name="_Toc15502"/>
      <w:bookmarkStart w:id="788" w:name="_Toc13703"/>
      <w:bookmarkStart w:id="789" w:name="_Toc13805"/>
      <w:bookmarkStart w:id="790" w:name="_Toc5230"/>
      <w:bookmarkStart w:id="791" w:name="_Toc24211"/>
      <w:bookmarkStart w:id="792" w:name="_Toc30499"/>
      <w:bookmarkStart w:id="793" w:name="_Toc8179"/>
      <w:bookmarkStart w:id="794" w:name="_Toc5822"/>
      <w:r>
        <w:rPr>
          <w:color w:val="auto"/>
          <w:highlight w:val="none"/>
        </w:rPr>
        <w:t>6.</w:t>
      </w:r>
      <w:r>
        <w:rPr>
          <w:rFonts w:hint="eastAsia"/>
          <w:color w:val="auto"/>
          <w:highlight w:val="none"/>
          <w:lang w:val="en-US" w:eastAsia="zh-CN"/>
        </w:rPr>
        <w:t>7 环境风险评价</w:t>
      </w:r>
      <w:bookmarkEnd w:id="785"/>
      <w:bookmarkEnd w:id="786"/>
      <w:bookmarkEnd w:id="787"/>
      <w:bookmarkEnd w:id="788"/>
      <w:bookmarkEnd w:id="789"/>
      <w:bookmarkEnd w:id="790"/>
      <w:bookmarkEnd w:id="791"/>
      <w:bookmarkEnd w:id="792"/>
      <w:r>
        <w:rPr>
          <w:rFonts w:hint="eastAsia"/>
          <w:color w:val="auto"/>
          <w:highlight w:val="none"/>
          <w:lang w:val="en-US" w:eastAsia="zh-CN"/>
        </w:rPr>
        <w:t>结论</w:t>
      </w:r>
      <w:bookmarkEnd w:id="793"/>
      <w:bookmarkEnd w:id="794"/>
    </w:p>
    <w:p w14:paraId="5CB7C19F">
      <w:pPr>
        <w:bidi w:val="0"/>
        <w:rPr>
          <w:rFonts w:hint="eastAsia"/>
          <w:color w:val="auto"/>
          <w:highlight w:val="none"/>
        </w:rPr>
      </w:pPr>
      <w:r>
        <w:rPr>
          <w:rFonts w:hint="eastAsia"/>
          <w:color w:val="auto"/>
          <w:highlight w:val="none"/>
        </w:rPr>
        <w:t>依据《建设项目环境风险评价技术导则》（HJ 169-2018），本项目环境风险潜势为</w:t>
      </w:r>
      <w:r>
        <w:rPr>
          <w:rFonts w:hint="default" w:ascii="Times New Roman" w:hAnsi="Times New Roman" w:cs="Times New Roman"/>
          <w:color w:val="auto"/>
          <w:highlight w:val="none"/>
        </w:rPr>
        <w:t>Ⅰ</w:t>
      </w:r>
      <w:r>
        <w:rPr>
          <w:rFonts w:hint="eastAsia"/>
          <w:color w:val="auto"/>
          <w:highlight w:val="none"/>
        </w:rPr>
        <w:t>，进行简单分析。本项目主要环境风险类型包括：涂料（底漆、色漆和清漆）、稀释剂、固化剂、清洗剂及废清洗剂等泄漏污染土壤和地下水；润滑油及废润滑油泄漏；火灾、爆炸引发的次生/伴生污染物排放；天然气管道泄漏引发的火灾、爆炸事故；以及废气处理设施事故排放等。其中，涂料及配套稀释剂、固化剂、清洗剂中所含的二甲苯、乙酸丁酯，以及废润滑油和天然气为本项目主要危险物质，一旦发生泄漏或事故排放，可能对厂区周边居民区、地表水及地下水等敏感目标造成影响。</w:t>
      </w:r>
    </w:p>
    <w:p w14:paraId="16A3E54E">
      <w:pPr>
        <w:bidi w:val="0"/>
        <w:rPr>
          <w:rFonts w:hint="eastAsia"/>
          <w:color w:val="auto"/>
          <w:highlight w:val="none"/>
        </w:rPr>
      </w:pPr>
      <w:r>
        <w:rPr>
          <w:rFonts w:hint="eastAsia"/>
          <w:color w:val="auto"/>
          <w:highlight w:val="none"/>
        </w:rPr>
        <w:t>为将环境风险降至最低，建设单位应加强</w:t>
      </w:r>
      <w:r>
        <w:rPr>
          <w:rFonts w:hint="eastAsia"/>
          <w:color w:val="auto"/>
          <w:highlight w:val="none"/>
          <w:lang w:eastAsia="zh-CN"/>
        </w:rPr>
        <w:t>调漆房</w:t>
      </w:r>
      <w:r>
        <w:rPr>
          <w:rFonts w:hint="eastAsia"/>
          <w:color w:val="auto"/>
          <w:highlight w:val="none"/>
        </w:rPr>
        <w:t>、</w:t>
      </w:r>
      <w:r>
        <w:rPr>
          <w:rFonts w:hint="eastAsia"/>
          <w:color w:val="auto"/>
          <w:highlight w:val="none"/>
          <w:lang w:val="en-US" w:eastAsia="zh-CN"/>
        </w:rPr>
        <w:t>辅料</w:t>
      </w:r>
      <w:r>
        <w:rPr>
          <w:rFonts w:hint="eastAsia"/>
          <w:color w:val="auto"/>
          <w:highlight w:val="none"/>
        </w:rPr>
        <w:t>仓库及危废贮存库</w:t>
      </w:r>
      <w:r>
        <w:rPr>
          <w:rFonts w:hint="eastAsia"/>
          <w:color w:val="auto"/>
          <w:highlight w:val="none"/>
          <w:lang w:val="en-US" w:eastAsia="zh-CN"/>
        </w:rPr>
        <w:t>等</w:t>
      </w:r>
      <w:r>
        <w:rPr>
          <w:rFonts w:hint="eastAsia"/>
          <w:color w:val="auto"/>
          <w:highlight w:val="none"/>
        </w:rPr>
        <w:t>的监管，设置防泄漏托盘和禁火标志，定期检查容器完好性；涂料（底漆、色漆和清漆）、稀释剂、固化剂、清洗剂等分类存放，远离热源；加</w:t>
      </w:r>
      <w:r>
        <w:rPr>
          <w:rFonts w:hint="eastAsia"/>
          <w:color w:val="auto"/>
          <w:highlight w:val="none"/>
          <w:lang w:eastAsia="zh-CN"/>
        </w:rPr>
        <w:t>强对</w:t>
      </w:r>
      <w:r>
        <w:rPr>
          <w:rFonts w:hint="eastAsia"/>
          <w:color w:val="auto"/>
          <w:highlight w:val="none"/>
        </w:rPr>
        <w:t>废气处理设施及天然气管道的日常巡查，确保设施正常运行。同时制定环境风险应急预案，定期组织培训演练，与应急、生态环境、消防部门建立联动机制，健全管理规程，加强职工安全教育。通过落实上述措施，本项目环境风险可控制在可接受水平。</w:t>
      </w:r>
    </w:p>
    <w:p w14:paraId="458E9EAA">
      <w:pPr>
        <w:bidi w:val="0"/>
        <w:rPr>
          <w:color w:val="auto"/>
          <w:highlight w:val="none"/>
        </w:rPr>
      </w:pPr>
      <w:r>
        <w:rPr>
          <w:color w:val="auto"/>
          <w:highlight w:val="none"/>
        </w:rPr>
        <w:t>项目环境风险评价自查表见下表。</w:t>
      </w:r>
    </w:p>
    <w:p w14:paraId="7A51B67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表6.</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建设项目环境风险简单分析内容表</w:t>
      </w:r>
    </w:p>
    <w:tbl>
      <w:tblPr>
        <w:tblStyle w:val="80"/>
        <w:tblW w:w="917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1244"/>
        <w:gridCol w:w="2091"/>
        <w:gridCol w:w="1276"/>
        <w:gridCol w:w="2546"/>
      </w:tblGrid>
      <w:tr w14:paraId="3CEC9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2018" w:type="dxa"/>
            <w:tcBorders>
              <w:tl2br w:val="nil"/>
              <w:tr2bl w:val="nil"/>
            </w:tcBorders>
            <w:noWrap w:val="0"/>
            <w:vAlign w:val="center"/>
          </w:tcPr>
          <w:p w14:paraId="5AA0F545">
            <w:pPr>
              <w:pStyle w:val="1405"/>
              <w:bidi w:val="0"/>
              <w:rPr>
                <w:color w:val="auto"/>
                <w:highlight w:val="none"/>
              </w:rPr>
            </w:pPr>
            <w:r>
              <w:rPr>
                <w:color w:val="auto"/>
                <w:highlight w:val="none"/>
              </w:rPr>
              <w:t>建设项目名称</w:t>
            </w:r>
          </w:p>
        </w:tc>
        <w:tc>
          <w:tcPr>
            <w:tcW w:w="7157" w:type="dxa"/>
            <w:gridSpan w:val="4"/>
            <w:tcBorders>
              <w:tl2br w:val="nil"/>
              <w:tr2bl w:val="nil"/>
            </w:tcBorders>
            <w:noWrap w:val="0"/>
            <w:vAlign w:val="center"/>
          </w:tcPr>
          <w:p w14:paraId="49816DCF">
            <w:pPr>
              <w:pStyle w:val="1405"/>
              <w:bidi w:val="0"/>
              <w:rPr>
                <w:color w:val="auto"/>
                <w:highlight w:val="none"/>
              </w:rPr>
            </w:pPr>
            <w:r>
              <w:rPr>
                <w:rFonts w:hint="eastAsia"/>
                <w:color w:val="auto"/>
                <w:highlight w:val="none"/>
                <w:lang w:eastAsia="zh-CN"/>
              </w:rPr>
              <w:t>福州日源汽车零部件加工生产项目</w:t>
            </w:r>
          </w:p>
        </w:tc>
      </w:tr>
      <w:tr w14:paraId="731D4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6" w:hRule="exact"/>
        </w:trPr>
        <w:tc>
          <w:tcPr>
            <w:tcW w:w="2018" w:type="dxa"/>
            <w:tcBorders>
              <w:tl2br w:val="nil"/>
              <w:tr2bl w:val="nil"/>
            </w:tcBorders>
            <w:noWrap w:val="0"/>
            <w:vAlign w:val="center"/>
          </w:tcPr>
          <w:p w14:paraId="7A141AD3">
            <w:pPr>
              <w:pStyle w:val="1405"/>
              <w:bidi w:val="0"/>
              <w:rPr>
                <w:color w:val="auto"/>
                <w:highlight w:val="none"/>
              </w:rPr>
            </w:pPr>
            <w:r>
              <w:rPr>
                <w:color w:val="auto"/>
                <w:highlight w:val="none"/>
              </w:rPr>
              <w:t>建设地点</w:t>
            </w:r>
          </w:p>
        </w:tc>
        <w:tc>
          <w:tcPr>
            <w:tcW w:w="1244" w:type="dxa"/>
            <w:tcBorders>
              <w:tl2br w:val="nil"/>
              <w:tr2bl w:val="nil"/>
            </w:tcBorders>
            <w:noWrap w:val="0"/>
            <w:vAlign w:val="center"/>
          </w:tcPr>
          <w:p w14:paraId="7C766DEC">
            <w:pPr>
              <w:pStyle w:val="1405"/>
              <w:bidi w:val="0"/>
              <w:rPr>
                <w:color w:val="auto"/>
                <w:highlight w:val="none"/>
              </w:rPr>
            </w:pPr>
            <w:r>
              <w:rPr>
                <w:color w:val="auto"/>
                <w:highlight w:val="none"/>
              </w:rPr>
              <w:t>（福建）省</w:t>
            </w:r>
          </w:p>
        </w:tc>
        <w:tc>
          <w:tcPr>
            <w:tcW w:w="2091" w:type="dxa"/>
            <w:tcBorders>
              <w:tl2br w:val="nil"/>
              <w:tr2bl w:val="nil"/>
            </w:tcBorders>
            <w:noWrap w:val="0"/>
            <w:vAlign w:val="center"/>
          </w:tcPr>
          <w:p w14:paraId="5CB69153">
            <w:pPr>
              <w:pStyle w:val="1405"/>
              <w:bidi w:val="0"/>
              <w:rPr>
                <w:color w:val="auto"/>
                <w:highlight w:val="none"/>
              </w:rPr>
            </w:pPr>
            <w:r>
              <w:rPr>
                <w:color w:val="auto"/>
                <w:highlight w:val="none"/>
              </w:rPr>
              <w:t>（</w:t>
            </w:r>
            <w:r>
              <w:rPr>
                <w:rFonts w:hint="eastAsia"/>
                <w:color w:val="auto"/>
                <w:highlight w:val="none"/>
                <w:lang w:val="en-US" w:eastAsia="zh-CN"/>
              </w:rPr>
              <w:t>福州</w:t>
            </w:r>
            <w:r>
              <w:rPr>
                <w:color w:val="auto"/>
                <w:highlight w:val="none"/>
              </w:rPr>
              <w:t>）市</w:t>
            </w:r>
          </w:p>
        </w:tc>
        <w:tc>
          <w:tcPr>
            <w:tcW w:w="1276" w:type="dxa"/>
            <w:tcBorders>
              <w:tl2br w:val="nil"/>
              <w:tr2bl w:val="nil"/>
            </w:tcBorders>
            <w:noWrap w:val="0"/>
            <w:vAlign w:val="center"/>
          </w:tcPr>
          <w:p w14:paraId="2BFCC530">
            <w:pPr>
              <w:pStyle w:val="1405"/>
              <w:bidi w:val="0"/>
              <w:rPr>
                <w:rFonts w:hint="default"/>
                <w:color w:val="auto"/>
                <w:highlight w:val="none"/>
                <w:lang w:val="en-US" w:eastAsia="zh-CN"/>
              </w:rPr>
            </w:pPr>
            <w:r>
              <w:rPr>
                <w:rFonts w:hint="eastAsia"/>
                <w:color w:val="auto"/>
                <w:highlight w:val="none"/>
                <w:lang w:val="en-US" w:eastAsia="zh-CN"/>
              </w:rPr>
              <w:t>（闽侯）县</w:t>
            </w:r>
          </w:p>
        </w:tc>
        <w:tc>
          <w:tcPr>
            <w:tcW w:w="2546" w:type="dxa"/>
            <w:tcBorders>
              <w:tl2br w:val="nil"/>
              <w:tr2bl w:val="nil"/>
            </w:tcBorders>
            <w:noWrap w:val="0"/>
            <w:vAlign w:val="center"/>
          </w:tcPr>
          <w:p w14:paraId="16C64A72">
            <w:pPr>
              <w:pStyle w:val="1405"/>
              <w:bidi w:val="0"/>
              <w:rPr>
                <w:rFonts w:hint="default"/>
                <w:color w:val="auto"/>
                <w:highlight w:val="none"/>
                <w:lang w:val="en-US" w:eastAsia="zh-CN"/>
              </w:rPr>
            </w:pPr>
            <w:r>
              <w:rPr>
                <w:rFonts w:hint="eastAsia"/>
                <w:color w:val="auto"/>
                <w:highlight w:val="none"/>
                <w:lang w:val="en-US" w:eastAsia="zh-CN"/>
              </w:rPr>
              <w:t>福建省福州市闽侯县青口镇祥宏南路1366号办公楼、A库厂房、B库厂房</w:t>
            </w:r>
          </w:p>
        </w:tc>
      </w:tr>
      <w:tr w14:paraId="76BE6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3" w:hRule="exact"/>
        </w:trPr>
        <w:tc>
          <w:tcPr>
            <w:tcW w:w="2018" w:type="dxa"/>
            <w:tcBorders>
              <w:tl2br w:val="nil"/>
              <w:tr2bl w:val="nil"/>
            </w:tcBorders>
            <w:noWrap w:val="0"/>
            <w:vAlign w:val="center"/>
          </w:tcPr>
          <w:p w14:paraId="19127845">
            <w:pPr>
              <w:pStyle w:val="1405"/>
              <w:bidi w:val="0"/>
              <w:rPr>
                <w:color w:val="auto"/>
                <w:highlight w:val="none"/>
              </w:rPr>
            </w:pPr>
            <w:r>
              <w:rPr>
                <w:rFonts w:hint="eastAsia"/>
                <w:color w:val="auto"/>
                <w:highlight w:val="none"/>
                <w:lang w:val="en-US" w:eastAsia="zh-CN"/>
              </w:rPr>
              <w:t>中心</w:t>
            </w:r>
            <w:r>
              <w:rPr>
                <w:color w:val="auto"/>
                <w:highlight w:val="none"/>
              </w:rPr>
              <w:t>地理坐标</w:t>
            </w:r>
          </w:p>
        </w:tc>
        <w:tc>
          <w:tcPr>
            <w:tcW w:w="1244" w:type="dxa"/>
            <w:tcBorders>
              <w:tl2br w:val="nil"/>
              <w:tr2bl w:val="nil"/>
            </w:tcBorders>
            <w:noWrap w:val="0"/>
            <w:vAlign w:val="center"/>
          </w:tcPr>
          <w:p w14:paraId="594AD0DA">
            <w:pPr>
              <w:pStyle w:val="1405"/>
              <w:bidi w:val="0"/>
              <w:rPr>
                <w:color w:val="auto"/>
                <w:highlight w:val="none"/>
              </w:rPr>
            </w:pPr>
            <w:r>
              <w:rPr>
                <w:color w:val="auto"/>
                <w:highlight w:val="none"/>
              </w:rPr>
              <w:t>经度</w:t>
            </w:r>
          </w:p>
        </w:tc>
        <w:tc>
          <w:tcPr>
            <w:tcW w:w="2091" w:type="dxa"/>
            <w:tcBorders>
              <w:tl2br w:val="nil"/>
              <w:tr2bl w:val="nil"/>
            </w:tcBorders>
            <w:noWrap w:val="0"/>
            <w:vAlign w:val="center"/>
          </w:tcPr>
          <w:p w14:paraId="25A95B7E">
            <w:pPr>
              <w:pStyle w:val="1405"/>
              <w:bidi w:val="0"/>
              <w:rPr>
                <w:color w:val="auto"/>
                <w:highlight w:val="none"/>
              </w:rPr>
            </w:pPr>
            <w:r>
              <w:rPr>
                <w:rFonts w:hint="default"/>
                <w:color w:val="auto"/>
                <w:highlight w:val="none"/>
                <w:lang w:val="en-US" w:eastAsia="zh-CN"/>
              </w:rPr>
              <w:t>E11</w:t>
            </w:r>
            <w:r>
              <w:rPr>
                <w:rFonts w:hint="eastAsia"/>
                <w:color w:val="auto"/>
                <w:highlight w:val="none"/>
                <w:lang w:val="en-US" w:eastAsia="zh-CN"/>
              </w:rPr>
              <w:t>9</w:t>
            </w:r>
            <w:r>
              <w:rPr>
                <w:rFonts w:hint="default"/>
                <w:color w:val="auto"/>
                <w:highlight w:val="none"/>
                <w:lang w:val="en-US" w:eastAsia="zh-CN"/>
              </w:rPr>
              <w:t>°</w:t>
            </w:r>
            <w:r>
              <w:rPr>
                <w:rFonts w:hint="eastAsia"/>
                <w:color w:val="auto"/>
                <w:highlight w:val="none"/>
                <w:lang w:val="en-US" w:eastAsia="zh-CN"/>
              </w:rPr>
              <w:t>20</w:t>
            </w:r>
            <w:r>
              <w:rPr>
                <w:rFonts w:hint="default"/>
                <w:color w:val="auto"/>
                <w:highlight w:val="none"/>
                <w:lang w:val="en-US" w:eastAsia="zh-CN"/>
              </w:rPr>
              <w:t>′</w:t>
            </w:r>
            <w:r>
              <w:rPr>
                <w:rFonts w:hint="eastAsia"/>
                <w:color w:val="auto"/>
                <w:highlight w:val="none"/>
                <w:lang w:val="en-US" w:eastAsia="zh-CN"/>
              </w:rPr>
              <w:t>48.530</w:t>
            </w:r>
            <w:r>
              <w:rPr>
                <w:rFonts w:hint="default"/>
                <w:color w:val="auto"/>
                <w:highlight w:val="none"/>
                <w:lang w:val="en-US" w:eastAsia="zh-CN"/>
              </w:rPr>
              <w:t>"</w:t>
            </w:r>
          </w:p>
        </w:tc>
        <w:tc>
          <w:tcPr>
            <w:tcW w:w="1276" w:type="dxa"/>
            <w:tcBorders>
              <w:tl2br w:val="nil"/>
              <w:tr2bl w:val="nil"/>
            </w:tcBorders>
            <w:noWrap w:val="0"/>
            <w:vAlign w:val="center"/>
          </w:tcPr>
          <w:p w14:paraId="6BE59D25">
            <w:pPr>
              <w:pStyle w:val="1405"/>
              <w:bidi w:val="0"/>
              <w:rPr>
                <w:color w:val="auto"/>
                <w:highlight w:val="none"/>
              </w:rPr>
            </w:pPr>
            <w:r>
              <w:rPr>
                <w:color w:val="auto"/>
                <w:highlight w:val="none"/>
              </w:rPr>
              <w:t>纬度</w:t>
            </w:r>
          </w:p>
        </w:tc>
        <w:tc>
          <w:tcPr>
            <w:tcW w:w="2546" w:type="dxa"/>
            <w:tcBorders>
              <w:tl2br w:val="nil"/>
              <w:tr2bl w:val="nil"/>
            </w:tcBorders>
            <w:noWrap w:val="0"/>
            <w:vAlign w:val="center"/>
          </w:tcPr>
          <w:p w14:paraId="0E820BA5">
            <w:pPr>
              <w:pStyle w:val="1405"/>
              <w:bidi w:val="0"/>
              <w:rPr>
                <w:color w:val="auto"/>
                <w:highlight w:val="none"/>
              </w:rPr>
            </w:pPr>
            <w:r>
              <w:rPr>
                <w:rFonts w:hint="eastAsia"/>
                <w:color w:val="auto"/>
                <w:highlight w:val="none"/>
                <w:lang w:val="en-US" w:eastAsia="zh-CN"/>
              </w:rPr>
              <w:t>25</w:t>
            </w:r>
            <w:r>
              <w:rPr>
                <w:rFonts w:hint="default"/>
                <w:color w:val="auto"/>
                <w:highlight w:val="none"/>
                <w:lang w:val="en-US" w:eastAsia="zh-CN"/>
              </w:rPr>
              <w:t>°</w:t>
            </w:r>
            <w:r>
              <w:rPr>
                <w:rFonts w:hint="eastAsia"/>
                <w:color w:val="auto"/>
                <w:highlight w:val="none"/>
                <w:lang w:val="en-US" w:eastAsia="zh-CN"/>
              </w:rPr>
              <w:t>52</w:t>
            </w:r>
            <w:r>
              <w:rPr>
                <w:rFonts w:hint="default"/>
                <w:color w:val="auto"/>
                <w:highlight w:val="none"/>
                <w:lang w:val="en-US" w:eastAsia="zh-CN"/>
              </w:rPr>
              <w:t>′</w:t>
            </w:r>
            <w:r>
              <w:rPr>
                <w:rFonts w:hint="eastAsia"/>
                <w:color w:val="auto"/>
                <w:highlight w:val="none"/>
                <w:lang w:val="en-US" w:eastAsia="zh-CN"/>
              </w:rPr>
              <w:t>45.094</w:t>
            </w:r>
            <w:r>
              <w:rPr>
                <w:rFonts w:hint="default"/>
                <w:color w:val="auto"/>
                <w:highlight w:val="none"/>
                <w:lang w:val="en-US" w:eastAsia="zh-CN"/>
              </w:rPr>
              <w:t>"</w:t>
            </w:r>
          </w:p>
        </w:tc>
      </w:tr>
      <w:tr w14:paraId="759D9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5" w:hRule="exact"/>
        </w:trPr>
        <w:tc>
          <w:tcPr>
            <w:tcW w:w="2018" w:type="dxa"/>
            <w:tcBorders>
              <w:tl2br w:val="nil"/>
              <w:tr2bl w:val="nil"/>
            </w:tcBorders>
            <w:noWrap w:val="0"/>
            <w:vAlign w:val="center"/>
          </w:tcPr>
          <w:p w14:paraId="3D6AD8B8">
            <w:pPr>
              <w:pStyle w:val="1405"/>
              <w:bidi w:val="0"/>
              <w:rPr>
                <w:color w:val="auto"/>
                <w:highlight w:val="none"/>
              </w:rPr>
            </w:pPr>
            <w:r>
              <w:rPr>
                <w:color w:val="auto"/>
                <w:highlight w:val="none"/>
              </w:rPr>
              <w:t>主要危险物质及分布</w:t>
            </w:r>
          </w:p>
        </w:tc>
        <w:tc>
          <w:tcPr>
            <w:tcW w:w="7157" w:type="dxa"/>
            <w:gridSpan w:val="4"/>
            <w:tcBorders>
              <w:tl2br w:val="nil"/>
              <w:tr2bl w:val="nil"/>
            </w:tcBorders>
            <w:noWrap w:val="0"/>
            <w:vAlign w:val="center"/>
          </w:tcPr>
          <w:p w14:paraId="52FBAB20">
            <w:pPr>
              <w:pStyle w:val="1405"/>
              <w:bidi w:val="0"/>
              <w:rPr>
                <w:rFonts w:hint="default"/>
                <w:color w:val="auto"/>
                <w:highlight w:val="none"/>
                <w:lang w:val="en-US" w:eastAsia="zh-CN"/>
              </w:rPr>
            </w:pPr>
            <w:r>
              <w:rPr>
                <w:rFonts w:hint="eastAsia"/>
                <w:color w:val="auto"/>
                <w:highlight w:val="none"/>
                <w:lang w:val="en-US" w:eastAsia="zh-CN"/>
              </w:rPr>
              <w:t>涂料、稀释剂、固化剂（</w:t>
            </w:r>
            <w:r>
              <w:rPr>
                <w:rFonts w:hint="default"/>
                <w:color w:val="auto"/>
                <w:highlight w:val="none"/>
                <w:lang w:val="en-US" w:eastAsia="zh-CN"/>
              </w:rPr>
              <w:t>二甲苯、乙酸丁酯</w:t>
            </w:r>
            <w:r>
              <w:rPr>
                <w:rFonts w:hint="eastAsia"/>
                <w:color w:val="auto"/>
                <w:highlight w:val="none"/>
                <w:lang w:val="en-US" w:eastAsia="zh-CN"/>
              </w:rPr>
              <w:t>）</w:t>
            </w:r>
            <w:r>
              <w:rPr>
                <w:rFonts w:hint="default"/>
                <w:color w:val="auto"/>
                <w:highlight w:val="none"/>
                <w:lang w:val="en-US" w:eastAsia="zh-CN"/>
              </w:rPr>
              <w:t>：主要分布于</w:t>
            </w:r>
            <w:r>
              <w:rPr>
                <w:rFonts w:hint="eastAsia"/>
                <w:color w:val="auto"/>
                <w:highlight w:val="none"/>
                <w:lang w:val="en-US" w:eastAsia="zh-CN"/>
              </w:rPr>
              <w:t>调漆房</w:t>
            </w:r>
            <w:r>
              <w:rPr>
                <w:rFonts w:hint="default"/>
                <w:color w:val="auto"/>
                <w:highlight w:val="none"/>
                <w:lang w:val="en-US" w:eastAsia="zh-CN"/>
              </w:rPr>
              <w:t>、</w:t>
            </w:r>
            <w:r>
              <w:rPr>
                <w:rFonts w:hint="eastAsia"/>
                <w:color w:val="auto"/>
                <w:highlight w:val="none"/>
                <w:lang w:val="en-US" w:eastAsia="zh-CN"/>
              </w:rPr>
              <w:t>辅料</w:t>
            </w:r>
            <w:r>
              <w:rPr>
                <w:rFonts w:hint="default"/>
                <w:color w:val="auto"/>
                <w:highlight w:val="none"/>
                <w:lang w:val="en-US" w:eastAsia="zh-CN"/>
              </w:rPr>
              <w:t>仓库；润滑油、废润滑油</w:t>
            </w:r>
            <w:r>
              <w:rPr>
                <w:rFonts w:hint="eastAsia"/>
                <w:color w:val="auto"/>
                <w:highlight w:val="none"/>
                <w:lang w:val="en-US" w:eastAsia="zh-CN"/>
              </w:rPr>
              <w:t>等</w:t>
            </w:r>
            <w:r>
              <w:rPr>
                <w:rFonts w:hint="default"/>
                <w:color w:val="auto"/>
                <w:highlight w:val="none"/>
                <w:lang w:val="en-US" w:eastAsia="zh-CN"/>
              </w:rPr>
              <w:t>：主要分布于</w:t>
            </w:r>
            <w:r>
              <w:rPr>
                <w:rFonts w:hint="eastAsia"/>
                <w:color w:val="auto"/>
                <w:highlight w:val="none"/>
                <w:lang w:val="en-US" w:eastAsia="zh-CN"/>
              </w:rPr>
              <w:t>辅料</w:t>
            </w:r>
            <w:r>
              <w:rPr>
                <w:rFonts w:hint="default"/>
                <w:color w:val="auto"/>
                <w:highlight w:val="none"/>
                <w:lang w:val="en-US" w:eastAsia="zh-CN"/>
              </w:rPr>
              <w:t>仓库、危废贮存库；天然气（甲烷）：主要分布于天然气管道</w:t>
            </w:r>
            <w:r>
              <w:rPr>
                <w:rFonts w:hint="eastAsia"/>
                <w:color w:val="auto"/>
                <w:highlight w:val="none"/>
                <w:lang w:val="en-US" w:eastAsia="zh-CN"/>
              </w:rPr>
              <w:t>，不设天然气储罐。</w:t>
            </w:r>
          </w:p>
        </w:tc>
      </w:tr>
      <w:tr w14:paraId="5505D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06" w:hRule="exact"/>
        </w:trPr>
        <w:tc>
          <w:tcPr>
            <w:tcW w:w="2018" w:type="dxa"/>
            <w:tcBorders>
              <w:tl2br w:val="nil"/>
              <w:tr2bl w:val="nil"/>
            </w:tcBorders>
            <w:noWrap w:val="0"/>
            <w:vAlign w:val="center"/>
          </w:tcPr>
          <w:p w14:paraId="6C350899">
            <w:pPr>
              <w:pStyle w:val="1405"/>
              <w:bidi w:val="0"/>
              <w:rPr>
                <w:color w:val="auto"/>
                <w:highlight w:val="none"/>
              </w:rPr>
            </w:pPr>
            <w:r>
              <w:rPr>
                <w:color w:val="auto"/>
                <w:highlight w:val="none"/>
              </w:rPr>
              <w:t>环境影响途径及危害后果（大气、地表水、地下水等）</w:t>
            </w:r>
          </w:p>
        </w:tc>
        <w:tc>
          <w:tcPr>
            <w:tcW w:w="7157" w:type="dxa"/>
            <w:gridSpan w:val="4"/>
            <w:tcBorders>
              <w:tl2br w:val="nil"/>
              <w:tr2bl w:val="nil"/>
            </w:tcBorders>
            <w:noWrap w:val="0"/>
            <w:vAlign w:val="center"/>
          </w:tcPr>
          <w:p w14:paraId="3155AA20">
            <w:pPr>
              <w:pStyle w:val="1405"/>
              <w:bidi w:val="0"/>
              <w:jc w:val="both"/>
              <w:rPr>
                <w:rFonts w:hint="eastAsia"/>
                <w:color w:val="auto"/>
                <w:highlight w:val="none"/>
                <w:lang w:val="en-US" w:eastAsia="zh-CN"/>
              </w:rPr>
            </w:pPr>
            <w:r>
              <w:rPr>
                <w:rFonts w:hint="eastAsia"/>
                <w:color w:val="auto"/>
                <w:highlight w:val="none"/>
                <w:lang w:val="en-US" w:eastAsia="zh-CN"/>
              </w:rPr>
              <w:t>（1）注塑车间原料和半成品遇明火发生火灾，塑料燃烧伴生产生CO、CO</w:t>
            </w:r>
            <w:r>
              <w:rPr>
                <w:rFonts w:hint="eastAsia"/>
                <w:color w:val="auto"/>
                <w:highlight w:val="none"/>
                <w:vertAlign w:val="subscript"/>
                <w:lang w:val="en-US" w:eastAsia="zh-CN"/>
              </w:rPr>
              <w:t>2</w:t>
            </w:r>
            <w:r>
              <w:rPr>
                <w:rFonts w:hint="eastAsia"/>
                <w:color w:val="auto"/>
                <w:highlight w:val="none"/>
                <w:lang w:val="en-US" w:eastAsia="zh-CN"/>
              </w:rPr>
              <w:t>、烟尘等污染物，对周围环境空气造成一定影响。应按消防要求配备消防设施，避免发生较大的火灾事故。</w:t>
            </w:r>
          </w:p>
          <w:p w14:paraId="6CD51CD0">
            <w:pPr>
              <w:pStyle w:val="1405"/>
              <w:bidi w:val="0"/>
              <w:jc w:val="both"/>
              <w:rPr>
                <w:rFonts w:hint="eastAsia"/>
                <w:color w:val="auto"/>
                <w:highlight w:val="none"/>
                <w:lang w:val="en-US" w:eastAsia="zh-CN"/>
              </w:rPr>
            </w:pPr>
            <w:r>
              <w:rPr>
                <w:rFonts w:hint="eastAsia"/>
                <w:color w:val="auto"/>
                <w:highlight w:val="none"/>
                <w:lang w:val="en-US" w:eastAsia="zh-CN"/>
              </w:rPr>
              <w:t>（2）涂装车间喷漆过程中涂料、稀释剂、固化剂、清洗剂等发生泄漏，泄漏物料挥发产生含二甲苯、乙酸丁酯等有机废气，对泄漏区域周围较小范围内环境空气有一定影响；上述物料闪点较低，遇明火可能引发火灾、爆炸，并伴生产生CO等污染物。因单次使用量较小，且泄漏后能及时被发现，对周围环境影响较小。</w:t>
            </w:r>
          </w:p>
          <w:p w14:paraId="145E0CF0">
            <w:pPr>
              <w:pStyle w:val="1405"/>
              <w:bidi w:val="0"/>
              <w:jc w:val="both"/>
              <w:rPr>
                <w:rFonts w:hint="eastAsia"/>
                <w:color w:val="auto"/>
                <w:highlight w:val="none"/>
                <w:lang w:val="en-US" w:eastAsia="zh-CN"/>
              </w:rPr>
            </w:pPr>
            <w:r>
              <w:rPr>
                <w:rFonts w:hint="eastAsia"/>
                <w:color w:val="auto"/>
                <w:highlight w:val="none"/>
                <w:lang w:val="en-US" w:eastAsia="zh-CN"/>
              </w:rPr>
              <w:t>（3）调漆房内涂料（底漆、色漆和清漆）、稀释剂、固化剂、清洗剂等泄漏，可能遇明火引发火灾、爆炸，并伴生产生CO等污染物。各物料单次储存量较小，且泄漏后能及时被发现，对周围环境影响较小。</w:t>
            </w:r>
          </w:p>
          <w:p w14:paraId="09FEF5F8">
            <w:pPr>
              <w:pStyle w:val="1405"/>
              <w:bidi w:val="0"/>
              <w:jc w:val="both"/>
              <w:rPr>
                <w:rFonts w:hint="eastAsia"/>
                <w:color w:val="auto"/>
                <w:highlight w:val="none"/>
                <w:lang w:val="en-US" w:eastAsia="zh-CN"/>
              </w:rPr>
            </w:pPr>
            <w:r>
              <w:rPr>
                <w:rFonts w:hint="eastAsia"/>
                <w:color w:val="auto"/>
                <w:highlight w:val="none"/>
                <w:lang w:val="en-US" w:eastAsia="zh-CN"/>
              </w:rPr>
              <w:t>（4）管道天然气泄漏引发火灾、爆炸，天然气不完全燃烧伴生产生CO等污染物。厂区内不设天然气储罐，管道内的实际存在量较小，且具备泄漏报警装置，可及时进行切断处理，避免事故发生。</w:t>
            </w:r>
          </w:p>
          <w:p w14:paraId="63ECCB78">
            <w:pPr>
              <w:pStyle w:val="1405"/>
              <w:bidi w:val="0"/>
              <w:jc w:val="both"/>
              <w:rPr>
                <w:rFonts w:hint="eastAsia"/>
                <w:color w:val="auto"/>
                <w:highlight w:val="none"/>
                <w:lang w:val="en-US" w:eastAsia="zh-CN"/>
              </w:rPr>
            </w:pPr>
            <w:r>
              <w:rPr>
                <w:rFonts w:hint="eastAsia"/>
                <w:color w:val="auto"/>
                <w:highlight w:val="none"/>
                <w:lang w:val="en-US" w:eastAsia="zh-CN"/>
              </w:rPr>
              <w:t>（5）废气处理设施故障造成有机废气（含二甲苯、乙酸丁酯等）未经处理超标排放，对周围环境空气造成影响；RTO焚烧炉温度过高或遇明火可能引发火灾，天然气不完全燃烧伴生产生CO等污染物。生产过程中可加强管理避免此类事故发生。</w:t>
            </w:r>
          </w:p>
          <w:p w14:paraId="083FEA0F">
            <w:pPr>
              <w:pStyle w:val="1405"/>
              <w:bidi w:val="0"/>
              <w:jc w:val="both"/>
              <w:rPr>
                <w:rFonts w:hint="eastAsia"/>
                <w:color w:val="auto"/>
                <w:highlight w:val="none"/>
                <w:lang w:val="en-US" w:eastAsia="zh-CN"/>
              </w:rPr>
            </w:pPr>
            <w:r>
              <w:rPr>
                <w:rFonts w:hint="eastAsia"/>
                <w:color w:val="auto"/>
                <w:highlight w:val="none"/>
                <w:lang w:val="en-US" w:eastAsia="zh-CN"/>
              </w:rPr>
              <w:t>（6）危废贮存库中废润滑油、废清洗剂等危险废物发生泄漏事故，若防渗层破损，泄漏物料可能下渗污染土壤和地下水；遇明火可能发生火灾、爆炸事故，并伴生产生CO等污染物。危险废物泄漏后能及时被发现，可在较短时间内及时收集并转移到密闭容器内，一般不会大面积泄漏；在防渗措施完好的情况下，对土壤和地下水影响较小。</w:t>
            </w:r>
          </w:p>
          <w:p w14:paraId="2E06F728">
            <w:pPr>
              <w:pStyle w:val="1405"/>
              <w:bidi w:val="0"/>
              <w:jc w:val="both"/>
              <w:rPr>
                <w:rFonts w:hint="eastAsia"/>
                <w:color w:val="auto"/>
                <w:highlight w:val="none"/>
                <w:lang w:val="en-US" w:eastAsia="zh-CN"/>
              </w:rPr>
            </w:pPr>
            <w:r>
              <w:rPr>
                <w:rFonts w:hint="eastAsia"/>
                <w:color w:val="auto"/>
                <w:highlight w:val="none"/>
                <w:lang w:val="en-US" w:eastAsia="zh-CN"/>
              </w:rPr>
              <w:t>（7）润滑油储存过程中发生泄漏，泄漏物料可能进入雨水管网或下渗，对地表水和土壤环境造成一定影响。因储存量较小，且储桶下方设置防泄漏托盘，泄漏后能及时收集处理，对周围环境影响较小。</w:t>
            </w:r>
          </w:p>
          <w:p w14:paraId="71457E83">
            <w:pPr>
              <w:pStyle w:val="1405"/>
              <w:bidi w:val="0"/>
              <w:jc w:val="both"/>
              <w:rPr>
                <w:color w:val="auto"/>
                <w:highlight w:val="none"/>
              </w:rPr>
            </w:pPr>
            <w:r>
              <w:rPr>
                <w:rFonts w:hint="eastAsia"/>
                <w:color w:val="auto"/>
                <w:highlight w:val="none"/>
                <w:lang w:val="en-US" w:eastAsia="zh-CN"/>
              </w:rPr>
              <w:t>（8）</w:t>
            </w:r>
            <w:r>
              <w:rPr>
                <w:rFonts w:hint="default"/>
                <w:color w:val="auto"/>
                <w:highlight w:val="none"/>
              </w:rPr>
              <w:t>突发性泄漏和火灾爆炸事故产生的泄漏物料、消防废水及伴生/次生废水若直接进入雨水管网，可能对附近河流造成污染。厂区依托已建事故应急池（有效容积79m</w:t>
            </w:r>
            <w:r>
              <w:rPr>
                <w:rFonts w:hint="eastAsia"/>
                <w:color w:val="auto"/>
                <w:highlight w:val="none"/>
                <w:vertAlign w:val="superscript"/>
                <w:lang w:val="en-US" w:eastAsia="zh-CN"/>
              </w:rPr>
              <w:t>3</w:t>
            </w:r>
            <w:r>
              <w:rPr>
                <w:rFonts w:hint="default"/>
                <w:color w:val="auto"/>
                <w:highlight w:val="none"/>
              </w:rPr>
              <w:t>）对事故废水进行截留，但经核算，该池容尚不能满足最大事故工况下的暂存要求。按照《建设项目环境风险评价技术导则》（HJ 169-2018）及《事故状态下水体污染的预防与控制技术要求》（Q/SY 1190-2013），本项目事故状态下需暂存的事故废水量为110.43m</w:t>
            </w:r>
            <w:r>
              <w:rPr>
                <w:rFonts w:hint="eastAsia"/>
                <w:color w:val="auto"/>
                <w:highlight w:val="none"/>
                <w:vertAlign w:val="superscript"/>
                <w:lang w:val="en-US" w:eastAsia="zh-CN"/>
              </w:rPr>
              <w:t>3</w:t>
            </w:r>
            <w:r>
              <w:rPr>
                <w:rFonts w:hint="default"/>
                <w:color w:val="auto"/>
                <w:highlight w:val="none"/>
              </w:rPr>
              <w:t>，现有事故池容积缺口为31.43m</w:t>
            </w:r>
            <w:r>
              <w:rPr>
                <w:rFonts w:hint="eastAsia"/>
                <w:color w:val="auto"/>
                <w:highlight w:val="none"/>
                <w:vertAlign w:val="superscript"/>
                <w:lang w:val="en-US" w:eastAsia="zh-CN"/>
              </w:rPr>
              <w:t>3</w:t>
            </w:r>
            <w:r>
              <w:rPr>
                <w:rFonts w:hint="default"/>
                <w:color w:val="auto"/>
                <w:highlight w:val="none"/>
              </w:rPr>
              <w:t>。为防范事故废水外排，建设单位采取</w:t>
            </w:r>
            <w:r>
              <w:rPr>
                <w:rFonts w:hint="eastAsia"/>
                <w:color w:val="auto"/>
                <w:highlight w:val="none"/>
                <w:lang w:eastAsia="zh-CN"/>
              </w:rPr>
              <w:t>“</w:t>
            </w:r>
            <w:r>
              <w:rPr>
                <w:rFonts w:hint="default"/>
                <w:color w:val="auto"/>
                <w:highlight w:val="none"/>
              </w:rPr>
              <w:t>固定池体+应急水袋+备用调节池</w:t>
            </w:r>
            <w:r>
              <w:rPr>
                <w:rFonts w:hint="eastAsia"/>
                <w:color w:val="auto"/>
                <w:highlight w:val="none"/>
                <w:lang w:eastAsia="zh-CN"/>
              </w:rPr>
              <w:t>”</w:t>
            </w:r>
            <w:r>
              <w:rPr>
                <w:rFonts w:hint="default"/>
                <w:color w:val="auto"/>
                <w:highlight w:val="none"/>
              </w:rPr>
              <w:t>的组合措施：①依托现有事故应急池79m</w:t>
            </w:r>
            <w:r>
              <w:rPr>
                <w:rFonts w:hint="eastAsia"/>
                <w:color w:val="auto"/>
                <w:highlight w:val="none"/>
                <w:vertAlign w:val="superscript"/>
                <w:lang w:val="en-US" w:eastAsia="zh-CN"/>
              </w:rPr>
              <w:t>3</w:t>
            </w:r>
            <w:r>
              <w:rPr>
                <w:rFonts w:hint="default"/>
                <w:color w:val="auto"/>
                <w:highlight w:val="none"/>
              </w:rPr>
              <w:t>，用于事故废水的首要收集；②配备容积不小于40m</w:t>
            </w:r>
            <w:r>
              <w:rPr>
                <w:rFonts w:hint="eastAsia"/>
                <w:color w:val="auto"/>
                <w:highlight w:val="none"/>
                <w:vertAlign w:val="superscript"/>
                <w:lang w:val="en-US" w:eastAsia="zh-CN"/>
              </w:rPr>
              <w:t>3</w:t>
            </w:r>
            <w:r>
              <w:rPr>
                <w:rFonts w:hint="default"/>
                <w:color w:val="auto"/>
                <w:highlight w:val="none"/>
              </w:rPr>
              <w:t>的应急水袋，事故状态下展开作为补充收集设施，弥补固定池容缺口；③厂区现有调节池（约37.5m</w:t>
            </w:r>
            <w:r>
              <w:rPr>
                <w:rFonts w:hint="eastAsia"/>
                <w:color w:val="auto"/>
                <w:highlight w:val="none"/>
                <w:vertAlign w:val="superscript"/>
                <w:lang w:val="en-US" w:eastAsia="zh-CN"/>
              </w:rPr>
              <w:t>3</w:t>
            </w:r>
            <w:r>
              <w:rPr>
                <w:rFonts w:hint="default"/>
                <w:color w:val="auto"/>
                <w:highlight w:val="none"/>
              </w:rPr>
              <w:t>）在日常保持空置，仅在应急水袋满载的极端工况下作为额外备用暂存空间启用。上述设施合计可用容积不低于156.5m</w:t>
            </w:r>
            <w:r>
              <w:rPr>
                <w:rFonts w:hint="eastAsia"/>
                <w:color w:val="auto"/>
                <w:highlight w:val="none"/>
                <w:vertAlign w:val="superscript"/>
                <w:lang w:val="en-US" w:eastAsia="zh-CN"/>
              </w:rPr>
              <w:t>3</w:t>
            </w:r>
            <w:r>
              <w:rPr>
                <w:rFonts w:hint="default"/>
                <w:color w:val="auto"/>
                <w:highlight w:val="none"/>
              </w:rPr>
              <w:t>，可覆盖110.43m</w:t>
            </w:r>
            <w:r>
              <w:rPr>
                <w:rFonts w:hint="eastAsia"/>
                <w:color w:val="auto"/>
                <w:highlight w:val="none"/>
                <w:vertAlign w:val="superscript"/>
                <w:lang w:val="en-US" w:eastAsia="zh-CN"/>
              </w:rPr>
              <w:t>3</w:t>
            </w:r>
            <w:r>
              <w:rPr>
                <w:rFonts w:hint="default"/>
                <w:color w:val="auto"/>
                <w:highlight w:val="none"/>
              </w:rPr>
              <w:t>的核算需求，在落实应急水袋快速启用和调节池日常空置管理的前提下，事故废水可被截留在厂区内，对地表水环境影响不大。</w:t>
            </w:r>
          </w:p>
        </w:tc>
      </w:tr>
      <w:tr w14:paraId="5EBE0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60" w:hRule="exact"/>
        </w:trPr>
        <w:tc>
          <w:tcPr>
            <w:tcW w:w="2018" w:type="dxa"/>
            <w:tcBorders>
              <w:tl2br w:val="nil"/>
              <w:tr2bl w:val="nil"/>
            </w:tcBorders>
            <w:noWrap w:val="0"/>
            <w:vAlign w:val="center"/>
          </w:tcPr>
          <w:p w14:paraId="6C26656D">
            <w:pPr>
              <w:pStyle w:val="1405"/>
              <w:bidi w:val="0"/>
              <w:jc w:val="center"/>
              <w:rPr>
                <w:color w:val="auto"/>
                <w:highlight w:val="none"/>
              </w:rPr>
            </w:pPr>
            <w:r>
              <w:rPr>
                <w:color w:val="auto"/>
                <w:highlight w:val="none"/>
              </w:rPr>
              <w:t>风险防范措施要求</w:t>
            </w:r>
          </w:p>
        </w:tc>
        <w:tc>
          <w:tcPr>
            <w:tcW w:w="7157" w:type="dxa"/>
            <w:gridSpan w:val="4"/>
            <w:tcBorders>
              <w:tl2br w:val="nil"/>
              <w:tr2bl w:val="nil"/>
            </w:tcBorders>
            <w:noWrap w:val="0"/>
            <w:vAlign w:val="center"/>
          </w:tcPr>
          <w:p w14:paraId="4FB29419">
            <w:pPr>
              <w:pStyle w:val="1405"/>
              <w:bidi w:val="0"/>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大气环境风险防范措施</w:t>
            </w:r>
            <w:r>
              <w:rPr>
                <w:rFonts w:hint="eastAsia"/>
                <w:color w:val="auto"/>
                <w:highlight w:val="none"/>
                <w:lang w:eastAsia="zh-CN"/>
              </w:rPr>
              <w:t>：</w:t>
            </w:r>
            <w:r>
              <w:rPr>
                <w:rFonts w:hint="eastAsia"/>
                <w:color w:val="auto"/>
                <w:highlight w:val="none"/>
              </w:rPr>
              <w:t>调漆房、辅料仓库、危废贮存库及天然气使用区域按规范配备消防设施，设置禁火标志，电气设备符合防爆要求；天然气管道设置泄漏报警装置及紧急切断阀；废气处理设施定期维护，确保正常运行，防止事故排放。涂料、稀释剂、固化剂、清洗剂等含挥发性有机物的物料应密封贮存，减少无组织挥发；调漆房、涂装车间应保持良好通风，必要时设置局部排风设施。危废贮存库应保持通风，防止废润滑油、废清洗剂</w:t>
            </w:r>
            <w:r>
              <w:rPr>
                <w:rFonts w:hint="eastAsia"/>
                <w:color w:val="auto"/>
                <w:highlight w:val="none"/>
                <w:lang w:val="en-US" w:eastAsia="zh-CN"/>
              </w:rPr>
              <w:t>等产生</w:t>
            </w:r>
            <w:r>
              <w:rPr>
                <w:rFonts w:hint="eastAsia"/>
                <w:color w:val="auto"/>
                <w:highlight w:val="none"/>
              </w:rPr>
              <w:t>挥发气体积聚。</w:t>
            </w:r>
          </w:p>
          <w:p w14:paraId="33E39F3B">
            <w:pPr>
              <w:pStyle w:val="1405"/>
              <w:bidi w:val="0"/>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地表水环境风险防范措施</w:t>
            </w:r>
            <w:r>
              <w:rPr>
                <w:rFonts w:hint="eastAsia"/>
                <w:color w:val="auto"/>
                <w:highlight w:val="none"/>
                <w:lang w:eastAsia="zh-CN"/>
              </w:rPr>
              <w:t>：</w:t>
            </w:r>
            <w:r>
              <w:rPr>
                <w:rFonts w:hint="eastAsia"/>
                <w:color w:val="auto"/>
                <w:highlight w:val="none"/>
              </w:rPr>
              <w:t>加强废水收集系统维护，确保正常运行；开停机及检修应制订预案，防止废水非正常排放。调漆房、辅料仓库、危废贮存库等重点区域应做好防渗处理，设置防泄漏托盘或导流渠，收集泄漏物料。厂区雨水排口应设置切换阀，事故状态下可切换至事故应急池，防止泄漏物料和消防废水直接进入雨水管网。应建立事故废水收集设施日常检查维护制度：事故应急池应定期检查池体防渗、池内空置及切换阀门启闭状态，确保事故状态下可正常接纳事故废水；应急水袋应定期检查袋体完整性、防渗性能及存放状态，明确事故状态下的展开时限和操作责任，确保可及时投用；备用调节池日常应保持空置，不得挪作生产蓄水或其它用途，并定期核查其有效容积和切换接收条件，确保极端工况下可立即启用。</w:t>
            </w:r>
          </w:p>
          <w:p w14:paraId="30122953">
            <w:pPr>
              <w:pStyle w:val="1405"/>
              <w:bidi w:val="0"/>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地下水环境风险防范措施</w:t>
            </w:r>
            <w:r>
              <w:rPr>
                <w:rFonts w:hint="eastAsia"/>
                <w:color w:val="auto"/>
                <w:highlight w:val="none"/>
                <w:lang w:eastAsia="zh-CN"/>
              </w:rPr>
              <w:t>：</w:t>
            </w:r>
            <w:r>
              <w:rPr>
                <w:rFonts w:hint="eastAsia"/>
                <w:color w:val="auto"/>
                <w:highlight w:val="none"/>
              </w:rPr>
              <w:t>实行源头控制、分区防治。重点区域（调漆房、辅料仓库、危废贮存库、涂装车间等）地面应进行硬化防渗处理，防渗层渗透系数应≤10</w:t>
            </w:r>
            <w:r>
              <w:rPr>
                <w:rFonts w:hint="eastAsia"/>
                <w:color w:val="auto"/>
                <w:highlight w:val="none"/>
                <w:vertAlign w:val="superscript"/>
                <w:lang w:val="en-US" w:eastAsia="zh-CN"/>
              </w:rPr>
              <w:t>-10</w:t>
            </w:r>
            <w:r>
              <w:rPr>
                <w:rFonts w:hint="eastAsia"/>
                <w:color w:val="auto"/>
                <w:highlight w:val="none"/>
              </w:rPr>
              <w:t>cm/s；一般区域防渗层渗透系数应≤10</w:t>
            </w:r>
            <w:r>
              <w:rPr>
                <w:rFonts w:hint="eastAsia"/>
                <w:color w:val="auto"/>
                <w:highlight w:val="none"/>
                <w:vertAlign w:val="superscript"/>
                <w:lang w:val="en-US" w:eastAsia="zh-CN"/>
              </w:rPr>
              <w:t>-7</w:t>
            </w:r>
            <w:r>
              <w:rPr>
                <w:rFonts w:hint="eastAsia"/>
                <w:color w:val="auto"/>
                <w:highlight w:val="none"/>
              </w:rPr>
              <w:t>cm/s。定期检查防渗层完好情况，发现破损及时修复。制定泄漏应急响应预案，一旦发生泄漏，及时收集泄漏物料，防止下渗污染地下水。</w:t>
            </w:r>
          </w:p>
        </w:tc>
      </w:tr>
    </w:tbl>
    <w:p w14:paraId="032DC07A">
      <w:pPr>
        <w:pStyle w:val="31"/>
        <w:rPr>
          <w:rFonts w:hint="default"/>
          <w:color w:val="auto"/>
          <w:highlight w:val="none"/>
          <w:lang w:val="en-US" w:eastAsia="zh-CN"/>
        </w:rPr>
        <w:sectPr>
          <w:pgSz w:w="11905" w:h="16838"/>
          <w:pgMar w:top="1587" w:right="1417" w:bottom="1417" w:left="1701" w:header="850" w:footer="992" w:gutter="0"/>
          <w:pgBorders w:offsetFrom="page">
            <w:top w:val="none" w:sz="0" w:space="0"/>
            <w:left w:val="none" w:sz="0" w:space="0"/>
            <w:bottom w:val="none" w:sz="0" w:space="0"/>
            <w:right w:val="none" w:sz="0" w:space="0"/>
          </w:pgBorders>
          <w:pgNumType w:fmt="decimal"/>
          <w:cols w:space="720" w:num="1"/>
          <w:rtlGutter w:val="0"/>
          <w:docGrid w:linePitch="314" w:charSpace="0"/>
        </w:sectPr>
      </w:pPr>
    </w:p>
    <w:p w14:paraId="69A3C084">
      <w:pPr>
        <w:pStyle w:val="2"/>
        <w:numPr>
          <w:ilvl w:val="0"/>
          <w:numId w:val="0"/>
        </w:numPr>
        <w:bidi w:val="0"/>
        <w:ind w:leftChars="0"/>
        <w:rPr>
          <w:color w:val="auto"/>
          <w:highlight w:val="none"/>
        </w:rPr>
      </w:pPr>
      <w:bookmarkStart w:id="795" w:name="_Toc25726"/>
      <w:r>
        <w:rPr>
          <w:color w:val="auto"/>
          <w:highlight w:val="none"/>
        </w:rPr>
        <w:t>7</w:t>
      </w:r>
      <w:r>
        <w:rPr>
          <w:rFonts w:hint="eastAsia"/>
          <w:color w:val="auto"/>
          <w:highlight w:val="none"/>
          <w:lang w:val="en-US" w:eastAsia="zh-CN"/>
        </w:rPr>
        <w:t xml:space="preserve"> </w:t>
      </w:r>
      <w:r>
        <w:rPr>
          <w:color w:val="auto"/>
          <w:highlight w:val="none"/>
        </w:rPr>
        <w:t>污染防治措施及可行性论证</w:t>
      </w:r>
      <w:bookmarkEnd w:id="148"/>
      <w:bookmarkEnd w:id="149"/>
      <w:bookmarkEnd w:id="150"/>
      <w:bookmarkEnd w:id="151"/>
      <w:bookmarkEnd w:id="152"/>
      <w:bookmarkEnd w:id="153"/>
      <w:bookmarkEnd w:id="154"/>
      <w:bookmarkEnd w:id="155"/>
      <w:bookmarkEnd w:id="156"/>
      <w:bookmarkEnd w:id="157"/>
      <w:bookmarkEnd w:id="158"/>
      <w:bookmarkEnd w:id="159"/>
      <w:bookmarkEnd w:id="795"/>
    </w:p>
    <w:p w14:paraId="07E96787">
      <w:pPr>
        <w:pStyle w:val="3"/>
        <w:numPr>
          <w:ilvl w:val="0"/>
          <w:numId w:val="0"/>
        </w:numPr>
        <w:bidi w:val="0"/>
        <w:rPr>
          <w:color w:val="auto"/>
          <w:highlight w:val="none"/>
        </w:rPr>
      </w:pPr>
      <w:bookmarkStart w:id="796" w:name="_Toc373835721"/>
      <w:bookmarkStart w:id="797" w:name="_Toc362276170"/>
      <w:bookmarkStart w:id="798" w:name="_Toc366255002"/>
      <w:bookmarkStart w:id="799" w:name="_Toc13374"/>
      <w:bookmarkStart w:id="800" w:name="_Toc10377"/>
      <w:bookmarkStart w:id="801" w:name="_Toc20960"/>
      <w:bookmarkStart w:id="802" w:name="_Toc12470"/>
      <w:bookmarkStart w:id="803" w:name="_Toc25734"/>
      <w:bookmarkStart w:id="804" w:name="_Toc27100"/>
      <w:bookmarkStart w:id="805" w:name="_Toc18650"/>
      <w:bookmarkStart w:id="806" w:name="_Toc18691"/>
      <w:bookmarkStart w:id="807" w:name="_Toc3540"/>
      <w:bookmarkStart w:id="808" w:name="_Toc4765"/>
      <w:r>
        <w:rPr>
          <w:rFonts w:hint="eastAsia"/>
          <w:color w:val="auto"/>
          <w:highlight w:val="none"/>
          <w:lang w:eastAsia="zh-CN"/>
        </w:rPr>
        <w:t>7.1</w:t>
      </w:r>
      <w:r>
        <w:rPr>
          <w:rFonts w:hint="eastAsia"/>
          <w:color w:val="auto"/>
          <w:highlight w:val="none"/>
          <w:lang w:val="en-US" w:eastAsia="zh-CN"/>
        </w:rPr>
        <w:t xml:space="preserve"> </w:t>
      </w:r>
      <w:r>
        <w:rPr>
          <w:color w:val="auto"/>
          <w:highlight w:val="none"/>
        </w:rPr>
        <w:t>运</w:t>
      </w:r>
      <w:bookmarkEnd w:id="796"/>
      <w:bookmarkEnd w:id="797"/>
      <w:bookmarkEnd w:id="798"/>
      <w:r>
        <w:rPr>
          <w:color w:val="auto"/>
          <w:highlight w:val="none"/>
        </w:rPr>
        <w:t>营期污染防治措施及可行性论证</w:t>
      </w:r>
      <w:bookmarkEnd w:id="799"/>
      <w:bookmarkEnd w:id="800"/>
      <w:bookmarkEnd w:id="801"/>
      <w:bookmarkEnd w:id="802"/>
      <w:bookmarkEnd w:id="803"/>
      <w:bookmarkEnd w:id="804"/>
      <w:bookmarkEnd w:id="805"/>
      <w:bookmarkEnd w:id="806"/>
      <w:bookmarkEnd w:id="807"/>
      <w:bookmarkEnd w:id="808"/>
    </w:p>
    <w:p w14:paraId="2BDD5A3A">
      <w:pPr>
        <w:pStyle w:val="4"/>
        <w:numPr>
          <w:ilvl w:val="0"/>
          <w:numId w:val="0"/>
        </w:numPr>
        <w:tabs>
          <w:tab w:val="clear" w:pos="720"/>
        </w:tabs>
        <w:bidi w:val="0"/>
        <w:rPr>
          <w:color w:val="auto"/>
          <w:highlight w:val="none"/>
        </w:rPr>
      </w:pPr>
      <w:bookmarkStart w:id="809" w:name="_Toc455602364"/>
      <w:bookmarkEnd w:id="809"/>
      <w:bookmarkStart w:id="810" w:name="_Toc455602365"/>
      <w:bookmarkEnd w:id="810"/>
      <w:bookmarkStart w:id="811" w:name="_Toc455602328"/>
      <w:bookmarkEnd w:id="811"/>
      <w:bookmarkStart w:id="812" w:name="_Toc455602407"/>
      <w:bookmarkEnd w:id="812"/>
      <w:bookmarkStart w:id="813" w:name="_Toc455602355"/>
      <w:bookmarkEnd w:id="813"/>
      <w:bookmarkStart w:id="814" w:name="_Toc455602353"/>
      <w:bookmarkEnd w:id="814"/>
      <w:bookmarkStart w:id="815" w:name="_Toc455602360"/>
      <w:bookmarkEnd w:id="815"/>
      <w:bookmarkStart w:id="816" w:name="_Toc455602357"/>
      <w:bookmarkEnd w:id="816"/>
      <w:bookmarkStart w:id="817" w:name="_Toc455602398"/>
      <w:bookmarkEnd w:id="817"/>
      <w:bookmarkStart w:id="818" w:name="_Toc455602358"/>
      <w:bookmarkEnd w:id="818"/>
      <w:bookmarkStart w:id="819" w:name="_Toc455602351"/>
      <w:bookmarkEnd w:id="819"/>
      <w:bookmarkStart w:id="820" w:name="_Toc455602404"/>
      <w:bookmarkEnd w:id="820"/>
      <w:bookmarkStart w:id="821" w:name="_Toc455602271"/>
      <w:bookmarkEnd w:id="821"/>
      <w:bookmarkStart w:id="822" w:name="_Toc455602406"/>
      <w:bookmarkEnd w:id="822"/>
      <w:bookmarkStart w:id="823" w:name="_Toc455602403"/>
      <w:bookmarkEnd w:id="823"/>
      <w:bookmarkStart w:id="824" w:name="_Toc455602350"/>
      <w:bookmarkEnd w:id="824"/>
      <w:bookmarkStart w:id="825" w:name="_Toc455602359"/>
      <w:bookmarkEnd w:id="825"/>
      <w:bookmarkStart w:id="826" w:name="_Toc455602373"/>
      <w:bookmarkEnd w:id="826"/>
      <w:bookmarkStart w:id="827" w:name="_Toc455602401"/>
      <w:bookmarkEnd w:id="827"/>
      <w:bookmarkStart w:id="828" w:name="_Toc455602367"/>
      <w:bookmarkEnd w:id="828"/>
      <w:bookmarkStart w:id="829" w:name="_Toc455602392"/>
      <w:bookmarkEnd w:id="829"/>
      <w:bookmarkStart w:id="830" w:name="_Toc455602366"/>
      <w:bookmarkEnd w:id="830"/>
      <w:bookmarkStart w:id="831" w:name="_Toc455602368"/>
      <w:bookmarkEnd w:id="831"/>
      <w:bookmarkStart w:id="832" w:name="_Toc455602272"/>
      <w:bookmarkEnd w:id="832"/>
      <w:bookmarkStart w:id="833" w:name="_Toc455602296"/>
      <w:bookmarkEnd w:id="833"/>
      <w:bookmarkStart w:id="834" w:name="_Toc455602371"/>
      <w:bookmarkEnd w:id="834"/>
      <w:bookmarkStart w:id="835" w:name="_Toc455602396"/>
      <w:bookmarkEnd w:id="835"/>
      <w:bookmarkStart w:id="836" w:name="_Toc455602356"/>
      <w:bookmarkEnd w:id="836"/>
      <w:bookmarkStart w:id="837" w:name="_Toc455602397"/>
      <w:bookmarkEnd w:id="837"/>
      <w:bookmarkStart w:id="838" w:name="_Toc455602405"/>
      <w:bookmarkEnd w:id="838"/>
      <w:bookmarkStart w:id="839" w:name="_Toc455602402"/>
      <w:bookmarkEnd w:id="839"/>
      <w:bookmarkStart w:id="840" w:name="_Toc455602273"/>
      <w:bookmarkEnd w:id="840"/>
      <w:bookmarkStart w:id="841" w:name="_Toc455602394"/>
      <w:bookmarkEnd w:id="841"/>
      <w:bookmarkStart w:id="842" w:name="_Toc455602393"/>
      <w:bookmarkEnd w:id="842"/>
      <w:bookmarkStart w:id="843" w:name="_Toc455602354"/>
      <w:bookmarkEnd w:id="843"/>
      <w:bookmarkStart w:id="844" w:name="_Toc455602362"/>
      <w:bookmarkEnd w:id="844"/>
      <w:bookmarkStart w:id="845" w:name="_Toc455602369"/>
      <w:bookmarkEnd w:id="845"/>
      <w:bookmarkStart w:id="846" w:name="_Toc455602390"/>
      <w:bookmarkEnd w:id="846"/>
      <w:bookmarkStart w:id="847" w:name="_Toc455602372"/>
      <w:bookmarkEnd w:id="847"/>
      <w:bookmarkStart w:id="848" w:name="_Toc455602399"/>
      <w:bookmarkEnd w:id="848"/>
      <w:bookmarkStart w:id="849" w:name="_Toc455602395"/>
      <w:bookmarkEnd w:id="849"/>
      <w:bookmarkStart w:id="850" w:name="_Toc455602312"/>
      <w:bookmarkEnd w:id="850"/>
      <w:bookmarkStart w:id="851" w:name="_Toc455602370"/>
      <w:bookmarkEnd w:id="851"/>
      <w:bookmarkStart w:id="852" w:name="_Toc455602352"/>
      <w:bookmarkEnd w:id="852"/>
      <w:bookmarkStart w:id="853" w:name="_Toc455602361"/>
      <w:bookmarkEnd w:id="853"/>
      <w:bookmarkStart w:id="854" w:name="_Toc455602363"/>
      <w:bookmarkEnd w:id="854"/>
      <w:bookmarkStart w:id="855" w:name="_Toc455602391"/>
      <w:bookmarkEnd w:id="855"/>
      <w:bookmarkStart w:id="856" w:name="_Toc455602400"/>
      <w:bookmarkEnd w:id="856"/>
      <w:bookmarkStart w:id="857" w:name="_Toc18260"/>
      <w:bookmarkStart w:id="858" w:name="_Toc22282"/>
      <w:bookmarkStart w:id="859" w:name="_Toc7397"/>
      <w:bookmarkStart w:id="860" w:name="_Toc30128"/>
      <w:bookmarkStart w:id="861" w:name="_Toc24152"/>
      <w:bookmarkStart w:id="862" w:name="_Toc22087"/>
      <w:bookmarkStart w:id="863" w:name="_Toc27063"/>
      <w:bookmarkStart w:id="864" w:name="_Toc32120"/>
      <w:bookmarkStart w:id="865" w:name="_Toc4637"/>
      <w:bookmarkStart w:id="866" w:name="_Toc529434277"/>
      <w:bookmarkStart w:id="867" w:name="_Toc523646291"/>
      <w:r>
        <w:rPr>
          <w:rFonts w:hint="eastAsia"/>
          <w:color w:val="auto"/>
          <w:highlight w:val="none"/>
          <w:lang w:eastAsia="zh-CN"/>
        </w:rPr>
        <w:t>7.1</w:t>
      </w:r>
      <w:r>
        <w:rPr>
          <w:color w:val="auto"/>
          <w:highlight w:val="none"/>
        </w:rPr>
        <w:t>.1</w:t>
      </w:r>
      <w:r>
        <w:rPr>
          <w:rFonts w:hint="eastAsia"/>
          <w:color w:val="auto"/>
          <w:highlight w:val="none"/>
          <w:lang w:val="en-US" w:eastAsia="zh-CN"/>
        </w:rPr>
        <w:t xml:space="preserve"> </w:t>
      </w:r>
      <w:r>
        <w:rPr>
          <w:color w:val="auto"/>
          <w:highlight w:val="none"/>
        </w:rPr>
        <w:t>运营期水污染防治措施及可行性论证</w:t>
      </w:r>
      <w:bookmarkEnd w:id="857"/>
      <w:bookmarkEnd w:id="858"/>
      <w:bookmarkEnd w:id="859"/>
      <w:bookmarkEnd w:id="860"/>
      <w:bookmarkEnd w:id="861"/>
      <w:bookmarkEnd w:id="862"/>
      <w:bookmarkEnd w:id="863"/>
      <w:bookmarkEnd w:id="864"/>
      <w:bookmarkEnd w:id="865"/>
    </w:p>
    <w:p w14:paraId="7699DFDC">
      <w:pPr>
        <w:bidi w:val="0"/>
        <w:rPr>
          <w:rFonts w:hint="eastAsia"/>
          <w:color w:val="auto"/>
          <w:highlight w:val="none"/>
          <w:lang w:eastAsia="zh-CN"/>
        </w:rPr>
      </w:pPr>
      <w:r>
        <w:rPr>
          <w:rFonts w:hint="eastAsia"/>
          <w:color w:val="auto"/>
          <w:highlight w:val="none"/>
          <w:lang w:eastAsia="zh-CN"/>
        </w:rPr>
        <w:t>（1）生活污水</w:t>
      </w:r>
    </w:p>
    <w:p w14:paraId="70E59F00">
      <w:pPr>
        <w:bidi w:val="0"/>
        <w:rPr>
          <w:rFonts w:hint="eastAsia"/>
          <w:color w:val="auto"/>
          <w:highlight w:val="none"/>
          <w:lang w:eastAsia="zh-CN"/>
        </w:rPr>
      </w:pPr>
      <w:r>
        <w:rPr>
          <w:rFonts w:hint="eastAsia"/>
          <w:color w:val="auto"/>
          <w:highlight w:val="none"/>
          <w:lang w:eastAsia="zh-CN"/>
        </w:rPr>
        <w:t>生活污水经出租方已建化粪池处理后，纳入市政污水管网，排入青口汽车工业开发区污水处理厂进一步处理。</w:t>
      </w:r>
    </w:p>
    <w:p w14:paraId="5ADF3E85">
      <w:pPr>
        <w:bidi w:val="0"/>
        <w:rPr>
          <w:rFonts w:hint="eastAsia"/>
          <w:color w:val="auto"/>
          <w:highlight w:val="none"/>
          <w:lang w:eastAsia="zh-CN"/>
        </w:rPr>
      </w:pPr>
      <w:r>
        <w:rPr>
          <w:rFonts w:hint="eastAsia"/>
          <w:color w:val="auto"/>
          <w:highlight w:val="none"/>
          <w:lang w:eastAsia="zh-CN"/>
        </w:rPr>
        <w:t>（2）生产废水</w:t>
      </w:r>
    </w:p>
    <w:p w14:paraId="2478DBC3">
      <w:pPr>
        <w:bidi w:val="0"/>
        <w:rPr>
          <w:rFonts w:hint="eastAsia"/>
          <w:color w:val="auto"/>
          <w:highlight w:val="none"/>
          <w:lang w:eastAsia="zh-CN"/>
        </w:rPr>
      </w:pPr>
      <w:r>
        <w:rPr>
          <w:rFonts w:hint="default"/>
          <w:color w:val="auto"/>
          <w:highlight w:val="none"/>
          <w:lang w:eastAsia="zh-CN"/>
        </w:rPr>
        <w:t>①</w:t>
      </w:r>
      <w:r>
        <w:rPr>
          <w:rFonts w:hint="eastAsia"/>
          <w:color w:val="auto"/>
          <w:highlight w:val="none"/>
          <w:lang w:eastAsia="zh-CN"/>
        </w:rPr>
        <w:t>注塑冷却水</w:t>
      </w:r>
    </w:p>
    <w:p w14:paraId="03225CAE">
      <w:pPr>
        <w:bidi w:val="0"/>
        <w:rPr>
          <w:rFonts w:hint="eastAsia"/>
          <w:color w:val="auto"/>
          <w:highlight w:val="none"/>
          <w:lang w:eastAsia="zh-CN"/>
        </w:rPr>
      </w:pPr>
      <w:r>
        <w:rPr>
          <w:rFonts w:hint="eastAsia"/>
          <w:color w:val="auto"/>
          <w:highlight w:val="none"/>
          <w:lang w:eastAsia="zh-CN"/>
        </w:rPr>
        <w:t>注塑工序冷却水为间接接触冷却水，不与物料、产品直接接触，仅通过冷却设备与模具进行热交换，水质基本不受污染，冷却水经冷却塔降温后全部循环使用，不外排。</w:t>
      </w:r>
    </w:p>
    <w:p w14:paraId="2C27B40B">
      <w:pPr>
        <w:bidi w:val="0"/>
        <w:rPr>
          <w:rFonts w:hint="eastAsia"/>
          <w:color w:val="auto"/>
          <w:highlight w:val="none"/>
          <w:lang w:val="en-US" w:eastAsia="zh-CN"/>
        </w:rPr>
      </w:pPr>
      <w:r>
        <w:rPr>
          <w:rFonts w:hint="eastAsia"/>
          <w:color w:val="auto"/>
          <w:highlight w:val="none"/>
          <w:lang w:eastAsia="zh-CN"/>
        </w:rPr>
        <w:t>②冰水机配套的设备冷却水</w:t>
      </w:r>
    </w:p>
    <w:p w14:paraId="197D5350">
      <w:pPr>
        <w:bidi w:val="0"/>
        <w:rPr>
          <w:rFonts w:hint="default"/>
          <w:color w:val="auto"/>
          <w:highlight w:val="none"/>
          <w:lang w:val="en-US" w:eastAsia="zh-CN"/>
        </w:rPr>
      </w:pPr>
      <w:r>
        <w:rPr>
          <w:rFonts w:hint="default"/>
          <w:color w:val="auto"/>
          <w:highlight w:val="none"/>
          <w:lang w:val="en-US" w:eastAsia="zh-CN"/>
        </w:rPr>
        <w:t>本项目冰水机配套冷却塔冷却水，为间接冷却水，水质基本不受污染。冷却水经降温后全部循环使用，不外排，仅定期补充因蒸发、风吹等损耗的水量。</w:t>
      </w:r>
    </w:p>
    <w:p w14:paraId="2A90DCEC">
      <w:pPr>
        <w:bidi w:val="0"/>
        <w:rPr>
          <w:rFonts w:hint="eastAsia"/>
          <w:color w:val="auto"/>
          <w:highlight w:val="none"/>
          <w:lang w:eastAsia="zh-CN"/>
        </w:rPr>
      </w:pPr>
      <w:r>
        <w:rPr>
          <w:rFonts w:hint="eastAsia"/>
          <w:color w:val="auto"/>
          <w:highlight w:val="none"/>
          <w:lang w:eastAsia="zh-CN"/>
        </w:rPr>
        <w:t>③热洁炉换热器冷却水</w:t>
      </w:r>
    </w:p>
    <w:p w14:paraId="52EDD29B">
      <w:pPr>
        <w:bidi w:val="0"/>
        <w:rPr>
          <w:rFonts w:hint="default"/>
          <w:color w:val="auto"/>
          <w:highlight w:val="none"/>
          <w:lang w:val="en-US" w:eastAsia="zh-CN"/>
        </w:rPr>
      </w:pPr>
      <w:r>
        <w:rPr>
          <w:rFonts w:hint="default"/>
          <w:color w:val="auto"/>
          <w:highlight w:val="none"/>
          <w:lang w:val="en-US" w:eastAsia="zh-CN"/>
        </w:rPr>
        <w:t>本项目热洁炉换热器冷却水为间接冷却水，不与炉内物料及燃烧废气直接接触，仅通过换热器进行热交换，水质基本不受污染。冷却水换热器配套降温设施降温后全部循环使用，不外排，仅定期补充因蒸发、风吹及排污等损耗的水量。</w:t>
      </w:r>
    </w:p>
    <w:p w14:paraId="43405D73">
      <w:pPr>
        <w:bidi w:val="0"/>
        <w:rPr>
          <w:rFonts w:hint="eastAsia"/>
          <w:color w:val="auto"/>
          <w:highlight w:val="none"/>
          <w:lang w:eastAsia="zh-CN"/>
        </w:rPr>
      </w:pPr>
      <w:r>
        <w:rPr>
          <w:rFonts w:hint="default"/>
          <w:color w:val="auto"/>
          <w:highlight w:val="none"/>
          <w:lang w:eastAsia="zh-CN"/>
        </w:rPr>
        <w:t>④</w:t>
      </w:r>
      <w:r>
        <w:rPr>
          <w:rFonts w:hint="eastAsia"/>
          <w:color w:val="auto"/>
          <w:highlight w:val="none"/>
          <w:lang w:eastAsia="zh-CN"/>
        </w:rPr>
        <w:t>锅炉排污水</w:t>
      </w:r>
    </w:p>
    <w:p w14:paraId="717F03D2">
      <w:pPr>
        <w:bidi w:val="0"/>
        <w:rPr>
          <w:rFonts w:hint="eastAsia"/>
          <w:color w:val="auto"/>
          <w:highlight w:val="none"/>
          <w:lang w:eastAsia="zh-CN"/>
        </w:rPr>
      </w:pPr>
      <w:r>
        <w:rPr>
          <w:rFonts w:hint="eastAsia"/>
          <w:color w:val="auto"/>
          <w:highlight w:val="none"/>
          <w:lang w:eastAsia="zh-CN"/>
        </w:rPr>
        <w:t>锅炉排污水水质相对清洁，主要污染物为pH、COD、SS及少量溶解性盐类，不含重金属及有毒有害物质。该废水经冷却降温后经厂区污水总排口接入市政污水管网。</w:t>
      </w:r>
    </w:p>
    <w:p w14:paraId="774B6A93">
      <w:pPr>
        <w:bidi w:val="0"/>
        <w:rPr>
          <w:rFonts w:hint="eastAsia"/>
          <w:color w:val="auto"/>
          <w:highlight w:val="none"/>
          <w:lang w:eastAsia="zh-CN"/>
        </w:rPr>
      </w:pPr>
      <w:r>
        <w:rPr>
          <w:rFonts w:hint="default"/>
          <w:color w:val="auto"/>
          <w:highlight w:val="none"/>
          <w:lang w:eastAsia="zh-CN"/>
        </w:rPr>
        <w:t>⑤</w:t>
      </w:r>
      <w:r>
        <w:rPr>
          <w:rFonts w:hint="eastAsia"/>
          <w:color w:val="auto"/>
          <w:highlight w:val="none"/>
          <w:lang w:eastAsia="zh-CN"/>
        </w:rPr>
        <w:t>纯水制备反渗透浓水</w:t>
      </w:r>
    </w:p>
    <w:p w14:paraId="676E987C">
      <w:pPr>
        <w:bidi w:val="0"/>
        <w:rPr>
          <w:rFonts w:hint="eastAsia"/>
          <w:color w:val="auto"/>
          <w:highlight w:val="none"/>
          <w:lang w:eastAsia="zh-CN"/>
        </w:rPr>
      </w:pPr>
      <w:r>
        <w:rPr>
          <w:rFonts w:hint="eastAsia"/>
          <w:color w:val="auto"/>
          <w:highlight w:val="none"/>
          <w:lang w:eastAsia="zh-CN"/>
        </w:rPr>
        <w:t>反渗透浓水主要污染物为高浓度溶解性总固体（TDS）及少量COD，不含重金属及有毒有害物质。该废水水质简单，经厂区污水总排口接入市政污水管网。</w:t>
      </w:r>
    </w:p>
    <w:p w14:paraId="51DE54BB">
      <w:pPr>
        <w:pStyle w:val="5"/>
        <w:numPr>
          <w:ilvl w:val="0"/>
          <w:numId w:val="0"/>
        </w:numPr>
        <w:bidi w:val="0"/>
        <w:ind w:leftChars="0"/>
        <w:rPr>
          <w:color w:val="auto"/>
          <w:highlight w:val="none"/>
        </w:rPr>
      </w:pPr>
      <w:r>
        <w:rPr>
          <w:rFonts w:hint="eastAsia"/>
          <w:color w:val="auto"/>
          <w:highlight w:val="none"/>
          <w:lang w:eastAsia="zh-CN"/>
        </w:rPr>
        <w:t>7.1</w:t>
      </w:r>
      <w:r>
        <w:rPr>
          <w:color w:val="auto"/>
          <w:highlight w:val="none"/>
        </w:rPr>
        <w:t>.1.1</w:t>
      </w:r>
      <w:r>
        <w:rPr>
          <w:rFonts w:hint="eastAsia"/>
          <w:color w:val="auto"/>
          <w:highlight w:val="none"/>
          <w:lang w:val="en-US" w:eastAsia="zh-CN"/>
        </w:rPr>
        <w:t xml:space="preserve"> 生活污水</w:t>
      </w:r>
      <w:r>
        <w:rPr>
          <w:color w:val="auto"/>
          <w:highlight w:val="none"/>
        </w:rPr>
        <w:t>治理措施可行性</w:t>
      </w:r>
    </w:p>
    <w:p w14:paraId="508872E0">
      <w:pPr>
        <w:widowControl w:val="0"/>
        <w:bidi w:val="0"/>
        <w:spacing w:line="360" w:lineRule="auto"/>
        <w:ind w:firstLine="482" w:firstLineChars="200"/>
        <w:jc w:val="both"/>
        <w:rPr>
          <w:rFonts w:hint="default"/>
          <w:b/>
          <w:bCs/>
          <w:color w:val="auto"/>
          <w:highlight w:val="none"/>
        </w:rPr>
      </w:pPr>
      <w:r>
        <w:rPr>
          <w:rFonts w:hint="default"/>
          <w:b/>
          <w:bCs/>
          <w:color w:val="auto"/>
          <w:highlight w:val="none"/>
        </w:rPr>
        <w:t>（1）</w:t>
      </w:r>
      <w:r>
        <w:rPr>
          <w:rFonts w:hint="eastAsia"/>
          <w:b/>
          <w:bCs/>
          <w:color w:val="auto"/>
          <w:highlight w:val="none"/>
          <w:lang w:val="en-US" w:eastAsia="zh-CN"/>
        </w:rPr>
        <w:t>依托</w:t>
      </w:r>
      <w:r>
        <w:rPr>
          <w:rFonts w:hint="default"/>
          <w:b/>
          <w:bCs/>
          <w:color w:val="auto"/>
          <w:highlight w:val="none"/>
        </w:rPr>
        <w:t>现有化粪池调查情况</w:t>
      </w:r>
    </w:p>
    <w:p w14:paraId="44109BA9">
      <w:pPr>
        <w:widowControl w:val="0"/>
        <w:bidi w:val="0"/>
        <w:spacing w:line="360" w:lineRule="auto"/>
        <w:ind w:firstLine="480" w:firstLineChars="200"/>
        <w:jc w:val="both"/>
        <w:rPr>
          <w:rFonts w:hint="default"/>
          <w:color w:val="auto"/>
          <w:highlight w:val="none"/>
        </w:rPr>
      </w:pPr>
      <w:r>
        <w:rPr>
          <w:rFonts w:hint="default"/>
          <w:color w:val="auto"/>
          <w:highlight w:val="none"/>
        </w:rPr>
        <w:t>经现场调查，本项目租赁的两个厂房均各自独立配套建设了1座三级化粪池，合计共2座，单座有效容积均为2m</w:t>
      </w:r>
      <w:r>
        <w:rPr>
          <w:rFonts w:hint="eastAsia"/>
          <w:color w:val="auto"/>
          <w:highlight w:val="none"/>
          <w:vertAlign w:val="superscript"/>
          <w:lang w:val="en-US" w:eastAsia="zh-CN"/>
        </w:rPr>
        <w:t>3</w:t>
      </w:r>
      <w:r>
        <w:rPr>
          <w:rFonts w:hint="default"/>
          <w:color w:val="auto"/>
          <w:highlight w:val="none"/>
        </w:rPr>
        <w:t>，总有效容积为4m</w:t>
      </w:r>
      <w:r>
        <w:rPr>
          <w:rFonts w:hint="eastAsia"/>
          <w:color w:val="auto"/>
          <w:highlight w:val="none"/>
          <w:vertAlign w:val="superscript"/>
          <w:lang w:val="en-US" w:eastAsia="zh-CN"/>
        </w:rPr>
        <w:t>3</w:t>
      </w:r>
      <w:r>
        <w:rPr>
          <w:rFonts w:hint="default"/>
          <w:color w:val="auto"/>
          <w:highlight w:val="none"/>
        </w:rPr>
        <w:t>。该两座化粪池均专属供本项目使用，不接纳其他楼栋或外部污水。现场核查，两座化粪池结构完好，无渗漏、堵塞或满溢现象；进水管、过粪管及出水溢流管通畅，池顶清渣口与清掏口盖板完整，具备定期清掏条件，目前运行正常。</w:t>
      </w:r>
    </w:p>
    <w:p w14:paraId="45FBFA67">
      <w:pPr>
        <w:widowControl w:val="0"/>
        <w:bidi w:val="0"/>
        <w:spacing w:line="360" w:lineRule="auto"/>
        <w:ind w:firstLine="482" w:firstLineChars="200"/>
        <w:jc w:val="both"/>
        <w:rPr>
          <w:rFonts w:hint="default"/>
          <w:b/>
          <w:bCs/>
          <w:color w:val="auto"/>
          <w:highlight w:val="none"/>
        </w:rPr>
      </w:pPr>
      <w:r>
        <w:rPr>
          <w:rFonts w:hint="default"/>
          <w:b/>
          <w:bCs/>
          <w:color w:val="auto"/>
          <w:highlight w:val="none"/>
        </w:rPr>
        <w:t>（2）处理规模匹配性分析</w:t>
      </w:r>
    </w:p>
    <w:p w14:paraId="04E3FF1C">
      <w:pPr>
        <w:widowControl w:val="0"/>
        <w:bidi w:val="0"/>
        <w:spacing w:line="360" w:lineRule="auto"/>
        <w:ind w:firstLine="480" w:firstLineChars="200"/>
        <w:jc w:val="both"/>
        <w:rPr>
          <w:rFonts w:hint="default"/>
          <w:color w:val="auto"/>
          <w:highlight w:val="none"/>
        </w:rPr>
      </w:pPr>
      <w:r>
        <w:rPr>
          <w:rFonts w:hint="eastAsia"/>
          <w:color w:val="auto"/>
          <w:highlight w:val="none"/>
          <w:lang w:val="en-US" w:eastAsia="zh-CN"/>
        </w:rPr>
        <w:t>根据源强核算，</w:t>
      </w:r>
      <w:r>
        <w:rPr>
          <w:rFonts w:hint="default"/>
          <w:color w:val="auto"/>
          <w:highlight w:val="none"/>
        </w:rPr>
        <w:t>本项目全厂进入化粪池处理的生活污水量为2t/d（按最不利工况计）。根据《建筑给水排水设计标准》（GB 50015-2019），化粪池有效容积应由污水部分容积与污泥部分容积共同确定，污水停留时间宜采用12h～24h。本项目按污水在池内停留24h核算，所需污水区容积为2m</w:t>
      </w:r>
      <w:r>
        <w:rPr>
          <w:rFonts w:hint="eastAsia"/>
          <w:color w:val="auto"/>
          <w:highlight w:val="none"/>
          <w:vertAlign w:val="superscript"/>
          <w:lang w:val="en-US" w:eastAsia="zh-CN"/>
        </w:rPr>
        <w:t>3</w:t>
      </w:r>
      <w:r>
        <w:rPr>
          <w:rFonts w:hint="default"/>
          <w:color w:val="auto"/>
          <w:highlight w:val="none"/>
        </w:rPr>
        <w:t>/d×1d=2m</w:t>
      </w:r>
      <w:r>
        <w:rPr>
          <w:rFonts w:hint="eastAsia"/>
          <w:color w:val="auto"/>
          <w:highlight w:val="none"/>
          <w:vertAlign w:val="superscript"/>
          <w:lang w:val="en-US" w:eastAsia="zh-CN"/>
        </w:rPr>
        <w:t>3</w:t>
      </w:r>
      <w:r>
        <w:rPr>
          <w:rFonts w:hint="default"/>
          <w:color w:val="auto"/>
          <w:highlight w:val="none"/>
        </w:rPr>
        <w:t>；现有4m</w:t>
      </w:r>
      <w:r>
        <w:rPr>
          <w:rFonts w:hint="eastAsia"/>
          <w:color w:val="auto"/>
          <w:highlight w:val="none"/>
          <w:vertAlign w:val="superscript"/>
          <w:lang w:val="en-US" w:eastAsia="zh-CN"/>
        </w:rPr>
        <w:t>3</w:t>
      </w:r>
      <w:r>
        <w:rPr>
          <w:rFonts w:hint="default"/>
          <w:color w:val="auto"/>
          <w:highlight w:val="none"/>
        </w:rPr>
        <w:t>有效容积中可用于污水停留的余量仍大于2m</w:t>
      </w:r>
      <w:r>
        <w:rPr>
          <w:rFonts w:hint="eastAsia"/>
          <w:color w:val="auto"/>
          <w:highlight w:val="none"/>
          <w:vertAlign w:val="superscript"/>
          <w:lang w:val="en-US" w:eastAsia="zh-CN"/>
        </w:rPr>
        <w:t>3</w:t>
      </w:r>
      <w:r>
        <w:rPr>
          <w:rFonts w:hint="default"/>
          <w:color w:val="auto"/>
          <w:highlight w:val="none"/>
        </w:rPr>
        <w:t>，满足24h停留时间要求，并有一定余量。因此，从处理规模上看，现有化粪池能够接纳本项目新增生活污水量，不会造成池容超负荷或污水短流溢流。</w:t>
      </w:r>
      <w:r>
        <w:rPr>
          <w:rFonts w:hint="default"/>
          <w:color w:val="auto"/>
          <w:highlight w:val="none"/>
        </w:rPr>
        <w:fldChar w:fldCharType="begin"/>
      </w:r>
      <w:r>
        <w:rPr>
          <w:rFonts w:hint="default"/>
          <w:color w:val="auto"/>
          <w:highlight w:val="none"/>
        </w:rPr>
        <w:instrText xml:space="preserve"> HYPERLINK "https://www.suijiang.gov.cn/suijiang/upload/files/2024/7/2db606e477bdc357.pdf" \l "16#30#16" \t "https://chat.deepseek.com/a/chat/s/_blank" </w:instrText>
      </w:r>
      <w:r>
        <w:rPr>
          <w:rFonts w:hint="default"/>
          <w:color w:val="auto"/>
          <w:highlight w:val="none"/>
        </w:rPr>
        <w:fldChar w:fldCharType="separate"/>
      </w:r>
      <w:r>
        <w:rPr>
          <w:rFonts w:hint="default"/>
          <w:color w:val="auto"/>
          <w:highlight w:val="none"/>
        </w:rPr>
        <w:fldChar w:fldCharType="end"/>
      </w:r>
      <w:r>
        <w:rPr>
          <w:rFonts w:hint="default"/>
          <w:color w:val="auto"/>
          <w:highlight w:val="none"/>
        </w:rPr>
        <w:fldChar w:fldCharType="begin"/>
      </w:r>
      <w:r>
        <w:rPr>
          <w:rFonts w:hint="default"/>
          <w:color w:val="auto"/>
          <w:highlight w:val="none"/>
        </w:rPr>
        <w:instrText xml:space="preserve"> HYPERLINK "http://www.chongyi.gov.cn/cyxxxgk/cy8439/202512/210c46590b144c5d8704d938e678b311/files/bf1d12a0e6544ded874e4944a862cd85.pdf" \l "9#11#9" \t "https://chat.deepseek.com/a/chat/s/_blank" </w:instrText>
      </w:r>
      <w:r>
        <w:rPr>
          <w:rFonts w:hint="default"/>
          <w:color w:val="auto"/>
          <w:highlight w:val="none"/>
        </w:rPr>
        <w:fldChar w:fldCharType="separate"/>
      </w:r>
      <w:r>
        <w:rPr>
          <w:rFonts w:hint="default"/>
          <w:color w:val="auto"/>
          <w:highlight w:val="none"/>
        </w:rPr>
        <w:fldChar w:fldCharType="end"/>
      </w:r>
    </w:p>
    <w:p w14:paraId="1139D8AE">
      <w:pPr>
        <w:widowControl w:val="0"/>
        <w:bidi w:val="0"/>
        <w:spacing w:line="360" w:lineRule="auto"/>
        <w:ind w:firstLine="482" w:firstLineChars="200"/>
        <w:jc w:val="both"/>
        <w:rPr>
          <w:rFonts w:hint="default"/>
          <w:b/>
          <w:bCs/>
          <w:color w:val="auto"/>
          <w:highlight w:val="none"/>
        </w:rPr>
      </w:pPr>
      <w:r>
        <w:rPr>
          <w:rFonts w:hint="default"/>
          <w:b/>
          <w:bCs/>
          <w:color w:val="auto"/>
          <w:highlight w:val="none"/>
        </w:rPr>
        <w:t>（3）运行状况与依托可行性</w:t>
      </w:r>
    </w:p>
    <w:p w14:paraId="6AA830F8">
      <w:pPr>
        <w:widowControl w:val="0"/>
        <w:bidi w:val="0"/>
        <w:spacing w:line="360" w:lineRule="auto"/>
        <w:ind w:firstLine="480" w:firstLineChars="200"/>
        <w:jc w:val="both"/>
        <w:rPr>
          <w:rFonts w:hint="default"/>
          <w:color w:val="auto"/>
          <w:highlight w:val="none"/>
        </w:rPr>
      </w:pPr>
      <w:r>
        <w:rPr>
          <w:rFonts w:hint="default"/>
          <w:color w:val="auto"/>
          <w:highlight w:val="none"/>
        </w:rPr>
        <w:t>现有化粪池目前运行工况稳定，清掏维护由厂区统一管理，具备定期清掏记录。本项目新增生活污水进入后，化粪池总进水量仍在其有效容积承载范围内，不会改变其正常运行状态。化粪池通过沉淀和厌氧发酵，可有效去除大部分悬浮物及部分有机污染物，出水水质可满足后续纳管要求。本项目生活污水经化粪池预处理后，污染物浓度满足《污水综合排放标准》（GB 8978-1996）表4三级标准（其中氨氮参照执行《污水排入城镇下水道水质标准》（GB/T 31962-2015）表1B级标准），纳管排放可行。</w:t>
      </w:r>
      <w:r>
        <w:rPr>
          <w:rFonts w:hint="default"/>
          <w:color w:val="auto"/>
          <w:highlight w:val="none"/>
        </w:rPr>
        <w:fldChar w:fldCharType="begin"/>
      </w:r>
      <w:r>
        <w:rPr>
          <w:rFonts w:hint="default"/>
          <w:color w:val="auto"/>
          <w:highlight w:val="none"/>
        </w:rPr>
        <w:instrText xml:space="preserve"> HYPERLINK "http://www.chongyi.gov.cn/cyxxxgk/cy8439/202512/210c46590b144c5d8704d938e678b311/files/bf1d12a0e6544ded874e4944a862cd85.pdf" \l "9#11#9" \t "https://chat.deepseek.com/a/chat/s/_blank" </w:instrText>
      </w:r>
      <w:r>
        <w:rPr>
          <w:rFonts w:hint="default"/>
          <w:color w:val="auto"/>
          <w:highlight w:val="none"/>
        </w:rPr>
        <w:fldChar w:fldCharType="separate"/>
      </w:r>
      <w:r>
        <w:rPr>
          <w:rFonts w:hint="default"/>
          <w:color w:val="auto"/>
          <w:highlight w:val="none"/>
        </w:rPr>
        <w:fldChar w:fldCharType="end"/>
      </w:r>
    </w:p>
    <w:p w14:paraId="2F16475E">
      <w:pPr>
        <w:widowControl w:val="0"/>
        <w:bidi w:val="0"/>
        <w:spacing w:line="360" w:lineRule="auto"/>
        <w:ind w:firstLine="480" w:firstLineChars="200"/>
        <w:jc w:val="both"/>
        <w:rPr>
          <w:rFonts w:hint="default"/>
          <w:color w:val="auto"/>
          <w:highlight w:val="none"/>
        </w:rPr>
      </w:pPr>
      <w:r>
        <w:rPr>
          <w:rFonts w:hint="default"/>
          <w:color w:val="auto"/>
          <w:highlight w:val="none"/>
        </w:rPr>
        <w:t>综上，现有化粪池容积满足本项目生活污水停留时间要求，运行状况良好，依托可行。</w:t>
      </w:r>
    </w:p>
    <w:bookmarkEnd w:id="866"/>
    <w:bookmarkEnd w:id="867"/>
    <w:p w14:paraId="00989670">
      <w:pPr>
        <w:pStyle w:val="4"/>
        <w:numPr>
          <w:ilvl w:val="0"/>
          <w:numId w:val="0"/>
        </w:numPr>
        <w:tabs>
          <w:tab w:val="clear" w:pos="720"/>
        </w:tabs>
        <w:bidi w:val="0"/>
        <w:rPr>
          <w:color w:val="auto"/>
          <w:highlight w:val="none"/>
        </w:rPr>
      </w:pPr>
      <w:bookmarkStart w:id="868" w:name="_Toc28620"/>
      <w:bookmarkStart w:id="869" w:name="_Toc11882"/>
      <w:bookmarkStart w:id="870" w:name="_Toc18568"/>
      <w:bookmarkStart w:id="871" w:name="_Toc32665"/>
      <w:bookmarkStart w:id="872" w:name="_Toc7592"/>
      <w:bookmarkStart w:id="873" w:name="_Toc12489"/>
      <w:bookmarkStart w:id="874" w:name="_Toc28102"/>
      <w:bookmarkStart w:id="875" w:name="_Toc17626"/>
      <w:bookmarkStart w:id="876" w:name="_Toc10575"/>
      <w:r>
        <w:rPr>
          <w:rFonts w:hint="eastAsia"/>
          <w:color w:val="auto"/>
          <w:highlight w:val="none"/>
          <w:lang w:eastAsia="zh-CN"/>
        </w:rPr>
        <w:t>7.1</w:t>
      </w:r>
      <w:r>
        <w:rPr>
          <w:color w:val="auto"/>
          <w:highlight w:val="none"/>
        </w:rPr>
        <w:t>.2</w:t>
      </w:r>
      <w:r>
        <w:rPr>
          <w:rFonts w:hint="eastAsia"/>
          <w:color w:val="auto"/>
          <w:highlight w:val="none"/>
          <w:lang w:val="en-US" w:eastAsia="zh-CN"/>
        </w:rPr>
        <w:t xml:space="preserve"> </w:t>
      </w:r>
      <w:r>
        <w:rPr>
          <w:color w:val="auto"/>
          <w:highlight w:val="none"/>
        </w:rPr>
        <w:t>运营期大气污染防治措施及可行性论证</w:t>
      </w:r>
      <w:bookmarkEnd w:id="868"/>
      <w:bookmarkEnd w:id="869"/>
      <w:bookmarkEnd w:id="870"/>
      <w:bookmarkEnd w:id="871"/>
      <w:bookmarkEnd w:id="872"/>
      <w:bookmarkEnd w:id="873"/>
      <w:bookmarkEnd w:id="874"/>
      <w:bookmarkEnd w:id="875"/>
      <w:bookmarkEnd w:id="876"/>
    </w:p>
    <w:p w14:paraId="6C968239">
      <w:pPr>
        <w:pStyle w:val="5"/>
        <w:numPr>
          <w:ilvl w:val="0"/>
          <w:numId w:val="0"/>
        </w:numPr>
        <w:bidi w:val="0"/>
        <w:ind w:leftChars="0"/>
        <w:rPr>
          <w:rFonts w:hint="eastAsia"/>
          <w:color w:val="auto"/>
          <w:highlight w:val="none"/>
          <w:lang w:val="en-US" w:eastAsia="zh-CN"/>
        </w:rPr>
      </w:pPr>
      <w:r>
        <w:rPr>
          <w:rFonts w:hint="eastAsia"/>
          <w:color w:val="auto"/>
          <w:highlight w:val="none"/>
          <w:lang w:val="en-US" w:eastAsia="zh-CN"/>
        </w:rPr>
        <w:t>7.1.2.1 有组织废气收集方式可行性</w:t>
      </w:r>
    </w:p>
    <w:p w14:paraId="740AB5A2">
      <w:pPr>
        <w:pStyle w:val="1319"/>
        <w:ind w:firstLine="480"/>
        <w:rPr>
          <w:rFonts w:hint="eastAsia"/>
          <w:color w:val="auto"/>
          <w:highlight w:val="none"/>
        </w:rPr>
      </w:pPr>
      <w:r>
        <w:rPr>
          <w:rFonts w:hint="eastAsia"/>
          <w:color w:val="auto"/>
          <w:highlight w:val="none"/>
        </w:rPr>
        <w:t>本项目各类废气均根据其产生环节和污染物特性，分别设置相应的收集方式和处理设施：</w:t>
      </w:r>
    </w:p>
    <w:p w14:paraId="13D88C2B">
      <w:pPr>
        <w:pStyle w:val="1319"/>
        <w:ind w:firstLine="480"/>
        <w:rPr>
          <w:rFonts w:hint="eastAsia"/>
          <w:color w:val="auto"/>
          <w:highlight w:val="none"/>
        </w:rPr>
      </w:pPr>
      <w:r>
        <w:rPr>
          <w:rFonts w:hint="eastAsia"/>
          <w:color w:val="auto"/>
          <w:highlight w:val="none"/>
        </w:rPr>
        <w:t>（1）喷漆、流平、烘干</w:t>
      </w:r>
      <w:r>
        <w:rPr>
          <w:rFonts w:hint="eastAsia"/>
          <w:color w:val="auto"/>
          <w:highlight w:val="none"/>
          <w:lang w:val="en-US" w:eastAsia="zh-CN"/>
        </w:rPr>
        <w:t>以及喷枪清洗</w:t>
      </w:r>
      <w:r>
        <w:rPr>
          <w:rFonts w:hint="eastAsia"/>
          <w:color w:val="auto"/>
          <w:highlight w:val="none"/>
        </w:rPr>
        <w:t>废气</w:t>
      </w:r>
    </w:p>
    <w:p w14:paraId="0A745DE1">
      <w:pPr>
        <w:pStyle w:val="1319"/>
        <w:ind w:firstLine="480"/>
        <w:rPr>
          <w:rFonts w:hint="eastAsia"/>
          <w:color w:val="auto"/>
          <w:highlight w:val="none"/>
        </w:rPr>
      </w:pPr>
      <w:r>
        <w:rPr>
          <w:rFonts w:hint="eastAsia"/>
          <w:color w:val="auto"/>
          <w:highlight w:val="none"/>
        </w:rPr>
        <w:t>喷漆室、流平室、油漆烘干室</w:t>
      </w:r>
      <w:r>
        <w:rPr>
          <w:rFonts w:hint="eastAsia"/>
          <w:color w:val="auto"/>
          <w:highlight w:val="none"/>
          <w:lang w:val="en-US" w:eastAsia="zh-CN"/>
        </w:rPr>
        <w:t>以及喷枪清洗</w:t>
      </w:r>
      <w:r>
        <w:rPr>
          <w:rFonts w:hint="eastAsia"/>
          <w:color w:val="auto"/>
          <w:highlight w:val="none"/>
        </w:rPr>
        <w:t>产生的有机废气</w:t>
      </w:r>
      <w:r>
        <w:rPr>
          <w:rFonts w:hint="eastAsia"/>
          <w:color w:val="auto"/>
          <w:highlight w:val="none"/>
          <w:lang w:eastAsia="zh-CN"/>
        </w:rPr>
        <w:t>、</w:t>
      </w:r>
      <w:r>
        <w:rPr>
          <w:rFonts w:hint="eastAsia"/>
          <w:color w:val="auto"/>
          <w:highlight w:val="none"/>
          <w:lang w:val="en-US" w:eastAsia="zh-CN"/>
        </w:rPr>
        <w:t>漆雾（颗粒物）</w:t>
      </w:r>
      <w:r>
        <w:rPr>
          <w:rFonts w:hint="eastAsia"/>
          <w:color w:val="auto"/>
          <w:highlight w:val="none"/>
        </w:rPr>
        <w:t>经负压收集后，统一由</w:t>
      </w:r>
      <w:r>
        <w:rPr>
          <w:rFonts w:hint="eastAsia"/>
          <w:color w:val="auto"/>
          <w:highlight w:val="none"/>
          <w:lang w:eastAsia="zh-CN"/>
        </w:rPr>
        <w:t>“干式纸盒+过滤棉过滤+RTO蓄热式焚烧炉”</w:t>
      </w:r>
      <w:r>
        <w:rPr>
          <w:rFonts w:hint="eastAsia"/>
          <w:color w:val="auto"/>
          <w:highlight w:val="none"/>
        </w:rPr>
        <w:t>（TA001）处理达标后，经20m高排气筒（DA001）高空排放。喷漆、流平、烘干</w:t>
      </w:r>
      <w:r>
        <w:rPr>
          <w:rFonts w:hint="eastAsia"/>
          <w:color w:val="auto"/>
          <w:highlight w:val="none"/>
          <w:lang w:val="en-US" w:eastAsia="zh-CN"/>
        </w:rPr>
        <w:t>以及喷枪清洗</w:t>
      </w:r>
      <w:r>
        <w:rPr>
          <w:rFonts w:hint="eastAsia"/>
          <w:color w:val="auto"/>
          <w:highlight w:val="none"/>
        </w:rPr>
        <w:t>工序均在密闭设备/房内进行，负压收集可保证废气有效捕集，收集方式可行。</w:t>
      </w:r>
    </w:p>
    <w:p w14:paraId="2A2AA617">
      <w:pPr>
        <w:pStyle w:val="1319"/>
        <w:ind w:firstLine="480"/>
        <w:rPr>
          <w:rFonts w:hint="eastAsia"/>
          <w:color w:val="auto"/>
          <w:highlight w:val="none"/>
        </w:rPr>
      </w:pPr>
      <w:r>
        <w:rPr>
          <w:rFonts w:hint="eastAsia"/>
          <w:color w:val="auto"/>
          <w:highlight w:val="none"/>
        </w:rPr>
        <w:t>（2）调漆废气</w:t>
      </w:r>
    </w:p>
    <w:p w14:paraId="62300BED">
      <w:pPr>
        <w:pStyle w:val="1319"/>
        <w:ind w:firstLine="480"/>
        <w:rPr>
          <w:rFonts w:hint="eastAsia"/>
          <w:color w:val="auto"/>
          <w:highlight w:val="none"/>
        </w:rPr>
      </w:pPr>
      <w:r>
        <w:rPr>
          <w:rFonts w:hint="eastAsia"/>
          <w:color w:val="auto"/>
          <w:highlight w:val="none"/>
        </w:rPr>
        <w:t>调漆房产生的有机废气经负压收集后，由</w:t>
      </w:r>
      <w:r>
        <w:rPr>
          <w:rFonts w:hint="eastAsia"/>
          <w:color w:val="auto"/>
          <w:highlight w:val="none"/>
          <w:lang w:eastAsia="zh-CN"/>
        </w:rPr>
        <w:t>“</w:t>
      </w:r>
      <w:r>
        <w:rPr>
          <w:rFonts w:hint="eastAsia"/>
          <w:color w:val="auto"/>
          <w:highlight w:val="none"/>
        </w:rPr>
        <w:t>二级活性炭吸附</w:t>
      </w:r>
      <w:r>
        <w:rPr>
          <w:rFonts w:hint="eastAsia"/>
          <w:color w:val="auto"/>
          <w:highlight w:val="none"/>
          <w:lang w:eastAsia="zh-CN"/>
        </w:rPr>
        <w:t>”</w:t>
      </w:r>
      <w:r>
        <w:rPr>
          <w:rFonts w:hint="eastAsia"/>
          <w:color w:val="auto"/>
          <w:highlight w:val="none"/>
        </w:rPr>
        <w:t>（TA002）处理达标后，经20m高排气筒（DA002）高空排放。调漆房设置为密闭空间，采用负压抽风方式，可有效防止废气外逸，收集方式可行。</w:t>
      </w:r>
    </w:p>
    <w:p w14:paraId="5C3B5B17">
      <w:pPr>
        <w:pStyle w:val="1319"/>
        <w:ind w:firstLine="480"/>
        <w:rPr>
          <w:rFonts w:hint="eastAsia"/>
          <w:color w:val="auto"/>
          <w:highlight w:val="none"/>
        </w:rPr>
      </w:pPr>
      <w:r>
        <w:rPr>
          <w:rFonts w:hint="eastAsia"/>
          <w:color w:val="auto"/>
          <w:highlight w:val="none"/>
        </w:rPr>
        <w:t>（3）点补废气</w:t>
      </w:r>
    </w:p>
    <w:p w14:paraId="7C1FD256">
      <w:pPr>
        <w:pStyle w:val="1319"/>
        <w:ind w:firstLine="480"/>
        <w:rPr>
          <w:rFonts w:hint="eastAsia"/>
          <w:color w:val="auto"/>
          <w:highlight w:val="none"/>
        </w:rPr>
      </w:pPr>
      <w:r>
        <w:rPr>
          <w:rFonts w:hint="eastAsia"/>
          <w:color w:val="auto"/>
          <w:highlight w:val="none"/>
        </w:rPr>
        <w:t>点补室产生的有机废气</w:t>
      </w:r>
      <w:r>
        <w:rPr>
          <w:rFonts w:hint="eastAsia"/>
          <w:color w:val="auto"/>
          <w:highlight w:val="none"/>
          <w:lang w:eastAsia="zh-CN"/>
        </w:rPr>
        <w:t>、</w:t>
      </w:r>
      <w:r>
        <w:rPr>
          <w:rFonts w:hint="eastAsia"/>
          <w:color w:val="auto"/>
          <w:highlight w:val="none"/>
          <w:lang w:val="en-US" w:eastAsia="zh-CN"/>
        </w:rPr>
        <w:t>漆雾（颗粒物）</w:t>
      </w:r>
      <w:r>
        <w:rPr>
          <w:rFonts w:hint="eastAsia"/>
          <w:color w:val="auto"/>
          <w:highlight w:val="none"/>
        </w:rPr>
        <w:t>经负压收集后，由</w:t>
      </w:r>
      <w:r>
        <w:rPr>
          <w:rFonts w:hint="eastAsia"/>
          <w:color w:val="auto"/>
          <w:highlight w:val="none"/>
          <w:lang w:eastAsia="zh-CN"/>
        </w:rPr>
        <w:t>“过滤棉过滤</w:t>
      </w:r>
      <w:r>
        <w:rPr>
          <w:rFonts w:hint="eastAsia"/>
          <w:color w:val="auto"/>
          <w:highlight w:val="none"/>
        </w:rPr>
        <w:t>+二级活性炭吸附</w:t>
      </w:r>
      <w:r>
        <w:rPr>
          <w:rFonts w:hint="eastAsia"/>
          <w:color w:val="auto"/>
          <w:highlight w:val="none"/>
          <w:lang w:eastAsia="zh-CN"/>
        </w:rPr>
        <w:t>”</w:t>
      </w:r>
      <w:r>
        <w:rPr>
          <w:rFonts w:hint="eastAsia"/>
          <w:color w:val="auto"/>
          <w:highlight w:val="none"/>
        </w:rPr>
        <w:t>（TA003）处理达标后，经20m高排气筒（DA003）高空排放。点补工序设置独立密闭空间，采用负压抽风，收集方式可行。</w:t>
      </w:r>
    </w:p>
    <w:p w14:paraId="2C6DC257">
      <w:pPr>
        <w:pStyle w:val="1319"/>
        <w:ind w:firstLine="48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）注塑废气</w:t>
      </w:r>
    </w:p>
    <w:p w14:paraId="6A7212CC">
      <w:pPr>
        <w:pStyle w:val="1319"/>
        <w:ind w:firstLine="480"/>
        <w:rPr>
          <w:rFonts w:hint="eastAsia"/>
          <w:color w:val="auto"/>
          <w:highlight w:val="none"/>
        </w:rPr>
      </w:pPr>
      <w:r>
        <w:rPr>
          <w:rFonts w:hint="eastAsia"/>
          <w:color w:val="auto"/>
          <w:highlight w:val="none"/>
        </w:rPr>
        <w:t>注塑区产生的有机废气以及伴随的臭气，经</w:t>
      </w:r>
      <w:r>
        <w:rPr>
          <w:rFonts w:hint="eastAsia"/>
          <w:color w:val="auto"/>
          <w:highlight w:val="none"/>
          <w:lang w:val="en-US" w:eastAsia="zh-CN"/>
        </w:rPr>
        <w:t>集气罩</w:t>
      </w:r>
      <w:r>
        <w:rPr>
          <w:rFonts w:hint="eastAsia"/>
          <w:color w:val="auto"/>
          <w:highlight w:val="none"/>
        </w:rPr>
        <w:t>收集后，由</w:t>
      </w:r>
      <w:r>
        <w:rPr>
          <w:rFonts w:hint="eastAsia"/>
          <w:color w:val="auto"/>
          <w:highlight w:val="none"/>
          <w:lang w:eastAsia="zh-CN"/>
        </w:rPr>
        <w:t>“</w:t>
      </w:r>
      <w:r>
        <w:rPr>
          <w:rFonts w:hint="eastAsia"/>
          <w:color w:val="auto"/>
          <w:highlight w:val="none"/>
        </w:rPr>
        <w:t>二级活性炭吸附</w:t>
      </w:r>
      <w:r>
        <w:rPr>
          <w:rFonts w:hint="eastAsia"/>
          <w:color w:val="auto"/>
          <w:highlight w:val="none"/>
          <w:lang w:eastAsia="zh-CN"/>
        </w:rPr>
        <w:t>”</w:t>
      </w:r>
      <w:r>
        <w:rPr>
          <w:rFonts w:hint="eastAsia"/>
          <w:color w:val="auto"/>
          <w:highlight w:val="none"/>
        </w:rPr>
        <w:t>（TA004）处理达标后，通过1根20m高排气筒（DA004）排放。注塑机采用设备直连管道收集，可有效捕集注塑过程中产生的废气，收集方式可行。</w:t>
      </w:r>
    </w:p>
    <w:p w14:paraId="05EDEF2A">
      <w:pPr>
        <w:pStyle w:val="1319"/>
        <w:ind w:firstLine="480"/>
        <w:rPr>
          <w:rFonts w:hint="eastAsia"/>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）天然气燃烧废气</w:t>
      </w:r>
    </w:p>
    <w:p w14:paraId="497EE358">
      <w:pPr>
        <w:pStyle w:val="1319"/>
        <w:ind w:firstLine="480"/>
        <w:rPr>
          <w:rFonts w:hint="eastAsia"/>
          <w:color w:val="auto"/>
          <w:highlight w:val="none"/>
        </w:rPr>
      </w:pPr>
      <w:r>
        <w:rPr>
          <w:rFonts w:hint="eastAsia"/>
          <w:color w:val="auto"/>
          <w:highlight w:val="none"/>
        </w:rPr>
        <w:t>热水炉天然气燃烧废气经低氮燃烧后，由不低于8m高排气筒（DA005）高空排放；固化炉天然气燃烧废气经低氮燃烧后，与</w:t>
      </w:r>
      <w:r>
        <w:rPr>
          <w:rFonts w:hint="eastAsia"/>
          <w:color w:val="auto"/>
          <w:highlight w:val="none"/>
          <w:lang w:eastAsia="zh-CN"/>
        </w:rPr>
        <w:t>烘干废气</w:t>
      </w:r>
      <w:r>
        <w:rPr>
          <w:rFonts w:hint="eastAsia"/>
          <w:color w:val="auto"/>
          <w:highlight w:val="none"/>
        </w:rPr>
        <w:t>一并进入RTO蓄热式焚烧炉处理；RTO蓄热式焚烧炉天然气燃烧废气随RTO处理后的尾气一并经20m高排气筒（DA001）高空排放。天然气燃烧废气均经收集后高空排放，低氮燃烧可有效控制氮氧化物排放，收集方式可行。</w:t>
      </w:r>
    </w:p>
    <w:p w14:paraId="63E29FD1">
      <w:pPr>
        <w:pStyle w:val="1319"/>
        <w:ind w:firstLine="48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lang w:val="en-US" w:eastAsia="zh-CN"/>
        </w:rPr>
        <w:t>热洁炉废气</w:t>
      </w:r>
    </w:p>
    <w:p w14:paraId="7B574ED2">
      <w:pPr>
        <w:pStyle w:val="1319"/>
        <w:ind w:firstLine="480"/>
        <w:rPr>
          <w:rFonts w:hint="default"/>
          <w:color w:val="auto"/>
          <w:highlight w:val="none"/>
          <w:lang w:val="en-US" w:eastAsia="zh-CN"/>
        </w:rPr>
      </w:pPr>
      <w:r>
        <w:rPr>
          <w:rFonts w:hint="default"/>
          <w:color w:val="auto"/>
          <w:highlight w:val="none"/>
          <w:lang w:val="en-US" w:eastAsia="zh-CN"/>
        </w:rPr>
        <w:t>热洁炉分解产生的有机废气经设备直连管道收集后，进入二燃室高温热分解（TA006）处理。二燃室出口高温烟气先经配套换热器间接降温至安全排放温度（通常降至200℃以下），再与天然气燃烧废气一并通过20m高排气筒（DA006）排放。热洁炉采用设备直连管道收集，可有效捕集涂层分解过程中产生的废气，收集方式可行；换热降温环节可避免高温烟气直接进入排气筒带来的筒体过热风险，保障排放设施运行安全。</w:t>
      </w:r>
    </w:p>
    <w:p w14:paraId="6C658CBD">
      <w:pPr>
        <w:pStyle w:val="1319"/>
        <w:ind w:firstLine="480"/>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7</w:t>
      </w:r>
      <w:r>
        <w:rPr>
          <w:rFonts w:hint="eastAsia"/>
          <w:color w:val="auto"/>
          <w:highlight w:val="none"/>
        </w:rPr>
        <w:t>）</w:t>
      </w:r>
      <w:r>
        <w:rPr>
          <w:rFonts w:hint="eastAsia"/>
          <w:color w:val="auto"/>
          <w:highlight w:val="none"/>
          <w:lang w:eastAsia="zh-CN"/>
        </w:rPr>
        <w:t>塑料粉碎废气</w:t>
      </w:r>
    </w:p>
    <w:p w14:paraId="1FAF9FAC">
      <w:pPr>
        <w:pStyle w:val="1319"/>
        <w:ind w:firstLine="480"/>
        <w:rPr>
          <w:rFonts w:hint="eastAsia"/>
          <w:color w:val="auto"/>
          <w:highlight w:val="none"/>
        </w:rPr>
      </w:pPr>
      <w:r>
        <w:rPr>
          <w:rFonts w:hint="eastAsia"/>
          <w:color w:val="auto"/>
          <w:highlight w:val="none"/>
        </w:rPr>
        <w:t>粉碎机上方设置1个集气罩，粉碎废气通过</w:t>
      </w:r>
      <w:r>
        <w:rPr>
          <w:rFonts w:hint="eastAsia"/>
          <w:color w:val="auto"/>
          <w:highlight w:val="none"/>
          <w:lang w:val="en-US" w:eastAsia="zh-CN"/>
        </w:rPr>
        <w:t>布袋</w:t>
      </w:r>
      <w:r>
        <w:rPr>
          <w:rFonts w:hint="eastAsia"/>
          <w:color w:val="auto"/>
          <w:highlight w:val="none"/>
        </w:rPr>
        <w:t>除尘器处理后无组织排放。集气罩可有效捕集粉尘，处理后可满足无组织排放要求，收集方式可行。</w:t>
      </w:r>
    </w:p>
    <w:p w14:paraId="202925BA">
      <w:pPr>
        <w:pStyle w:val="1319"/>
        <w:ind w:firstLine="480"/>
        <w:rPr>
          <w:rFonts w:hint="eastAsia"/>
          <w:color w:val="auto"/>
          <w:highlight w:val="none"/>
          <w:lang w:val="en-US" w:eastAsia="zh-CN"/>
        </w:rPr>
      </w:pPr>
      <w:r>
        <w:rPr>
          <w:rFonts w:hint="eastAsia"/>
          <w:color w:val="auto"/>
          <w:highlight w:val="none"/>
          <w:lang w:val="en-US" w:eastAsia="zh-CN"/>
        </w:rPr>
        <w:t>（8）排气筒数量合理性分析</w:t>
      </w:r>
    </w:p>
    <w:p w14:paraId="3F795FB8">
      <w:pPr>
        <w:pStyle w:val="1319"/>
        <w:ind w:firstLine="480"/>
        <w:rPr>
          <w:rFonts w:hint="eastAsia"/>
          <w:color w:val="auto"/>
          <w:highlight w:val="none"/>
          <w:lang w:val="en-US" w:eastAsia="zh-CN"/>
        </w:rPr>
      </w:pPr>
      <w:r>
        <w:rPr>
          <w:rFonts w:hint="eastAsia"/>
          <w:color w:val="auto"/>
          <w:highlight w:val="none"/>
          <w:lang w:val="en-US" w:eastAsia="zh-CN"/>
        </w:rPr>
        <w:t>本项目共设置6根排气筒（DA001—DA006），设置基本合理。DA001收集喷漆、流平、烘干、喷枪清洗及固化炉废气，采用RTO集中处理，合并排放有利于提高VOCs去除效率。DA002、DA003分别收集调漆房和点补室废气，虽与DA001同处A库厂房，但因距离较远，合并将增加风管长度和系统阻力，不利于收集，故分别设置。DA004位于B库厂房，收集注塑废气，单独设置合理。DA005为热水炉燃烧废气，DA006为热洁炉废气，废气性质和处理工艺不同，分别设置合理。</w:t>
      </w:r>
    </w:p>
    <w:p w14:paraId="79583511">
      <w:pPr>
        <w:pStyle w:val="5"/>
        <w:numPr>
          <w:ilvl w:val="0"/>
          <w:numId w:val="0"/>
        </w:numPr>
        <w:bidi w:val="0"/>
        <w:ind w:leftChars="0"/>
        <w:rPr>
          <w:color w:val="auto"/>
          <w:highlight w:val="none"/>
        </w:rPr>
      </w:pPr>
      <w:r>
        <w:rPr>
          <w:rFonts w:hint="eastAsia"/>
          <w:color w:val="auto"/>
          <w:highlight w:val="none"/>
          <w:lang w:eastAsia="zh-CN"/>
        </w:rPr>
        <w:t>7.1</w:t>
      </w:r>
      <w:r>
        <w:rPr>
          <w:color w:val="auto"/>
          <w:highlight w:val="none"/>
        </w:rPr>
        <w:t>.2.</w:t>
      </w:r>
      <w:r>
        <w:rPr>
          <w:rFonts w:hint="eastAsia"/>
          <w:color w:val="auto"/>
          <w:highlight w:val="none"/>
          <w:lang w:val="en-US" w:eastAsia="zh-CN"/>
        </w:rPr>
        <w:t>2 有组织废气处理措施可行性</w:t>
      </w:r>
    </w:p>
    <w:p w14:paraId="7B926575">
      <w:pPr>
        <w:bidi w:val="0"/>
        <w:rPr>
          <w:rFonts w:hint="eastAsia"/>
          <w:color w:val="auto"/>
          <w:highlight w:val="none"/>
          <w:lang w:val="en-US" w:eastAsia="zh-CN"/>
        </w:rPr>
      </w:pPr>
      <w:r>
        <w:rPr>
          <w:rFonts w:hint="eastAsia"/>
          <w:color w:val="auto"/>
          <w:highlight w:val="none"/>
          <w:lang w:val="en-US" w:eastAsia="zh-CN"/>
        </w:rPr>
        <w:t>（1）处理措施概况</w:t>
      </w:r>
    </w:p>
    <w:p w14:paraId="36EBCE74">
      <w:pPr>
        <w:bidi w:val="0"/>
        <w:rPr>
          <w:rFonts w:hint="default"/>
          <w:color w:val="auto"/>
          <w:highlight w:val="none"/>
          <w:lang w:val="en-US" w:eastAsia="zh-CN"/>
        </w:rPr>
      </w:pPr>
      <w:r>
        <w:rPr>
          <w:rFonts w:hint="eastAsia"/>
          <w:color w:val="auto"/>
          <w:highlight w:val="none"/>
          <w:lang w:val="en-US" w:eastAsia="zh-CN"/>
        </w:rPr>
        <w:t>①有机废气：调漆、注塑工序产生的有机废气分别采用“二级活性炭吸附”处理后高空排放；点补工序产生的有机废气、漆雾（颗粒物）采用“过滤棉过滤+二级活性炭吸附”处理后高空排放；喷漆、流平、烘干以及喷枪清洗工序产生的有机废气、漆雾（颗粒物）采用“干式纸盒+过滤棉过滤+RTO蓄热式焚烧炉”处理后高空排放。热洁炉分解产生的有机废气采用“二燃室高温热分解”处理，二燃室出口高温烟气经换热器冷却后，通过排气筒高空排放。</w:t>
      </w:r>
    </w:p>
    <w:p w14:paraId="59B92415">
      <w:pPr>
        <w:bidi w:val="0"/>
        <w:rPr>
          <w:rFonts w:hint="eastAsia"/>
          <w:color w:val="auto"/>
          <w:highlight w:val="none"/>
          <w:lang w:val="en-US" w:eastAsia="zh-CN"/>
        </w:rPr>
      </w:pPr>
      <w:r>
        <w:rPr>
          <w:rFonts w:hint="eastAsia"/>
          <w:color w:val="auto"/>
          <w:highlight w:val="none"/>
          <w:lang w:val="en-US" w:eastAsia="zh-CN"/>
        </w:rPr>
        <w:t>②天然气燃烧废气：天然气燃烧废气采用低氮燃烧处理后高空排放。</w:t>
      </w:r>
    </w:p>
    <w:p w14:paraId="08EE6FB3">
      <w:pPr>
        <w:bidi w:val="0"/>
        <w:rPr>
          <w:rFonts w:hint="eastAsia"/>
          <w:color w:val="auto"/>
          <w:highlight w:val="none"/>
          <w:lang w:val="en-US" w:eastAsia="zh-CN"/>
        </w:rPr>
      </w:pPr>
      <w:r>
        <w:rPr>
          <w:rFonts w:hint="eastAsia"/>
          <w:color w:val="auto"/>
          <w:highlight w:val="none"/>
          <w:lang w:val="en-US" w:eastAsia="zh-CN"/>
        </w:rPr>
        <w:t>③塑料粉碎废气：粉碎废气经集气罩收集后由布袋除尘器处理，无组织排放。</w:t>
      </w:r>
    </w:p>
    <w:p w14:paraId="053CDCDF">
      <w:pPr>
        <w:bidi w:val="0"/>
        <w:rPr>
          <w:rFonts w:hint="eastAsia"/>
          <w:color w:val="auto"/>
          <w:highlight w:val="none"/>
          <w:lang w:val="en-US" w:eastAsia="zh-CN"/>
        </w:rPr>
      </w:pPr>
      <w:r>
        <w:rPr>
          <w:rFonts w:hint="eastAsia"/>
          <w:color w:val="auto"/>
          <w:highlight w:val="none"/>
          <w:lang w:val="en-US" w:eastAsia="zh-CN"/>
        </w:rPr>
        <w:t>（2）处理措施可行性分析</w:t>
      </w:r>
    </w:p>
    <w:p w14:paraId="60649C47">
      <w:pPr>
        <w:bidi w:val="0"/>
        <w:rPr>
          <w:rFonts w:hint="eastAsia"/>
          <w:b/>
          <w:bCs/>
          <w:color w:val="auto"/>
          <w:highlight w:val="none"/>
          <w:lang w:val="en-US" w:eastAsia="zh-CN"/>
        </w:rPr>
      </w:pPr>
      <w:r>
        <w:rPr>
          <w:rFonts w:hint="eastAsia"/>
          <w:b/>
          <w:bCs/>
          <w:color w:val="auto"/>
          <w:highlight w:val="none"/>
          <w:lang w:val="en-US" w:eastAsia="zh-CN"/>
        </w:rPr>
        <w:t>①“二级活性炭吸附”处理措施可行性</w:t>
      </w:r>
    </w:p>
    <w:p w14:paraId="3521298E">
      <w:pPr>
        <w:bidi w:val="0"/>
        <w:rPr>
          <w:rFonts w:hint="eastAsia"/>
          <w:color w:val="auto"/>
          <w:highlight w:val="none"/>
          <w:lang w:val="en-US" w:eastAsia="zh-CN"/>
        </w:rPr>
      </w:pPr>
      <w:r>
        <w:rPr>
          <w:rFonts w:hint="eastAsia"/>
          <w:color w:val="auto"/>
          <w:highlight w:val="none"/>
          <w:lang w:val="en-US" w:eastAsia="zh-CN"/>
        </w:rPr>
        <w:t>调漆、点补、注塑等工序产生的有机废气具有浓度相对较低、风量较大的特点，采用“二级活性炭吸附”处理较为适宜。活性炭对挥发性有机物具有较好的吸附能力，二级吸附可进一步提高净化效率，且该工艺技术成熟、运行稳定、操作管理简便，处理后废气可达标排放，处理措施可行。其中，点补工序废气含有漆雾，先经过滤棉过滤去除漆雾后再进入活性炭吸附装置，防止漆雾堵塞活性炭孔隙、影响吸附效率。</w:t>
      </w:r>
    </w:p>
    <w:p w14:paraId="7E2AA6FE">
      <w:pPr>
        <w:bidi w:val="0"/>
        <w:rPr>
          <w:rFonts w:hint="eastAsia"/>
          <w:color w:val="auto"/>
          <w:highlight w:val="none"/>
          <w:lang w:val="en-US" w:eastAsia="zh-CN"/>
        </w:rPr>
      </w:pPr>
      <w:r>
        <w:rPr>
          <w:rFonts w:hint="eastAsia"/>
          <w:color w:val="auto"/>
          <w:highlight w:val="none"/>
          <w:lang w:val="en-US" w:eastAsia="zh-CN"/>
        </w:rPr>
        <w:t>调漆房在生产线不运行期间仍需保持一定换风量，以维持室内空气环境并防止废气积聚；点补室仅偶尔进行点补作业，不属长期运行。调漆房、点补室废气分别单独采用上述工艺处理，可在生产线运行及停运期间均保持稳定运行，不受RTO启停影响，能够满足换风及达标排放要求，处理措施可行。</w:t>
      </w:r>
    </w:p>
    <w:p w14:paraId="63B590E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活性炭吸附</w:t>
      </w:r>
      <w:r>
        <w:rPr>
          <w:rFonts w:hint="default" w:ascii="Times New Roman" w:hAnsi="Times New Roman" w:eastAsia="宋体" w:cs="Times New Roman"/>
          <w:b/>
          <w:bCs/>
          <w:color w:val="auto"/>
          <w:sz w:val="24"/>
          <w:szCs w:val="24"/>
          <w:highlight w:val="none"/>
          <w:lang w:eastAsia="zh-CN"/>
        </w:rPr>
        <w:t>工艺原理：</w:t>
      </w:r>
      <w:r>
        <w:rPr>
          <w:rFonts w:hint="default" w:ascii="Times New Roman" w:hAnsi="Times New Roman" w:eastAsia="宋体" w:cs="Times New Roman"/>
          <w:color w:val="auto"/>
          <w:sz w:val="24"/>
          <w:szCs w:val="24"/>
          <w:highlight w:val="none"/>
        </w:rPr>
        <w:t>有机气体进入活性炭塔，有机气体进入塔内时，风速瞬间</w:t>
      </w:r>
      <w:r>
        <w:rPr>
          <w:rFonts w:hint="eastAsia" w:ascii="Times New Roman" w:hAnsi="Times New Roman" w:eastAsia="宋体" w:cs="Times New Roman"/>
          <w:color w:val="auto"/>
          <w:sz w:val="24"/>
          <w:szCs w:val="24"/>
          <w:highlight w:val="none"/>
          <w:lang w:eastAsia="zh-CN"/>
        </w:rPr>
        <w:t>下降</w:t>
      </w:r>
      <w:r>
        <w:rPr>
          <w:rFonts w:hint="default" w:ascii="Times New Roman" w:hAnsi="Times New Roman" w:eastAsia="宋体" w:cs="Times New Roman"/>
          <w:color w:val="auto"/>
          <w:sz w:val="24"/>
          <w:szCs w:val="24"/>
          <w:highlight w:val="none"/>
        </w:rPr>
        <w:t>，气体内含的较大颗粒杂物便自然沉降入塔底部，而</w:t>
      </w:r>
      <w:r>
        <w:rPr>
          <w:rFonts w:hint="eastAsia" w:ascii="Times New Roman" w:hAnsi="Times New Roman" w:eastAsia="宋体" w:cs="Times New Roman"/>
          <w:color w:val="auto"/>
          <w:sz w:val="24"/>
          <w:szCs w:val="24"/>
          <w:highlight w:val="none"/>
          <w:lang w:eastAsia="zh-CN"/>
        </w:rPr>
        <w:t>融入</w:t>
      </w:r>
      <w:r>
        <w:rPr>
          <w:rFonts w:hint="default" w:ascii="Times New Roman" w:hAnsi="Times New Roman" w:eastAsia="宋体" w:cs="Times New Roman"/>
          <w:color w:val="auto"/>
          <w:sz w:val="24"/>
          <w:szCs w:val="24"/>
          <w:highlight w:val="none"/>
        </w:rPr>
        <w:t>气体内的有机气体部分随气体流向流进活性炭过滤层，有机气体进入炭层时，有机气体被活性炭吸附进炭内，而干净的空气穿过炭层进入出气仓，气体经过机械自吸后排入大气中。</w:t>
      </w:r>
    </w:p>
    <w:p w14:paraId="12BEBC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有机废气治理采用蜂窝活性炭作为吸附介质。蜂窝活性炭是一种具有多孔结构和较大内部比表面积的材料，由于其比表面积大、微孔结构发达、吸附能力强、表面活性高，是一种独特的多功能吸附剂；同时其价廉易得，可有效去除废气中的大部分有机污染物，被广泛应用于挥发性有机废气处理领域。根据《工业有机废气治理用活性炭通用技术要求》（DB32/T 5030-2025）及地方相关管理要求，采用蜂窝活性炭作为吸附剂时，其碘吸附值不宜低于650mg/g，比表面积不宜低于750m</w:t>
      </w:r>
      <w:r>
        <w:rPr>
          <w:rFonts w:hint="eastAsia"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/g。</w:t>
      </w:r>
    </w:p>
    <w:p w14:paraId="76741F19">
      <w:pPr>
        <w:ind w:firstLine="482" w:firstLineChars="200"/>
        <w:rPr>
          <w:rFonts w:hint="eastAsia" w:ascii="Times New Roman" w:hAnsi="Times New Roman" w:cs="宋体"/>
          <w:b/>
          <w:bCs/>
          <w:color w:val="auto"/>
          <w:highlight w:val="none"/>
          <w:lang w:val="en-US" w:eastAsia="zh-CN"/>
        </w:rPr>
      </w:pPr>
      <w:r>
        <w:rPr>
          <w:rFonts w:hint="eastAsia" w:ascii="Times New Roman" w:hAnsi="Times New Roman" w:cs="宋体"/>
          <w:b/>
          <w:bCs/>
          <w:color w:val="auto"/>
          <w:highlight w:val="none"/>
          <w:lang w:val="en-US" w:eastAsia="zh-CN"/>
        </w:rPr>
        <w:t>活性炭吸附系统运行管理要求</w:t>
      </w:r>
    </w:p>
    <w:p w14:paraId="468260EA">
      <w:pPr>
        <w:ind w:firstLine="480" w:firstLineChars="200"/>
        <w:rPr>
          <w:rFonts w:hint="eastAsia" w:ascii="Times New Roman" w:hAnsi="Times New Roman" w:cs="宋体"/>
          <w:b w:val="0"/>
          <w:bCs w:val="0"/>
          <w:color w:val="auto"/>
          <w:highlight w:val="none"/>
          <w:lang w:val="en-US" w:eastAsia="zh-CN"/>
        </w:rPr>
      </w:pPr>
      <w:r>
        <w:rPr>
          <w:rFonts w:hint="eastAsia" w:ascii="Times New Roman" w:hAnsi="Times New Roman" w:cs="宋体"/>
          <w:b w:val="0"/>
          <w:bCs w:val="0"/>
          <w:color w:val="auto"/>
          <w:highlight w:val="none"/>
          <w:lang w:val="en-US" w:eastAsia="zh-CN"/>
        </w:rPr>
        <w:t>为保证活性炭吸附装置稳定达标运行，本评价对活性炭吸附系统提出如下管理要求：</w:t>
      </w:r>
    </w:p>
    <w:p w14:paraId="6F1A05D5">
      <w:pPr>
        <w:ind w:firstLine="480" w:firstLineChars="200"/>
        <w:rPr>
          <w:rFonts w:hint="eastAsia" w:ascii="Times New Roman" w:hAnsi="Times New Roman" w:cs="宋体"/>
          <w:b w:val="0"/>
          <w:bCs w:val="0"/>
          <w:color w:val="auto"/>
          <w:highlight w:val="none"/>
          <w:lang w:val="en-US" w:eastAsia="zh-CN"/>
        </w:rPr>
      </w:pPr>
      <w:r>
        <w:rPr>
          <w:rFonts w:hint="eastAsia" w:cs="宋体"/>
          <w:b w:val="0"/>
          <w:bCs w:val="0"/>
          <w:color w:val="auto"/>
          <w:highlight w:val="none"/>
          <w:lang w:val="en-US" w:eastAsia="zh-CN"/>
        </w:rPr>
        <w:t>A.</w:t>
      </w:r>
      <w:r>
        <w:rPr>
          <w:rFonts w:hint="eastAsia" w:ascii="Times New Roman" w:hAnsi="Times New Roman" w:cs="宋体"/>
          <w:b w:val="0"/>
          <w:bCs w:val="0"/>
          <w:color w:val="auto"/>
          <w:highlight w:val="none"/>
          <w:lang w:val="en-US" w:eastAsia="zh-CN"/>
        </w:rPr>
        <w:t>活性炭质量要求。本项目应选用碘值不低于650mg/g的蜂窝活性炭，严禁使用劣质活性炭。企业应保存活性炭采购发票、厂家出具的碘值检测报告等资料备查。</w:t>
      </w:r>
    </w:p>
    <w:p w14:paraId="5FB5A1FF">
      <w:pPr>
        <w:ind w:firstLine="480" w:firstLineChars="200"/>
        <w:rPr>
          <w:rFonts w:hint="eastAsia" w:cs="宋体"/>
          <w:b w:val="0"/>
          <w:bCs w:val="0"/>
          <w:color w:val="auto"/>
          <w:highlight w:val="none"/>
          <w:lang w:val="en-US" w:eastAsia="zh-CN"/>
        </w:rPr>
      </w:pPr>
      <w:r>
        <w:rPr>
          <w:rFonts w:hint="eastAsia" w:cs="宋体"/>
          <w:b w:val="0"/>
          <w:bCs w:val="0"/>
          <w:color w:val="auto"/>
          <w:highlight w:val="none"/>
          <w:lang w:val="en-US" w:eastAsia="zh-CN"/>
        </w:rPr>
        <w:t>B.活性炭装填量要求。根据《吸附法工业有机废气治理工程技术规范》（HJ 2026-2013），蜂窝活性炭填充量与每小时处理废气量体积之比不应小于1:5000。</w:t>
      </w:r>
    </w:p>
    <w:p w14:paraId="3436EF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宋体"/>
          <w:b w:val="0"/>
          <w:bCs w:val="0"/>
          <w:color w:val="auto"/>
          <w:highlight w:val="none"/>
          <w:lang w:val="en-US" w:eastAsia="zh-CN"/>
        </w:rPr>
      </w:pPr>
      <w:r>
        <w:rPr>
          <w:rFonts w:hint="eastAsia" w:cs="宋体"/>
          <w:b w:val="0"/>
          <w:bCs w:val="0"/>
          <w:color w:val="auto"/>
          <w:highlight w:val="none"/>
          <w:lang w:val="en-US" w:eastAsia="zh-CN"/>
        </w:rPr>
        <w:t>C.</w:t>
      </w:r>
      <w:r>
        <w:rPr>
          <w:rFonts w:hint="eastAsia" w:ascii="Times New Roman" w:hAnsi="Times New Roman" w:cs="宋体"/>
          <w:b w:val="0"/>
          <w:bCs w:val="0"/>
          <w:color w:val="auto"/>
          <w:highlight w:val="none"/>
          <w:lang w:val="en-US" w:eastAsia="zh-CN"/>
        </w:rPr>
        <w:t>运行台账管理。应建立活性炭全生命周期管理台账，记录活性炭采购、入库、装填、使用、更换及废活性炭转移处置等全过程信息，台账保存期限不得少于5年。同时应保存活性炭碘值检测报告、废活性炭转移联单等备查资料。</w:t>
      </w:r>
    </w:p>
    <w:p w14:paraId="72267D9A">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本评价废气可行技术参照</w:t>
      </w:r>
      <w:r>
        <w:rPr>
          <w:color w:val="auto"/>
          <w:highlight w:val="none"/>
        </w:rPr>
        <w:t>《排污许可证申请与核发技术规范 汽车制造业》（HJ 971-</w:t>
      </w:r>
      <w:r>
        <w:rPr>
          <w:rFonts w:hint="eastAsia"/>
          <w:color w:val="auto"/>
          <w:highlight w:val="none"/>
          <w:lang w:val="en-US" w:eastAsia="zh-CN"/>
        </w:rPr>
        <w:t>2026，自2027年1月1日起实施</w:t>
      </w:r>
      <w:r>
        <w:rPr>
          <w:color w:val="auto"/>
          <w:highlight w:val="none"/>
        </w:rPr>
        <w:t>）</w:t>
      </w:r>
      <w:r>
        <w:rPr>
          <w:rFonts w:hint="eastAsia"/>
          <w:color w:val="auto"/>
          <w:highlight w:val="none"/>
          <w:lang w:val="en-US" w:eastAsia="zh-CN"/>
        </w:rPr>
        <w:t>和</w:t>
      </w:r>
      <w:r>
        <w:rPr>
          <w:color w:val="auto"/>
          <w:highlight w:val="none"/>
        </w:rPr>
        <w:t>《汽车工业污染防治可行技术指南》（HJ1181-2021）</w:t>
      </w:r>
      <w:r>
        <w:rPr>
          <w:rFonts w:hint="eastAsia" w:ascii="Times New Roman" w:hAnsi="Times New Roman" w:eastAsia="宋体" w:cs="Times New Roman"/>
          <w:bCs/>
          <w:color w:val="auto"/>
          <w:sz w:val="24"/>
          <w:highlight w:val="none"/>
          <w:lang w:val="en-US" w:eastAsia="zh-CN"/>
        </w:rPr>
        <w:t>进行分析，具体详见表</w:t>
      </w:r>
      <w:r>
        <w:rPr>
          <w:rFonts w:hint="eastAsia" w:cs="Times New Roman"/>
          <w:bCs/>
          <w:color w:val="auto"/>
          <w:sz w:val="24"/>
          <w:highlight w:val="none"/>
          <w:lang w:val="en-US" w:eastAsia="zh-CN"/>
        </w:rPr>
        <w:t>7.1-1</w:t>
      </w:r>
      <w:r>
        <w:rPr>
          <w:rFonts w:hint="eastAsia" w:ascii="Times New Roman" w:hAnsi="Times New Roman" w:eastAsia="宋体" w:cs="Times New Roman"/>
          <w:bCs/>
          <w:color w:val="auto"/>
          <w:sz w:val="24"/>
          <w:highlight w:val="none"/>
          <w:lang w:val="en-US" w:eastAsia="zh-CN"/>
        </w:rPr>
        <w:t>。</w:t>
      </w:r>
    </w:p>
    <w:p w14:paraId="7806A757">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7.1-1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治理措施可行性分析</w:t>
      </w:r>
    </w:p>
    <w:tbl>
      <w:tblPr>
        <w:tblStyle w:val="81"/>
        <w:tblW w:w="521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069"/>
        <w:gridCol w:w="1320"/>
        <w:gridCol w:w="1593"/>
        <w:gridCol w:w="2410"/>
        <w:gridCol w:w="1490"/>
        <w:gridCol w:w="841"/>
      </w:tblGrid>
      <w:tr w14:paraId="279C0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tcBorders>
              <w:tl2br w:val="nil"/>
              <w:tr2bl w:val="nil"/>
            </w:tcBorders>
            <w:noWrap w:val="0"/>
            <w:vAlign w:val="center"/>
          </w:tcPr>
          <w:p w14:paraId="6397DD2D">
            <w:pPr>
              <w:pStyle w:val="1405"/>
              <w:bidi w:val="0"/>
              <w:rPr>
                <w:rFonts w:hint="default"/>
                <w:color w:val="auto"/>
                <w:highlight w:val="none"/>
                <w:lang w:val="en-US" w:eastAsia="zh-CN"/>
              </w:rPr>
            </w:pPr>
            <w:r>
              <w:rPr>
                <w:rFonts w:hint="default"/>
                <w:color w:val="auto"/>
                <w:highlight w:val="none"/>
                <w:lang w:val="en-US" w:eastAsia="zh-CN"/>
              </w:rPr>
              <w:t>生产单元</w:t>
            </w:r>
          </w:p>
        </w:tc>
        <w:tc>
          <w:tcPr>
            <w:tcW w:w="550" w:type="pct"/>
            <w:tcBorders>
              <w:tl2br w:val="nil"/>
              <w:tr2bl w:val="nil"/>
            </w:tcBorders>
            <w:noWrap w:val="0"/>
            <w:vAlign w:val="center"/>
          </w:tcPr>
          <w:p w14:paraId="5BBBBD76">
            <w:pPr>
              <w:pStyle w:val="1405"/>
              <w:bidi w:val="0"/>
              <w:rPr>
                <w:rFonts w:hint="default"/>
                <w:color w:val="auto"/>
                <w:highlight w:val="none"/>
                <w:lang w:val="en-US" w:eastAsia="zh-CN"/>
              </w:rPr>
            </w:pPr>
            <w:r>
              <w:rPr>
                <w:rFonts w:hint="default"/>
                <w:color w:val="auto"/>
                <w:highlight w:val="none"/>
                <w:lang w:val="en-US" w:eastAsia="zh-CN"/>
              </w:rPr>
              <w:t>生产</w:t>
            </w:r>
            <w:r>
              <w:rPr>
                <w:rFonts w:hint="eastAsia"/>
                <w:color w:val="auto"/>
                <w:highlight w:val="none"/>
                <w:lang w:val="en-US" w:eastAsia="zh-CN"/>
              </w:rPr>
              <w:t>工艺</w:t>
            </w:r>
          </w:p>
        </w:tc>
        <w:tc>
          <w:tcPr>
            <w:tcW w:w="680" w:type="pct"/>
            <w:tcBorders>
              <w:tl2br w:val="nil"/>
              <w:tr2bl w:val="nil"/>
            </w:tcBorders>
            <w:noWrap w:val="0"/>
            <w:vAlign w:val="center"/>
          </w:tcPr>
          <w:p w14:paraId="66BB492F">
            <w:pPr>
              <w:pStyle w:val="1405"/>
              <w:bidi w:val="0"/>
              <w:rPr>
                <w:rFonts w:hint="default"/>
                <w:color w:val="auto"/>
                <w:highlight w:val="none"/>
                <w:lang w:val="en-US" w:eastAsia="zh-CN"/>
              </w:rPr>
            </w:pPr>
            <w:r>
              <w:rPr>
                <w:rFonts w:hint="eastAsia"/>
                <w:color w:val="auto"/>
                <w:highlight w:val="none"/>
                <w:lang w:val="en-US" w:eastAsia="zh-CN"/>
              </w:rPr>
              <w:t>废气产排污环节名称</w:t>
            </w:r>
          </w:p>
        </w:tc>
        <w:tc>
          <w:tcPr>
            <w:tcW w:w="820" w:type="pct"/>
            <w:tcBorders>
              <w:tl2br w:val="nil"/>
              <w:tr2bl w:val="nil"/>
            </w:tcBorders>
            <w:noWrap w:val="0"/>
            <w:vAlign w:val="center"/>
          </w:tcPr>
          <w:p w14:paraId="3C566FCB">
            <w:pPr>
              <w:pStyle w:val="1405"/>
              <w:bidi w:val="0"/>
              <w:rPr>
                <w:rFonts w:hint="default"/>
                <w:color w:val="auto"/>
                <w:highlight w:val="none"/>
                <w:lang w:val="en-US" w:eastAsia="zh-CN"/>
              </w:rPr>
            </w:pPr>
            <w:r>
              <w:rPr>
                <w:rFonts w:hint="eastAsia"/>
                <w:color w:val="auto"/>
                <w:highlight w:val="none"/>
                <w:lang w:val="en-US" w:eastAsia="zh-CN"/>
              </w:rPr>
              <w:t>污染物项目</w:t>
            </w:r>
          </w:p>
        </w:tc>
        <w:tc>
          <w:tcPr>
            <w:tcW w:w="1241" w:type="pct"/>
            <w:tcBorders>
              <w:tl2br w:val="nil"/>
              <w:tr2bl w:val="nil"/>
            </w:tcBorders>
            <w:noWrap w:val="0"/>
            <w:vAlign w:val="center"/>
          </w:tcPr>
          <w:p w14:paraId="43A61646">
            <w:pPr>
              <w:pStyle w:val="1405"/>
              <w:bidi w:val="0"/>
              <w:rPr>
                <w:rFonts w:hint="default"/>
                <w:color w:val="auto"/>
                <w:highlight w:val="none"/>
                <w:lang w:val="en-US" w:eastAsia="zh-CN"/>
              </w:rPr>
            </w:pPr>
            <w:r>
              <w:rPr>
                <w:rFonts w:hint="eastAsia"/>
                <w:color w:val="auto"/>
                <w:highlight w:val="none"/>
                <w:lang w:val="en-US" w:eastAsia="zh-CN"/>
              </w:rPr>
              <w:t>污染防治设施</w:t>
            </w:r>
          </w:p>
        </w:tc>
        <w:tc>
          <w:tcPr>
            <w:tcW w:w="767" w:type="pct"/>
            <w:tcBorders>
              <w:tl2br w:val="nil"/>
              <w:tr2bl w:val="nil"/>
            </w:tcBorders>
            <w:noWrap w:val="0"/>
            <w:vAlign w:val="center"/>
          </w:tcPr>
          <w:p w14:paraId="2A975D97">
            <w:pPr>
              <w:pStyle w:val="1405"/>
              <w:bidi w:val="0"/>
              <w:rPr>
                <w:rFonts w:hint="default"/>
                <w:color w:val="auto"/>
                <w:highlight w:val="none"/>
                <w:lang w:val="en-US" w:eastAsia="zh-CN"/>
              </w:rPr>
            </w:pPr>
            <w:r>
              <w:rPr>
                <w:rFonts w:hint="eastAsia"/>
                <w:color w:val="auto"/>
                <w:highlight w:val="none"/>
                <w:lang w:val="en-US" w:eastAsia="zh-CN"/>
              </w:rPr>
              <w:t>本项目污染防治设施</w:t>
            </w:r>
          </w:p>
        </w:tc>
        <w:tc>
          <w:tcPr>
            <w:tcW w:w="433" w:type="pct"/>
            <w:tcBorders>
              <w:tl2br w:val="nil"/>
              <w:tr2bl w:val="nil"/>
            </w:tcBorders>
            <w:noWrap w:val="0"/>
            <w:vAlign w:val="center"/>
          </w:tcPr>
          <w:p w14:paraId="62651255">
            <w:pPr>
              <w:pStyle w:val="1405"/>
              <w:bidi w:val="0"/>
              <w:rPr>
                <w:rFonts w:hint="default"/>
                <w:color w:val="auto"/>
                <w:highlight w:val="none"/>
                <w:lang w:val="en-US" w:eastAsia="zh-CN"/>
              </w:rPr>
            </w:pPr>
            <w:r>
              <w:rPr>
                <w:rFonts w:hint="default"/>
                <w:color w:val="auto"/>
                <w:highlight w:val="none"/>
                <w:lang w:val="en-US" w:eastAsia="zh-CN"/>
              </w:rPr>
              <w:t>是否</w:t>
            </w:r>
          </w:p>
          <w:p w14:paraId="4B1BFE56">
            <w:pPr>
              <w:pStyle w:val="1405"/>
              <w:bidi w:val="0"/>
              <w:rPr>
                <w:rFonts w:hint="default"/>
                <w:color w:val="auto"/>
                <w:highlight w:val="none"/>
                <w:lang w:val="en-US" w:eastAsia="zh-CN"/>
              </w:rPr>
            </w:pPr>
            <w:r>
              <w:rPr>
                <w:rFonts w:hint="default"/>
                <w:color w:val="auto"/>
                <w:highlight w:val="none"/>
                <w:lang w:val="en-US" w:eastAsia="zh-CN"/>
              </w:rPr>
              <w:t>可行</w:t>
            </w:r>
          </w:p>
        </w:tc>
      </w:tr>
      <w:tr w14:paraId="13421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tcBorders>
              <w:tl2br w:val="nil"/>
              <w:tr2bl w:val="nil"/>
            </w:tcBorders>
            <w:noWrap w:val="0"/>
            <w:vAlign w:val="center"/>
          </w:tcPr>
          <w:p w14:paraId="24BD9B8D">
            <w:pPr>
              <w:pStyle w:val="1405"/>
              <w:bidi w:val="0"/>
              <w:rPr>
                <w:rFonts w:hint="default"/>
                <w:color w:val="auto"/>
                <w:highlight w:val="none"/>
                <w:lang w:val="en-US" w:eastAsia="zh-CN"/>
              </w:rPr>
            </w:pPr>
            <w:r>
              <w:rPr>
                <w:rFonts w:hint="eastAsia"/>
                <w:color w:val="auto"/>
                <w:highlight w:val="none"/>
                <w:lang w:val="en-US" w:eastAsia="zh-CN"/>
              </w:rPr>
              <w:t>树脂纤维加工</w:t>
            </w:r>
          </w:p>
        </w:tc>
        <w:tc>
          <w:tcPr>
            <w:tcW w:w="550" w:type="pct"/>
            <w:tcBorders>
              <w:tl2br w:val="nil"/>
              <w:tr2bl w:val="nil"/>
            </w:tcBorders>
            <w:noWrap w:val="0"/>
            <w:vAlign w:val="center"/>
          </w:tcPr>
          <w:p w14:paraId="5B9FA08B">
            <w:pPr>
              <w:pStyle w:val="1405"/>
              <w:bidi w:val="0"/>
              <w:rPr>
                <w:rFonts w:hint="default"/>
                <w:color w:val="auto"/>
                <w:highlight w:val="none"/>
                <w:lang w:val="en-US" w:eastAsia="zh-CN"/>
              </w:rPr>
            </w:pPr>
            <w:r>
              <w:rPr>
                <w:rFonts w:hint="eastAsia"/>
                <w:color w:val="auto"/>
                <w:highlight w:val="none"/>
                <w:lang w:val="en-US" w:eastAsia="zh-CN"/>
              </w:rPr>
              <w:t>高分子材料加工</w:t>
            </w:r>
          </w:p>
        </w:tc>
        <w:tc>
          <w:tcPr>
            <w:tcW w:w="680" w:type="pct"/>
            <w:tcBorders>
              <w:tl2br w:val="nil"/>
              <w:tr2bl w:val="nil"/>
            </w:tcBorders>
            <w:noWrap w:val="0"/>
            <w:vAlign w:val="center"/>
          </w:tcPr>
          <w:p w14:paraId="28FAD77E">
            <w:pPr>
              <w:pStyle w:val="1405"/>
              <w:bidi w:val="0"/>
              <w:rPr>
                <w:rFonts w:hint="default"/>
                <w:color w:val="auto"/>
                <w:highlight w:val="none"/>
                <w:lang w:val="en-US" w:eastAsia="zh-CN"/>
              </w:rPr>
            </w:pPr>
            <w:r>
              <w:rPr>
                <w:rFonts w:hint="eastAsia"/>
                <w:color w:val="auto"/>
                <w:highlight w:val="none"/>
                <w:lang w:val="en-US" w:eastAsia="zh-CN"/>
              </w:rPr>
              <w:t>挤压、注射、吹塑、压制、压延、发泡等生产设施</w:t>
            </w:r>
          </w:p>
        </w:tc>
        <w:tc>
          <w:tcPr>
            <w:tcW w:w="820" w:type="pct"/>
            <w:tcBorders>
              <w:tl2br w:val="nil"/>
              <w:tr2bl w:val="nil"/>
            </w:tcBorders>
            <w:noWrap w:val="0"/>
            <w:vAlign w:val="center"/>
          </w:tcPr>
          <w:p w14:paraId="4DA7B6BA">
            <w:pPr>
              <w:pStyle w:val="1405"/>
              <w:bidi w:val="0"/>
              <w:rPr>
                <w:rFonts w:hint="default"/>
                <w:color w:val="auto"/>
                <w:highlight w:val="none"/>
                <w:lang w:val="en-US" w:eastAsia="zh-CN"/>
              </w:rPr>
            </w:pPr>
            <w:r>
              <w:rPr>
                <w:rFonts w:hint="eastAsia"/>
                <w:color w:val="auto"/>
                <w:highlight w:val="none"/>
                <w:lang w:val="en-US" w:eastAsia="zh-CN"/>
              </w:rPr>
              <w:t>挥发性有机物</w:t>
            </w:r>
          </w:p>
        </w:tc>
        <w:tc>
          <w:tcPr>
            <w:tcW w:w="1241" w:type="pct"/>
            <w:tcBorders>
              <w:tl2br w:val="nil"/>
              <w:tr2bl w:val="nil"/>
            </w:tcBorders>
            <w:noWrap w:val="0"/>
            <w:vAlign w:val="center"/>
          </w:tcPr>
          <w:p w14:paraId="379AEE5A">
            <w:pPr>
              <w:pStyle w:val="1405"/>
              <w:bidi w:val="0"/>
              <w:jc w:val="center"/>
              <w:rPr>
                <w:rFonts w:hint="default"/>
                <w:color w:val="auto"/>
                <w:highlight w:val="none"/>
                <w:lang w:val="en-US" w:eastAsia="zh-CN"/>
              </w:rPr>
            </w:pPr>
            <w:r>
              <w:rPr>
                <w:rFonts w:hint="default"/>
                <w:color w:val="auto"/>
                <w:highlight w:val="none"/>
                <w:lang w:val="en-US" w:eastAsia="zh-CN"/>
              </w:rPr>
              <w:t>有机废气治理设施，吸附、催化燃烧、吸附+催化燃烧</w:t>
            </w:r>
          </w:p>
        </w:tc>
        <w:tc>
          <w:tcPr>
            <w:tcW w:w="767" w:type="pct"/>
            <w:tcBorders>
              <w:tl2br w:val="nil"/>
              <w:tr2bl w:val="nil"/>
            </w:tcBorders>
            <w:noWrap w:val="0"/>
            <w:vAlign w:val="center"/>
          </w:tcPr>
          <w:p w14:paraId="29765CB9">
            <w:pPr>
              <w:pStyle w:val="1405"/>
              <w:bidi w:val="0"/>
              <w:jc w:val="center"/>
              <w:rPr>
                <w:rFonts w:hint="default"/>
                <w:color w:val="auto"/>
                <w:highlight w:val="none"/>
                <w:lang w:val="en-US" w:eastAsia="zh-CN"/>
              </w:rPr>
            </w:pPr>
            <w:r>
              <w:rPr>
                <w:rFonts w:hint="eastAsia"/>
                <w:color w:val="auto"/>
                <w:highlight w:val="none"/>
                <w:lang w:val="en-US" w:eastAsia="zh-CN"/>
              </w:rPr>
              <w:t>二级活性炭吸附装置</w:t>
            </w:r>
          </w:p>
        </w:tc>
        <w:tc>
          <w:tcPr>
            <w:tcW w:w="433" w:type="pct"/>
            <w:tcBorders>
              <w:tl2br w:val="nil"/>
              <w:tr2bl w:val="nil"/>
            </w:tcBorders>
            <w:noWrap w:val="0"/>
            <w:vAlign w:val="center"/>
          </w:tcPr>
          <w:p w14:paraId="5A165B19">
            <w:pPr>
              <w:pStyle w:val="1405"/>
              <w:bidi w:val="0"/>
              <w:rPr>
                <w:rFonts w:hint="default"/>
                <w:color w:val="auto"/>
                <w:highlight w:val="none"/>
                <w:lang w:val="en-US" w:eastAsia="zh-CN"/>
              </w:rPr>
            </w:pPr>
            <w:r>
              <w:rPr>
                <w:rFonts w:hint="default"/>
                <w:color w:val="auto"/>
                <w:highlight w:val="none"/>
                <w:lang w:val="en-US" w:eastAsia="zh-CN"/>
              </w:rPr>
              <w:t>是</w:t>
            </w:r>
          </w:p>
        </w:tc>
      </w:tr>
      <w:tr w14:paraId="22879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vMerge w:val="restart"/>
            <w:tcBorders>
              <w:tl2br w:val="nil"/>
              <w:tr2bl w:val="nil"/>
            </w:tcBorders>
            <w:noWrap w:val="0"/>
            <w:vAlign w:val="center"/>
          </w:tcPr>
          <w:p w14:paraId="39104738">
            <w:pPr>
              <w:pStyle w:val="1405"/>
              <w:bidi w:val="0"/>
              <w:rPr>
                <w:rFonts w:hint="default"/>
                <w:color w:val="auto"/>
                <w:highlight w:val="none"/>
                <w:lang w:val="en-US" w:eastAsia="zh-CN"/>
              </w:rPr>
            </w:pPr>
            <w:r>
              <w:rPr>
                <w:rFonts w:hint="eastAsia"/>
                <w:color w:val="auto"/>
                <w:highlight w:val="none"/>
                <w:lang w:val="en-US" w:eastAsia="zh-CN"/>
              </w:rPr>
              <w:t>涂装</w:t>
            </w:r>
          </w:p>
        </w:tc>
        <w:tc>
          <w:tcPr>
            <w:tcW w:w="550" w:type="pct"/>
            <w:vMerge w:val="restart"/>
            <w:tcBorders>
              <w:tl2br w:val="nil"/>
              <w:tr2bl w:val="nil"/>
            </w:tcBorders>
            <w:noWrap w:val="0"/>
            <w:vAlign w:val="center"/>
          </w:tcPr>
          <w:p w14:paraId="0D5C662C">
            <w:pPr>
              <w:pStyle w:val="1405"/>
              <w:bidi w:val="0"/>
              <w:rPr>
                <w:rFonts w:hint="default"/>
                <w:color w:val="auto"/>
                <w:highlight w:val="none"/>
                <w:lang w:val="en-US" w:eastAsia="zh-CN"/>
              </w:rPr>
            </w:pPr>
            <w:r>
              <w:rPr>
                <w:rFonts w:hint="eastAsia"/>
                <w:color w:val="auto"/>
                <w:highlight w:val="none"/>
                <w:lang w:val="en-US" w:eastAsia="zh-CN"/>
              </w:rPr>
              <w:t>其他</w:t>
            </w:r>
          </w:p>
        </w:tc>
        <w:tc>
          <w:tcPr>
            <w:tcW w:w="680" w:type="pct"/>
            <w:tcBorders>
              <w:tl2br w:val="nil"/>
              <w:tr2bl w:val="nil"/>
            </w:tcBorders>
            <w:noWrap w:val="0"/>
            <w:vAlign w:val="center"/>
          </w:tcPr>
          <w:p w14:paraId="6BDB7A17">
            <w:pPr>
              <w:pStyle w:val="1405"/>
              <w:bidi w:val="0"/>
              <w:rPr>
                <w:rFonts w:hint="default"/>
                <w:color w:val="auto"/>
                <w:highlight w:val="none"/>
                <w:lang w:val="en-US" w:eastAsia="zh-CN"/>
              </w:rPr>
            </w:pPr>
            <w:r>
              <w:rPr>
                <w:rFonts w:hint="eastAsia"/>
                <w:color w:val="auto"/>
                <w:highlight w:val="none"/>
                <w:lang w:val="en-US" w:eastAsia="zh-CN"/>
              </w:rPr>
              <w:t>点补</w:t>
            </w:r>
          </w:p>
        </w:tc>
        <w:tc>
          <w:tcPr>
            <w:tcW w:w="820" w:type="pct"/>
            <w:tcBorders>
              <w:tl2br w:val="nil"/>
              <w:tr2bl w:val="nil"/>
            </w:tcBorders>
            <w:noWrap w:val="0"/>
            <w:vAlign w:val="center"/>
          </w:tcPr>
          <w:p w14:paraId="11A61E44">
            <w:pPr>
              <w:pStyle w:val="1405"/>
              <w:bidi w:val="0"/>
              <w:rPr>
                <w:rFonts w:hint="eastAsia"/>
                <w:color w:val="auto"/>
                <w:highlight w:val="none"/>
                <w:lang w:val="en-US" w:eastAsia="zh-CN"/>
              </w:rPr>
            </w:pPr>
            <w:r>
              <w:rPr>
                <w:rFonts w:hint="eastAsia"/>
                <w:color w:val="auto"/>
                <w:highlight w:val="none"/>
                <w:lang w:val="en-US" w:eastAsia="zh-CN"/>
              </w:rPr>
              <w:t>颗粒物、苯、甲苯、二甲苯、挥发性有机物等</w:t>
            </w:r>
          </w:p>
        </w:tc>
        <w:tc>
          <w:tcPr>
            <w:tcW w:w="1241" w:type="pct"/>
            <w:tcBorders>
              <w:tl2br w:val="nil"/>
              <w:tr2bl w:val="nil"/>
            </w:tcBorders>
            <w:noWrap w:val="0"/>
            <w:vAlign w:val="center"/>
          </w:tcPr>
          <w:p w14:paraId="3ECBB443">
            <w:pPr>
              <w:pStyle w:val="1405"/>
              <w:bidi w:val="0"/>
              <w:rPr>
                <w:rFonts w:hint="default"/>
                <w:color w:val="auto"/>
                <w:highlight w:val="none"/>
                <w:lang w:val="en-US" w:eastAsia="zh-CN"/>
              </w:rPr>
            </w:pPr>
            <w:r>
              <w:rPr>
                <w:rFonts w:hint="default"/>
                <w:color w:val="auto"/>
                <w:highlight w:val="none"/>
                <w:lang w:val="en-US" w:eastAsia="zh-CN"/>
              </w:rPr>
              <w:t>有机废气治理设施，过滤+吸附</w:t>
            </w:r>
          </w:p>
        </w:tc>
        <w:tc>
          <w:tcPr>
            <w:tcW w:w="767" w:type="pct"/>
            <w:tcBorders>
              <w:tl2br w:val="nil"/>
              <w:tr2bl w:val="nil"/>
            </w:tcBorders>
            <w:noWrap w:val="0"/>
            <w:vAlign w:val="center"/>
          </w:tcPr>
          <w:p w14:paraId="2EDFBDA9">
            <w:pPr>
              <w:pStyle w:val="1405"/>
              <w:bidi w:val="0"/>
              <w:rPr>
                <w:rFonts w:hint="default"/>
                <w:color w:val="auto"/>
                <w:highlight w:val="none"/>
                <w:lang w:val="en-US" w:eastAsia="zh-CN"/>
              </w:rPr>
            </w:pPr>
            <w:r>
              <w:rPr>
                <w:rFonts w:hint="eastAsia"/>
                <w:color w:val="auto"/>
                <w:highlight w:val="none"/>
                <w:lang w:val="en-US" w:eastAsia="zh-CN"/>
              </w:rPr>
              <w:t>二级活性炭吸附装置</w:t>
            </w:r>
          </w:p>
        </w:tc>
        <w:tc>
          <w:tcPr>
            <w:tcW w:w="433" w:type="pct"/>
            <w:tcBorders>
              <w:tl2br w:val="nil"/>
              <w:tr2bl w:val="nil"/>
            </w:tcBorders>
            <w:noWrap w:val="0"/>
            <w:vAlign w:val="center"/>
          </w:tcPr>
          <w:p w14:paraId="263733EC">
            <w:pPr>
              <w:pStyle w:val="1405"/>
              <w:bidi w:val="0"/>
              <w:rPr>
                <w:rFonts w:hint="default"/>
                <w:color w:val="auto"/>
                <w:highlight w:val="none"/>
                <w:lang w:val="en-US" w:eastAsia="zh-CN"/>
              </w:rPr>
            </w:pPr>
            <w:r>
              <w:rPr>
                <w:rFonts w:hint="default"/>
                <w:color w:val="auto"/>
                <w:highlight w:val="none"/>
                <w:lang w:val="en-US" w:eastAsia="zh-CN"/>
              </w:rPr>
              <w:t>是</w:t>
            </w:r>
          </w:p>
        </w:tc>
      </w:tr>
      <w:tr w14:paraId="461C0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vMerge w:val="continue"/>
            <w:tcBorders>
              <w:tl2br w:val="nil"/>
              <w:tr2bl w:val="nil"/>
            </w:tcBorders>
            <w:noWrap w:val="0"/>
            <w:vAlign w:val="center"/>
          </w:tcPr>
          <w:p w14:paraId="09E544AC">
            <w:pPr>
              <w:pStyle w:val="1405"/>
              <w:bidi w:val="0"/>
              <w:rPr>
                <w:rFonts w:hint="eastAsia"/>
                <w:color w:val="auto"/>
                <w:highlight w:val="none"/>
                <w:lang w:val="en-US" w:eastAsia="zh-CN"/>
              </w:rPr>
            </w:pPr>
          </w:p>
        </w:tc>
        <w:tc>
          <w:tcPr>
            <w:tcW w:w="550" w:type="pct"/>
            <w:vMerge w:val="continue"/>
            <w:tcBorders>
              <w:tl2br w:val="nil"/>
              <w:tr2bl w:val="nil"/>
            </w:tcBorders>
            <w:noWrap w:val="0"/>
            <w:vAlign w:val="center"/>
          </w:tcPr>
          <w:p w14:paraId="63DF5345">
            <w:pPr>
              <w:pStyle w:val="1405"/>
              <w:bidi w:val="0"/>
              <w:rPr>
                <w:rFonts w:hint="eastAsia" w:ascii="Times New Roman" w:hAnsi="Times New Roman" w:eastAsia="宋体" w:cs="Times New Roman"/>
                <w:color w:val="auto"/>
                <w:kern w:val="2"/>
                <w:sz w:val="21"/>
                <w:szCs w:val="20"/>
                <w:highlight w:val="none"/>
                <w:lang w:val="en-US" w:eastAsia="zh-CN" w:bidi="ar-SA"/>
              </w:rPr>
            </w:pPr>
          </w:p>
        </w:tc>
        <w:tc>
          <w:tcPr>
            <w:tcW w:w="680" w:type="pct"/>
            <w:tcBorders>
              <w:tl2br w:val="nil"/>
              <w:tr2bl w:val="nil"/>
            </w:tcBorders>
            <w:noWrap w:val="0"/>
            <w:vAlign w:val="center"/>
          </w:tcPr>
          <w:p w14:paraId="23BF4FE3">
            <w:pPr>
              <w:pStyle w:val="1405"/>
              <w:bidi w:val="0"/>
              <w:rPr>
                <w:rFonts w:hint="eastAsia"/>
                <w:color w:val="auto"/>
                <w:highlight w:val="none"/>
                <w:lang w:val="en-US" w:eastAsia="zh-CN"/>
              </w:rPr>
            </w:pPr>
            <w:r>
              <w:rPr>
                <w:rFonts w:hint="eastAsia"/>
                <w:color w:val="auto"/>
                <w:highlight w:val="none"/>
                <w:lang w:val="en-US" w:eastAsia="zh-CN"/>
              </w:rPr>
              <w:t>调漆间、喷漆室循环水池、漆渣处理间</w:t>
            </w:r>
          </w:p>
        </w:tc>
        <w:tc>
          <w:tcPr>
            <w:tcW w:w="820" w:type="pct"/>
            <w:tcBorders>
              <w:tl2br w:val="nil"/>
              <w:tr2bl w:val="nil"/>
            </w:tcBorders>
            <w:noWrap w:val="0"/>
            <w:vAlign w:val="center"/>
          </w:tcPr>
          <w:p w14:paraId="0C2C4A8C">
            <w:pPr>
              <w:pStyle w:val="1405"/>
              <w:bidi w:val="0"/>
              <w:rPr>
                <w:rFonts w:hint="eastAsia"/>
                <w:color w:val="auto"/>
                <w:highlight w:val="none"/>
                <w:lang w:val="en-US" w:eastAsia="zh-CN"/>
              </w:rPr>
            </w:pPr>
            <w:r>
              <w:rPr>
                <w:rFonts w:hint="eastAsia"/>
                <w:color w:val="auto"/>
                <w:highlight w:val="none"/>
                <w:lang w:val="en-US" w:eastAsia="zh-CN"/>
              </w:rPr>
              <w:t>苯、甲苯、二甲苯、挥发性有机物等</w:t>
            </w:r>
          </w:p>
        </w:tc>
        <w:tc>
          <w:tcPr>
            <w:tcW w:w="1241" w:type="pct"/>
            <w:tcBorders>
              <w:tl2br w:val="nil"/>
              <w:tr2bl w:val="nil"/>
            </w:tcBorders>
            <w:noWrap w:val="0"/>
            <w:vAlign w:val="center"/>
          </w:tcPr>
          <w:p w14:paraId="531098DB">
            <w:pPr>
              <w:pStyle w:val="1405"/>
              <w:bidi w:val="0"/>
              <w:rPr>
                <w:rFonts w:hint="eastAsia"/>
                <w:color w:val="auto"/>
                <w:highlight w:val="none"/>
                <w:lang w:val="en-US" w:eastAsia="zh-CN"/>
              </w:rPr>
            </w:pPr>
            <w:r>
              <w:rPr>
                <w:rFonts w:hint="eastAsia"/>
                <w:color w:val="auto"/>
                <w:highlight w:val="none"/>
                <w:lang w:val="en-US" w:eastAsia="zh-CN"/>
              </w:rPr>
              <w:t>有机废气治理设施，吸附</w:t>
            </w:r>
          </w:p>
        </w:tc>
        <w:tc>
          <w:tcPr>
            <w:tcW w:w="767" w:type="pct"/>
            <w:tcBorders>
              <w:tl2br w:val="nil"/>
              <w:tr2bl w:val="nil"/>
            </w:tcBorders>
            <w:noWrap w:val="0"/>
            <w:vAlign w:val="center"/>
          </w:tcPr>
          <w:p w14:paraId="0EDCCD94">
            <w:pPr>
              <w:pStyle w:val="1405"/>
              <w:bidi w:val="0"/>
              <w:rPr>
                <w:rFonts w:hint="default"/>
                <w:color w:val="auto"/>
                <w:highlight w:val="none"/>
                <w:lang w:val="en-US" w:eastAsia="zh-CN"/>
              </w:rPr>
            </w:pPr>
            <w:r>
              <w:rPr>
                <w:rFonts w:hint="eastAsia"/>
                <w:color w:val="auto"/>
                <w:highlight w:val="none"/>
                <w:lang w:val="en-US" w:eastAsia="zh-CN"/>
              </w:rPr>
              <w:t>二级活性炭吸附装置</w:t>
            </w:r>
          </w:p>
        </w:tc>
        <w:tc>
          <w:tcPr>
            <w:tcW w:w="433" w:type="pct"/>
            <w:tcBorders>
              <w:tl2br w:val="nil"/>
              <w:tr2bl w:val="nil"/>
            </w:tcBorders>
            <w:noWrap w:val="0"/>
            <w:vAlign w:val="center"/>
          </w:tcPr>
          <w:p w14:paraId="27908544">
            <w:pPr>
              <w:pStyle w:val="1405"/>
              <w:bidi w:val="0"/>
              <w:rPr>
                <w:rFonts w:hint="default"/>
                <w:color w:val="auto"/>
                <w:highlight w:val="none"/>
                <w:lang w:val="en-US" w:eastAsia="zh-CN"/>
              </w:rPr>
            </w:pPr>
            <w:r>
              <w:rPr>
                <w:rFonts w:hint="default"/>
                <w:color w:val="auto"/>
                <w:highlight w:val="none"/>
                <w:lang w:val="en-US" w:eastAsia="zh-CN"/>
              </w:rPr>
              <w:t>是</w:t>
            </w:r>
          </w:p>
        </w:tc>
      </w:tr>
    </w:tbl>
    <w:p w14:paraId="2AFFDB5D">
      <w:pPr>
        <w:bidi w:val="0"/>
        <w:rPr>
          <w:rFonts w:hint="eastAsia"/>
          <w:b/>
          <w:bCs/>
          <w:color w:val="auto"/>
          <w:highlight w:val="none"/>
          <w:lang w:val="en-US" w:eastAsia="zh-CN"/>
        </w:rPr>
      </w:pPr>
      <w:r>
        <w:rPr>
          <w:rFonts w:hint="eastAsia"/>
          <w:b/>
          <w:bCs/>
          <w:color w:val="auto"/>
          <w:highlight w:val="none"/>
          <w:lang w:val="en-US" w:eastAsia="zh-CN"/>
        </w:rPr>
        <w:t>②“干式纸盒+过滤棉过滤+RTO蓄热式焚烧炉”处理措施可行性</w:t>
      </w:r>
    </w:p>
    <w:p w14:paraId="62C394AD">
      <w:pPr>
        <w:bidi w:val="0"/>
        <w:rPr>
          <w:color w:val="auto"/>
          <w:highlight w:val="none"/>
        </w:rPr>
      </w:pPr>
      <w:r>
        <w:rPr>
          <w:color w:val="auto"/>
          <w:highlight w:val="none"/>
        </w:rPr>
        <w:t>根据《挥发性有机物（VOCs）污染防治技术政策》（公告 2013年 第31号）第（十四）条</w:t>
      </w:r>
      <w:r>
        <w:rPr>
          <w:rFonts w:hint="eastAsia"/>
          <w:color w:val="auto"/>
          <w:highlight w:val="none"/>
          <w:lang w:eastAsia="zh-CN"/>
        </w:rPr>
        <w:t>：</w:t>
      </w:r>
      <w:r>
        <w:rPr>
          <w:color w:val="auto"/>
          <w:highlight w:val="none"/>
        </w:rPr>
        <w:t>对于含中等浓度VOCs的废气，可采用吸附技术回收有机溶剂，或采用催化燃烧和热力焚烧技术净化后达标排放。参考《排污许可证申请与核发技术规范 汽车制造业》（HJ 971-</w:t>
      </w:r>
      <w:r>
        <w:rPr>
          <w:rFonts w:hint="eastAsia"/>
          <w:color w:val="auto"/>
          <w:highlight w:val="none"/>
          <w:lang w:val="en-US" w:eastAsia="zh-CN"/>
        </w:rPr>
        <w:t>2026，自2027年1月1日起实施</w:t>
      </w:r>
      <w:r>
        <w:rPr>
          <w:color w:val="auto"/>
          <w:highlight w:val="none"/>
        </w:rPr>
        <w:t>）</w:t>
      </w:r>
      <w:r>
        <w:rPr>
          <w:rFonts w:hint="eastAsia"/>
          <w:color w:val="auto"/>
          <w:highlight w:val="none"/>
        </w:rPr>
        <w:t>表9汽车车身与挂车生产排污单位产排污环节、污染物项目及对应排放口类型表</w:t>
      </w:r>
      <w:r>
        <w:rPr>
          <w:rFonts w:hint="eastAsia"/>
          <w:color w:val="auto"/>
          <w:highlight w:val="none"/>
          <w:lang w:val="en-US" w:eastAsia="zh-CN"/>
        </w:rPr>
        <w:t>和</w:t>
      </w:r>
      <w:r>
        <w:rPr>
          <w:color w:val="auto"/>
          <w:highlight w:val="none"/>
        </w:rPr>
        <w:t>《汽车工业污染防治可行技术指南》（HJ1181-2021）</w:t>
      </w:r>
      <w:r>
        <w:rPr>
          <w:rFonts w:hint="eastAsia"/>
          <w:color w:val="auto"/>
          <w:highlight w:val="none"/>
          <w:lang w:val="en-US" w:eastAsia="zh-CN"/>
        </w:rPr>
        <w:t>表4涂装、树脂纤维加工工序废气污染防治可行技术</w:t>
      </w:r>
      <w:r>
        <w:rPr>
          <w:rFonts w:hint="eastAsia"/>
          <w:color w:val="auto"/>
          <w:highlight w:val="none"/>
          <w:lang w:eastAsia="zh-CN"/>
        </w:rPr>
        <w:t>：</w:t>
      </w:r>
      <w:r>
        <w:rPr>
          <w:rFonts w:hint="eastAsia"/>
          <w:color w:val="auto"/>
          <w:highlight w:val="none"/>
        </w:rPr>
        <w:t>适用于乘用车、载货汽车及驾驶室、客车及车身零部件涂装各喷涂体系中，循环风比例大于85%的溶剂型涂料、高固体分溶剂型涂料及水性涂料喷涂废气的处理。典型污染治理技术路线为漆雾处理十RTO/TNV</w:t>
      </w:r>
      <w:r>
        <w:rPr>
          <w:rFonts w:hint="eastAsia"/>
          <w:color w:val="auto"/>
          <w:highlight w:val="none"/>
          <w:lang w:eastAsia="zh-CN"/>
        </w:rPr>
        <w:t>。</w:t>
      </w:r>
      <w:r>
        <w:rPr>
          <w:color w:val="auto"/>
          <w:highlight w:val="none"/>
        </w:rPr>
        <w:t>综合考虑废气成分、浓度及排污许可要求等因素，本项目喷漆、流平、烘干和</w:t>
      </w:r>
      <w:r>
        <w:rPr>
          <w:rFonts w:hint="eastAsia"/>
          <w:color w:val="auto"/>
          <w:highlight w:val="none"/>
          <w:lang w:val="en-US" w:eastAsia="zh-CN"/>
        </w:rPr>
        <w:t>喷枪清洗工序产生</w:t>
      </w:r>
      <w:r>
        <w:rPr>
          <w:color w:val="auto"/>
          <w:highlight w:val="none"/>
        </w:rPr>
        <w:t>废气采用RTO蓄热式焚烧炉处理。</w:t>
      </w:r>
    </w:p>
    <w:p w14:paraId="09435664">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7.1-2</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治理措施可行性分析</w:t>
      </w:r>
    </w:p>
    <w:tbl>
      <w:tblPr>
        <w:tblStyle w:val="81"/>
        <w:tblW w:w="521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069"/>
        <w:gridCol w:w="1320"/>
        <w:gridCol w:w="1593"/>
        <w:gridCol w:w="2410"/>
        <w:gridCol w:w="1490"/>
        <w:gridCol w:w="841"/>
      </w:tblGrid>
      <w:tr w14:paraId="0A248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tcBorders>
              <w:tl2br w:val="nil"/>
              <w:tr2bl w:val="nil"/>
            </w:tcBorders>
            <w:noWrap w:val="0"/>
            <w:vAlign w:val="center"/>
          </w:tcPr>
          <w:p w14:paraId="7ED8D102">
            <w:pPr>
              <w:pStyle w:val="1405"/>
              <w:bidi w:val="0"/>
              <w:rPr>
                <w:rFonts w:hint="default"/>
                <w:color w:val="auto"/>
                <w:highlight w:val="none"/>
                <w:lang w:val="en-US" w:eastAsia="zh-CN"/>
              </w:rPr>
            </w:pPr>
            <w:r>
              <w:rPr>
                <w:rFonts w:hint="default"/>
                <w:color w:val="auto"/>
                <w:highlight w:val="none"/>
                <w:lang w:val="en-US" w:eastAsia="zh-CN"/>
              </w:rPr>
              <w:t>生产单元</w:t>
            </w:r>
          </w:p>
        </w:tc>
        <w:tc>
          <w:tcPr>
            <w:tcW w:w="550" w:type="pct"/>
            <w:tcBorders>
              <w:tl2br w:val="nil"/>
              <w:tr2bl w:val="nil"/>
            </w:tcBorders>
            <w:noWrap w:val="0"/>
            <w:vAlign w:val="center"/>
          </w:tcPr>
          <w:p w14:paraId="42F7FF54">
            <w:pPr>
              <w:pStyle w:val="1405"/>
              <w:bidi w:val="0"/>
              <w:rPr>
                <w:rFonts w:hint="default"/>
                <w:color w:val="auto"/>
                <w:highlight w:val="none"/>
                <w:lang w:val="en-US" w:eastAsia="zh-CN"/>
              </w:rPr>
            </w:pPr>
            <w:r>
              <w:rPr>
                <w:rFonts w:hint="default"/>
                <w:color w:val="auto"/>
                <w:highlight w:val="none"/>
                <w:lang w:val="en-US" w:eastAsia="zh-CN"/>
              </w:rPr>
              <w:t>生产</w:t>
            </w:r>
            <w:r>
              <w:rPr>
                <w:rFonts w:hint="eastAsia"/>
                <w:color w:val="auto"/>
                <w:highlight w:val="none"/>
                <w:lang w:val="en-US" w:eastAsia="zh-CN"/>
              </w:rPr>
              <w:t>工艺</w:t>
            </w:r>
          </w:p>
        </w:tc>
        <w:tc>
          <w:tcPr>
            <w:tcW w:w="680" w:type="pct"/>
            <w:tcBorders>
              <w:tl2br w:val="nil"/>
              <w:tr2bl w:val="nil"/>
            </w:tcBorders>
            <w:noWrap w:val="0"/>
            <w:vAlign w:val="center"/>
          </w:tcPr>
          <w:p w14:paraId="207D8AA8">
            <w:pPr>
              <w:pStyle w:val="1405"/>
              <w:bidi w:val="0"/>
              <w:rPr>
                <w:rFonts w:hint="default"/>
                <w:color w:val="auto"/>
                <w:highlight w:val="none"/>
                <w:lang w:val="en-US" w:eastAsia="zh-CN"/>
              </w:rPr>
            </w:pPr>
            <w:r>
              <w:rPr>
                <w:rFonts w:hint="eastAsia"/>
                <w:color w:val="auto"/>
                <w:highlight w:val="none"/>
                <w:lang w:val="en-US" w:eastAsia="zh-CN"/>
              </w:rPr>
              <w:t>废气产排污环节名称</w:t>
            </w:r>
          </w:p>
        </w:tc>
        <w:tc>
          <w:tcPr>
            <w:tcW w:w="820" w:type="pct"/>
            <w:tcBorders>
              <w:tl2br w:val="nil"/>
              <w:tr2bl w:val="nil"/>
            </w:tcBorders>
            <w:noWrap w:val="0"/>
            <w:vAlign w:val="center"/>
          </w:tcPr>
          <w:p w14:paraId="321D3549">
            <w:pPr>
              <w:pStyle w:val="1405"/>
              <w:bidi w:val="0"/>
              <w:rPr>
                <w:rFonts w:hint="default"/>
                <w:color w:val="auto"/>
                <w:highlight w:val="none"/>
                <w:lang w:val="en-US" w:eastAsia="zh-CN"/>
              </w:rPr>
            </w:pPr>
            <w:r>
              <w:rPr>
                <w:rFonts w:hint="eastAsia"/>
                <w:color w:val="auto"/>
                <w:highlight w:val="none"/>
                <w:lang w:val="en-US" w:eastAsia="zh-CN"/>
              </w:rPr>
              <w:t>污染物项目</w:t>
            </w:r>
          </w:p>
        </w:tc>
        <w:tc>
          <w:tcPr>
            <w:tcW w:w="1241" w:type="pct"/>
            <w:tcBorders>
              <w:tl2br w:val="nil"/>
              <w:tr2bl w:val="nil"/>
            </w:tcBorders>
            <w:noWrap w:val="0"/>
            <w:vAlign w:val="center"/>
          </w:tcPr>
          <w:p w14:paraId="2992E72E">
            <w:pPr>
              <w:pStyle w:val="1405"/>
              <w:bidi w:val="0"/>
              <w:rPr>
                <w:rFonts w:hint="default"/>
                <w:color w:val="auto"/>
                <w:highlight w:val="none"/>
                <w:lang w:val="en-US" w:eastAsia="zh-CN"/>
              </w:rPr>
            </w:pPr>
            <w:r>
              <w:rPr>
                <w:rFonts w:hint="eastAsia"/>
                <w:color w:val="auto"/>
                <w:highlight w:val="none"/>
                <w:lang w:val="en-US" w:eastAsia="zh-CN"/>
              </w:rPr>
              <w:t>污染防治设施</w:t>
            </w:r>
          </w:p>
        </w:tc>
        <w:tc>
          <w:tcPr>
            <w:tcW w:w="767" w:type="pct"/>
            <w:tcBorders>
              <w:tl2br w:val="nil"/>
              <w:tr2bl w:val="nil"/>
            </w:tcBorders>
            <w:noWrap w:val="0"/>
            <w:vAlign w:val="center"/>
          </w:tcPr>
          <w:p w14:paraId="2D29DDC1">
            <w:pPr>
              <w:pStyle w:val="1405"/>
              <w:bidi w:val="0"/>
              <w:rPr>
                <w:rFonts w:hint="default"/>
                <w:color w:val="auto"/>
                <w:highlight w:val="none"/>
                <w:lang w:val="en-US" w:eastAsia="zh-CN"/>
              </w:rPr>
            </w:pPr>
            <w:r>
              <w:rPr>
                <w:rFonts w:hint="eastAsia"/>
                <w:color w:val="auto"/>
                <w:highlight w:val="none"/>
                <w:lang w:val="en-US" w:eastAsia="zh-CN"/>
              </w:rPr>
              <w:t>本项目污染防治设施</w:t>
            </w:r>
          </w:p>
        </w:tc>
        <w:tc>
          <w:tcPr>
            <w:tcW w:w="433" w:type="pct"/>
            <w:tcBorders>
              <w:tl2br w:val="nil"/>
              <w:tr2bl w:val="nil"/>
            </w:tcBorders>
            <w:noWrap w:val="0"/>
            <w:vAlign w:val="center"/>
          </w:tcPr>
          <w:p w14:paraId="4FE0819C">
            <w:pPr>
              <w:pStyle w:val="1405"/>
              <w:bidi w:val="0"/>
              <w:rPr>
                <w:rFonts w:hint="default"/>
                <w:color w:val="auto"/>
                <w:highlight w:val="none"/>
                <w:lang w:val="en-US" w:eastAsia="zh-CN"/>
              </w:rPr>
            </w:pPr>
            <w:r>
              <w:rPr>
                <w:rFonts w:hint="default"/>
                <w:color w:val="auto"/>
                <w:highlight w:val="none"/>
                <w:lang w:val="en-US" w:eastAsia="zh-CN"/>
              </w:rPr>
              <w:t>是否</w:t>
            </w:r>
          </w:p>
          <w:p w14:paraId="1725C682">
            <w:pPr>
              <w:pStyle w:val="1405"/>
              <w:bidi w:val="0"/>
              <w:rPr>
                <w:rFonts w:hint="default"/>
                <w:color w:val="auto"/>
                <w:highlight w:val="none"/>
                <w:lang w:val="en-US" w:eastAsia="zh-CN"/>
              </w:rPr>
            </w:pPr>
            <w:r>
              <w:rPr>
                <w:rFonts w:hint="default"/>
                <w:color w:val="auto"/>
                <w:highlight w:val="none"/>
                <w:lang w:val="en-US" w:eastAsia="zh-CN"/>
              </w:rPr>
              <w:t>可行</w:t>
            </w:r>
          </w:p>
        </w:tc>
      </w:tr>
      <w:tr w14:paraId="63D13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505" w:type="pct"/>
            <w:vMerge w:val="restart"/>
            <w:tcBorders>
              <w:tl2br w:val="nil"/>
              <w:tr2bl w:val="nil"/>
            </w:tcBorders>
            <w:noWrap w:val="0"/>
            <w:vAlign w:val="center"/>
          </w:tcPr>
          <w:p w14:paraId="45A5139C">
            <w:pPr>
              <w:pStyle w:val="1405"/>
              <w:bidi w:val="0"/>
              <w:rPr>
                <w:rFonts w:hint="default"/>
                <w:color w:val="auto"/>
                <w:highlight w:val="none"/>
                <w:lang w:val="en-US" w:eastAsia="zh-CN"/>
              </w:rPr>
            </w:pPr>
            <w:r>
              <w:rPr>
                <w:rFonts w:hint="eastAsia"/>
                <w:color w:val="auto"/>
                <w:highlight w:val="none"/>
                <w:lang w:val="en-US" w:eastAsia="zh-CN"/>
              </w:rPr>
              <w:t>涂装</w:t>
            </w:r>
          </w:p>
        </w:tc>
        <w:tc>
          <w:tcPr>
            <w:tcW w:w="550" w:type="pct"/>
            <w:vMerge w:val="restart"/>
            <w:tcBorders>
              <w:tl2br w:val="nil"/>
              <w:tr2bl w:val="nil"/>
            </w:tcBorders>
            <w:noWrap w:val="0"/>
            <w:vAlign w:val="center"/>
          </w:tcPr>
          <w:p w14:paraId="2AE10199">
            <w:pPr>
              <w:pStyle w:val="1405"/>
              <w:bidi w:val="0"/>
              <w:rPr>
                <w:rFonts w:hint="default"/>
                <w:color w:val="auto"/>
                <w:highlight w:val="none"/>
                <w:lang w:val="en-US" w:eastAsia="zh-CN"/>
              </w:rPr>
            </w:pPr>
            <w:r>
              <w:rPr>
                <w:rFonts w:hint="eastAsia"/>
                <w:color w:val="auto"/>
                <w:highlight w:val="none"/>
                <w:lang w:val="en-US" w:eastAsia="zh-CN"/>
              </w:rPr>
              <w:t>喷涂</w:t>
            </w:r>
          </w:p>
        </w:tc>
        <w:tc>
          <w:tcPr>
            <w:tcW w:w="680" w:type="pct"/>
            <w:vMerge w:val="restart"/>
            <w:tcBorders>
              <w:tl2br w:val="nil"/>
              <w:tr2bl w:val="nil"/>
            </w:tcBorders>
            <w:noWrap w:val="0"/>
            <w:vAlign w:val="center"/>
          </w:tcPr>
          <w:p w14:paraId="2A9A1830">
            <w:pPr>
              <w:pStyle w:val="1405"/>
              <w:bidi w:val="0"/>
              <w:rPr>
                <w:rFonts w:hint="default"/>
                <w:color w:val="auto"/>
                <w:highlight w:val="none"/>
                <w:lang w:val="en-US" w:eastAsia="zh-CN"/>
              </w:rPr>
            </w:pPr>
            <w:r>
              <w:rPr>
                <w:rFonts w:hint="eastAsia"/>
                <w:color w:val="auto"/>
                <w:highlight w:val="none"/>
                <w:lang w:val="en-US" w:eastAsia="zh-CN"/>
              </w:rPr>
              <w:t>溶剂擦洗、喷漆、（热）流平等生产设施</w:t>
            </w:r>
          </w:p>
        </w:tc>
        <w:tc>
          <w:tcPr>
            <w:tcW w:w="820" w:type="pct"/>
            <w:tcBorders>
              <w:tl2br w:val="nil"/>
              <w:tr2bl w:val="nil"/>
            </w:tcBorders>
            <w:noWrap w:val="0"/>
            <w:vAlign w:val="center"/>
          </w:tcPr>
          <w:p w14:paraId="7EABE2F9">
            <w:pPr>
              <w:pStyle w:val="1405"/>
              <w:bidi w:val="0"/>
              <w:rPr>
                <w:rFonts w:hint="eastAsia"/>
                <w:color w:val="auto"/>
                <w:highlight w:val="none"/>
                <w:lang w:val="en-US" w:eastAsia="zh-CN"/>
              </w:rPr>
            </w:pPr>
            <w:r>
              <w:rPr>
                <w:rFonts w:hint="eastAsia"/>
                <w:color w:val="auto"/>
                <w:highlight w:val="none"/>
                <w:lang w:val="en-US" w:eastAsia="zh-CN"/>
              </w:rPr>
              <w:t>颗粒物（漆雾）</w:t>
            </w:r>
          </w:p>
        </w:tc>
        <w:tc>
          <w:tcPr>
            <w:tcW w:w="1241" w:type="pct"/>
            <w:tcBorders>
              <w:tl2br w:val="nil"/>
              <w:tr2bl w:val="nil"/>
            </w:tcBorders>
            <w:noWrap w:val="0"/>
            <w:vAlign w:val="center"/>
          </w:tcPr>
          <w:p w14:paraId="77E8AC4E">
            <w:pPr>
              <w:pStyle w:val="1405"/>
              <w:bidi w:val="0"/>
              <w:rPr>
                <w:rFonts w:hint="default"/>
                <w:color w:val="auto"/>
                <w:highlight w:val="none"/>
                <w:lang w:val="en-US" w:eastAsia="zh-CN"/>
              </w:rPr>
            </w:pPr>
            <w:r>
              <w:rPr>
                <w:rFonts w:hint="default"/>
                <w:color w:val="auto"/>
                <w:highlight w:val="none"/>
                <w:lang w:val="en-US" w:eastAsia="zh-CN"/>
              </w:rPr>
              <w:t>漆雾过滤设施，干式介质过滤/石灰石粉过滤/静电漆雾处理/文丘里过滤等</w:t>
            </w:r>
          </w:p>
        </w:tc>
        <w:tc>
          <w:tcPr>
            <w:tcW w:w="767" w:type="pct"/>
            <w:vMerge w:val="restart"/>
            <w:tcBorders>
              <w:tl2br w:val="nil"/>
              <w:tr2bl w:val="nil"/>
            </w:tcBorders>
            <w:noWrap w:val="0"/>
            <w:vAlign w:val="center"/>
          </w:tcPr>
          <w:p w14:paraId="5AAB9342">
            <w:pPr>
              <w:pStyle w:val="1405"/>
              <w:bidi w:val="0"/>
              <w:rPr>
                <w:rFonts w:hint="default"/>
                <w:color w:val="auto"/>
                <w:highlight w:val="none"/>
                <w:lang w:val="en-US" w:eastAsia="zh-CN"/>
              </w:rPr>
            </w:pPr>
            <w:r>
              <w:rPr>
                <w:rFonts w:hint="default"/>
                <w:color w:val="auto"/>
                <w:highlight w:val="none"/>
                <w:lang w:val="en-US" w:eastAsia="zh-CN"/>
              </w:rPr>
              <w:t>干式纸盒+过滤棉过滤+RTO蓄热式焚烧炉</w:t>
            </w:r>
          </w:p>
        </w:tc>
        <w:tc>
          <w:tcPr>
            <w:tcW w:w="433" w:type="pct"/>
            <w:vMerge w:val="restart"/>
            <w:tcBorders>
              <w:tl2br w:val="nil"/>
              <w:tr2bl w:val="nil"/>
            </w:tcBorders>
            <w:noWrap w:val="0"/>
            <w:vAlign w:val="center"/>
          </w:tcPr>
          <w:p w14:paraId="07C913FA">
            <w:pPr>
              <w:pStyle w:val="1405"/>
              <w:bidi w:val="0"/>
              <w:rPr>
                <w:rFonts w:hint="default"/>
                <w:color w:val="auto"/>
                <w:highlight w:val="none"/>
                <w:lang w:val="en-US" w:eastAsia="zh-CN"/>
              </w:rPr>
            </w:pPr>
            <w:r>
              <w:rPr>
                <w:rFonts w:hint="default"/>
                <w:color w:val="auto"/>
                <w:highlight w:val="none"/>
                <w:lang w:val="en-US" w:eastAsia="zh-CN"/>
              </w:rPr>
              <w:t>是</w:t>
            </w:r>
          </w:p>
        </w:tc>
      </w:tr>
      <w:tr w14:paraId="1634C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67" w:hRule="atLeast"/>
          <w:jc w:val="center"/>
        </w:trPr>
        <w:tc>
          <w:tcPr>
            <w:tcW w:w="505" w:type="pct"/>
            <w:vMerge w:val="continue"/>
            <w:tcBorders>
              <w:tl2br w:val="nil"/>
              <w:tr2bl w:val="nil"/>
            </w:tcBorders>
            <w:noWrap w:val="0"/>
            <w:vAlign w:val="center"/>
          </w:tcPr>
          <w:p w14:paraId="3952055B">
            <w:pPr>
              <w:pStyle w:val="1405"/>
              <w:bidi w:val="0"/>
              <w:rPr>
                <w:color w:val="auto"/>
                <w:highlight w:val="none"/>
              </w:rPr>
            </w:pPr>
          </w:p>
        </w:tc>
        <w:tc>
          <w:tcPr>
            <w:tcW w:w="550" w:type="pct"/>
            <w:vMerge w:val="continue"/>
            <w:tcBorders>
              <w:tl2br w:val="nil"/>
              <w:tr2bl w:val="nil"/>
            </w:tcBorders>
            <w:noWrap w:val="0"/>
            <w:vAlign w:val="center"/>
          </w:tcPr>
          <w:p w14:paraId="2315184C">
            <w:pPr>
              <w:pStyle w:val="1405"/>
              <w:bidi w:val="0"/>
              <w:rPr>
                <w:color w:val="auto"/>
                <w:highlight w:val="none"/>
              </w:rPr>
            </w:pPr>
          </w:p>
        </w:tc>
        <w:tc>
          <w:tcPr>
            <w:tcW w:w="680" w:type="pct"/>
            <w:vMerge w:val="continue"/>
            <w:tcBorders>
              <w:tl2br w:val="nil"/>
              <w:tr2bl w:val="nil"/>
            </w:tcBorders>
            <w:noWrap w:val="0"/>
            <w:vAlign w:val="center"/>
          </w:tcPr>
          <w:p w14:paraId="7EF239B2">
            <w:pPr>
              <w:pStyle w:val="1405"/>
              <w:bidi w:val="0"/>
              <w:rPr>
                <w:color w:val="auto"/>
                <w:highlight w:val="none"/>
              </w:rPr>
            </w:pPr>
          </w:p>
        </w:tc>
        <w:tc>
          <w:tcPr>
            <w:tcW w:w="820" w:type="pct"/>
            <w:tcBorders>
              <w:tl2br w:val="nil"/>
              <w:tr2bl w:val="nil"/>
            </w:tcBorders>
            <w:noWrap w:val="0"/>
            <w:vAlign w:val="center"/>
          </w:tcPr>
          <w:p w14:paraId="65EC87AE">
            <w:pPr>
              <w:pStyle w:val="1405"/>
              <w:bidi w:val="0"/>
              <w:rPr>
                <w:rFonts w:hint="eastAsia"/>
                <w:color w:val="auto"/>
                <w:highlight w:val="none"/>
                <w:lang w:val="en-US" w:eastAsia="zh-CN"/>
              </w:rPr>
            </w:pPr>
            <w:r>
              <w:rPr>
                <w:rFonts w:hint="eastAsia"/>
                <w:color w:val="auto"/>
                <w:highlight w:val="none"/>
                <w:lang w:val="en-US" w:eastAsia="zh-CN"/>
              </w:rPr>
              <w:t>苯、甲苯、二甲苯、挥发性有机物等</w:t>
            </w:r>
          </w:p>
        </w:tc>
        <w:tc>
          <w:tcPr>
            <w:tcW w:w="1241" w:type="pct"/>
            <w:tcBorders>
              <w:tl2br w:val="nil"/>
              <w:tr2bl w:val="nil"/>
            </w:tcBorders>
            <w:noWrap w:val="0"/>
            <w:vAlign w:val="center"/>
          </w:tcPr>
          <w:p w14:paraId="30ED783C">
            <w:pPr>
              <w:pStyle w:val="1405"/>
              <w:bidi w:val="0"/>
              <w:rPr>
                <w:rFonts w:hint="eastAsia"/>
                <w:color w:val="auto"/>
                <w:highlight w:val="none"/>
                <w:lang w:val="en-US" w:eastAsia="zh-CN"/>
              </w:rPr>
            </w:pPr>
            <w:r>
              <w:rPr>
                <w:rFonts w:hint="eastAsia"/>
                <w:color w:val="auto"/>
                <w:highlight w:val="none"/>
                <w:lang w:val="en-US" w:eastAsia="zh-CN"/>
              </w:rPr>
              <w:t>有机废气治理设施，热力焚烧/催化燃烧、吸附+热力焚烧/催化燃烧等</w:t>
            </w:r>
          </w:p>
        </w:tc>
        <w:tc>
          <w:tcPr>
            <w:tcW w:w="767" w:type="pct"/>
            <w:vMerge w:val="continue"/>
            <w:tcBorders>
              <w:tl2br w:val="nil"/>
              <w:tr2bl w:val="nil"/>
            </w:tcBorders>
            <w:noWrap w:val="0"/>
            <w:vAlign w:val="center"/>
          </w:tcPr>
          <w:p w14:paraId="21C0DF28">
            <w:pPr>
              <w:pStyle w:val="1405"/>
              <w:bidi w:val="0"/>
              <w:rPr>
                <w:rFonts w:hint="eastAsia"/>
                <w:color w:val="auto"/>
                <w:highlight w:val="none"/>
                <w:lang w:val="en-US" w:eastAsia="zh-CN"/>
              </w:rPr>
            </w:pPr>
          </w:p>
        </w:tc>
        <w:tc>
          <w:tcPr>
            <w:tcW w:w="433" w:type="pct"/>
            <w:vMerge w:val="continue"/>
            <w:tcBorders>
              <w:tl2br w:val="nil"/>
              <w:tr2bl w:val="nil"/>
            </w:tcBorders>
            <w:noWrap w:val="0"/>
            <w:vAlign w:val="center"/>
          </w:tcPr>
          <w:p w14:paraId="041B82B4">
            <w:pPr>
              <w:pStyle w:val="1405"/>
              <w:bidi w:val="0"/>
              <w:rPr>
                <w:rFonts w:hint="eastAsia"/>
                <w:color w:val="auto"/>
                <w:highlight w:val="none"/>
                <w:lang w:val="en-US" w:eastAsia="zh-CN"/>
              </w:rPr>
            </w:pPr>
          </w:p>
        </w:tc>
      </w:tr>
      <w:tr w14:paraId="3ACAA3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67" w:hRule="atLeast"/>
          <w:jc w:val="center"/>
        </w:trPr>
        <w:tc>
          <w:tcPr>
            <w:tcW w:w="505" w:type="pct"/>
            <w:vMerge w:val="continue"/>
            <w:tcBorders>
              <w:tl2br w:val="nil"/>
              <w:tr2bl w:val="nil"/>
            </w:tcBorders>
            <w:noWrap w:val="0"/>
            <w:vAlign w:val="center"/>
          </w:tcPr>
          <w:p w14:paraId="4745C8B9">
            <w:pPr>
              <w:pStyle w:val="1405"/>
              <w:bidi w:val="0"/>
              <w:rPr>
                <w:color w:val="auto"/>
                <w:highlight w:val="none"/>
              </w:rPr>
            </w:pPr>
          </w:p>
        </w:tc>
        <w:tc>
          <w:tcPr>
            <w:tcW w:w="550" w:type="pct"/>
            <w:vMerge w:val="continue"/>
            <w:tcBorders>
              <w:tl2br w:val="nil"/>
              <w:tr2bl w:val="nil"/>
            </w:tcBorders>
            <w:noWrap w:val="0"/>
            <w:vAlign w:val="center"/>
          </w:tcPr>
          <w:p w14:paraId="34D8F84E">
            <w:pPr>
              <w:pStyle w:val="1405"/>
              <w:bidi w:val="0"/>
              <w:rPr>
                <w:color w:val="auto"/>
                <w:highlight w:val="none"/>
              </w:rPr>
            </w:pPr>
          </w:p>
        </w:tc>
        <w:tc>
          <w:tcPr>
            <w:tcW w:w="680" w:type="pct"/>
            <w:vMerge w:val="continue"/>
            <w:tcBorders>
              <w:tl2br w:val="nil"/>
              <w:tr2bl w:val="nil"/>
            </w:tcBorders>
            <w:noWrap w:val="0"/>
            <w:vAlign w:val="center"/>
          </w:tcPr>
          <w:p w14:paraId="04850F50">
            <w:pPr>
              <w:pStyle w:val="1405"/>
              <w:bidi w:val="0"/>
              <w:rPr>
                <w:color w:val="auto"/>
                <w:highlight w:val="none"/>
              </w:rPr>
            </w:pPr>
          </w:p>
        </w:tc>
        <w:tc>
          <w:tcPr>
            <w:tcW w:w="820" w:type="pct"/>
            <w:tcBorders>
              <w:tl2br w:val="nil"/>
              <w:tr2bl w:val="nil"/>
            </w:tcBorders>
            <w:noWrap w:val="0"/>
            <w:vAlign w:val="center"/>
          </w:tcPr>
          <w:p w14:paraId="1C260284">
            <w:pPr>
              <w:pStyle w:val="1405"/>
              <w:bidi w:val="0"/>
              <w:rPr>
                <w:rFonts w:hint="default"/>
                <w:color w:val="auto"/>
                <w:highlight w:val="none"/>
                <w:lang w:val="en-US" w:eastAsia="zh-CN"/>
              </w:rPr>
            </w:pPr>
            <w:r>
              <w:rPr>
                <w:rFonts w:hint="eastAsia"/>
                <w:color w:val="auto"/>
                <w:highlight w:val="none"/>
                <w:lang w:val="en-US" w:eastAsia="zh-CN"/>
              </w:rPr>
              <w:t>颗粒物、二氧化硫、氮氧化物</w:t>
            </w:r>
          </w:p>
        </w:tc>
        <w:tc>
          <w:tcPr>
            <w:tcW w:w="1241" w:type="pct"/>
            <w:tcBorders>
              <w:tl2br w:val="nil"/>
              <w:tr2bl w:val="nil"/>
            </w:tcBorders>
            <w:noWrap w:val="0"/>
            <w:vAlign w:val="center"/>
          </w:tcPr>
          <w:p w14:paraId="04D3A2A0">
            <w:pPr>
              <w:pStyle w:val="1405"/>
              <w:bidi w:val="0"/>
              <w:rPr>
                <w:rFonts w:hint="default"/>
                <w:color w:val="auto"/>
                <w:highlight w:val="none"/>
                <w:lang w:val="en-US" w:eastAsia="zh-CN"/>
              </w:rPr>
            </w:pPr>
            <w:r>
              <w:rPr>
                <w:rFonts w:hint="eastAsia"/>
                <w:color w:val="auto"/>
                <w:highlight w:val="none"/>
                <w:lang w:val="en-US" w:eastAsia="zh-CN"/>
              </w:rPr>
              <w:t>/</w:t>
            </w:r>
          </w:p>
        </w:tc>
        <w:tc>
          <w:tcPr>
            <w:tcW w:w="767" w:type="pct"/>
            <w:vMerge w:val="continue"/>
            <w:tcBorders>
              <w:tl2br w:val="nil"/>
              <w:tr2bl w:val="nil"/>
            </w:tcBorders>
            <w:noWrap w:val="0"/>
            <w:vAlign w:val="center"/>
          </w:tcPr>
          <w:p w14:paraId="13DB0722">
            <w:pPr>
              <w:pStyle w:val="1405"/>
              <w:bidi w:val="0"/>
              <w:rPr>
                <w:rFonts w:hint="eastAsia"/>
                <w:color w:val="auto"/>
                <w:highlight w:val="none"/>
                <w:lang w:val="en-US" w:eastAsia="zh-CN"/>
              </w:rPr>
            </w:pPr>
          </w:p>
        </w:tc>
        <w:tc>
          <w:tcPr>
            <w:tcW w:w="433" w:type="pct"/>
            <w:vMerge w:val="continue"/>
            <w:tcBorders>
              <w:tl2br w:val="nil"/>
              <w:tr2bl w:val="nil"/>
            </w:tcBorders>
            <w:noWrap w:val="0"/>
            <w:vAlign w:val="center"/>
          </w:tcPr>
          <w:p w14:paraId="6ED6D364">
            <w:pPr>
              <w:pStyle w:val="1405"/>
              <w:bidi w:val="0"/>
              <w:rPr>
                <w:rFonts w:hint="eastAsia"/>
                <w:color w:val="auto"/>
                <w:highlight w:val="none"/>
                <w:lang w:val="en-US" w:eastAsia="zh-CN"/>
              </w:rPr>
            </w:pPr>
          </w:p>
        </w:tc>
      </w:tr>
      <w:tr w14:paraId="67517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vMerge w:val="continue"/>
            <w:tcBorders>
              <w:tl2br w:val="nil"/>
              <w:tr2bl w:val="nil"/>
            </w:tcBorders>
            <w:noWrap w:val="0"/>
            <w:vAlign w:val="center"/>
          </w:tcPr>
          <w:p w14:paraId="7A4855FE">
            <w:pPr>
              <w:pStyle w:val="1405"/>
              <w:bidi w:val="0"/>
              <w:rPr>
                <w:rFonts w:hint="eastAsia"/>
                <w:color w:val="auto"/>
                <w:highlight w:val="none"/>
                <w:lang w:val="en-US" w:eastAsia="zh-CN"/>
              </w:rPr>
            </w:pPr>
          </w:p>
        </w:tc>
        <w:tc>
          <w:tcPr>
            <w:tcW w:w="550" w:type="pct"/>
            <w:vMerge w:val="restart"/>
            <w:tcBorders>
              <w:tl2br w:val="nil"/>
              <w:tr2bl w:val="nil"/>
            </w:tcBorders>
            <w:noWrap w:val="0"/>
            <w:vAlign w:val="center"/>
          </w:tcPr>
          <w:p w14:paraId="5CF0BAC7">
            <w:pPr>
              <w:pStyle w:val="1405"/>
              <w:bidi w:val="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烘干</w:t>
            </w:r>
          </w:p>
        </w:tc>
        <w:tc>
          <w:tcPr>
            <w:tcW w:w="680" w:type="pct"/>
            <w:vMerge w:val="restart"/>
            <w:tcBorders>
              <w:tl2br w:val="nil"/>
              <w:tr2bl w:val="nil"/>
            </w:tcBorders>
            <w:noWrap w:val="0"/>
            <w:vAlign w:val="center"/>
          </w:tcPr>
          <w:p w14:paraId="0D33D804">
            <w:pPr>
              <w:pStyle w:val="1405"/>
              <w:bidi w:val="0"/>
              <w:rPr>
                <w:rFonts w:hint="default"/>
                <w:color w:val="auto"/>
                <w:highlight w:val="none"/>
                <w:lang w:val="en-US" w:eastAsia="zh-CN"/>
              </w:rPr>
            </w:pPr>
            <w:r>
              <w:rPr>
                <w:rFonts w:hint="eastAsia"/>
                <w:color w:val="auto"/>
                <w:highlight w:val="none"/>
                <w:lang w:val="en-US" w:eastAsia="zh-CN"/>
              </w:rPr>
              <w:t>底漆、胶、中涂、面漆烘干设施</w:t>
            </w:r>
          </w:p>
        </w:tc>
        <w:tc>
          <w:tcPr>
            <w:tcW w:w="820" w:type="pct"/>
            <w:tcBorders>
              <w:tl2br w:val="nil"/>
              <w:tr2bl w:val="nil"/>
            </w:tcBorders>
            <w:noWrap w:val="0"/>
            <w:vAlign w:val="center"/>
          </w:tcPr>
          <w:p w14:paraId="14E410A4">
            <w:pPr>
              <w:pStyle w:val="1405"/>
              <w:bidi w:val="0"/>
              <w:rPr>
                <w:rFonts w:hint="eastAsia"/>
                <w:color w:val="auto"/>
                <w:highlight w:val="none"/>
                <w:lang w:val="en-US" w:eastAsia="zh-CN"/>
              </w:rPr>
            </w:pPr>
            <w:r>
              <w:rPr>
                <w:rFonts w:hint="eastAsia"/>
                <w:color w:val="auto"/>
                <w:highlight w:val="none"/>
                <w:lang w:val="en-US" w:eastAsia="zh-CN"/>
              </w:rPr>
              <w:t>苯、甲苯、二甲苯、挥发性有机物等</w:t>
            </w:r>
          </w:p>
        </w:tc>
        <w:tc>
          <w:tcPr>
            <w:tcW w:w="1241" w:type="pct"/>
            <w:tcBorders>
              <w:tl2br w:val="nil"/>
              <w:tr2bl w:val="nil"/>
            </w:tcBorders>
            <w:noWrap w:val="0"/>
            <w:vAlign w:val="center"/>
          </w:tcPr>
          <w:p w14:paraId="34E4A26E">
            <w:pPr>
              <w:pStyle w:val="1405"/>
              <w:bidi w:val="0"/>
              <w:rPr>
                <w:rFonts w:hint="eastAsia"/>
                <w:color w:val="auto"/>
                <w:highlight w:val="none"/>
                <w:lang w:val="en-US" w:eastAsia="zh-CN"/>
              </w:rPr>
            </w:pPr>
            <w:r>
              <w:rPr>
                <w:rFonts w:hint="eastAsia"/>
                <w:color w:val="auto"/>
                <w:highlight w:val="none"/>
                <w:lang w:val="en-US" w:eastAsia="zh-CN"/>
              </w:rPr>
              <w:t>有机废气治理设施，热力焚烧/催化燃烧等</w:t>
            </w:r>
          </w:p>
        </w:tc>
        <w:tc>
          <w:tcPr>
            <w:tcW w:w="767" w:type="pct"/>
            <w:vMerge w:val="continue"/>
            <w:tcBorders>
              <w:tl2br w:val="nil"/>
              <w:tr2bl w:val="nil"/>
            </w:tcBorders>
            <w:noWrap w:val="0"/>
            <w:vAlign w:val="center"/>
          </w:tcPr>
          <w:p w14:paraId="0041A820">
            <w:pPr>
              <w:pStyle w:val="1405"/>
              <w:bidi w:val="0"/>
              <w:rPr>
                <w:rFonts w:hint="default"/>
                <w:color w:val="auto"/>
                <w:highlight w:val="none"/>
                <w:lang w:val="en-US" w:eastAsia="zh-CN"/>
              </w:rPr>
            </w:pPr>
          </w:p>
        </w:tc>
        <w:tc>
          <w:tcPr>
            <w:tcW w:w="433" w:type="pct"/>
            <w:vMerge w:val="restart"/>
            <w:tcBorders>
              <w:tl2br w:val="nil"/>
              <w:tr2bl w:val="nil"/>
            </w:tcBorders>
            <w:noWrap w:val="0"/>
            <w:vAlign w:val="center"/>
          </w:tcPr>
          <w:p w14:paraId="5D8DD3A6">
            <w:pPr>
              <w:pStyle w:val="1405"/>
              <w:bidi w:val="0"/>
              <w:rPr>
                <w:rFonts w:hint="default"/>
                <w:color w:val="auto"/>
                <w:highlight w:val="none"/>
                <w:lang w:val="en-US" w:eastAsia="zh-CN"/>
              </w:rPr>
            </w:pPr>
            <w:r>
              <w:rPr>
                <w:rFonts w:hint="default"/>
                <w:color w:val="auto"/>
                <w:highlight w:val="none"/>
                <w:lang w:val="en-US" w:eastAsia="zh-CN"/>
              </w:rPr>
              <w:t>是</w:t>
            </w:r>
          </w:p>
        </w:tc>
      </w:tr>
      <w:tr w14:paraId="2FECD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5" w:type="pct"/>
            <w:vMerge w:val="continue"/>
            <w:tcBorders>
              <w:tl2br w:val="nil"/>
              <w:tr2bl w:val="nil"/>
            </w:tcBorders>
            <w:noWrap w:val="0"/>
            <w:vAlign w:val="center"/>
          </w:tcPr>
          <w:p w14:paraId="7DFEBBB3">
            <w:pPr>
              <w:pStyle w:val="1405"/>
              <w:bidi w:val="0"/>
              <w:rPr>
                <w:rFonts w:hint="eastAsia"/>
                <w:color w:val="auto"/>
                <w:highlight w:val="none"/>
                <w:lang w:val="en-US" w:eastAsia="zh-CN"/>
              </w:rPr>
            </w:pPr>
          </w:p>
        </w:tc>
        <w:tc>
          <w:tcPr>
            <w:tcW w:w="550" w:type="pct"/>
            <w:vMerge w:val="continue"/>
            <w:tcBorders>
              <w:tl2br w:val="nil"/>
              <w:tr2bl w:val="nil"/>
            </w:tcBorders>
            <w:noWrap w:val="0"/>
            <w:vAlign w:val="center"/>
          </w:tcPr>
          <w:p w14:paraId="1499C28F">
            <w:pPr>
              <w:pStyle w:val="1405"/>
              <w:bidi w:val="0"/>
              <w:rPr>
                <w:rFonts w:hint="eastAsia" w:ascii="Times New Roman" w:hAnsi="Times New Roman" w:eastAsia="宋体" w:cs="Times New Roman"/>
                <w:color w:val="auto"/>
                <w:kern w:val="2"/>
                <w:sz w:val="21"/>
                <w:szCs w:val="20"/>
                <w:highlight w:val="none"/>
                <w:lang w:val="en-US" w:eastAsia="zh-CN" w:bidi="ar-SA"/>
              </w:rPr>
            </w:pPr>
          </w:p>
        </w:tc>
        <w:tc>
          <w:tcPr>
            <w:tcW w:w="680" w:type="pct"/>
            <w:vMerge w:val="continue"/>
            <w:tcBorders>
              <w:tl2br w:val="nil"/>
              <w:tr2bl w:val="nil"/>
            </w:tcBorders>
            <w:noWrap w:val="0"/>
            <w:vAlign w:val="center"/>
          </w:tcPr>
          <w:p w14:paraId="1E44C968">
            <w:pPr>
              <w:pStyle w:val="1405"/>
              <w:bidi w:val="0"/>
              <w:rPr>
                <w:rFonts w:hint="eastAsia"/>
                <w:color w:val="auto"/>
                <w:highlight w:val="none"/>
                <w:lang w:val="en-US" w:eastAsia="zh-CN"/>
              </w:rPr>
            </w:pPr>
          </w:p>
        </w:tc>
        <w:tc>
          <w:tcPr>
            <w:tcW w:w="820" w:type="pct"/>
            <w:tcBorders>
              <w:tl2br w:val="nil"/>
              <w:tr2bl w:val="nil"/>
            </w:tcBorders>
            <w:noWrap w:val="0"/>
            <w:vAlign w:val="center"/>
          </w:tcPr>
          <w:p w14:paraId="712CD623">
            <w:pPr>
              <w:pStyle w:val="1405"/>
              <w:bidi w:val="0"/>
              <w:rPr>
                <w:rFonts w:hint="eastAsia"/>
                <w:color w:val="auto"/>
                <w:highlight w:val="none"/>
                <w:lang w:val="en-US" w:eastAsia="zh-CN"/>
              </w:rPr>
            </w:pPr>
            <w:r>
              <w:rPr>
                <w:rFonts w:hint="eastAsia"/>
                <w:color w:val="auto"/>
                <w:highlight w:val="none"/>
                <w:lang w:val="en-US" w:eastAsia="zh-CN"/>
              </w:rPr>
              <w:t>颗粒物、二氧化硫、氮氧化物</w:t>
            </w:r>
          </w:p>
        </w:tc>
        <w:tc>
          <w:tcPr>
            <w:tcW w:w="1241" w:type="pct"/>
            <w:tcBorders>
              <w:tl2br w:val="nil"/>
              <w:tr2bl w:val="nil"/>
            </w:tcBorders>
            <w:noWrap w:val="0"/>
            <w:vAlign w:val="center"/>
          </w:tcPr>
          <w:p w14:paraId="6352E1DF">
            <w:pPr>
              <w:pStyle w:val="1405"/>
              <w:bidi w:val="0"/>
              <w:rPr>
                <w:rFonts w:hint="default"/>
                <w:color w:val="auto"/>
                <w:highlight w:val="none"/>
                <w:lang w:val="en-US" w:eastAsia="zh-CN"/>
              </w:rPr>
            </w:pPr>
            <w:r>
              <w:rPr>
                <w:rFonts w:hint="eastAsia"/>
                <w:color w:val="auto"/>
                <w:highlight w:val="none"/>
                <w:lang w:val="en-US" w:eastAsia="zh-CN"/>
              </w:rPr>
              <w:t>/</w:t>
            </w:r>
          </w:p>
        </w:tc>
        <w:tc>
          <w:tcPr>
            <w:tcW w:w="767" w:type="pct"/>
            <w:vMerge w:val="continue"/>
            <w:tcBorders>
              <w:tl2br w:val="nil"/>
              <w:tr2bl w:val="nil"/>
            </w:tcBorders>
            <w:noWrap w:val="0"/>
            <w:vAlign w:val="center"/>
          </w:tcPr>
          <w:p w14:paraId="302E43C6">
            <w:pPr>
              <w:pStyle w:val="1405"/>
              <w:bidi w:val="0"/>
              <w:rPr>
                <w:rFonts w:hint="eastAsia"/>
                <w:color w:val="auto"/>
                <w:highlight w:val="none"/>
                <w:lang w:val="en-US" w:eastAsia="zh-CN"/>
              </w:rPr>
            </w:pPr>
          </w:p>
        </w:tc>
        <w:tc>
          <w:tcPr>
            <w:tcW w:w="433" w:type="pct"/>
            <w:vMerge w:val="continue"/>
            <w:tcBorders>
              <w:tl2br w:val="nil"/>
              <w:tr2bl w:val="nil"/>
            </w:tcBorders>
            <w:noWrap w:val="0"/>
            <w:vAlign w:val="center"/>
          </w:tcPr>
          <w:p w14:paraId="6210AA0E">
            <w:pPr>
              <w:pStyle w:val="1405"/>
              <w:bidi w:val="0"/>
              <w:rPr>
                <w:rFonts w:hint="default"/>
                <w:color w:val="auto"/>
                <w:highlight w:val="none"/>
                <w:lang w:val="en-US" w:eastAsia="zh-CN"/>
              </w:rPr>
            </w:pPr>
          </w:p>
        </w:tc>
      </w:tr>
    </w:tbl>
    <w:p w14:paraId="352542BA">
      <w:pPr>
        <w:bidi w:val="0"/>
        <w:rPr>
          <w:rFonts w:hint="eastAsia"/>
          <w:color w:val="auto"/>
          <w:highlight w:val="none"/>
          <w:lang w:val="en-US" w:eastAsia="zh-CN"/>
        </w:rPr>
      </w:pPr>
      <w:r>
        <w:rPr>
          <w:rFonts w:hint="eastAsia"/>
          <w:color w:val="auto"/>
          <w:highlight w:val="none"/>
          <w:lang w:val="en-US" w:eastAsia="zh-CN"/>
        </w:rPr>
        <w:t>喷漆、流平、烘干及喷枪清洗工序产生的有机废气浓度相对较高，且含有漆雾（颗粒物）成分。若直接进入RTO焚烧炉，易造成蓄热体堵塞和结焦，影响处理效果和运行安全。因此，先在RTO前设置“干式纸盒+过滤棉”过滤，去除漆雾（颗粒物），再进入RTO蓄热式焚烧炉处理。RTO对挥发性有机物去除效率高，适用于中高浓度有机废气治理，且蓄热式设计可回收热量、降低运行能耗，处理后废气可达标排放，处理措施可行。</w:t>
      </w:r>
    </w:p>
    <w:p w14:paraId="021F6FA4">
      <w:pPr>
        <w:bidi w:val="0"/>
        <w:rPr>
          <w:rFonts w:hint="eastAsia"/>
          <w:b/>
          <w:bCs/>
          <w:color w:val="auto"/>
          <w:highlight w:val="none"/>
          <w:lang w:val="en-US" w:eastAsia="zh-CN"/>
        </w:rPr>
      </w:pPr>
      <w:r>
        <w:rPr>
          <w:rFonts w:hint="eastAsia"/>
          <w:b/>
          <w:bCs/>
          <w:color w:val="auto"/>
          <w:highlight w:val="none"/>
          <w:lang w:val="en-US" w:eastAsia="zh-CN"/>
        </w:rPr>
        <w:t>干式纸盒（漆雾捕集箱）工作原理：</w:t>
      </w:r>
    </w:p>
    <w:p w14:paraId="740F5624">
      <w:pPr>
        <w:bidi w:val="0"/>
        <w:rPr>
          <w:rFonts w:hint="eastAsia"/>
          <w:color w:val="auto"/>
          <w:highlight w:val="none"/>
          <w:lang w:val="en-US" w:eastAsia="zh-CN"/>
        </w:rPr>
      </w:pPr>
      <w:r>
        <w:rPr>
          <w:rFonts w:hint="eastAsia"/>
          <w:color w:val="auto"/>
          <w:highlight w:val="none"/>
          <w:lang w:val="en-US" w:eastAsia="zh-CN"/>
        </w:rPr>
        <w:t>干式纸盒（漆雾捕集箱）由高强度外壳及布置于外壳内部的各漆雾分离/捕集模块组成。外壳由多层瓦楞纸板及木龙骨制作，强度满足漆雾捕集作业及搬运的需要。漆雾捕集箱内部由下而上依次包含预分离区、粗效分离区和精细捕集区。空气入口位于漆雾捕集箱侧面的下部，空气出口位于漆雾捕集箱的顶部。</w:t>
      </w:r>
    </w:p>
    <w:p w14:paraId="2EB316CC">
      <w:pPr>
        <w:bidi w:val="0"/>
        <w:rPr>
          <w:rFonts w:hint="eastAsia"/>
          <w:color w:val="auto"/>
          <w:highlight w:val="none"/>
          <w:lang w:val="en-US" w:eastAsia="zh-CN"/>
        </w:rPr>
      </w:pPr>
      <w:r>
        <w:rPr>
          <w:rFonts w:hint="eastAsia"/>
          <w:color w:val="auto"/>
          <w:highlight w:val="none"/>
          <w:lang w:val="en-US" w:eastAsia="zh-CN"/>
        </w:rPr>
        <w:t>预分离区：预分离区为槽状结构，一侧的上部为空气入口，布置于漆雾捕集箱的底部。携带有过喷漆雾的空气由预分离区的侧面上部以斜向下的方向冲入预分离区，部分过喷漆雾在惯性力的作用下撞到并黏附于预分离区的底部。在空气由斜向下方向向上转变方向的过程中，部分过喷漆雾在离心力的作用下甩出空气流，掉落于预分离区中。另外，预分离区也能收集粗效分离区滴落的油漆和空气导流室流入的油漆。</w:t>
      </w:r>
    </w:p>
    <w:p w14:paraId="4E781C3C">
      <w:pPr>
        <w:bidi w:val="0"/>
        <w:rPr>
          <w:rFonts w:hint="eastAsia"/>
          <w:color w:val="auto"/>
          <w:highlight w:val="none"/>
          <w:lang w:val="en-US" w:eastAsia="zh-CN"/>
        </w:rPr>
      </w:pPr>
      <w:r>
        <w:rPr>
          <w:rFonts w:hint="eastAsia"/>
          <w:color w:val="auto"/>
          <w:highlight w:val="none"/>
          <w:lang w:val="en-US" w:eastAsia="zh-CN"/>
        </w:rPr>
        <w:t>粗效分离区：粗效漆雾分离区中设置有挡漆板，布置于漆雾捕集箱的中部，用于进一步分离空气中的大颗粒粘性漆雾。挡漆板把粗效分离区内部的空间分割成迷宫式的结构。在空气由下而上通过粗效漆雾分离区的过程中，空气中携带的过喷漆雾被挡漆板阻挡/拦截，漆雾撞击并黏附于挡漆板之上，从而分离空气中的部分漆雾。</w:t>
      </w:r>
    </w:p>
    <w:p w14:paraId="63EBF370">
      <w:pPr>
        <w:bidi w:val="0"/>
        <w:rPr>
          <w:rFonts w:hint="eastAsia"/>
          <w:color w:val="auto"/>
          <w:highlight w:val="none"/>
          <w:lang w:val="en-US" w:eastAsia="zh-CN"/>
        </w:rPr>
      </w:pPr>
      <w:r>
        <w:rPr>
          <w:rFonts w:hint="eastAsia"/>
          <w:color w:val="auto"/>
          <w:highlight w:val="none"/>
          <w:lang w:val="en-US" w:eastAsia="zh-CN"/>
        </w:rPr>
        <w:t>精细捕集区：精细漆雾捕集区包含数个漆雾捕集单元，漆雾捕集单元为折弯状结构，由纤维材料做成，两个漆雾捕集单元之间并行布置且其间设置有间隙。折弯状的漆雾捕集单元及相邻漆雾捕集单元之间形成的折弯空气流动通道的科学布局，使精细漆雾捕集区形成一个立体的漆雾捕集容纳空间，对漆雾的容漆量极大，分离效果好。精细漆雾捕集区设置于漆雾捕集箱的上部，对漆雾进行全面的捕集。</w:t>
      </w:r>
    </w:p>
    <w:p w14:paraId="759003AA">
      <w:pPr>
        <w:bidi w:val="0"/>
        <w:rPr>
          <w:rFonts w:hint="eastAsia" w:eastAsia="宋体"/>
          <w:color w:val="auto"/>
          <w:highlight w:val="none"/>
          <w:lang w:eastAsia="zh-CN"/>
        </w:rPr>
      </w:pPr>
      <w:r>
        <w:rPr>
          <w:rFonts w:hint="default"/>
          <w:color w:val="auto"/>
          <w:highlight w:val="none"/>
        </w:rPr>
        <w:t>RTO蓄热式焚烧炉工作原理</w:t>
      </w:r>
      <w:r>
        <w:rPr>
          <w:rFonts w:hint="eastAsia"/>
          <w:color w:val="auto"/>
          <w:highlight w:val="none"/>
          <w:lang w:eastAsia="zh-CN"/>
        </w:rPr>
        <w:t>：</w:t>
      </w:r>
    </w:p>
    <w:p w14:paraId="66D92373">
      <w:pPr>
        <w:bidi w:val="0"/>
        <w:rPr>
          <w:color w:val="auto"/>
          <w:highlight w:val="none"/>
        </w:rPr>
      </w:pPr>
      <w:r>
        <w:rPr>
          <w:color w:val="auto"/>
          <w:highlight w:val="none"/>
        </w:rPr>
        <w:t>RTO蓄热式焚烧炉是一种高效的有机废气处理设备，其工作原理是，把有机废气加热到760℃以上，使废气中的挥发性有机物（VOCs）氧化分解为二氧化碳和水。氧化过程产生的热量存储在特制的陶瓷蓄热体，使蓄热体升温</w:t>
      </w:r>
      <w:r>
        <w:rPr>
          <w:rFonts w:hint="eastAsia"/>
          <w:color w:val="auto"/>
          <w:highlight w:val="none"/>
          <w:lang w:eastAsia="zh-CN"/>
        </w:rPr>
        <w:t>“</w:t>
      </w:r>
      <w:r>
        <w:rPr>
          <w:color w:val="auto"/>
          <w:highlight w:val="none"/>
        </w:rPr>
        <w:t>蓄热</w:t>
      </w:r>
      <w:r>
        <w:rPr>
          <w:rFonts w:hint="eastAsia"/>
          <w:color w:val="auto"/>
          <w:highlight w:val="none"/>
          <w:lang w:eastAsia="zh-CN"/>
        </w:rPr>
        <w:t>”</w:t>
      </w:r>
      <w:r>
        <w:rPr>
          <w:color w:val="auto"/>
          <w:highlight w:val="none"/>
        </w:rPr>
        <w:t>。陶瓷蓄热体内储存的热量用于预热后续进入的有机废气，该过程为陶瓷蓄热体的</w:t>
      </w:r>
      <w:r>
        <w:rPr>
          <w:rFonts w:hint="eastAsia"/>
          <w:color w:val="auto"/>
          <w:highlight w:val="none"/>
          <w:lang w:eastAsia="zh-CN"/>
        </w:rPr>
        <w:t>“</w:t>
      </w:r>
      <w:r>
        <w:rPr>
          <w:color w:val="auto"/>
          <w:highlight w:val="none"/>
        </w:rPr>
        <w:t>放热</w:t>
      </w:r>
      <w:r>
        <w:rPr>
          <w:rFonts w:hint="eastAsia"/>
          <w:color w:val="auto"/>
          <w:highlight w:val="none"/>
          <w:lang w:eastAsia="zh-CN"/>
        </w:rPr>
        <w:t>”</w:t>
      </w:r>
      <w:r>
        <w:rPr>
          <w:color w:val="auto"/>
          <w:highlight w:val="none"/>
        </w:rPr>
        <w:t>过程，从而节省废气升温过程的燃料消耗。</w:t>
      </w:r>
    </w:p>
    <w:p w14:paraId="65648076">
      <w:pPr>
        <w:bidi w:val="0"/>
        <w:rPr>
          <w:color w:val="auto"/>
          <w:highlight w:val="none"/>
        </w:rPr>
      </w:pPr>
      <w:r>
        <w:rPr>
          <w:color w:val="auto"/>
          <w:highlight w:val="none"/>
        </w:rPr>
        <w:t>本项目拟设置三室RTO蓄热式焚烧炉，阶段一：废气通过蓄热床A被预热，然后进入燃烧室燃烧，蓄热床C中残留未处理废气被净化后的气体反吹回燃烧室进行焚烧处理（吹扫功能），分解后的废气经过蓄热床B排出，同时蓄热床</w:t>
      </w:r>
      <w:r>
        <w:rPr>
          <w:rFonts w:hint="eastAsia"/>
          <w:color w:val="auto"/>
          <w:highlight w:val="none"/>
          <w:lang w:eastAsia="zh-CN"/>
        </w:rPr>
        <w:t>B</w:t>
      </w:r>
      <w:r>
        <w:rPr>
          <w:color w:val="auto"/>
          <w:highlight w:val="none"/>
        </w:rPr>
        <w:t>被加热。阶段二：废气通过蓄热床</w:t>
      </w:r>
      <w:r>
        <w:rPr>
          <w:rFonts w:hint="eastAsia"/>
          <w:color w:val="auto"/>
          <w:highlight w:val="none"/>
          <w:lang w:eastAsia="zh-CN"/>
        </w:rPr>
        <w:t>B</w:t>
      </w:r>
      <w:r>
        <w:rPr>
          <w:color w:val="auto"/>
          <w:highlight w:val="none"/>
        </w:rPr>
        <w:t>被预热，然后进入燃烧室燃烧，蓄热床A中残留未处理废气被净化后的气体反吹回燃烧室进行焚烧处理，分解后废气经过蓄热床C排出，同时蓄热床C被加热。阶段三：废气通过蓄热床C被预热，然后进入燃烧室燃烧，蓄热床B中残留未处理废气被净化后的气体反吹回燃烧室进行焚烧处理分解后废气经过蓄热床A</w:t>
      </w:r>
      <w:r>
        <w:rPr>
          <w:rFonts w:hint="eastAsia"/>
          <w:color w:val="auto"/>
          <w:highlight w:val="none"/>
          <w:lang w:eastAsia="zh-CN"/>
        </w:rPr>
        <w:t>排出</w:t>
      </w:r>
      <w:bookmarkStart w:id="1479" w:name="_GoBack"/>
      <w:bookmarkEnd w:id="1479"/>
      <w:r>
        <w:rPr>
          <w:color w:val="auto"/>
          <w:highlight w:val="none"/>
        </w:rPr>
        <w:t>，同时蓄热床A被加热。如此周期性运行，废气在燃烧室内氧化分解，燃烧室内温度维持在设定温度（一般为800~850℃</w:t>
      </w:r>
      <w:r>
        <w:rPr>
          <w:rFonts w:hint="eastAsia"/>
          <w:color w:val="auto"/>
          <w:highlight w:val="none"/>
          <w:lang w:eastAsia="zh-CN"/>
        </w:rPr>
        <w:t>）</w:t>
      </w:r>
      <w:r>
        <w:rPr>
          <w:color w:val="auto"/>
          <w:highlight w:val="none"/>
        </w:rPr>
        <w:t>。当RTO进气口的废气浓度达到一定值时，VOCs氧化释放的热量能够维持RTO蓄热和放热的能量储备，则此时RTO不需要使用燃料就能够维持燃烧室内的温度。</w:t>
      </w:r>
    </w:p>
    <w:p w14:paraId="1358391E">
      <w:pPr>
        <w:bidi w:val="0"/>
        <w:ind w:left="0" w:leftChars="0" w:firstLine="0" w:firstLineChars="0"/>
        <w:rPr>
          <w:color w:val="auto"/>
          <w:highlight w:val="none"/>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5128260</wp:posOffset>
                </wp:positionH>
                <wp:positionV relativeFrom="paragraph">
                  <wp:posOffset>2778760</wp:posOffset>
                </wp:positionV>
                <wp:extent cx="635000" cy="241300"/>
                <wp:effectExtent l="0" t="0" r="12700" b="6350"/>
                <wp:wrapNone/>
                <wp:docPr id="71" name="文本框 71"/>
                <wp:cNvGraphicFramePr/>
                <a:graphic xmlns:a="http://schemas.openxmlformats.org/drawingml/2006/main">
                  <a:graphicData uri="http://schemas.microsoft.com/office/word/2010/wordprocessingShape">
                    <wps:wsp>
                      <wps:cNvSpPr txBox="1"/>
                      <wps:spPr>
                        <a:xfrm>
                          <a:off x="6052820" y="6491605"/>
                          <a:ext cx="635000" cy="2413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66B28A">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eastAsia="宋体"/>
                                <w:b/>
                                <w:bCs/>
                                <w:sz w:val="21"/>
                                <w:szCs w:val="21"/>
                                <w:lang w:val="en-US" w:eastAsia="zh-CN"/>
                              </w:rPr>
                            </w:pPr>
                            <w:r>
                              <w:rPr>
                                <w:rFonts w:hint="eastAsia"/>
                                <w:b/>
                                <w:bCs/>
                                <w:sz w:val="21"/>
                                <w:szCs w:val="21"/>
                                <w:lang w:val="en-US" w:eastAsia="zh-CN"/>
                              </w:rPr>
                              <w:t>烟窗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3.8pt;margin-top:218.8pt;height:19pt;width:50pt;z-index:251669504;mso-width-relative:page;mso-height-relative:page;" fillcolor="#FFFFFF [3201]" filled="t" stroked="f" coordsize="21600,21600" o:gfxdata="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S55bdUAAAALAQAA&#10;DwAAAAAAAAABACAAAAAiAAAAZHJzL2Rvd25yZXYueG1sUEsBAhQAFAAAAAgAh07iQEovVtdVAgAA&#10;nAQAAA4AAAAAAAAAAQAgAAAAJAEAAGRycy9lMm9Eb2MueG1sUEsFBgAAAAAGAAYAWQEAAOsFAAAA&#10;AA==&#10;">
                <v:fill on="t" focussize="0,0"/>
                <v:stroke on="f" weight="0.5pt"/>
                <v:imagedata o:title=""/>
                <o:lock v:ext="edit" aspectratio="f"/>
                <v:textbox>
                  <w:txbxContent>
                    <w:p w14:paraId="4766B28A">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eastAsia="宋体"/>
                          <w:b/>
                          <w:bCs/>
                          <w:sz w:val="21"/>
                          <w:szCs w:val="21"/>
                          <w:lang w:val="en-US" w:eastAsia="zh-CN"/>
                        </w:rPr>
                      </w:pPr>
                      <w:r>
                        <w:rPr>
                          <w:rFonts w:hint="eastAsia"/>
                          <w:b/>
                          <w:bCs/>
                          <w:sz w:val="21"/>
                          <w:szCs w:val="21"/>
                          <w:lang w:val="en-US" w:eastAsia="zh-CN"/>
                        </w:rPr>
                        <w:t>烟窗</w:t>
                      </w:r>
                    </w:p>
                  </w:txbxContent>
                </v:textbox>
              </v:shape>
            </w:pict>
          </mc:Fallback>
        </mc:AlternateContent>
      </w:r>
      <w:r>
        <w:rPr>
          <w:color w:val="auto"/>
          <w:highlight w:val="none"/>
        </w:rPr>
        <w:drawing>
          <wp:inline distT="0" distB="0" distL="114300" distR="114300">
            <wp:extent cx="5765165" cy="3015615"/>
            <wp:effectExtent l="0" t="0" r="6985"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5"/>
                    <a:stretch>
                      <a:fillRect/>
                    </a:stretch>
                  </pic:blipFill>
                  <pic:spPr>
                    <a:xfrm>
                      <a:off x="0" y="0"/>
                      <a:ext cx="5765165" cy="3015615"/>
                    </a:xfrm>
                    <a:prstGeom prst="rect">
                      <a:avLst/>
                    </a:prstGeom>
                    <a:noFill/>
                    <a:ln>
                      <a:noFill/>
                    </a:ln>
                  </pic:spPr>
                </pic:pic>
              </a:graphicData>
            </a:graphic>
          </wp:inline>
        </w:drawing>
      </w:r>
    </w:p>
    <w:p w14:paraId="7AD50ECD">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w:t>
      </w:r>
      <w:r>
        <w:rPr>
          <w:rFonts w:hint="default" w:ascii="Times New Roman" w:hAnsi="Times New Roman" w:cs="Times New Roman"/>
          <w:color w:val="auto"/>
          <w:highlight w:val="none"/>
          <w:lang w:val="en-US" w:eastAsia="zh-CN"/>
        </w:rPr>
        <w:t>7.1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三室</w:t>
      </w:r>
      <w:r>
        <w:rPr>
          <w:rFonts w:hint="default" w:ascii="Times New Roman" w:hAnsi="Times New Roman" w:cs="Times New Roman"/>
          <w:color w:val="auto"/>
          <w:highlight w:val="none"/>
        </w:rPr>
        <w:t>RTO蓄热式焚烧炉工作原理图</w:t>
      </w:r>
    </w:p>
    <w:p w14:paraId="3B39FF1F">
      <w:pPr>
        <w:bidi w:val="0"/>
        <w:rPr>
          <w:color w:val="auto"/>
          <w:highlight w:val="none"/>
        </w:rPr>
      </w:pPr>
      <w:r>
        <w:rPr>
          <w:color w:val="auto"/>
          <w:highlight w:val="none"/>
        </w:rPr>
        <w:t>根据《蓄热燃烧法工业有机废气治理工程技术规范》（HJ1093-2020），两室蓄热燃烧装置的净化效率不宜低于95%，多室或旋转式蓄热燃烧装置的净化效率不宜低于98%。根据《工业涂装工序挥发性有机物污染防治技术规范》（DB41/T1946-2020），蓄热燃烧装置处理效率不宜低于98%。因此本项目三室RTO蓄热式焚烧炉处理效率不低于98%。</w:t>
      </w:r>
    </w:p>
    <w:p w14:paraId="1BE3DF3D">
      <w:pPr>
        <w:bidi w:val="0"/>
        <w:rPr>
          <w:rFonts w:hint="eastAsia"/>
          <w:b/>
          <w:bCs/>
          <w:color w:val="auto"/>
          <w:highlight w:val="none"/>
          <w:lang w:val="en-US" w:eastAsia="zh-CN"/>
        </w:rPr>
      </w:pPr>
      <w:r>
        <w:rPr>
          <w:rFonts w:hint="eastAsia"/>
          <w:b/>
          <w:bCs/>
          <w:color w:val="auto"/>
          <w:highlight w:val="none"/>
          <w:lang w:val="en-US" w:eastAsia="zh-CN"/>
        </w:rPr>
        <w:t>③天然气燃烧废气处理措施可行性</w:t>
      </w:r>
    </w:p>
    <w:p w14:paraId="34BA1737">
      <w:pPr>
        <w:bidi w:val="0"/>
        <w:rPr>
          <w:rFonts w:hint="eastAsia"/>
          <w:color w:val="auto"/>
          <w:highlight w:val="none"/>
          <w:lang w:val="en-US" w:eastAsia="zh-CN"/>
        </w:rPr>
      </w:pPr>
      <w:r>
        <w:rPr>
          <w:rFonts w:hint="eastAsia"/>
          <w:color w:val="auto"/>
          <w:highlight w:val="none"/>
          <w:lang w:val="en-US" w:eastAsia="zh-CN"/>
        </w:rPr>
        <w:t>热水炉、固化炉以及RTO燃烧采用天然气为燃料，天然气属于清洁能源，燃烧废气经低氮燃烧器处理后，氮氧化物排放浓度可得到有效控制，通过高空排放，能够满足相应排放标准要求，处理措施可行。</w:t>
      </w:r>
    </w:p>
    <w:p w14:paraId="2E2C7F24">
      <w:pPr>
        <w:bidi w:val="0"/>
        <w:rPr>
          <w:rFonts w:hint="eastAsia"/>
          <w:b/>
          <w:bCs/>
          <w:color w:val="auto"/>
          <w:highlight w:val="none"/>
          <w:lang w:val="en-US" w:eastAsia="zh-CN"/>
        </w:rPr>
      </w:pPr>
      <w:r>
        <w:rPr>
          <w:rFonts w:hint="eastAsia"/>
          <w:b/>
          <w:bCs/>
          <w:color w:val="auto"/>
          <w:highlight w:val="none"/>
          <w:lang w:val="en-US" w:eastAsia="zh-CN"/>
        </w:rPr>
        <w:t>④塑料粉碎废气处理措施可行性</w:t>
      </w:r>
    </w:p>
    <w:p w14:paraId="303E7B61">
      <w:pPr>
        <w:bidi w:val="0"/>
        <w:rPr>
          <w:rFonts w:hint="eastAsia"/>
          <w:color w:val="auto"/>
          <w:highlight w:val="none"/>
          <w:lang w:val="en-US" w:eastAsia="zh-CN"/>
        </w:rPr>
      </w:pPr>
      <w:r>
        <w:rPr>
          <w:rFonts w:hint="eastAsia"/>
          <w:color w:val="auto"/>
          <w:highlight w:val="none"/>
          <w:lang w:val="en-US" w:eastAsia="zh-CN"/>
        </w:rPr>
        <w:t>塑料破碎工序产生的粉尘经集气罩收集后，由布袋除尘器处理，布袋除尘器对颗粒物去除效率较高，处理后无组织排放，对周边环境影响较小，处理措施可行。</w:t>
      </w:r>
    </w:p>
    <w:p w14:paraId="19CFD67D">
      <w:pPr>
        <w:bidi w:val="0"/>
        <w:rPr>
          <w:rFonts w:hint="default" w:ascii="Times New Roman" w:hAnsi="Times New Roman" w:eastAsia="宋体" w:cs="Times New Roman"/>
          <w:b w:val="0"/>
          <w:bCs w:val="0"/>
          <w:color w:val="auto"/>
          <w:sz w:val="24"/>
          <w:szCs w:val="24"/>
          <w:highlight w:val="none"/>
          <w:lang w:val="en-US" w:eastAsia="zh-CN"/>
        </w:rPr>
      </w:pPr>
      <w:r>
        <w:rPr>
          <w:rFonts w:hint="eastAsia" w:cs="Times New Roman"/>
          <w:b/>
          <w:bCs/>
          <w:color w:val="auto"/>
          <w:sz w:val="24"/>
          <w:szCs w:val="24"/>
          <w:highlight w:val="none"/>
          <w:lang w:val="en-US" w:eastAsia="zh-CN"/>
        </w:rPr>
        <w:t>布袋</w:t>
      </w:r>
      <w:r>
        <w:rPr>
          <w:rFonts w:hint="default" w:ascii="Times New Roman" w:hAnsi="Times New Roman" w:eastAsia="宋体" w:cs="Times New Roman"/>
          <w:b/>
          <w:bCs/>
          <w:color w:val="auto"/>
          <w:sz w:val="24"/>
          <w:szCs w:val="24"/>
          <w:highlight w:val="none"/>
          <w:lang w:val="en-US" w:eastAsia="zh-CN"/>
        </w:rPr>
        <w:t>除尘器</w:t>
      </w:r>
      <w:r>
        <w:rPr>
          <w:rFonts w:hint="default" w:ascii="Times New Roman" w:hAnsi="Times New Roman" w:eastAsia="宋体" w:cs="Times New Roman"/>
          <w:b/>
          <w:bCs/>
          <w:color w:val="auto"/>
          <w:sz w:val="24"/>
          <w:szCs w:val="24"/>
          <w:highlight w:val="none"/>
          <w:lang w:eastAsia="zh-CN"/>
        </w:rPr>
        <w:t>工艺</w:t>
      </w:r>
      <w:r>
        <w:rPr>
          <w:rFonts w:hint="default" w:ascii="Times New Roman" w:hAnsi="Times New Roman" w:eastAsia="宋体" w:cs="Times New Roman"/>
          <w:b/>
          <w:bCs/>
          <w:color w:val="auto"/>
          <w:sz w:val="24"/>
          <w:szCs w:val="24"/>
          <w:highlight w:val="none"/>
          <w:lang w:val="en-US" w:eastAsia="zh-CN"/>
        </w:rPr>
        <w:t>原理：</w:t>
      </w:r>
      <w:r>
        <w:rPr>
          <w:rFonts w:hint="default" w:ascii="Times New Roman" w:hAnsi="Times New Roman" w:eastAsia="宋体" w:cs="Times New Roman"/>
          <w:b w:val="0"/>
          <w:bCs w:val="0"/>
          <w:color w:val="auto"/>
          <w:sz w:val="24"/>
          <w:szCs w:val="24"/>
          <w:highlight w:val="none"/>
          <w:lang w:val="en-US" w:eastAsia="zh-CN"/>
        </w:rPr>
        <w:t>以布袋作为过滤元件，利用纤维织物的筛滤、惯性碰撞、拦截、扩散及静电等综合效应，捕捉含尘气体中的粉尘颗粒，实现气固分离。具体步骤为：含尘气体经集气罩及风管系统收集后，在引风机抽吸作用下进入布袋过滤室，含尘气流穿过滤袋时，粉尘被阻留在滤袋表面，净化后的气体由出气口经排气筒排放；随着过滤的不断进行，滤袋表面的粉尘层逐渐增厚，设备阻力不断升高，当设备阻力达到一定的限值时，</w:t>
      </w:r>
      <w:r>
        <w:rPr>
          <w:rFonts w:hint="eastAsia" w:cs="Times New Roman"/>
          <w:b w:val="0"/>
          <w:bCs w:val="0"/>
          <w:color w:val="auto"/>
          <w:sz w:val="24"/>
          <w:szCs w:val="24"/>
          <w:highlight w:val="none"/>
          <w:lang w:val="en-US" w:eastAsia="zh-CN"/>
        </w:rPr>
        <w:t>建设单位</w:t>
      </w:r>
      <w:r>
        <w:rPr>
          <w:rFonts w:hint="default" w:ascii="Times New Roman" w:hAnsi="Times New Roman" w:eastAsia="宋体" w:cs="Times New Roman"/>
          <w:b w:val="0"/>
          <w:bCs w:val="0"/>
          <w:color w:val="auto"/>
          <w:sz w:val="24"/>
          <w:szCs w:val="24"/>
          <w:highlight w:val="none"/>
          <w:lang w:val="en-US" w:eastAsia="zh-CN"/>
        </w:rPr>
        <w:t>需定期更换滤袋以保证除尘效率及设备的持续运行。</w:t>
      </w:r>
    </w:p>
    <w:p w14:paraId="38F1BD43">
      <w:pPr>
        <w:bidi w:val="0"/>
        <w:rPr>
          <w:rFonts w:hint="eastAsia"/>
          <w:b/>
          <w:bCs/>
          <w:color w:val="auto"/>
          <w:highlight w:val="none"/>
          <w:lang w:val="en-US" w:eastAsia="zh-CN"/>
        </w:rPr>
      </w:pPr>
      <w:r>
        <w:rPr>
          <w:rFonts w:hint="default"/>
          <w:b/>
          <w:bCs/>
          <w:color w:val="auto"/>
          <w:highlight w:val="none"/>
          <w:lang w:val="en-US" w:eastAsia="zh-CN"/>
        </w:rPr>
        <w:t>⑤</w:t>
      </w:r>
      <w:r>
        <w:rPr>
          <w:rFonts w:hint="eastAsia"/>
          <w:b/>
          <w:bCs/>
          <w:color w:val="auto"/>
          <w:highlight w:val="none"/>
          <w:lang w:val="en-US" w:eastAsia="zh-CN"/>
        </w:rPr>
        <w:t>热洁炉废气处理措施可行性</w:t>
      </w:r>
    </w:p>
    <w:p w14:paraId="4B16991F">
      <w:pPr>
        <w:bidi w:val="0"/>
        <w:rPr>
          <w:rFonts w:hint="default" w:cs="Times New Roman"/>
          <w:b w:val="0"/>
          <w:bCs w:val="0"/>
          <w:color w:val="auto"/>
          <w:sz w:val="24"/>
          <w:szCs w:val="24"/>
          <w:highlight w:val="none"/>
          <w:lang w:val="en-US" w:eastAsia="zh-CN"/>
        </w:rPr>
      </w:pPr>
      <w:r>
        <w:rPr>
          <w:rFonts w:hint="eastAsia" w:cs="Times New Roman"/>
          <w:b/>
          <w:bCs/>
          <w:color w:val="auto"/>
          <w:sz w:val="24"/>
          <w:szCs w:val="24"/>
          <w:highlight w:val="none"/>
          <w:lang w:val="en-US" w:eastAsia="zh-CN"/>
        </w:rPr>
        <w:t>热洁炉</w:t>
      </w:r>
      <w:r>
        <w:rPr>
          <w:rFonts w:hint="default" w:ascii="Times New Roman" w:hAnsi="Times New Roman" w:eastAsia="宋体" w:cs="Times New Roman"/>
          <w:b/>
          <w:bCs/>
          <w:color w:val="auto"/>
          <w:sz w:val="24"/>
          <w:szCs w:val="24"/>
          <w:highlight w:val="none"/>
          <w:lang w:eastAsia="zh-CN"/>
        </w:rPr>
        <w:t>工艺</w:t>
      </w:r>
      <w:r>
        <w:rPr>
          <w:rFonts w:hint="default" w:ascii="Times New Roman" w:hAnsi="Times New Roman" w:eastAsia="宋体" w:cs="Times New Roman"/>
          <w:b/>
          <w:bCs/>
          <w:color w:val="auto"/>
          <w:sz w:val="24"/>
          <w:szCs w:val="24"/>
          <w:highlight w:val="none"/>
          <w:lang w:val="en-US" w:eastAsia="zh-CN"/>
        </w:rPr>
        <w:t>原理：</w:t>
      </w:r>
      <w:r>
        <w:rPr>
          <w:rFonts w:hint="default" w:cs="Times New Roman"/>
          <w:b w:val="0"/>
          <w:bCs w:val="0"/>
          <w:color w:val="auto"/>
          <w:sz w:val="24"/>
          <w:szCs w:val="24"/>
          <w:highlight w:val="none"/>
          <w:lang w:val="en-US" w:eastAsia="zh-CN"/>
        </w:rPr>
        <w:t>挂具处理室</w:t>
      </w:r>
      <w:r>
        <w:rPr>
          <w:rFonts w:hint="eastAsia" w:cs="Times New Roman"/>
          <w:b w:val="0"/>
          <w:bCs w:val="0"/>
          <w:color w:val="auto"/>
          <w:sz w:val="24"/>
          <w:szCs w:val="24"/>
          <w:highlight w:val="none"/>
          <w:lang w:val="en-US" w:eastAsia="zh-CN"/>
        </w:rPr>
        <w:t>（热洁炉）</w:t>
      </w:r>
      <w:r>
        <w:rPr>
          <w:rFonts w:hint="default" w:cs="Times New Roman"/>
          <w:b w:val="0"/>
          <w:bCs w:val="0"/>
          <w:color w:val="auto"/>
          <w:sz w:val="24"/>
          <w:szCs w:val="24"/>
          <w:highlight w:val="none"/>
          <w:lang w:val="en-US" w:eastAsia="zh-CN"/>
        </w:rPr>
        <w:t>在0~480℃下使涂层有机物裂解为小分子可燃气体，裂解气进入二燃室后在700~900℃、富氧条件下直接燃烧，将碳氢化合物氧化为CO</w:t>
      </w:r>
      <w:r>
        <w:rPr>
          <w:rFonts w:hint="eastAsia" w:cs="Times New Roman"/>
          <w:b w:val="0"/>
          <w:bCs w:val="0"/>
          <w:color w:val="auto"/>
          <w:sz w:val="24"/>
          <w:szCs w:val="24"/>
          <w:highlight w:val="none"/>
          <w:vertAlign w:val="subscript"/>
          <w:lang w:val="en-US" w:eastAsia="zh-CN"/>
        </w:rPr>
        <w:t>2</w:t>
      </w:r>
      <w:r>
        <w:rPr>
          <w:rFonts w:hint="default" w:cs="Times New Roman"/>
          <w:b w:val="0"/>
          <w:bCs w:val="0"/>
          <w:color w:val="auto"/>
          <w:sz w:val="24"/>
          <w:szCs w:val="24"/>
          <w:highlight w:val="none"/>
          <w:lang w:val="en-US" w:eastAsia="zh-CN"/>
        </w:rPr>
        <w:t>和H</w:t>
      </w:r>
      <w:r>
        <w:rPr>
          <w:rFonts w:hint="eastAsia" w:cs="Times New Roman"/>
          <w:b w:val="0"/>
          <w:bCs w:val="0"/>
          <w:color w:val="auto"/>
          <w:sz w:val="24"/>
          <w:szCs w:val="24"/>
          <w:highlight w:val="none"/>
          <w:vertAlign w:val="subscript"/>
          <w:lang w:val="en-US" w:eastAsia="zh-CN"/>
        </w:rPr>
        <w:t>2</w:t>
      </w:r>
      <w:r>
        <w:rPr>
          <w:rFonts w:hint="default" w:cs="Times New Roman"/>
          <w:b w:val="0"/>
          <w:bCs w:val="0"/>
          <w:color w:val="auto"/>
          <w:sz w:val="24"/>
          <w:szCs w:val="24"/>
          <w:highlight w:val="none"/>
          <w:lang w:val="en-US" w:eastAsia="zh-CN"/>
        </w:rPr>
        <w:t>O，实现</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热裂解+高温氧化</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两段式处理，与热洁炉先剥离涂层、再集中销毁气相有机物的工艺目的相匹配；二燃室出口高温烟气经配套换热器间接降温后排放，可避免高温烟气直接进入排气筒造成筒体过热，保障排放设施运行安全。</w:t>
      </w:r>
    </w:p>
    <w:p w14:paraId="04718839">
      <w:pPr>
        <w:bidi w:val="0"/>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本项目所用漆料及漆渣的组成元素限于C、H、O、N，不含氯元素，不具备二噁英生成的氯源条件，据此判定不将二噁英列为特征污染物。运行管理方面，</w:t>
      </w:r>
      <w:r>
        <w:rPr>
          <w:rFonts w:hint="eastAsia" w:cs="Times New Roman"/>
          <w:b w:val="0"/>
          <w:bCs w:val="0"/>
          <w:color w:val="auto"/>
          <w:sz w:val="24"/>
          <w:szCs w:val="24"/>
          <w:highlight w:val="none"/>
          <w:lang w:val="en-US" w:eastAsia="zh-CN"/>
        </w:rPr>
        <w:t>建设单位</w:t>
      </w:r>
      <w:r>
        <w:rPr>
          <w:rFonts w:hint="default" w:cs="Times New Roman"/>
          <w:b w:val="0"/>
          <w:bCs w:val="0"/>
          <w:color w:val="auto"/>
          <w:sz w:val="24"/>
          <w:szCs w:val="24"/>
          <w:highlight w:val="none"/>
          <w:lang w:val="en-US" w:eastAsia="zh-CN"/>
        </w:rPr>
        <w:t>应定期检查换热器换热效率，防止结垢或水量不足导致排气温度异常升高；将二燃室运行温度纳入日常巡检记录，确保稳定维持在设定区间。</w:t>
      </w:r>
    </w:p>
    <w:p w14:paraId="6A3F1BD2">
      <w:pPr>
        <w:pStyle w:val="5"/>
        <w:numPr>
          <w:ilvl w:val="3"/>
          <w:numId w:val="0"/>
        </w:numPr>
        <w:bidi w:val="0"/>
        <w:ind w:leftChars="0"/>
        <w:rPr>
          <w:color w:val="auto"/>
          <w:highlight w:val="none"/>
        </w:rPr>
      </w:pPr>
      <w:r>
        <w:rPr>
          <w:rFonts w:hint="eastAsia"/>
          <w:color w:val="auto"/>
          <w:highlight w:val="none"/>
          <w:lang w:eastAsia="zh-CN"/>
        </w:rPr>
        <w:t>7.1</w:t>
      </w:r>
      <w:r>
        <w:rPr>
          <w:color w:val="auto"/>
          <w:highlight w:val="none"/>
        </w:rPr>
        <w:t>.2.3</w:t>
      </w:r>
      <w:r>
        <w:rPr>
          <w:rFonts w:hint="eastAsia"/>
          <w:color w:val="auto"/>
          <w:highlight w:val="none"/>
          <w:lang w:val="en-US" w:eastAsia="zh-CN"/>
        </w:rPr>
        <w:t xml:space="preserve"> </w:t>
      </w:r>
      <w:r>
        <w:rPr>
          <w:color w:val="auto"/>
          <w:highlight w:val="none"/>
        </w:rPr>
        <w:t>无组织废气防治措施</w:t>
      </w:r>
    </w:p>
    <w:p w14:paraId="0DE3E670">
      <w:pPr>
        <w:pStyle w:val="1354"/>
        <w:rPr>
          <w:color w:val="auto"/>
          <w:highlight w:val="none"/>
        </w:rPr>
      </w:pPr>
      <w:r>
        <w:rPr>
          <w:rFonts w:hint="default"/>
          <w:color w:val="auto"/>
          <w:highlight w:val="none"/>
        </w:rPr>
        <w:t>（1）生产装置区减少无组织排放控制措施</w:t>
      </w:r>
    </w:p>
    <w:p w14:paraId="229575E4">
      <w:pPr>
        <w:pStyle w:val="1354"/>
        <w:rPr>
          <w:rFonts w:hint="default"/>
          <w:color w:val="auto"/>
          <w:highlight w:val="none"/>
        </w:rPr>
      </w:pPr>
      <w:r>
        <w:rPr>
          <w:rFonts w:hint="default"/>
          <w:color w:val="auto"/>
          <w:highlight w:val="none"/>
        </w:rPr>
        <w:t>①大力推进清洁生产。企业应优先选用低挥发性原辅材料、先进密闭的生产工艺，强化生产、输送、进出料等易泄漏环节的密闭性，加强无组织废气的收集和有效处理。VOCs物料应储存于密闭容器中，非取用状态时应加盖、封口。</w:t>
      </w:r>
    </w:p>
    <w:p w14:paraId="35E37CA9">
      <w:pPr>
        <w:pStyle w:val="1354"/>
        <w:rPr>
          <w:rFonts w:hint="default"/>
          <w:color w:val="auto"/>
          <w:highlight w:val="none"/>
        </w:rPr>
      </w:pPr>
      <w:r>
        <w:rPr>
          <w:rFonts w:hint="default"/>
          <w:color w:val="auto"/>
          <w:highlight w:val="none"/>
        </w:rPr>
        <w:t>②提高有机废气收集效率，并纳入各废气处理设施集中处理，减少无组织排放。废气收集系统集气罩的设置应符合GB/T 16758的规定。采用外部排风罩的，应按GB/T 16758、AQ/T 4274-2016规定的方法测量控制风速，测量点应选取在距排风罩开口面最远处的VOCs无组织排放位置，控制风速不应低于0.</w:t>
      </w:r>
      <w:r>
        <w:rPr>
          <w:rFonts w:hint="eastAsia"/>
          <w:color w:val="auto"/>
          <w:highlight w:val="none"/>
          <w:lang w:val="en-US" w:eastAsia="zh-CN"/>
        </w:rPr>
        <w:t>5</w:t>
      </w:r>
      <w:r>
        <w:rPr>
          <w:rFonts w:hint="default"/>
          <w:color w:val="auto"/>
          <w:highlight w:val="none"/>
        </w:rPr>
        <w:t>m/s。</w:t>
      </w:r>
    </w:p>
    <w:p w14:paraId="3CECEF9F">
      <w:pPr>
        <w:pStyle w:val="1354"/>
        <w:rPr>
          <w:rFonts w:hint="default"/>
          <w:color w:val="auto"/>
          <w:highlight w:val="none"/>
        </w:rPr>
      </w:pPr>
      <w:r>
        <w:rPr>
          <w:rFonts w:hint="default"/>
          <w:color w:val="auto"/>
          <w:highlight w:val="none"/>
        </w:rPr>
        <w:t>③废气收集系统的输送管道应密闭。废气收集系统应在负压下运行，若处于正压状态，应对输送管道组件的密封点进行泄漏检测，泄漏检测值不应超过500mmol/mol，亦不应有感官可察觉泄漏。</w:t>
      </w:r>
    </w:p>
    <w:p w14:paraId="70DCA882">
      <w:pPr>
        <w:pStyle w:val="1354"/>
        <w:rPr>
          <w:rFonts w:hint="default"/>
          <w:color w:val="auto"/>
          <w:highlight w:val="none"/>
        </w:rPr>
      </w:pPr>
      <w:r>
        <w:rPr>
          <w:rFonts w:hint="default"/>
          <w:color w:val="auto"/>
          <w:highlight w:val="none"/>
        </w:rPr>
        <w:t>④加强管理，如设备定期检修、维护，建立巡视制度等。加强操作人员的岗位操作技能培训，提高操作人员的操作技能，避免因人为操作失误引起的废气泄漏、逃逸事故。</w:t>
      </w:r>
    </w:p>
    <w:p w14:paraId="4F67D252">
      <w:pPr>
        <w:bidi w:val="0"/>
        <w:rPr>
          <w:color w:val="auto"/>
          <w:highlight w:val="none"/>
        </w:rPr>
      </w:pPr>
    </w:p>
    <w:p w14:paraId="41209341">
      <w:pPr>
        <w:bidi w:val="0"/>
        <w:rPr>
          <w:color w:val="auto"/>
          <w:highlight w:val="none"/>
        </w:rPr>
      </w:pPr>
    </w:p>
    <w:p w14:paraId="0F65484B">
      <w:pPr>
        <w:bidi w:val="0"/>
        <w:rPr>
          <w:rFonts w:hint="eastAsia"/>
          <w:color w:val="auto"/>
          <w:highlight w:val="none"/>
          <w:lang w:val="en-US" w:eastAsia="zh-CN"/>
        </w:rPr>
        <w:sectPr>
          <w:headerReference r:id="rId22" w:type="default"/>
          <w:footerReference r:id="rId23" w:type="default"/>
          <w:pgSz w:w="11906" w:h="16839"/>
          <w:pgMar w:top="1141" w:right="1411" w:bottom="1156" w:left="1410" w:header="829" w:footer="991" w:gutter="0"/>
          <w:pgBorders w:offsetFrom="page">
            <w:top w:val="none" w:sz="0" w:space="0"/>
            <w:left w:val="none" w:sz="0" w:space="0"/>
            <w:bottom w:val="none" w:sz="0" w:space="0"/>
            <w:right w:val="none" w:sz="0" w:space="0"/>
          </w:pgBorders>
          <w:pgNumType w:fmt="decimal"/>
          <w:cols w:space="720" w:num="1"/>
        </w:sectPr>
      </w:pPr>
    </w:p>
    <w:p w14:paraId="406E7EC1">
      <w:pPr>
        <w:pStyle w:val="1354"/>
        <w:rPr>
          <w:rFonts w:hint="default"/>
          <w:color w:val="auto"/>
          <w:highlight w:val="none"/>
        </w:rPr>
      </w:pPr>
      <w:r>
        <w:rPr>
          <w:rFonts w:hint="default"/>
          <w:color w:val="auto"/>
          <w:highlight w:val="none"/>
        </w:rPr>
        <w:t>（2）废气收集处理系统应与生产工艺设备同步运行。废气收集处理系统发生故障或检修时，对应的生产工艺设备应停止运行，待检修完毕后同步投入使用；生产工艺设备不能停止运行或不能及时停止运行的，应设置废气应急处理设施或采取其他替代措施。</w:t>
      </w:r>
    </w:p>
    <w:p w14:paraId="494C81C7">
      <w:pPr>
        <w:pStyle w:val="1354"/>
        <w:rPr>
          <w:rFonts w:hint="default"/>
          <w:color w:val="auto"/>
          <w:highlight w:val="none"/>
        </w:rPr>
      </w:pPr>
      <w:r>
        <w:rPr>
          <w:rFonts w:hint="default"/>
          <w:color w:val="auto"/>
          <w:highlight w:val="none"/>
        </w:rPr>
        <w:t>（</w:t>
      </w:r>
      <w:r>
        <w:rPr>
          <w:rFonts w:hint="eastAsia"/>
          <w:color w:val="auto"/>
          <w:highlight w:val="none"/>
          <w:lang w:val="en-US" w:eastAsia="zh-CN"/>
        </w:rPr>
        <w:t>3</w:t>
      </w:r>
      <w:r>
        <w:rPr>
          <w:rFonts w:hint="default"/>
          <w:color w:val="auto"/>
          <w:highlight w:val="none"/>
        </w:rPr>
        <w:t>）建议建设单位在运营生产期间应加强生产设备及环保设施的日常维护，避免事故发生，保证设施的正常运行。</w:t>
      </w:r>
    </w:p>
    <w:p w14:paraId="2C75804F">
      <w:pPr>
        <w:pStyle w:val="1354"/>
        <w:rPr>
          <w:rFonts w:hint="default"/>
          <w:color w:val="auto"/>
          <w:highlight w:val="none"/>
        </w:rPr>
      </w:pPr>
      <w:r>
        <w:rPr>
          <w:rFonts w:hint="default"/>
          <w:color w:val="auto"/>
          <w:highlight w:val="none"/>
        </w:rPr>
        <w:t>（</w:t>
      </w:r>
      <w:r>
        <w:rPr>
          <w:rFonts w:hint="eastAsia"/>
          <w:color w:val="auto"/>
          <w:highlight w:val="none"/>
          <w:lang w:val="en-US" w:eastAsia="zh-CN"/>
        </w:rPr>
        <w:t>4</w:t>
      </w:r>
      <w:r>
        <w:rPr>
          <w:rFonts w:hint="default"/>
          <w:color w:val="auto"/>
          <w:highlight w:val="none"/>
        </w:rPr>
        <w:t>）通风生产设备、操作工位、车间厂房等应在符合安全生产、职业卫生相关规定的前提下，根据行业作业规程与标准、工业建筑及洁净厂房通风设计规范等的要求，采用合理的通风量。</w:t>
      </w:r>
    </w:p>
    <w:p w14:paraId="529A1EBD">
      <w:pPr>
        <w:pStyle w:val="5"/>
        <w:numPr>
          <w:ilvl w:val="3"/>
          <w:numId w:val="0"/>
        </w:numPr>
        <w:bidi w:val="0"/>
        <w:ind w:leftChars="0"/>
        <w:rPr>
          <w:rFonts w:hint="eastAsia"/>
          <w:color w:val="auto"/>
          <w:highlight w:val="none"/>
          <w:lang w:eastAsia="zh-CN"/>
        </w:rPr>
      </w:pPr>
      <w:r>
        <w:rPr>
          <w:rFonts w:hint="eastAsia"/>
          <w:color w:val="auto"/>
          <w:highlight w:val="none"/>
          <w:lang w:val="en-US" w:eastAsia="zh-CN"/>
        </w:rPr>
        <w:t xml:space="preserve">7.1.2.4 </w:t>
      </w:r>
      <w:r>
        <w:rPr>
          <w:rFonts w:hint="eastAsia"/>
          <w:color w:val="auto"/>
          <w:highlight w:val="none"/>
        </w:rPr>
        <w:t>卫生防护距离</w:t>
      </w:r>
    </w:p>
    <w:p w14:paraId="22C84C7A">
      <w:pPr>
        <w:bidi w:val="0"/>
        <w:rPr>
          <w:rFonts w:hint="eastAsia"/>
          <w:color w:val="auto"/>
          <w:highlight w:val="none"/>
        </w:rPr>
      </w:pPr>
      <w:r>
        <w:rPr>
          <w:rFonts w:hint="eastAsia"/>
          <w:color w:val="auto"/>
          <w:highlight w:val="none"/>
        </w:rPr>
        <w:t>本项目以</w:t>
      </w:r>
      <w:r>
        <w:rPr>
          <w:rFonts w:hint="eastAsia"/>
          <w:color w:val="auto"/>
          <w:highlight w:val="none"/>
          <w:lang w:val="en-US" w:eastAsia="zh-CN"/>
        </w:rPr>
        <w:t>喷涂车间（A库）</w:t>
      </w:r>
      <w:r>
        <w:rPr>
          <w:rFonts w:hint="eastAsia"/>
          <w:color w:val="auto"/>
          <w:highlight w:val="none"/>
        </w:rPr>
        <w:t>边界为起点设置100m卫生防护距离</w:t>
      </w:r>
      <w:r>
        <w:rPr>
          <w:rFonts w:hint="eastAsia"/>
          <w:color w:val="auto"/>
          <w:highlight w:val="none"/>
          <w:lang w:eastAsia="zh-CN"/>
        </w:rPr>
        <w:t>，</w:t>
      </w:r>
      <w:r>
        <w:rPr>
          <w:rFonts w:hint="eastAsia"/>
          <w:color w:val="auto"/>
          <w:highlight w:val="none"/>
          <w:lang w:val="en-US" w:eastAsia="zh-CN"/>
        </w:rPr>
        <w:t>注塑车间（B库）</w:t>
      </w:r>
      <w:r>
        <w:rPr>
          <w:rFonts w:hint="eastAsia"/>
          <w:color w:val="auto"/>
          <w:highlight w:val="none"/>
        </w:rPr>
        <w:t>边界为起点设置</w:t>
      </w:r>
      <w:r>
        <w:rPr>
          <w:rFonts w:hint="eastAsia"/>
          <w:color w:val="auto"/>
          <w:highlight w:val="none"/>
          <w:lang w:val="en-US" w:eastAsia="zh-CN"/>
        </w:rPr>
        <w:t>5</w:t>
      </w:r>
      <w:r>
        <w:rPr>
          <w:rFonts w:hint="eastAsia"/>
          <w:color w:val="auto"/>
          <w:highlight w:val="none"/>
        </w:rPr>
        <w:t>0m卫生防护距离</w:t>
      </w:r>
      <w:r>
        <w:rPr>
          <w:rFonts w:hint="eastAsia"/>
          <w:color w:val="auto"/>
          <w:highlight w:val="none"/>
          <w:lang w:eastAsia="zh-CN"/>
        </w:rPr>
        <w:t>（</w:t>
      </w:r>
      <w:r>
        <w:rPr>
          <w:rFonts w:hint="eastAsia"/>
          <w:color w:val="auto"/>
          <w:highlight w:val="none"/>
          <w:lang w:val="en-US" w:eastAsia="zh-CN"/>
        </w:rPr>
        <w:t>卫生防护距离图见附图5.3-12</w:t>
      </w:r>
      <w:r>
        <w:rPr>
          <w:rFonts w:hint="eastAsia"/>
          <w:color w:val="auto"/>
          <w:highlight w:val="none"/>
          <w:lang w:eastAsia="zh-CN"/>
        </w:rPr>
        <w:t>）</w:t>
      </w:r>
      <w:r>
        <w:rPr>
          <w:rFonts w:hint="eastAsia"/>
          <w:color w:val="auto"/>
          <w:highlight w:val="none"/>
        </w:rPr>
        <w:t>。经现场踏勘，该范围内无居民区、学校、医院等环境敏感目标。同时评价要求，在卫生防护距离范围内不得新建上述敏感建筑。</w:t>
      </w:r>
    </w:p>
    <w:p w14:paraId="44C36367">
      <w:pPr>
        <w:pStyle w:val="5"/>
        <w:numPr>
          <w:ilvl w:val="3"/>
          <w:numId w:val="0"/>
        </w:numPr>
        <w:bidi w:val="0"/>
        <w:ind w:leftChars="0"/>
        <w:rPr>
          <w:rFonts w:hint="eastAsia"/>
          <w:color w:val="auto"/>
          <w:highlight w:val="none"/>
          <w:lang w:eastAsia="zh-CN"/>
        </w:rPr>
      </w:pPr>
      <w:r>
        <w:rPr>
          <w:rFonts w:hint="eastAsia"/>
          <w:color w:val="auto"/>
          <w:highlight w:val="none"/>
          <w:lang w:val="en-US" w:eastAsia="zh-CN"/>
        </w:rPr>
        <w:t>7.1.2.5 达标</w:t>
      </w:r>
      <w:r>
        <w:rPr>
          <w:rFonts w:hint="eastAsia"/>
          <w:color w:val="auto"/>
          <w:highlight w:val="none"/>
        </w:rPr>
        <w:t>可行性分析</w:t>
      </w:r>
    </w:p>
    <w:p w14:paraId="43D5D83E">
      <w:pPr>
        <w:bidi w:val="0"/>
        <w:rPr>
          <w:rFonts w:hint="eastAsia"/>
          <w:color w:val="auto"/>
          <w:highlight w:val="none"/>
          <w:lang w:eastAsia="zh-CN"/>
        </w:rPr>
      </w:pPr>
      <w:r>
        <w:rPr>
          <w:rFonts w:hint="eastAsia"/>
          <w:color w:val="auto"/>
          <w:highlight w:val="none"/>
          <w:lang w:eastAsia="zh-CN"/>
        </w:rPr>
        <w:t>根据大气环境影响预测结果，各污染物排放浓度及排放速率均满足相应排放标准要求，具体分析如下：</w:t>
      </w:r>
    </w:p>
    <w:p w14:paraId="3DE14F46">
      <w:pPr>
        <w:bidi w:val="0"/>
        <w:rPr>
          <w:rFonts w:hint="eastAsia"/>
          <w:color w:val="auto"/>
          <w:highlight w:val="none"/>
          <w:lang w:eastAsia="zh-CN"/>
        </w:rPr>
      </w:pPr>
      <w:r>
        <w:rPr>
          <w:rFonts w:hint="eastAsia"/>
          <w:color w:val="auto"/>
          <w:highlight w:val="none"/>
          <w:lang w:eastAsia="zh-CN"/>
        </w:rPr>
        <w:t>（1）有机废气、</w:t>
      </w:r>
      <w:r>
        <w:rPr>
          <w:rFonts w:hint="eastAsia"/>
          <w:color w:val="auto"/>
          <w:highlight w:val="none"/>
          <w:lang w:val="en-US" w:eastAsia="zh-CN"/>
        </w:rPr>
        <w:t>颗粒物</w:t>
      </w:r>
      <w:r>
        <w:rPr>
          <w:rFonts w:hint="eastAsia"/>
          <w:color w:val="auto"/>
          <w:highlight w:val="none"/>
          <w:lang w:eastAsia="zh-CN"/>
        </w:rPr>
        <w:t>达标可行性</w:t>
      </w:r>
    </w:p>
    <w:p w14:paraId="3A2B338E">
      <w:pPr>
        <w:bidi w:val="0"/>
        <w:rPr>
          <w:rFonts w:hint="eastAsia"/>
          <w:color w:val="auto"/>
          <w:highlight w:val="none"/>
          <w:lang w:eastAsia="zh-CN"/>
        </w:rPr>
      </w:pPr>
      <w:r>
        <w:rPr>
          <w:rFonts w:hint="eastAsia"/>
          <w:color w:val="auto"/>
          <w:highlight w:val="none"/>
          <w:lang w:eastAsia="zh-CN"/>
        </w:rPr>
        <w:t>①调漆、点补工序废气</w:t>
      </w:r>
    </w:p>
    <w:p w14:paraId="42F992E0">
      <w:pPr>
        <w:bidi w:val="0"/>
        <w:rPr>
          <w:rFonts w:hint="default"/>
          <w:color w:val="auto"/>
          <w:highlight w:val="none"/>
          <w:lang w:val="en-US" w:eastAsia="zh-CN"/>
        </w:rPr>
      </w:pPr>
      <w:r>
        <w:rPr>
          <w:rFonts w:hint="eastAsia"/>
          <w:color w:val="auto"/>
          <w:highlight w:val="none"/>
          <w:lang w:val="en-US" w:eastAsia="zh-CN"/>
        </w:rPr>
        <w:t>A.有组织排放</w:t>
      </w:r>
    </w:p>
    <w:p w14:paraId="743407E4">
      <w:pPr>
        <w:bidi w:val="0"/>
        <w:rPr>
          <w:rFonts w:hint="default"/>
          <w:color w:val="auto"/>
          <w:highlight w:val="none"/>
          <w:lang w:eastAsia="zh-CN"/>
        </w:rPr>
      </w:pPr>
      <w:r>
        <w:rPr>
          <w:rFonts w:hint="default"/>
          <w:color w:val="auto"/>
          <w:highlight w:val="none"/>
          <w:lang w:eastAsia="zh-CN"/>
        </w:rPr>
        <w:t>调漆工序有机废气采用</w:t>
      </w:r>
      <w:r>
        <w:rPr>
          <w:rFonts w:hint="eastAsia"/>
          <w:color w:val="auto"/>
          <w:highlight w:val="none"/>
          <w:lang w:eastAsia="zh-CN"/>
        </w:rPr>
        <w:t>“</w:t>
      </w:r>
      <w:r>
        <w:rPr>
          <w:rFonts w:hint="default"/>
          <w:color w:val="auto"/>
          <w:highlight w:val="none"/>
          <w:lang w:eastAsia="zh-CN"/>
        </w:rPr>
        <w:t>二级活性炭吸附</w:t>
      </w:r>
      <w:r>
        <w:rPr>
          <w:rFonts w:hint="eastAsia"/>
          <w:color w:val="auto"/>
          <w:highlight w:val="none"/>
          <w:lang w:eastAsia="zh-CN"/>
        </w:rPr>
        <w:t>”</w:t>
      </w:r>
      <w:r>
        <w:rPr>
          <w:rFonts w:hint="default"/>
          <w:color w:val="auto"/>
          <w:highlight w:val="none"/>
          <w:lang w:eastAsia="zh-CN"/>
        </w:rPr>
        <w:t>处理，点补工序有机废气采用</w:t>
      </w:r>
      <w:r>
        <w:rPr>
          <w:rFonts w:hint="eastAsia"/>
          <w:color w:val="auto"/>
          <w:highlight w:val="none"/>
          <w:lang w:eastAsia="zh-CN"/>
        </w:rPr>
        <w:t>“过滤棉过滤</w:t>
      </w:r>
      <w:r>
        <w:rPr>
          <w:rFonts w:hint="default"/>
          <w:color w:val="auto"/>
          <w:highlight w:val="none"/>
          <w:lang w:eastAsia="zh-CN"/>
        </w:rPr>
        <w:t>+二级活性炭吸附</w:t>
      </w:r>
      <w:r>
        <w:rPr>
          <w:rFonts w:hint="eastAsia"/>
          <w:color w:val="auto"/>
          <w:highlight w:val="none"/>
          <w:lang w:eastAsia="zh-CN"/>
        </w:rPr>
        <w:t>”</w:t>
      </w:r>
      <w:r>
        <w:rPr>
          <w:rFonts w:hint="default"/>
          <w:color w:val="auto"/>
          <w:highlight w:val="none"/>
          <w:lang w:eastAsia="zh-CN"/>
        </w:rPr>
        <w:t>处理，处理后分别通过20m高排气筒（DA002、DA003）排放。</w:t>
      </w:r>
    </w:p>
    <w:p w14:paraId="7DED0145">
      <w:pPr>
        <w:bidi w:val="0"/>
        <w:rPr>
          <w:rFonts w:hint="default"/>
          <w:color w:val="auto"/>
          <w:highlight w:val="none"/>
          <w:lang w:eastAsia="zh-CN"/>
        </w:rPr>
      </w:pPr>
      <w:r>
        <w:rPr>
          <w:rFonts w:hint="default"/>
          <w:color w:val="auto"/>
          <w:highlight w:val="none"/>
          <w:lang w:eastAsia="zh-CN"/>
        </w:rPr>
        <w:t>根据预测结果，非甲烷总烃、二甲苯、</w:t>
      </w:r>
      <w:r>
        <w:rPr>
          <w:rFonts w:hint="eastAsia"/>
          <w:color w:val="auto"/>
          <w:highlight w:val="none"/>
          <w:lang w:eastAsia="zh-CN"/>
        </w:rPr>
        <w:t>乙酸乙酯与乙酸丁酯合计</w:t>
      </w:r>
      <w:r>
        <w:rPr>
          <w:rFonts w:hint="default"/>
          <w:color w:val="auto"/>
          <w:highlight w:val="none"/>
          <w:lang w:eastAsia="zh-CN"/>
        </w:rPr>
        <w:t>有组织排放满足《工业涂装工序挥发性有机物排放标准》（DB35/1783-2018）表1中</w:t>
      </w:r>
      <w:r>
        <w:rPr>
          <w:rFonts w:hint="eastAsia"/>
          <w:color w:val="auto"/>
          <w:highlight w:val="none"/>
          <w:lang w:eastAsia="zh-CN"/>
        </w:rPr>
        <w:t>“</w:t>
      </w:r>
      <w:r>
        <w:rPr>
          <w:rFonts w:hint="eastAsia"/>
          <w:color w:val="auto"/>
          <w:highlight w:val="none"/>
          <w:lang w:val="en-US" w:eastAsia="zh-CN"/>
        </w:rPr>
        <w:t>汽车整车制造</w:t>
      </w:r>
      <w:r>
        <w:rPr>
          <w:rFonts w:hint="eastAsia"/>
          <w:color w:val="auto"/>
          <w:highlight w:val="none"/>
          <w:lang w:eastAsia="zh-CN"/>
        </w:rPr>
        <w:t>”</w:t>
      </w:r>
      <w:r>
        <w:rPr>
          <w:rFonts w:hint="default"/>
          <w:color w:val="auto"/>
          <w:highlight w:val="none"/>
          <w:lang w:eastAsia="zh-CN"/>
        </w:rPr>
        <w:t>限值要求（非甲烷总烃≤50mg/m</w:t>
      </w:r>
      <w:r>
        <w:rPr>
          <w:rFonts w:hint="eastAsia"/>
          <w:color w:val="auto"/>
          <w:highlight w:val="none"/>
          <w:vertAlign w:val="superscript"/>
          <w:lang w:val="en-US" w:eastAsia="zh-CN"/>
        </w:rPr>
        <w:t>3</w:t>
      </w:r>
      <w:r>
        <w:rPr>
          <w:rFonts w:hint="eastAsia"/>
          <w:color w:val="auto"/>
          <w:highlight w:val="none"/>
          <w:vertAlign w:val="baseline"/>
          <w:lang w:val="en-US" w:eastAsia="zh-CN"/>
        </w:rPr>
        <w:t>（4.0kg/h）</w:t>
      </w:r>
      <w:r>
        <w:rPr>
          <w:rFonts w:hint="default"/>
          <w:color w:val="auto"/>
          <w:highlight w:val="none"/>
          <w:lang w:eastAsia="zh-CN"/>
        </w:rPr>
        <w:t>、二甲苯≤15mg/m</w:t>
      </w:r>
      <w:r>
        <w:rPr>
          <w:rFonts w:hint="eastAsia"/>
          <w:color w:val="auto"/>
          <w:highlight w:val="none"/>
          <w:vertAlign w:val="superscript"/>
          <w:lang w:val="en-US" w:eastAsia="zh-CN"/>
        </w:rPr>
        <w:t>3</w:t>
      </w:r>
      <w:r>
        <w:rPr>
          <w:rFonts w:hint="eastAsia"/>
          <w:color w:val="auto"/>
          <w:highlight w:val="none"/>
          <w:vertAlign w:val="baseline"/>
          <w:lang w:val="en-US" w:eastAsia="zh-CN"/>
        </w:rPr>
        <w:t>（1.4kg/h）</w:t>
      </w:r>
      <w:r>
        <w:rPr>
          <w:rFonts w:hint="default"/>
          <w:color w:val="auto"/>
          <w:highlight w:val="none"/>
          <w:lang w:eastAsia="zh-CN"/>
        </w:rPr>
        <w:t>、</w:t>
      </w:r>
      <w:r>
        <w:rPr>
          <w:rFonts w:hint="eastAsia"/>
          <w:color w:val="auto"/>
          <w:highlight w:val="none"/>
          <w:lang w:eastAsia="zh-CN"/>
        </w:rPr>
        <w:t>乙酸乙酯与乙酸丁酯合计</w:t>
      </w:r>
      <w:r>
        <w:rPr>
          <w:rFonts w:hint="default"/>
          <w:color w:val="auto"/>
          <w:highlight w:val="none"/>
          <w:lang w:eastAsia="zh-CN"/>
        </w:rPr>
        <w:t>≤40mg/m</w:t>
      </w:r>
      <w:r>
        <w:rPr>
          <w:rFonts w:hint="eastAsia"/>
          <w:color w:val="auto"/>
          <w:highlight w:val="none"/>
          <w:vertAlign w:val="superscript"/>
          <w:lang w:val="en-US" w:eastAsia="zh-CN"/>
        </w:rPr>
        <w:t>3</w:t>
      </w:r>
      <w:r>
        <w:rPr>
          <w:rFonts w:hint="eastAsia"/>
          <w:color w:val="auto"/>
          <w:highlight w:val="none"/>
          <w:vertAlign w:val="baseline"/>
          <w:lang w:val="en-US" w:eastAsia="zh-CN"/>
        </w:rPr>
        <w:t>（2.0kg/h）</w:t>
      </w:r>
      <w:r>
        <w:rPr>
          <w:rFonts w:hint="default"/>
          <w:color w:val="auto"/>
          <w:highlight w:val="none"/>
          <w:lang w:eastAsia="zh-CN"/>
        </w:rPr>
        <w:t>），颗粒物有组织排放满足《大气污染物综合排放标准》（GB 16297-1996）表2二级标准（颗粒物≤120mg/m</w:t>
      </w:r>
      <w:r>
        <w:rPr>
          <w:rFonts w:hint="eastAsia"/>
          <w:color w:val="auto"/>
          <w:highlight w:val="none"/>
          <w:vertAlign w:val="superscript"/>
          <w:lang w:val="en-US" w:eastAsia="zh-CN"/>
        </w:rPr>
        <w:t>3</w:t>
      </w:r>
      <w:r>
        <w:rPr>
          <w:rFonts w:hint="eastAsia"/>
          <w:color w:val="auto"/>
          <w:highlight w:val="none"/>
          <w:vertAlign w:val="baseline"/>
          <w:lang w:val="en-US" w:eastAsia="zh-CN"/>
        </w:rPr>
        <w:t>（2.95kg/h）</w:t>
      </w:r>
      <w:r>
        <w:rPr>
          <w:rFonts w:hint="default"/>
          <w:color w:val="auto"/>
          <w:highlight w:val="none"/>
          <w:lang w:eastAsia="zh-CN"/>
        </w:rPr>
        <w:t>）。</w:t>
      </w:r>
    </w:p>
    <w:p w14:paraId="57DC4CFC">
      <w:pPr>
        <w:bidi w:val="0"/>
        <w:rPr>
          <w:rFonts w:hint="default"/>
          <w:color w:val="auto"/>
          <w:highlight w:val="none"/>
          <w:lang w:val="en-US" w:eastAsia="zh-CN"/>
        </w:rPr>
      </w:pPr>
      <w:r>
        <w:rPr>
          <w:rFonts w:hint="eastAsia"/>
          <w:color w:val="auto"/>
          <w:highlight w:val="none"/>
          <w:lang w:val="en-US" w:eastAsia="zh-CN"/>
        </w:rPr>
        <w:t>B.无组织排放</w:t>
      </w:r>
    </w:p>
    <w:p w14:paraId="3442A9F4">
      <w:pPr>
        <w:bidi w:val="0"/>
        <w:rPr>
          <w:rFonts w:hint="default"/>
          <w:color w:val="auto"/>
          <w:highlight w:val="none"/>
          <w:lang w:val="en-US" w:eastAsia="zh-CN"/>
        </w:rPr>
      </w:pPr>
      <w:r>
        <w:rPr>
          <w:rFonts w:hint="default"/>
          <w:color w:val="auto"/>
          <w:highlight w:val="none"/>
          <w:lang w:val="en-US" w:eastAsia="zh-CN"/>
        </w:rPr>
        <w:t>非甲烷总烃</w:t>
      </w:r>
      <w:r>
        <w:rPr>
          <w:rFonts w:hint="eastAsia"/>
          <w:color w:val="auto"/>
          <w:highlight w:val="none"/>
          <w:lang w:val="en-US" w:eastAsia="zh-CN"/>
        </w:rPr>
        <w:t>厂区内无组织排放同时满足</w:t>
      </w:r>
      <w:r>
        <w:rPr>
          <w:rFonts w:hint="default"/>
          <w:color w:val="auto"/>
          <w:highlight w:val="none"/>
          <w:lang w:eastAsia="zh-CN"/>
        </w:rPr>
        <w:t>《工业涂装工序挥发性有机物排放标准》（DB35/1783-2018）表</w:t>
      </w:r>
      <w:r>
        <w:rPr>
          <w:rFonts w:hint="eastAsia"/>
          <w:color w:val="auto"/>
          <w:highlight w:val="none"/>
          <w:lang w:val="en-US" w:eastAsia="zh-CN"/>
        </w:rPr>
        <w:t>3</w:t>
      </w:r>
      <w:r>
        <w:rPr>
          <w:rFonts w:hint="eastAsia" w:cs="Times New Roman"/>
          <w:color w:val="auto"/>
          <w:highlight w:val="none"/>
          <w:lang w:val="en-US" w:eastAsia="zh-CN"/>
        </w:rPr>
        <w:t>（监控点处1h平均浓度值≤8mg/m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）及</w:t>
      </w:r>
      <w:r>
        <w:rPr>
          <w:rFonts w:hint="eastAsia" w:cs="Times New Roman"/>
          <w:color w:val="auto"/>
          <w:highlight w:val="none"/>
          <w:lang w:val="en-US" w:eastAsia="zh-CN"/>
        </w:rPr>
        <w:t>《挥发性有机物无组织排放控制标准》（GB37822-2019）附录A中表A.1排放限值要求（任意一次浓度值≤30mg/m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w:t>
      </w:r>
      <w:r>
        <w:rPr>
          <w:rFonts w:hint="default"/>
          <w:color w:val="auto"/>
          <w:highlight w:val="none"/>
          <w:lang w:val="en-US" w:eastAsia="zh-CN"/>
        </w:rPr>
        <w:t>非甲烷总烃</w:t>
      </w:r>
      <w:r>
        <w:rPr>
          <w:rFonts w:hint="eastAsia"/>
          <w:color w:val="auto"/>
          <w:highlight w:val="none"/>
          <w:lang w:val="en-US" w:eastAsia="zh-CN"/>
        </w:rPr>
        <w:t>、</w:t>
      </w:r>
      <w:r>
        <w:rPr>
          <w:rFonts w:hint="default"/>
          <w:color w:val="auto"/>
          <w:highlight w:val="none"/>
          <w:lang w:val="en-US" w:eastAsia="zh-CN"/>
        </w:rPr>
        <w:t>二甲苯</w:t>
      </w:r>
      <w:r>
        <w:rPr>
          <w:rFonts w:hint="eastAsia"/>
          <w:color w:val="auto"/>
          <w:highlight w:val="none"/>
          <w:lang w:val="en-US" w:eastAsia="zh-CN"/>
        </w:rPr>
        <w:t>、乙酸乙酯厂界无组织排放满足</w:t>
      </w:r>
      <w:r>
        <w:rPr>
          <w:rFonts w:hint="default"/>
          <w:color w:val="auto"/>
          <w:highlight w:val="none"/>
          <w:lang w:val="en-US" w:eastAsia="zh-CN"/>
        </w:rPr>
        <w:t>表4</w:t>
      </w:r>
      <w:r>
        <w:rPr>
          <w:rFonts w:hint="eastAsia"/>
          <w:color w:val="auto"/>
          <w:highlight w:val="none"/>
          <w:lang w:val="en-US" w:eastAsia="zh-CN"/>
        </w:rPr>
        <w:t>企业边界监控点浓度</w:t>
      </w:r>
      <w:r>
        <w:rPr>
          <w:rFonts w:hint="default"/>
          <w:color w:val="auto"/>
          <w:highlight w:val="none"/>
          <w:lang w:val="en-US" w:eastAsia="zh-CN"/>
        </w:rPr>
        <w:t>限值（非甲烷总烃≤2.0mg/m</w:t>
      </w:r>
      <w:r>
        <w:rPr>
          <w:rFonts w:hint="eastAsia"/>
          <w:color w:val="auto"/>
          <w:highlight w:val="none"/>
          <w:vertAlign w:val="superscript"/>
          <w:lang w:val="en-US" w:eastAsia="zh-CN"/>
        </w:rPr>
        <w:t>3</w:t>
      </w:r>
      <w:r>
        <w:rPr>
          <w:rFonts w:hint="eastAsia"/>
          <w:color w:val="auto"/>
          <w:highlight w:val="none"/>
          <w:lang w:val="en-US" w:eastAsia="zh-CN"/>
        </w:rPr>
        <w:t>、</w:t>
      </w:r>
      <w:r>
        <w:rPr>
          <w:rFonts w:hint="default"/>
          <w:color w:val="auto"/>
          <w:highlight w:val="none"/>
          <w:lang w:val="en-US" w:eastAsia="zh-CN"/>
        </w:rPr>
        <w:t>二甲苯≤0.2mg/m</w:t>
      </w:r>
      <w:r>
        <w:rPr>
          <w:rFonts w:hint="eastAsia"/>
          <w:color w:val="auto"/>
          <w:highlight w:val="none"/>
          <w:vertAlign w:val="superscript"/>
          <w:lang w:val="en-US" w:eastAsia="zh-CN"/>
        </w:rPr>
        <w:t>3</w:t>
      </w:r>
      <w:r>
        <w:rPr>
          <w:rFonts w:hint="eastAsia"/>
          <w:color w:val="auto"/>
          <w:highlight w:val="none"/>
          <w:lang w:val="en-US" w:eastAsia="zh-CN"/>
        </w:rPr>
        <w:t>、乙酸乙酯</w:t>
      </w:r>
      <w:r>
        <w:rPr>
          <w:rFonts w:hint="default"/>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mg/m³</w:t>
      </w:r>
      <w:r>
        <w:rPr>
          <w:rFonts w:hint="eastAsia"/>
          <w:color w:val="auto"/>
          <w:highlight w:val="none"/>
          <w:lang w:val="en-US" w:eastAsia="zh-CN"/>
        </w:rPr>
        <w:t>）</w:t>
      </w:r>
      <w:r>
        <w:rPr>
          <w:rFonts w:hint="default"/>
          <w:color w:val="auto"/>
          <w:highlight w:val="none"/>
          <w:lang w:val="en-US" w:eastAsia="zh-CN"/>
        </w:rPr>
        <w:t>。</w:t>
      </w:r>
      <w:r>
        <w:rPr>
          <w:rFonts w:hint="default"/>
          <w:color w:val="auto"/>
          <w:highlight w:val="none"/>
          <w:lang w:eastAsia="zh-CN"/>
        </w:rPr>
        <w:t>颗粒物</w:t>
      </w:r>
      <w:r>
        <w:rPr>
          <w:rFonts w:hint="eastAsia"/>
          <w:color w:val="auto"/>
          <w:highlight w:val="none"/>
          <w:lang w:val="en-US" w:eastAsia="zh-CN"/>
        </w:rPr>
        <w:t>厂界无组织排放满足</w:t>
      </w:r>
      <w:r>
        <w:rPr>
          <w:rFonts w:hint="default"/>
          <w:color w:val="auto"/>
          <w:highlight w:val="none"/>
          <w:lang w:eastAsia="zh-CN"/>
        </w:rPr>
        <w:t>《大气污染物综合排放标准》（GB 16297-1996）表2</w:t>
      </w:r>
      <w:r>
        <w:rPr>
          <w:rFonts w:hint="default"/>
          <w:color w:val="auto"/>
          <w:highlight w:val="none"/>
          <w:lang w:val="en-US" w:eastAsia="zh-CN"/>
        </w:rPr>
        <w:t>（</w:t>
      </w:r>
      <w:r>
        <w:rPr>
          <w:rFonts w:hint="eastAsia"/>
          <w:color w:val="auto"/>
          <w:highlight w:val="none"/>
          <w:lang w:val="en-US" w:eastAsia="zh-CN"/>
        </w:rPr>
        <w:t>颗粒物</w:t>
      </w:r>
      <w:r>
        <w:rPr>
          <w:rFonts w:hint="default"/>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mg/m</w:t>
      </w:r>
      <w:r>
        <w:rPr>
          <w:rFonts w:hint="eastAsia"/>
          <w:color w:val="auto"/>
          <w:highlight w:val="none"/>
          <w:vertAlign w:val="superscript"/>
          <w:lang w:val="en-US" w:eastAsia="zh-CN"/>
        </w:rPr>
        <w:t>3</w:t>
      </w:r>
      <w:r>
        <w:rPr>
          <w:rFonts w:hint="eastAsia"/>
          <w:color w:val="auto"/>
          <w:highlight w:val="none"/>
          <w:lang w:val="en-US" w:eastAsia="zh-CN"/>
        </w:rPr>
        <w:t>）。其中，塑料破碎工序颗粒物无组织排放满足《合成树脂工业污染物排放标准》（GB 31572-2015）表9企业边界大气污染物浓度限值要求（颗粒物≤1.0mg/m³），该限值与《大气污染物综合排放标准》（GB 16297-1996）表2中颗粒物无组织排放限值一致，按从严原则统一执行1.0mg/m³。</w:t>
      </w:r>
    </w:p>
    <w:p w14:paraId="56E117C3">
      <w:pPr>
        <w:bidi w:val="0"/>
        <w:rPr>
          <w:rFonts w:hint="eastAsia"/>
          <w:color w:val="auto"/>
          <w:highlight w:val="none"/>
          <w:lang w:eastAsia="zh-CN"/>
        </w:rPr>
      </w:pPr>
      <w:r>
        <w:rPr>
          <w:rFonts w:hint="default"/>
          <w:color w:val="auto"/>
          <w:highlight w:val="none"/>
          <w:lang w:eastAsia="zh-CN"/>
        </w:rPr>
        <w:t>②</w:t>
      </w:r>
      <w:r>
        <w:rPr>
          <w:rFonts w:hint="eastAsia"/>
          <w:color w:val="auto"/>
          <w:highlight w:val="none"/>
          <w:lang w:eastAsia="zh-CN"/>
        </w:rPr>
        <w:t>喷漆、流平、烘干</w:t>
      </w:r>
      <w:r>
        <w:rPr>
          <w:rFonts w:hint="eastAsia"/>
          <w:color w:val="auto"/>
          <w:highlight w:val="none"/>
          <w:lang w:val="en-US" w:eastAsia="zh-CN"/>
        </w:rPr>
        <w:t>及喷枪清洗</w:t>
      </w:r>
      <w:r>
        <w:rPr>
          <w:rFonts w:hint="eastAsia"/>
          <w:color w:val="auto"/>
          <w:highlight w:val="none"/>
          <w:lang w:eastAsia="zh-CN"/>
        </w:rPr>
        <w:t>工序废气</w:t>
      </w:r>
    </w:p>
    <w:p w14:paraId="1DD641D0">
      <w:pPr>
        <w:bidi w:val="0"/>
        <w:rPr>
          <w:rFonts w:hint="eastAsia"/>
          <w:color w:val="auto"/>
          <w:highlight w:val="none"/>
          <w:lang w:eastAsia="zh-CN"/>
        </w:rPr>
      </w:pPr>
      <w:r>
        <w:rPr>
          <w:rFonts w:hint="eastAsia"/>
          <w:color w:val="auto"/>
          <w:highlight w:val="none"/>
          <w:lang w:val="en-US" w:eastAsia="zh-CN"/>
        </w:rPr>
        <w:t>A.有组织排放</w:t>
      </w:r>
    </w:p>
    <w:p w14:paraId="659AB5AA">
      <w:pPr>
        <w:bidi w:val="0"/>
        <w:rPr>
          <w:rFonts w:hint="default"/>
          <w:color w:val="auto"/>
          <w:highlight w:val="none"/>
          <w:lang w:val="en-US" w:eastAsia="zh-CN"/>
        </w:rPr>
      </w:pPr>
      <w:r>
        <w:rPr>
          <w:rFonts w:hint="eastAsia"/>
          <w:color w:val="auto"/>
          <w:highlight w:val="none"/>
          <w:lang w:eastAsia="zh-CN"/>
        </w:rPr>
        <w:t>喷漆、流平、烘干</w:t>
      </w:r>
      <w:r>
        <w:rPr>
          <w:rFonts w:hint="eastAsia"/>
          <w:color w:val="auto"/>
          <w:highlight w:val="none"/>
          <w:lang w:val="en-US" w:eastAsia="zh-CN"/>
        </w:rPr>
        <w:t>及喷枪清洗</w:t>
      </w:r>
      <w:r>
        <w:rPr>
          <w:rFonts w:hint="eastAsia"/>
          <w:color w:val="auto"/>
          <w:highlight w:val="none"/>
          <w:lang w:eastAsia="zh-CN"/>
        </w:rPr>
        <w:t>工序废气经“干式纸盒+过滤棉过滤+RTO蓄热式焚烧炉”处理，通过20m高排气筒（</w:t>
      </w:r>
      <w:r>
        <w:rPr>
          <w:rFonts w:hint="eastAsia"/>
          <w:color w:val="auto"/>
          <w:highlight w:val="none"/>
          <w:lang w:val="en-US" w:eastAsia="zh-CN"/>
        </w:rPr>
        <w:t>DA001</w:t>
      </w:r>
      <w:r>
        <w:rPr>
          <w:rFonts w:hint="eastAsia"/>
          <w:color w:val="auto"/>
          <w:highlight w:val="none"/>
          <w:lang w:eastAsia="zh-CN"/>
        </w:rPr>
        <w:t>）排放。根据预测结果，非甲烷总烃、</w:t>
      </w:r>
      <w:r>
        <w:rPr>
          <w:rFonts w:hint="eastAsia"/>
          <w:color w:val="auto"/>
          <w:highlight w:val="none"/>
          <w:lang w:val="en-US" w:eastAsia="zh-CN"/>
        </w:rPr>
        <w:t>二甲苯、乙酸乙酯与乙酸丁酯合计有组织</w:t>
      </w:r>
      <w:r>
        <w:rPr>
          <w:rFonts w:hint="eastAsia"/>
          <w:color w:val="auto"/>
          <w:highlight w:val="none"/>
          <w:lang w:eastAsia="zh-CN"/>
        </w:rPr>
        <w:t>排放满足《工业涂装工序挥发性有机物排放标准》（DB35/1783-2018）表1中“</w:t>
      </w:r>
      <w:r>
        <w:rPr>
          <w:rFonts w:hint="eastAsia"/>
          <w:color w:val="auto"/>
          <w:highlight w:val="none"/>
          <w:lang w:val="en-US" w:eastAsia="zh-CN"/>
        </w:rPr>
        <w:t>汽车整车制造</w:t>
      </w:r>
      <w:r>
        <w:rPr>
          <w:rFonts w:hint="eastAsia"/>
          <w:color w:val="auto"/>
          <w:highlight w:val="none"/>
          <w:lang w:eastAsia="zh-CN"/>
        </w:rPr>
        <w:t>”限值要求（</w:t>
      </w:r>
      <w:r>
        <w:rPr>
          <w:rFonts w:hint="default"/>
          <w:color w:val="auto"/>
          <w:highlight w:val="none"/>
          <w:lang w:eastAsia="zh-CN"/>
        </w:rPr>
        <w:t>非甲烷总烃≤50mg/m</w:t>
      </w:r>
      <w:r>
        <w:rPr>
          <w:rFonts w:hint="eastAsia"/>
          <w:color w:val="auto"/>
          <w:highlight w:val="none"/>
          <w:vertAlign w:val="superscript"/>
          <w:lang w:val="en-US" w:eastAsia="zh-CN"/>
        </w:rPr>
        <w:t>3</w:t>
      </w:r>
      <w:r>
        <w:rPr>
          <w:rFonts w:hint="eastAsia"/>
          <w:color w:val="auto"/>
          <w:highlight w:val="none"/>
          <w:vertAlign w:val="baseline"/>
          <w:lang w:val="en-US" w:eastAsia="zh-CN"/>
        </w:rPr>
        <w:t>（4.0kg/h）</w:t>
      </w:r>
      <w:r>
        <w:rPr>
          <w:rFonts w:hint="default"/>
          <w:color w:val="auto"/>
          <w:highlight w:val="none"/>
          <w:lang w:eastAsia="zh-CN"/>
        </w:rPr>
        <w:t>、二甲苯≤15mg/m</w:t>
      </w:r>
      <w:r>
        <w:rPr>
          <w:rFonts w:hint="eastAsia"/>
          <w:color w:val="auto"/>
          <w:highlight w:val="none"/>
          <w:vertAlign w:val="superscript"/>
          <w:lang w:val="en-US" w:eastAsia="zh-CN"/>
        </w:rPr>
        <w:t>3</w:t>
      </w:r>
      <w:r>
        <w:rPr>
          <w:rFonts w:hint="eastAsia"/>
          <w:color w:val="auto"/>
          <w:highlight w:val="none"/>
          <w:vertAlign w:val="baseline"/>
          <w:lang w:val="en-US" w:eastAsia="zh-CN"/>
        </w:rPr>
        <w:t>（1.4kg/h）</w:t>
      </w:r>
      <w:r>
        <w:rPr>
          <w:rFonts w:hint="default"/>
          <w:color w:val="auto"/>
          <w:highlight w:val="none"/>
          <w:lang w:eastAsia="zh-CN"/>
        </w:rPr>
        <w:t>、</w:t>
      </w:r>
      <w:r>
        <w:rPr>
          <w:rFonts w:hint="eastAsia"/>
          <w:color w:val="auto"/>
          <w:highlight w:val="none"/>
          <w:lang w:eastAsia="zh-CN"/>
        </w:rPr>
        <w:t>乙酸乙酯与乙酸丁酯合计</w:t>
      </w:r>
      <w:r>
        <w:rPr>
          <w:rFonts w:hint="default"/>
          <w:color w:val="auto"/>
          <w:highlight w:val="none"/>
          <w:lang w:eastAsia="zh-CN"/>
        </w:rPr>
        <w:t>≤40mg/m</w:t>
      </w:r>
      <w:r>
        <w:rPr>
          <w:rFonts w:hint="eastAsia"/>
          <w:color w:val="auto"/>
          <w:highlight w:val="none"/>
          <w:vertAlign w:val="superscript"/>
          <w:lang w:val="en-US" w:eastAsia="zh-CN"/>
        </w:rPr>
        <w:t>3</w:t>
      </w:r>
      <w:r>
        <w:rPr>
          <w:rFonts w:hint="eastAsia"/>
          <w:color w:val="auto"/>
          <w:highlight w:val="none"/>
          <w:vertAlign w:val="baseline"/>
          <w:lang w:val="en-US" w:eastAsia="zh-CN"/>
        </w:rPr>
        <w:t>（2.0kg/h）</w:t>
      </w:r>
      <w:r>
        <w:rPr>
          <w:rFonts w:hint="eastAsia"/>
          <w:color w:val="auto"/>
          <w:highlight w:val="none"/>
          <w:lang w:eastAsia="zh-CN"/>
        </w:rPr>
        <w:t>），</w:t>
      </w:r>
      <w:r>
        <w:rPr>
          <w:rFonts w:hint="default"/>
          <w:color w:val="auto"/>
          <w:highlight w:val="none"/>
          <w:lang w:eastAsia="zh-CN"/>
        </w:rPr>
        <w:t>颗粒物有组织浓度满足《大气污染物综合排放标准》（GB 16297-1996）表2二级标准（颗粒物≤120mg/m</w:t>
      </w:r>
      <w:r>
        <w:rPr>
          <w:rFonts w:hint="eastAsia"/>
          <w:color w:val="auto"/>
          <w:highlight w:val="none"/>
          <w:vertAlign w:val="superscript"/>
          <w:lang w:val="en-US" w:eastAsia="zh-CN"/>
        </w:rPr>
        <w:t>3</w:t>
      </w:r>
      <w:r>
        <w:rPr>
          <w:rFonts w:hint="eastAsia"/>
          <w:color w:val="auto"/>
          <w:highlight w:val="none"/>
          <w:vertAlign w:val="baseline"/>
          <w:lang w:val="en-US" w:eastAsia="zh-CN"/>
        </w:rPr>
        <w:t>（2.95kg/h）</w:t>
      </w:r>
      <w:r>
        <w:rPr>
          <w:rFonts w:hint="default"/>
          <w:color w:val="auto"/>
          <w:highlight w:val="none"/>
          <w:lang w:eastAsia="zh-CN"/>
        </w:rPr>
        <w:t>）</w:t>
      </w:r>
      <w:r>
        <w:rPr>
          <w:rFonts w:hint="eastAsia"/>
          <w:color w:val="auto"/>
          <w:highlight w:val="none"/>
          <w:lang w:eastAsia="zh-CN"/>
        </w:rPr>
        <w:t>。其中，颗粒物根据从严执行原则，按《福建省工业炉窑大气污染综合治理方案》（闽环保大气〔2019〕10号）中30mg/m</w:t>
      </w:r>
      <w:r>
        <w:rPr>
          <w:rFonts w:hint="eastAsia"/>
          <w:color w:val="auto"/>
          <w:highlight w:val="none"/>
          <w:vertAlign w:val="superscript"/>
          <w:lang w:val="en-US" w:eastAsia="zh-CN"/>
        </w:rPr>
        <w:t>3</w:t>
      </w:r>
      <w:r>
        <w:rPr>
          <w:rFonts w:hint="eastAsia"/>
          <w:color w:val="auto"/>
          <w:highlight w:val="none"/>
          <w:lang w:eastAsia="zh-CN"/>
        </w:rPr>
        <w:t>的限值要求执行；烟气黑度执行《工业炉窑大气污染物排放标准》（GB 9078-1996）表2限值（烟气黑度≤1级）。</w:t>
      </w:r>
    </w:p>
    <w:p w14:paraId="1BB238A3">
      <w:pPr>
        <w:bidi w:val="0"/>
        <w:rPr>
          <w:rFonts w:hint="default"/>
          <w:color w:val="auto"/>
          <w:highlight w:val="none"/>
          <w:lang w:val="en-US" w:eastAsia="zh-CN"/>
        </w:rPr>
      </w:pPr>
      <w:r>
        <w:rPr>
          <w:rFonts w:hint="eastAsia"/>
          <w:color w:val="auto"/>
          <w:highlight w:val="none"/>
          <w:lang w:val="en-US" w:eastAsia="zh-CN"/>
        </w:rPr>
        <w:t>B.无组织排放</w:t>
      </w:r>
    </w:p>
    <w:p w14:paraId="138D2B91">
      <w:pPr>
        <w:bidi w:val="0"/>
        <w:rPr>
          <w:rFonts w:hint="eastAsia"/>
          <w:color w:val="auto"/>
          <w:highlight w:val="none"/>
          <w:lang w:val="en-US" w:eastAsia="zh-CN"/>
        </w:rPr>
      </w:pPr>
      <w:r>
        <w:rPr>
          <w:rFonts w:hint="default"/>
          <w:color w:val="auto"/>
          <w:highlight w:val="none"/>
          <w:lang w:val="en-US" w:eastAsia="zh-CN"/>
        </w:rPr>
        <w:t>非甲烷总烃</w:t>
      </w:r>
      <w:r>
        <w:rPr>
          <w:rFonts w:hint="eastAsia"/>
          <w:color w:val="auto"/>
          <w:highlight w:val="none"/>
          <w:lang w:val="en-US" w:eastAsia="zh-CN"/>
        </w:rPr>
        <w:t>厂区内无组织排放同时满足</w:t>
      </w:r>
      <w:r>
        <w:rPr>
          <w:rFonts w:hint="default"/>
          <w:color w:val="auto"/>
          <w:highlight w:val="none"/>
          <w:lang w:eastAsia="zh-CN"/>
        </w:rPr>
        <w:t>《工业涂装工序挥发性有机物排放标准》（DB35/1783-2018）表</w:t>
      </w:r>
      <w:r>
        <w:rPr>
          <w:rFonts w:hint="eastAsia"/>
          <w:color w:val="auto"/>
          <w:highlight w:val="none"/>
          <w:lang w:val="en-US" w:eastAsia="zh-CN"/>
        </w:rPr>
        <w:t>3</w:t>
      </w:r>
      <w:r>
        <w:rPr>
          <w:rFonts w:hint="eastAsia" w:cs="Times New Roman"/>
          <w:color w:val="auto"/>
          <w:highlight w:val="none"/>
          <w:lang w:val="en-US" w:eastAsia="zh-CN"/>
        </w:rPr>
        <w:t>（监控点处1h平均浓度值≤8mg/m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）及</w:t>
      </w:r>
      <w:r>
        <w:rPr>
          <w:rFonts w:hint="eastAsia" w:cs="Times New Roman"/>
          <w:color w:val="auto"/>
          <w:highlight w:val="none"/>
          <w:lang w:val="en-US" w:eastAsia="zh-CN"/>
        </w:rPr>
        <w:t>《挥发性有机物无组织排放控制标准》（GB37822-2019）附录A中表A.1排放限值要求（任意一次浓度值≤30mg/m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w:t>
      </w:r>
      <w:r>
        <w:rPr>
          <w:rFonts w:hint="eastAsia"/>
          <w:color w:val="auto"/>
          <w:highlight w:val="none"/>
          <w:lang w:eastAsia="zh-CN"/>
        </w:rPr>
        <w:t>；</w:t>
      </w:r>
      <w:r>
        <w:rPr>
          <w:rFonts w:hint="default"/>
          <w:color w:val="auto"/>
          <w:highlight w:val="none"/>
          <w:lang w:val="en-US" w:eastAsia="zh-CN"/>
        </w:rPr>
        <w:t>非甲烷总烃</w:t>
      </w:r>
      <w:r>
        <w:rPr>
          <w:rFonts w:hint="eastAsia"/>
          <w:color w:val="auto"/>
          <w:highlight w:val="none"/>
          <w:lang w:val="en-US" w:eastAsia="zh-CN"/>
        </w:rPr>
        <w:t>、</w:t>
      </w:r>
      <w:r>
        <w:rPr>
          <w:rFonts w:hint="default"/>
          <w:color w:val="auto"/>
          <w:highlight w:val="none"/>
          <w:lang w:val="en-US" w:eastAsia="zh-CN"/>
        </w:rPr>
        <w:t>二甲苯</w:t>
      </w:r>
      <w:r>
        <w:rPr>
          <w:rFonts w:hint="eastAsia"/>
          <w:color w:val="auto"/>
          <w:highlight w:val="none"/>
          <w:lang w:val="en-US" w:eastAsia="zh-CN"/>
        </w:rPr>
        <w:t>、乙酸乙酯厂界无组织排放满足</w:t>
      </w:r>
      <w:r>
        <w:rPr>
          <w:rFonts w:hint="default"/>
          <w:color w:val="auto"/>
          <w:highlight w:val="none"/>
          <w:lang w:val="en-US" w:eastAsia="zh-CN"/>
        </w:rPr>
        <w:t>表4</w:t>
      </w:r>
      <w:r>
        <w:rPr>
          <w:rFonts w:hint="eastAsia"/>
          <w:color w:val="auto"/>
          <w:highlight w:val="none"/>
          <w:lang w:val="en-US" w:eastAsia="zh-CN"/>
        </w:rPr>
        <w:t>企业边界监控点浓度</w:t>
      </w:r>
      <w:r>
        <w:rPr>
          <w:rFonts w:hint="default"/>
          <w:color w:val="auto"/>
          <w:highlight w:val="none"/>
          <w:lang w:val="en-US" w:eastAsia="zh-CN"/>
        </w:rPr>
        <w:t>限值（非甲烷总烃≤2.0mg/m</w:t>
      </w:r>
      <w:r>
        <w:rPr>
          <w:rFonts w:hint="eastAsia"/>
          <w:color w:val="auto"/>
          <w:highlight w:val="none"/>
          <w:vertAlign w:val="superscript"/>
          <w:lang w:val="en-US" w:eastAsia="zh-CN"/>
        </w:rPr>
        <w:t>3</w:t>
      </w:r>
      <w:r>
        <w:rPr>
          <w:rFonts w:hint="eastAsia"/>
          <w:color w:val="auto"/>
          <w:highlight w:val="none"/>
          <w:lang w:val="en-US" w:eastAsia="zh-CN"/>
        </w:rPr>
        <w:t>、</w:t>
      </w:r>
      <w:r>
        <w:rPr>
          <w:rFonts w:hint="default"/>
          <w:color w:val="auto"/>
          <w:highlight w:val="none"/>
          <w:lang w:val="en-US" w:eastAsia="zh-CN"/>
        </w:rPr>
        <w:t>二甲苯≤0.2mg/m</w:t>
      </w:r>
      <w:r>
        <w:rPr>
          <w:rFonts w:hint="eastAsia"/>
          <w:color w:val="auto"/>
          <w:highlight w:val="none"/>
          <w:vertAlign w:val="superscript"/>
          <w:lang w:val="en-US" w:eastAsia="zh-CN"/>
        </w:rPr>
        <w:t>3</w:t>
      </w:r>
      <w:r>
        <w:rPr>
          <w:rFonts w:hint="eastAsia"/>
          <w:color w:val="auto"/>
          <w:highlight w:val="none"/>
          <w:lang w:val="en-US" w:eastAsia="zh-CN"/>
        </w:rPr>
        <w:t>、乙酸乙酯</w:t>
      </w:r>
      <w:r>
        <w:rPr>
          <w:rFonts w:hint="default"/>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mg/m³</w:t>
      </w:r>
      <w:r>
        <w:rPr>
          <w:rFonts w:hint="eastAsia"/>
          <w:color w:val="auto"/>
          <w:highlight w:val="none"/>
          <w:lang w:val="en-US" w:eastAsia="zh-CN"/>
        </w:rPr>
        <w:t>）</w:t>
      </w:r>
      <w:r>
        <w:rPr>
          <w:rFonts w:hint="default"/>
          <w:color w:val="auto"/>
          <w:highlight w:val="none"/>
          <w:lang w:val="en-US" w:eastAsia="zh-CN"/>
        </w:rPr>
        <w:t>。</w:t>
      </w:r>
      <w:r>
        <w:rPr>
          <w:rFonts w:hint="default"/>
          <w:color w:val="auto"/>
          <w:highlight w:val="none"/>
          <w:lang w:eastAsia="zh-CN"/>
        </w:rPr>
        <w:t>颗粒物</w:t>
      </w:r>
      <w:r>
        <w:rPr>
          <w:rFonts w:hint="eastAsia"/>
          <w:color w:val="auto"/>
          <w:highlight w:val="none"/>
          <w:lang w:val="en-US" w:eastAsia="zh-CN"/>
        </w:rPr>
        <w:t>厂界无组织排放满足</w:t>
      </w:r>
      <w:r>
        <w:rPr>
          <w:rFonts w:hint="default"/>
          <w:color w:val="auto"/>
          <w:highlight w:val="none"/>
          <w:lang w:eastAsia="zh-CN"/>
        </w:rPr>
        <w:t>《大气污染物综合排放标准》（GB 16297-1996）表2</w:t>
      </w:r>
      <w:r>
        <w:rPr>
          <w:rFonts w:hint="default"/>
          <w:color w:val="auto"/>
          <w:highlight w:val="none"/>
          <w:lang w:val="en-US" w:eastAsia="zh-CN"/>
        </w:rPr>
        <w:t>（</w:t>
      </w:r>
      <w:r>
        <w:rPr>
          <w:rFonts w:hint="eastAsia"/>
          <w:color w:val="auto"/>
          <w:highlight w:val="none"/>
          <w:lang w:val="en-US" w:eastAsia="zh-CN"/>
        </w:rPr>
        <w:t>颗粒物</w:t>
      </w:r>
      <w:r>
        <w:rPr>
          <w:rFonts w:hint="default"/>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mg/m</w:t>
      </w:r>
      <w:r>
        <w:rPr>
          <w:rFonts w:hint="eastAsia"/>
          <w:color w:val="auto"/>
          <w:highlight w:val="none"/>
          <w:vertAlign w:val="superscript"/>
          <w:lang w:val="en-US" w:eastAsia="zh-CN"/>
        </w:rPr>
        <w:t>3</w:t>
      </w:r>
      <w:r>
        <w:rPr>
          <w:rFonts w:hint="eastAsia"/>
          <w:color w:val="auto"/>
          <w:highlight w:val="none"/>
          <w:lang w:val="en-US" w:eastAsia="zh-CN"/>
        </w:rPr>
        <w:t>）。其中，塑料破碎工序颗粒物无组织排放满足《合成树脂工业污染物排放标准》（GB 31572-2015）表9企业边界大气污染物浓度限值要求（颗粒物≤1.0mg/m³），该限值与《大气污染物综合排放标准》（GB 16297-1996）表2中颗粒物无组织排放限值一致，按从严原则统一执行1.0mg/m³。</w:t>
      </w:r>
    </w:p>
    <w:p w14:paraId="79C76DF9">
      <w:pPr>
        <w:bidi w:val="0"/>
        <w:rPr>
          <w:rFonts w:hint="eastAsia"/>
          <w:color w:val="auto"/>
          <w:highlight w:val="none"/>
          <w:lang w:eastAsia="zh-CN"/>
        </w:rPr>
      </w:pPr>
      <w:r>
        <w:rPr>
          <w:rFonts w:hint="default"/>
          <w:color w:val="auto"/>
          <w:highlight w:val="none"/>
          <w:lang w:eastAsia="zh-CN"/>
        </w:rPr>
        <w:t>③</w:t>
      </w:r>
      <w:r>
        <w:rPr>
          <w:rFonts w:hint="eastAsia"/>
          <w:color w:val="auto"/>
          <w:highlight w:val="none"/>
          <w:lang w:val="en-US" w:eastAsia="zh-CN"/>
        </w:rPr>
        <w:t>热洁炉</w:t>
      </w:r>
      <w:r>
        <w:rPr>
          <w:rFonts w:hint="eastAsia"/>
          <w:color w:val="auto"/>
          <w:highlight w:val="none"/>
          <w:lang w:eastAsia="zh-CN"/>
        </w:rPr>
        <w:t>废气</w:t>
      </w:r>
    </w:p>
    <w:p w14:paraId="32B05EAD">
      <w:pPr>
        <w:bidi w:val="0"/>
        <w:rPr>
          <w:rFonts w:hint="eastAsia"/>
          <w:color w:val="auto"/>
          <w:highlight w:val="none"/>
          <w:lang w:eastAsia="zh-CN"/>
        </w:rPr>
      </w:pPr>
      <w:r>
        <w:rPr>
          <w:rFonts w:hint="eastAsia"/>
          <w:color w:val="auto"/>
          <w:highlight w:val="none"/>
          <w:lang w:val="en-US" w:eastAsia="zh-CN"/>
        </w:rPr>
        <w:t>A.有组织排放</w:t>
      </w:r>
    </w:p>
    <w:p w14:paraId="7FD42B06">
      <w:pPr>
        <w:keepNext w:val="0"/>
        <w:keepLines w:val="0"/>
        <w:pageBreakBefore w:val="0"/>
        <w:widowControl w:val="0"/>
        <w:kinsoku/>
        <w:wordWrap w:val="0"/>
        <w:overflowPunct/>
        <w:topLinePunct w:val="0"/>
        <w:autoSpaceDE/>
        <w:autoSpaceDN/>
        <w:bidi w:val="0"/>
        <w:adjustRightInd/>
        <w:snapToGrid/>
        <w:textAlignment w:val="auto"/>
        <w:rPr>
          <w:rFonts w:hint="default"/>
          <w:color w:val="auto"/>
          <w:highlight w:val="none"/>
          <w:lang w:val="en-US" w:eastAsia="zh-CN"/>
        </w:rPr>
      </w:pPr>
      <w:r>
        <w:rPr>
          <w:rFonts w:hint="eastAsia"/>
          <w:color w:val="auto"/>
          <w:highlight w:val="none"/>
          <w:lang w:val="en-US" w:eastAsia="zh-CN"/>
        </w:rPr>
        <w:t>热洁炉</w:t>
      </w:r>
      <w:r>
        <w:rPr>
          <w:rFonts w:hint="eastAsia"/>
          <w:color w:val="auto"/>
          <w:highlight w:val="none"/>
          <w:lang w:eastAsia="zh-CN"/>
        </w:rPr>
        <w:t>废气经“</w:t>
      </w:r>
      <w:r>
        <w:rPr>
          <w:rFonts w:hint="eastAsia"/>
          <w:color w:val="auto"/>
          <w:highlight w:val="none"/>
          <w:lang w:val="en-US" w:eastAsia="zh-CN"/>
        </w:rPr>
        <w:t>二燃室</w:t>
      </w:r>
      <w:r>
        <w:rPr>
          <w:rFonts w:hint="eastAsia"/>
          <w:color w:val="auto"/>
          <w:highlight w:val="none"/>
          <w:lang w:eastAsia="zh-CN"/>
        </w:rPr>
        <w:t>”处理，通过20m高排气筒（</w:t>
      </w:r>
      <w:r>
        <w:rPr>
          <w:rFonts w:hint="eastAsia"/>
          <w:color w:val="auto"/>
          <w:highlight w:val="none"/>
          <w:lang w:val="en-US" w:eastAsia="zh-CN"/>
        </w:rPr>
        <w:t>DA006</w:t>
      </w:r>
      <w:r>
        <w:rPr>
          <w:rFonts w:hint="eastAsia"/>
          <w:color w:val="auto"/>
          <w:highlight w:val="none"/>
          <w:lang w:eastAsia="zh-CN"/>
        </w:rPr>
        <w:t>）排放。根据预测结果，非甲烷总烃</w:t>
      </w:r>
      <w:r>
        <w:rPr>
          <w:rFonts w:hint="eastAsia"/>
          <w:color w:val="auto"/>
          <w:highlight w:val="none"/>
          <w:lang w:val="en-US" w:eastAsia="zh-CN"/>
        </w:rPr>
        <w:t>有组织</w:t>
      </w:r>
      <w:r>
        <w:rPr>
          <w:rFonts w:hint="eastAsia"/>
          <w:color w:val="auto"/>
          <w:highlight w:val="none"/>
          <w:lang w:eastAsia="zh-CN"/>
        </w:rPr>
        <w:t>排放满足《工业涂装工序挥发性有机物排放标准》（DB35/1783-2018）表1中“</w:t>
      </w:r>
      <w:r>
        <w:rPr>
          <w:rFonts w:hint="eastAsia"/>
          <w:color w:val="auto"/>
          <w:highlight w:val="none"/>
          <w:lang w:val="en-US" w:eastAsia="zh-CN"/>
        </w:rPr>
        <w:t>汽车整车制造</w:t>
      </w:r>
      <w:r>
        <w:rPr>
          <w:rFonts w:hint="eastAsia"/>
          <w:color w:val="auto"/>
          <w:highlight w:val="none"/>
          <w:lang w:eastAsia="zh-CN"/>
        </w:rPr>
        <w:t>”限值要求（</w:t>
      </w:r>
      <w:r>
        <w:rPr>
          <w:rFonts w:hint="default"/>
          <w:color w:val="auto"/>
          <w:highlight w:val="none"/>
          <w:lang w:eastAsia="zh-CN"/>
        </w:rPr>
        <w:t>非甲烷总烃≤50mg/m</w:t>
      </w:r>
      <w:r>
        <w:rPr>
          <w:rFonts w:hint="eastAsia"/>
          <w:color w:val="auto"/>
          <w:highlight w:val="none"/>
          <w:vertAlign w:val="superscript"/>
          <w:lang w:val="en-US" w:eastAsia="zh-CN"/>
        </w:rPr>
        <w:t>3</w:t>
      </w:r>
      <w:r>
        <w:rPr>
          <w:rFonts w:hint="eastAsia"/>
          <w:color w:val="auto"/>
          <w:highlight w:val="none"/>
          <w:vertAlign w:val="baseline"/>
          <w:lang w:val="en-US" w:eastAsia="zh-CN"/>
        </w:rPr>
        <w:t>（4.0kg/h）</w:t>
      </w:r>
      <w:r>
        <w:rPr>
          <w:rFonts w:hint="eastAsia"/>
          <w:color w:val="auto"/>
          <w:highlight w:val="none"/>
          <w:lang w:eastAsia="zh-CN"/>
        </w:rPr>
        <w:t>）。颗粒物、二氧化硫、氮氧化物排放浓度满足《福建省工业炉窑大气污染综合治理方案》（闽环保大气〔2019〕10号）鼓励排放限值（颗粒物≤30mg/m³、SO</w:t>
      </w:r>
      <w:r>
        <w:rPr>
          <w:rFonts w:hint="eastAsia"/>
          <w:color w:val="auto"/>
          <w:highlight w:val="none"/>
          <w:vertAlign w:val="subscript"/>
          <w:lang w:val="en-US" w:eastAsia="zh-CN"/>
        </w:rPr>
        <w:t>2</w:t>
      </w:r>
      <w:r>
        <w:rPr>
          <w:rFonts w:hint="eastAsia"/>
          <w:color w:val="auto"/>
          <w:highlight w:val="none"/>
          <w:lang w:eastAsia="zh-CN"/>
        </w:rPr>
        <w:t>≤200mg/m³、NOx≤300mg/m³）；烟气黑度执行《工业炉窑大气污染物排放标准》（GB9078-1996）表2限值（烟气黑度≤1级）。</w:t>
      </w:r>
    </w:p>
    <w:p w14:paraId="58B2849C">
      <w:pPr>
        <w:bidi w:val="0"/>
        <w:rPr>
          <w:rFonts w:hint="eastAsia"/>
          <w:color w:val="auto"/>
          <w:highlight w:val="none"/>
          <w:lang w:eastAsia="zh-CN"/>
        </w:rPr>
      </w:pPr>
      <w:r>
        <w:rPr>
          <w:rFonts w:hint="default"/>
          <w:color w:val="auto"/>
          <w:highlight w:val="none"/>
          <w:lang w:eastAsia="zh-CN"/>
        </w:rPr>
        <w:t>④</w:t>
      </w:r>
      <w:r>
        <w:rPr>
          <w:rFonts w:hint="eastAsia"/>
          <w:color w:val="auto"/>
          <w:highlight w:val="none"/>
          <w:lang w:eastAsia="zh-CN"/>
        </w:rPr>
        <w:t>注塑工序废气</w:t>
      </w:r>
    </w:p>
    <w:p w14:paraId="01029ED3">
      <w:pPr>
        <w:bidi w:val="0"/>
        <w:rPr>
          <w:rFonts w:hint="eastAsia"/>
          <w:color w:val="auto"/>
          <w:highlight w:val="none"/>
          <w:lang w:eastAsia="zh-CN"/>
        </w:rPr>
      </w:pPr>
      <w:r>
        <w:rPr>
          <w:rFonts w:hint="eastAsia"/>
          <w:color w:val="auto"/>
          <w:highlight w:val="none"/>
          <w:lang w:val="en-US" w:eastAsia="zh-CN"/>
        </w:rPr>
        <w:t>A.有组织排放</w:t>
      </w:r>
    </w:p>
    <w:p w14:paraId="3A850523">
      <w:pPr>
        <w:bidi w:val="0"/>
        <w:rPr>
          <w:rFonts w:hint="eastAsia"/>
          <w:color w:val="auto"/>
          <w:highlight w:val="none"/>
          <w:lang w:eastAsia="zh-CN"/>
        </w:rPr>
      </w:pPr>
      <w:r>
        <w:rPr>
          <w:rFonts w:hint="eastAsia"/>
          <w:color w:val="auto"/>
          <w:highlight w:val="none"/>
          <w:lang w:eastAsia="zh-CN"/>
        </w:rPr>
        <w:t>注塑工序有机废气及臭气经设备直连管道收集后，由“二级活性炭吸附”处理，通过20m高排气筒排放。根据预测结果，非甲烷总烃</w:t>
      </w:r>
      <w:r>
        <w:rPr>
          <w:rFonts w:hint="eastAsia"/>
          <w:color w:val="auto"/>
          <w:highlight w:val="none"/>
          <w:lang w:val="en-US" w:eastAsia="zh-CN"/>
        </w:rPr>
        <w:t>有组织</w:t>
      </w:r>
      <w:r>
        <w:rPr>
          <w:rFonts w:hint="eastAsia"/>
          <w:color w:val="auto"/>
          <w:highlight w:val="none"/>
          <w:lang w:eastAsia="zh-CN"/>
        </w:rPr>
        <w:t>排放浓度满足《合成树脂工业污染物排放标准》（GB31572-2015）</w:t>
      </w:r>
      <w:r>
        <w:rPr>
          <w:rFonts w:hint="eastAsia"/>
          <w:color w:val="auto"/>
          <w:highlight w:val="none"/>
          <w:lang w:val="en-US" w:eastAsia="zh-CN"/>
        </w:rPr>
        <w:t>及</w:t>
      </w:r>
      <w:r>
        <w:rPr>
          <w:rFonts w:hint="eastAsia"/>
          <w:color w:val="auto"/>
          <w:highlight w:val="none"/>
          <w:lang w:eastAsia="zh-CN"/>
        </w:rPr>
        <w:t>2024年修改单要求中表</w:t>
      </w:r>
      <w:r>
        <w:rPr>
          <w:rFonts w:hint="eastAsia"/>
          <w:color w:val="auto"/>
          <w:highlight w:val="none"/>
          <w:lang w:val="en-US" w:eastAsia="zh-CN"/>
        </w:rPr>
        <w:t>4</w:t>
      </w:r>
      <w:r>
        <w:rPr>
          <w:rFonts w:hint="eastAsia"/>
          <w:color w:val="auto"/>
          <w:highlight w:val="none"/>
          <w:lang w:eastAsia="zh-CN"/>
        </w:rPr>
        <w:t>排放限值（非甲烷总烃≤</w:t>
      </w:r>
      <w:r>
        <w:rPr>
          <w:rFonts w:hint="eastAsia"/>
          <w:color w:val="auto"/>
          <w:highlight w:val="none"/>
          <w:lang w:val="en-US" w:eastAsia="zh-CN"/>
        </w:rPr>
        <w:t>10</w:t>
      </w:r>
      <w:r>
        <w:rPr>
          <w:rFonts w:hint="eastAsia"/>
          <w:color w:val="auto"/>
          <w:highlight w:val="none"/>
          <w:lang w:eastAsia="zh-CN"/>
        </w:rPr>
        <w:t>0mg/m³），</w:t>
      </w:r>
      <w:r>
        <w:rPr>
          <w:rFonts w:hint="eastAsia"/>
          <w:color w:val="auto"/>
          <w:highlight w:val="none"/>
          <w:lang w:val="en-US" w:eastAsia="zh-CN"/>
        </w:rPr>
        <w:t>臭气浓度有组织排放满足《恶臭污染物排放标准》（GB14554-93）表2排放标准（臭气浓度</w:t>
      </w:r>
      <w:r>
        <w:rPr>
          <w:rFonts w:hint="eastAsia"/>
          <w:color w:val="auto"/>
          <w:highlight w:val="none"/>
          <w:lang w:eastAsia="zh-CN"/>
        </w:rPr>
        <w:t>≤</w:t>
      </w:r>
      <w:r>
        <w:rPr>
          <w:rFonts w:hint="eastAsia"/>
          <w:color w:val="auto"/>
          <w:highlight w:val="none"/>
          <w:lang w:val="en-US" w:eastAsia="zh-CN"/>
        </w:rPr>
        <w:t>6000（无量纲）），</w:t>
      </w:r>
      <w:r>
        <w:rPr>
          <w:rFonts w:hint="eastAsia"/>
          <w:color w:val="auto"/>
          <w:highlight w:val="none"/>
          <w:lang w:eastAsia="zh-CN"/>
        </w:rPr>
        <w:t>达标排放可行。</w:t>
      </w:r>
    </w:p>
    <w:p w14:paraId="36498B53">
      <w:pPr>
        <w:bidi w:val="0"/>
        <w:rPr>
          <w:rFonts w:hint="default"/>
          <w:color w:val="auto"/>
          <w:highlight w:val="none"/>
          <w:lang w:val="en-US" w:eastAsia="zh-CN"/>
        </w:rPr>
      </w:pPr>
      <w:r>
        <w:rPr>
          <w:rFonts w:hint="eastAsia"/>
          <w:color w:val="auto"/>
          <w:highlight w:val="none"/>
          <w:lang w:val="en-US" w:eastAsia="zh-CN"/>
        </w:rPr>
        <w:t>B.无组织排放</w:t>
      </w:r>
    </w:p>
    <w:p w14:paraId="68040962">
      <w:pPr>
        <w:bidi w:val="0"/>
        <w:rPr>
          <w:rFonts w:hint="eastAsia"/>
          <w:color w:val="auto"/>
          <w:highlight w:val="none"/>
          <w:lang w:eastAsia="zh-CN"/>
        </w:rPr>
      </w:pPr>
      <w:r>
        <w:rPr>
          <w:rFonts w:hint="default"/>
          <w:color w:val="auto"/>
          <w:highlight w:val="none"/>
          <w:lang w:val="en-US" w:eastAsia="zh-CN"/>
        </w:rPr>
        <w:t>非甲烷总烃</w:t>
      </w:r>
      <w:r>
        <w:rPr>
          <w:rFonts w:hint="eastAsia"/>
          <w:color w:val="auto"/>
          <w:highlight w:val="none"/>
          <w:lang w:val="en-US" w:eastAsia="zh-CN"/>
        </w:rPr>
        <w:t>厂区内无组织排放同时满足</w:t>
      </w:r>
      <w:r>
        <w:rPr>
          <w:rFonts w:hint="default"/>
          <w:color w:val="auto"/>
          <w:highlight w:val="none"/>
          <w:lang w:eastAsia="zh-CN"/>
        </w:rPr>
        <w:t>《工业涂装工序挥发性有机物排放标准》（DB35/1783-2018）表</w:t>
      </w:r>
      <w:r>
        <w:rPr>
          <w:rFonts w:hint="eastAsia"/>
          <w:color w:val="auto"/>
          <w:highlight w:val="none"/>
          <w:lang w:val="en-US" w:eastAsia="zh-CN"/>
        </w:rPr>
        <w:t>3</w:t>
      </w:r>
      <w:r>
        <w:rPr>
          <w:rFonts w:hint="eastAsia" w:cs="Times New Roman"/>
          <w:color w:val="auto"/>
          <w:highlight w:val="none"/>
          <w:lang w:val="en-US" w:eastAsia="zh-CN"/>
        </w:rPr>
        <w:t>（监控点处1h平均浓度值≤8mg/m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）及</w:t>
      </w:r>
      <w:r>
        <w:rPr>
          <w:rFonts w:hint="eastAsia" w:cs="Times New Roman"/>
          <w:color w:val="auto"/>
          <w:highlight w:val="none"/>
          <w:lang w:val="en-US" w:eastAsia="zh-CN"/>
        </w:rPr>
        <w:t>《挥发性有机物无组织排放控制标准》（GB37822-2019）附录A中表A.1排放限值要求（任意一次浓度值≤30mg/m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w:t>
      </w:r>
      <w:r>
        <w:rPr>
          <w:rFonts w:hint="eastAsia"/>
          <w:color w:val="auto"/>
          <w:highlight w:val="none"/>
          <w:lang w:eastAsia="zh-CN"/>
        </w:rPr>
        <w:t>。</w:t>
      </w:r>
      <w:r>
        <w:rPr>
          <w:rFonts w:hint="eastAsia"/>
          <w:color w:val="auto"/>
          <w:highlight w:val="none"/>
          <w:lang w:val="en-US" w:eastAsia="zh-CN"/>
        </w:rPr>
        <w:t>臭气浓度无组织排放满足《恶臭污染物排放标准》（GB14554-93）表1二级新改扩建排放标准（臭气浓度</w:t>
      </w:r>
      <w:r>
        <w:rPr>
          <w:rFonts w:hint="eastAsia"/>
          <w:color w:val="auto"/>
          <w:highlight w:val="none"/>
          <w:lang w:eastAsia="zh-CN"/>
        </w:rPr>
        <w:t>≤</w:t>
      </w:r>
      <w:r>
        <w:rPr>
          <w:rFonts w:hint="eastAsia"/>
          <w:color w:val="auto"/>
          <w:highlight w:val="none"/>
          <w:lang w:val="en-US" w:eastAsia="zh-CN"/>
        </w:rPr>
        <w:t>20（无量纲））。</w:t>
      </w:r>
    </w:p>
    <w:p w14:paraId="3C03F6A5">
      <w:pPr>
        <w:bidi w:val="0"/>
        <w:rPr>
          <w:rFonts w:hint="eastAsia"/>
          <w:color w:val="auto"/>
          <w:highlight w:val="none"/>
          <w:lang w:eastAsia="zh-CN"/>
        </w:rPr>
      </w:pPr>
      <w:r>
        <w:rPr>
          <w:rFonts w:hint="eastAsia"/>
          <w:color w:val="auto"/>
          <w:highlight w:val="none"/>
          <w:lang w:eastAsia="zh-CN"/>
        </w:rPr>
        <w:t>（2）天然气燃烧废气达标可行性</w:t>
      </w:r>
    </w:p>
    <w:p w14:paraId="53D1D613">
      <w:pPr>
        <w:bidi w:val="0"/>
        <w:rPr>
          <w:rFonts w:hint="eastAsia"/>
          <w:color w:val="auto"/>
          <w:highlight w:val="none"/>
          <w:lang w:eastAsia="zh-CN"/>
        </w:rPr>
      </w:pPr>
      <w:r>
        <w:rPr>
          <w:rFonts w:hint="default"/>
          <w:color w:val="auto"/>
          <w:highlight w:val="none"/>
          <w:lang w:eastAsia="zh-CN"/>
        </w:rPr>
        <w:t>①</w:t>
      </w:r>
      <w:r>
        <w:rPr>
          <w:rFonts w:hint="eastAsia"/>
          <w:color w:val="auto"/>
          <w:highlight w:val="none"/>
          <w:lang w:eastAsia="zh-CN"/>
        </w:rPr>
        <w:t>热水炉天然气燃烧废气</w:t>
      </w:r>
    </w:p>
    <w:p w14:paraId="20FC00F1">
      <w:pPr>
        <w:bidi w:val="0"/>
        <w:rPr>
          <w:rFonts w:hint="eastAsia"/>
          <w:color w:val="auto"/>
          <w:highlight w:val="none"/>
          <w:lang w:eastAsia="zh-CN"/>
        </w:rPr>
      </w:pPr>
      <w:r>
        <w:rPr>
          <w:rFonts w:hint="eastAsia"/>
          <w:color w:val="auto"/>
          <w:highlight w:val="none"/>
          <w:lang w:eastAsia="zh-CN"/>
        </w:rPr>
        <w:t>热水炉</w:t>
      </w:r>
      <w:r>
        <w:rPr>
          <w:rFonts w:hint="eastAsia"/>
          <w:color w:val="auto"/>
          <w:highlight w:val="none"/>
          <w:lang w:val="en-US" w:eastAsia="zh-CN"/>
        </w:rPr>
        <w:t>采样</w:t>
      </w:r>
      <w:r>
        <w:rPr>
          <w:rFonts w:hint="eastAsia"/>
          <w:color w:val="auto"/>
          <w:highlight w:val="none"/>
          <w:lang w:eastAsia="zh-CN"/>
        </w:rPr>
        <w:t>低氮燃烧</w:t>
      </w:r>
      <w:r>
        <w:rPr>
          <w:rFonts w:hint="eastAsia"/>
          <w:color w:val="auto"/>
          <w:highlight w:val="none"/>
          <w:lang w:val="en-US" w:eastAsia="zh-CN"/>
        </w:rPr>
        <w:t>产生的废气</w:t>
      </w:r>
      <w:r>
        <w:rPr>
          <w:rFonts w:hint="eastAsia"/>
          <w:color w:val="auto"/>
          <w:highlight w:val="none"/>
          <w:lang w:eastAsia="zh-CN"/>
        </w:rPr>
        <w:t>由不低于8m高排气筒（DA005）排放。根据预测结果，颗粒物、二氧化硫、氮氧化物</w:t>
      </w:r>
      <w:r>
        <w:rPr>
          <w:rFonts w:hint="eastAsia"/>
          <w:color w:val="auto"/>
          <w:highlight w:val="none"/>
          <w:lang w:val="en-US" w:eastAsia="zh-CN"/>
        </w:rPr>
        <w:t>和烟气黑度</w:t>
      </w:r>
      <w:r>
        <w:rPr>
          <w:rFonts w:hint="eastAsia"/>
          <w:color w:val="auto"/>
          <w:highlight w:val="none"/>
          <w:lang w:eastAsia="zh-CN"/>
        </w:rPr>
        <w:t>排放浓度均满足</w:t>
      </w:r>
      <w:r>
        <w:rPr>
          <w:rFonts w:hint="eastAsia"/>
          <w:color w:val="auto"/>
          <w:highlight w:val="none"/>
          <w:lang w:val="en-US" w:eastAsia="zh-CN"/>
        </w:rPr>
        <w:t>《锅炉大气污染物排放标准》（GB13271-2014）表2燃气锅炉排放限值（颗粒物≤20mg/m</w:t>
      </w:r>
      <w:r>
        <w:rPr>
          <w:rFonts w:hint="eastAsia"/>
          <w:color w:val="auto"/>
          <w:highlight w:val="none"/>
          <w:vertAlign w:val="superscript"/>
          <w:lang w:val="en-US" w:eastAsia="zh-CN"/>
        </w:rPr>
        <w:t>3</w:t>
      </w:r>
      <w:r>
        <w:rPr>
          <w:rFonts w:hint="eastAsia"/>
          <w:color w:val="auto"/>
          <w:highlight w:val="none"/>
          <w:lang w:val="en-US" w:eastAsia="zh-CN"/>
        </w:rPr>
        <w:t>、二氧化硫≤50mg/m</w:t>
      </w:r>
      <w:r>
        <w:rPr>
          <w:rFonts w:hint="eastAsia"/>
          <w:color w:val="auto"/>
          <w:highlight w:val="none"/>
          <w:vertAlign w:val="superscript"/>
          <w:lang w:val="en-US" w:eastAsia="zh-CN"/>
        </w:rPr>
        <w:t>3</w:t>
      </w:r>
      <w:r>
        <w:rPr>
          <w:rFonts w:hint="eastAsia"/>
          <w:color w:val="auto"/>
          <w:highlight w:val="none"/>
          <w:lang w:val="en-US" w:eastAsia="zh-CN"/>
        </w:rPr>
        <w:t>、氮氧化物≤200mg/m</w:t>
      </w:r>
      <w:r>
        <w:rPr>
          <w:rFonts w:hint="eastAsia"/>
          <w:color w:val="auto"/>
          <w:highlight w:val="none"/>
          <w:vertAlign w:val="superscript"/>
          <w:lang w:val="en-US" w:eastAsia="zh-CN"/>
        </w:rPr>
        <w:t>3</w:t>
      </w:r>
      <w:r>
        <w:rPr>
          <w:rFonts w:hint="eastAsia"/>
          <w:color w:val="auto"/>
          <w:highlight w:val="none"/>
          <w:lang w:val="en-US" w:eastAsia="zh-CN"/>
        </w:rPr>
        <w:t>、烟气黑度</w:t>
      </w:r>
      <w:r>
        <w:rPr>
          <w:rFonts w:hint="eastAsia"/>
          <w:b w:val="0"/>
          <w:bCs w:val="0"/>
          <w:color w:val="auto"/>
          <w:highlight w:val="none"/>
          <w:lang w:val="en-US" w:eastAsia="zh-CN"/>
        </w:rPr>
        <w:t>≤1级</w:t>
      </w:r>
      <w:r>
        <w:rPr>
          <w:rFonts w:hint="eastAsia"/>
          <w:color w:val="auto"/>
          <w:highlight w:val="none"/>
          <w:lang w:val="en-US" w:eastAsia="zh-CN"/>
        </w:rPr>
        <w:t>）</w:t>
      </w:r>
      <w:r>
        <w:rPr>
          <w:rFonts w:hint="eastAsia"/>
          <w:color w:val="auto"/>
          <w:highlight w:val="none"/>
          <w:lang w:eastAsia="zh-CN"/>
        </w:rPr>
        <w:t>，达标排放可行。</w:t>
      </w:r>
    </w:p>
    <w:p w14:paraId="7D004937">
      <w:pPr>
        <w:bidi w:val="0"/>
        <w:rPr>
          <w:rFonts w:hint="eastAsia"/>
          <w:color w:val="auto"/>
          <w:highlight w:val="none"/>
          <w:lang w:eastAsia="zh-CN"/>
        </w:rPr>
      </w:pPr>
      <w:r>
        <w:rPr>
          <w:rFonts w:hint="eastAsia"/>
          <w:color w:val="auto"/>
          <w:highlight w:val="none"/>
          <w:lang w:eastAsia="zh-CN"/>
        </w:rPr>
        <w:t>②固化炉天然气燃烧废气</w:t>
      </w:r>
    </w:p>
    <w:p w14:paraId="192673B3">
      <w:pPr>
        <w:keepNext w:val="0"/>
        <w:keepLines w:val="0"/>
        <w:pageBreakBefore w:val="0"/>
        <w:widowControl w:val="0"/>
        <w:kinsoku/>
        <w:wordWrap w:val="0"/>
        <w:overflowPunct/>
        <w:topLinePunct w:val="0"/>
        <w:autoSpaceDE/>
        <w:autoSpaceDN/>
        <w:bidi w:val="0"/>
        <w:adjustRightInd/>
        <w:snapToGrid/>
        <w:textAlignment w:val="auto"/>
        <w:rPr>
          <w:rFonts w:hint="eastAsia"/>
          <w:color w:val="auto"/>
          <w:highlight w:val="none"/>
          <w:lang w:eastAsia="zh-CN"/>
        </w:rPr>
      </w:pPr>
      <w:r>
        <w:rPr>
          <w:rFonts w:hint="eastAsia"/>
          <w:color w:val="auto"/>
          <w:highlight w:val="none"/>
          <w:lang w:eastAsia="zh-CN"/>
        </w:rPr>
        <w:t>固化炉天然气燃烧废气与</w:t>
      </w:r>
      <w:r>
        <w:rPr>
          <w:rFonts w:hint="eastAsia"/>
          <w:color w:val="auto"/>
          <w:highlight w:val="none"/>
          <w:lang w:val="en-US" w:eastAsia="zh-CN"/>
        </w:rPr>
        <w:t>烘干</w:t>
      </w:r>
      <w:r>
        <w:rPr>
          <w:rFonts w:hint="eastAsia"/>
          <w:color w:val="auto"/>
          <w:highlight w:val="none"/>
          <w:lang w:eastAsia="zh-CN"/>
        </w:rPr>
        <w:t>废气一并经管道收集，进入“干式纸盒+过滤棉过滤+RTO蓄热式焚烧炉”（TA001）处理，处理后的尾气经20m高排气筒（DA001）排放。根据预测结果，颗粒物、二氧化硫、氮氧化物排放浓度满足《福建省工业炉窑大气污染综合治理方案》（闽环保大气〔2019〕10号）鼓励排放限值（颗粒物≤30mg/m³、SO</w:t>
      </w:r>
      <w:r>
        <w:rPr>
          <w:rFonts w:hint="eastAsia"/>
          <w:color w:val="auto"/>
          <w:highlight w:val="none"/>
          <w:vertAlign w:val="subscript"/>
          <w:lang w:val="en-US" w:eastAsia="zh-CN"/>
        </w:rPr>
        <w:t>2</w:t>
      </w:r>
      <w:r>
        <w:rPr>
          <w:rFonts w:hint="eastAsia"/>
          <w:color w:val="auto"/>
          <w:highlight w:val="none"/>
          <w:lang w:eastAsia="zh-CN"/>
        </w:rPr>
        <w:t>≤200mg/m³、NOx≤300mg/m³）；烟气黑度执行《工业炉窑大气污染物排放标准》（GB9078-1996）表2限值（烟气黑度≤1级）。</w:t>
      </w:r>
    </w:p>
    <w:p w14:paraId="789E524F">
      <w:pPr>
        <w:bidi w:val="0"/>
        <w:rPr>
          <w:rFonts w:hint="eastAsia"/>
          <w:color w:val="auto"/>
          <w:highlight w:val="none"/>
          <w:lang w:eastAsia="zh-CN"/>
        </w:rPr>
      </w:pPr>
      <w:r>
        <w:rPr>
          <w:rFonts w:hint="eastAsia"/>
          <w:color w:val="auto"/>
          <w:highlight w:val="none"/>
          <w:lang w:eastAsia="zh-CN"/>
        </w:rPr>
        <w:t>③RTO焚烧炉天然气燃烧废气</w:t>
      </w:r>
    </w:p>
    <w:p w14:paraId="1858F053">
      <w:pPr>
        <w:bidi w:val="0"/>
        <w:rPr>
          <w:rFonts w:hint="eastAsia"/>
          <w:color w:val="auto"/>
          <w:highlight w:val="none"/>
          <w:lang w:eastAsia="zh-CN"/>
        </w:rPr>
      </w:pPr>
      <w:r>
        <w:rPr>
          <w:rFonts w:hint="eastAsia"/>
          <w:color w:val="auto"/>
          <w:highlight w:val="none"/>
          <w:lang w:eastAsia="zh-CN"/>
        </w:rPr>
        <w:t>RTO蓄热式焚烧炉以天然气为辅助燃料，天然气在RTO燃烧室内燃烧，燃烧产物随RTO净化尾气一并经20m高排气筒（DA001）排放。根据预测结果，颗粒物、二氧化硫、氮氧化物排放浓度满足《福建省工业炉窑大气污染综合治理方案》（闽环保大气〔2019〕10号）鼓励排放限值（颗粒物≤30mg/m³、SO</w:t>
      </w:r>
      <w:r>
        <w:rPr>
          <w:rFonts w:hint="eastAsia"/>
          <w:color w:val="auto"/>
          <w:highlight w:val="none"/>
          <w:vertAlign w:val="subscript"/>
          <w:lang w:val="en-US" w:eastAsia="zh-CN"/>
        </w:rPr>
        <w:t>2</w:t>
      </w:r>
      <w:r>
        <w:rPr>
          <w:rFonts w:hint="eastAsia"/>
          <w:color w:val="auto"/>
          <w:highlight w:val="none"/>
          <w:lang w:eastAsia="zh-CN"/>
        </w:rPr>
        <w:t>≤200mg/m³、NOx≤300mg/m³）；烟气黑度执行《工业炉窑大气污染物排放标准》（GB9078-1996）表2限值（烟气黑度≤1级）。</w:t>
      </w:r>
    </w:p>
    <w:p w14:paraId="534443BF">
      <w:pPr>
        <w:bidi w:val="0"/>
        <w:rPr>
          <w:rFonts w:hint="eastAsia"/>
          <w:color w:val="auto"/>
          <w:highlight w:val="none"/>
          <w:lang w:eastAsia="zh-CN"/>
        </w:rPr>
      </w:pPr>
      <w:r>
        <w:rPr>
          <w:rFonts w:hint="eastAsia"/>
          <w:color w:val="auto"/>
          <w:highlight w:val="none"/>
          <w:lang w:eastAsia="zh-CN"/>
        </w:rPr>
        <w:t>（3）塑料粉碎粉尘达标可行性</w:t>
      </w:r>
    </w:p>
    <w:p w14:paraId="7A800C91">
      <w:pPr>
        <w:bidi w:val="0"/>
        <w:rPr>
          <w:rFonts w:hint="eastAsia"/>
          <w:color w:val="auto"/>
          <w:highlight w:val="none"/>
          <w:lang w:eastAsia="zh-CN"/>
        </w:rPr>
      </w:pPr>
      <w:r>
        <w:rPr>
          <w:rFonts w:hint="eastAsia"/>
          <w:color w:val="auto"/>
          <w:highlight w:val="none"/>
          <w:lang w:eastAsia="zh-CN"/>
        </w:rPr>
        <w:t>塑料粉碎废气经集气罩收集、布袋除尘器处理后无组织排放。根据预测结果，厂界颗粒物浓度满足《合成树脂工业污染物排放标准》（GB31572-2015）表9企业边界大气污染物浓度限值要求（</w:t>
      </w:r>
      <w:r>
        <w:rPr>
          <w:rFonts w:hint="eastAsia"/>
          <w:color w:val="auto"/>
          <w:highlight w:val="none"/>
          <w:lang w:val="en-US" w:eastAsia="zh-CN"/>
        </w:rPr>
        <w:t>颗粒物</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0mg/m³），对周边环境影响较小，达标排放可行。</w:t>
      </w:r>
    </w:p>
    <w:p w14:paraId="38193710">
      <w:pPr>
        <w:pStyle w:val="4"/>
        <w:numPr>
          <w:ilvl w:val="0"/>
          <w:numId w:val="0"/>
        </w:numPr>
        <w:tabs>
          <w:tab w:val="clear" w:pos="720"/>
        </w:tabs>
        <w:bidi w:val="0"/>
        <w:rPr>
          <w:color w:val="auto"/>
          <w:highlight w:val="none"/>
        </w:rPr>
      </w:pPr>
      <w:bookmarkStart w:id="877" w:name="_Toc455602463"/>
      <w:bookmarkEnd w:id="877"/>
      <w:bookmarkStart w:id="878" w:name="_Toc455602464"/>
      <w:bookmarkEnd w:id="878"/>
      <w:bookmarkStart w:id="879" w:name="_Toc455602418"/>
      <w:bookmarkEnd w:id="879"/>
      <w:bookmarkStart w:id="880" w:name="_Toc455602417"/>
      <w:bookmarkEnd w:id="880"/>
      <w:bookmarkStart w:id="881" w:name="_Toc455602488"/>
      <w:bookmarkEnd w:id="881"/>
      <w:bookmarkStart w:id="882" w:name="_Toc455602534"/>
      <w:bookmarkEnd w:id="882"/>
      <w:bookmarkStart w:id="883" w:name="_Toc455602425"/>
      <w:bookmarkEnd w:id="883"/>
      <w:bookmarkStart w:id="884" w:name="_Toc455602411"/>
      <w:bookmarkEnd w:id="884"/>
      <w:bookmarkStart w:id="885" w:name="_Toc455602415"/>
      <w:bookmarkEnd w:id="885"/>
      <w:bookmarkStart w:id="886" w:name="_Toc455602540"/>
      <w:bookmarkEnd w:id="886"/>
      <w:bookmarkStart w:id="887" w:name="_Toc455602424"/>
      <w:bookmarkEnd w:id="887"/>
      <w:bookmarkStart w:id="888" w:name="_Toc455602414"/>
      <w:bookmarkEnd w:id="888"/>
      <w:bookmarkStart w:id="889" w:name="_Toc455602533"/>
      <w:bookmarkEnd w:id="889"/>
      <w:bookmarkStart w:id="890" w:name="_Toc455602492"/>
      <w:bookmarkEnd w:id="890"/>
      <w:bookmarkStart w:id="891" w:name="_Toc455602486"/>
      <w:bookmarkEnd w:id="891"/>
      <w:bookmarkStart w:id="892" w:name="_Toc455602489"/>
      <w:bookmarkEnd w:id="892"/>
      <w:bookmarkStart w:id="893" w:name="_Toc456883667"/>
      <w:bookmarkEnd w:id="893"/>
      <w:bookmarkStart w:id="894" w:name="_Toc456883628"/>
      <w:bookmarkEnd w:id="894"/>
      <w:bookmarkStart w:id="895" w:name="_Toc455602409"/>
      <w:bookmarkEnd w:id="895"/>
      <w:bookmarkStart w:id="896" w:name="_Toc455602426"/>
      <w:bookmarkEnd w:id="896"/>
      <w:bookmarkStart w:id="897" w:name="_Toc455602491"/>
      <w:bookmarkEnd w:id="897"/>
      <w:bookmarkStart w:id="898" w:name="_Toc455602423"/>
      <w:bookmarkEnd w:id="898"/>
      <w:bookmarkStart w:id="899" w:name="_Toc455602416"/>
      <w:bookmarkEnd w:id="899"/>
      <w:bookmarkStart w:id="900" w:name="_Toc455602420"/>
      <w:bookmarkEnd w:id="900"/>
      <w:bookmarkStart w:id="901" w:name="_Toc455602465"/>
      <w:bookmarkEnd w:id="901"/>
      <w:bookmarkStart w:id="902" w:name="_Toc455602422"/>
      <w:bookmarkEnd w:id="902"/>
      <w:bookmarkStart w:id="903" w:name="_Toc455602528"/>
      <w:bookmarkEnd w:id="903"/>
      <w:bookmarkStart w:id="904" w:name="_Toc455602487"/>
      <w:bookmarkEnd w:id="904"/>
      <w:bookmarkStart w:id="905" w:name="_Toc455602485"/>
      <w:bookmarkEnd w:id="905"/>
      <w:bookmarkStart w:id="906" w:name="_Toc455602527"/>
      <w:bookmarkEnd w:id="906"/>
      <w:bookmarkStart w:id="907" w:name="_Toc455602410"/>
      <w:bookmarkEnd w:id="907"/>
      <w:bookmarkStart w:id="908" w:name="_Toc455602421"/>
      <w:bookmarkEnd w:id="908"/>
      <w:bookmarkStart w:id="909" w:name="_Toc455602484"/>
      <w:bookmarkEnd w:id="909"/>
      <w:bookmarkStart w:id="910" w:name="_Toc455602413"/>
      <w:bookmarkEnd w:id="910"/>
      <w:bookmarkStart w:id="911" w:name="_Toc455602532"/>
      <w:bookmarkEnd w:id="911"/>
      <w:bookmarkStart w:id="912" w:name="_Toc455602427"/>
      <w:bookmarkEnd w:id="912"/>
      <w:bookmarkStart w:id="913" w:name="_Toc456883629"/>
      <w:bookmarkEnd w:id="913"/>
      <w:bookmarkStart w:id="914" w:name="_Toc455602412"/>
      <w:bookmarkEnd w:id="914"/>
      <w:bookmarkStart w:id="915" w:name="_Toc455602490"/>
      <w:bookmarkEnd w:id="915"/>
      <w:bookmarkStart w:id="916" w:name="_Toc455602419"/>
      <w:bookmarkEnd w:id="916"/>
      <w:bookmarkStart w:id="917" w:name="_Toc1489"/>
      <w:bookmarkStart w:id="918" w:name="_Toc30717"/>
      <w:bookmarkStart w:id="919" w:name="_Toc23010"/>
      <w:bookmarkStart w:id="920" w:name="_Toc12399"/>
      <w:bookmarkStart w:id="921" w:name="_Toc5666"/>
      <w:bookmarkStart w:id="922" w:name="_Toc7100"/>
      <w:bookmarkStart w:id="923" w:name="_Toc27630"/>
      <w:bookmarkStart w:id="924" w:name="_Toc22869"/>
      <w:bookmarkStart w:id="925" w:name="_Toc22197"/>
      <w:r>
        <w:rPr>
          <w:rFonts w:hint="eastAsia"/>
          <w:color w:val="auto"/>
          <w:highlight w:val="none"/>
          <w:lang w:eastAsia="zh-CN"/>
        </w:rPr>
        <w:t>7.1</w:t>
      </w:r>
      <w:r>
        <w:rPr>
          <w:color w:val="auto"/>
          <w:highlight w:val="none"/>
        </w:rPr>
        <w:t>.3</w:t>
      </w:r>
      <w:r>
        <w:rPr>
          <w:rFonts w:hint="eastAsia"/>
          <w:color w:val="auto"/>
          <w:highlight w:val="none"/>
          <w:lang w:val="en-US" w:eastAsia="zh-CN"/>
        </w:rPr>
        <w:t xml:space="preserve"> </w:t>
      </w:r>
      <w:r>
        <w:rPr>
          <w:color w:val="auto"/>
          <w:highlight w:val="none"/>
        </w:rPr>
        <w:t>运营期噪声污染防治措施及可行性论证</w:t>
      </w:r>
      <w:bookmarkEnd w:id="917"/>
      <w:bookmarkEnd w:id="918"/>
      <w:bookmarkEnd w:id="919"/>
      <w:bookmarkEnd w:id="920"/>
      <w:bookmarkEnd w:id="921"/>
      <w:bookmarkEnd w:id="922"/>
      <w:bookmarkEnd w:id="923"/>
      <w:bookmarkEnd w:id="924"/>
      <w:bookmarkEnd w:id="925"/>
    </w:p>
    <w:p w14:paraId="5EB4AEF3">
      <w:pPr>
        <w:pStyle w:val="5"/>
        <w:numPr>
          <w:ilvl w:val="0"/>
          <w:numId w:val="0"/>
        </w:numPr>
        <w:bidi w:val="0"/>
        <w:ind w:leftChars="0"/>
        <w:rPr>
          <w:color w:val="auto"/>
          <w:highlight w:val="none"/>
        </w:rPr>
      </w:pPr>
      <w:r>
        <w:rPr>
          <w:rFonts w:hint="eastAsia"/>
          <w:color w:val="auto"/>
          <w:highlight w:val="none"/>
          <w:lang w:eastAsia="zh-CN"/>
        </w:rPr>
        <w:t>7.1</w:t>
      </w:r>
      <w:r>
        <w:rPr>
          <w:color w:val="auto"/>
          <w:highlight w:val="none"/>
        </w:rPr>
        <w:t>.3.1</w:t>
      </w:r>
      <w:r>
        <w:rPr>
          <w:rFonts w:hint="eastAsia"/>
          <w:color w:val="auto"/>
          <w:highlight w:val="none"/>
          <w:lang w:val="en-US" w:eastAsia="zh-CN"/>
        </w:rPr>
        <w:t xml:space="preserve"> </w:t>
      </w:r>
      <w:r>
        <w:rPr>
          <w:color w:val="auto"/>
          <w:highlight w:val="none"/>
        </w:rPr>
        <w:t>噪声污染防治措施</w:t>
      </w:r>
    </w:p>
    <w:p w14:paraId="72B8ECA5">
      <w:pPr>
        <w:bidi w:val="0"/>
        <w:rPr>
          <w:color w:val="auto"/>
          <w:highlight w:val="none"/>
        </w:rPr>
      </w:pPr>
      <w:r>
        <w:rPr>
          <w:rFonts w:hint="default"/>
          <w:color w:val="auto"/>
          <w:highlight w:val="none"/>
        </w:rPr>
        <w:t>（1）总图布置：合理布局，尽量将高噪声设备布置在车间中央或远离厂界的位置，利用建筑隔声减轻对厂界的影响。</w:t>
      </w:r>
    </w:p>
    <w:p w14:paraId="51227B48">
      <w:pPr>
        <w:bidi w:val="0"/>
        <w:rPr>
          <w:rFonts w:hint="default"/>
          <w:color w:val="auto"/>
          <w:highlight w:val="none"/>
        </w:rPr>
      </w:pPr>
      <w:r>
        <w:rPr>
          <w:rFonts w:hint="default"/>
          <w:color w:val="auto"/>
          <w:highlight w:val="none"/>
        </w:rPr>
        <w:t>（2）设备减振：对</w:t>
      </w:r>
      <w:r>
        <w:rPr>
          <w:rFonts w:hint="eastAsia"/>
          <w:color w:val="auto"/>
          <w:highlight w:val="none"/>
          <w:lang w:val="en-US" w:eastAsia="zh-CN"/>
        </w:rPr>
        <w:t>注塑机组、空压机、粉碎机、喷漆循环风空调机组、风机</w:t>
      </w:r>
      <w:r>
        <w:rPr>
          <w:rFonts w:hint="default"/>
          <w:color w:val="auto"/>
          <w:highlight w:val="none"/>
        </w:rPr>
        <w:t>等高噪声设备安装减振基础或</w:t>
      </w:r>
      <w:r>
        <w:rPr>
          <w:rFonts w:hint="eastAsia"/>
          <w:color w:val="auto"/>
          <w:highlight w:val="none"/>
          <w:lang w:eastAsia="zh-CN"/>
        </w:rPr>
        <w:t>减振</w:t>
      </w:r>
      <w:r>
        <w:rPr>
          <w:rFonts w:hint="default"/>
          <w:color w:val="auto"/>
          <w:highlight w:val="none"/>
        </w:rPr>
        <w:t>垫，设备与管道连接处采用柔性橡胶接头，降低振动传递和管道辐射噪声。</w:t>
      </w:r>
    </w:p>
    <w:p w14:paraId="0BA3A51A">
      <w:pPr>
        <w:bidi w:val="0"/>
        <w:rPr>
          <w:rFonts w:hint="eastAsia" w:eastAsia="宋体"/>
          <w:color w:val="auto"/>
          <w:highlight w:val="none"/>
          <w:lang w:eastAsia="zh-CN"/>
        </w:rPr>
      </w:pPr>
      <w:r>
        <w:rPr>
          <w:rFonts w:hint="default"/>
          <w:color w:val="auto"/>
          <w:highlight w:val="none"/>
        </w:rPr>
        <w:t>（3）消声隔声处理：</w:t>
      </w:r>
      <w:r>
        <w:rPr>
          <w:rFonts w:hint="eastAsia"/>
          <w:color w:val="auto"/>
          <w:highlight w:val="none"/>
          <w:lang w:val="en-US" w:eastAsia="zh-CN"/>
        </w:rPr>
        <w:t>注塑机组、空压机、粉碎机、喷漆循环风空调机组、风机</w:t>
      </w:r>
      <w:r>
        <w:rPr>
          <w:rFonts w:hint="default"/>
          <w:color w:val="auto"/>
          <w:highlight w:val="none"/>
        </w:rPr>
        <w:t>等设备安装消声器，采用抗性消声器或微穿孔板复合消声器，消声量可达20dB以上</w:t>
      </w:r>
      <w:r>
        <w:rPr>
          <w:rFonts w:hint="eastAsia"/>
          <w:color w:val="auto"/>
          <w:highlight w:val="none"/>
          <w:lang w:eastAsia="zh-CN"/>
        </w:rPr>
        <w:t>。</w:t>
      </w:r>
    </w:p>
    <w:p w14:paraId="7A9FCE98">
      <w:pPr>
        <w:bidi w:val="0"/>
        <w:rPr>
          <w:color w:val="auto"/>
          <w:highlight w:val="none"/>
        </w:rPr>
      </w:pPr>
      <w:r>
        <w:rPr>
          <w:rFonts w:hint="default"/>
          <w:color w:val="auto"/>
          <w:highlight w:val="none"/>
        </w:rPr>
        <w:t>对高噪声设备设置隔声室或通风隔声罩，隔声室采用砖混结构，配双层隔声观察窗和密封隔声门，室内天花板及墙壁设置吸声体（如聚氨酯泡沫塑料），降低混响声；对排气管道采用包扎阻尼或埋地敷设，减少噪声辐射。</w:t>
      </w:r>
    </w:p>
    <w:p w14:paraId="3C95F9CA">
      <w:pPr>
        <w:bidi w:val="0"/>
        <w:rPr>
          <w:rFonts w:hint="default"/>
          <w:color w:val="auto"/>
          <w:highlight w:val="none"/>
        </w:rPr>
      </w:pPr>
      <w:r>
        <w:rPr>
          <w:rFonts w:hint="default"/>
          <w:color w:val="auto"/>
          <w:highlight w:val="none"/>
        </w:rPr>
        <w:t>（4）源头控制：</w:t>
      </w:r>
    </w:p>
    <w:p w14:paraId="6AA66097">
      <w:pPr>
        <w:bidi w:val="0"/>
        <w:rPr>
          <w:color w:val="auto"/>
          <w:highlight w:val="none"/>
        </w:rPr>
      </w:pPr>
      <w:r>
        <w:rPr>
          <w:rFonts w:hint="default"/>
          <w:color w:val="auto"/>
          <w:highlight w:val="none"/>
        </w:rPr>
        <w:t>①优先选用低噪声、低振动设备；</w:t>
      </w:r>
    </w:p>
    <w:p w14:paraId="17CEF911">
      <w:pPr>
        <w:bidi w:val="0"/>
        <w:rPr>
          <w:color w:val="auto"/>
          <w:highlight w:val="none"/>
        </w:rPr>
      </w:pPr>
      <w:r>
        <w:rPr>
          <w:rFonts w:hint="default"/>
          <w:color w:val="auto"/>
          <w:highlight w:val="none"/>
        </w:rPr>
        <w:t>②加强设备维护管理，确保正常运行，防止因故障产生异常噪声；</w:t>
      </w:r>
    </w:p>
    <w:p w14:paraId="1C811919">
      <w:pPr>
        <w:bidi w:val="0"/>
        <w:rPr>
          <w:color w:val="auto"/>
          <w:highlight w:val="none"/>
        </w:rPr>
      </w:pPr>
      <w:r>
        <w:rPr>
          <w:rFonts w:hint="default"/>
          <w:color w:val="auto"/>
          <w:highlight w:val="none"/>
        </w:rPr>
        <w:t>③加强职工环保意识教育，文明生产，减少人为噪声。</w:t>
      </w:r>
    </w:p>
    <w:p w14:paraId="0CE976BF">
      <w:pPr>
        <w:pStyle w:val="5"/>
        <w:numPr>
          <w:ilvl w:val="0"/>
          <w:numId w:val="0"/>
        </w:numPr>
        <w:bidi w:val="0"/>
        <w:ind w:leftChars="0"/>
        <w:rPr>
          <w:color w:val="auto"/>
          <w:highlight w:val="none"/>
        </w:rPr>
      </w:pPr>
      <w:r>
        <w:rPr>
          <w:rFonts w:hint="eastAsia"/>
          <w:color w:val="auto"/>
          <w:highlight w:val="none"/>
          <w:lang w:eastAsia="zh-CN"/>
        </w:rPr>
        <w:t>7.1</w:t>
      </w:r>
      <w:r>
        <w:rPr>
          <w:color w:val="auto"/>
          <w:highlight w:val="none"/>
        </w:rPr>
        <w:t>.3.2</w:t>
      </w:r>
      <w:r>
        <w:rPr>
          <w:rFonts w:hint="eastAsia"/>
          <w:color w:val="auto"/>
          <w:highlight w:val="none"/>
          <w:lang w:val="en-US" w:eastAsia="zh-CN"/>
        </w:rPr>
        <w:t xml:space="preserve"> </w:t>
      </w:r>
      <w:r>
        <w:rPr>
          <w:color w:val="auto"/>
          <w:highlight w:val="none"/>
        </w:rPr>
        <w:t>噪声治理可行性分析</w:t>
      </w:r>
    </w:p>
    <w:p w14:paraId="07957D39">
      <w:pPr>
        <w:bidi w:val="0"/>
        <w:rPr>
          <w:color w:val="auto"/>
          <w:highlight w:val="none"/>
        </w:rPr>
      </w:pPr>
      <w:r>
        <w:rPr>
          <w:rFonts w:hint="default"/>
          <w:color w:val="auto"/>
          <w:highlight w:val="none"/>
        </w:rPr>
        <w:t>目前国内噪声控制技术成熟，</w:t>
      </w:r>
      <w:r>
        <w:rPr>
          <w:rFonts w:hint="eastAsia"/>
          <w:color w:val="auto"/>
          <w:highlight w:val="none"/>
          <w:lang w:val="en-US" w:eastAsia="zh-CN"/>
        </w:rPr>
        <w:t>注塑机组、空压机、粉碎机、喷漆循环风空调机组、风机</w:t>
      </w:r>
      <w:r>
        <w:rPr>
          <w:rFonts w:hint="default"/>
          <w:color w:val="auto"/>
          <w:highlight w:val="none"/>
        </w:rPr>
        <w:t>等设备的消声器、隔声罩、减振器等已有定型产品，消声效果显著。市场已有通过国家认证的低噪声风机等设备可供选用，技术上有可靠保障。</w:t>
      </w:r>
    </w:p>
    <w:p w14:paraId="2FE4C1C9">
      <w:pPr>
        <w:bidi w:val="0"/>
        <w:rPr>
          <w:rFonts w:hint="default"/>
          <w:color w:val="auto"/>
          <w:highlight w:val="none"/>
        </w:rPr>
      </w:pPr>
      <w:r>
        <w:rPr>
          <w:rFonts w:hint="default"/>
          <w:color w:val="auto"/>
          <w:highlight w:val="none"/>
        </w:rPr>
        <w:t>本项目通过</w:t>
      </w:r>
      <w:r>
        <w:rPr>
          <w:rFonts w:hint="eastAsia"/>
          <w:color w:val="auto"/>
          <w:highlight w:val="none"/>
          <w:lang w:val="en-US" w:eastAsia="zh-CN"/>
        </w:rPr>
        <w:t>选用低噪声设备、</w:t>
      </w:r>
      <w:r>
        <w:rPr>
          <w:rFonts w:hint="default"/>
          <w:color w:val="auto"/>
          <w:highlight w:val="none"/>
        </w:rPr>
        <w:t>合理布局、设备减振、消声隔声等综合措施，可有效降低噪声源强及传播</w:t>
      </w:r>
      <w:r>
        <w:rPr>
          <w:rFonts w:hint="eastAsia"/>
          <w:color w:val="auto"/>
          <w:highlight w:val="none"/>
          <w:lang w:eastAsia="zh-CN"/>
        </w:rPr>
        <w:t>，</w:t>
      </w:r>
      <w:r>
        <w:rPr>
          <w:rFonts w:hint="default"/>
          <w:color w:val="auto"/>
          <w:highlight w:val="none"/>
        </w:rPr>
        <w:t>车间外厂界噪声</w:t>
      </w:r>
      <w:r>
        <w:rPr>
          <w:rFonts w:hint="eastAsia"/>
          <w:color w:val="auto"/>
          <w:highlight w:val="none"/>
          <w:lang w:val="en-US" w:eastAsia="zh-CN"/>
        </w:rPr>
        <w:t>可满足</w:t>
      </w:r>
      <w:r>
        <w:rPr>
          <w:rFonts w:hint="default"/>
          <w:color w:val="auto"/>
          <w:highlight w:val="none"/>
        </w:rPr>
        <w:t>《工业企业厂界环境噪声排放标准》（GB 12348-2008）相应限值内。此外，厂区加强绿化，可进一步辅助降噪。综上，项目拟采取的噪声污染防治措施从技术和经济角度分析是合理可行的。</w:t>
      </w:r>
    </w:p>
    <w:p w14:paraId="2C8AC0DD">
      <w:pPr>
        <w:pStyle w:val="4"/>
        <w:numPr>
          <w:ilvl w:val="0"/>
          <w:numId w:val="0"/>
        </w:numPr>
        <w:tabs>
          <w:tab w:val="clear" w:pos="720"/>
        </w:tabs>
        <w:bidi w:val="0"/>
        <w:rPr>
          <w:color w:val="auto"/>
          <w:highlight w:val="none"/>
        </w:rPr>
      </w:pPr>
      <w:bookmarkStart w:id="926" w:name="_Toc455602551"/>
      <w:bookmarkEnd w:id="926"/>
      <w:bookmarkStart w:id="927" w:name="_Toc455602548"/>
      <w:bookmarkEnd w:id="927"/>
      <w:bookmarkStart w:id="928" w:name="_Toc455602543"/>
      <w:bookmarkEnd w:id="928"/>
      <w:bookmarkStart w:id="929" w:name="_Toc455602552"/>
      <w:bookmarkEnd w:id="929"/>
      <w:bookmarkStart w:id="930" w:name="_Toc455602544"/>
      <w:bookmarkEnd w:id="930"/>
      <w:bookmarkStart w:id="931" w:name="_Toc455602549"/>
      <w:bookmarkEnd w:id="931"/>
      <w:bookmarkStart w:id="932" w:name="_Toc455602547"/>
      <w:bookmarkEnd w:id="932"/>
      <w:bookmarkStart w:id="933" w:name="_Toc455602546"/>
      <w:bookmarkEnd w:id="933"/>
      <w:bookmarkStart w:id="934" w:name="_Toc455602542"/>
      <w:bookmarkEnd w:id="934"/>
      <w:bookmarkStart w:id="935" w:name="_Toc455602550"/>
      <w:bookmarkEnd w:id="935"/>
      <w:bookmarkStart w:id="936" w:name="_Toc455602553"/>
      <w:bookmarkEnd w:id="936"/>
      <w:bookmarkStart w:id="937" w:name="_Toc27798"/>
      <w:bookmarkStart w:id="938" w:name="_Toc6087"/>
      <w:bookmarkStart w:id="939" w:name="_Toc24482"/>
      <w:bookmarkStart w:id="940" w:name="_Toc23677"/>
      <w:bookmarkStart w:id="941" w:name="_Toc28760"/>
      <w:bookmarkStart w:id="942" w:name="_Toc17953"/>
      <w:bookmarkStart w:id="943" w:name="_Toc3015"/>
      <w:bookmarkStart w:id="944" w:name="_Toc14627"/>
      <w:bookmarkStart w:id="945" w:name="_Toc10695"/>
      <w:r>
        <w:rPr>
          <w:rFonts w:hint="eastAsia"/>
          <w:color w:val="auto"/>
          <w:highlight w:val="none"/>
          <w:lang w:eastAsia="zh-CN"/>
        </w:rPr>
        <w:t>7.1</w:t>
      </w:r>
      <w:r>
        <w:rPr>
          <w:color w:val="auto"/>
          <w:highlight w:val="none"/>
        </w:rPr>
        <w:t>.4</w:t>
      </w:r>
      <w:r>
        <w:rPr>
          <w:rFonts w:hint="eastAsia"/>
          <w:color w:val="auto"/>
          <w:highlight w:val="none"/>
          <w:lang w:val="en-US" w:eastAsia="zh-CN"/>
        </w:rPr>
        <w:t xml:space="preserve"> </w:t>
      </w:r>
      <w:r>
        <w:rPr>
          <w:color w:val="auto"/>
          <w:highlight w:val="none"/>
        </w:rPr>
        <w:t>运营期固废污染防治措施及可行性论证</w:t>
      </w:r>
      <w:bookmarkEnd w:id="937"/>
      <w:bookmarkEnd w:id="938"/>
      <w:bookmarkEnd w:id="939"/>
      <w:bookmarkEnd w:id="940"/>
      <w:bookmarkEnd w:id="941"/>
      <w:bookmarkEnd w:id="942"/>
      <w:bookmarkEnd w:id="943"/>
      <w:bookmarkEnd w:id="944"/>
      <w:bookmarkEnd w:id="945"/>
    </w:p>
    <w:p w14:paraId="07AEABCB">
      <w:pPr>
        <w:pStyle w:val="5"/>
        <w:numPr>
          <w:ilvl w:val="0"/>
          <w:numId w:val="0"/>
        </w:numPr>
        <w:bidi w:val="0"/>
        <w:ind w:leftChars="0"/>
        <w:rPr>
          <w:color w:val="auto"/>
          <w:highlight w:val="none"/>
        </w:rPr>
      </w:pPr>
      <w:bookmarkStart w:id="946" w:name="_Toc523646299"/>
      <w:bookmarkStart w:id="947" w:name="_Toc500940544"/>
      <w:bookmarkStart w:id="948" w:name="_Toc529434285"/>
      <w:r>
        <w:rPr>
          <w:rFonts w:hint="eastAsia"/>
          <w:color w:val="auto"/>
          <w:highlight w:val="none"/>
          <w:lang w:eastAsia="zh-CN"/>
        </w:rPr>
        <w:t>7.1</w:t>
      </w:r>
      <w:r>
        <w:rPr>
          <w:color w:val="auto"/>
          <w:highlight w:val="none"/>
        </w:rPr>
        <w:t>.4.1</w:t>
      </w:r>
      <w:r>
        <w:rPr>
          <w:rFonts w:hint="eastAsia"/>
          <w:color w:val="auto"/>
          <w:highlight w:val="none"/>
          <w:lang w:val="en-US" w:eastAsia="zh-CN"/>
        </w:rPr>
        <w:t xml:space="preserve"> </w:t>
      </w:r>
      <w:r>
        <w:rPr>
          <w:color w:val="auto"/>
          <w:highlight w:val="none"/>
        </w:rPr>
        <w:t>固废类型及处理处置</w:t>
      </w:r>
      <w:bookmarkEnd w:id="946"/>
      <w:bookmarkEnd w:id="947"/>
      <w:bookmarkEnd w:id="948"/>
    </w:p>
    <w:p w14:paraId="35A45A78">
      <w:pPr>
        <w:bidi w:val="0"/>
        <w:rPr>
          <w:rFonts w:hint="eastAsia"/>
          <w:color w:val="auto"/>
          <w:highlight w:val="none"/>
        </w:rPr>
      </w:pPr>
      <w:r>
        <w:rPr>
          <w:rFonts w:hint="eastAsia"/>
          <w:color w:val="auto"/>
          <w:highlight w:val="none"/>
        </w:rPr>
        <w:t>（1）一般工业固体废物</w:t>
      </w:r>
    </w:p>
    <w:p w14:paraId="2C0FD070">
      <w:pPr>
        <w:bidi w:val="0"/>
        <w:rPr>
          <w:rFonts w:hint="default"/>
          <w:color w:val="auto"/>
          <w:highlight w:val="none"/>
          <w:lang w:val="en-US"/>
        </w:rPr>
      </w:pPr>
      <w:r>
        <w:rPr>
          <w:rFonts w:hint="eastAsia"/>
          <w:color w:val="auto"/>
          <w:highlight w:val="none"/>
        </w:rPr>
        <w:t>项目产生的一般工业固体废物主要为</w:t>
      </w:r>
      <w:r>
        <w:rPr>
          <w:rFonts w:hint="eastAsia"/>
          <w:color w:val="auto"/>
          <w:highlight w:val="none"/>
          <w:lang w:val="en-US" w:eastAsia="zh-CN"/>
        </w:rPr>
        <w:t>注塑工序不合格产品及废边角料，废包装材料，纯水制备废滤材，布袋收集粉尘，废蓄热陶瓷体，废抛光片，废布袋等</w:t>
      </w:r>
      <w:r>
        <w:rPr>
          <w:rFonts w:hint="eastAsia"/>
          <w:color w:val="auto"/>
          <w:highlight w:val="none"/>
        </w:rPr>
        <w:t>。其中，</w:t>
      </w:r>
      <w:r>
        <w:rPr>
          <w:rFonts w:hint="eastAsia"/>
          <w:color w:val="auto"/>
          <w:highlight w:val="none"/>
          <w:lang w:val="en-US" w:eastAsia="zh-CN"/>
        </w:rPr>
        <w:t>注塑工序不合格品及废边角料经粉碎后回用于生产</w:t>
      </w:r>
      <w:r>
        <w:rPr>
          <w:rFonts w:hint="eastAsia"/>
          <w:color w:val="auto"/>
          <w:highlight w:val="none"/>
        </w:rPr>
        <w:t>；</w:t>
      </w:r>
      <w:r>
        <w:rPr>
          <w:rFonts w:hint="eastAsia"/>
          <w:color w:val="auto"/>
          <w:highlight w:val="none"/>
          <w:lang w:val="en-US" w:eastAsia="zh-CN"/>
        </w:rPr>
        <w:t>废包装材料，布袋收集粉尘，废抛光片，废布袋</w:t>
      </w:r>
      <w:r>
        <w:rPr>
          <w:rFonts w:hint="eastAsia"/>
          <w:color w:val="auto"/>
          <w:highlight w:val="none"/>
        </w:rPr>
        <w:t>分类收集后，暂存于一般固废暂存间，由合规回收单位回收综合利用；</w:t>
      </w:r>
      <w:r>
        <w:rPr>
          <w:rFonts w:hint="eastAsia"/>
          <w:color w:val="auto"/>
          <w:highlight w:val="none"/>
          <w:lang w:val="en-US" w:eastAsia="zh-CN"/>
        </w:rPr>
        <w:t>纯水制备废滤材更换时由厂家回收处理，不在厂区暂存；废蓄热陶瓷体更换时由厂家回收处理，不在厂区暂存。</w:t>
      </w:r>
    </w:p>
    <w:p w14:paraId="59F56C55">
      <w:pPr>
        <w:bidi w:val="0"/>
        <w:rPr>
          <w:rFonts w:hint="eastAsia"/>
          <w:color w:val="auto"/>
          <w:highlight w:val="none"/>
        </w:rPr>
      </w:pPr>
      <w:r>
        <w:rPr>
          <w:rFonts w:hint="eastAsia"/>
          <w:color w:val="auto"/>
          <w:highlight w:val="none"/>
        </w:rPr>
        <w:t>一般工业固废暂存间的建设和管理遵照《一般工业固体废物贮存和填埋污染控制标准》（GB 18599-2020）执行。贮存场所设置围墙和顶棚，具备防日晒、防风吹、防雨淋条件</w:t>
      </w:r>
      <w:r>
        <w:rPr>
          <w:rFonts w:hint="eastAsia"/>
          <w:color w:val="auto"/>
          <w:highlight w:val="none"/>
          <w:lang w:eastAsia="zh-CN"/>
        </w:rPr>
        <w:t>，对</w:t>
      </w:r>
      <w:r>
        <w:rPr>
          <w:rFonts w:hint="eastAsia"/>
          <w:color w:val="auto"/>
          <w:highlight w:val="none"/>
        </w:rPr>
        <w:t>地面进行防渗漏处理，场地周边设有导流渠及污水收集系统，防止二次污染。</w:t>
      </w:r>
    </w:p>
    <w:p w14:paraId="6F6D445C">
      <w:pPr>
        <w:bidi w:val="0"/>
        <w:rPr>
          <w:rFonts w:hint="eastAsia"/>
          <w:color w:val="auto"/>
          <w:highlight w:val="none"/>
        </w:rPr>
      </w:pPr>
      <w:r>
        <w:rPr>
          <w:rFonts w:hint="eastAsia"/>
          <w:color w:val="auto"/>
          <w:highlight w:val="none"/>
        </w:rPr>
        <w:t>（2）危险废物</w:t>
      </w:r>
    </w:p>
    <w:p w14:paraId="1F9D6720">
      <w:pPr>
        <w:bidi w:val="0"/>
        <w:rPr>
          <w:rFonts w:hint="default" w:eastAsia="宋体"/>
          <w:color w:val="auto"/>
          <w:highlight w:val="none"/>
          <w:lang w:val="en-US" w:eastAsia="zh-CN"/>
        </w:rPr>
      </w:pPr>
      <w:r>
        <w:rPr>
          <w:rFonts w:hint="eastAsia"/>
          <w:color w:val="auto"/>
          <w:highlight w:val="none"/>
        </w:rPr>
        <w:t>项目产生的危险废物主要为</w:t>
      </w:r>
      <w:r>
        <w:rPr>
          <w:rFonts w:hint="eastAsia"/>
          <w:color w:val="auto"/>
          <w:highlight w:val="none"/>
          <w:lang w:val="en-US" w:eastAsia="zh-CN"/>
        </w:rPr>
        <w:t>废包装桶，</w:t>
      </w:r>
      <w:r>
        <w:rPr>
          <w:rFonts w:hint="eastAsia"/>
          <w:color w:val="auto"/>
          <w:highlight w:val="none"/>
          <w:lang w:eastAsia="zh-CN"/>
        </w:rPr>
        <w:t>废润滑油，</w:t>
      </w:r>
      <w:r>
        <w:rPr>
          <w:rFonts w:hint="eastAsia"/>
          <w:color w:val="auto"/>
          <w:highlight w:val="none"/>
          <w:lang w:val="en-US" w:eastAsia="zh-CN"/>
        </w:rPr>
        <w:t>废清洗剂，废活性炭，废过滤棉（含漆渣），废干式纸盒（含漆渣），热洁炉灰渣、</w:t>
      </w:r>
      <w:r>
        <w:rPr>
          <w:rFonts w:hint="eastAsia"/>
          <w:color w:val="auto"/>
          <w:highlight w:val="none"/>
          <w:lang w:eastAsia="zh-CN"/>
        </w:rPr>
        <w:t>含油的手套及废抹布。</w:t>
      </w:r>
      <w:r>
        <w:rPr>
          <w:rFonts w:hint="eastAsia"/>
          <w:color w:val="auto"/>
          <w:highlight w:val="none"/>
          <w:lang w:val="en-US" w:eastAsia="zh-CN"/>
        </w:rPr>
        <w:t>危险废物</w:t>
      </w:r>
      <w:r>
        <w:rPr>
          <w:rFonts w:hint="eastAsia"/>
          <w:color w:val="auto"/>
          <w:highlight w:val="none"/>
        </w:rPr>
        <w:t>暂存于厂内危险废物贮存库，定期委托有资质的危险废物处置单位进行安全处置。</w:t>
      </w:r>
      <w:r>
        <w:rPr>
          <w:rFonts w:hint="eastAsia"/>
          <w:color w:val="auto"/>
          <w:highlight w:val="none"/>
          <w:lang w:val="en-US" w:eastAsia="zh-CN"/>
        </w:rPr>
        <w:t>其中含油抹布及手套属于危险废物豁免管理清单，分类收集后混入生活垃圾，委托环卫部门统一清运处置。</w:t>
      </w:r>
    </w:p>
    <w:p w14:paraId="44DBB496">
      <w:pPr>
        <w:bidi w:val="0"/>
        <w:rPr>
          <w:rFonts w:hint="eastAsia"/>
          <w:color w:val="auto"/>
          <w:highlight w:val="none"/>
        </w:rPr>
      </w:pPr>
      <w:r>
        <w:rPr>
          <w:rFonts w:hint="eastAsia"/>
          <w:color w:val="auto"/>
          <w:highlight w:val="none"/>
        </w:rPr>
        <w:t>危险废物贮存库按照《危险废物贮存污染控制标准》（GB 18597-2023）进行建设和管理，地面及裙角采取防渗处理，设置托盘等泄漏收集设施，确保液态危险废物泄漏时得到有效控制。</w:t>
      </w:r>
    </w:p>
    <w:p w14:paraId="4AA82B42">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生活垃圾</w:t>
      </w:r>
    </w:p>
    <w:p w14:paraId="3DD90E40">
      <w:pPr>
        <w:bidi w:val="0"/>
        <w:rPr>
          <w:rFonts w:hint="default"/>
          <w:color w:val="auto"/>
          <w:highlight w:val="none"/>
          <w:lang w:val="en-US" w:eastAsia="zh-CN"/>
        </w:rPr>
      </w:pPr>
      <w:r>
        <w:rPr>
          <w:rFonts w:hint="default"/>
          <w:color w:val="auto"/>
          <w:highlight w:val="none"/>
          <w:lang w:val="en-US" w:eastAsia="zh-CN"/>
        </w:rPr>
        <w:t>项目产生的生活垃圾集中收集于厂区垃圾桶内，每日由当地环卫部门统一清运处置，不单独</w:t>
      </w:r>
      <w:r>
        <w:rPr>
          <w:rFonts w:hint="eastAsia"/>
          <w:color w:val="auto"/>
          <w:highlight w:val="none"/>
          <w:lang w:val="en-US" w:eastAsia="zh-CN"/>
        </w:rPr>
        <w:t>设置</w:t>
      </w:r>
      <w:r>
        <w:rPr>
          <w:rFonts w:hint="default"/>
          <w:color w:val="auto"/>
          <w:highlight w:val="none"/>
          <w:lang w:val="en-US" w:eastAsia="zh-CN"/>
        </w:rPr>
        <w:t>堆放场所。</w:t>
      </w:r>
    </w:p>
    <w:p w14:paraId="6C61A652">
      <w:pPr>
        <w:bidi w:val="0"/>
        <w:rPr>
          <w:rFonts w:hint="eastAsia"/>
          <w:color w:val="auto"/>
          <w:highlight w:val="none"/>
        </w:rPr>
      </w:pPr>
      <w:r>
        <w:rPr>
          <w:rFonts w:hint="eastAsia"/>
          <w:color w:val="auto"/>
          <w:highlight w:val="none"/>
        </w:rPr>
        <w:t>综上所述，本项目各类固体废物均按照</w:t>
      </w:r>
      <w:r>
        <w:rPr>
          <w:rFonts w:hint="eastAsia"/>
          <w:color w:val="auto"/>
          <w:highlight w:val="none"/>
          <w:lang w:eastAsia="zh-CN"/>
        </w:rPr>
        <w:t>“</w:t>
      </w:r>
      <w:r>
        <w:rPr>
          <w:rFonts w:hint="eastAsia"/>
          <w:color w:val="auto"/>
          <w:highlight w:val="none"/>
        </w:rPr>
        <w:t>减量化、资源化、无害化</w:t>
      </w:r>
      <w:r>
        <w:rPr>
          <w:rFonts w:hint="eastAsia"/>
          <w:color w:val="auto"/>
          <w:highlight w:val="none"/>
          <w:lang w:eastAsia="zh-CN"/>
        </w:rPr>
        <w:t>”</w:t>
      </w:r>
      <w:r>
        <w:rPr>
          <w:rFonts w:hint="eastAsia"/>
          <w:color w:val="auto"/>
          <w:highlight w:val="none"/>
        </w:rPr>
        <w:t>的原则进行分类收集、妥善处置，实现全部有效处理，不外排环境，处置措施可行。</w:t>
      </w:r>
    </w:p>
    <w:p w14:paraId="2BA17335">
      <w:pPr>
        <w:pStyle w:val="5"/>
        <w:numPr>
          <w:ilvl w:val="0"/>
          <w:numId w:val="0"/>
        </w:numPr>
        <w:bidi w:val="0"/>
        <w:ind w:leftChars="0"/>
        <w:rPr>
          <w:rFonts w:hint="eastAsia" w:ascii="Times New Roman" w:hAnsi="Times New Roman" w:cs="Times New Roman"/>
          <w:color w:val="auto"/>
          <w:highlight w:val="none"/>
        </w:rPr>
      </w:pPr>
      <w:bookmarkStart w:id="949" w:name="_Toc529434286"/>
      <w:bookmarkStart w:id="950" w:name="_Toc500940545"/>
      <w:bookmarkStart w:id="951" w:name="_Toc523646300"/>
      <w:r>
        <w:rPr>
          <w:rFonts w:hint="eastAsia"/>
          <w:color w:val="auto"/>
          <w:highlight w:val="none"/>
          <w:lang w:eastAsia="zh-CN"/>
        </w:rPr>
        <w:t>7.1</w:t>
      </w:r>
      <w:r>
        <w:rPr>
          <w:color w:val="auto"/>
          <w:highlight w:val="none"/>
        </w:rPr>
        <w:t>.4.2</w:t>
      </w:r>
      <w:bookmarkEnd w:id="949"/>
      <w:bookmarkEnd w:id="950"/>
      <w:bookmarkEnd w:id="951"/>
      <w:bookmarkStart w:id="952" w:name="_Toc308794689"/>
      <w:bookmarkStart w:id="953" w:name="_Toc529434287"/>
      <w:bookmarkStart w:id="954" w:name="_Toc500940546"/>
      <w:bookmarkStart w:id="955" w:name="_Toc283374736"/>
      <w:bookmarkStart w:id="956" w:name="_Toc141528294"/>
      <w:bookmarkStart w:id="957" w:name="_Toc139440635"/>
      <w:r>
        <w:rPr>
          <w:rFonts w:hint="eastAsia"/>
          <w:color w:val="auto"/>
          <w:highlight w:val="none"/>
          <w:lang w:val="en-US" w:eastAsia="zh-CN"/>
        </w:rPr>
        <w:t xml:space="preserve"> </w:t>
      </w:r>
      <w:r>
        <w:rPr>
          <w:rFonts w:hint="eastAsia"/>
          <w:color w:val="auto"/>
          <w:highlight w:val="none"/>
        </w:rPr>
        <w:t>危险废物收集污染防治措施分析</w:t>
      </w:r>
    </w:p>
    <w:p w14:paraId="6E575C5B">
      <w:pPr>
        <w:bidi w:val="0"/>
        <w:rPr>
          <w:rFonts w:hint="eastAsia"/>
          <w:color w:val="auto"/>
          <w:highlight w:val="none"/>
        </w:rPr>
      </w:pPr>
      <w:r>
        <w:rPr>
          <w:rFonts w:hint="eastAsia"/>
          <w:color w:val="auto"/>
          <w:highlight w:val="none"/>
        </w:rPr>
        <w:t>根据《危废收集、贮存、运输控制技术规范》</w:t>
      </w:r>
      <w:r>
        <w:rPr>
          <w:rFonts w:hint="eastAsia"/>
          <w:color w:val="auto"/>
          <w:highlight w:val="none"/>
          <w:lang w:eastAsia="zh-CN"/>
        </w:rPr>
        <w:t>（</w:t>
      </w:r>
      <w:r>
        <w:rPr>
          <w:rFonts w:hint="eastAsia"/>
          <w:color w:val="auto"/>
          <w:highlight w:val="none"/>
        </w:rPr>
        <w:t>HJ2025-2012</w:t>
      </w:r>
      <w:r>
        <w:rPr>
          <w:rFonts w:hint="eastAsia"/>
          <w:color w:val="auto"/>
          <w:highlight w:val="none"/>
          <w:lang w:eastAsia="zh-CN"/>
        </w:rPr>
        <w:t>）</w:t>
      </w:r>
      <w:r>
        <w:rPr>
          <w:rFonts w:hint="eastAsia"/>
          <w:color w:val="auto"/>
          <w:highlight w:val="none"/>
        </w:rPr>
        <w:t>第5条的规定做好危废的收集工作。危险废物在收集时，应清楚废物的类别及主要成分，以方便委托处理单位处理，根据危险废物的性质和形态，可采用不同大小和不同材质的容器进行包装，所有包装和容器必须设置危险废物识别标志，并经过周密检查，严防在装载、搬移或运输途中出现渗漏、溢出、抛洒或挥发等情况。</w:t>
      </w:r>
    </w:p>
    <w:p w14:paraId="626EC4B2">
      <w:pPr>
        <w:bidi w:val="0"/>
        <w:rPr>
          <w:rFonts w:hint="eastAsia"/>
          <w:color w:val="auto"/>
          <w:highlight w:val="none"/>
        </w:rPr>
      </w:pPr>
      <w:r>
        <w:rPr>
          <w:rFonts w:hint="eastAsia"/>
          <w:color w:val="auto"/>
          <w:highlight w:val="none"/>
        </w:rPr>
        <w:t>危险废物收集作业应满足如下要求：</w:t>
      </w:r>
    </w:p>
    <w:p w14:paraId="1B3DAB94">
      <w:pPr>
        <w:bidi w:val="0"/>
        <w:rPr>
          <w:rFonts w:hint="eastAsia"/>
          <w:color w:val="auto"/>
          <w:highlight w:val="none"/>
        </w:rPr>
      </w:pPr>
      <w:r>
        <w:rPr>
          <w:rFonts w:hint="eastAsia"/>
          <w:color w:val="auto"/>
          <w:highlight w:val="none"/>
          <w:lang w:eastAsia="zh-CN"/>
        </w:rPr>
        <w:t>（</w:t>
      </w:r>
      <w:r>
        <w:rPr>
          <w:rFonts w:hint="eastAsia"/>
          <w:color w:val="auto"/>
          <w:highlight w:val="none"/>
        </w:rPr>
        <w:t>1</w:t>
      </w:r>
      <w:r>
        <w:rPr>
          <w:rFonts w:hint="eastAsia"/>
          <w:color w:val="auto"/>
          <w:highlight w:val="none"/>
          <w:lang w:eastAsia="zh-CN"/>
        </w:rPr>
        <w:t>）</w:t>
      </w:r>
      <w:r>
        <w:rPr>
          <w:rFonts w:hint="eastAsia"/>
          <w:color w:val="auto"/>
          <w:highlight w:val="none"/>
        </w:rPr>
        <w:t>应根据收集设备以及现场人员等实际情况确定相应的作业区域，同时要设置作业界限标志和警示牌。</w:t>
      </w:r>
    </w:p>
    <w:p w14:paraId="00993D7D">
      <w:pPr>
        <w:bidi w:val="0"/>
        <w:rPr>
          <w:rFonts w:hint="eastAsia"/>
          <w:color w:val="auto"/>
          <w:highlight w:val="none"/>
        </w:rPr>
      </w:pPr>
      <w:r>
        <w:rPr>
          <w:rFonts w:hint="eastAsia"/>
          <w:color w:val="auto"/>
          <w:highlight w:val="none"/>
          <w:lang w:eastAsia="zh-CN"/>
        </w:rPr>
        <w:t>（</w:t>
      </w:r>
      <w:r>
        <w:rPr>
          <w:rFonts w:hint="eastAsia"/>
          <w:color w:val="auto"/>
          <w:highlight w:val="none"/>
        </w:rPr>
        <w:t>2</w:t>
      </w:r>
      <w:r>
        <w:rPr>
          <w:rFonts w:hint="eastAsia"/>
          <w:color w:val="auto"/>
          <w:highlight w:val="none"/>
          <w:lang w:eastAsia="zh-CN"/>
        </w:rPr>
        <w:t>）</w:t>
      </w:r>
      <w:r>
        <w:rPr>
          <w:rFonts w:hint="eastAsia"/>
          <w:color w:val="auto"/>
          <w:highlight w:val="none"/>
        </w:rPr>
        <w:t>作业区域内应设置危险废物收集专用通道和人员避险通道。</w:t>
      </w:r>
    </w:p>
    <w:p w14:paraId="36CF7679">
      <w:pPr>
        <w:bidi w:val="0"/>
        <w:rPr>
          <w:rFonts w:hint="eastAsia"/>
          <w:color w:val="auto"/>
          <w:highlight w:val="none"/>
        </w:rPr>
      </w:pPr>
      <w:r>
        <w:rPr>
          <w:rFonts w:hint="eastAsia"/>
          <w:color w:val="auto"/>
          <w:highlight w:val="none"/>
          <w:lang w:eastAsia="zh-CN"/>
        </w:rPr>
        <w:t>（</w:t>
      </w:r>
      <w:r>
        <w:rPr>
          <w:rFonts w:hint="eastAsia"/>
          <w:color w:val="auto"/>
          <w:highlight w:val="none"/>
        </w:rPr>
        <w:t>3</w:t>
      </w:r>
      <w:r>
        <w:rPr>
          <w:rFonts w:hint="eastAsia"/>
          <w:color w:val="auto"/>
          <w:highlight w:val="none"/>
          <w:lang w:eastAsia="zh-CN"/>
        </w:rPr>
        <w:t>）</w:t>
      </w:r>
      <w:r>
        <w:rPr>
          <w:rFonts w:hint="eastAsia"/>
          <w:color w:val="auto"/>
          <w:highlight w:val="none"/>
        </w:rPr>
        <w:t>收集时应配备必要的收集工具和包装物，以及必要的应急监测设备及应急装备。</w:t>
      </w:r>
    </w:p>
    <w:p w14:paraId="59F95387">
      <w:pPr>
        <w:bidi w:val="0"/>
        <w:rPr>
          <w:rFonts w:hint="eastAsia"/>
          <w:color w:val="auto"/>
          <w:highlight w:val="none"/>
        </w:rPr>
      </w:pPr>
      <w:r>
        <w:rPr>
          <w:rFonts w:hint="eastAsia"/>
          <w:color w:val="auto"/>
          <w:highlight w:val="none"/>
          <w:lang w:eastAsia="zh-CN"/>
        </w:rPr>
        <w:t>（</w:t>
      </w:r>
      <w:r>
        <w:rPr>
          <w:rFonts w:hint="eastAsia"/>
          <w:color w:val="auto"/>
          <w:highlight w:val="none"/>
        </w:rPr>
        <w:t>4</w:t>
      </w:r>
      <w:r>
        <w:rPr>
          <w:rFonts w:hint="eastAsia"/>
          <w:color w:val="auto"/>
          <w:highlight w:val="none"/>
          <w:lang w:eastAsia="zh-CN"/>
        </w:rPr>
        <w:t>）</w:t>
      </w:r>
      <w:r>
        <w:rPr>
          <w:rFonts w:hint="eastAsia"/>
          <w:color w:val="auto"/>
          <w:highlight w:val="none"/>
        </w:rPr>
        <w:t>危险废物收集应参照《危废收集、贮存、运输控制技术规范》</w:t>
      </w:r>
      <w:r>
        <w:rPr>
          <w:rFonts w:hint="eastAsia"/>
          <w:color w:val="auto"/>
          <w:highlight w:val="none"/>
          <w:lang w:eastAsia="zh-CN"/>
        </w:rPr>
        <w:t>（</w:t>
      </w:r>
      <w:r>
        <w:rPr>
          <w:rFonts w:hint="eastAsia"/>
          <w:color w:val="auto"/>
          <w:highlight w:val="none"/>
        </w:rPr>
        <w:t>HJ2025-2012</w:t>
      </w:r>
      <w:r>
        <w:rPr>
          <w:rFonts w:hint="eastAsia"/>
          <w:color w:val="auto"/>
          <w:highlight w:val="none"/>
          <w:lang w:eastAsia="zh-CN"/>
        </w:rPr>
        <w:t>）</w:t>
      </w:r>
      <w:r>
        <w:rPr>
          <w:rFonts w:hint="eastAsia"/>
          <w:color w:val="auto"/>
          <w:highlight w:val="none"/>
        </w:rPr>
        <w:t>附录A填写记录表，并将记录表作为危废管理的重要档案妥善保存。</w:t>
      </w:r>
    </w:p>
    <w:p w14:paraId="38341D2E">
      <w:pPr>
        <w:bidi w:val="0"/>
        <w:rPr>
          <w:rFonts w:hint="eastAsia"/>
          <w:color w:val="auto"/>
          <w:highlight w:val="none"/>
        </w:rPr>
      </w:pPr>
      <w:r>
        <w:rPr>
          <w:rFonts w:hint="eastAsia"/>
          <w:color w:val="auto"/>
          <w:highlight w:val="none"/>
          <w:lang w:eastAsia="zh-CN"/>
        </w:rPr>
        <w:t>（</w:t>
      </w:r>
      <w:r>
        <w:rPr>
          <w:rFonts w:hint="eastAsia"/>
          <w:color w:val="auto"/>
          <w:highlight w:val="none"/>
        </w:rPr>
        <w:t>5</w:t>
      </w:r>
      <w:r>
        <w:rPr>
          <w:rFonts w:hint="eastAsia"/>
          <w:color w:val="auto"/>
          <w:highlight w:val="none"/>
          <w:lang w:eastAsia="zh-CN"/>
        </w:rPr>
        <w:t>）</w:t>
      </w:r>
      <w:r>
        <w:rPr>
          <w:rFonts w:hint="eastAsia"/>
          <w:color w:val="auto"/>
          <w:highlight w:val="none"/>
        </w:rPr>
        <w:t>收集结束后应清理和恢复收集作业区域，确保作业区域环境整洁安全。</w:t>
      </w:r>
    </w:p>
    <w:p w14:paraId="7947D93F">
      <w:pPr>
        <w:bidi w:val="0"/>
        <w:rPr>
          <w:rFonts w:hint="eastAsia"/>
          <w:color w:val="auto"/>
          <w:highlight w:val="none"/>
        </w:rPr>
      </w:pPr>
      <w:r>
        <w:rPr>
          <w:rFonts w:hint="eastAsia"/>
          <w:color w:val="auto"/>
          <w:highlight w:val="none"/>
          <w:lang w:eastAsia="zh-CN"/>
        </w:rPr>
        <w:t>（</w:t>
      </w:r>
      <w:r>
        <w:rPr>
          <w:rFonts w:hint="eastAsia"/>
          <w:color w:val="auto"/>
          <w:highlight w:val="none"/>
        </w:rPr>
        <w:t>6</w:t>
      </w:r>
      <w:r>
        <w:rPr>
          <w:rFonts w:hint="eastAsia"/>
          <w:color w:val="auto"/>
          <w:highlight w:val="none"/>
          <w:lang w:eastAsia="zh-CN"/>
        </w:rPr>
        <w:t>）</w:t>
      </w:r>
      <w:r>
        <w:rPr>
          <w:rFonts w:hint="eastAsia"/>
          <w:color w:val="auto"/>
          <w:highlight w:val="none"/>
        </w:rPr>
        <w:t>收集过危险废物的容器、设备、设施、场所及其他物品转作</w:t>
      </w:r>
      <w:r>
        <w:rPr>
          <w:rFonts w:hint="eastAsia"/>
          <w:color w:val="auto"/>
          <w:highlight w:val="none"/>
          <w:lang w:eastAsia="zh-CN"/>
        </w:rPr>
        <w:t>他</w:t>
      </w:r>
      <w:r>
        <w:rPr>
          <w:rFonts w:hint="eastAsia"/>
          <w:color w:val="auto"/>
          <w:highlight w:val="none"/>
        </w:rPr>
        <w:t>用时，应消除污染，确保其使用安全。</w:t>
      </w:r>
    </w:p>
    <w:p w14:paraId="03A909FB">
      <w:pPr>
        <w:pStyle w:val="5"/>
        <w:numPr>
          <w:ilvl w:val="0"/>
          <w:numId w:val="0"/>
        </w:numPr>
        <w:bidi w:val="0"/>
        <w:ind w:leftChars="0"/>
        <w:rPr>
          <w:rFonts w:hint="eastAsia" w:ascii="Times New Roman" w:hAnsi="Times New Roman" w:cs="Times New Roman"/>
          <w:color w:val="auto"/>
          <w:highlight w:val="none"/>
          <w:lang w:eastAsia="zh-CN"/>
        </w:rPr>
      </w:pPr>
      <w:r>
        <w:rPr>
          <w:rFonts w:hint="eastAsia"/>
          <w:color w:val="auto"/>
          <w:highlight w:val="none"/>
          <w:lang w:val="en-US" w:eastAsia="zh-CN"/>
        </w:rPr>
        <w:t>7.1</w:t>
      </w:r>
      <w:r>
        <w:rPr>
          <w:rFonts w:hint="eastAsia"/>
          <w:color w:val="auto"/>
          <w:highlight w:val="none"/>
          <w:lang w:eastAsia="zh-CN"/>
        </w:rPr>
        <w:t>.4.3</w:t>
      </w:r>
      <w:r>
        <w:rPr>
          <w:rFonts w:hint="eastAsia"/>
          <w:color w:val="auto"/>
          <w:highlight w:val="none"/>
          <w:lang w:val="en-US" w:eastAsia="zh-CN"/>
        </w:rPr>
        <w:t xml:space="preserve"> </w:t>
      </w:r>
      <w:r>
        <w:rPr>
          <w:rFonts w:hint="eastAsia"/>
          <w:color w:val="auto"/>
          <w:highlight w:val="none"/>
          <w:lang w:eastAsia="zh-CN"/>
        </w:rPr>
        <w:t>危废贮存库设置和要求</w:t>
      </w:r>
    </w:p>
    <w:p w14:paraId="48BA5770">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建设依据与标准</w:t>
      </w:r>
    </w:p>
    <w:p w14:paraId="4EF3E6D4">
      <w:pPr>
        <w:bidi w:val="0"/>
        <w:rPr>
          <w:rFonts w:hint="eastAsia" w:eastAsia="宋体"/>
          <w:color w:val="auto"/>
          <w:highlight w:val="none"/>
          <w:lang w:eastAsia="zh-CN"/>
        </w:rPr>
      </w:pPr>
      <w:r>
        <w:rPr>
          <w:rFonts w:hint="eastAsia"/>
          <w:color w:val="auto"/>
          <w:highlight w:val="none"/>
        </w:rPr>
        <w:t>本项目危险废物贮存库的建设与运行管理应严格执行以下标准规范：《危险废物贮存污染控制标准》（GB 18597-2023）</w:t>
      </w:r>
      <w:r>
        <w:rPr>
          <w:rFonts w:hint="eastAsia"/>
          <w:color w:val="auto"/>
          <w:highlight w:val="none"/>
          <w:lang w:eastAsia="zh-CN"/>
        </w:rPr>
        <w:t>，</w:t>
      </w:r>
      <w:r>
        <w:rPr>
          <w:rFonts w:hint="eastAsia"/>
          <w:color w:val="auto"/>
          <w:highlight w:val="none"/>
        </w:rPr>
        <w:t>《危险废物识别标志设置技术规范》（HJ 1276-2022）</w:t>
      </w:r>
      <w:r>
        <w:rPr>
          <w:rFonts w:hint="eastAsia"/>
          <w:color w:val="auto"/>
          <w:highlight w:val="none"/>
          <w:lang w:eastAsia="zh-CN"/>
        </w:rPr>
        <w:t>，</w:t>
      </w:r>
      <w:r>
        <w:rPr>
          <w:rFonts w:hint="eastAsia"/>
          <w:color w:val="auto"/>
          <w:highlight w:val="none"/>
        </w:rPr>
        <w:t>《危险废物收集、贮存、运输技术规范》（HJ 2025-2012）</w:t>
      </w:r>
      <w:r>
        <w:rPr>
          <w:rFonts w:hint="eastAsia"/>
          <w:color w:val="auto"/>
          <w:highlight w:val="none"/>
          <w:lang w:eastAsia="zh-CN"/>
        </w:rPr>
        <w:t>，</w:t>
      </w:r>
      <w:r>
        <w:rPr>
          <w:rFonts w:hint="eastAsia"/>
          <w:color w:val="auto"/>
          <w:highlight w:val="none"/>
        </w:rPr>
        <w:t>《危险废物管理计划和管理台账制定技术导则》（HJ 1259-2022）</w:t>
      </w:r>
      <w:r>
        <w:rPr>
          <w:rFonts w:hint="eastAsia"/>
          <w:color w:val="auto"/>
          <w:highlight w:val="none"/>
          <w:lang w:eastAsia="zh-CN"/>
        </w:rPr>
        <w:t>。</w:t>
      </w:r>
    </w:p>
    <w:p w14:paraId="7BB8BEFA">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贮存库选址与布局</w:t>
      </w:r>
    </w:p>
    <w:p w14:paraId="756E0FD7">
      <w:pPr>
        <w:bidi w:val="0"/>
        <w:rPr>
          <w:rFonts w:hint="eastAsia" w:eastAsia="宋体"/>
          <w:color w:val="auto"/>
          <w:highlight w:val="none"/>
          <w:lang w:eastAsia="zh-CN"/>
        </w:rPr>
      </w:pPr>
      <w:r>
        <w:rPr>
          <w:rFonts w:hint="eastAsia"/>
          <w:color w:val="auto"/>
          <w:highlight w:val="none"/>
        </w:rPr>
        <w:t>本项目拟新建一</w:t>
      </w:r>
      <w:r>
        <w:rPr>
          <w:rFonts w:hint="eastAsia"/>
          <w:color w:val="auto"/>
          <w:highlight w:val="none"/>
          <w:lang w:val="en-US" w:eastAsia="zh-CN"/>
        </w:rPr>
        <w:t>间</w:t>
      </w:r>
      <w:r>
        <w:rPr>
          <w:rFonts w:hint="eastAsia"/>
          <w:color w:val="auto"/>
          <w:highlight w:val="none"/>
        </w:rPr>
        <w:t>约</w:t>
      </w:r>
      <w:r>
        <w:rPr>
          <w:rFonts w:hint="eastAsia"/>
          <w:color w:val="auto"/>
          <w:highlight w:val="none"/>
          <w:lang w:val="en-US" w:eastAsia="zh-CN"/>
        </w:rPr>
        <w:t>30</w:t>
      </w:r>
      <w:r>
        <w:rPr>
          <w:rFonts w:hint="eastAsia"/>
          <w:color w:val="auto"/>
          <w:highlight w:val="none"/>
        </w:rPr>
        <w:t>m</w:t>
      </w:r>
      <w:r>
        <w:rPr>
          <w:rFonts w:hint="eastAsia"/>
          <w:color w:val="auto"/>
          <w:highlight w:val="none"/>
          <w:vertAlign w:val="superscript"/>
          <w:lang w:val="en-US" w:eastAsia="zh-CN"/>
        </w:rPr>
        <w:t>2</w:t>
      </w:r>
      <w:r>
        <w:rPr>
          <w:rFonts w:hint="eastAsia"/>
          <w:color w:val="auto"/>
          <w:highlight w:val="none"/>
        </w:rPr>
        <w:t>的危废贮存库，选址应满足以下要求：远离办公区、生活区及人员密集区域，位于厂区下风向</w:t>
      </w:r>
      <w:r>
        <w:rPr>
          <w:rFonts w:hint="eastAsia"/>
          <w:color w:val="auto"/>
          <w:highlight w:val="none"/>
          <w:lang w:eastAsia="zh-CN"/>
        </w:rPr>
        <w:t>；</w:t>
      </w:r>
      <w:r>
        <w:rPr>
          <w:rFonts w:hint="eastAsia"/>
          <w:color w:val="auto"/>
          <w:highlight w:val="none"/>
        </w:rPr>
        <w:t>设施底部必须高于地下水最高水位</w:t>
      </w:r>
      <w:r>
        <w:rPr>
          <w:rFonts w:hint="eastAsia"/>
          <w:color w:val="auto"/>
          <w:highlight w:val="none"/>
          <w:lang w:eastAsia="zh-CN"/>
        </w:rPr>
        <w:t>。</w:t>
      </w:r>
    </w:p>
    <w:p w14:paraId="010BDA36">
      <w:pPr>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）危险废物贮存场所基本情况</w:t>
      </w:r>
    </w:p>
    <w:p w14:paraId="51402847">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 xml:space="preserve">7.1-3  </w:t>
      </w:r>
      <w:r>
        <w:rPr>
          <w:rFonts w:hint="default" w:ascii="Times New Roman" w:hAnsi="Times New Roman" w:cs="Times New Roman"/>
          <w:color w:val="auto"/>
          <w:highlight w:val="none"/>
        </w:rPr>
        <w:t>项目危险废物贮存场所（设施）基本情况样表</w:t>
      </w:r>
    </w:p>
    <w:tbl>
      <w:tblPr>
        <w:tblStyle w:val="80"/>
        <w:tblW w:w="9003" w:type="dxa"/>
        <w:jc w:val="center"/>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0"/>
        <w:gridCol w:w="824"/>
        <w:gridCol w:w="2190"/>
        <w:gridCol w:w="1060"/>
        <w:gridCol w:w="1320"/>
        <w:gridCol w:w="870"/>
        <w:gridCol w:w="1270"/>
        <w:gridCol w:w="909"/>
      </w:tblGrid>
      <w:tr w14:paraId="031C87C3">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PrEx>
        <w:trPr>
          <w:trHeight w:val="340" w:hRule="atLeast"/>
          <w:tblHeader/>
          <w:jc w:val="center"/>
        </w:trPr>
        <w:tc>
          <w:tcPr>
            <w:tcW w:w="560" w:type="dxa"/>
            <w:tcBorders>
              <w:top w:val="single" w:color="auto" w:sz="12" w:space="0"/>
              <w:bottom w:val="single" w:color="auto" w:sz="4" w:space="0"/>
            </w:tcBorders>
            <w:noWrap w:val="0"/>
            <w:vAlign w:val="center"/>
          </w:tcPr>
          <w:p w14:paraId="7F339F37">
            <w:pPr>
              <w:pStyle w:val="1358"/>
              <w:bidi w:val="0"/>
              <w:rPr>
                <w:rFonts w:hint="default"/>
                <w:color w:val="auto"/>
                <w:highlight w:val="none"/>
              </w:rPr>
            </w:pPr>
            <w:r>
              <w:rPr>
                <w:rFonts w:hint="default"/>
                <w:color w:val="auto"/>
                <w:highlight w:val="none"/>
              </w:rPr>
              <w:t>序号</w:t>
            </w:r>
          </w:p>
        </w:tc>
        <w:tc>
          <w:tcPr>
            <w:tcW w:w="824" w:type="dxa"/>
            <w:tcBorders>
              <w:top w:val="single" w:color="auto" w:sz="12" w:space="0"/>
              <w:bottom w:val="single" w:color="auto" w:sz="4" w:space="0"/>
            </w:tcBorders>
            <w:noWrap w:val="0"/>
            <w:vAlign w:val="center"/>
          </w:tcPr>
          <w:p w14:paraId="60D573A0">
            <w:pPr>
              <w:pStyle w:val="1358"/>
              <w:bidi w:val="0"/>
              <w:rPr>
                <w:rFonts w:hint="default"/>
                <w:color w:val="auto"/>
                <w:highlight w:val="none"/>
              </w:rPr>
            </w:pPr>
            <w:r>
              <w:rPr>
                <w:rFonts w:hint="default"/>
                <w:color w:val="auto"/>
                <w:highlight w:val="none"/>
              </w:rPr>
              <w:t>贮存场所</w:t>
            </w:r>
          </w:p>
        </w:tc>
        <w:tc>
          <w:tcPr>
            <w:tcW w:w="2190" w:type="dxa"/>
            <w:tcBorders>
              <w:top w:val="single" w:color="auto" w:sz="12" w:space="0"/>
              <w:bottom w:val="single" w:color="auto" w:sz="4" w:space="0"/>
            </w:tcBorders>
            <w:noWrap w:val="0"/>
            <w:vAlign w:val="center"/>
          </w:tcPr>
          <w:p w14:paraId="58C9B608">
            <w:pPr>
              <w:pStyle w:val="1358"/>
              <w:bidi w:val="0"/>
              <w:rPr>
                <w:rFonts w:hint="default"/>
                <w:color w:val="auto"/>
                <w:highlight w:val="none"/>
              </w:rPr>
            </w:pPr>
            <w:r>
              <w:rPr>
                <w:rFonts w:hint="default"/>
                <w:color w:val="auto"/>
                <w:highlight w:val="none"/>
              </w:rPr>
              <w:t>危险废物名称</w:t>
            </w:r>
          </w:p>
        </w:tc>
        <w:tc>
          <w:tcPr>
            <w:tcW w:w="1060" w:type="dxa"/>
            <w:tcBorders>
              <w:top w:val="single" w:color="auto" w:sz="12" w:space="0"/>
              <w:bottom w:val="single" w:color="auto" w:sz="4" w:space="0"/>
            </w:tcBorders>
            <w:noWrap w:val="0"/>
            <w:vAlign w:val="center"/>
          </w:tcPr>
          <w:p w14:paraId="302D6E38">
            <w:pPr>
              <w:pStyle w:val="1358"/>
              <w:bidi w:val="0"/>
              <w:rPr>
                <w:rFonts w:hint="default"/>
                <w:color w:val="auto"/>
                <w:highlight w:val="none"/>
              </w:rPr>
            </w:pPr>
            <w:r>
              <w:rPr>
                <w:rFonts w:hint="default"/>
                <w:color w:val="auto"/>
                <w:highlight w:val="none"/>
              </w:rPr>
              <w:t>危险废物类别</w:t>
            </w:r>
          </w:p>
        </w:tc>
        <w:tc>
          <w:tcPr>
            <w:tcW w:w="1320" w:type="dxa"/>
            <w:tcBorders>
              <w:top w:val="single" w:color="auto" w:sz="12" w:space="0"/>
              <w:bottom w:val="single" w:color="auto" w:sz="4" w:space="0"/>
            </w:tcBorders>
            <w:noWrap w:val="0"/>
            <w:vAlign w:val="center"/>
          </w:tcPr>
          <w:p w14:paraId="30F15E97">
            <w:pPr>
              <w:pStyle w:val="1358"/>
              <w:bidi w:val="0"/>
              <w:rPr>
                <w:rFonts w:hint="default"/>
                <w:color w:val="auto"/>
                <w:highlight w:val="none"/>
              </w:rPr>
            </w:pPr>
            <w:r>
              <w:rPr>
                <w:rFonts w:hint="default"/>
                <w:color w:val="auto"/>
                <w:highlight w:val="none"/>
              </w:rPr>
              <w:t>危险废物代码</w:t>
            </w:r>
          </w:p>
        </w:tc>
        <w:tc>
          <w:tcPr>
            <w:tcW w:w="870" w:type="dxa"/>
            <w:tcBorders>
              <w:top w:val="single" w:color="auto" w:sz="12" w:space="0"/>
              <w:bottom w:val="single" w:color="auto" w:sz="4" w:space="0"/>
            </w:tcBorders>
            <w:noWrap w:val="0"/>
            <w:vAlign w:val="center"/>
          </w:tcPr>
          <w:p w14:paraId="014C4A7B">
            <w:pPr>
              <w:pStyle w:val="1358"/>
              <w:bidi w:val="0"/>
              <w:rPr>
                <w:rFonts w:hint="default"/>
                <w:color w:val="auto"/>
                <w:highlight w:val="none"/>
              </w:rPr>
            </w:pPr>
            <w:r>
              <w:rPr>
                <w:rFonts w:hint="default"/>
                <w:color w:val="auto"/>
                <w:highlight w:val="none"/>
              </w:rPr>
              <w:t>占地面积</w:t>
            </w:r>
          </w:p>
        </w:tc>
        <w:tc>
          <w:tcPr>
            <w:tcW w:w="1270" w:type="dxa"/>
            <w:tcBorders>
              <w:top w:val="single" w:color="auto" w:sz="12" w:space="0"/>
              <w:bottom w:val="single" w:color="auto" w:sz="4" w:space="0"/>
            </w:tcBorders>
            <w:noWrap w:val="0"/>
            <w:vAlign w:val="center"/>
          </w:tcPr>
          <w:p w14:paraId="722EA231">
            <w:pPr>
              <w:pStyle w:val="1358"/>
              <w:bidi w:val="0"/>
              <w:rPr>
                <w:rFonts w:hint="default"/>
                <w:color w:val="auto"/>
                <w:highlight w:val="none"/>
              </w:rPr>
            </w:pPr>
            <w:r>
              <w:rPr>
                <w:rFonts w:hint="default"/>
                <w:color w:val="auto"/>
                <w:highlight w:val="none"/>
              </w:rPr>
              <w:t>贮存方式</w:t>
            </w:r>
          </w:p>
        </w:tc>
        <w:tc>
          <w:tcPr>
            <w:tcW w:w="909" w:type="dxa"/>
            <w:tcBorders>
              <w:top w:val="single" w:color="auto" w:sz="12" w:space="0"/>
              <w:bottom w:val="single" w:color="auto" w:sz="4" w:space="0"/>
            </w:tcBorders>
            <w:noWrap w:val="0"/>
            <w:vAlign w:val="center"/>
          </w:tcPr>
          <w:p w14:paraId="4E3AA02A">
            <w:pPr>
              <w:pStyle w:val="1358"/>
              <w:bidi w:val="0"/>
              <w:rPr>
                <w:rFonts w:hint="default"/>
                <w:color w:val="auto"/>
                <w:highlight w:val="none"/>
              </w:rPr>
            </w:pPr>
            <w:r>
              <w:rPr>
                <w:rFonts w:hint="default"/>
                <w:color w:val="auto"/>
                <w:highlight w:val="none"/>
              </w:rPr>
              <w:t>贮存周期</w:t>
            </w:r>
          </w:p>
        </w:tc>
      </w:tr>
      <w:tr w14:paraId="1349099F">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60" w:type="dxa"/>
            <w:tcBorders>
              <w:top w:val="single" w:color="auto" w:sz="4" w:space="0"/>
            </w:tcBorders>
            <w:noWrap w:val="0"/>
            <w:vAlign w:val="center"/>
          </w:tcPr>
          <w:p w14:paraId="23BD56C5">
            <w:pPr>
              <w:pStyle w:val="1358"/>
              <w:bidi w:val="0"/>
              <w:rPr>
                <w:rFonts w:hint="eastAsia" w:eastAsia="宋体"/>
                <w:color w:val="auto"/>
                <w:highlight w:val="none"/>
                <w:lang w:val="en-US" w:eastAsia="zh-CN"/>
              </w:rPr>
            </w:pPr>
            <w:r>
              <w:rPr>
                <w:rFonts w:hint="eastAsia"/>
                <w:color w:val="auto"/>
                <w:highlight w:val="none"/>
                <w:lang w:val="en-US" w:eastAsia="zh-CN"/>
              </w:rPr>
              <w:t>1</w:t>
            </w:r>
          </w:p>
        </w:tc>
        <w:tc>
          <w:tcPr>
            <w:tcW w:w="824" w:type="dxa"/>
            <w:vMerge w:val="restart"/>
            <w:tcBorders>
              <w:top w:val="single" w:color="auto" w:sz="4" w:space="0"/>
            </w:tcBorders>
            <w:noWrap w:val="0"/>
            <w:vAlign w:val="center"/>
          </w:tcPr>
          <w:p w14:paraId="4AF73417">
            <w:pPr>
              <w:pStyle w:val="1358"/>
              <w:bidi w:val="0"/>
              <w:rPr>
                <w:rFonts w:hint="default"/>
                <w:color w:val="auto"/>
                <w:highlight w:val="none"/>
              </w:rPr>
            </w:pPr>
            <w:r>
              <w:rPr>
                <w:rFonts w:hint="eastAsia"/>
                <w:color w:val="auto"/>
                <w:highlight w:val="none"/>
                <w:lang w:eastAsia="zh-CN"/>
              </w:rPr>
              <w:t>危废贮存库</w:t>
            </w:r>
          </w:p>
        </w:tc>
        <w:tc>
          <w:tcPr>
            <w:tcW w:w="2190" w:type="dxa"/>
            <w:tcBorders>
              <w:top w:val="single" w:color="auto" w:sz="4" w:space="0"/>
            </w:tcBorders>
            <w:shd w:val="clear" w:color="auto" w:fill="auto"/>
            <w:noWrap w:val="0"/>
            <w:vAlign w:val="center"/>
          </w:tcPr>
          <w:p w14:paraId="18702A04">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废包装桶</w:t>
            </w:r>
          </w:p>
        </w:tc>
        <w:tc>
          <w:tcPr>
            <w:tcW w:w="1060" w:type="dxa"/>
            <w:tcBorders>
              <w:top w:val="single" w:color="auto" w:sz="4" w:space="0"/>
            </w:tcBorders>
            <w:shd w:val="clear" w:color="auto" w:fill="auto"/>
            <w:noWrap w:val="0"/>
            <w:vAlign w:val="center"/>
          </w:tcPr>
          <w:p w14:paraId="4A59D8FA">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HW</w:t>
            </w:r>
            <w:r>
              <w:rPr>
                <w:rFonts w:hint="eastAsia"/>
                <w:color w:val="auto"/>
                <w:highlight w:val="none"/>
                <w:lang w:val="en-US" w:eastAsia="zh-CN"/>
              </w:rPr>
              <w:t>49</w:t>
            </w:r>
          </w:p>
        </w:tc>
        <w:tc>
          <w:tcPr>
            <w:tcW w:w="1320" w:type="dxa"/>
            <w:tcBorders>
              <w:top w:val="single" w:color="auto" w:sz="4" w:space="0"/>
            </w:tcBorders>
            <w:shd w:val="clear" w:color="auto" w:fill="auto"/>
            <w:noWrap w:val="0"/>
            <w:vAlign w:val="center"/>
          </w:tcPr>
          <w:p w14:paraId="05E05CE0">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900-</w:t>
            </w:r>
            <w:r>
              <w:rPr>
                <w:rFonts w:hint="eastAsia"/>
                <w:color w:val="auto"/>
                <w:highlight w:val="none"/>
                <w:lang w:val="en-US" w:eastAsia="zh-CN"/>
              </w:rPr>
              <w:t>041-49</w:t>
            </w:r>
          </w:p>
        </w:tc>
        <w:tc>
          <w:tcPr>
            <w:tcW w:w="870" w:type="dxa"/>
            <w:tcBorders>
              <w:top w:val="single" w:color="auto" w:sz="4" w:space="0"/>
            </w:tcBorders>
            <w:shd w:val="clear" w:color="auto" w:fill="auto"/>
            <w:noWrap w:val="0"/>
            <w:vAlign w:val="center"/>
          </w:tcPr>
          <w:p w14:paraId="6DE2092F">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8m</w:t>
            </w:r>
            <w:r>
              <w:rPr>
                <w:rFonts w:hint="eastAsia" w:cs="Times New Roman"/>
                <w:color w:val="auto"/>
                <w:kern w:val="2"/>
                <w:sz w:val="21"/>
                <w:szCs w:val="24"/>
                <w:highlight w:val="none"/>
                <w:vertAlign w:val="superscript"/>
                <w:lang w:val="en-US" w:eastAsia="zh-CN" w:bidi="ar-SA"/>
              </w:rPr>
              <w:t>2</w:t>
            </w:r>
          </w:p>
        </w:tc>
        <w:tc>
          <w:tcPr>
            <w:tcW w:w="1270" w:type="dxa"/>
            <w:tcBorders>
              <w:top w:val="single" w:color="auto" w:sz="4" w:space="0"/>
            </w:tcBorders>
            <w:shd w:val="clear" w:color="auto" w:fill="auto"/>
            <w:noWrap w:val="0"/>
            <w:vAlign w:val="center"/>
          </w:tcPr>
          <w:p w14:paraId="3D2D87EC">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袋装/桶装</w:t>
            </w:r>
          </w:p>
        </w:tc>
        <w:tc>
          <w:tcPr>
            <w:tcW w:w="909" w:type="dxa"/>
            <w:vMerge w:val="restart"/>
            <w:tcBorders>
              <w:top w:val="single" w:color="auto" w:sz="4" w:space="0"/>
            </w:tcBorders>
            <w:shd w:val="clear" w:color="auto" w:fill="auto"/>
            <w:noWrap w:val="0"/>
            <w:vAlign w:val="center"/>
          </w:tcPr>
          <w:p w14:paraId="36EEEF5C">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6个月</w:t>
            </w:r>
          </w:p>
        </w:tc>
      </w:tr>
      <w:tr w14:paraId="62F702EC">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486F52AC">
            <w:pPr>
              <w:pStyle w:val="1358"/>
              <w:bidi w:val="0"/>
              <w:rPr>
                <w:rFonts w:hint="eastAsia" w:eastAsia="宋体"/>
                <w:color w:val="auto"/>
                <w:highlight w:val="none"/>
                <w:lang w:eastAsia="zh-CN"/>
              </w:rPr>
            </w:pPr>
            <w:r>
              <w:rPr>
                <w:rFonts w:hint="eastAsia"/>
                <w:color w:val="auto"/>
                <w:highlight w:val="none"/>
                <w:lang w:val="en-US" w:eastAsia="zh-CN"/>
              </w:rPr>
              <w:t>2</w:t>
            </w:r>
          </w:p>
        </w:tc>
        <w:tc>
          <w:tcPr>
            <w:tcW w:w="824" w:type="dxa"/>
            <w:vMerge w:val="continue"/>
            <w:noWrap w:val="0"/>
            <w:vAlign w:val="center"/>
          </w:tcPr>
          <w:p w14:paraId="449EB71A">
            <w:pPr>
              <w:pStyle w:val="1358"/>
              <w:bidi w:val="0"/>
              <w:rPr>
                <w:rFonts w:hint="default"/>
                <w:color w:val="auto"/>
                <w:highlight w:val="none"/>
              </w:rPr>
            </w:pPr>
          </w:p>
        </w:tc>
        <w:tc>
          <w:tcPr>
            <w:tcW w:w="2190" w:type="dxa"/>
            <w:noWrap w:val="0"/>
            <w:vAlign w:val="center"/>
          </w:tcPr>
          <w:p w14:paraId="08EF6A64">
            <w:pPr>
              <w:pStyle w:val="1358"/>
              <w:bidi w:val="0"/>
              <w:rPr>
                <w:rFonts w:hint="eastAsia" w:eastAsia="宋体"/>
                <w:color w:val="auto"/>
                <w:highlight w:val="none"/>
                <w:lang w:val="en-US" w:eastAsia="zh-CN"/>
              </w:rPr>
            </w:pPr>
            <w:r>
              <w:rPr>
                <w:rFonts w:hint="eastAsia"/>
                <w:color w:val="auto"/>
                <w:highlight w:val="none"/>
                <w:lang w:eastAsia="zh-CN"/>
              </w:rPr>
              <w:t>废润滑油</w:t>
            </w:r>
          </w:p>
        </w:tc>
        <w:tc>
          <w:tcPr>
            <w:tcW w:w="1060" w:type="dxa"/>
            <w:noWrap w:val="0"/>
            <w:vAlign w:val="center"/>
          </w:tcPr>
          <w:p w14:paraId="1B5ED5E7">
            <w:pPr>
              <w:pStyle w:val="1358"/>
              <w:bidi w:val="0"/>
              <w:rPr>
                <w:rFonts w:hint="default"/>
                <w:color w:val="auto"/>
                <w:highlight w:val="none"/>
                <w:lang w:val="en-US" w:eastAsia="zh-CN"/>
              </w:rPr>
            </w:pPr>
            <w:r>
              <w:rPr>
                <w:color w:val="auto"/>
                <w:highlight w:val="none"/>
              </w:rPr>
              <w:t>HW</w:t>
            </w:r>
            <w:r>
              <w:rPr>
                <w:rFonts w:hint="eastAsia"/>
                <w:color w:val="auto"/>
                <w:highlight w:val="none"/>
                <w:lang w:val="en-US" w:eastAsia="zh-CN"/>
              </w:rPr>
              <w:t>08</w:t>
            </w:r>
          </w:p>
        </w:tc>
        <w:tc>
          <w:tcPr>
            <w:tcW w:w="1320" w:type="dxa"/>
            <w:noWrap w:val="0"/>
            <w:vAlign w:val="center"/>
          </w:tcPr>
          <w:p w14:paraId="3D7C8597">
            <w:pPr>
              <w:pStyle w:val="1358"/>
              <w:bidi w:val="0"/>
              <w:rPr>
                <w:rFonts w:hint="default"/>
                <w:color w:val="auto"/>
                <w:highlight w:val="none"/>
                <w:lang w:val="en-US" w:eastAsia="zh-CN"/>
              </w:rPr>
            </w:pPr>
            <w:r>
              <w:rPr>
                <w:color w:val="auto"/>
                <w:highlight w:val="none"/>
              </w:rPr>
              <w:t>900-</w:t>
            </w:r>
            <w:r>
              <w:rPr>
                <w:rFonts w:hint="eastAsia"/>
                <w:color w:val="auto"/>
                <w:highlight w:val="none"/>
                <w:lang w:val="en-US" w:eastAsia="zh-CN"/>
              </w:rPr>
              <w:t>214-08</w:t>
            </w:r>
          </w:p>
        </w:tc>
        <w:tc>
          <w:tcPr>
            <w:tcW w:w="870" w:type="dxa"/>
            <w:noWrap w:val="0"/>
            <w:vAlign w:val="center"/>
          </w:tcPr>
          <w:p w14:paraId="772B120C">
            <w:pPr>
              <w:pStyle w:val="1358"/>
              <w:bidi w:val="0"/>
              <w:rPr>
                <w:rFonts w:hint="default"/>
                <w:color w:val="auto"/>
                <w:highlight w:val="none"/>
              </w:rPr>
            </w:pPr>
            <w:r>
              <w:rPr>
                <w:rFonts w:hint="eastAsia" w:cs="Times New Roman"/>
                <w:color w:val="auto"/>
                <w:kern w:val="2"/>
                <w:sz w:val="21"/>
                <w:szCs w:val="24"/>
                <w:highlight w:val="none"/>
                <w:lang w:val="en-US" w:eastAsia="zh-CN" w:bidi="ar-SA"/>
              </w:rPr>
              <w:t>2m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0B2287DF">
            <w:pPr>
              <w:pStyle w:val="1358"/>
              <w:bidi w:val="0"/>
              <w:rPr>
                <w:rFonts w:hint="default" w:eastAsia="宋体"/>
                <w:color w:val="auto"/>
                <w:highlight w:val="none"/>
                <w:lang w:val="en-US" w:eastAsia="zh-CN"/>
              </w:rPr>
            </w:pPr>
            <w:r>
              <w:rPr>
                <w:rFonts w:hint="eastAsia"/>
                <w:color w:val="auto"/>
                <w:highlight w:val="none"/>
                <w:lang w:val="en-US" w:eastAsia="zh-CN"/>
              </w:rPr>
              <w:t>密闭桶装</w:t>
            </w:r>
          </w:p>
        </w:tc>
        <w:tc>
          <w:tcPr>
            <w:tcW w:w="909" w:type="dxa"/>
            <w:vMerge w:val="continue"/>
            <w:noWrap w:val="0"/>
            <w:vAlign w:val="center"/>
          </w:tcPr>
          <w:p w14:paraId="30A7779F">
            <w:pPr>
              <w:pStyle w:val="1358"/>
              <w:bidi w:val="0"/>
              <w:rPr>
                <w:rFonts w:hint="default"/>
                <w:color w:val="auto"/>
                <w:highlight w:val="none"/>
              </w:rPr>
            </w:pPr>
          </w:p>
        </w:tc>
      </w:tr>
      <w:tr w14:paraId="7D889C36">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46E1F0AF">
            <w:pPr>
              <w:pStyle w:val="1358"/>
              <w:bidi w:val="0"/>
              <w:rPr>
                <w:rFonts w:hint="eastAsia" w:eastAsia="宋体"/>
                <w:color w:val="auto"/>
                <w:highlight w:val="none"/>
                <w:lang w:val="en-US" w:eastAsia="zh-CN"/>
              </w:rPr>
            </w:pPr>
            <w:r>
              <w:rPr>
                <w:rFonts w:hint="eastAsia"/>
                <w:color w:val="auto"/>
                <w:highlight w:val="none"/>
                <w:lang w:val="en-US" w:eastAsia="zh-CN"/>
              </w:rPr>
              <w:t>3</w:t>
            </w:r>
          </w:p>
        </w:tc>
        <w:tc>
          <w:tcPr>
            <w:tcW w:w="824" w:type="dxa"/>
            <w:vMerge w:val="continue"/>
            <w:noWrap w:val="0"/>
            <w:vAlign w:val="center"/>
          </w:tcPr>
          <w:p w14:paraId="434E6DB1">
            <w:pPr>
              <w:pStyle w:val="1358"/>
              <w:bidi w:val="0"/>
              <w:rPr>
                <w:rFonts w:hint="eastAsia"/>
                <w:color w:val="auto"/>
                <w:highlight w:val="none"/>
                <w:lang w:eastAsia="zh-CN"/>
              </w:rPr>
            </w:pPr>
          </w:p>
        </w:tc>
        <w:tc>
          <w:tcPr>
            <w:tcW w:w="2190" w:type="dxa"/>
            <w:noWrap w:val="0"/>
            <w:vAlign w:val="center"/>
          </w:tcPr>
          <w:p w14:paraId="00DB3E20">
            <w:pPr>
              <w:pStyle w:val="1358"/>
              <w:bidi w:val="0"/>
              <w:rPr>
                <w:rFonts w:hint="default"/>
                <w:color w:val="auto"/>
                <w:highlight w:val="none"/>
                <w:lang w:val="en-US" w:eastAsia="zh-CN"/>
              </w:rPr>
            </w:pPr>
            <w:r>
              <w:rPr>
                <w:rFonts w:hint="eastAsia"/>
                <w:color w:val="auto"/>
                <w:highlight w:val="none"/>
                <w:lang w:val="en-US" w:eastAsia="zh-CN"/>
              </w:rPr>
              <w:t>废清洗剂</w:t>
            </w:r>
          </w:p>
        </w:tc>
        <w:tc>
          <w:tcPr>
            <w:tcW w:w="1060" w:type="dxa"/>
            <w:noWrap w:val="0"/>
            <w:vAlign w:val="center"/>
          </w:tcPr>
          <w:p w14:paraId="4A9173CB">
            <w:pPr>
              <w:pStyle w:val="1358"/>
              <w:bidi w:val="0"/>
              <w:rPr>
                <w:rFonts w:hint="default"/>
                <w:color w:val="auto"/>
                <w:highlight w:val="none"/>
                <w:lang w:val="en-US"/>
              </w:rPr>
            </w:pPr>
            <w:r>
              <w:rPr>
                <w:color w:val="auto"/>
                <w:highlight w:val="none"/>
              </w:rPr>
              <w:t>HW</w:t>
            </w:r>
            <w:r>
              <w:rPr>
                <w:rFonts w:hint="eastAsia"/>
                <w:color w:val="auto"/>
                <w:highlight w:val="none"/>
                <w:lang w:val="en-US" w:eastAsia="zh-CN"/>
              </w:rPr>
              <w:t>06</w:t>
            </w:r>
          </w:p>
        </w:tc>
        <w:tc>
          <w:tcPr>
            <w:tcW w:w="1320" w:type="dxa"/>
            <w:noWrap w:val="0"/>
            <w:vAlign w:val="center"/>
          </w:tcPr>
          <w:p w14:paraId="1EA00D85">
            <w:pPr>
              <w:pStyle w:val="1358"/>
              <w:bidi w:val="0"/>
              <w:rPr>
                <w:rFonts w:hint="default" w:eastAsia="宋体"/>
                <w:color w:val="auto"/>
                <w:highlight w:val="none"/>
                <w:lang w:val="en-US" w:eastAsia="zh-CN"/>
              </w:rPr>
            </w:pPr>
            <w:r>
              <w:rPr>
                <w:rFonts w:hint="eastAsia"/>
                <w:color w:val="auto"/>
                <w:highlight w:val="none"/>
                <w:lang w:val="en-US" w:eastAsia="zh-CN"/>
              </w:rPr>
              <w:t>900-404-06</w:t>
            </w:r>
          </w:p>
        </w:tc>
        <w:tc>
          <w:tcPr>
            <w:tcW w:w="870" w:type="dxa"/>
            <w:noWrap w:val="0"/>
            <w:vAlign w:val="center"/>
          </w:tcPr>
          <w:p w14:paraId="07067335">
            <w:pPr>
              <w:pStyle w:val="1358"/>
              <w:bidi w:val="0"/>
              <w:rPr>
                <w:rFonts w:hint="eastAsia"/>
                <w:color w:val="auto"/>
                <w:highlight w:val="none"/>
                <w:lang w:val="en-US" w:eastAsia="zh-CN"/>
              </w:rPr>
            </w:pPr>
            <w:r>
              <w:rPr>
                <w:rFonts w:hint="eastAsia" w:cs="Times New Roman"/>
                <w:color w:val="auto"/>
                <w:kern w:val="2"/>
                <w:sz w:val="21"/>
                <w:szCs w:val="24"/>
                <w:highlight w:val="none"/>
                <w:lang w:val="en-US" w:eastAsia="zh-CN" w:bidi="ar-SA"/>
              </w:rPr>
              <w:t>2m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6C3BA501">
            <w:pPr>
              <w:pStyle w:val="1358"/>
              <w:bidi w:val="0"/>
              <w:rPr>
                <w:rFonts w:hint="default"/>
                <w:color w:val="auto"/>
                <w:highlight w:val="none"/>
              </w:rPr>
            </w:pPr>
            <w:r>
              <w:rPr>
                <w:rFonts w:hint="eastAsia"/>
                <w:color w:val="auto"/>
                <w:highlight w:val="none"/>
                <w:lang w:val="en-US" w:eastAsia="zh-CN"/>
              </w:rPr>
              <w:t>密闭桶装</w:t>
            </w:r>
          </w:p>
        </w:tc>
        <w:tc>
          <w:tcPr>
            <w:tcW w:w="909" w:type="dxa"/>
            <w:vMerge w:val="continue"/>
            <w:noWrap w:val="0"/>
            <w:vAlign w:val="center"/>
          </w:tcPr>
          <w:p w14:paraId="3FC4DB06">
            <w:pPr>
              <w:pStyle w:val="1358"/>
              <w:bidi w:val="0"/>
              <w:rPr>
                <w:rFonts w:hint="eastAsia"/>
                <w:color w:val="auto"/>
                <w:highlight w:val="none"/>
                <w:lang w:val="en-US" w:eastAsia="zh-CN"/>
              </w:rPr>
            </w:pPr>
          </w:p>
        </w:tc>
      </w:tr>
      <w:tr w14:paraId="50525AE8">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0EBE90D3">
            <w:pPr>
              <w:pStyle w:val="1358"/>
              <w:bidi w:val="0"/>
              <w:rPr>
                <w:rFonts w:hint="eastAsia" w:eastAsia="宋体"/>
                <w:color w:val="auto"/>
                <w:highlight w:val="none"/>
                <w:lang w:val="en-US" w:eastAsia="zh-CN"/>
              </w:rPr>
            </w:pPr>
            <w:r>
              <w:rPr>
                <w:rFonts w:hint="eastAsia"/>
                <w:color w:val="auto"/>
                <w:highlight w:val="none"/>
                <w:lang w:val="en-US" w:eastAsia="zh-CN"/>
              </w:rPr>
              <w:t>4</w:t>
            </w:r>
          </w:p>
        </w:tc>
        <w:tc>
          <w:tcPr>
            <w:tcW w:w="824" w:type="dxa"/>
            <w:vMerge w:val="continue"/>
            <w:noWrap w:val="0"/>
            <w:vAlign w:val="center"/>
          </w:tcPr>
          <w:p w14:paraId="6A449A8C">
            <w:pPr>
              <w:pStyle w:val="1358"/>
              <w:bidi w:val="0"/>
              <w:rPr>
                <w:rFonts w:hint="eastAsia"/>
                <w:color w:val="auto"/>
                <w:highlight w:val="none"/>
                <w:lang w:eastAsia="zh-CN"/>
              </w:rPr>
            </w:pPr>
          </w:p>
        </w:tc>
        <w:tc>
          <w:tcPr>
            <w:tcW w:w="2190" w:type="dxa"/>
            <w:noWrap w:val="0"/>
            <w:vAlign w:val="center"/>
          </w:tcPr>
          <w:p w14:paraId="27958810">
            <w:pPr>
              <w:pStyle w:val="1358"/>
              <w:bidi w:val="0"/>
              <w:rPr>
                <w:rFonts w:hint="default"/>
                <w:color w:val="auto"/>
                <w:highlight w:val="none"/>
                <w:lang w:val="en-US" w:eastAsia="zh-CN"/>
              </w:rPr>
            </w:pPr>
            <w:r>
              <w:rPr>
                <w:rFonts w:hint="eastAsia"/>
                <w:color w:val="auto"/>
                <w:highlight w:val="none"/>
                <w:lang w:val="en-US" w:eastAsia="zh-CN"/>
              </w:rPr>
              <w:t>废干式纸盒（含漆渣）、废过滤棉（含漆渣）</w:t>
            </w:r>
          </w:p>
        </w:tc>
        <w:tc>
          <w:tcPr>
            <w:tcW w:w="1060" w:type="dxa"/>
            <w:shd w:val="clear" w:color="auto" w:fill="auto"/>
            <w:noWrap w:val="0"/>
            <w:vAlign w:val="center"/>
          </w:tcPr>
          <w:p w14:paraId="1DBAF7B9">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HW</w:t>
            </w:r>
            <w:r>
              <w:rPr>
                <w:rFonts w:hint="eastAsia"/>
                <w:color w:val="auto"/>
                <w:highlight w:val="none"/>
                <w:lang w:val="en-US" w:eastAsia="zh-CN"/>
              </w:rPr>
              <w:t>49</w:t>
            </w:r>
          </w:p>
        </w:tc>
        <w:tc>
          <w:tcPr>
            <w:tcW w:w="1320" w:type="dxa"/>
            <w:shd w:val="clear" w:color="auto" w:fill="auto"/>
            <w:noWrap w:val="0"/>
            <w:vAlign w:val="center"/>
          </w:tcPr>
          <w:p w14:paraId="2E2E3323">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900-</w:t>
            </w:r>
            <w:r>
              <w:rPr>
                <w:rFonts w:hint="eastAsia"/>
                <w:color w:val="auto"/>
                <w:highlight w:val="none"/>
                <w:lang w:val="en-US" w:eastAsia="zh-CN"/>
              </w:rPr>
              <w:t>041-49</w:t>
            </w:r>
          </w:p>
        </w:tc>
        <w:tc>
          <w:tcPr>
            <w:tcW w:w="870" w:type="dxa"/>
            <w:noWrap w:val="0"/>
            <w:vAlign w:val="center"/>
          </w:tcPr>
          <w:p w14:paraId="6455EDAF">
            <w:pPr>
              <w:pStyle w:val="1358"/>
              <w:bidi w:val="0"/>
              <w:rPr>
                <w:rFonts w:hint="default"/>
                <w:color w:val="auto"/>
                <w:highlight w:val="none"/>
                <w:lang w:val="en-US" w:eastAsia="zh-CN"/>
              </w:rPr>
            </w:pPr>
            <w:r>
              <w:rPr>
                <w:rFonts w:hint="eastAsia"/>
                <w:color w:val="auto"/>
                <w:highlight w:val="none"/>
                <w:lang w:val="en-US" w:eastAsia="zh-CN"/>
              </w:rPr>
              <w:t>5</w:t>
            </w:r>
            <w:r>
              <w:rPr>
                <w:rFonts w:hint="eastAsia" w:cs="Times New Roman"/>
                <w:color w:val="auto"/>
                <w:kern w:val="2"/>
                <w:sz w:val="21"/>
                <w:szCs w:val="24"/>
                <w:highlight w:val="none"/>
                <w:lang w:val="en-US" w:eastAsia="zh-CN" w:bidi="ar-SA"/>
              </w:rPr>
              <w:t>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633B4455">
            <w:pPr>
              <w:pStyle w:val="1358"/>
              <w:bidi w:val="0"/>
              <w:rPr>
                <w:rFonts w:hint="default"/>
                <w:color w:val="auto"/>
                <w:highlight w:val="none"/>
              </w:rPr>
            </w:pPr>
            <w:r>
              <w:rPr>
                <w:rFonts w:hint="eastAsia" w:cs="Times New Roman"/>
                <w:color w:val="auto"/>
                <w:kern w:val="2"/>
                <w:sz w:val="21"/>
                <w:szCs w:val="24"/>
                <w:highlight w:val="none"/>
                <w:lang w:val="en-US" w:eastAsia="zh-CN" w:bidi="ar-SA"/>
              </w:rPr>
              <w:t>袋装</w:t>
            </w:r>
          </w:p>
        </w:tc>
        <w:tc>
          <w:tcPr>
            <w:tcW w:w="909" w:type="dxa"/>
            <w:vMerge w:val="continue"/>
            <w:noWrap w:val="0"/>
            <w:vAlign w:val="center"/>
          </w:tcPr>
          <w:p w14:paraId="46789F1E">
            <w:pPr>
              <w:pStyle w:val="1358"/>
              <w:bidi w:val="0"/>
              <w:rPr>
                <w:rFonts w:hint="eastAsia"/>
                <w:color w:val="auto"/>
                <w:highlight w:val="none"/>
                <w:lang w:val="en-US" w:eastAsia="zh-CN"/>
              </w:rPr>
            </w:pPr>
          </w:p>
        </w:tc>
      </w:tr>
      <w:tr w14:paraId="3FA8B590">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408E98E7">
            <w:pPr>
              <w:pStyle w:val="1358"/>
              <w:bidi w:val="0"/>
              <w:rPr>
                <w:rFonts w:hint="eastAsia" w:eastAsia="宋体"/>
                <w:color w:val="auto"/>
                <w:highlight w:val="none"/>
                <w:lang w:val="en-US" w:eastAsia="zh-CN"/>
              </w:rPr>
            </w:pPr>
            <w:r>
              <w:rPr>
                <w:rFonts w:hint="eastAsia"/>
                <w:color w:val="auto"/>
                <w:highlight w:val="none"/>
                <w:lang w:val="en-US" w:eastAsia="zh-CN"/>
              </w:rPr>
              <w:t>5</w:t>
            </w:r>
          </w:p>
        </w:tc>
        <w:tc>
          <w:tcPr>
            <w:tcW w:w="824" w:type="dxa"/>
            <w:vMerge w:val="continue"/>
            <w:noWrap w:val="0"/>
            <w:vAlign w:val="center"/>
          </w:tcPr>
          <w:p w14:paraId="3886887C">
            <w:pPr>
              <w:pStyle w:val="1358"/>
              <w:bidi w:val="0"/>
              <w:rPr>
                <w:rFonts w:hint="eastAsia"/>
                <w:color w:val="auto"/>
                <w:highlight w:val="none"/>
                <w:lang w:eastAsia="zh-CN"/>
              </w:rPr>
            </w:pPr>
          </w:p>
        </w:tc>
        <w:tc>
          <w:tcPr>
            <w:tcW w:w="2190" w:type="dxa"/>
            <w:shd w:val="clear" w:color="auto" w:fill="auto"/>
            <w:noWrap w:val="0"/>
            <w:vAlign w:val="center"/>
          </w:tcPr>
          <w:p w14:paraId="72A5A63C">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废活性炭</w:t>
            </w:r>
          </w:p>
        </w:tc>
        <w:tc>
          <w:tcPr>
            <w:tcW w:w="1060" w:type="dxa"/>
            <w:shd w:val="clear" w:color="auto" w:fill="auto"/>
            <w:noWrap w:val="0"/>
            <w:vAlign w:val="center"/>
          </w:tcPr>
          <w:p w14:paraId="7A448672">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HW49</w:t>
            </w:r>
          </w:p>
        </w:tc>
        <w:tc>
          <w:tcPr>
            <w:tcW w:w="1320" w:type="dxa"/>
            <w:shd w:val="clear" w:color="auto" w:fill="auto"/>
            <w:noWrap w:val="0"/>
            <w:vAlign w:val="center"/>
          </w:tcPr>
          <w:p w14:paraId="2D93046E">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900-039-49</w:t>
            </w:r>
          </w:p>
        </w:tc>
        <w:tc>
          <w:tcPr>
            <w:tcW w:w="870" w:type="dxa"/>
            <w:noWrap w:val="0"/>
            <w:vAlign w:val="center"/>
          </w:tcPr>
          <w:p w14:paraId="0C4F6479">
            <w:pPr>
              <w:pStyle w:val="1358"/>
              <w:bidi w:val="0"/>
              <w:rPr>
                <w:rFonts w:hint="default"/>
                <w:color w:val="auto"/>
                <w:highlight w:val="none"/>
                <w:lang w:val="en-US" w:eastAsia="zh-CN"/>
              </w:rPr>
            </w:pPr>
            <w:r>
              <w:rPr>
                <w:rFonts w:hint="eastAsia"/>
                <w:color w:val="auto"/>
                <w:highlight w:val="none"/>
                <w:lang w:val="en-US" w:eastAsia="zh-CN"/>
              </w:rPr>
              <w:t>4</w:t>
            </w:r>
            <w:r>
              <w:rPr>
                <w:rFonts w:hint="eastAsia" w:cs="Times New Roman"/>
                <w:color w:val="auto"/>
                <w:kern w:val="2"/>
                <w:sz w:val="21"/>
                <w:szCs w:val="24"/>
                <w:highlight w:val="none"/>
                <w:lang w:val="en-US" w:eastAsia="zh-CN" w:bidi="ar-SA"/>
              </w:rPr>
              <w:t>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7C37726A">
            <w:pPr>
              <w:pStyle w:val="1358"/>
              <w:bidi w:val="0"/>
              <w:rPr>
                <w:rFonts w:hint="default"/>
                <w:color w:val="auto"/>
                <w:highlight w:val="none"/>
              </w:rPr>
            </w:pPr>
            <w:r>
              <w:rPr>
                <w:rFonts w:hint="eastAsia" w:cs="Times New Roman"/>
                <w:color w:val="auto"/>
                <w:kern w:val="2"/>
                <w:sz w:val="21"/>
                <w:szCs w:val="24"/>
                <w:highlight w:val="none"/>
                <w:lang w:val="en-US" w:eastAsia="zh-CN" w:bidi="ar-SA"/>
              </w:rPr>
              <w:t>袋装</w:t>
            </w:r>
          </w:p>
        </w:tc>
        <w:tc>
          <w:tcPr>
            <w:tcW w:w="909" w:type="dxa"/>
            <w:vMerge w:val="continue"/>
            <w:noWrap w:val="0"/>
            <w:vAlign w:val="center"/>
          </w:tcPr>
          <w:p w14:paraId="53543D7E">
            <w:pPr>
              <w:pStyle w:val="1358"/>
              <w:bidi w:val="0"/>
              <w:rPr>
                <w:rFonts w:hint="eastAsia"/>
                <w:color w:val="auto"/>
                <w:highlight w:val="none"/>
                <w:lang w:val="en-US" w:eastAsia="zh-CN"/>
              </w:rPr>
            </w:pPr>
          </w:p>
        </w:tc>
      </w:tr>
      <w:tr w14:paraId="070863F8">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3B44CE02">
            <w:pPr>
              <w:pStyle w:val="1358"/>
              <w:bidi w:val="0"/>
              <w:rPr>
                <w:rFonts w:hint="default"/>
                <w:color w:val="auto"/>
                <w:highlight w:val="none"/>
                <w:lang w:val="en-US" w:eastAsia="zh-CN"/>
              </w:rPr>
            </w:pPr>
            <w:r>
              <w:rPr>
                <w:rFonts w:hint="eastAsia"/>
                <w:color w:val="auto"/>
                <w:highlight w:val="none"/>
                <w:lang w:val="en-US" w:eastAsia="zh-CN"/>
              </w:rPr>
              <w:t>6</w:t>
            </w:r>
          </w:p>
        </w:tc>
        <w:tc>
          <w:tcPr>
            <w:tcW w:w="824" w:type="dxa"/>
            <w:vMerge w:val="continue"/>
            <w:noWrap w:val="0"/>
            <w:vAlign w:val="center"/>
          </w:tcPr>
          <w:p w14:paraId="60AC6227">
            <w:pPr>
              <w:pStyle w:val="1358"/>
              <w:bidi w:val="0"/>
              <w:rPr>
                <w:rFonts w:hint="eastAsia"/>
                <w:color w:val="auto"/>
                <w:highlight w:val="none"/>
                <w:lang w:eastAsia="zh-CN"/>
              </w:rPr>
            </w:pPr>
          </w:p>
        </w:tc>
        <w:tc>
          <w:tcPr>
            <w:tcW w:w="2190" w:type="dxa"/>
            <w:shd w:val="clear" w:color="auto" w:fill="auto"/>
            <w:noWrap w:val="0"/>
            <w:vAlign w:val="center"/>
          </w:tcPr>
          <w:p w14:paraId="3F3C0B5B">
            <w:pPr>
              <w:pStyle w:val="1358"/>
              <w:bidi w:val="0"/>
              <w:ind w:firstLine="0" w:firstLineChars="0"/>
              <w:rPr>
                <w:rFonts w:hint="eastAsia"/>
                <w:color w:val="auto"/>
                <w:highlight w:val="none"/>
                <w:lang w:val="en-US" w:eastAsia="zh-CN"/>
              </w:rPr>
            </w:pPr>
            <w:r>
              <w:rPr>
                <w:rFonts w:hint="eastAsia"/>
                <w:color w:val="auto"/>
                <w:highlight w:val="none"/>
                <w:lang w:val="en-US" w:eastAsia="zh-CN"/>
              </w:rPr>
              <w:t>热洁炉灰渣</w:t>
            </w:r>
          </w:p>
        </w:tc>
        <w:tc>
          <w:tcPr>
            <w:tcW w:w="1060" w:type="dxa"/>
            <w:shd w:val="clear" w:color="auto" w:fill="auto"/>
            <w:noWrap w:val="0"/>
            <w:vAlign w:val="center"/>
          </w:tcPr>
          <w:p w14:paraId="2400DD4A">
            <w:pPr>
              <w:pStyle w:val="1358"/>
              <w:bidi w:val="0"/>
              <w:ind w:firstLine="0" w:firstLineChars="0"/>
              <w:rPr>
                <w:rFonts w:hint="default"/>
                <w:color w:val="auto"/>
                <w:highlight w:val="none"/>
                <w:lang w:val="en-US" w:eastAsia="zh-CN"/>
              </w:rPr>
            </w:pPr>
            <w:r>
              <w:rPr>
                <w:rFonts w:hint="eastAsia"/>
                <w:color w:val="auto"/>
                <w:highlight w:val="none"/>
                <w:lang w:val="en-US" w:eastAsia="zh-CN"/>
              </w:rPr>
              <w:t>HW18</w:t>
            </w:r>
          </w:p>
        </w:tc>
        <w:tc>
          <w:tcPr>
            <w:tcW w:w="1320" w:type="dxa"/>
            <w:shd w:val="clear" w:color="auto" w:fill="auto"/>
            <w:noWrap w:val="0"/>
            <w:vAlign w:val="center"/>
          </w:tcPr>
          <w:p w14:paraId="3DA90E1B">
            <w:pPr>
              <w:pStyle w:val="1358"/>
              <w:bidi w:val="0"/>
              <w:ind w:firstLine="0" w:firstLineChars="0"/>
              <w:rPr>
                <w:rFonts w:hint="default"/>
                <w:color w:val="auto"/>
                <w:highlight w:val="none"/>
                <w:lang w:val="en-US" w:eastAsia="zh-CN"/>
              </w:rPr>
            </w:pPr>
            <w:r>
              <w:rPr>
                <w:rFonts w:hint="eastAsia"/>
                <w:color w:val="auto"/>
                <w:highlight w:val="none"/>
                <w:lang w:val="en-US" w:eastAsia="zh-CN"/>
              </w:rPr>
              <w:t>772-003-18</w:t>
            </w:r>
          </w:p>
        </w:tc>
        <w:tc>
          <w:tcPr>
            <w:tcW w:w="870" w:type="dxa"/>
            <w:noWrap w:val="0"/>
            <w:vAlign w:val="center"/>
          </w:tcPr>
          <w:p w14:paraId="273C3EC7">
            <w:pPr>
              <w:pStyle w:val="1358"/>
              <w:bidi w:val="0"/>
              <w:rPr>
                <w:rFonts w:hint="default"/>
                <w:color w:val="auto"/>
                <w:highlight w:val="none"/>
                <w:lang w:val="en-US" w:eastAsia="zh-CN"/>
              </w:rPr>
            </w:pPr>
            <w:r>
              <w:rPr>
                <w:rFonts w:hint="eastAsia"/>
                <w:color w:val="auto"/>
                <w:highlight w:val="none"/>
                <w:lang w:val="en-US" w:eastAsia="zh-CN"/>
              </w:rPr>
              <w:t>4</w:t>
            </w:r>
            <w:r>
              <w:rPr>
                <w:rFonts w:hint="eastAsia" w:cs="Times New Roman"/>
                <w:color w:val="auto"/>
                <w:kern w:val="2"/>
                <w:sz w:val="21"/>
                <w:szCs w:val="24"/>
                <w:highlight w:val="none"/>
                <w:lang w:val="en-US" w:eastAsia="zh-CN" w:bidi="ar-SA"/>
              </w:rPr>
              <w:t>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7B9F4ACF">
            <w:pPr>
              <w:pStyle w:val="1358"/>
              <w:bidi w:val="0"/>
              <w:rPr>
                <w:rFonts w:hint="eastAsia"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袋装</w:t>
            </w:r>
          </w:p>
        </w:tc>
        <w:tc>
          <w:tcPr>
            <w:tcW w:w="909" w:type="dxa"/>
            <w:vMerge w:val="continue"/>
            <w:noWrap w:val="0"/>
            <w:vAlign w:val="center"/>
          </w:tcPr>
          <w:p w14:paraId="28AB4B7B">
            <w:pPr>
              <w:pStyle w:val="1358"/>
              <w:bidi w:val="0"/>
              <w:rPr>
                <w:rFonts w:hint="eastAsia"/>
                <w:color w:val="auto"/>
                <w:highlight w:val="none"/>
                <w:lang w:val="en-US" w:eastAsia="zh-CN"/>
              </w:rPr>
            </w:pPr>
          </w:p>
        </w:tc>
      </w:tr>
      <w:tr w14:paraId="6C1B6A3A">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noWrap w:val="0"/>
            <w:vAlign w:val="center"/>
          </w:tcPr>
          <w:p w14:paraId="11DEFBEE">
            <w:pPr>
              <w:pStyle w:val="1358"/>
              <w:bidi w:val="0"/>
              <w:rPr>
                <w:rFonts w:hint="default"/>
                <w:color w:val="auto"/>
                <w:highlight w:val="none"/>
                <w:lang w:val="en-US" w:eastAsia="zh-CN"/>
              </w:rPr>
            </w:pPr>
            <w:r>
              <w:rPr>
                <w:rFonts w:hint="eastAsia"/>
                <w:color w:val="auto"/>
                <w:highlight w:val="none"/>
                <w:lang w:val="en-US" w:eastAsia="zh-CN"/>
              </w:rPr>
              <w:t>7</w:t>
            </w:r>
          </w:p>
        </w:tc>
        <w:tc>
          <w:tcPr>
            <w:tcW w:w="824" w:type="dxa"/>
            <w:vMerge w:val="continue"/>
            <w:noWrap w:val="0"/>
            <w:vAlign w:val="center"/>
          </w:tcPr>
          <w:p w14:paraId="7936F7E2">
            <w:pPr>
              <w:pStyle w:val="1358"/>
              <w:bidi w:val="0"/>
              <w:rPr>
                <w:rFonts w:hint="eastAsia"/>
                <w:color w:val="auto"/>
                <w:highlight w:val="none"/>
                <w:lang w:eastAsia="zh-CN"/>
              </w:rPr>
            </w:pPr>
          </w:p>
        </w:tc>
        <w:tc>
          <w:tcPr>
            <w:tcW w:w="2190" w:type="dxa"/>
            <w:shd w:val="clear" w:color="auto" w:fill="auto"/>
            <w:noWrap w:val="0"/>
            <w:vAlign w:val="center"/>
          </w:tcPr>
          <w:p w14:paraId="2788F24B">
            <w:pPr>
              <w:pStyle w:val="1358"/>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含油的手套及废抹布</w:t>
            </w:r>
          </w:p>
        </w:tc>
        <w:tc>
          <w:tcPr>
            <w:tcW w:w="1060" w:type="dxa"/>
            <w:shd w:val="clear" w:color="auto" w:fill="auto"/>
            <w:noWrap w:val="0"/>
            <w:vAlign w:val="center"/>
          </w:tcPr>
          <w:p w14:paraId="3DEDA733">
            <w:pPr>
              <w:pStyle w:val="1358"/>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color w:val="auto"/>
                <w:highlight w:val="none"/>
              </w:rPr>
              <w:t>HW</w:t>
            </w:r>
            <w:r>
              <w:rPr>
                <w:rFonts w:hint="eastAsia"/>
                <w:color w:val="auto"/>
                <w:highlight w:val="none"/>
                <w:lang w:val="en-US" w:eastAsia="zh-CN"/>
              </w:rPr>
              <w:t>49</w:t>
            </w:r>
          </w:p>
        </w:tc>
        <w:tc>
          <w:tcPr>
            <w:tcW w:w="1320" w:type="dxa"/>
            <w:shd w:val="clear" w:color="auto" w:fill="auto"/>
            <w:noWrap w:val="0"/>
            <w:vAlign w:val="center"/>
          </w:tcPr>
          <w:p w14:paraId="4307AB55">
            <w:pPr>
              <w:pStyle w:val="1358"/>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color w:val="auto"/>
                <w:highlight w:val="none"/>
              </w:rPr>
              <w:t>900-</w:t>
            </w:r>
            <w:r>
              <w:rPr>
                <w:rFonts w:hint="eastAsia"/>
                <w:color w:val="auto"/>
                <w:highlight w:val="none"/>
                <w:lang w:val="en-US" w:eastAsia="zh-CN"/>
              </w:rPr>
              <w:t>041-49</w:t>
            </w:r>
          </w:p>
        </w:tc>
        <w:tc>
          <w:tcPr>
            <w:tcW w:w="870" w:type="dxa"/>
            <w:noWrap w:val="0"/>
            <w:vAlign w:val="center"/>
          </w:tcPr>
          <w:p w14:paraId="1715E370">
            <w:pPr>
              <w:pStyle w:val="1358"/>
              <w:bidi w:val="0"/>
              <w:rPr>
                <w:rFonts w:hint="eastAsia"/>
                <w:color w:val="auto"/>
                <w:highlight w:val="none"/>
                <w:lang w:val="en-US" w:eastAsia="zh-CN"/>
              </w:rPr>
            </w:pPr>
            <w:r>
              <w:rPr>
                <w:rFonts w:hint="eastAsia" w:cs="Times New Roman"/>
                <w:color w:val="auto"/>
                <w:kern w:val="2"/>
                <w:sz w:val="21"/>
                <w:szCs w:val="24"/>
                <w:highlight w:val="none"/>
                <w:lang w:val="en-US" w:eastAsia="zh-CN" w:bidi="ar-SA"/>
              </w:rPr>
              <w:t>1m</w:t>
            </w:r>
            <w:r>
              <w:rPr>
                <w:rFonts w:hint="eastAsia" w:cs="Times New Roman"/>
                <w:color w:val="auto"/>
                <w:kern w:val="2"/>
                <w:sz w:val="21"/>
                <w:szCs w:val="24"/>
                <w:highlight w:val="none"/>
                <w:vertAlign w:val="superscript"/>
                <w:lang w:val="en-US" w:eastAsia="zh-CN" w:bidi="ar-SA"/>
              </w:rPr>
              <w:t>2</w:t>
            </w:r>
          </w:p>
        </w:tc>
        <w:tc>
          <w:tcPr>
            <w:tcW w:w="1270" w:type="dxa"/>
            <w:noWrap w:val="0"/>
            <w:vAlign w:val="center"/>
          </w:tcPr>
          <w:p w14:paraId="631B7EEE">
            <w:pPr>
              <w:pStyle w:val="1358"/>
              <w:bidi w:val="0"/>
              <w:rPr>
                <w:rFonts w:hint="eastAsia"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袋装</w:t>
            </w:r>
          </w:p>
        </w:tc>
        <w:tc>
          <w:tcPr>
            <w:tcW w:w="909" w:type="dxa"/>
            <w:vMerge w:val="continue"/>
            <w:noWrap w:val="0"/>
            <w:vAlign w:val="center"/>
          </w:tcPr>
          <w:p w14:paraId="3AD4948E">
            <w:pPr>
              <w:pStyle w:val="1358"/>
              <w:bidi w:val="0"/>
              <w:rPr>
                <w:rFonts w:hint="eastAsia"/>
                <w:color w:val="auto"/>
                <w:highlight w:val="none"/>
                <w:lang w:val="en-US" w:eastAsia="zh-CN"/>
              </w:rPr>
            </w:pPr>
          </w:p>
        </w:tc>
      </w:tr>
      <w:tr w14:paraId="4765191C">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PrEx>
        <w:trPr>
          <w:trHeight w:val="340" w:hRule="atLeast"/>
          <w:jc w:val="center"/>
        </w:trPr>
        <w:tc>
          <w:tcPr>
            <w:tcW w:w="5954" w:type="dxa"/>
            <w:gridSpan w:val="5"/>
            <w:tcBorders>
              <w:bottom w:val="single" w:color="auto" w:sz="12" w:space="0"/>
            </w:tcBorders>
            <w:noWrap w:val="0"/>
            <w:vAlign w:val="center"/>
          </w:tcPr>
          <w:p w14:paraId="12AF0BFE">
            <w:pPr>
              <w:pStyle w:val="1358"/>
              <w:bidi w:val="0"/>
              <w:rPr>
                <w:rFonts w:hint="default"/>
                <w:color w:val="auto"/>
                <w:highlight w:val="none"/>
                <w:lang w:val="en-US" w:eastAsia="zh-CN"/>
              </w:rPr>
            </w:pPr>
            <w:r>
              <w:rPr>
                <w:rFonts w:hint="eastAsia"/>
                <w:color w:val="auto"/>
                <w:highlight w:val="none"/>
                <w:lang w:val="en-US" w:eastAsia="zh-CN"/>
              </w:rPr>
              <w:t>合计</w:t>
            </w:r>
          </w:p>
        </w:tc>
        <w:tc>
          <w:tcPr>
            <w:tcW w:w="870" w:type="dxa"/>
            <w:tcBorders>
              <w:bottom w:val="single" w:color="auto" w:sz="12" w:space="0"/>
            </w:tcBorders>
            <w:noWrap w:val="0"/>
            <w:vAlign w:val="center"/>
          </w:tcPr>
          <w:p w14:paraId="54AEAC21">
            <w:pPr>
              <w:pStyle w:val="1358"/>
              <w:bidi w:val="0"/>
              <w:rPr>
                <w:rFonts w:hint="default"/>
                <w:color w:val="auto"/>
                <w:highlight w:val="none"/>
                <w:lang w:val="en-US" w:eastAsia="zh-CN"/>
              </w:rPr>
            </w:pPr>
            <w:r>
              <w:rPr>
                <w:rFonts w:hint="eastAsia"/>
                <w:color w:val="auto"/>
                <w:highlight w:val="none"/>
                <w:lang w:val="en-US" w:eastAsia="zh-CN"/>
              </w:rPr>
              <w:t>26</w:t>
            </w:r>
            <w:r>
              <w:rPr>
                <w:rFonts w:hint="default"/>
                <w:color w:val="auto"/>
                <w:highlight w:val="none"/>
              </w:rPr>
              <w:t>m</w:t>
            </w:r>
            <w:r>
              <w:rPr>
                <w:rFonts w:hint="default"/>
                <w:color w:val="auto"/>
                <w:highlight w:val="none"/>
                <w:vertAlign w:val="superscript"/>
              </w:rPr>
              <w:t>2</w:t>
            </w:r>
          </w:p>
        </w:tc>
        <w:tc>
          <w:tcPr>
            <w:tcW w:w="1270" w:type="dxa"/>
            <w:tcBorders>
              <w:bottom w:val="single" w:color="auto" w:sz="12" w:space="0"/>
            </w:tcBorders>
            <w:noWrap w:val="0"/>
            <w:vAlign w:val="center"/>
          </w:tcPr>
          <w:p w14:paraId="4B87B08A">
            <w:pPr>
              <w:pStyle w:val="1358"/>
              <w:bidi w:val="0"/>
              <w:rPr>
                <w:rFonts w:hint="default"/>
                <w:color w:val="auto"/>
                <w:highlight w:val="none"/>
                <w:lang w:val="en-US" w:eastAsia="zh-CN"/>
              </w:rPr>
            </w:pPr>
            <w:r>
              <w:rPr>
                <w:rFonts w:hint="eastAsia"/>
                <w:color w:val="auto"/>
                <w:highlight w:val="none"/>
                <w:lang w:val="en-US" w:eastAsia="zh-CN"/>
              </w:rPr>
              <w:t>/</w:t>
            </w:r>
          </w:p>
        </w:tc>
        <w:tc>
          <w:tcPr>
            <w:tcW w:w="909" w:type="dxa"/>
            <w:tcBorders>
              <w:bottom w:val="single" w:color="auto" w:sz="12" w:space="0"/>
            </w:tcBorders>
            <w:noWrap w:val="0"/>
            <w:vAlign w:val="center"/>
          </w:tcPr>
          <w:p w14:paraId="2FD3537F">
            <w:pPr>
              <w:pStyle w:val="1358"/>
              <w:bidi w:val="0"/>
              <w:rPr>
                <w:rFonts w:hint="eastAsia"/>
                <w:color w:val="auto"/>
                <w:highlight w:val="none"/>
                <w:lang w:val="en-US" w:eastAsia="zh-CN"/>
              </w:rPr>
            </w:pPr>
            <w:r>
              <w:rPr>
                <w:rFonts w:hint="eastAsia"/>
                <w:color w:val="auto"/>
                <w:highlight w:val="none"/>
                <w:lang w:val="en-US" w:eastAsia="zh-CN"/>
              </w:rPr>
              <w:t>/</w:t>
            </w:r>
          </w:p>
        </w:tc>
      </w:tr>
    </w:tbl>
    <w:p w14:paraId="66DD355D">
      <w:pPr>
        <w:bidi w:val="0"/>
        <w:rPr>
          <w:rFonts w:hint="default"/>
          <w:color w:val="auto"/>
          <w:highlight w:val="none"/>
          <w:lang w:val="en-US" w:eastAsia="zh-CN"/>
        </w:rPr>
      </w:pPr>
      <w:r>
        <w:rPr>
          <w:rFonts w:hint="default"/>
          <w:color w:val="auto"/>
          <w:highlight w:val="none"/>
          <w:lang w:val="en-US" w:eastAsia="zh-CN"/>
        </w:rPr>
        <w:t>厂区</w:t>
      </w:r>
      <w:r>
        <w:rPr>
          <w:rFonts w:hint="eastAsia"/>
          <w:color w:val="auto"/>
          <w:highlight w:val="none"/>
          <w:lang w:val="en-US" w:eastAsia="zh-CN"/>
        </w:rPr>
        <w:t>拟建</w:t>
      </w:r>
      <w:r>
        <w:rPr>
          <w:rFonts w:hint="default"/>
          <w:color w:val="auto"/>
          <w:highlight w:val="none"/>
          <w:lang w:val="en-US" w:eastAsia="zh-CN"/>
        </w:rPr>
        <w:t>危废贮存库总面积</w:t>
      </w:r>
      <w:r>
        <w:rPr>
          <w:rFonts w:hint="eastAsia"/>
          <w:color w:val="auto"/>
          <w:highlight w:val="none"/>
          <w:lang w:val="en-US" w:eastAsia="zh-CN"/>
        </w:rPr>
        <w:t>约</w:t>
      </w:r>
      <w:r>
        <w:rPr>
          <w:rFonts w:hint="default"/>
          <w:color w:val="auto"/>
          <w:highlight w:val="none"/>
          <w:lang w:val="en-US" w:eastAsia="zh-CN"/>
        </w:rPr>
        <w:t>为</w:t>
      </w:r>
      <w:r>
        <w:rPr>
          <w:rFonts w:hint="eastAsia"/>
          <w:color w:val="auto"/>
          <w:highlight w:val="none"/>
          <w:lang w:val="en-US" w:eastAsia="zh-CN"/>
        </w:rPr>
        <w:t>30</w:t>
      </w:r>
      <w:r>
        <w:rPr>
          <w:rFonts w:hint="default"/>
          <w:color w:val="auto"/>
          <w:highlight w:val="none"/>
          <w:lang w:val="en-US" w:eastAsia="zh-CN"/>
        </w:rPr>
        <w:t>m</w:t>
      </w:r>
      <w:r>
        <w:rPr>
          <w:rFonts w:hint="eastAsia"/>
          <w:color w:val="auto"/>
          <w:highlight w:val="none"/>
          <w:vertAlign w:val="superscript"/>
          <w:lang w:val="en-US" w:eastAsia="zh-CN"/>
        </w:rPr>
        <w:t>2</w:t>
      </w:r>
      <w:r>
        <w:rPr>
          <w:rFonts w:hint="default"/>
          <w:color w:val="auto"/>
          <w:highlight w:val="none"/>
          <w:lang w:val="en-US" w:eastAsia="zh-CN"/>
        </w:rPr>
        <w:t>，根据表7.1-</w:t>
      </w:r>
      <w:r>
        <w:rPr>
          <w:rFonts w:hint="eastAsia"/>
          <w:color w:val="auto"/>
          <w:highlight w:val="none"/>
          <w:lang w:val="en-US" w:eastAsia="zh-CN"/>
        </w:rPr>
        <w:t>3</w:t>
      </w:r>
      <w:r>
        <w:rPr>
          <w:rFonts w:hint="default"/>
          <w:color w:val="auto"/>
          <w:highlight w:val="none"/>
          <w:lang w:val="en-US" w:eastAsia="zh-CN"/>
        </w:rPr>
        <w:t>，各类危废所需占地面积为</w:t>
      </w:r>
      <w:r>
        <w:rPr>
          <w:rFonts w:hint="eastAsia"/>
          <w:color w:val="auto"/>
          <w:highlight w:val="none"/>
          <w:lang w:val="en-US" w:eastAsia="zh-CN"/>
        </w:rPr>
        <w:t>26</w:t>
      </w:r>
      <w:r>
        <w:rPr>
          <w:rFonts w:hint="default"/>
          <w:color w:val="auto"/>
          <w:highlight w:val="none"/>
          <w:lang w:val="en-US" w:eastAsia="zh-CN"/>
        </w:rPr>
        <w:t>m</w:t>
      </w:r>
      <w:r>
        <w:rPr>
          <w:rFonts w:hint="eastAsia"/>
          <w:color w:val="auto"/>
          <w:highlight w:val="none"/>
          <w:vertAlign w:val="superscript"/>
          <w:lang w:val="en-US" w:eastAsia="zh-CN"/>
        </w:rPr>
        <w:t>2</w:t>
      </w:r>
      <w:r>
        <w:rPr>
          <w:rFonts w:hint="default"/>
          <w:color w:val="auto"/>
          <w:highlight w:val="none"/>
          <w:lang w:val="en-US" w:eastAsia="zh-CN"/>
        </w:rPr>
        <w:t>，小于贮存库总面积</w:t>
      </w:r>
      <w:r>
        <w:rPr>
          <w:rFonts w:hint="eastAsia"/>
          <w:color w:val="auto"/>
          <w:highlight w:val="none"/>
          <w:lang w:val="en-US" w:eastAsia="zh-CN"/>
        </w:rPr>
        <w:t>30</w:t>
      </w:r>
      <w:r>
        <w:rPr>
          <w:rFonts w:hint="default"/>
          <w:color w:val="auto"/>
          <w:highlight w:val="none"/>
          <w:lang w:val="en-US" w:eastAsia="zh-CN"/>
        </w:rPr>
        <w:t>m</w:t>
      </w:r>
      <w:r>
        <w:rPr>
          <w:rFonts w:hint="eastAsia"/>
          <w:color w:val="auto"/>
          <w:highlight w:val="none"/>
          <w:vertAlign w:val="superscript"/>
          <w:lang w:val="en-US" w:eastAsia="zh-CN"/>
        </w:rPr>
        <w:t>2</w:t>
      </w:r>
      <w:r>
        <w:rPr>
          <w:rFonts w:hint="default"/>
          <w:color w:val="auto"/>
          <w:highlight w:val="none"/>
          <w:lang w:val="en-US" w:eastAsia="zh-CN"/>
        </w:rPr>
        <w:t>，空间余量充足。各类危废贮存周期为3~6个月，符合《危险废物贮存污染控制标准》（GB 18597-2023）中</w:t>
      </w:r>
      <w:r>
        <w:rPr>
          <w:rFonts w:hint="eastAsia"/>
          <w:color w:val="auto"/>
          <w:highlight w:val="none"/>
          <w:lang w:val="en-US" w:eastAsia="zh-CN"/>
        </w:rPr>
        <w:t>“</w:t>
      </w:r>
      <w:r>
        <w:rPr>
          <w:rFonts w:hint="default"/>
          <w:color w:val="auto"/>
          <w:highlight w:val="none"/>
          <w:lang w:val="en-US" w:eastAsia="zh-CN"/>
        </w:rPr>
        <w:t>贮存期限原则上不超过1年</w:t>
      </w:r>
      <w:r>
        <w:rPr>
          <w:rFonts w:hint="eastAsia"/>
          <w:color w:val="auto"/>
          <w:highlight w:val="none"/>
          <w:lang w:val="en-US" w:eastAsia="zh-CN"/>
        </w:rPr>
        <w:t>”</w:t>
      </w:r>
      <w:r>
        <w:rPr>
          <w:rFonts w:hint="default"/>
          <w:color w:val="auto"/>
          <w:highlight w:val="none"/>
          <w:lang w:val="en-US" w:eastAsia="zh-CN"/>
        </w:rPr>
        <w:t>的要求，贮存库容量可满足该周期内的暂存需求。</w:t>
      </w:r>
    </w:p>
    <w:p w14:paraId="3E0BFD7E">
      <w:pPr>
        <w:pStyle w:val="5"/>
        <w:numPr>
          <w:ilvl w:val="0"/>
          <w:numId w:val="0"/>
        </w:numPr>
        <w:bidi w:val="0"/>
        <w:ind w:leftChars="0"/>
        <w:rPr>
          <w:rFonts w:hint="eastAsia" w:ascii="Times New Roman" w:hAnsi="Times New Roman" w:cs="Times New Roman"/>
          <w:color w:val="auto"/>
          <w:highlight w:val="none"/>
          <w:lang w:eastAsia="zh-CN"/>
        </w:rPr>
      </w:pPr>
      <w:r>
        <w:rPr>
          <w:rFonts w:hint="eastAsia"/>
          <w:color w:val="auto"/>
          <w:highlight w:val="none"/>
          <w:lang w:val="en-US" w:eastAsia="zh-CN"/>
        </w:rPr>
        <w:t>7.1.4.4 危险废物临时贮存、转运管理要求</w:t>
      </w:r>
    </w:p>
    <w:p w14:paraId="52BABA64">
      <w:pPr>
        <w:bidi w:val="0"/>
        <w:rPr>
          <w:rFonts w:hint="eastAsia"/>
          <w:color w:val="auto"/>
          <w:highlight w:val="none"/>
          <w:lang w:eastAsia="zh-CN"/>
        </w:rPr>
      </w:pPr>
      <w:r>
        <w:rPr>
          <w:rFonts w:hint="eastAsia"/>
          <w:color w:val="auto"/>
          <w:highlight w:val="none"/>
          <w:lang w:eastAsia="zh-CN"/>
        </w:rPr>
        <w:t>为防止危险废物产生二次污染，在其贮存和转运过程中，应严格遵循《危险废物贮存污染控制标准》（GB 18597-2023）和《危险废物转移管理办法》的相关要求，具体措施如下：</w:t>
      </w:r>
    </w:p>
    <w:p w14:paraId="214441AF">
      <w:pPr>
        <w:pStyle w:val="6"/>
        <w:bidi w:val="0"/>
        <w:rPr>
          <w:rFonts w:hint="eastAsia"/>
          <w:color w:val="auto"/>
          <w:highlight w:val="none"/>
          <w:lang w:eastAsia="zh-CN"/>
        </w:rPr>
      </w:pPr>
      <w:r>
        <w:rPr>
          <w:rFonts w:hint="eastAsia"/>
          <w:color w:val="auto"/>
          <w:highlight w:val="none"/>
          <w:lang w:eastAsia="zh-CN"/>
        </w:rPr>
        <w:t>（1）贮存场所建设与管理要求</w:t>
      </w:r>
    </w:p>
    <w:p w14:paraId="686998EF">
      <w:pPr>
        <w:bidi w:val="0"/>
        <w:rPr>
          <w:rFonts w:hint="eastAsia"/>
          <w:color w:val="auto"/>
          <w:highlight w:val="none"/>
          <w:lang w:eastAsia="zh-CN"/>
        </w:rPr>
      </w:pPr>
      <w:r>
        <w:rPr>
          <w:rFonts w:hint="eastAsia"/>
          <w:color w:val="auto"/>
          <w:highlight w:val="none"/>
          <w:lang w:eastAsia="zh-CN"/>
        </w:rPr>
        <w:t>①分类贮存：应根据危险废物的类别、形态、物理化学性质和污染防治要求进行分类贮存，避免与不相容的物质或材料接触。</w:t>
      </w:r>
    </w:p>
    <w:p w14:paraId="04C1EB63">
      <w:pPr>
        <w:bidi w:val="0"/>
        <w:rPr>
          <w:rFonts w:hint="eastAsia"/>
          <w:color w:val="auto"/>
          <w:highlight w:val="none"/>
          <w:lang w:eastAsia="zh-CN"/>
        </w:rPr>
      </w:pPr>
      <w:r>
        <w:rPr>
          <w:rFonts w:hint="eastAsia"/>
          <w:color w:val="auto"/>
          <w:highlight w:val="none"/>
          <w:lang w:eastAsia="zh-CN"/>
        </w:rPr>
        <w:t>②废物流向控制：贮存过程中产生的液态废物和固态废物应分类收集，并按环境管理要求妥善处理。</w:t>
      </w:r>
    </w:p>
    <w:p w14:paraId="61D34E7A">
      <w:pPr>
        <w:bidi w:val="0"/>
        <w:rPr>
          <w:rFonts w:hint="eastAsia"/>
          <w:color w:val="auto"/>
          <w:highlight w:val="none"/>
          <w:lang w:eastAsia="zh-CN"/>
        </w:rPr>
      </w:pPr>
      <w:r>
        <w:rPr>
          <w:rFonts w:hint="eastAsia"/>
          <w:color w:val="auto"/>
          <w:highlight w:val="none"/>
          <w:lang w:eastAsia="zh-CN"/>
        </w:rPr>
        <w:t>③识别标志设置：贮存设施或场所、容器和包装物应按HJ 1276要求设置危险废物贮存设施标志、分区标志和标签等识别标志。</w:t>
      </w:r>
    </w:p>
    <w:p w14:paraId="6F4A5656">
      <w:pPr>
        <w:bidi w:val="0"/>
        <w:rPr>
          <w:rFonts w:hint="eastAsia"/>
          <w:color w:val="auto"/>
          <w:highlight w:val="none"/>
          <w:lang w:eastAsia="zh-CN"/>
        </w:rPr>
      </w:pPr>
      <w:r>
        <w:rPr>
          <w:rFonts w:hint="eastAsia"/>
          <w:color w:val="auto"/>
          <w:highlight w:val="none"/>
          <w:lang w:eastAsia="zh-CN"/>
        </w:rPr>
        <w:t>④信息化管理：属于HJ 1259规定的危险废物环境重点监管单位，应采用电子地磅、电子标签、电子管理台账等技术手段对贮存过程进行信息化管理，确保数据完整、真实、准确；采用视频监控的，应确保画面清晰，视频记录保存时间至少为3个月。</w:t>
      </w:r>
    </w:p>
    <w:p w14:paraId="504B8B78">
      <w:pPr>
        <w:bidi w:val="0"/>
        <w:rPr>
          <w:rFonts w:hint="eastAsia"/>
          <w:color w:val="auto"/>
          <w:highlight w:val="none"/>
          <w:lang w:eastAsia="zh-CN"/>
        </w:rPr>
      </w:pPr>
      <w:r>
        <w:rPr>
          <w:rFonts w:hint="eastAsia"/>
          <w:color w:val="auto"/>
          <w:highlight w:val="none"/>
          <w:lang w:eastAsia="zh-CN"/>
        </w:rPr>
        <w:t>⑤泄漏与渗滤液控制：</w:t>
      </w:r>
    </w:p>
    <w:p w14:paraId="47508F9F">
      <w:pPr>
        <w:bidi w:val="0"/>
        <w:rPr>
          <w:rFonts w:hint="eastAsia"/>
          <w:color w:val="auto"/>
          <w:highlight w:val="none"/>
          <w:lang w:eastAsia="zh-CN"/>
        </w:rPr>
      </w:pPr>
      <w:r>
        <w:rPr>
          <w:rFonts w:hint="eastAsia"/>
          <w:color w:val="auto"/>
          <w:highlight w:val="none"/>
          <w:lang w:val="en-US" w:eastAsia="zh-CN"/>
        </w:rPr>
        <w:t>a.</w:t>
      </w:r>
      <w:r>
        <w:rPr>
          <w:rFonts w:hint="eastAsia"/>
          <w:color w:val="auto"/>
          <w:highlight w:val="none"/>
          <w:lang w:eastAsia="zh-CN"/>
        </w:rPr>
        <w:t>贮存液态危险废物的，应设置液体泄漏堵截设施，堵截设施的最小有效容积不应低于对应贮存区域最大液态废物容器的容积或该区域液态废物总储量的1/10（取两者中的较大值）。</w:t>
      </w:r>
    </w:p>
    <w:p w14:paraId="78B1D79F">
      <w:pPr>
        <w:bidi w:val="0"/>
        <w:rPr>
          <w:rFonts w:hint="eastAsia"/>
          <w:color w:val="auto"/>
          <w:highlight w:val="none"/>
          <w:lang w:eastAsia="zh-CN"/>
        </w:rPr>
      </w:pPr>
      <w:r>
        <w:rPr>
          <w:rFonts w:hint="eastAsia"/>
          <w:color w:val="auto"/>
          <w:highlight w:val="none"/>
          <w:lang w:val="en-US" w:eastAsia="zh-CN"/>
        </w:rPr>
        <w:t>b.</w:t>
      </w:r>
      <w:r>
        <w:rPr>
          <w:rFonts w:hint="eastAsia"/>
          <w:color w:val="auto"/>
          <w:highlight w:val="none"/>
          <w:lang w:eastAsia="zh-CN"/>
        </w:rPr>
        <w:t>贮存可能产生渗滤液的危险废物的，应设计渗滤液收集设施，其容积应满足渗滤液收集要求。</w:t>
      </w:r>
    </w:p>
    <w:p w14:paraId="0707A4BC">
      <w:pPr>
        <w:bidi w:val="0"/>
        <w:rPr>
          <w:rFonts w:hint="eastAsia"/>
          <w:color w:val="auto"/>
          <w:highlight w:val="none"/>
          <w:lang w:eastAsia="zh-CN"/>
        </w:rPr>
      </w:pPr>
      <w:r>
        <w:rPr>
          <w:rFonts w:hint="eastAsia"/>
          <w:color w:val="auto"/>
          <w:highlight w:val="none"/>
          <w:lang w:eastAsia="zh-CN"/>
        </w:rPr>
        <w:t>⑥防渗要求：</w:t>
      </w:r>
    </w:p>
    <w:p w14:paraId="7CC22EA1">
      <w:pPr>
        <w:bidi w:val="0"/>
        <w:rPr>
          <w:rFonts w:hint="eastAsia"/>
          <w:color w:val="auto"/>
          <w:highlight w:val="none"/>
          <w:lang w:eastAsia="zh-CN"/>
        </w:rPr>
      </w:pPr>
      <w:r>
        <w:rPr>
          <w:rFonts w:hint="eastAsia"/>
          <w:color w:val="auto"/>
          <w:highlight w:val="none"/>
          <w:lang w:val="en-US" w:eastAsia="zh-CN"/>
        </w:rPr>
        <w:t>a.</w:t>
      </w:r>
      <w:r>
        <w:rPr>
          <w:rFonts w:hint="eastAsia"/>
          <w:color w:val="auto"/>
          <w:highlight w:val="none"/>
          <w:lang w:eastAsia="zh-CN"/>
        </w:rPr>
        <w:t>贮存设施地面及裙脚应采取表面防渗措施，防渗材料应与所接触的物料或污染物相容，可采用抗渗混凝土、高密度聚乙烯膜、钠基膨润土防水毯或其他防渗性能等效的材料。</w:t>
      </w:r>
    </w:p>
    <w:p w14:paraId="5AF8D7E2">
      <w:pPr>
        <w:bidi w:val="0"/>
        <w:rPr>
          <w:rFonts w:hint="eastAsia"/>
          <w:color w:val="auto"/>
          <w:highlight w:val="none"/>
          <w:lang w:eastAsia="zh-CN"/>
        </w:rPr>
      </w:pPr>
      <w:r>
        <w:rPr>
          <w:rFonts w:hint="eastAsia"/>
          <w:color w:val="auto"/>
          <w:highlight w:val="none"/>
          <w:lang w:val="en-US" w:eastAsia="zh-CN"/>
        </w:rPr>
        <w:t>b.</w:t>
      </w:r>
      <w:r>
        <w:rPr>
          <w:rFonts w:hint="eastAsia"/>
          <w:color w:val="auto"/>
          <w:highlight w:val="none"/>
          <w:lang w:eastAsia="zh-CN"/>
        </w:rPr>
        <w:t>若危险废物直接接触地面贮存，还应进行基础防渗，防渗层应为至少1m厚黏土层（渗透系数≤10</w:t>
      </w:r>
      <w:r>
        <w:rPr>
          <w:rFonts w:hint="eastAsia"/>
          <w:color w:val="auto"/>
          <w:highlight w:val="none"/>
          <w:vertAlign w:val="superscript"/>
          <w:lang w:val="en-US" w:eastAsia="zh-CN"/>
        </w:rPr>
        <w:t>-7</w:t>
      </w:r>
      <w:r>
        <w:rPr>
          <w:rFonts w:hint="eastAsia"/>
          <w:color w:val="auto"/>
          <w:highlight w:val="none"/>
          <w:lang w:eastAsia="zh-CN"/>
        </w:rPr>
        <w:t>cm/s），或至少2mm厚高密度聚乙烯膜等人工防渗材料（渗透系数≤10</w:t>
      </w:r>
      <w:r>
        <w:rPr>
          <w:rFonts w:hint="eastAsia"/>
          <w:color w:val="auto"/>
          <w:highlight w:val="none"/>
          <w:vertAlign w:val="superscript"/>
          <w:lang w:val="en-US" w:eastAsia="zh-CN"/>
        </w:rPr>
        <w:t>-10</w:t>
      </w:r>
      <w:r>
        <w:rPr>
          <w:rFonts w:hint="eastAsia"/>
          <w:color w:val="auto"/>
          <w:highlight w:val="none"/>
          <w:lang w:eastAsia="zh-CN"/>
        </w:rPr>
        <w:t>cm/s），或其他防渗性能等效的材料。</w:t>
      </w:r>
    </w:p>
    <w:p w14:paraId="55651D13">
      <w:pPr>
        <w:bidi w:val="0"/>
        <w:rPr>
          <w:rFonts w:hint="eastAsia"/>
          <w:color w:val="auto"/>
          <w:highlight w:val="none"/>
          <w:lang w:eastAsia="zh-CN"/>
        </w:rPr>
      </w:pPr>
      <w:r>
        <w:rPr>
          <w:rFonts w:hint="eastAsia"/>
          <w:color w:val="auto"/>
          <w:highlight w:val="none"/>
          <w:lang w:eastAsia="zh-CN"/>
        </w:rPr>
        <w:t>⑦分区隔离：贮存库内不同贮存分区之间应采取隔离措施，可根据危险废物特性采用过道、隔板或隔墙等方式进行有效分隔。</w:t>
      </w:r>
    </w:p>
    <w:p w14:paraId="65DDEB2B">
      <w:pPr>
        <w:bidi w:val="0"/>
        <w:rPr>
          <w:rFonts w:hint="eastAsia"/>
          <w:color w:val="auto"/>
          <w:highlight w:val="none"/>
          <w:lang w:eastAsia="zh-CN"/>
        </w:rPr>
      </w:pPr>
      <w:r>
        <w:rPr>
          <w:rFonts w:hint="eastAsia"/>
          <w:color w:val="auto"/>
          <w:highlight w:val="none"/>
          <w:lang w:eastAsia="zh-CN"/>
        </w:rPr>
        <w:t>⑧</w:t>
      </w:r>
      <w:r>
        <w:rPr>
          <w:rFonts w:hint="eastAsia"/>
          <w:color w:val="auto"/>
          <w:highlight w:val="none"/>
          <w:lang w:val="en-US" w:eastAsia="zh-CN"/>
        </w:rPr>
        <w:t>废物</w:t>
      </w:r>
      <w:r>
        <w:rPr>
          <w:rFonts w:hint="eastAsia"/>
          <w:color w:val="auto"/>
          <w:highlight w:val="none"/>
          <w:lang w:eastAsia="zh-CN"/>
        </w:rPr>
        <w:t>收集与处理：确保危废贮存库具备良好的密闭性，危废分类存放于密闭容器或包装袋中，并加强日常管理，防止异味逸散及泄漏风险。</w:t>
      </w:r>
    </w:p>
    <w:p w14:paraId="2B76A711">
      <w:pPr>
        <w:pStyle w:val="6"/>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危险废物转运管理要求</w:t>
      </w:r>
    </w:p>
    <w:p w14:paraId="343BEDF0">
      <w:pPr>
        <w:bidi w:val="0"/>
        <w:rPr>
          <w:rFonts w:hint="eastAsia"/>
          <w:color w:val="auto"/>
          <w:highlight w:val="none"/>
        </w:rPr>
      </w:pPr>
      <w:r>
        <w:rPr>
          <w:rFonts w:hint="eastAsia"/>
          <w:color w:val="auto"/>
          <w:highlight w:val="none"/>
        </w:rPr>
        <w:t>危险废物的转运应严格按照</w:t>
      </w:r>
      <w:r>
        <w:rPr>
          <w:rFonts w:hint="eastAsia"/>
          <w:color w:val="auto"/>
          <w:highlight w:val="none"/>
          <w:lang w:eastAsia="zh-CN"/>
        </w:rPr>
        <w:t>《危险废物转移管理办法》</w:t>
      </w:r>
      <w:r>
        <w:rPr>
          <w:rFonts w:hint="eastAsia"/>
          <w:color w:val="auto"/>
          <w:highlight w:val="none"/>
        </w:rPr>
        <w:t>及国家危险废物信息管理系统相关规定执行，具体管理要求如下：</w:t>
      </w:r>
    </w:p>
    <w:p w14:paraId="18AEEBF3">
      <w:pPr>
        <w:bidi w:val="0"/>
        <w:rPr>
          <w:rFonts w:hint="eastAsia"/>
          <w:color w:val="auto"/>
          <w:highlight w:val="none"/>
        </w:rPr>
      </w:pPr>
      <w:r>
        <w:rPr>
          <w:rFonts w:hint="eastAsia"/>
          <w:color w:val="auto"/>
          <w:highlight w:val="none"/>
        </w:rPr>
        <w:t>①联单管理：转移危险废物应通过国家危险废物信息管理系统填写、运行电子转移联单，并依法公开转移相关污染防治信息。</w:t>
      </w:r>
    </w:p>
    <w:p w14:paraId="30731E3D">
      <w:pPr>
        <w:bidi w:val="0"/>
        <w:rPr>
          <w:rFonts w:hint="eastAsia"/>
          <w:color w:val="auto"/>
          <w:highlight w:val="none"/>
        </w:rPr>
      </w:pPr>
      <w:r>
        <w:rPr>
          <w:rFonts w:hint="eastAsia"/>
          <w:color w:val="auto"/>
          <w:highlight w:val="none"/>
        </w:rPr>
        <w:t>②移出人义务：作为危险废物移出方，应履行以下职责：</w:t>
      </w:r>
    </w:p>
    <w:p w14:paraId="4DA4DDF8">
      <w:pPr>
        <w:bidi w:val="0"/>
        <w:rPr>
          <w:rFonts w:hint="eastAsia"/>
          <w:color w:val="auto"/>
          <w:highlight w:val="none"/>
        </w:rPr>
      </w:pPr>
      <w:r>
        <w:rPr>
          <w:rFonts w:hint="eastAsia"/>
          <w:color w:val="auto"/>
          <w:highlight w:val="none"/>
          <w:lang w:val="en-US" w:eastAsia="zh-CN"/>
        </w:rPr>
        <w:t>A.</w:t>
      </w:r>
      <w:r>
        <w:rPr>
          <w:rFonts w:hint="eastAsia"/>
          <w:color w:val="auto"/>
          <w:highlight w:val="none"/>
        </w:rPr>
        <w:t>对承运人及接收人的主体资格和技术能力进行核实，依法签订书面合同，明确运输、贮存、利用、处置环节的污染防治要求及相关责任；</w:t>
      </w:r>
    </w:p>
    <w:p w14:paraId="7A4FDBF6">
      <w:pPr>
        <w:bidi w:val="0"/>
        <w:rPr>
          <w:rFonts w:hint="eastAsia"/>
          <w:color w:val="auto"/>
          <w:highlight w:val="none"/>
        </w:rPr>
      </w:pPr>
      <w:r>
        <w:rPr>
          <w:rFonts w:hint="eastAsia"/>
          <w:color w:val="auto"/>
          <w:highlight w:val="none"/>
          <w:lang w:val="en-US" w:eastAsia="zh-CN"/>
        </w:rPr>
        <w:t>B.</w:t>
      </w:r>
      <w:r>
        <w:rPr>
          <w:rFonts w:hint="eastAsia"/>
          <w:color w:val="auto"/>
          <w:highlight w:val="none"/>
        </w:rPr>
        <w:t>制定危险废物管理计划，明确拟转移废物的种类、重量（数量）及流向等信息；</w:t>
      </w:r>
    </w:p>
    <w:p w14:paraId="26D391F3">
      <w:pPr>
        <w:bidi w:val="0"/>
        <w:rPr>
          <w:rFonts w:hint="eastAsia"/>
          <w:color w:val="auto"/>
          <w:highlight w:val="none"/>
        </w:rPr>
      </w:pPr>
      <w:r>
        <w:rPr>
          <w:rFonts w:hint="eastAsia"/>
          <w:color w:val="auto"/>
          <w:highlight w:val="none"/>
          <w:lang w:val="en-US" w:eastAsia="zh-CN"/>
        </w:rPr>
        <w:t>C.</w:t>
      </w:r>
      <w:r>
        <w:rPr>
          <w:rFonts w:hint="eastAsia"/>
          <w:color w:val="auto"/>
          <w:highlight w:val="none"/>
        </w:rPr>
        <w:t>建立危险废物管理台账，对转移废物进行计量称重，如实记录种类、重量（数量）及接收人等信息；</w:t>
      </w:r>
    </w:p>
    <w:p w14:paraId="30185F4C">
      <w:pPr>
        <w:bidi w:val="0"/>
        <w:rPr>
          <w:rFonts w:hint="eastAsia"/>
          <w:color w:val="auto"/>
          <w:highlight w:val="none"/>
        </w:rPr>
      </w:pPr>
      <w:r>
        <w:rPr>
          <w:rFonts w:hint="eastAsia"/>
          <w:color w:val="auto"/>
          <w:highlight w:val="none"/>
          <w:lang w:val="en-US" w:eastAsia="zh-CN"/>
        </w:rPr>
        <w:t>D.</w:t>
      </w:r>
      <w:r>
        <w:rPr>
          <w:rFonts w:hint="eastAsia"/>
          <w:color w:val="auto"/>
          <w:highlight w:val="none"/>
        </w:rPr>
        <w:t>规范填写危险废物转移联单，如实载明移出人、承运人、接收人信息，废物种类、重量（数量）、危险特性及突发环境事件防范措施等内容；</w:t>
      </w:r>
    </w:p>
    <w:p w14:paraId="008EDE80">
      <w:pPr>
        <w:bidi w:val="0"/>
        <w:rPr>
          <w:rFonts w:hint="eastAsia"/>
          <w:color w:val="auto"/>
          <w:highlight w:val="none"/>
        </w:rPr>
      </w:pPr>
      <w:r>
        <w:rPr>
          <w:rFonts w:hint="eastAsia"/>
          <w:color w:val="auto"/>
          <w:highlight w:val="none"/>
          <w:lang w:val="en-US" w:eastAsia="zh-CN"/>
        </w:rPr>
        <w:t>E.</w:t>
      </w:r>
      <w:r>
        <w:rPr>
          <w:rFonts w:hint="eastAsia"/>
          <w:color w:val="auto"/>
          <w:highlight w:val="none"/>
        </w:rPr>
        <w:t>及时核实接收人对危险废物的贮存、利用或处置情况；</w:t>
      </w:r>
    </w:p>
    <w:p w14:paraId="4BF62266">
      <w:pPr>
        <w:bidi w:val="0"/>
        <w:rPr>
          <w:rFonts w:hint="eastAsia"/>
          <w:color w:val="auto"/>
          <w:highlight w:val="none"/>
        </w:rPr>
      </w:pPr>
      <w:r>
        <w:rPr>
          <w:rFonts w:hint="eastAsia"/>
          <w:color w:val="auto"/>
          <w:highlight w:val="none"/>
          <w:lang w:val="en-US" w:eastAsia="zh-CN"/>
        </w:rPr>
        <w:t>F.</w:t>
      </w:r>
      <w:r>
        <w:rPr>
          <w:rFonts w:hint="eastAsia"/>
          <w:color w:val="auto"/>
          <w:highlight w:val="none"/>
        </w:rPr>
        <w:t>履行法律法规规定的其他义务。</w:t>
      </w:r>
    </w:p>
    <w:p w14:paraId="62F1B186">
      <w:pPr>
        <w:bidi w:val="0"/>
        <w:rPr>
          <w:rFonts w:hint="eastAsia"/>
          <w:color w:val="auto"/>
          <w:highlight w:val="none"/>
        </w:rPr>
      </w:pPr>
      <w:r>
        <w:rPr>
          <w:rFonts w:hint="eastAsia"/>
          <w:color w:val="auto"/>
          <w:highlight w:val="none"/>
        </w:rPr>
        <w:t>③禁止性规定：严禁将危险废物以副产品等名义提供或委托给无危险废物经营许可证的单位从事收集、贮存、利用、处置活动。移出人应按照国家有关要求开展危险废物鉴别，确保废物属性认定准确。</w:t>
      </w:r>
    </w:p>
    <w:p w14:paraId="38647243">
      <w:pPr>
        <w:pStyle w:val="5"/>
        <w:numPr>
          <w:ilvl w:val="0"/>
          <w:numId w:val="0"/>
        </w:numPr>
        <w:bidi w:val="0"/>
        <w:ind w:leftChars="0"/>
        <w:rPr>
          <w:rFonts w:hint="eastAsia"/>
          <w:color w:val="auto"/>
          <w:highlight w:val="none"/>
          <w:lang w:eastAsia="zh-CN"/>
        </w:rPr>
      </w:pPr>
      <w:r>
        <w:rPr>
          <w:rFonts w:hint="eastAsia"/>
          <w:color w:val="auto"/>
          <w:highlight w:val="none"/>
          <w:lang w:val="en-US" w:eastAsia="zh-CN"/>
        </w:rPr>
        <w:t>7.1.4</w:t>
      </w:r>
      <w:r>
        <w:rPr>
          <w:rFonts w:hint="eastAsia"/>
          <w:color w:val="auto"/>
          <w:highlight w:val="none"/>
          <w:lang w:eastAsia="zh-CN"/>
        </w:rPr>
        <w:t>.</w:t>
      </w:r>
      <w:r>
        <w:rPr>
          <w:rFonts w:hint="eastAsia"/>
          <w:color w:val="auto"/>
          <w:highlight w:val="none"/>
          <w:lang w:val="en-US" w:eastAsia="zh-CN"/>
        </w:rPr>
        <w:t xml:space="preserve">5 </w:t>
      </w:r>
      <w:r>
        <w:rPr>
          <w:rFonts w:hint="eastAsia"/>
          <w:color w:val="auto"/>
          <w:highlight w:val="none"/>
          <w:lang w:eastAsia="zh-CN"/>
        </w:rPr>
        <w:t>危险废物管理措施</w:t>
      </w:r>
    </w:p>
    <w:p w14:paraId="63AE468B">
      <w:pPr>
        <w:bidi w:val="0"/>
        <w:rPr>
          <w:rFonts w:hint="eastAsia"/>
          <w:color w:val="auto"/>
          <w:highlight w:val="none"/>
        </w:rPr>
      </w:pPr>
      <w:r>
        <w:rPr>
          <w:rFonts w:hint="eastAsia"/>
          <w:color w:val="auto"/>
          <w:highlight w:val="none"/>
        </w:rPr>
        <w:t>为确保危险废物得到规范管理，防止二次污染，本项目危险废物日常管理应遵循以下要求：</w:t>
      </w:r>
    </w:p>
    <w:p w14:paraId="72FEA4AA">
      <w:pPr>
        <w:bidi w:val="0"/>
        <w:rPr>
          <w:rFonts w:hint="eastAsia"/>
          <w:color w:val="auto"/>
          <w:highlight w:val="none"/>
        </w:rPr>
      </w:pPr>
      <w:r>
        <w:rPr>
          <w:rFonts w:hint="eastAsia"/>
          <w:color w:val="auto"/>
          <w:highlight w:val="none"/>
        </w:rPr>
        <w:t>①专人管理与台账记录：指定专人负责危险废物的日常收集和管理，及时将危险废物清运至危废贮存库。对进出危废贮存库的危险废物均应详细记录，建立出入量及处置台账，确保账物相符。</w:t>
      </w:r>
    </w:p>
    <w:p w14:paraId="4E4A8A46">
      <w:pPr>
        <w:bidi w:val="0"/>
        <w:rPr>
          <w:rFonts w:hint="eastAsia"/>
          <w:color w:val="auto"/>
          <w:highlight w:val="none"/>
        </w:rPr>
      </w:pPr>
      <w:r>
        <w:rPr>
          <w:rFonts w:hint="eastAsia"/>
          <w:color w:val="auto"/>
          <w:highlight w:val="none"/>
        </w:rPr>
        <w:t>②识别标志设置：危险废物的容器、包装物以及收集、贮存、运输危险废物的设施、场所，必须按规范设置危险废物识别标志，标明废物类别、名称、危险特性等信息。</w:t>
      </w:r>
    </w:p>
    <w:p w14:paraId="4A9349ED">
      <w:pPr>
        <w:bidi w:val="0"/>
        <w:rPr>
          <w:rFonts w:hint="eastAsia"/>
          <w:color w:val="auto"/>
          <w:highlight w:val="none"/>
        </w:rPr>
      </w:pPr>
      <w:r>
        <w:rPr>
          <w:rFonts w:hint="eastAsia"/>
          <w:color w:val="auto"/>
          <w:highlight w:val="none"/>
        </w:rPr>
        <w:t>③定期检查与泄漏处置：定期对贮存危险废物的包装容器及贮存设施进行检查，发现破损、老化等问题应及时清理更换。贮存设施内清理出来的泄漏物、沾染物等一律按危险废物进行管理和处置。</w:t>
      </w:r>
    </w:p>
    <w:p w14:paraId="729DC049">
      <w:pPr>
        <w:bidi w:val="0"/>
        <w:rPr>
          <w:rFonts w:hint="eastAsia"/>
          <w:color w:val="auto"/>
          <w:highlight w:val="none"/>
        </w:rPr>
      </w:pPr>
      <w:r>
        <w:rPr>
          <w:rFonts w:hint="eastAsia"/>
          <w:color w:val="auto"/>
          <w:highlight w:val="none"/>
        </w:rPr>
        <w:t>④转移台账管理：建立危险废物转移登记台账，详细记录转移废物的名称、数量、时间、去向、运输工具、交接人及交接时间等信息，确保转移过程可追溯。</w:t>
      </w:r>
    </w:p>
    <w:p w14:paraId="179A738A">
      <w:pPr>
        <w:bidi w:val="0"/>
        <w:rPr>
          <w:rFonts w:hint="eastAsia"/>
          <w:color w:val="auto"/>
          <w:highlight w:val="none"/>
        </w:rPr>
      </w:pPr>
      <w:r>
        <w:rPr>
          <w:rFonts w:hint="eastAsia"/>
          <w:color w:val="auto"/>
          <w:highlight w:val="none"/>
        </w:rPr>
        <w:t>⑤转移全过程环境管理：</w:t>
      </w:r>
    </w:p>
    <w:p w14:paraId="12B145AE">
      <w:pPr>
        <w:bidi w:val="0"/>
        <w:rPr>
          <w:rFonts w:hint="eastAsia"/>
          <w:color w:val="auto"/>
          <w:highlight w:val="none"/>
        </w:rPr>
      </w:pPr>
      <w:r>
        <w:rPr>
          <w:rFonts w:hint="eastAsia"/>
          <w:color w:val="auto"/>
          <w:highlight w:val="none"/>
          <w:lang w:val="en-US" w:eastAsia="zh-CN"/>
        </w:rPr>
        <w:t>A.</w:t>
      </w:r>
      <w:r>
        <w:rPr>
          <w:rFonts w:hint="eastAsia"/>
          <w:color w:val="auto"/>
          <w:highlight w:val="none"/>
        </w:rPr>
        <w:t>依托福建省固体废物环境监管平台，实行危险废物电子联单管理，按照管理平台流程规范填报转移信息；</w:t>
      </w:r>
    </w:p>
    <w:p w14:paraId="5F63C4B9">
      <w:pPr>
        <w:bidi w:val="0"/>
        <w:rPr>
          <w:rFonts w:hint="eastAsia"/>
          <w:color w:val="auto"/>
          <w:highlight w:val="none"/>
        </w:rPr>
      </w:pPr>
      <w:r>
        <w:rPr>
          <w:rFonts w:hint="eastAsia"/>
          <w:color w:val="auto"/>
          <w:highlight w:val="none"/>
          <w:lang w:val="en-US" w:eastAsia="zh-CN"/>
        </w:rPr>
        <w:t>B.</w:t>
      </w:r>
      <w:r>
        <w:rPr>
          <w:rFonts w:hint="eastAsia"/>
          <w:color w:val="auto"/>
          <w:highlight w:val="none"/>
        </w:rPr>
        <w:t>严格执行《危险废物转移管理办法》，移出人、承运人、</w:t>
      </w:r>
      <w:r>
        <w:rPr>
          <w:rFonts w:hint="eastAsia"/>
          <w:color w:val="auto"/>
          <w:highlight w:val="none"/>
          <w:lang w:eastAsia="zh-CN"/>
        </w:rPr>
        <w:t>接收</w:t>
      </w:r>
      <w:r>
        <w:rPr>
          <w:rFonts w:hint="eastAsia"/>
          <w:color w:val="auto"/>
          <w:highlight w:val="none"/>
        </w:rPr>
        <w:t>人分别履行相应义务，确保转移过程合法合规；</w:t>
      </w:r>
    </w:p>
    <w:p w14:paraId="2B5CE36A">
      <w:pPr>
        <w:bidi w:val="0"/>
        <w:rPr>
          <w:rFonts w:hint="eastAsia"/>
          <w:color w:val="auto"/>
          <w:highlight w:val="none"/>
        </w:rPr>
      </w:pPr>
      <w:r>
        <w:rPr>
          <w:rFonts w:hint="eastAsia"/>
          <w:color w:val="auto"/>
          <w:highlight w:val="none"/>
          <w:lang w:val="en-US" w:eastAsia="zh-CN"/>
        </w:rPr>
        <w:t>C.</w:t>
      </w:r>
      <w:r>
        <w:rPr>
          <w:rFonts w:hint="eastAsia"/>
          <w:color w:val="auto"/>
          <w:highlight w:val="none"/>
        </w:rPr>
        <w:t>危险废物处置或利用单位必须具备相应资质和能力，禁止将危险废物出售给无加工或使用能力的单位和个人；</w:t>
      </w:r>
    </w:p>
    <w:p w14:paraId="2F7C2C1D">
      <w:pPr>
        <w:bidi w:val="0"/>
        <w:rPr>
          <w:rFonts w:hint="eastAsia"/>
          <w:color w:val="auto"/>
          <w:highlight w:val="none"/>
        </w:rPr>
      </w:pPr>
      <w:r>
        <w:rPr>
          <w:rFonts w:hint="eastAsia"/>
          <w:color w:val="auto"/>
          <w:highlight w:val="none"/>
          <w:lang w:val="en-US" w:eastAsia="zh-CN"/>
        </w:rPr>
        <w:t>D.</w:t>
      </w:r>
      <w:r>
        <w:rPr>
          <w:rFonts w:hint="eastAsia"/>
          <w:color w:val="auto"/>
          <w:highlight w:val="none"/>
        </w:rPr>
        <w:t>在委托处置前，应对受托单位的生产技术、设备、处理能力进行考察，确保处置过程不产生二次污染；</w:t>
      </w:r>
    </w:p>
    <w:p w14:paraId="15A34941">
      <w:pPr>
        <w:bidi w:val="0"/>
        <w:rPr>
          <w:rFonts w:hint="eastAsia"/>
          <w:color w:val="auto"/>
          <w:highlight w:val="none"/>
        </w:rPr>
      </w:pPr>
      <w:r>
        <w:rPr>
          <w:rFonts w:hint="eastAsia"/>
          <w:color w:val="auto"/>
          <w:highlight w:val="none"/>
          <w:lang w:val="en-US" w:eastAsia="zh-CN"/>
        </w:rPr>
        <w:t>E.</w:t>
      </w:r>
      <w:r>
        <w:rPr>
          <w:rFonts w:hint="eastAsia"/>
          <w:color w:val="auto"/>
          <w:highlight w:val="none"/>
        </w:rPr>
        <w:t>废物处置后进行跟踪回访，及时获取反馈信息，妥善处理遗留问题。</w:t>
      </w:r>
    </w:p>
    <w:p w14:paraId="7AF31BBE">
      <w:pPr>
        <w:bidi w:val="0"/>
        <w:rPr>
          <w:rFonts w:hint="eastAsia"/>
          <w:color w:val="auto"/>
          <w:highlight w:val="none"/>
        </w:rPr>
      </w:pPr>
      <w:r>
        <w:rPr>
          <w:rFonts w:hint="eastAsia"/>
          <w:color w:val="auto"/>
          <w:highlight w:val="none"/>
        </w:rPr>
        <w:t>综上所述，本项目产生的各类危险废物均有合理的处理途径，在严格落实上述管理要求的前提下，可有效防止二次环境污染。</w:t>
      </w:r>
    </w:p>
    <w:p w14:paraId="6AEA37E5">
      <w:pPr>
        <w:pStyle w:val="5"/>
        <w:numPr>
          <w:ilvl w:val="3"/>
          <w:numId w:val="0"/>
        </w:numPr>
        <w:bidi w:val="0"/>
        <w:ind w:leftChars="0"/>
        <w:rPr>
          <w:rFonts w:hint="eastAsia"/>
          <w:color w:val="auto"/>
          <w:highlight w:val="none"/>
        </w:rPr>
      </w:pPr>
      <w:r>
        <w:rPr>
          <w:rFonts w:hint="eastAsia"/>
          <w:color w:val="auto"/>
          <w:highlight w:val="none"/>
        </w:rPr>
        <w:t>7.1.4.</w:t>
      </w:r>
      <w:r>
        <w:rPr>
          <w:rFonts w:hint="eastAsia"/>
          <w:color w:val="auto"/>
          <w:highlight w:val="none"/>
          <w:lang w:val="en-US" w:eastAsia="zh-CN"/>
        </w:rPr>
        <w:t xml:space="preserve">6 </w:t>
      </w:r>
      <w:r>
        <w:rPr>
          <w:rFonts w:hint="eastAsia"/>
          <w:color w:val="auto"/>
          <w:highlight w:val="none"/>
        </w:rPr>
        <w:t>危险废物全过程信息化管理要求</w:t>
      </w:r>
    </w:p>
    <w:p w14:paraId="09AC49E4">
      <w:pPr>
        <w:bidi w:val="0"/>
        <w:rPr>
          <w:rFonts w:hint="eastAsia"/>
          <w:color w:val="auto"/>
          <w:highlight w:val="none"/>
        </w:rPr>
      </w:pPr>
      <w:r>
        <w:rPr>
          <w:rFonts w:hint="eastAsia"/>
          <w:color w:val="auto"/>
          <w:highlight w:val="none"/>
        </w:rPr>
        <w:t>根据生态环境部《关于进一步加强危险废物环境治理严密防控环境风险的指导意见》</w:t>
      </w:r>
      <w:r>
        <w:rPr>
          <w:rFonts w:hint="eastAsia"/>
          <w:color w:val="auto"/>
          <w:highlight w:val="none"/>
          <w:lang w:eastAsia="zh-CN"/>
        </w:rPr>
        <w:t>（环固体〔2025〕10号）</w:t>
      </w:r>
      <w:r>
        <w:rPr>
          <w:rFonts w:hint="eastAsia"/>
          <w:color w:val="auto"/>
          <w:highlight w:val="none"/>
        </w:rPr>
        <w:t>等文件要求，本项目应落实以下全过程信息化管理措施：</w:t>
      </w:r>
    </w:p>
    <w:p w14:paraId="5780C9E0">
      <w:pPr>
        <w:bidi w:val="0"/>
        <w:rPr>
          <w:rFonts w:hint="eastAsia" w:eastAsia="宋体"/>
          <w:color w:val="auto"/>
          <w:highlight w:val="none"/>
          <w:lang w:eastAsia="zh-CN"/>
        </w:rPr>
      </w:pPr>
      <w:r>
        <w:rPr>
          <w:rFonts w:hint="eastAsia"/>
          <w:color w:val="auto"/>
          <w:highlight w:val="none"/>
        </w:rPr>
        <w:t>（1）管理计划备案</w:t>
      </w:r>
    </w:p>
    <w:p w14:paraId="169474C6">
      <w:pPr>
        <w:bidi w:val="0"/>
        <w:rPr>
          <w:rFonts w:hint="eastAsia"/>
          <w:color w:val="auto"/>
          <w:highlight w:val="none"/>
        </w:rPr>
      </w:pPr>
      <w:r>
        <w:rPr>
          <w:rFonts w:hint="eastAsia"/>
          <w:color w:val="auto"/>
          <w:highlight w:val="none"/>
        </w:rPr>
        <w:t>每年3月31日前，通过福建省固体废物环境监管平台制定并报备危险废物管理计划，内容包括产生情况、委托处置情况及减量化措施等。</w:t>
      </w:r>
    </w:p>
    <w:p w14:paraId="3FDAF81F">
      <w:pPr>
        <w:bidi w:val="0"/>
        <w:rPr>
          <w:rFonts w:hint="eastAsia" w:eastAsia="宋体"/>
          <w:color w:val="auto"/>
          <w:highlight w:val="none"/>
          <w:lang w:eastAsia="zh-CN"/>
        </w:rPr>
      </w:pPr>
      <w:r>
        <w:rPr>
          <w:rFonts w:hint="eastAsia"/>
          <w:color w:val="auto"/>
          <w:highlight w:val="none"/>
        </w:rPr>
        <w:t>（2）</w:t>
      </w:r>
      <w:r>
        <w:rPr>
          <w:rFonts w:hint="eastAsia"/>
          <w:color w:val="auto"/>
          <w:highlight w:val="none"/>
          <w:lang w:eastAsia="zh-CN"/>
        </w:rPr>
        <w:t>“</w:t>
      </w:r>
      <w:r>
        <w:rPr>
          <w:rFonts w:hint="eastAsia"/>
          <w:color w:val="auto"/>
          <w:highlight w:val="none"/>
        </w:rPr>
        <w:t>五即</w:t>
      </w:r>
      <w:r>
        <w:rPr>
          <w:rFonts w:hint="eastAsia"/>
          <w:color w:val="auto"/>
          <w:highlight w:val="none"/>
          <w:lang w:eastAsia="zh-CN"/>
        </w:rPr>
        <w:t>”</w:t>
      </w:r>
      <w:r>
        <w:rPr>
          <w:rFonts w:hint="eastAsia"/>
          <w:color w:val="auto"/>
          <w:highlight w:val="none"/>
        </w:rPr>
        <w:t>规范化管理</w:t>
      </w:r>
    </w:p>
    <w:p w14:paraId="54B52593">
      <w:pPr>
        <w:bidi w:val="0"/>
        <w:rPr>
          <w:rFonts w:hint="eastAsia"/>
          <w:color w:val="auto"/>
          <w:highlight w:val="none"/>
        </w:rPr>
      </w:pPr>
      <w:r>
        <w:rPr>
          <w:rFonts w:hint="eastAsia"/>
          <w:color w:val="auto"/>
          <w:highlight w:val="none"/>
        </w:rPr>
        <w:t>实现危险废物</w:t>
      </w:r>
      <w:r>
        <w:rPr>
          <w:rFonts w:hint="eastAsia"/>
          <w:color w:val="auto"/>
          <w:highlight w:val="none"/>
          <w:lang w:eastAsia="zh-CN"/>
        </w:rPr>
        <w:t>“</w:t>
      </w:r>
      <w:r>
        <w:rPr>
          <w:rFonts w:hint="eastAsia"/>
          <w:color w:val="auto"/>
          <w:highlight w:val="none"/>
        </w:rPr>
        <w:t>即产生、即包装、即称重、即打码、即入库</w:t>
      </w:r>
      <w:r>
        <w:rPr>
          <w:rFonts w:hint="eastAsia"/>
          <w:color w:val="auto"/>
          <w:highlight w:val="none"/>
          <w:lang w:eastAsia="zh-CN"/>
        </w:rPr>
        <w:t>”</w:t>
      </w:r>
      <w:r>
        <w:rPr>
          <w:rFonts w:hint="eastAsia"/>
          <w:color w:val="auto"/>
          <w:highlight w:val="none"/>
        </w:rPr>
        <w:t>的</w:t>
      </w:r>
      <w:r>
        <w:rPr>
          <w:rFonts w:hint="eastAsia"/>
          <w:color w:val="auto"/>
          <w:highlight w:val="none"/>
          <w:lang w:eastAsia="zh-CN"/>
        </w:rPr>
        <w:t>“</w:t>
      </w:r>
      <w:r>
        <w:rPr>
          <w:rFonts w:hint="eastAsia"/>
          <w:color w:val="auto"/>
          <w:highlight w:val="none"/>
        </w:rPr>
        <w:t>五即</w:t>
      </w:r>
      <w:r>
        <w:rPr>
          <w:rFonts w:hint="eastAsia"/>
          <w:color w:val="auto"/>
          <w:highlight w:val="none"/>
          <w:lang w:eastAsia="zh-CN"/>
        </w:rPr>
        <w:t>”</w:t>
      </w:r>
      <w:r>
        <w:rPr>
          <w:rFonts w:hint="eastAsia"/>
          <w:color w:val="auto"/>
          <w:highlight w:val="none"/>
        </w:rPr>
        <w:t>规范化管理。电子标签二维码应包含废物名称、代码、产生日期、重量、危险特性等信息，通过</w:t>
      </w:r>
      <w:r>
        <w:rPr>
          <w:rFonts w:hint="eastAsia"/>
          <w:color w:val="auto"/>
          <w:highlight w:val="none"/>
          <w:lang w:eastAsia="zh-CN"/>
        </w:rPr>
        <w:t>“</w:t>
      </w:r>
      <w:r>
        <w:rPr>
          <w:rFonts w:hint="eastAsia"/>
          <w:color w:val="auto"/>
          <w:highlight w:val="none"/>
        </w:rPr>
        <w:t>一码贯通</w:t>
      </w:r>
      <w:r>
        <w:rPr>
          <w:rFonts w:hint="eastAsia"/>
          <w:color w:val="auto"/>
          <w:highlight w:val="none"/>
          <w:lang w:eastAsia="zh-CN"/>
        </w:rPr>
        <w:t>”</w:t>
      </w:r>
      <w:r>
        <w:rPr>
          <w:rFonts w:hint="eastAsia"/>
          <w:color w:val="auto"/>
          <w:highlight w:val="none"/>
        </w:rPr>
        <w:t>实现全过程跟踪管理。</w:t>
      </w:r>
    </w:p>
    <w:p w14:paraId="360D1A38">
      <w:pPr>
        <w:bidi w:val="0"/>
        <w:rPr>
          <w:rFonts w:hint="eastAsia" w:eastAsia="宋体"/>
          <w:color w:val="auto"/>
          <w:highlight w:val="none"/>
          <w:lang w:eastAsia="zh-CN"/>
        </w:rPr>
      </w:pPr>
      <w:r>
        <w:rPr>
          <w:rFonts w:hint="eastAsia"/>
          <w:color w:val="auto"/>
          <w:highlight w:val="none"/>
        </w:rPr>
        <w:t>（3）电子台账管理</w:t>
      </w:r>
    </w:p>
    <w:p w14:paraId="54F3409D">
      <w:pPr>
        <w:bidi w:val="0"/>
        <w:rPr>
          <w:rFonts w:hint="eastAsia"/>
          <w:color w:val="auto"/>
          <w:highlight w:val="none"/>
        </w:rPr>
      </w:pPr>
      <w:r>
        <w:rPr>
          <w:rFonts w:hint="eastAsia"/>
          <w:color w:val="auto"/>
          <w:highlight w:val="none"/>
        </w:rPr>
        <w:t>建立危险废物电子管理台账，实时记录产生、入库、出库环节信息，所有数据实时上传至省平台，原则上不允许后补台账。</w:t>
      </w:r>
    </w:p>
    <w:p w14:paraId="50EF52E5">
      <w:pPr>
        <w:bidi w:val="0"/>
        <w:rPr>
          <w:rFonts w:hint="eastAsia" w:eastAsia="宋体"/>
          <w:color w:val="auto"/>
          <w:highlight w:val="none"/>
          <w:lang w:eastAsia="zh-CN"/>
        </w:rPr>
      </w:pPr>
      <w:r>
        <w:rPr>
          <w:rFonts w:hint="eastAsia"/>
          <w:color w:val="auto"/>
          <w:highlight w:val="none"/>
        </w:rPr>
        <w:t>（4）电子转移联单</w:t>
      </w:r>
    </w:p>
    <w:p w14:paraId="35280E60">
      <w:pPr>
        <w:bidi w:val="0"/>
        <w:rPr>
          <w:rFonts w:hint="eastAsia"/>
          <w:color w:val="auto"/>
          <w:highlight w:val="none"/>
        </w:rPr>
      </w:pPr>
      <w:r>
        <w:rPr>
          <w:rFonts w:hint="eastAsia"/>
          <w:color w:val="auto"/>
          <w:highlight w:val="none"/>
        </w:rPr>
        <w:t>转移危险废物时，通过省平台运行电子转移联单，实行全流程无纸化运转，内容包括移出单位、运输单位、接收单位及转移危废的种类、数量等信息。</w:t>
      </w:r>
    </w:p>
    <w:p w14:paraId="310FAC6C">
      <w:pPr>
        <w:bidi w:val="0"/>
        <w:rPr>
          <w:rFonts w:hint="eastAsia" w:eastAsia="宋体"/>
          <w:color w:val="auto"/>
          <w:highlight w:val="none"/>
          <w:lang w:eastAsia="zh-CN"/>
        </w:rPr>
      </w:pPr>
      <w:r>
        <w:rPr>
          <w:rFonts w:hint="eastAsia"/>
          <w:color w:val="auto"/>
          <w:highlight w:val="none"/>
        </w:rPr>
        <w:t>（5）视频监控要求</w:t>
      </w:r>
    </w:p>
    <w:p w14:paraId="38795180">
      <w:pPr>
        <w:bidi w:val="0"/>
        <w:rPr>
          <w:rFonts w:hint="eastAsia"/>
          <w:color w:val="auto"/>
          <w:highlight w:val="none"/>
        </w:rPr>
      </w:pPr>
      <w:r>
        <w:rPr>
          <w:rFonts w:hint="eastAsia"/>
          <w:color w:val="auto"/>
          <w:highlight w:val="none"/>
        </w:rPr>
        <w:t>在称重区域、贮存场所、装卸区域及车辆出入口安装视频监控，确保画面清晰无盲区，视频记录保存至少3个月，并与省平台联网。</w:t>
      </w:r>
    </w:p>
    <w:p w14:paraId="7BF64B26">
      <w:pPr>
        <w:bidi w:val="0"/>
        <w:rPr>
          <w:rFonts w:hint="eastAsia" w:eastAsia="宋体"/>
          <w:color w:val="auto"/>
          <w:highlight w:val="none"/>
          <w:lang w:eastAsia="zh-CN"/>
        </w:rPr>
      </w:pPr>
      <w:r>
        <w:rPr>
          <w:rFonts w:hint="eastAsia"/>
          <w:color w:val="auto"/>
          <w:highlight w:val="none"/>
        </w:rPr>
        <w:t>（6）物联网技术应用</w:t>
      </w:r>
    </w:p>
    <w:p w14:paraId="511D5DC5">
      <w:pPr>
        <w:bidi w:val="0"/>
        <w:rPr>
          <w:rFonts w:hint="eastAsia"/>
          <w:color w:val="auto"/>
          <w:highlight w:val="none"/>
        </w:rPr>
      </w:pPr>
      <w:r>
        <w:rPr>
          <w:rFonts w:hint="eastAsia"/>
          <w:color w:val="auto"/>
          <w:highlight w:val="none"/>
        </w:rPr>
        <w:t>采用智能称重设备、二维码电子标签、手持终端等物联网手段，实现数据自动上传。液态废物储罐的液位监控数据应实时上传至省平台。</w:t>
      </w:r>
    </w:p>
    <w:p w14:paraId="28461663">
      <w:pPr>
        <w:bidi w:val="0"/>
        <w:rPr>
          <w:rFonts w:hint="eastAsia" w:eastAsia="宋体"/>
          <w:color w:val="auto"/>
          <w:highlight w:val="none"/>
          <w:lang w:eastAsia="zh-CN"/>
        </w:rPr>
      </w:pPr>
      <w:r>
        <w:rPr>
          <w:rFonts w:hint="eastAsia"/>
          <w:color w:val="auto"/>
          <w:highlight w:val="none"/>
        </w:rPr>
        <w:t>（7）台账保存期限</w:t>
      </w:r>
    </w:p>
    <w:p w14:paraId="16837457">
      <w:pPr>
        <w:bidi w:val="0"/>
        <w:rPr>
          <w:rFonts w:hint="eastAsia"/>
          <w:color w:val="auto"/>
          <w:highlight w:val="none"/>
        </w:rPr>
      </w:pPr>
      <w:r>
        <w:rPr>
          <w:rFonts w:hint="eastAsia"/>
          <w:color w:val="auto"/>
          <w:highlight w:val="none"/>
        </w:rPr>
        <w:t>危险废物管理台账、转移联单等记录保存期限不少于5年。</w:t>
      </w:r>
    </w:p>
    <w:p w14:paraId="79DB284F">
      <w:pPr>
        <w:pStyle w:val="4"/>
        <w:numPr>
          <w:ilvl w:val="0"/>
          <w:numId w:val="0"/>
        </w:numPr>
        <w:tabs>
          <w:tab w:val="clear" w:pos="720"/>
        </w:tabs>
        <w:bidi w:val="0"/>
        <w:rPr>
          <w:color w:val="auto"/>
          <w:highlight w:val="none"/>
        </w:rPr>
      </w:pPr>
      <w:bookmarkStart w:id="958" w:name="_Toc17878"/>
      <w:bookmarkStart w:id="959" w:name="_Toc28474"/>
      <w:bookmarkStart w:id="960" w:name="_Toc23574"/>
      <w:bookmarkStart w:id="961" w:name="_Toc311"/>
      <w:bookmarkStart w:id="962" w:name="_Toc31438"/>
      <w:bookmarkStart w:id="963" w:name="_Toc27837"/>
      <w:bookmarkStart w:id="964" w:name="_Toc7459"/>
      <w:bookmarkStart w:id="965" w:name="_Toc11528"/>
      <w:bookmarkStart w:id="966" w:name="_Toc22317"/>
      <w:r>
        <w:rPr>
          <w:rFonts w:hint="eastAsia"/>
          <w:color w:val="auto"/>
          <w:highlight w:val="none"/>
          <w:lang w:eastAsia="zh-CN"/>
        </w:rPr>
        <w:t>7.1</w:t>
      </w:r>
      <w:r>
        <w:rPr>
          <w:color w:val="auto"/>
          <w:highlight w:val="none"/>
        </w:rPr>
        <w:t>.5</w:t>
      </w:r>
      <w:r>
        <w:rPr>
          <w:rFonts w:hint="eastAsia"/>
          <w:color w:val="auto"/>
          <w:highlight w:val="none"/>
          <w:lang w:val="en-US" w:eastAsia="zh-CN"/>
        </w:rPr>
        <w:t xml:space="preserve"> </w:t>
      </w:r>
      <w:r>
        <w:rPr>
          <w:color w:val="auto"/>
          <w:highlight w:val="none"/>
        </w:rPr>
        <w:t>地下水污染防治措施</w:t>
      </w:r>
      <w:bookmarkEnd w:id="952"/>
      <w:bookmarkEnd w:id="953"/>
      <w:bookmarkEnd w:id="954"/>
      <w:bookmarkEnd w:id="958"/>
      <w:bookmarkEnd w:id="959"/>
      <w:bookmarkEnd w:id="960"/>
      <w:bookmarkEnd w:id="961"/>
      <w:bookmarkEnd w:id="962"/>
      <w:bookmarkEnd w:id="963"/>
      <w:bookmarkEnd w:id="964"/>
      <w:bookmarkEnd w:id="965"/>
      <w:bookmarkEnd w:id="966"/>
    </w:p>
    <w:bookmarkEnd w:id="955"/>
    <w:bookmarkEnd w:id="956"/>
    <w:bookmarkEnd w:id="957"/>
    <w:p w14:paraId="020905B7">
      <w:pPr>
        <w:pStyle w:val="5"/>
        <w:numPr>
          <w:ilvl w:val="0"/>
          <w:numId w:val="0"/>
        </w:numPr>
        <w:bidi w:val="0"/>
        <w:ind w:leftChars="0"/>
        <w:rPr>
          <w:color w:val="auto"/>
          <w:highlight w:val="none"/>
        </w:rPr>
      </w:pPr>
      <w:bookmarkStart w:id="967" w:name="_Toc455602563"/>
      <w:bookmarkEnd w:id="967"/>
      <w:bookmarkStart w:id="968" w:name="_Toc455602562"/>
      <w:bookmarkEnd w:id="968"/>
      <w:bookmarkStart w:id="969" w:name="_Toc455602557"/>
      <w:bookmarkEnd w:id="969"/>
      <w:bookmarkStart w:id="970" w:name="_Toc455602558"/>
      <w:bookmarkEnd w:id="970"/>
      <w:bookmarkStart w:id="971" w:name="_Toc455602559"/>
      <w:bookmarkEnd w:id="971"/>
      <w:bookmarkStart w:id="972" w:name="_Toc455602561"/>
      <w:bookmarkEnd w:id="972"/>
      <w:bookmarkStart w:id="973" w:name="_Toc455602556"/>
      <w:bookmarkEnd w:id="973"/>
      <w:bookmarkStart w:id="974" w:name="_Toc455602560"/>
      <w:bookmarkEnd w:id="974"/>
      <w:bookmarkStart w:id="975" w:name="_Toc455602555"/>
      <w:bookmarkEnd w:id="975"/>
      <w:r>
        <w:rPr>
          <w:rFonts w:hint="eastAsia"/>
          <w:color w:val="auto"/>
          <w:highlight w:val="none"/>
          <w:lang w:eastAsia="zh-CN"/>
        </w:rPr>
        <w:t>7.1</w:t>
      </w:r>
      <w:r>
        <w:rPr>
          <w:color w:val="auto"/>
          <w:highlight w:val="none"/>
        </w:rPr>
        <w:t>.5.1</w:t>
      </w:r>
      <w:r>
        <w:rPr>
          <w:rFonts w:hint="eastAsia"/>
          <w:color w:val="auto"/>
          <w:highlight w:val="none"/>
          <w:lang w:val="en-US" w:eastAsia="zh-CN"/>
        </w:rPr>
        <w:t xml:space="preserve"> </w:t>
      </w:r>
      <w:r>
        <w:rPr>
          <w:color w:val="auto"/>
          <w:highlight w:val="none"/>
        </w:rPr>
        <w:t>地下水分区防渗措施</w:t>
      </w:r>
    </w:p>
    <w:p w14:paraId="2202F5A2">
      <w:pPr>
        <w:bidi w:val="0"/>
        <w:rPr>
          <w:rFonts w:hint="eastAsia"/>
          <w:b/>
          <w:bCs/>
          <w:color w:val="auto"/>
          <w:highlight w:val="none"/>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lang w:eastAsia="zh-CN"/>
        </w:rPr>
        <w:t>）</w:t>
      </w:r>
      <w:r>
        <w:rPr>
          <w:rFonts w:hint="eastAsia"/>
          <w:b/>
          <w:bCs/>
          <w:color w:val="auto"/>
          <w:highlight w:val="none"/>
        </w:rPr>
        <w:t>源头控制措施</w:t>
      </w:r>
    </w:p>
    <w:p w14:paraId="17AE280B">
      <w:pPr>
        <w:bidi w:val="0"/>
        <w:rPr>
          <w:rFonts w:hint="eastAsia"/>
          <w:color w:val="auto"/>
          <w:highlight w:val="none"/>
        </w:rPr>
      </w:pPr>
      <w:r>
        <w:rPr>
          <w:rFonts w:hint="eastAsia"/>
          <w:color w:val="auto"/>
          <w:highlight w:val="none"/>
        </w:rPr>
        <w:t>从源头减少污染物泄漏风险，是地下水污染防治的根本措施。本项目拟采取以下源头控制措施：</w:t>
      </w:r>
    </w:p>
    <w:p w14:paraId="308AB259">
      <w:pPr>
        <w:bidi w:val="0"/>
        <w:rPr>
          <w:rFonts w:hint="eastAsia"/>
          <w:color w:val="auto"/>
          <w:highlight w:val="none"/>
        </w:rPr>
      </w:pPr>
      <w:r>
        <w:rPr>
          <w:rFonts w:hint="default"/>
          <w:color w:val="auto"/>
          <w:highlight w:val="none"/>
        </w:rPr>
        <w:t>①</w:t>
      </w:r>
      <w:r>
        <w:rPr>
          <w:rFonts w:hint="eastAsia"/>
          <w:color w:val="auto"/>
          <w:highlight w:val="none"/>
        </w:rPr>
        <w:t>工艺装置及管道设计均采用成熟可靠的技术和工艺，选用耐腐蚀材料，减少跑、冒、滴、漏现象的发生。</w:t>
      </w:r>
    </w:p>
    <w:p w14:paraId="4F0BA2C4">
      <w:pPr>
        <w:bidi w:val="0"/>
        <w:rPr>
          <w:rFonts w:hint="eastAsia"/>
          <w:color w:val="auto"/>
          <w:highlight w:val="none"/>
        </w:rPr>
      </w:pPr>
      <w:r>
        <w:rPr>
          <w:rFonts w:hint="default"/>
          <w:color w:val="auto"/>
          <w:highlight w:val="none"/>
        </w:rPr>
        <w:t>②</w:t>
      </w:r>
      <w:r>
        <w:rPr>
          <w:rFonts w:hint="eastAsia"/>
          <w:color w:val="auto"/>
          <w:highlight w:val="none"/>
        </w:rPr>
        <w:t>设备安装及管线敷设遵从</w:t>
      </w:r>
      <w:r>
        <w:rPr>
          <w:rFonts w:hint="eastAsia"/>
          <w:color w:val="auto"/>
          <w:highlight w:val="none"/>
          <w:lang w:eastAsia="zh-CN"/>
        </w:rPr>
        <w:t>“</w:t>
      </w:r>
      <w:r>
        <w:rPr>
          <w:rFonts w:hint="eastAsia"/>
          <w:color w:val="auto"/>
          <w:highlight w:val="none"/>
        </w:rPr>
        <w:t>可视化</w:t>
      </w:r>
      <w:r>
        <w:rPr>
          <w:rFonts w:hint="eastAsia"/>
          <w:color w:val="auto"/>
          <w:highlight w:val="none"/>
          <w:lang w:eastAsia="zh-CN"/>
        </w:rPr>
        <w:t>”</w:t>
      </w:r>
      <w:r>
        <w:rPr>
          <w:rFonts w:hint="eastAsia"/>
          <w:color w:val="auto"/>
          <w:highlight w:val="none"/>
        </w:rPr>
        <w:t>原则，设备在符合技术规范的前提下尽量架空，工艺管道尽可能地上敷设，做到污染物</w:t>
      </w:r>
      <w:r>
        <w:rPr>
          <w:rFonts w:hint="eastAsia"/>
          <w:color w:val="auto"/>
          <w:highlight w:val="none"/>
          <w:lang w:eastAsia="zh-CN"/>
        </w:rPr>
        <w:t>“</w:t>
      </w:r>
      <w:r>
        <w:rPr>
          <w:rFonts w:hint="eastAsia"/>
          <w:color w:val="auto"/>
          <w:highlight w:val="none"/>
        </w:rPr>
        <w:t>早发现、早处理</w:t>
      </w:r>
      <w:r>
        <w:rPr>
          <w:rFonts w:hint="eastAsia"/>
          <w:color w:val="auto"/>
          <w:highlight w:val="none"/>
          <w:lang w:eastAsia="zh-CN"/>
        </w:rPr>
        <w:t>”</w:t>
      </w:r>
      <w:r>
        <w:rPr>
          <w:rFonts w:hint="eastAsia"/>
          <w:color w:val="auto"/>
          <w:highlight w:val="none"/>
        </w:rPr>
        <w:t>，避免因埋地管道泄漏造成地下水污染且难以察觉。</w:t>
      </w:r>
    </w:p>
    <w:p w14:paraId="0F946E8D">
      <w:pPr>
        <w:bidi w:val="0"/>
        <w:rPr>
          <w:rFonts w:hint="eastAsia"/>
          <w:color w:val="auto"/>
          <w:highlight w:val="none"/>
        </w:rPr>
      </w:pPr>
      <w:r>
        <w:rPr>
          <w:rFonts w:hint="default"/>
          <w:color w:val="auto"/>
          <w:highlight w:val="none"/>
        </w:rPr>
        <w:t>③</w:t>
      </w:r>
      <w:r>
        <w:rPr>
          <w:rFonts w:hint="eastAsia"/>
          <w:color w:val="auto"/>
          <w:highlight w:val="none"/>
        </w:rPr>
        <w:t>管道选用耐腐蚀材质，管道连接处采用可靠的密封措施，定期巡检维护，发现泄漏及时修复。</w:t>
      </w:r>
    </w:p>
    <w:p w14:paraId="7301916D">
      <w:pPr>
        <w:bidi w:val="0"/>
        <w:rPr>
          <w:rFonts w:hint="eastAsia"/>
          <w:b/>
          <w:bCs/>
          <w:color w:val="auto"/>
          <w:highlight w:val="none"/>
        </w:rPr>
      </w:pPr>
      <w:r>
        <w:rPr>
          <w:rFonts w:hint="eastAsia"/>
          <w:b/>
          <w:bCs/>
          <w:color w:val="auto"/>
          <w:highlight w:val="none"/>
          <w:lang w:eastAsia="zh-CN"/>
        </w:rPr>
        <w:t>（</w:t>
      </w:r>
      <w:r>
        <w:rPr>
          <w:rFonts w:hint="eastAsia"/>
          <w:b/>
          <w:bCs/>
          <w:color w:val="auto"/>
          <w:highlight w:val="none"/>
          <w:lang w:val="en-US" w:eastAsia="zh-CN"/>
        </w:rPr>
        <w:t>2</w:t>
      </w:r>
      <w:r>
        <w:rPr>
          <w:rFonts w:hint="eastAsia"/>
          <w:b/>
          <w:bCs/>
          <w:color w:val="auto"/>
          <w:highlight w:val="none"/>
          <w:lang w:eastAsia="zh-CN"/>
        </w:rPr>
        <w:t>）</w:t>
      </w:r>
      <w:r>
        <w:rPr>
          <w:rFonts w:hint="eastAsia"/>
          <w:b/>
          <w:bCs/>
          <w:color w:val="auto"/>
          <w:highlight w:val="none"/>
        </w:rPr>
        <w:t>分区防渗措施</w:t>
      </w:r>
    </w:p>
    <w:p w14:paraId="2A7AAE45">
      <w:pPr>
        <w:bidi w:val="0"/>
        <w:rPr>
          <w:rFonts w:hint="eastAsia"/>
          <w:color w:val="auto"/>
          <w:highlight w:val="none"/>
        </w:rPr>
      </w:pPr>
      <w:r>
        <w:rPr>
          <w:rFonts w:hint="eastAsia"/>
          <w:color w:val="auto"/>
          <w:highlight w:val="none"/>
        </w:rPr>
        <w:t>本项目厂区划分为重点防渗区、一般防渗区和简单防渗区。</w:t>
      </w:r>
    </w:p>
    <w:p w14:paraId="198324CC">
      <w:pPr>
        <w:bidi w:val="0"/>
        <w:rPr>
          <w:rFonts w:hint="eastAsia" w:eastAsia="宋体"/>
          <w:b/>
          <w:bCs/>
          <w:color w:val="auto"/>
          <w:highlight w:val="none"/>
          <w:lang w:eastAsia="zh-CN"/>
        </w:rPr>
      </w:pPr>
      <w:r>
        <w:rPr>
          <w:rFonts w:hint="eastAsia"/>
          <w:b/>
          <w:bCs/>
          <w:color w:val="auto"/>
          <w:highlight w:val="none"/>
        </w:rPr>
        <w:t>（一）重点防渗区防渗</w:t>
      </w:r>
    </w:p>
    <w:p w14:paraId="3107C3A5">
      <w:pPr>
        <w:bidi w:val="0"/>
        <w:rPr>
          <w:rFonts w:hint="eastAsia"/>
          <w:color w:val="auto"/>
          <w:highlight w:val="none"/>
        </w:rPr>
      </w:pPr>
      <w:r>
        <w:rPr>
          <w:rFonts w:hint="eastAsia"/>
          <w:color w:val="auto"/>
          <w:highlight w:val="none"/>
        </w:rPr>
        <w:t>重点防渗区包括危废贮存库、A库厂房（生产区、辅料仓库）。</w:t>
      </w:r>
      <w:r>
        <w:rPr>
          <w:color w:val="auto"/>
          <w:highlight w:val="none"/>
        </w:rPr>
        <w:t>防渗技术要求：等效黏土防渗层Mb≥6.0m，K≤1×10</w:t>
      </w:r>
      <w:r>
        <w:rPr>
          <w:color w:val="auto"/>
          <w:highlight w:val="none"/>
          <w:vertAlign w:val="superscript"/>
        </w:rPr>
        <w:t>-7</w:t>
      </w:r>
      <w:r>
        <w:rPr>
          <w:color w:val="auto"/>
          <w:highlight w:val="none"/>
        </w:rPr>
        <w:t xml:space="preserve">cm/s </w:t>
      </w:r>
      <w:r>
        <w:rPr>
          <w:rFonts w:hint="eastAsia"/>
          <w:color w:val="auto"/>
          <w:highlight w:val="none"/>
          <w:lang w:eastAsia="zh-CN"/>
        </w:rPr>
        <w:t>，</w:t>
      </w:r>
      <w:r>
        <w:rPr>
          <w:color w:val="auto"/>
          <w:highlight w:val="none"/>
        </w:rPr>
        <w:t>参照</w:t>
      </w:r>
      <w:r>
        <w:rPr>
          <w:rFonts w:hint="eastAsia"/>
          <w:color w:val="auto"/>
          <w:highlight w:val="none"/>
        </w:rPr>
        <w:t>《危险废物贮存污染控制标准》（GB18597-2023）</w:t>
      </w:r>
      <w:r>
        <w:rPr>
          <w:color w:val="auto"/>
          <w:highlight w:val="none"/>
        </w:rPr>
        <w:t>执行。</w:t>
      </w:r>
    </w:p>
    <w:p w14:paraId="6733ED1A">
      <w:pPr>
        <w:bidi w:val="0"/>
        <w:rPr>
          <w:rFonts w:hint="eastAsia" w:eastAsia="宋体"/>
          <w:b/>
          <w:bCs/>
          <w:color w:val="auto"/>
          <w:highlight w:val="none"/>
          <w:lang w:eastAsia="zh-CN"/>
        </w:rPr>
      </w:pPr>
      <w:r>
        <w:rPr>
          <w:rFonts w:hint="eastAsia"/>
          <w:b/>
          <w:bCs/>
          <w:color w:val="auto"/>
          <w:highlight w:val="none"/>
        </w:rPr>
        <w:t>（二）一般防渗区防渗</w:t>
      </w:r>
    </w:p>
    <w:p w14:paraId="451606F3">
      <w:pPr>
        <w:bidi w:val="0"/>
        <w:rPr>
          <w:color w:val="auto"/>
          <w:highlight w:val="none"/>
        </w:rPr>
      </w:pPr>
      <w:r>
        <w:rPr>
          <w:rFonts w:hint="eastAsia"/>
          <w:color w:val="auto"/>
          <w:highlight w:val="none"/>
        </w:rPr>
        <w:t>一般防渗区包括</w:t>
      </w:r>
      <w:r>
        <w:rPr>
          <w:rFonts w:hint="eastAsia"/>
          <w:color w:val="auto"/>
          <w:highlight w:val="none"/>
          <w:lang w:val="en-US" w:eastAsia="zh-CN"/>
        </w:rPr>
        <w:t>A库厂房其他区域、B库厂房</w:t>
      </w:r>
      <w:r>
        <w:rPr>
          <w:rFonts w:hint="eastAsia"/>
          <w:color w:val="auto"/>
          <w:highlight w:val="none"/>
        </w:rPr>
        <w:t>、一般固废暂存间。</w:t>
      </w:r>
      <w:r>
        <w:rPr>
          <w:color w:val="auto"/>
          <w:highlight w:val="none"/>
        </w:rPr>
        <w:t>防渗技术要求：等效黏土防渗层Mb≥1.5m，K≤1×10</w:t>
      </w:r>
      <w:r>
        <w:rPr>
          <w:color w:val="auto"/>
          <w:highlight w:val="none"/>
          <w:vertAlign w:val="superscript"/>
        </w:rPr>
        <w:t>-7</w:t>
      </w:r>
      <w:r>
        <w:rPr>
          <w:color w:val="auto"/>
          <w:highlight w:val="none"/>
        </w:rPr>
        <w:t>cm/s；参照《一般工业固体废物贮存和填埋污染控制标准》（GB18599-2020）执行。</w:t>
      </w:r>
    </w:p>
    <w:p w14:paraId="063F663C">
      <w:pPr>
        <w:bidi w:val="0"/>
        <w:rPr>
          <w:rFonts w:hint="eastAsia" w:eastAsia="宋体"/>
          <w:b/>
          <w:bCs/>
          <w:color w:val="auto"/>
          <w:highlight w:val="none"/>
          <w:lang w:eastAsia="zh-CN"/>
        </w:rPr>
      </w:pPr>
      <w:r>
        <w:rPr>
          <w:rFonts w:hint="eastAsia"/>
          <w:b/>
          <w:bCs/>
          <w:color w:val="auto"/>
          <w:highlight w:val="none"/>
        </w:rPr>
        <w:t>（三）简单防渗区</w:t>
      </w:r>
    </w:p>
    <w:p w14:paraId="215FF22E">
      <w:pPr>
        <w:bidi w:val="0"/>
        <w:rPr>
          <w:rFonts w:hint="eastAsia"/>
          <w:color w:val="auto"/>
          <w:highlight w:val="none"/>
        </w:rPr>
      </w:pPr>
      <w:r>
        <w:rPr>
          <w:rFonts w:hint="eastAsia"/>
          <w:color w:val="auto"/>
          <w:highlight w:val="none"/>
        </w:rPr>
        <w:t>办公楼、配电房等区域采用一般地面硬化即可。</w:t>
      </w:r>
    </w:p>
    <w:p w14:paraId="33DFAFF9">
      <w:pPr>
        <w:bidi w:val="0"/>
        <w:ind w:left="0" w:leftChars="0" w:firstLine="0" w:firstLineChars="0"/>
        <w:jc w:val="center"/>
        <w:outlineLvl w:val="9"/>
        <w:rPr>
          <w:rFonts w:hint="eastAsia"/>
          <w:color w:val="auto"/>
          <w:highlight w:val="none"/>
          <w:lang w:val="en-US" w:eastAsia="zh-CN"/>
        </w:rPr>
      </w:pPr>
      <w:r>
        <w:rPr>
          <w:color w:val="auto"/>
          <w:highlight w:val="none"/>
        </w:rPr>
        <w:drawing>
          <wp:anchor distT="0" distB="0" distL="114300" distR="114300" simplePos="0" relativeHeight="251691008" behindDoc="0" locked="0" layoutInCell="1" allowOverlap="1">
            <wp:simplePos x="0" y="0"/>
            <wp:positionH relativeFrom="column">
              <wp:posOffset>4257040</wp:posOffset>
            </wp:positionH>
            <wp:positionV relativeFrom="paragraph">
              <wp:posOffset>85090</wp:posOffset>
            </wp:positionV>
            <wp:extent cx="725170" cy="851535"/>
            <wp:effectExtent l="0" t="0" r="17780" b="5715"/>
            <wp:wrapNone/>
            <wp:docPr id="2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3"/>
                    <pic:cNvPicPr>
                      <a:picLocks noChangeAspect="1"/>
                    </pic:cNvPicPr>
                  </pic:nvPicPr>
                  <pic:blipFill>
                    <a:blip r:embed="rId96"/>
                    <a:stretch>
                      <a:fillRect/>
                    </a:stretch>
                  </pic:blipFill>
                  <pic:spPr>
                    <a:xfrm>
                      <a:off x="0" y="0"/>
                      <a:ext cx="725170" cy="851535"/>
                    </a:xfrm>
                    <a:prstGeom prst="rect">
                      <a:avLst/>
                    </a:prstGeom>
                    <a:noFill/>
                    <a:ln>
                      <a:noFill/>
                    </a:ln>
                  </pic:spPr>
                </pic:pic>
              </a:graphicData>
            </a:graphic>
          </wp:anchor>
        </w:drawing>
      </w:r>
      <w:r>
        <w:rPr>
          <w:color w:val="auto"/>
          <w:highlight w:val="none"/>
        </w:rPr>
        <w:drawing>
          <wp:inline distT="0" distB="0" distL="114300" distR="114300">
            <wp:extent cx="4951095" cy="3804920"/>
            <wp:effectExtent l="0" t="0" r="1905" b="5080"/>
            <wp:docPr id="2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5"/>
                    <pic:cNvPicPr>
                      <a:picLocks noChangeAspect="1"/>
                    </pic:cNvPicPr>
                  </pic:nvPicPr>
                  <pic:blipFill>
                    <a:blip r:embed="rId97"/>
                    <a:stretch>
                      <a:fillRect/>
                    </a:stretch>
                  </pic:blipFill>
                  <pic:spPr>
                    <a:xfrm>
                      <a:off x="0" y="0"/>
                      <a:ext cx="4951095" cy="3804920"/>
                    </a:xfrm>
                    <a:prstGeom prst="rect">
                      <a:avLst/>
                    </a:prstGeom>
                    <a:noFill/>
                    <a:ln>
                      <a:noFill/>
                    </a:ln>
                  </pic:spPr>
                </pic:pic>
              </a:graphicData>
            </a:graphic>
          </wp:inline>
        </w:drawing>
      </w:r>
    </w:p>
    <w:p w14:paraId="5FB2F4D1">
      <w:pPr>
        <w:pStyle w:val="8"/>
        <w:bidi w:val="0"/>
        <w:rPr>
          <w:color w:val="auto"/>
          <w:highlight w:val="none"/>
        </w:rPr>
      </w:pPr>
      <w:r>
        <w:rPr>
          <w:rFonts w:hint="eastAsia"/>
          <w:color w:val="auto"/>
          <w:highlight w:val="none"/>
          <w:lang w:val="en-US" w:eastAsia="zh-CN"/>
        </w:rPr>
        <w:t>图7.1-2  厂区分区防渗图</w:t>
      </w:r>
    </w:p>
    <w:p w14:paraId="7A726AA8">
      <w:pPr>
        <w:pStyle w:val="5"/>
        <w:numPr>
          <w:ilvl w:val="0"/>
          <w:numId w:val="0"/>
        </w:numPr>
        <w:bidi w:val="0"/>
        <w:ind w:leftChars="0"/>
        <w:rPr>
          <w:color w:val="auto"/>
          <w:highlight w:val="none"/>
        </w:rPr>
      </w:pPr>
      <w:r>
        <w:rPr>
          <w:rFonts w:hint="eastAsia"/>
          <w:color w:val="auto"/>
          <w:highlight w:val="none"/>
          <w:lang w:eastAsia="zh-CN"/>
        </w:rPr>
        <w:t>7.1</w:t>
      </w:r>
      <w:r>
        <w:rPr>
          <w:color w:val="auto"/>
          <w:highlight w:val="none"/>
        </w:rPr>
        <w:t>.5.</w:t>
      </w:r>
      <w:r>
        <w:rPr>
          <w:rFonts w:hint="eastAsia"/>
          <w:color w:val="auto"/>
          <w:highlight w:val="none"/>
          <w:lang w:val="en-US" w:eastAsia="zh-CN"/>
        </w:rPr>
        <w:t xml:space="preserve">2 </w:t>
      </w:r>
      <w:r>
        <w:rPr>
          <w:color w:val="auto"/>
          <w:highlight w:val="none"/>
        </w:rPr>
        <w:t>污染监控</w:t>
      </w:r>
    </w:p>
    <w:p w14:paraId="79FE2413">
      <w:pPr>
        <w:bidi w:val="0"/>
        <w:rPr>
          <w:color w:val="auto"/>
          <w:highlight w:val="none"/>
        </w:rPr>
      </w:pPr>
      <w:r>
        <w:rPr>
          <w:color w:val="auto"/>
          <w:highlight w:val="none"/>
        </w:rPr>
        <w:t>在项目地下水下游设置地下水污染跟踪监测井，对地下水污染进行跟踪监控。</w:t>
      </w:r>
    </w:p>
    <w:p w14:paraId="67EFE508">
      <w:pPr>
        <w:pStyle w:val="4"/>
        <w:numPr>
          <w:ilvl w:val="0"/>
          <w:numId w:val="0"/>
        </w:numPr>
        <w:tabs>
          <w:tab w:val="clear" w:pos="720"/>
        </w:tabs>
        <w:bidi w:val="0"/>
        <w:rPr>
          <w:color w:val="auto"/>
          <w:highlight w:val="none"/>
        </w:rPr>
      </w:pPr>
      <w:bookmarkStart w:id="976" w:name="_Toc30104"/>
      <w:bookmarkStart w:id="977" w:name="_Toc8237"/>
      <w:bookmarkStart w:id="978" w:name="_Toc20637"/>
      <w:bookmarkStart w:id="979" w:name="_Toc15105"/>
      <w:bookmarkStart w:id="980" w:name="_Toc3107"/>
      <w:bookmarkStart w:id="981" w:name="_Toc7582"/>
      <w:bookmarkStart w:id="982" w:name="_Toc24254"/>
      <w:bookmarkStart w:id="983" w:name="_Toc4045"/>
      <w:bookmarkStart w:id="984" w:name="_Toc30143"/>
      <w:r>
        <w:rPr>
          <w:rFonts w:hint="eastAsia"/>
          <w:color w:val="auto"/>
          <w:highlight w:val="none"/>
          <w:lang w:eastAsia="zh-CN"/>
        </w:rPr>
        <w:t>7.1</w:t>
      </w:r>
      <w:r>
        <w:rPr>
          <w:color w:val="auto"/>
          <w:highlight w:val="none"/>
        </w:rPr>
        <w:t>.6</w:t>
      </w:r>
      <w:r>
        <w:rPr>
          <w:rFonts w:hint="eastAsia"/>
          <w:color w:val="auto"/>
          <w:highlight w:val="none"/>
          <w:lang w:val="en-US" w:eastAsia="zh-CN"/>
        </w:rPr>
        <w:t xml:space="preserve"> </w:t>
      </w:r>
      <w:r>
        <w:rPr>
          <w:color w:val="auto"/>
          <w:highlight w:val="none"/>
        </w:rPr>
        <w:t>土壤污染防治措施</w:t>
      </w:r>
      <w:bookmarkEnd w:id="976"/>
      <w:bookmarkEnd w:id="977"/>
      <w:bookmarkEnd w:id="978"/>
      <w:bookmarkEnd w:id="979"/>
      <w:bookmarkEnd w:id="980"/>
      <w:bookmarkEnd w:id="981"/>
      <w:bookmarkEnd w:id="982"/>
      <w:bookmarkEnd w:id="983"/>
      <w:bookmarkEnd w:id="984"/>
    </w:p>
    <w:p w14:paraId="4C20F6B1">
      <w:pPr>
        <w:bidi w:val="0"/>
        <w:rPr>
          <w:color w:val="auto"/>
          <w:highlight w:val="none"/>
        </w:rPr>
      </w:pPr>
      <w:r>
        <w:rPr>
          <w:color w:val="auto"/>
          <w:highlight w:val="none"/>
        </w:rPr>
        <w:t>针对项目的土壤污染途径，项目拟采取以下土壤污染防治措施：</w:t>
      </w:r>
    </w:p>
    <w:p w14:paraId="07E1260B">
      <w:pPr>
        <w:bidi w:val="0"/>
        <w:rPr>
          <w:color w:val="auto"/>
          <w:highlight w:val="none"/>
        </w:rPr>
      </w:pPr>
      <w:r>
        <w:rPr>
          <w:color w:val="auto"/>
          <w:highlight w:val="none"/>
        </w:rPr>
        <w:t>（1）加强危废、化学品原料的日常检查，保证容器的完好程度，对意外操作的</w:t>
      </w:r>
      <w:r>
        <w:rPr>
          <w:rFonts w:hint="eastAsia"/>
          <w:color w:val="auto"/>
          <w:highlight w:val="none"/>
          <w:lang w:eastAsia="zh-CN"/>
        </w:rPr>
        <w:t>“</w:t>
      </w:r>
      <w:r>
        <w:rPr>
          <w:color w:val="auto"/>
          <w:highlight w:val="none"/>
        </w:rPr>
        <w:t>跑、冒、滴、漏</w:t>
      </w:r>
      <w:r>
        <w:rPr>
          <w:rFonts w:hint="eastAsia"/>
          <w:color w:val="auto"/>
          <w:highlight w:val="none"/>
          <w:lang w:eastAsia="zh-CN"/>
        </w:rPr>
        <w:t>”</w:t>
      </w:r>
      <w:r>
        <w:rPr>
          <w:color w:val="auto"/>
          <w:highlight w:val="none"/>
        </w:rPr>
        <w:t>的少量污染物应及时收集处理。</w:t>
      </w:r>
    </w:p>
    <w:p w14:paraId="683BDA4B">
      <w:pPr>
        <w:bidi w:val="0"/>
        <w:rPr>
          <w:color w:val="auto"/>
          <w:highlight w:val="none"/>
        </w:rPr>
      </w:pPr>
      <w:r>
        <w:rPr>
          <w:color w:val="auto"/>
          <w:highlight w:val="none"/>
        </w:rPr>
        <w:t>（2）加强生产过程中的管理，避免或最大限度降低生产过程中的</w:t>
      </w:r>
      <w:r>
        <w:rPr>
          <w:rFonts w:hint="eastAsia"/>
          <w:color w:val="auto"/>
          <w:highlight w:val="none"/>
          <w:lang w:eastAsia="zh-CN"/>
        </w:rPr>
        <w:t>“</w:t>
      </w:r>
      <w:r>
        <w:rPr>
          <w:color w:val="auto"/>
          <w:highlight w:val="none"/>
        </w:rPr>
        <w:t>跑、冒、滴、漏</w:t>
      </w:r>
      <w:r>
        <w:rPr>
          <w:rFonts w:hint="eastAsia"/>
          <w:color w:val="auto"/>
          <w:highlight w:val="none"/>
          <w:lang w:eastAsia="zh-CN"/>
        </w:rPr>
        <w:t>”</w:t>
      </w:r>
      <w:r>
        <w:rPr>
          <w:color w:val="auto"/>
          <w:highlight w:val="none"/>
        </w:rPr>
        <w:t>。</w:t>
      </w:r>
    </w:p>
    <w:p w14:paraId="23BBBE8D">
      <w:pPr>
        <w:bidi w:val="0"/>
        <w:rPr>
          <w:color w:val="auto"/>
          <w:highlight w:val="none"/>
        </w:rPr>
      </w:pPr>
      <w:r>
        <w:rPr>
          <w:color w:val="auto"/>
          <w:highlight w:val="none"/>
        </w:rPr>
        <w:t>（3）</w:t>
      </w:r>
      <w:r>
        <w:rPr>
          <w:rFonts w:hint="eastAsia"/>
          <w:color w:val="auto"/>
          <w:highlight w:val="none"/>
          <w:lang w:eastAsia="zh-CN"/>
        </w:rPr>
        <w:t>辅料仓库</w:t>
      </w:r>
      <w:r>
        <w:rPr>
          <w:color w:val="auto"/>
          <w:highlight w:val="none"/>
        </w:rPr>
        <w:t>、</w:t>
      </w:r>
      <w:r>
        <w:rPr>
          <w:rFonts w:hint="eastAsia"/>
          <w:color w:val="auto"/>
          <w:highlight w:val="none"/>
          <w:lang w:eastAsia="zh-CN"/>
        </w:rPr>
        <w:t>危废贮存库</w:t>
      </w:r>
      <w:r>
        <w:rPr>
          <w:color w:val="auto"/>
          <w:highlight w:val="none"/>
        </w:rPr>
        <w:t>地面采用</w:t>
      </w:r>
      <w:r>
        <w:rPr>
          <w:rFonts w:hint="eastAsia"/>
          <w:color w:val="auto"/>
          <w:highlight w:val="none"/>
          <w:lang w:eastAsia="zh-CN"/>
        </w:rPr>
        <w:t>“</w:t>
      </w:r>
      <w:r>
        <w:rPr>
          <w:color w:val="auto"/>
          <w:highlight w:val="none"/>
        </w:rPr>
        <w:t>防渗混凝土+环氧树脂地坪漆</w:t>
      </w:r>
      <w:r>
        <w:rPr>
          <w:rFonts w:hint="eastAsia"/>
          <w:color w:val="auto"/>
          <w:highlight w:val="none"/>
          <w:lang w:eastAsia="zh-CN"/>
        </w:rPr>
        <w:t>”</w:t>
      </w:r>
      <w:r>
        <w:rPr>
          <w:color w:val="auto"/>
          <w:highlight w:val="none"/>
        </w:rPr>
        <w:t>处理等。</w:t>
      </w:r>
    </w:p>
    <w:p w14:paraId="6284ECFE">
      <w:pPr>
        <w:bidi w:val="0"/>
        <w:rPr>
          <w:color w:val="auto"/>
          <w:highlight w:val="none"/>
        </w:rPr>
      </w:pPr>
      <w:r>
        <w:rPr>
          <w:color w:val="auto"/>
          <w:highlight w:val="none"/>
        </w:rPr>
        <w:t>项目采取以上土壤污染防治措施后，基本不会对土壤环境造成污染影响，措施可行。</w:t>
      </w:r>
    </w:p>
    <w:p w14:paraId="1C89507D">
      <w:pPr>
        <w:pStyle w:val="3"/>
        <w:numPr>
          <w:ilvl w:val="0"/>
          <w:numId w:val="0"/>
        </w:numPr>
        <w:bidi w:val="0"/>
        <w:rPr>
          <w:color w:val="auto"/>
          <w:highlight w:val="none"/>
        </w:rPr>
      </w:pPr>
      <w:bookmarkStart w:id="985" w:name="_Toc9174"/>
      <w:bookmarkStart w:id="986" w:name="_Toc21556"/>
      <w:bookmarkStart w:id="987" w:name="_Toc3098"/>
      <w:bookmarkStart w:id="988" w:name="_Toc15961"/>
      <w:bookmarkStart w:id="989" w:name="_Toc1556"/>
      <w:bookmarkStart w:id="990" w:name="_Toc3477"/>
      <w:bookmarkStart w:id="991" w:name="_Toc26275"/>
      <w:bookmarkStart w:id="992" w:name="_Toc17573"/>
      <w:bookmarkStart w:id="993" w:name="_Toc12994"/>
      <w:bookmarkStart w:id="994" w:name="_Toc25826"/>
      <w:r>
        <w:rPr>
          <w:color w:val="auto"/>
          <w:highlight w:val="none"/>
        </w:rPr>
        <w:t>7.</w:t>
      </w:r>
      <w:r>
        <w:rPr>
          <w:rFonts w:hint="eastAsia"/>
          <w:color w:val="auto"/>
          <w:highlight w:val="none"/>
          <w:lang w:val="en-US" w:eastAsia="zh-CN"/>
        </w:rPr>
        <w:t xml:space="preserve">2 </w:t>
      </w:r>
      <w:r>
        <w:rPr>
          <w:color w:val="auto"/>
          <w:highlight w:val="none"/>
        </w:rPr>
        <w:t>污染防治措施经济技术可行性论证结论</w:t>
      </w:r>
      <w:bookmarkEnd w:id="985"/>
      <w:bookmarkEnd w:id="986"/>
      <w:bookmarkEnd w:id="987"/>
      <w:bookmarkEnd w:id="988"/>
      <w:bookmarkEnd w:id="989"/>
      <w:bookmarkEnd w:id="990"/>
      <w:bookmarkEnd w:id="991"/>
      <w:bookmarkEnd w:id="992"/>
      <w:bookmarkEnd w:id="993"/>
      <w:bookmarkEnd w:id="994"/>
    </w:p>
    <w:p w14:paraId="031833F0">
      <w:pPr>
        <w:bidi w:val="0"/>
        <w:rPr>
          <w:color w:val="auto"/>
          <w:highlight w:val="none"/>
        </w:rPr>
      </w:pPr>
      <w:r>
        <w:rPr>
          <w:color w:val="auto"/>
          <w:highlight w:val="none"/>
        </w:rPr>
        <w:t>本项目拟采用的污染治理措施，其治理技术成熟，处理费用较低，所获得的环境效益和经济效益明显。只要建设单位在今后的生产管理中，强化环保工作，确保污染治理设施正常运行和达标排放，则本项目拟采取的措施能够达到环境保护的目的。</w:t>
      </w:r>
    </w:p>
    <w:p w14:paraId="0C02A277">
      <w:pPr>
        <w:pStyle w:val="1319"/>
        <w:ind w:firstLine="480"/>
        <w:rPr>
          <w:color w:val="auto"/>
          <w:highlight w:val="none"/>
        </w:rPr>
        <w:sectPr>
          <w:headerReference r:id="rId24" w:type="default"/>
          <w:footerReference r:id="rId25" w:type="default"/>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05B2EC8F">
      <w:pPr>
        <w:pStyle w:val="2"/>
        <w:numPr>
          <w:ilvl w:val="0"/>
          <w:numId w:val="0"/>
        </w:numPr>
        <w:bidi w:val="0"/>
        <w:ind w:leftChars="0"/>
        <w:rPr>
          <w:color w:val="auto"/>
          <w:highlight w:val="none"/>
        </w:rPr>
      </w:pPr>
      <w:bookmarkStart w:id="995" w:name="_Toc359708317"/>
      <w:bookmarkStart w:id="996" w:name="_Toc359709228"/>
      <w:bookmarkStart w:id="997" w:name="_Toc359708692"/>
      <w:bookmarkStart w:id="998" w:name="_Toc366255012"/>
      <w:bookmarkStart w:id="999" w:name="_Toc362276180"/>
      <w:bookmarkStart w:id="1000" w:name="_Toc21425"/>
      <w:bookmarkStart w:id="1001" w:name="_Toc23242"/>
      <w:bookmarkStart w:id="1002" w:name="_Toc26737"/>
      <w:bookmarkStart w:id="1003" w:name="_Toc19131"/>
      <w:bookmarkStart w:id="1004" w:name="_Toc6069"/>
      <w:bookmarkStart w:id="1005" w:name="_Toc29442"/>
      <w:bookmarkStart w:id="1006" w:name="_Toc373835731"/>
      <w:bookmarkStart w:id="1007" w:name="_Toc21228"/>
      <w:bookmarkStart w:id="1008" w:name="_Toc14265"/>
      <w:bookmarkStart w:id="1009" w:name="_Toc6923"/>
      <w:bookmarkStart w:id="1010" w:name="_Toc6615"/>
      <w:r>
        <w:rPr>
          <w:color w:val="auto"/>
          <w:highlight w:val="none"/>
        </w:rPr>
        <w:t>8</w:t>
      </w:r>
      <w:r>
        <w:rPr>
          <w:rFonts w:hint="eastAsia"/>
          <w:color w:val="auto"/>
          <w:highlight w:val="none"/>
          <w:lang w:val="en-US" w:eastAsia="zh-CN"/>
        </w:rPr>
        <w:t xml:space="preserve"> </w:t>
      </w:r>
      <w:r>
        <w:rPr>
          <w:color w:val="auto"/>
          <w:highlight w:val="none"/>
        </w:rPr>
        <w:t>环境</w:t>
      </w:r>
      <w:bookmarkEnd w:id="995"/>
      <w:bookmarkEnd w:id="996"/>
      <w:bookmarkEnd w:id="997"/>
      <w:r>
        <w:rPr>
          <w:color w:val="auto"/>
          <w:highlight w:val="none"/>
        </w:rPr>
        <w:t>影响经济损益分析</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308BE4C0">
      <w:pPr>
        <w:bidi w:val="0"/>
        <w:rPr>
          <w:color w:val="auto"/>
          <w:highlight w:val="none"/>
        </w:rPr>
      </w:pPr>
      <w:r>
        <w:rPr>
          <w:color w:val="auto"/>
          <w:highlight w:val="none"/>
        </w:rPr>
        <w:t>环境经济损益分析是建设项目环境影响评价的一个重要组成部分。与工程经济分析不同，在环境经济损益分析中除了需计算用于环境保护所需的投资费用外，还要核算环境保护投资可能</w:t>
      </w:r>
      <w:r>
        <w:rPr>
          <w:rFonts w:hint="eastAsia"/>
          <w:color w:val="auto"/>
          <w:highlight w:val="none"/>
          <w:lang w:eastAsia="zh-CN"/>
        </w:rPr>
        <w:t>受到</w:t>
      </w:r>
      <w:r>
        <w:rPr>
          <w:color w:val="auto"/>
          <w:highlight w:val="none"/>
        </w:rPr>
        <w:t>的环境经济效益、社会环境效益。通过对建设项目环境的损益分析，综合反映项目投资的社会环境效益和环境经济效益。</w:t>
      </w:r>
    </w:p>
    <w:p w14:paraId="08ADC30D">
      <w:pPr>
        <w:pStyle w:val="3"/>
        <w:numPr>
          <w:ilvl w:val="0"/>
          <w:numId w:val="0"/>
        </w:numPr>
        <w:bidi w:val="0"/>
        <w:rPr>
          <w:color w:val="auto"/>
          <w:highlight w:val="none"/>
        </w:rPr>
      </w:pPr>
      <w:bookmarkStart w:id="1011" w:name="_Toc21121"/>
      <w:bookmarkStart w:id="1012" w:name="_Toc373835732"/>
      <w:bookmarkStart w:id="1013" w:name="_Toc2628"/>
      <w:bookmarkStart w:id="1014" w:name="_Toc366255013"/>
      <w:bookmarkStart w:id="1015" w:name="_Toc22040"/>
      <w:bookmarkStart w:id="1016" w:name="_Toc29581"/>
      <w:bookmarkStart w:id="1017" w:name="_Toc18532"/>
      <w:bookmarkStart w:id="1018" w:name="_Toc362276181"/>
      <w:bookmarkStart w:id="1019" w:name="_Toc8527"/>
      <w:bookmarkStart w:id="1020" w:name="_Toc6702"/>
      <w:bookmarkStart w:id="1021" w:name="_Toc16431"/>
      <w:bookmarkStart w:id="1022" w:name="_Toc31270"/>
      <w:bookmarkStart w:id="1023" w:name="_Toc13098"/>
      <w:r>
        <w:rPr>
          <w:color w:val="auto"/>
          <w:highlight w:val="none"/>
        </w:rPr>
        <w:t>8.1</w:t>
      </w:r>
      <w:r>
        <w:rPr>
          <w:rFonts w:hint="eastAsia"/>
          <w:color w:val="auto"/>
          <w:highlight w:val="none"/>
          <w:lang w:val="en-US" w:eastAsia="zh-CN"/>
        </w:rPr>
        <w:t xml:space="preserve"> </w:t>
      </w:r>
      <w:r>
        <w:rPr>
          <w:color w:val="auto"/>
          <w:highlight w:val="none"/>
        </w:rPr>
        <w:t>经济效益分析</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14:paraId="781060E8">
      <w:pPr>
        <w:bidi w:val="0"/>
        <w:rPr>
          <w:color w:val="auto"/>
          <w:highlight w:val="none"/>
        </w:rPr>
      </w:pPr>
      <w:bookmarkStart w:id="1024" w:name="_Toc335643965"/>
      <w:r>
        <w:rPr>
          <w:color w:val="auto"/>
          <w:highlight w:val="none"/>
        </w:rPr>
        <w:t>（1）项目投资估算</w:t>
      </w:r>
    </w:p>
    <w:p w14:paraId="55FEE66F">
      <w:pPr>
        <w:bidi w:val="0"/>
        <w:rPr>
          <w:color w:val="auto"/>
          <w:highlight w:val="none"/>
        </w:rPr>
      </w:pPr>
      <w:r>
        <w:rPr>
          <w:color w:val="auto"/>
          <w:highlight w:val="none"/>
        </w:rPr>
        <w:t>本项目总投资</w:t>
      </w:r>
      <w:r>
        <w:rPr>
          <w:rFonts w:hint="eastAsia"/>
          <w:color w:val="auto"/>
          <w:highlight w:val="none"/>
          <w:lang w:val="en-US" w:eastAsia="zh-CN"/>
        </w:rPr>
        <w:t>1000</w:t>
      </w:r>
      <w:r>
        <w:rPr>
          <w:color w:val="auto"/>
          <w:highlight w:val="none"/>
        </w:rPr>
        <w:t>万元，主要用于设备投资、环保投资以及人工费用。</w:t>
      </w:r>
    </w:p>
    <w:p w14:paraId="4BB28187">
      <w:pPr>
        <w:bidi w:val="0"/>
        <w:rPr>
          <w:color w:val="auto"/>
          <w:highlight w:val="none"/>
        </w:rPr>
      </w:pPr>
      <w:r>
        <w:rPr>
          <w:color w:val="auto"/>
          <w:highlight w:val="none"/>
        </w:rPr>
        <w:t>（2）盈利能力分析</w:t>
      </w:r>
    </w:p>
    <w:p w14:paraId="185293DD">
      <w:pPr>
        <w:bidi w:val="0"/>
        <w:rPr>
          <w:color w:val="auto"/>
          <w:highlight w:val="none"/>
        </w:rPr>
      </w:pPr>
      <w:r>
        <w:rPr>
          <w:color w:val="auto"/>
          <w:highlight w:val="none"/>
        </w:rPr>
        <w:t>该项收入主要为产品的销售收入，目前销售前景十分广阔，可见本项目完工</w:t>
      </w:r>
      <w:r>
        <w:rPr>
          <w:rFonts w:hint="eastAsia"/>
          <w:color w:val="auto"/>
          <w:highlight w:val="none"/>
          <w:lang w:eastAsia="zh-CN"/>
        </w:rPr>
        <w:t>后具</w:t>
      </w:r>
      <w:r>
        <w:rPr>
          <w:color w:val="auto"/>
          <w:highlight w:val="none"/>
        </w:rPr>
        <w:t>有较强的盈利能力和较好的经济效益。</w:t>
      </w:r>
    </w:p>
    <w:bookmarkEnd w:id="1024"/>
    <w:p w14:paraId="3B64314E">
      <w:pPr>
        <w:pStyle w:val="3"/>
        <w:numPr>
          <w:ilvl w:val="0"/>
          <w:numId w:val="0"/>
        </w:numPr>
        <w:bidi w:val="0"/>
        <w:rPr>
          <w:color w:val="auto"/>
          <w:highlight w:val="none"/>
        </w:rPr>
      </w:pPr>
      <w:bookmarkStart w:id="1025" w:name="_Toc14030"/>
      <w:bookmarkStart w:id="1026" w:name="_Toc17134"/>
      <w:bookmarkStart w:id="1027" w:name="_Toc3354"/>
      <w:bookmarkStart w:id="1028" w:name="_Toc9156"/>
      <w:bookmarkStart w:id="1029" w:name="_Toc28372"/>
      <w:bookmarkStart w:id="1030" w:name="_Toc14640"/>
      <w:bookmarkStart w:id="1031" w:name="_Toc12077"/>
      <w:bookmarkStart w:id="1032" w:name="_Toc15716"/>
      <w:bookmarkStart w:id="1033" w:name="_Toc21391"/>
      <w:bookmarkStart w:id="1034" w:name="_Toc362276182"/>
      <w:bookmarkStart w:id="1035" w:name="_Toc21515"/>
      <w:bookmarkStart w:id="1036" w:name="_Toc366255014"/>
      <w:bookmarkStart w:id="1037" w:name="_Toc373835733"/>
      <w:r>
        <w:rPr>
          <w:color w:val="auto"/>
          <w:highlight w:val="none"/>
        </w:rPr>
        <w:t>8.2</w:t>
      </w:r>
      <w:r>
        <w:rPr>
          <w:rFonts w:hint="eastAsia"/>
          <w:color w:val="auto"/>
          <w:highlight w:val="none"/>
          <w:lang w:val="en-US" w:eastAsia="zh-CN"/>
        </w:rPr>
        <w:t xml:space="preserve"> </w:t>
      </w:r>
      <w:r>
        <w:rPr>
          <w:color w:val="auto"/>
          <w:highlight w:val="none"/>
        </w:rPr>
        <w:t>社会效益分析</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14:paraId="14681055">
      <w:pPr>
        <w:bidi w:val="0"/>
        <w:rPr>
          <w:color w:val="auto"/>
          <w:highlight w:val="none"/>
        </w:rPr>
      </w:pPr>
      <w:r>
        <w:rPr>
          <w:color w:val="auto"/>
          <w:highlight w:val="none"/>
        </w:rPr>
        <w:t>本项目符合国家和本省产业政策，建成达产后，将有效促进当地经济发展，增加地方税收。同时，项目的建设也为社会提供了相应的劳动就业岗位，对于解决当地就业问题、提高人民收入水平、促进社会稳定等方面具有积极作用。因此，本项目的建设具有良好的社会效益。</w:t>
      </w:r>
    </w:p>
    <w:p w14:paraId="69A1962E">
      <w:pPr>
        <w:pStyle w:val="3"/>
        <w:numPr>
          <w:ilvl w:val="0"/>
          <w:numId w:val="0"/>
        </w:numPr>
        <w:bidi w:val="0"/>
        <w:rPr>
          <w:color w:val="auto"/>
          <w:highlight w:val="none"/>
        </w:rPr>
      </w:pPr>
      <w:bookmarkStart w:id="1038" w:name="_Toc16627"/>
      <w:bookmarkStart w:id="1039" w:name="_Toc28325"/>
      <w:bookmarkStart w:id="1040" w:name="_Toc23498"/>
      <w:bookmarkStart w:id="1041" w:name="_Toc366255015"/>
      <w:bookmarkStart w:id="1042" w:name="_Toc27873"/>
      <w:bookmarkStart w:id="1043" w:name="_Toc5308"/>
      <w:bookmarkStart w:id="1044" w:name="_Toc30948"/>
      <w:bookmarkStart w:id="1045" w:name="_Toc373835734"/>
      <w:bookmarkStart w:id="1046" w:name="_Toc25116"/>
      <w:bookmarkStart w:id="1047" w:name="_Toc28005"/>
      <w:bookmarkStart w:id="1048" w:name="_Toc362276183"/>
      <w:bookmarkStart w:id="1049" w:name="_Toc7988"/>
      <w:bookmarkStart w:id="1050" w:name="_Toc10751"/>
      <w:r>
        <w:rPr>
          <w:color w:val="auto"/>
          <w:highlight w:val="none"/>
        </w:rPr>
        <w:t>8.3</w:t>
      </w:r>
      <w:r>
        <w:rPr>
          <w:rFonts w:hint="eastAsia"/>
          <w:color w:val="auto"/>
          <w:highlight w:val="none"/>
          <w:lang w:val="en-US" w:eastAsia="zh-CN"/>
        </w:rPr>
        <w:t xml:space="preserve"> </w:t>
      </w:r>
      <w:r>
        <w:rPr>
          <w:color w:val="auto"/>
          <w:highlight w:val="none"/>
        </w:rPr>
        <w:t>环境效益分析</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14:paraId="00F50705">
      <w:pPr>
        <w:bidi w:val="0"/>
        <w:rPr>
          <w:color w:val="auto"/>
          <w:highlight w:val="none"/>
        </w:rPr>
      </w:pPr>
      <w:bookmarkStart w:id="1051" w:name="_Toc335643973"/>
      <w:r>
        <w:rPr>
          <w:color w:val="auto"/>
          <w:highlight w:val="none"/>
        </w:rPr>
        <w:t>本项目建成投产后，采用自动化</w:t>
      </w:r>
      <w:r>
        <w:rPr>
          <w:rFonts w:hint="eastAsia"/>
          <w:color w:val="auto"/>
          <w:highlight w:val="none"/>
          <w:lang w:val="en-US" w:eastAsia="zh-CN"/>
        </w:rPr>
        <w:t>涂装、注塑</w:t>
      </w:r>
      <w:r>
        <w:rPr>
          <w:color w:val="auto"/>
          <w:highlight w:val="none"/>
        </w:rPr>
        <w:t>生产线，生产效率高；委托有资质的设计单位负责</w:t>
      </w:r>
      <w:r>
        <w:rPr>
          <w:rFonts w:hint="eastAsia"/>
          <w:color w:val="auto"/>
          <w:highlight w:val="none"/>
          <w:lang w:val="en-US" w:eastAsia="zh-CN"/>
        </w:rPr>
        <w:t>废气</w:t>
      </w:r>
      <w:r>
        <w:rPr>
          <w:color w:val="auto"/>
          <w:highlight w:val="none"/>
        </w:rPr>
        <w:t>治理方案，确保</w:t>
      </w:r>
      <w:r>
        <w:rPr>
          <w:rFonts w:hint="eastAsia"/>
          <w:color w:val="auto"/>
          <w:highlight w:val="none"/>
          <w:lang w:val="en-US" w:eastAsia="zh-CN"/>
        </w:rPr>
        <w:t>废气</w:t>
      </w:r>
      <w:r>
        <w:rPr>
          <w:color w:val="auto"/>
          <w:highlight w:val="none"/>
        </w:rPr>
        <w:t>污染物稳定达标排放，降低环境影响。环保设施的投入和正常运行，不仅有利于企业正常生产，也有益于维持厂区及周边良好环境，保障职工及周边人群健康。</w:t>
      </w:r>
    </w:p>
    <w:p w14:paraId="04B1097C">
      <w:pPr>
        <w:pStyle w:val="3"/>
        <w:numPr>
          <w:ilvl w:val="0"/>
          <w:numId w:val="0"/>
        </w:numPr>
        <w:bidi w:val="0"/>
        <w:rPr>
          <w:color w:val="auto"/>
          <w:highlight w:val="none"/>
        </w:rPr>
      </w:pPr>
      <w:bookmarkStart w:id="1052" w:name="_Toc32405"/>
      <w:bookmarkStart w:id="1053" w:name="_Toc14857"/>
      <w:bookmarkStart w:id="1054" w:name="_Toc32356"/>
      <w:bookmarkStart w:id="1055" w:name="_Toc14919"/>
      <w:bookmarkStart w:id="1056" w:name="_Toc4342"/>
      <w:bookmarkStart w:id="1057" w:name="_Toc3131"/>
      <w:bookmarkStart w:id="1058" w:name="_Toc14387"/>
      <w:bookmarkStart w:id="1059" w:name="_Toc26691"/>
      <w:bookmarkStart w:id="1060" w:name="_Toc32155"/>
      <w:bookmarkStart w:id="1061" w:name="_Toc25635"/>
      <w:r>
        <w:rPr>
          <w:color w:val="auto"/>
          <w:highlight w:val="none"/>
        </w:rPr>
        <w:t>8.4</w:t>
      </w:r>
      <w:r>
        <w:rPr>
          <w:rFonts w:hint="eastAsia"/>
          <w:color w:val="auto"/>
          <w:highlight w:val="none"/>
          <w:lang w:val="en-US" w:eastAsia="zh-CN"/>
        </w:rPr>
        <w:t xml:space="preserve"> </w:t>
      </w:r>
      <w:r>
        <w:rPr>
          <w:color w:val="auto"/>
          <w:highlight w:val="none"/>
        </w:rPr>
        <w:t>环保投资分析</w:t>
      </w:r>
      <w:bookmarkEnd w:id="1052"/>
      <w:bookmarkEnd w:id="1053"/>
      <w:bookmarkEnd w:id="1054"/>
      <w:bookmarkEnd w:id="1055"/>
      <w:bookmarkEnd w:id="1056"/>
      <w:bookmarkEnd w:id="1057"/>
      <w:bookmarkEnd w:id="1058"/>
      <w:bookmarkEnd w:id="1059"/>
      <w:bookmarkEnd w:id="1060"/>
      <w:bookmarkEnd w:id="1061"/>
    </w:p>
    <w:bookmarkEnd w:id="1051"/>
    <w:p w14:paraId="0F18A19A">
      <w:pPr>
        <w:bidi w:val="0"/>
        <w:rPr>
          <w:color w:val="auto"/>
          <w:highlight w:val="none"/>
        </w:rPr>
      </w:pPr>
      <w:r>
        <w:rPr>
          <w:color w:val="auto"/>
          <w:highlight w:val="none"/>
        </w:rPr>
        <w:t>项目环境保护主要设施及相应费用详见表8.4-1。</w:t>
      </w:r>
    </w:p>
    <w:p w14:paraId="39C1F52A">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表8.4-1  环境保护投资估算</w:t>
      </w:r>
    </w:p>
    <w:tbl>
      <w:tblPr>
        <w:tblStyle w:val="80"/>
        <w:tblW w:w="49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491"/>
        <w:gridCol w:w="4690"/>
        <w:gridCol w:w="1046"/>
        <w:gridCol w:w="970"/>
      </w:tblGrid>
      <w:tr w14:paraId="4D677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40" w:hRule="atLeast"/>
          <w:jc w:val="center"/>
        </w:trPr>
        <w:tc>
          <w:tcPr>
            <w:tcW w:w="1217" w:type="pct"/>
            <w:gridSpan w:val="2"/>
            <w:tcBorders>
              <w:tl2br w:val="nil"/>
              <w:tr2bl w:val="nil"/>
            </w:tcBorders>
            <w:noWrap w:val="0"/>
            <w:vAlign w:val="center"/>
          </w:tcPr>
          <w:p w14:paraId="52A17F70">
            <w:pPr>
              <w:pStyle w:val="1358"/>
              <w:bidi w:val="0"/>
              <w:rPr>
                <w:color w:val="auto"/>
                <w:highlight w:val="none"/>
              </w:rPr>
            </w:pPr>
            <w:r>
              <w:rPr>
                <w:color w:val="auto"/>
                <w:highlight w:val="none"/>
              </w:rPr>
              <w:t>类别</w:t>
            </w:r>
          </w:p>
        </w:tc>
        <w:tc>
          <w:tcPr>
            <w:tcW w:w="2644" w:type="pct"/>
            <w:tcBorders>
              <w:tl2br w:val="nil"/>
              <w:tr2bl w:val="nil"/>
            </w:tcBorders>
            <w:noWrap w:val="0"/>
            <w:vAlign w:val="center"/>
          </w:tcPr>
          <w:p w14:paraId="68C095E7">
            <w:pPr>
              <w:pStyle w:val="1358"/>
              <w:bidi w:val="0"/>
              <w:rPr>
                <w:rFonts w:hint="default" w:eastAsia="宋体"/>
                <w:color w:val="auto"/>
                <w:highlight w:val="none"/>
                <w:lang w:val="en-US" w:eastAsia="zh-CN"/>
              </w:rPr>
            </w:pPr>
            <w:r>
              <w:rPr>
                <w:rFonts w:hint="eastAsia"/>
                <w:color w:val="auto"/>
                <w:highlight w:val="none"/>
                <w:lang w:val="en-US" w:eastAsia="zh-CN"/>
              </w:rPr>
              <w:t>拟采取的治理措施</w:t>
            </w:r>
          </w:p>
        </w:tc>
        <w:tc>
          <w:tcPr>
            <w:tcW w:w="590" w:type="pct"/>
            <w:tcBorders>
              <w:tl2br w:val="nil"/>
              <w:tr2bl w:val="nil"/>
            </w:tcBorders>
            <w:noWrap w:val="0"/>
            <w:vAlign w:val="center"/>
          </w:tcPr>
          <w:p w14:paraId="6EB4355F">
            <w:pPr>
              <w:pStyle w:val="1358"/>
              <w:bidi w:val="0"/>
              <w:rPr>
                <w:color w:val="auto"/>
                <w:highlight w:val="none"/>
              </w:rPr>
            </w:pPr>
            <w:r>
              <w:rPr>
                <w:color w:val="auto"/>
                <w:highlight w:val="none"/>
              </w:rPr>
              <w:t>投资</w:t>
            </w:r>
          </w:p>
          <w:p w14:paraId="242E6724">
            <w:pPr>
              <w:pStyle w:val="1358"/>
              <w:bidi w:val="0"/>
              <w:rPr>
                <w:color w:val="auto"/>
                <w:highlight w:val="none"/>
              </w:rPr>
            </w:pPr>
            <w:r>
              <w:rPr>
                <w:color w:val="auto"/>
                <w:highlight w:val="none"/>
              </w:rPr>
              <w:t>（万元）</w:t>
            </w:r>
          </w:p>
        </w:tc>
        <w:tc>
          <w:tcPr>
            <w:tcW w:w="547" w:type="pct"/>
            <w:tcBorders>
              <w:tl2br w:val="nil"/>
              <w:tr2bl w:val="nil"/>
            </w:tcBorders>
            <w:noWrap w:val="0"/>
            <w:vAlign w:val="center"/>
          </w:tcPr>
          <w:p w14:paraId="469BC97F">
            <w:pPr>
              <w:pStyle w:val="1358"/>
              <w:bidi w:val="0"/>
              <w:rPr>
                <w:color w:val="auto"/>
                <w:highlight w:val="none"/>
              </w:rPr>
            </w:pPr>
            <w:r>
              <w:rPr>
                <w:color w:val="auto"/>
                <w:highlight w:val="none"/>
              </w:rPr>
              <w:t>进度</w:t>
            </w:r>
          </w:p>
        </w:tc>
      </w:tr>
      <w:tr w14:paraId="16450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4" w:hRule="atLeast"/>
          <w:jc w:val="center"/>
        </w:trPr>
        <w:tc>
          <w:tcPr>
            <w:tcW w:w="1217" w:type="pct"/>
            <w:gridSpan w:val="2"/>
            <w:tcBorders>
              <w:tl2br w:val="nil"/>
              <w:tr2bl w:val="nil"/>
            </w:tcBorders>
            <w:noWrap w:val="0"/>
            <w:vAlign w:val="center"/>
          </w:tcPr>
          <w:p w14:paraId="769B9963">
            <w:pPr>
              <w:pStyle w:val="1358"/>
              <w:bidi w:val="0"/>
              <w:rPr>
                <w:color w:val="auto"/>
                <w:highlight w:val="none"/>
              </w:rPr>
            </w:pPr>
            <w:r>
              <w:rPr>
                <w:color w:val="auto"/>
                <w:highlight w:val="none"/>
              </w:rPr>
              <w:t>废气</w:t>
            </w:r>
          </w:p>
        </w:tc>
        <w:tc>
          <w:tcPr>
            <w:tcW w:w="2644" w:type="pct"/>
            <w:tcBorders>
              <w:tl2br w:val="nil"/>
              <w:tr2bl w:val="nil"/>
            </w:tcBorders>
            <w:noWrap w:val="0"/>
            <w:vAlign w:val="center"/>
          </w:tcPr>
          <w:p w14:paraId="08750FD4">
            <w:pPr>
              <w:pStyle w:val="1358"/>
              <w:bidi w:val="0"/>
              <w:rPr>
                <w:rFonts w:hint="eastAsia"/>
                <w:color w:val="auto"/>
                <w:highlight w:val="none"/>
                <w:lang w:val="en-US" w:eastAsia="zh-CN"/>
              </w:rPr>
            </w:pPr>
            <w:r>
              <w:rPr>
                <w:rFonts w:hint="default"/>
                <w:color w:val="auto"/>
                <w:highlight w:val="none"/>
                <w:lang w:val="en-US" w:eastAsia="zh-CN"/>
              </w:rPr>
              <w:t>①</w:t>
            </w:r>
            <w:r>
              <w:rPr>
                <w:rFonts w:hint="eastAsia"/>
                <w:color w:val="auto"/>
                <w:highlight w:val="none"/>
                <w:lang w:val="en-US" w:eastAsia="zh-CN"/>
              </w:rPr>
              <w:t>喷漆室、流平室、烘干室负压收集，通过干式纸盒+过滤棉过滤+RTO蓄热式焚烧炉（TA001）+20m排气筒（DA001）</w:t>
            </w:r>
          </w:p>
          <w:p w14:paraId="160EED82">
            <w:pPr>
              <w:pStyle w:val="1358"/>
              <w:bidi w:val="0"/>
              <w:rPr>
                <w:rFonts w:hint="eastAsia"/>
                <w:color w:val="auto"/>
                <w:highlight w:val="none"/>
                <w:lang w:val="en-US" w:eastAsia="zh-CN"/>
              </w:rPr>
            </w:pPr>
            <w:r>
              <w:rPr>
                <w:rFonts w:hint="default"/>
                <w:color w:val="auto"/>
                <w:highlight w:val="none"/>
                <w:lang w:val="en-US" w:eastAsia="zh-CN"/>
              </w:rPr>
              <w:t>②</w:t>
            </w:r>
            <w:r>
              <w:rPr>
                <w:rFonts w:hint="eastAsia"/>
                <w:color w:val="auto"/>
                <w:highlight w:val="none"/>
                <w:lang w:val="en-US" w:eastAsia="zh-CN"/>
              </w:rPr>
              <w:t>调漆房负压收集，通过二级活性炭吸附装置（TA002）+20m排气筒（DA002）</w:t>
            </w:r>
          </w:p>
          <w:p w14:paraId="1EB556BB">
            <w:pPr>
              <w:pStyle w:val="1358"/>
              <w:bidi w:val="0"/>
              <w:rPr>
                <w:rFonts w:hint="eastAsia"/>
                <w:color w:val="auto"/>
                <w:highlight w:val="none"/>
                <w:lang w:val="en-US" w:eastAsia="zh-CN"/>
              </w:rPr>
            </w:pPr>
            <w:r>
              <w:rPr>
                <w:rFonts w:hint="default"/>
                <w:color w:val="auto"/>
                <w:highlight w:val="none"/>
                <w:lang w:val="en-US" w:eastAsia="zh-CN"/>
              </w:rPr>
              <w:t>③</w:t>
            </w:r>
            <w:r>
              <w:rPr>
                <w:rFonts w:hint="eastAsia"/>
                <w:color w:val="auto"/>
                <w:highlight w:val="none"/>
                <w:lang w:val="en-US" w:eastAsia="zh-CN"/>
              </w:rPr>
              <w:t>点补室负压收集，通过过滤棉过滤+二级活性炭吸附装置（TA003）+20m排气筒（DA003）</w:t>
            </w:r>
          </w:p>
          <w:p w14:paraId="64D64297">
            <w:pPr>
              <w:pStyle w:val="1358"/>
              <w:bidi w:val="0"/>
              <w:rPr>
                <w:rFonts w:hint="default"/>
                <w:color w:val="auto"/>
                <w:highlight w:val="none"/>
                <w:lang w:val="en-US" w:eastAsia="zh-CN"/>
              </w:rPr>
            </w:pPr>
            <w:r>
              <w:rPr>
                <w:rFonts w:hint="default"/>
                <w:color w:val="auto"/>
                <w:highlight w:val="none"/>
                <w:lang w:val="en-US" w:eastAsia="zh-CN"/>
              </w:rPr>
              <w:t>④</w:t>
            </w:r>
            <w:r>
              <w:rPr>
                <w:rFonts w:hint="eastAsia"/>
                <w:color w:val="auto"/>
                <w:highlight w:val="none"/>
                <w:lang w:val="en-US" w:eastAsia="zh-CN"/>
              </w:rPr>
              <w:t>注塑设备直连管道收集，通过二级活性炭吸附（TA004）+20m高排气筒（DA004）</w:t>
            </w:r>
          </w:p>
          <w:p w14:paraId="1C2B22E9">
            <w:pPr>
              <w:pStyle w:val="1358"/>
              <w:bidi w:val="0"/>
              <w:rPr>
                <w:rFonts w:hint="eastAsia"/>
                <w:color w:val="auto"/>
                <w:highlight w:val="none"/>
                <w:lang w:val="en-US" w:eastAsia="zh-CN"/>
              </w:rPr>
            </w:pPr>
            <w:r>
              <w:rPr>
                <w:rFonts w:hint="default"/>
                <w:color w:val="auto"/>
                <w:highlight w:val="none"/>
                <w:lang w:val="en-US" w:eastAsia="zh-CN"/>
              </w:rPr>
              <w:t>⑤</w:t>
            </w:r>
            <w:r>
              <w:rPr>
                <w:rFonts w:hint="eastAsia"/>
                <w:color w:val="auto"/>
                <w:highlight w:val="none"/>
                <w:lang w:val="en-US" w:eastAsia="zh-CN"/>
              </w:rPr>
              <w:t>粉碎机上方设置集气罩+布袋除尘器（TA005）</w:t>
            </w:r>
          </w:p>
          <w:p w14:paraId="73AC67A1">
            <w:pPr>
              <w:pStyle w:val="1405"/>
              <w:bidi w:val="0"/>
              <w:rPr>
                <w:rFonts w:hint="default"/>
                <w:color w:val="auto"/>
                <w:highlight w:val="none"/>
                <w:lang w:val="en-US" w:eastAsia="zh-CN"/>
              </w:rPr>
            </w:pPr>
            <w:r>
              <w:rPr>
                <w:rFonts w:hint="eastAsia" w:ascii="宋体" w:hAnsi="宋体" w:eastAsia="宋体" w:cs="宋体"/>
                <w:color w:val="auto"/>
                <w:highlight w:val="none"/>
                <w:lang w:val="en-US" w:eastAsia="zh-CN"/>
              </w:rPr>
              <w:t>⑥</w:t>
            </w:r>
            <w:r>
              <w:rPr>
                <w:rFonts w:hint="eastAsia"/>
                <w:color w:val="auto"/>
                <w:highlight w:val="none"/>
                <w:lang w:val="en-US" w:eastAsia="zh-CN"/>
              </w:rPr>
              <w:t>热水炉、固化炉、热洁炉采用低氮燃烧工艺产生的废气通过高空排放（DA006）</w:t>
            </w:r>
          </w:p>
        </w:tc>
        <w:tc>
          <w:tcPr>
            <w:tcW w:w="590" w:type="pct"/>
            <w:tcBorders>
              <w:tl2br w:val="nil"/>
              <w:tr2bl w:val="nil"/>
            </w:tcBorders>
            <w:noWrap w:val="0"/>
            <w:vAlign w:val="center"/>
          </w:tcPr>
          <w:p w14:paraId="4CAFAF4F">
            <w:pPr>
              <w:pStyle w:val="1358"/>
              <w:bidi w:val="0"/>
              <w:rPr>
                <w:rFonts w:hint="default"/>
                <w:color w:val="auto"/>
                <w:highlight w:val="none"/>
                <w:lang w:val="en-US" w:eastAsia="zh-CN"/>
              </w:rPr>
            </w:pPr>
            <w:r>
              <w:rPr>
                <w:rFonts w:hint="eastAsia"/>
                <w:color w:val="auto"/>
                <w:highlight w:val="none"/>
                <w:lang w:val="en-US" w:eastAsia="zh-CN"/>
              </w:rPr>
              <w:t>150</w:t>
            </w:r>
          </w:p>
        </w:tc>
        <w:tc>
          <w:tcPr>
            <w:tcW w:w="547" w:type="pct"/>
            <w:vMerge w:val="restart"/>
            <w:tcBorders>
              <w:tl2br w:val="nil"/>
              <w:tr2bl w:val="nil"/>
            </w:tcBorders>
            <w:noWrap w:val="0"/>
            <w:vAlign w:val="center"/>
          </w:tcPr>
          <w:p w14:paraId="07A28018">
            <w:pPr>
              <w:pStyle w:val="1358"/>
              <w:bidi w:val="0"/>
              <w:rPr>
                <w:color w:val="auto"/>
                <w:highlight w:val="none"/>
              </w:rPr>
            </w:pPr>
            <w:r>
              <w:rPr>
                <w:color w:val="auto"/>
                <w:highlight w:val="none"/>
              </w:rPr>
              <w:t>与主体工程同时设计、同时施工、同时投产</w:t>
            </w:r>
          </w:p>
        </w:tc>
      </w:tr>
      <w:tr w14:paraId="45D492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4" w:hRule="atLeast"/>
          <w:jc w:val="center"/>
        </w:trPr>
        <w:tc>
          <w:tcPr>
            <w:tcW w:w="1217" w:type="pct"/>
            <w:gridSpan w:val="2"/>
            <w:tcBorders>
              <w:tl2br w:val="nil"/>
              <w:tr2bl w:val="nil"/>
            </w:tcBorders>
            <w:noWrap w:val="0"/>
            <w:vAlign w:val="center"/>
          </w:tcPr>
          <w:p w14:paraId="4E31E984">
            <w:pPr>
              <w:pStyle w:val="1358"/>
              <w:bidi w:val="0"/>
              <w:rPr>
                <w:rFonts w:hint="eastAsia" w:eastAsia="宋体"/>
                <w:color w:val="auto"/>
                <w:highlight w:val="none"/>
                <w:lang w:val="en-US" w:eastAsia="zh-CN"/>
              </w:rPr>
            </w:pPr>
            <w:r>
              <w:rPr>
                <w:rFonts w:hint="eastAsia"/>
                <w:color w:val="auto"/>
                <w:highlight w:val="none"/>
                <w:lang w:val="en-US" w:eastAsia="zh-CN"/>
              </w:rPr>
              <w:t>废水</w:t>
            </w:r>
          </w:p>
        </w:tc>
        <w:tc>
          <w:tcPr>
            <w:tcW w:w="2644" w:type="pct"/>
            <w:tcBorders>
              <w:tl2br w:val="nil"/>
              <w:tr2bl w:val="nil"/>
            </w:tcBorders>
            <w:noWrap w:val="0"/>
            <w:vAlign w:val="center"/>
          </w:tcPr>
          <w:p w14:paraId="3E69D2F1">
            <w:pPr>
              <w:pStyle w:val="1405"/>
              <w:bidi w:val="0"/>
              <w:rPr>
                <w:rFonts w:hint="eastAsia" w:ascii="宋体" w:hAnsi="宋体" w:eastAsia="宋体" w:cs="宋体"/>
                <w:color w:val="auto"/>
                <w:highlight w:val="none"/>
                <w:lang w:val="en-US" w:eastAsia="zh-CN"/>
              </w:rPr>
            </w:pPr>
            <w:r>
              <w:rPr>
                <w:rFonts w:hint="default"/>
                <w:color w:val="auto"/>
                <w:highlight w:val="none"/>
                <w:lang w:val="en-US" w:eastAsia="zh-CN"/>
              </w:rPr>
              <w:t>①</w:t>
            </w:r>
            <w:r>
              <w:rPr>
                <w:rFonts w:hint="eastAsia" w:ascii="宋体" w:hAnsi="宋体" w:eastAsia="宋体" w:cs="宋体"/>
                <w:color w:val="auto"/>
                <w:highlight w:val="none"/>
                <w:lang w:val="en-US" w:eastAsia="zh-CN"/>
              </w:rPr>
              <w:t>生活污水依托现有化粪池</w:t>
            </w:r>
          </w:p>
          <w:p w14:paraId="13B22482">
            <w:pPr>
              <w:pStyle w:val="1405"/>
              <w:bidi w:val="0"/>
              <w:rPr>
                <w:rFonts w:hint="default" w:ascii="宋体" w:hAnsi="宋体" w:eastAsia="宋体" w:cs="宋体"/>
                <w:color w:val="auto"/>
                <w:highlight w:val="none"/>
                <w:lang w:val="en-US" w:eastAsia="zh-CN"/>
              </w:rPr>
            </w:pPr>
            <w:r>
              <w:rPr>
                <w:rFonts w:hint="default"/>
                <w:color w:val="auto"/>
                <w:highlight w:val="none"/>
                <w:lang w:val="en-US" w:eastAsia="zh-CN"/>
              </w:rPr>
              <w:t>②</w:t>
            </w:r>
            <w:r>
              <w:rPr>
                <w:rFonts w:hint="eastAsia" w:ascii="宋体" w:hAnsi="宋体" w:eastAsia="宋体" w:cs="宋体"/>
                <w:color w:val="auto"/>
                <w:highlight w:val="none"/>
                <w:lang w:val="en-US" w:eastAsia="zh-CN"/>
              </w:rPr>
              <w:t>冷却水循环使用不外排，锅炉排污水、反渗透浓水直接接入厂区总排放口</w:t>
            </w:r>
          </w:p>
        </w:tc>
        <w:tc>
          <w:tcPr>
            <w:tcW w:w="590" w:type="pct"/>
            <w:tcBorders>
              <w:tl2br w:val="nil"/>
              <w:tr2bl w:val="nil"/>
            </w:tcBorders>
            <w:noWrap w:val="0"/>
            <w:vAlign w:val="center"/>
          </w:tcPr>
          <w:p w14:paraId="782CC1F0">
            <w:pPr>
              <w:pStyle w:val="1358"/>
              <w:bidi w:val="0"/>
              <w:rPr>
                <w:rFonts w:hint="default"/>
                <w:color w:val="auto"/>
                <w:highlight w:val="none"/>
                <w:lang w:val="en-US" w:eastAsia="zh-CN"/>
              </w:rPr>
            </w:pPr>
            <w:r>
              <w:rPr>
                <w:rFonts w:hint="eastAsia"/>
                <w:color w:val="auto"/>
                <w:highlight w:val="none"/>
                <w:lang w:val="en-US" w:eastAsia="zh-CN"/>
              </w:rPr>
              <w:t>2</w:t>
            </w:r>
          </w:p>
        </w:tc>
        <w:tc>
          <w:tcPr>
            <w:tcW w:w="547" w:type="pct"/>
            <w:vMerge w:val="continue"/>
            <w:tcBorders>
              <w:tl2br w:val="nil"/>
              <w:tr2bl w:val="nil"/>
            </w:tcBorders>
            <w:noWrap w:val="0"/>
            <w:vAlign w:val="center"/>
          </w:tcPr>
          <w:p w14:paraId="284494A0">
            <w:pPr>
              <w:pStyle w:val="1358"/>
              <w:bidi w:val="0"/>
              <w:rPr>
                <w:color w:val="auto"/>
                <w:highlight w:val="none"/>
              </w:rPr>
            </w:pPr>
          </w:p>
        </w:tc>
      </w:tr>
      <w:tr w14:paraId="4A9FEC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17" w:type="pct"/>
            <w:gridSpan w:val="2"/>
            <w:tcBorders>
              <w:tl2br w:val="nil"/>
              <w:tr2bl w:val="nil"/>
            </w:tcBorders>
            <w:noWrap w:val="0"/>
            <w:vAlign w:val="center"/>
          </w:tcPr>
          <w:p w14:paraId="4C757A6A">
            <w:pPr>
              <w:pStyle w:val="1358"/>
              <w:bidi w:val="0"/>
              <w:rPr>
                <w:color w:val="auto"/>
                <w:highlight w:val="none"/>
              </w:rPr>
            </w:pPr>
            <w:r>
              <w:rPr>
                <w:color w:val="auto"/>
                <w:highlight w:val="none"/>
              </w:rPr>
              <w:t>噪声</w:t>
            </w:r>
          </w:p>
        </w:tc>
        <w:tc>
          <w:tcPr>
            <w:tcW w:w="2644" w:type="pct"/>
            <w:tcBorders>
              <w:tl2br w:val="nil"/>
              <w:tr2bl w:val="nil"/>
            </w:tcBorders>
            <w:noWrap w:val="0"/>
            <w:vAlign w:val="center"/>
          </w:tcPr>
          <w:p w14:paraId="441033D4">
            <w:pPr>
              <w:pStyle w:val="1358"/>
              <w:bidi w:val="0"/>
              <w:rPr>
                <w:color w:val="auto"/>
                <w:highlight w:val="none"/>
              </w:rPr>
            </w:pPr>
            <w:r>
              <w:rPr>
                <w:color w:val="auto"/>
                <w:highlight w:val="none"/>
              </w:rPr>
              <w:t>消声器、隔声罩、减振垫等降噪减振措施</w:t>
            </w:r>
          </w:p>
        </w:tc>
        <w:tc>
          <w:tcPr>
            <w:tcW w:w="590" w:type="pct"/>
            <w:tcBorders>
              <w:tl2br w:val="nil"/>
              <w:tr2bl w:val="nil"/>
            </w:tcBorders>
            <w:noWrap w:val="0"/>
            <w:vAlign w:val="center"/>
          </w:tcPr>
          <w:p w14:paraId="45DB3AD3">
            <w:pPr>
              <w:pStyle w:val="1358"/>
              <w:rPr>
                <w:rFonts w:hint="default" w:eastAsia="宋体"/>
                <w:color w:val="auto"/>
                <w:highlight w:val="none"/>
                <w:lang w:val="en-US" w:eastAsia="zh-CN"/>
              </w:rPr>
            </w:pPr>
            <w:r>
              <w:rPr>
                <w:rFonts w:hint="eastAsia"/>
                <w:color w:val="auto"/>
                <w:highlight w:val="none"/>
                <w:lang w:val="en-US" w:eastAsia="zh-CN"/>
              </w:rPr>
              <w:t>5</w:t>
            </w:r>
          </w:p>
        </w:tc>
        <w:tc>
          <w:tcPr>
            <w:tcW w:w="547" w:type="pct"/>
            <w:vMerge w:val="continue"/>
            <w:tcBorders>
              <w:tl2br w:val="nil"/>
              <w:tr2bl w:val="nil"/>
            </w:tcBorders>
            <w:noWrap w:val="0"/>
            <w:vAlign w:val="center"/>
          </w:tcPr>
          <w:p w14:paraId="79839CBC">
            <w:pPr>
              <w:pStyle w:val="1358"/>
              <w:rPr>
                <w:color w:val="auto"/>
                <w:highlight w:val="none"/>
              </w:rPr>
            </w:pPr>
          </w:p>
        </w:tc>
      </w:tr>
      <w:tr w14:paraId="6F7AE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6" w:type="pct"/>
            <w:vMerge w:val="restart"/>
            <w:tcBorders>
              <w:tl2br w:val="nil"/>
              <w:tr2bl w:val="nil"/>
            </w:tcBorders>
            <w:noWrap w:val="0"/>
            <w:vAlign w:val="center"/>
          </w:tcPr>
          <w:p w14:paraId="624FB3B6">
            <w:pPr>
              <w:pStyle w:val="1358"/>
              <w:bidi w:val="0"/>
              <w:rPr>
                <w:color w:val="auto"/>
                <w:highlight w:val="none"/>
              </w:rPr>
            </w:pPr>
            <w:r>
              <w:rPr>
                <w:color w:val="auto"/>
                <w:highlight w:val="none"/>
              </w:rPr>
              <w:t>固废</w:t>
            </w:r>
          </w:p>
        </w:tc>
        <w:tc>
          <w:tcPr>
            <w:tcW w:w="841" w:type="pct"/>
            <w:tcBorders>
              <w:tl2br w:val="nil"/>
              <w:tr2bl w:val="nil"/>
            </w:tcBorders>
            <w:noWrap w:val="0"/>
            <w:vAlign w:val="center"/>
          </w:tcPr>
          <w:p w14:paraId="355DF58F">
            <w:pPr>
              <w:pStyle w:val="1358"/>
              <w:bidi w:val="0"/>
              <w:rPr>
                <w:color w:val="auto"/>
                <w:highlight w:val="none"/>
              </w:rPr>
            </w:pPr>
            <w:r>
              <w:rPr>
                <w:color w:val="auto"/>
                <w:highlight w:val="none"/>
              </w:rPr>
              <w:t>生活垃圾</w:t>
            </w:r>
          </w:p>
        </w:tc>
        <w:tc>
          <w:tcPr>
            <w:tcW w:w="2644" w:type="pct"/>
            <w:tcBorders>
              <w:tl2br w:val="nil"/>
              <w:tr2bl w:val="nil"/>
            </w:tcBorders>
            <w:noWrap w:val="0"/>
            <w:vAlign w:val="center"/>
          </w:tcPr>
          <w:p w14:paraId="759CD43C">
            <w:pPr>
              <w:pStyle w:val="1358"/>
              <w:bidi w:val="0"/>
              <w:rPr>
                <w:color w:val="auto"/>
                <w:highlight w:val="none"/>
              </w:rPr>
            </w:pPr>
            <w:r>
              <w:rPr>
                <w:color w:val="auto"/>
                <w:highlight w:val="none"/>
              </w:rPr>
              <w:t>垃圾收集桶若干</w:t>
            </w:r>
          </w:p>
        </w:tc>
        <w:tc>
          <w:tcPr>
            <w:tcW w:w="590" w:type="pct"/>
            <w:vMerge w:val="restart"/>
            <w:tcBorders>
              <w:tl2br w:val="nil"/>
              <w:tr2bl w:val="nil"/>
            </w:tcBorders>
            <w:noWrap w:val="0"/>
            <w:vAlign w:val="center"/>
          </w:tcPr>
          <w:p w14:paraId="5741B5E3">
            <w:pPr>
              <w:pStyle w:val="1358"/>
              <w:bidi w:val="0"/>
              <w:rPr>
                <w:rFonts w:hint="default"/>
                <w:color w:val="auto"/>
                <w:highlight w:val="none"/>
                <w:lang w:val="en-US" w:eastAsia="zh-CN"/>
              </w:rPr>
            </w:pPr>
            <w:r>
              <w:rPr>
                <w:rFonts w:hint="eastAsia"/>
                <w:color w:val="auto"/>
                <w:highlight w:val="none"/>
                <w:lang w:val="en-US" w:eastAsia="zh-CN"/>
              </w:rPr>
              <w:t>8</w:t>
            </w:r>
          </w:p>
        </w:tc>
        <w:tc>
          <w:tcPr>
            <w:tcW w:w="547" w:type="pct"/>
            <w:vMerge w:val="continue"/>
            <w:tcBorders>
              <w:tl2br w:val="nil"/>
              <w:tr2bl w:val="nil"/>
            </w:tcBorders>
            <w:noWrap w:val="0"/>
            <w:vAlign w:val="center"/>
          </w:tcPr>
          <w:p w14:paraId="3EA722C6">
            <w:pPr>
              <w:pStyle w:val="1358"/>
              <w:bidi w:val="0"/>
              <w:rPr>
                <w:color w:val="auto"/>
                <w:highlight w:val="none"/>
              </w:rPr>
            </w:pPr>
          </w:p>
        </w:tc>
      </w:tr>
      <w:tr w14:paraId="11FF9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6" w:type="pct"/>
            <w:vMerge w:val="continue"/>
            <w:tcBorders>
              <w:tl2br w:val="nil"/>
              <w:tr2bl w:val="nil"/>
            </w:tcBorders>
            <w:noWrap w:val="0"/>
            <w:vAlign w:val="center"/>
          </w:tcPr>
          <w:p w14:paraId="48FA47B3">
            <w:pPr>
              <w:pStyle w:val="1358"/>
              <w:bidi w:val="0"/>
              <w:rPr>
                <w:color w:val="auto"/>
                <w:highlight w:val="none"/>
              </w:rPr>
            </w:pPr>
          </w:p>
        </w:tc>
        <w:tc>
          <w:tcPr>
            <w:tcW w:w="841" w:type="pct"/>
            <w:tcBorders>
              <w:tl2br w:val="nil"/>
              <w:tr2bl w:val="nil"/>
            </w:tcBorders>
            <w:noWrap w:val="0"/>
            <w:vAlign w:val="center"/>
          </w:tcPr>
          <w:p w14:paraId="596627FA">
            <w:pPr>
              <w:pStyle w:val="1358"/>
              <w:bidi w:val="0"/>
              <w:rPr>
                <w:color w:val="auto"/>
                <w:highlight w:val="none"/>
              </w:rPr>
            </w:pPr>
            <w:r>
              <w:rPr>
                <w:color w:val="auto"/>
                <w:highlight w:val="none"/>
              </w:rPr>
              <w:t>一般固体废物</w:t>
            </w:r>
          </w:p>
        </w:tc>
        <w:tc>
          <w:tcPr>
            <w:tcW w:w="2644" w:type="pct"/>
            <w:tcBorders>
              <w:tl2br w:val="nil"/>
              <w:tr2bl w:val="nil"/>
            </w:tcBorders>
            <w:noWrap w:val="0"/>
            <w:vAlign w:val="center"/>
          </w:tcPr>
          <w:p w14:paraId="484255AA">
            <w:pPr>
              <w:pStyle w:val="1358"/>
              <w:bidi w:val="0"/>
              <w:rPr>
                <w:color w:val="auto"/>
                <w:highlight w:val="none"/>
              </w:rPr>
            </w:pPr>
            <w:r>
              <w:rPr>
                <w:color w:val="auto"/>
                <w:highlight w:val="none"/>
              </w:rPr>
              <w:t>一般固体废物暂存间1间</w:t>
            </w:r>
          </w:p>
        </w:tc>
        <w:tc>
          <w:tcPr>
            <w:tcW w:w="590" w:type="pct"/>
            <w:vMerge w:val="continue"/>
            <w:tcBorders>
              <w:tl2br w:val="nil"/>
              <w:tr2bl w:val="nil"/>
            </w:tcBorders>
            <w:noWrap w:val="0"/>
            <w:vAlign w:val="center"/>
          </w:tcPr>
          <w:p w14:paraId="7C306CC7">
            <w:pPr>
              <w:pStyle w:val="1358"/>
              <w:bidi w:val="0"/>
              <w:rPr>
                <w:rFonts w:hint="eastAsia"/>
                <w:color w:val="auto"/>
                <w:highlight w:val="none"/>
                <w:lang w:eastAsia="zh-CN"/>
              </w:rPr>
            </w:pPr>
          </w:p>
        </w:tc>
        <w:tc>
          <w:tcPr>
            <w:tcW w:w="547" w:type="pct"/>
            <w:vMerge w:val="continue"/>
            <w:tcBorders>
              <w:tl2br w:val="nil"/>
              <w:tr2bl w:val="nil"/>
            </w:tcBorders>
            <w:noWrap w:val="0"/>
            <w:vAlign w:val="center"/>
          </w:tcPr>
          <w:p w14:paraId="43F16704">
            <w:pPr>
              <w:pStyle w:val="1358"/>
              <w:bidi w:val="0"/>
              <w:rPr>
                <w:color w:val="auto"/>
                <w:highlight w:val="none"/>
              </w:rPr>
            </w:pPr>
          </w:p>
        </w:tc>
      </w:tr>
      <w:tr w14:paraId="4F578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6" w:type="pct"/>
            <w:vMerge w:val="continue"/>
            <w:tcBorders>
              <w:tl2br w:val="nil"/>
              <w:tr2bl w:val="nil"/>
            </w:tcBorders>
            <w:noWrap w:val="0"/>
            <w:vAlign w:val="center"/>
          </w:tcPr>
          <w:p w14:paraId="1E7A17E1">
            <w:pPr>
              <w:pStyle w:val="1358"/>
              <w:bidi w:val="0"/>
              <w:rPr>
                <w:color w:val="auto"/>
                <w:highlight w:val="none"/>
              </w:rPr>
            </w:pPr>
          </w:p>
        </w:tc>
        <w:tc>
          <w:tcPr>
            <w:tcW w:w="841" w:type="pct"/>
            <w:tcBorders>
              <w:tl2br w:val="nil"/>
              <w:tr2bl w:val="nil"/>
            </w:tcBorders>
            <w:noWrap w:val="0"/>
            <w:vAlign w:val="center"/>
          </w:tcPr>
          <w:p w14:paraId="47C789A9">
            <w:pPr>
              <w:pStyle w:val="1358"/>
              <w:bidi w:val="0"/>
              <w:rPr>
                <w:color w:val="auto"/>
                <w:highlight w:val="none"/>
              </w:rPr>
            </w:pPr>
            <w:r>
              <w:rPr>
                <w:color w:val="auto"/>
                <w:highlight w:val="none"/>
              </w:rPr>
              <w:t>危险废物</w:t>
            </w:r>
          </w:p>
        </w:tc>
        <w:tc>
          <w:tcPr>
            <w:tcW w:w="2644" w:type="pct"/>
            <w:tcBorders>
              <w:tl2br w:val="nil"/>
              <w:tr2bl w:val="nil"/>
            </w:tcBorders>
            <w:noWrap w:val="0"/>
            <w:vAlign w:val="center"/>
          </w:tcPr>
          <w:p w14:paraId="6EB9B161">
            <w:pPr>
              <w:pStyle w:val="1358"/>
              <w:bidi w:val="0"/>
              <w:rPr>
                <w:color w:val="auto"/>
                <w:highlight w:val="none"/>
              </w:rPr>
            </w:pPr>
            <w:r>
              <w:rPr>
                <w:rFonts w:hint="eastAsia"/>
                <w:color w:val="auto"/>
                <w:highlight w:val="none"/>
                <w:lang w:eastAsia="zh-CN"/>
              </w:rPr>
              <w:t>危废贮存库</w:t>
            </w:r>
            <w:r>
              <w:rPr>
                <w:color w:val="auto"/>
                <w:highlight w:val="none"/>
              </w:rPr>
              <w:t>1间，与有资质单位签订处置协议</w:t>
            </w:r>
          </w:p>
        </w:tc>
        <w:tc>
          <w:tcPr>
            <w:tcW w:w="590" w:type="pct"/>
            <w:vMerge w:val="continue"/>
            <w:tcBorders>
              <w:tl2br w:val="nil"/>
              <w:tr2bl w:val="nil"/>
            </w:tcBorders>
            <w:noWrap w:val="0"/>
            <w:vAlign w:val="center"/>
          </w:tcPr>
          <w:p w14:paraId="4F5B9540">
            <w:pPr>
              <w:pStyle w:val="1358"/>
              <w:bidi w:val="0"/>
              <w:rPr>
                <w:color w:val="auto"/>
                <w:highlight w:val="none"/>
              </w:rPr>
            </w:pPr>
          </w:p>
        </w:tc>
        <w:tc>
          <w:tcPr>
            <w:tcW w:w="547" w:type="pct"/>
            <w:vMerge w:val="continue"/>
            <w:tcBorders>
              <w:tl2br w:val="nil"/>
              <w:tr2bl w:val="nil"/>
            </w:tcBorders>
            <w:noWrap w:val="0"/>
            <w:vAlign w:val="center"/>
          </w:tcPr>
          <w:p w14:paraId="753DC759">
            <w:pPr>
              <w:pStyle w:val="1358"/>
              <w:bidi w:val="0"/>
              <w:rPr>
                <w:color w:val="auto"/>
                <w:highlight w:val="none"/>
              </w:rPr>
            </w:pPr>
          </w:p>
        </w:tc>
      </w:tr>
      <w:tr w14:paraId="4B940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17" w:type="pct"/>
            <w:gridSpan w:val="2"/>
            <w:tcBorders>
              <w:tl2br w:val="nil"/>
              <w:tr2bl w:val="nil"/>
            </w:tcBorders>
            <w:noWrap w:val="0"/>
            <w:vAlign w:val="center"/>
          </w:tcPr>
          <w:p w14:paraId="3DA38C3F">
            <w:pPr>
              <w:pStyle w:val="1358"/>
              <w:bidi w:val="0"/>
              <w:rPr>
                <w:color w:val="auto"/>
                <w:highlight w:val="none"/>
              </w:rPr>
            </w:pPr>
            <w:r>
              <w:rPr>
                <w:color w:val="auto"/>
                <w:highlight w:val="none"/>
              </w:rPr>
              <w:t>地下水、土壤</w:t>
            </w:r>
          </w:p>
        </w:tc>
        <w:tc>
          <w:tcPr>
            <w:tcW w:w="2644" w:type="pct"/>
            <w:tcBorders>
              <w:tl2br w:val="nil"/>
              <w:tr2bl w:val="nil"/>
            </w:tcBorders>
            <w:noWrap w:val="0"/>
            <w:vAlign w:val="center"/>
          </w:tcPr>
          <w:p w14:paraId="64F93BDC">
            <w:pPr>
              <w:pStyle w:val="1358"/>
              <w:bidi w:val="0"/>
              <w:rPr>
                <w:rFonts w:hint="default" w:eastAsia="宋体"/>
                <w:color w:val="auto"/>
                <w:highlight w:val="none"/>
                <w:lang w:val="en-US" w:eastAsia="zh-CN"/>
              </w:rPr>
            </w:pPr>
            <w:r>
              <w:rPr>
                <w:color w:val="auto"/>
                <w:highlight w:val="none"/>
              </w:rPr>
              <w:t>分区防渗，</w:t>
            </w:r>
            <w:r>
              <w:rPr>
                <w:rFonts w:hint="eastAsia"/>
                <w:color w:val="auto"/>
                <w:highlight w:val="none"/>
                <w:lang w:val="en-US" w:eastAsia="zh-CN"/>
              </w:rPr>
              <w:t>制订和完善突发环境事件应急预案、配备消防设施等</w:t>
            </w:r>
          </w:p>
        </w:tc>
        <w:tc>
          <w:tcPr>
            <w:tcW w:w="590" w:type="pct"/>
            <w:tcBorders>
              <w:tl2br w:val="nil"/>
              <w:tr2bl w:val="nil"/>
            </w:tcBorders>
            <w:noWrap w:val="0"/>
            <w:vAlign w:val="center"/>
          </w:tcPr>
          <w:p w14:paraId="7E787078">
            <w:pPr>
              <w:pStyle w:val="1358"/>
              <w:bidi w:val="0"/>
              <w:rPr>
                <w:rFonts w:hint="default"/>
                <w:color w:val="auto"/>
                <w:highlight w:val="none"/>
                <w:lang w:val="en-US" w:eastAsia="zh-CN"/>
              </w:rPr>
            </w:pPr>
            <w:r>
              <w:rPr>
                <w:rFonts w:hint="eastAsia"/>
                <w:color w:val="auto"/>
                <w:highlight w:val="none"/>
                <w:lang w:val="en-US" w:eastAsia="zh-CN"/>
              </w:rPr>
              <w:t>10</w:t>
            </w:r>
          </w:p>
        </w:tc>
        <w:tc>
          <w:tcPr>
            <w:tcW w:w="547" w:type="pct"/>
            <w:vMerge w:val="continue"/>
            <w:tcBorders>
              <w:tl2br w:val="nil"/>
              <w:tr2bl w:val="nil"/>
            </w:tcBorders>
            <w:noWrap w:val="0"/>
            <w:vAlign w:val="center"/>
          </w:tcPr>
          <w:p w14:paraId="7E4F5BBA">
            <w:pPr>
              <w:pStyle w:val="1358"/>
              <w:bidi w:val="0"/>
              <w:rPr>
                <w:color w:val="auto"/>
                <w:highlight w:val="none"/>
              </w:rPr>
            </w:pPr>
          </w:p>
        </w:tc>
      </w:tr>
      <w:tr w14:paraId="0487E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862" w:type="pct"/>
            <w:gridSpan w:val="3"/>
            <w:tcBorders>
              <w:tl2br w:val="nil"/>
              <w:tr2bl w:val="nil"/>
            </w:tcBorders>
            <w:noWrap w:val="0"/>
            <w:vAlign w:val="center"/>
          </w:tcPr>
          <w:p w14:paraId="38829FFC">
            <w:pPr>
              <w:pStyle w:val="1358"/>
              <w:bidi w:val="0"/>
              <w:rPr>
                <w:rFonts w:hint="eastAsia" w:eastAsia="宋体"/>
                <w:color w:val="auto"/>
                <w:highlight w:val="none"/>
                <w:lang w:eastAsia="zh-CN"/>
              </w:rPr>
            </w:pPr>
            <w:r>
              <w:rPr>
                <w:color w:val="auto"/>
                <w:highlight w:val="none"/>
              </w:rPr>
              <w:t>合计</w:t>
            </w:r>
            <w:r>
              <w:rPr>
                <w:rFonts w:hint="eastAsia"/>
                <w:color w:val="auto"/>
                <w:highlight w:val="none"/>
                <w:lang w:eastAsia="zh-CN"/>
              </w:rPr>
              <w:t>（</w:t>
            </w:r>
            <w:r>
              <w:rPr>
                <w:rFonts w:hint="eastAsia"/>
                <w:color w:val="auto"/>
                <w:highlight w:val="none"/>
                <w:lang w:val="en-US" w:eastAsia="zh-CN"/>
              </w:rPr>
              <w:t>万元</w:t>
            </w:r>
            <w:r>
              <w:rPr>
                <w:rFonts w:hint="eastAsia"/>
                <w:color w:val="auto"/>
                <w:highlight w:val="none"/>
                <w:lang w:eastAsia="zh-CN"/>
              </w:rPr>
              <w:t>）</w:t>
            </w:r>
          </w:p>
        </w:tc>
        <w:tc>
          <w:tcPr>
            <w:tcW w:w="590" w:type="pct"/>
            <w:tcBorders>
              <w:tl2br w:val="nil"/>
              <w:tr2bl w:val="nil"/>
            </w:tcBorders>
            <w:noWrap w:val="0"/>
            <w:vAlign w:val="center"/>
          </w:tcPr>
          <w:p w14:paraId="461FB529">
            <w:pPr>
              <w:pStyle w:val="1358"/>
              <w:bidi w:val="0"/>
              <w:rPr>
                <w:rFonts w:hint="default"/>
                <w:color w:val="auto"/>
                <w:highlight w:val="none"/>
                <w:lang w:val="en-US" w:eastAsia="zh-CN"/>
              </w:rPr>
            </w:pPr>
            <w:r>
              <w:rPr>
                <w:rFonts w:hint="eastAsia"/>
                <w:color w:val="auto"/>
                <w:highlight w:val="none"/>
                <w:lang w:val="en-US" w:eastAsia="zh-CN"/>
              </w:rPr>
              <w:t>175</w:t>
            </w:r>
          </w:p>
        </w:tc>
        <w:tc>
          <w:tcPr>
            <w:tcW w:w="547" w:type="pct"/>
            <w:tcBorders>
              <w:tl2br w:val="nil"/>
              <w:tr2bl w:val="nil"/>
            </w:tcBorders>
            <w:noWrap w:val="0"/>
            <w:vAlign w:val="center"/>
          </w:tcPr>
          <w:p w14:paraId="2C9D41FF">
            <w:pPr>
              <w:pStyle w:val="1358"/>
              <w:bidi w:val="0"/>
              <w:rPr>
                <w:rFonts w:hint="eastAsia"/>
                <w:color w:val="auto"/>
                <w:highlight w:val="none"/>
                <w:lang w:val="en-US" w:eastAsia="zh-CN"/>
              </w:rPr>
            </w:pPr>
          </w:p>
        </w:tc>
      </w:tr>
    </w:tbl>
    <w:p w14:paraId="47DF666E">
      <w:pPr>
        <w:pStyle w:val="441"/>
        <w:ind w:firstLine="480"/>
        <w:rPr>
          <w:color w:val="auto"/>
          <w:highlight w:val="none"/>
        </w:rPr>
      </w:pPr>
      <w:bookmarkStart w:id="1062" w:name="_Toc335643995"/>
      <w:r>
        <w:rPr>
          <w:color w:val="auto"/>
          <w:highlight w:val="none"/>
        </w:rPr>
        <w:t>根据核算，项目用于各项污染治理的投资约</w:t>
      </w:r>
      <w:r>
        <w:rPr>
          <w:rFonts w:hint="eastAsia"/>
          <w:color w:val="auto"/>
          <w:highlight w:val="none"/>
          <w:lang w:val="en-US" w:eastAsia="zh-CN"/>
        </w:rPr>
        <w:t>175万元</w:t>
      </w:r>
      <w:r>
        <w:rPr>
          <w:color w:val="auto"/>
          <w:highlight w:val="none"/>
        </w:rPr>
        <w:t>，约占项目总投资</w:t>
      </w:r>
      <w:r>
        <w:rPr>
          <w:rFonts w:hint="eastAsia"/>
          <w:color w:val="auto"/>
          <w:highlight w:val="none"/>
          <w:lang w:val="en-US" w:eastAsia="zh-CN"/>
        </w:rPr>
        <w:t>1000</w:t>
      </w:r>
      <w:r>
        <w:rPr>
          <w:color w:val="auto"/>
          <w:highlight w:val="none"/>
        </w:rPr>
        <w:t>万元的</w:t>
      </w:r>
      <w:r>
        <w:rPr>
          <w:rFonts w:hint="eastAsia"/>
          <w:color w:val="auto"/>
          <w:highlight w:val="none"/>
          <w:lang w:val="en-US" w:eastAsia="zh-CN"/>
        </w:rPr>
        <w:t>17.5</w:t>
      </w:r>
      <w:r>
        <w:rPr>
          <w:color w:val="auto"/>
          <w:highlight w:val="none"/>
        </w:rPr>
        <w:t>%，其环保投资额度是基本合理的。</w:t>
      </w:r>
      <w:bookmarkEnd w:id="1062"/>
    </w:p>
    <w:p w14:paraId="5961E1A8">
      <w:pPr>
        <w:pStyle w:val="3"/>
        <w:numPr>
          <w:ilvl w:val="0"/>
          <w:numId w:val="0"/>
        </w:numPr>
        <w:bidi w:val="0"/>
        <w:rPr>
          <w:color w:val="auto"/>
          <w:highlight w:val="none"/>
        </w:rPr>
      </w:pPr>
      <w:bookmarkStart w:id="1063" w:name="_Toc15250"/>
      <w:bookmarkStart w:id="1064" w:name="_Toc16755"/>
      <w:bookmarkStart w:id="1065" w:name="_Toc31624"/>
      <w:bookmarkStart w:id="1066" w:name="_Toc27619"/>
      <w:bookmarkStart w:id="1067" w:name="_Toc7597"/>
      <w:bookmarkStart w:id="1068" w:name="_Toc373835735"/>
      <w:bookmarkStart w:id="1069" w:name="_Toc8251"/>
      <w:bookmarkStart w:id="1070" w:name="_Toc362276184"/>
      <w:bookmarkStart w:id="1071" w:name="_Toc19155"/>
      <w:bookmarkStart w:id="1072" w:name="_Toc27123"/>
      <w:bookmarkStart w:id="1073" w:name="_Toc11470"/>
      <w:bookmarkStart w:id="1074" w:name="_Toc14888"/>
      <w:bookmarkStart w:id="1075" w:name="_Toc366255016"/>
      <w:r>
        <w:rPr>
          <w:color w:val="auto"/>
          <w:highlight w:val="none"/>
        </w:rPr>
        <w:t>8.5</w:t>
      </w:r>
      <w:r>
        <w:rPr>
          <w:rFonts w:hint="eastAsia"/>
          <w:color w:val="auto"/>
          <w:highlight w:val="none"/>
          <w:lang w:val="en-US" w:eastAsia="zh-CN"/>
        </w:rPr>
        <w:t xml:space="preserve"> </w:t>
      </w:r>
      <w:r>
        <w:rPr>
          <w:color w:val="auto"/>
          <w:highlight w:val="none"/>
        </w:rPr>
        <w:t>环境影响经济损益分析结论</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14:paraId="1E8EB6A3">
      <w:pPr>
        <w:bidi w:val="0"/>
        <w:rPr>
          <w:color w:val="auto"/>
          <w:highlight w:val="none"/>
        </w:rPr>
      </w:pPr>
      <w:bookmarkStart w:id="1076" w:name="_Toc335644043"/>
      <w:r>
        <w:rPr>
          <w:color w:val="auto"/>
          <w:highlight w:val="none"/>
        </w:rPr>
        <w:t>综上所述，本项目的建设具有良好的社会经济效益。本建设项目的投产使用，虽然对周围的水、大气、声环境等造成一定的影响，但建设单位从各方面着手，从源头控制污染物，</w:t>
      </w:r>
      <w:r>
        <w:rPr>
          <w:rFonts w:hint="eastAsia"/>
          <w:color w:val="auto"/>
          <w:highlight w:val="none"/>
          <w:lang w:eastAsia="zh-CN"/>
        </w:rPr>
        <w:t>做好</w:t>
      </w:r>
      <w:r>
        <w:rPr>
          <w:color w:val="auto"/>
          <w:highlight w:val="none"/>
        </w:rPr>
        <w:t>污染防治措施，削减污染物排放量，在达标排放情况下，本项目对周围环境的影响将大大减少，因此，本项目的建设从环境经济效益分析上是可行的。</w:t>
      </w:r>
      <w:bookmarkEnd w:id="1076"/>
    </w:p>
    <w:p w14:paraId="0980DFBE">
      <w:pPr>
        <w:pStyle w:val="217"/>
        <w:ind w:firstLine="480"/>
        <w:rPr>
          <w:color w:val="auto"/>
          <w:highlight w:val="none"/>
        </w:rPr>
      </w:pPr>
    </w:p>
    <w:p w14:paraId="318E8A85">
      <w:pPr>
        <w:topLinePunct/>
        <w:ind w:firstLine="480"/>
        <w:textAlignment w:val="baseline"/>
        <w:rPr>
          <w:color w:val="auto"/>
          <w:highlight w:val="none"/>
        </w:rPr>
        <w:sectPr>
          <w:headerReference r:id="rId27" w:type="first"/>
          <w:footerReference r:id="rId29" w:type="first"/>
          <w:headerReference r:id="rId26" w:type="even"/>
          <w:footerReference r:id="rId28" w:type="even"/>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12" w:charSpace="0"/>
        </w:sectPr>
      </w:pPr>
    </w:p>
    <w:p w14:paraId="50DF33A7">
      <w:pPr>
        <w:pStyle w:val="2"/>
        <w:numPr>
          <w:ilvl w:val="0"/>
          <w:numId w:val="0"/>
        </w:numPr>
        <w:bidi w:val="0"/>
        <w:ind w:leftChars="0"/>
        <w:rPr>
          <w:color w:val="auto"/>
          <w:highlight w:val="none"/>
        </w:rPr>
      </w:pPr>
      <w:bookmarkStart w:id="1077" w:name="_Toc362276185"/>
      <w:bookmarkStart w:id="1078" w:name="_Toc373835736"/>
      <w:bookmarkStart w:id="1079" w:name="_Toc366255017"/>
      <w:bookmarkStart w:id="1080" w:name="_Toc17584"/>
      <w:bookmarkStart w:id="1081" w:name="_Toc23181"/>
      <w:bookmarkStart w:id="1082" w:name="_Toc28651"/>
      <w:bookmarkStart w:id="1083" w:name="_Toc16945"/>
      <w:bookmarkStart w:id="1084" w:name="_Toc9502"/>
      <w:bookmarkStart w:id="1085" w:name="_Toc23124"/>
      <w:bookmarkStart w:id="1086" w:name="_Toc8571"/>
      <w:bookmarkStart w:id="1087" w:name="_Toc7282"/>
      <w:bookmarkStart w:id="1088" w:name="_Toc4447"/>
      <w:bookmarkStart w:id="1089" w:name="_Toc16880"/>
      <w:r>
        <w:rPr>
          <w:color w:val="auto"/>
          <w:highlight w:val="none"/>
        </w:rPr>
        <w:t>9</w:t>
      </w:r>
      <w:r>
        <w:rPr>
          <w:rFonts w:hint="eastAsia"/>
          <w:color w:val="auto"/>
          <w:highlight w:val="none"/>
          <w:lang w:val="en-US" w:eastAsia="zh-CN"/>
        </w:rPr>
        <w:t xml:space="preserve"> </w:t>
      </w:r>
      <w:r>
        <w:rPr>
          <w:color w:val="auto"/>
          <w:highlight w:val="none"/>
        </w:rPr>
        <w:t>环境管理与监测</w:t>
      </w:r>
      <w:bookmarkEnd w:id="1077"/>
      <w:bookmarkEnd w:id="1078"/>
      <w:bookmarkEnd w:id="1079"/>
      <w:r>
        <w:rPr>
          <w:color w:val="auto"/>
          <w:highlight w:val="none"/>
        </w:rPr>
        <w:t>计划</w:t>
      </w:r>
      <w:bookmarkEnd w:id="1080"/>
      <w:bookmarkEnd w:id="1081"/>
      <w:bookmarkEnd w:id="1082"/>
      <w:bookmarkEnd w:id="1083"/>
      <w:bookmarkEnd w:id="1084"/>
      <w:bookmarkEnd w:id="1085"/>
      <w:bookmarkEnd w:id="1086"/>
      <w:bookmarkEnd w:id="1087"/>
      <w:bookmarkEnd w:id="1088"/>
      <w:bookmarkEnd w:id="1089"/>
    </w:p>
    <w:p w14:paraId="687CF6AC">
      <w:pPr>
        <w:pStyle w:val="3"/>
        <w:numPr>
          <w:ilvl w:val="0"/>
          <w:numId w:val="0"/>
        </w:numPr>
        <w:bidi w:val="0"/>
        <w:rPr>
          <w:color w:val="auto"/>
          <w:highlight w:val="none"/>
        </w:rPr>
      </w:pPr>
      <w:bookmarkStart w:id="1090" w:name="_Toc28940"/>
      <w:bookmarkStart w:id="1091" w:name="_Toc29524"/>
      <w:bookmarkStart w:id="1092" w:name="_Toc22001"/>
      <w:bookmarkStart w:id="1093" w:name="_Toc24338"/>
      <w:bookmarkStart w:id="1094" w:name="_Toc6656"/>
      <w:bookmarkStart w:id="1095" w:name="_Toc9202"/>
      <w:bookmarkStart w:id="1096" w:name="_Toc5107"/>
      <w:bookmarkStart w:id="1097" w:name="_Toc2731"/>
      <w:bookmarkStart w:id="1098" w:name="_Toc27902"/>
      <w:bookmarkStart w:id="1099" w:name="_Toc25889"/>
      <w:r>
        <w:rPr>
          <w:color w:val="auto"/>
          <w:highlight w:val="none"/>
        </w:rPr>
        <w:t>9.1</w:t>
      </w:r>
      <w:r>
        <w:rPr>
          <w:rFonts w:hint="eastAsia"/>
          <w:color w:val="auto"/>
          <w:highlight w:val="none"/>
          <w:lang w:val="en-US" w:eastAsia="zh-CN"/>
        </w:rPr>
        <w:t xml:space="preserve"> </w:t>
      </w:r>
      <w:r>
        <w:rPr>
          <w:color w:val="auto"/>
          <w:highlight w:val="none"/>
        </w:rPr>
        <w:t>环境管理组织结构</w:t>
      </w:r>
      <w:bookmarkEnd w:id="1090"/>
      <w:bookmarkEnd w:id="1091"/>
      <w:bookmarkEnd w:id="1092"/>
      <w:bookmarkEnd w:id="1093"/>
      <w:bookmarkEnd w:id="1094"/>
      <w:bookmarkEnd w:id="1095"/>
      <w:bookmarkEnd w:id="1096"/>
      <w:bookmarkEnd w:id="1097"/>
      <w:bookmarkEnd w:id="1098"/>
      <w:bookmarkEnd w:id="1099"/>
    </w:p>
    <w:p w14:paraId="12E9FEC0">
      <w:pPr>
        <w:pStyle w:val="4"/>
        <w:numPr>
          <w:ilvl w:val="0"/>
          <w:numId w:val="0"/>
        </w:numPr>
        <w:tabs>
          <w:tab w:val="clear" w:pos="720"/>
        </w:tabs>
        <w:bidi w:val="0"/>
        <w:rPr>
          <w:color w:val="auto"/>
          <w:highlight w:val="none"/>
        </w:rPr>
      </w:pPr>
      <w:bookmarkStart w:id="1100" w:name="_Toc28666"/>
      <w:bookmarkStart w:id="1101" w:name="_Toc4516"/>
      <w:bookmarkStart w:id="1102" w:name="_Toc2982"/>
      <w:bookmarkStart w:id="1103" w:name="_Toc7187"/>
      <w:bookmarkStart w:id="1104" w:name="_Toc30712"/>
      <w:bookmarkStart w:id="1105" w:name="_Toc30022"/>
      <w:bookmarkStart w:id="1106" w:name="_Toc22711"/>
      <w:bookmarkStart w:id="1107" w:name="_Toc13739"/>
      <w:bookmarkStart w:id="1108" w:name="_Toc27521"/>
      <w:r>
        <w:rPr>
          <w:color w:val="auto"/>
          <w:highlight w:val="none"/>
        </w:rPr>
        <w:t>9.1.1</w:t>
      </w:r>
      <w:r>
        <w:rPr>
          <w:rFonts w:hint="eastAsia"/>
          <w:color w:val="auto"/>
          <w:highlight w:val="none"/>
          <w:lang w:val="en-US" w:eastAsia="zh-CN"/>
        </w:rPr>
        <w:t xml:space="preserve"> </w:t>
      </w:r>
      <w:r>
        <w:rPr>
          <w:color w:val="auto"/>
          <w:highlight w:val="none"/>
        </w:rPr>
        <w:t>环境管理体制</w:t>
      </w:r>
      <w:bookmarkEnd w:id="1100"/>
      <w:bookmarkEnd w:id="1101"/>
      <w:bookmarkEnd w:id="1102"/>
      <w:bookmarkEnd w:id="1103"/>
      <w:bookmarkEnd w:id="1104"/>
      <w:bookmarkEnd w:id="1105"/>
      <w:bookmarkEnd w:id="1106"/>
      <w:bookmarkEnd w:id="1107"/>
      <w:bookmarkEnd w:id="1108"/>
    </w:p>
    <w:p w14:paraId="29E30E5A">
      <w:pPr>
        <w:bidi w:val="0"/>
        <w:rPr>
          <w:color w:val="auto"/>
          <w:highlight w:val="none"/>
        </w:rPr>
      </w:pPr>
      <w:r>
        <w:rPr>
          <w:color w:val="auto"/>
          <w:highlight w:val="none"/>
        </w:rPr>
        <w:t>环境保护的关键是环境管理，而实践证明企业的环境管理是企业管理的重要组成部分，它与企业计划、生产、质量、技术、财务等管理同等重要。它对促进环境效益、经济效益的提高，都起到了明显的作用。目前，环境管理已逐渐形成一项制度，任何一个可能造成较大环境影响的建设项目或一个可能造成较大环境影响的单位，都应设置一个环境管理机构，建立一套有效的环境管理办法，负责实施该项目或该单位的环境管理和监督。</w:t>
      </w:r>
    </w:p>
    <w:p w14:paraId="19DC734C">
      <w:pPr>
        <w:bidi w:val="0"/>
        <w:rPr>
          <w:color w:val="auto"/>
          <w:highlight w:val="none"/>
        </w:rPr>
      </w:pPr>
      <w:r>
        <w:rPr>
          <w:color w:val="auto"/>
          <w:highlight w:val="none"/>
        </w:rPr>
        <w:t>环境管理的基本任务是以保护环境为目标</w:t>
      </w:r>
      <w:r>
        <w:rPr>
          <w:rFonts w:hint="eastAsia"/>
          <w:color w:val="auto"/>
          <w:highlight w:val="none"/>
          <w:lang w:eastAsia="zh-CN"/>
        </w:rPr>
        <w:t>，以</w:t>
      </w:r>
      <w:r>
        <w:rPr>
          <w:color w:val="auto"/>
          <w:highlight w:val="none"/>
        </w:rPr>
        <w:t>清洁生产为手段</w:t>
      </w:r>
      <w:r>
        <w:rPr>
          <w:rFonts w:hint="eastAsia"/>
          <w:color w:val="auto"/>
          <w:highlight w:val="none"/>
          <w:lang w:eastAsia="zh-CN"/>
        </w:rPr>
        <w:t>，以</w:t>
      </w:r>
      <w:r>
        <w:rPr>
          <w:color w:val="auto"/>
          <w:highlight w:val="none"/>
        </w:rPr>
        <w:t>发展生产与经济效益为目的。因此，必须加大环境管理力度，确保本公司</w:t>
      </w:r>
      <w:r>
        <w:rPr>
          <w:rFonts w:hint="eastAsia"/>
          <w:color w:val="auto"/>
          <w:highlight w:val="none"/>
          <w:lang w:eastAsia="zh-CN"/>
        </w:rPr>
        <w:t>“</w:t>
      </w:r>
      <w:r>
        <w:rPr>
          <w:color w:val="auto"/>
          <w:highlight w:val="none"/>
        </w:rPr>
        <w:t>三废治理</w:t>
      </w:r>
      <w:r>
        <w:rPr>
          <w:rFonts w:hint="eastAsia"/>
          <w:color w:val="auto"/>
          <w:highlight w:val="none"/>
          <w:lang w:eastAsia="zh-CN"/>
        </w:rPr>
        <w:t>”</w:t>
      </w:r>
      <w:r>
        <w:rPr>
          <w:color w:val="auto"/>
          <w:highlight w:val="none"/>
        </w:rPr>
        <w:t>的设施正常运转。使该公司建设在经济、环境、社会效益方面能够协调发展。</w:t>
      </w:r>
    </w:p>
    <w:p w14:paraId="283E780A">
      <w:pPr>
        <w:bidi w:val="0"/>
        <w:rPr>
          <w:color w:val="auto"/>
          <w:highlight w:val="none"/>
        </w:rPr>
      </w:pPr>
      <w:r>
        <w:rPr>
          <w:color w:val="auto"/>
          <w:highlight w:val="none"/>
        </w:rPr>
        <w:t>为保证环境管理任务的顺利实施，</w:t>
      </w:r>
      <w:r>
        <w:rPr>
          <w:rFonts w:hint="eastAsia"/>
          <w:color w:val="auto"/>
          <w:highlight w:val="none"/>
          <w:lang w:eastAsia="zh-CN"/>
        </w:rPr>
        <w:t>福州日源汽车零部件有限公司</w:t>
      </w:r>
      <w:r>
        <w:rPr>
          <w:color w:val="auto"/>
          <w:highlight w:val="none"/>
        </w:rPr>
        <w:t>拟建立环保三级管理网络系统。环保三级网络系统由公司、环境保护科和车间组成。</w:t>
      </w:r>
    </w:p>
    <w:p w14:paraId="74EE0A95">
      <w:pPr>
        <w:bidi w:val="0"/>
        <w:rPr>
          <w:color w:val="auto"/>
          <w:highlight w:val="none"/>
        </w:rPr>
      </w:pPr>
      <w:r>
        <w:rPr>
          <w:color w:val="auto"/>
          <w:highlight w:val="none"/>
        </w:rPr>
        <w:t>（1）该公司成立以总经理为主任，分管生产副总经理为副主任，总工程师、副总工程师、各车间主任、各科室科长以及其他各部门领导为委员组成的公司环境保护委员会，负责全公司的环境保护管理工作。</w:t>
      </w:r>
    </w:p>
    <w:p w14:paraId="76036582">
      <w:pPr>
        <w:bidi w:val="0"/>
        <w:rPr>
          <w:color w:val="auto"/>
          <w:highlight w:val="none"/>
        </w:rPr>
      </w:pPr>
      <w:r>
        <w:rPr>
          <w:color w:val="auto"/>
          <w:highlight w:val="none"/>
        </w:rPr>
        <w:t>（2）公司设置环境保护科。环境保护科既是公司的一个职能部门，又是公司环境保护委员会的常设办事机构，下设环保管理组和环境监测室，负责公司日常环保管理工作及环境监测工作。</w:t>
      </w:r>
    </w:p>
    <w:p w14:paraId="372F5C1F">
      <w:pPr>
        <w:bidi w:val="0"/>
        <w:rPr>
          <w:color w:val="auto"/>
          <w:highlight w:val="none"/>
        </w:rPr>
      </w:pPr>
      <w:r>
        <w:rPr>
          <w:color w:val="auto"/>
          <w:highlight w:val="none"/>
        </w:rPr>
        <w:t>（3）各车间成立以车间主任及班组长组成车间环境管理领导小组，具体负责车间环境保护管理工作，车间环保员管理其日常工作。形成公司－环境保护科－车间三级环保网络，全员参与，各负其责。</w:t>
      </w:r>
    </w:p>
    <w:p w14:paraId="0EF3B0F0">
      <w:pPr>
        <w:pStyle w:val="4"/>
        <w:numPr>
          <w:ilvl w:val="0"/>
          <w:numId w:val="0"/>
        </w:numPr>
        <w:tabs>
          <w:tab w:val="clear" w:pos="720"/>
        </w:tabs>
        <w:bidi w:val="0"/>
        <w:rPr>
          <w:color w:val="auto"/>
          <w:highlight w:val="none"/>
        </w:rPr>
      </w:pPr>
      <w:bookmarkStart w:id="1109" w:name="_Toc16802"/>
      <w:bookmarkStart w:id="1110" w:name="_Toc20665"/>
      <w:bookmarkStart w:id="1111" w:name="_Toc27643"/>
      <w:bookmarkStart w:id="1112" w:name="_Toc31881"/>
      <w:bookmarkStart w:id="1113" w:name="_Toc29817"/>
      <w:bookmarkStart w:id="1114" w:name="_Toc30892"/>
      <w:bookmarkStart w:id="1115" w:name="_Toc29769"/>
      <w:bookmarkStart w:id="1116" w:name="_Toc11259"/>
      <w:bookmarkStart w:id="1117" w:name="_Toc2633"/>
      <w:r>
        <w:rPr>
          <w:color w:val="auto"/>
          <w:highlight w:val="none"/>
        </w:rPr>
        <w:t>9.1.2</w:t>
      </w:r>
      <w:r>
        <w:rPr>
          <w:rFonts w:hint="eastAsia"/>
          <w:color w:val="auto"/>
          <w:highlight w:val="none"/>
          <w:lang w:val="en-US" w:eastAsia="zh-CN"/>
        </w:rPr>
        <w:t xml:space="preserve"> </w:t>
      </w:r>
      <w:r>
        <w:rPr>
          <w:color w:val="auto"/>
          <w:highlight w:val="none"/>
        </w:rPr>
        <w:t>环境管理机构及其职责</w:t>
      </w:r>
      <w:bookmarkEnd w:id="1109"/>
      <w:bookmarkEnd w:id="1110"/>
      <w:bookmarkEnd w:id="1111"/>
      <w:bookmarkEnd w:id="1112"/>
      <w:bookmarkEnd w:id="1113"/>
      <w:bookmarkEnd w:id="1114"/>
      <w:bookmarkEnd w:id="1115"/>
      <w:bookmarkEnd w:id="1116"/>
      <w:bookmarkEnd w:id="1117"/>
    </w:p>
    <w:p w14:paraId="3AD1CCBB">
      <w:pPr>
        <w:bidi w:val="0"/>
        <w:rPr>
          <w:color w:val="auto"/>
          <w:highlight w:val="none"/>
        </w:rPr>
      </w:pPr>
      <w:bookmarkStart w:id="1118" w:name="_Hlk70358285"/>
      <w:r>
        <w:rPr>
          <w:color w:val="auto"/>
          <w:highlight w:val="none"/>
        </w:rPr>
        <w:t>该项目常设的环境管理机构是环境保护科，具体负责全公司的日常的环境管理和监督工作。</w:t>
      </w:r>
      <w:bookmarkEnd w:id="1118"/>
      <w:r>
        <w:rPr>
          <w:color w:val="auto"/>
          <w:highlight w:val="none"/>
        </w:rPr>
        <w:t>环境保护科的主要职责是：</w:t>
      </w:r>
    </w:p>
    <w:p w14:paraId="11B9A105">
      <w:pPr>
        <w:bidi w:val="0"/>
        <w:rPr>
          <w:color w:val="auto"/>
          <w:highlight w:val="none"/>
        </w:rPr>
      </w:pPr>
      <w:r>
        <w:rPr>
          <w:color w:val="auto"/>
          <w:highlight w:val="none"/>
        </w:rPr>
        <w:t>（1）贯彻执行国家和地方的有关环保</w:t>
      </w:r>
      <w:r>
        <w:rPr>
          <w:rFonts w:hint="eastAsia"/>
          <w:color w:val="auto"/>
          <w:highlight w:val="none"/>
          <w:lang w:eastAsia="zh-CN"/>
        </w:rPr>
        <w:t>法律法规</w:t>
      </w:r>
      <w:r>
        <w:rPr>
          <w:color w:val="auto"/>
          <w:highlight w:val="none"/>
        </w:rPr>
        <w:t>、政策和要求；</w:t>
      </w:r>
    </w:p>
    <w:p w14:paraId="4978AE11">
      <w:pPr>
        <w:bidi w:val="0"/>
        <w:rPr>
          <w:color w:val="auto"/>
          <w:highlight w:val="none"/>
        </w:rPr>
      </w:pPr>
      <w:r>
        <w:rPr>
          <w:color w:val="auto"/>
          <w:highlight w:val="none"/>
        </w:rPr>
        <w:t>（2）制定本公司的环境保护规划和年度目标计划，并组织实施；</w:t>
      </w:r>
    </w:p>
    <w:p w14:paraId="3C9C5199">
      <w:pPr>
        <w:bidi w:val="0"/>
        <w:rPr>
          <w:color w:val="auto"/>
          <w:highlight w:val="none"/>
        </w:rPr>
      </w:pPr>
      <w:r>
        <w:rPr>
          <w:color w:val="auto"/>
          <w:highlight w:val="none"/>
        </w:rPr>
        <w:t>（3）制定本公司的环境管理制度，并对实施情况进行监督、检查；</w:t>
      </w:r>
    </w:p>
    <w:p w14:paraId="672F758F">
      <w:pPr>
        <w:bidi w:val="0"/>
        <w:rPr>
          <w:color w:val="auto"/>
          <w:highlight w:val="none"/>
        </w:rPr>
      </w:pPr>
      <w:r>
        <w:rPr>
          <w:color w:val="auto"/>
          <w:highlight w:val="none"/>
        </w:rPr>
        <w:t>（4）制定本公司污染总量控制指标，环保设施运行指标，</w:t>
      </w:r>
      <w:r>
        <w:rPr>
          <w:rFonts w:hint="eastAsia"/>
          <w:color w:val="auto"/>
          <w:highlight w:val="none"/>
          <w:lang w:eastAsia="zh-CN"/>
        </w:rPr>
        <w:t>“</w:t>
      </w:r>
      <w:r>
        <w:rPr>
          <w:color w:val="auto"/>
          <w:highlight w:val="none"/>
        </w:rPr>
        <w:t>三废</w:t>
      </w:r>
      <w:r>
        <w:rPr>
          <w:rFonts w:hint="eastAsia"/>
          <w:color w:val="auto"/>
          <w:highlight w:val="none"/>
          <w:lang w:eastAsia="zh-CN"/>
        </w:rPr>
        <w:t>”</w:t>
      </w:r>
      <w:r>
        <w:rPr>
          <w:color w:val="auto"/>
          <w:highlight w:val="none"/>
        </w:rPr>
        <w:t>综合利用指标，污染事故率指标等各项考核指标，分解到各车间，进行定量考评；</w:t>
      </w:r>
    </w:p>
    <w:p w14:paraId="770E7DD8">
      <w:pPr>
        <w:bidi w:val="0"/>
        <w:rPr>
          <w:color w:val="auto"/>
          <w:highlight w:val="none"/>
        </w:rPr>
      </w:pPr>
      <w:r>
        <w:rPr>
          <w:color w:val="auto"/>
          <w:highlight w:val="none"/>
        </w:rPr>
        <w:t>（5）负责监督本公司</w:t>
      </w:r>
      <w:r>
        <w:rPr>
          <w:rFonts w:hint="eastAsia"/>
          <w:color w:val="auto"/>
          <w:highlight w:val="none"/>
          <w:lang w:eastAsia="zh-CN"/>
        </w:rPr>
        <w:t>“</w:t>
      </w:r>
      <w:r>
        <w:rPr>
          <w:color w:val="auto"/>
          <w:highlight w:val="none"/>
        </w:rPr>
        <w:t>三同时</w:t>
      </w:r>
      <w:r>
        <w:rPr>
          <w:rFonts w:hint="eastAsia"/>
          <w:color w:val="auto"/>
          <w:highlight w:val="none"/>
          <w:lang w:eastAsia="zh-CN"/>
        </w:rPr>
        <w:t>”</w:t>
      </w:r>
      <w:r>
        <w:rPr>
          <w:color w:val="auto"/>
          <w:highlight w:val="none"/>
        </w:rPr>
        <w:t>的执行情况。对本公司环境质量状况和各环保设施运行状况的例行监测和检查工作，并及时纠正违规行为；</w:t>
      </w:r>
    </w:p>
    <w:p w14:paraId="129F22E3">
      <w:pPr>
        <w:bidi w:val="0"/>
        <w:rPr>
          <w:color w:val="auto"/>
          <w:highlight w:val="none"/>
        </w:rPr>
      </w:pPr>
      <w:r>
        <w:rPr>
          <w:color w:val="auto"/>
          <w:highlight w:val="none"/>
        </w:rPr>
        <w:t>（6）组织或协调污染控制、</w:t>
      </w:r>
      <w:r>
        <w:rPr>
          <w:rFonts w:hint="eastAsia"/>
          <w:color w:val="auto"/>
          <w:highlight w:val="none"/>
          <w:lang w:eastAsia="zh-CN"/>
        </w:rPr>
        <w:t>“</w:t>
      </w:r>
      <w:r>
        <w:rPr>
          <w:color w:val="auto"/>
          <w:highlight w:val="none"/>
        </w:rPr>
        <w:t>三废</w:t>
      </w:r>
      <w:r>
        <w:rPr>
          <w:rFonts w:hint="eastAsia"/>
          <w:color w:val="auto"/>
          <w:highlight w:val="none"/>
          <w:lang w:eastAsia="zh-CN"/>
        </w:rPr>
        <w:t>”</w:t>
      </w:r>
      <w:r>
        <w:rPr>
          <w:color w:val="auto"/>
          <w:highlight w:val="none"/>
        </w:rPr>
        <w:t>综合利用、清洁生产等技术攻关课题研究，不断提高环境保护水平；</w:t>
      </w:r>
    </w:p>
    <w:p w14:paraId="13C7ED91">
      <w:pPr>
        <w:bidi w:val="0"/>
        <w:rPr>
          <w:color w:val="auto"/>
          <w:highlight w:val="none"/>
        </w:rPr>
      </w:pPr>
      <w:r>
        <w:rPr>
          <w:color w:val="auto"/>
          <w:highlight w:val="none"/>
        </w:rPr>
        <w:t>（7）负责污染事故的防范，应急处理和报告工作；</w:t>
      </w:r>
    </w:p>
    <w:p w14:paraId="14658E79">
      <w:pPr>
        <w:bidi w:val="0"/>
        <w:rPr>
          <w:color w:val="auto"/>
          <w:highlight w:val="none"/>
        </w:rPr>
      </w:pPr>
      <w:r>
        <w:rPr>
          <w:color w:val="auto"/>
          <w:highlight w:val="none"/>
        </w:rPr>
        <w:t>（8）搞好环境保护宣传教育，组织环保技术培训、竞赛、评比等工作，</w:t>
      </w:r>
      <w:r>
        <w:rPr>
          <w:rFonts w:hint="eastAsia"/>
          <w:color w:val="auto"/>
          <w:highlight w:val="none"/>
          <w:lang w:eastAsia="zh-CN"/>
        </w:rPr>
        <w:t>增强</w:t>
      </w:r>
      <w:r>
        <w:rPr>
          <w:color w:val="auto"/>
          <w:highlight w:val="none"/>
        </w:rPr>
        <w:t>全体员工环保意识和技能；</w:t>
      </w:r>
    </w:p>
    <w:p w14:paraId="2AE02691">
      <w:pPr>
        <w:bidi w:val="0"/>
        <w:rPr>
          <w:color w:val="auto"/>
          <w:highlight w:val="none"/>
        </w:rPr>
      </w:pPr>
      <w:r>
        <w:rPr>
          <w:color w:val="auto"/>
          <w:highlight w:val="none"/>
        </w:rPr>
        <w:t>（9）负责环保资料的收集、汇总、保管、归档工作；</w:t>
      </w:r>
    </w:p>
    <w:p w14:paraId="53C9E5F2">
      <w:pPr>
        <w:bidi w:val="0"/>
        <w:rPr>
          <w:color w:val="auto"/>
          <w:highlight w:val="none"/>
        </w:rPr>
      </w:pPr>
      <w:r>
        <w:rPr>
          <w:color w:val="auto"/>
          <w:highlight w:val="none"/>
        </w:rPr>
        <w:t>（10）完成公司环保委员会交办的</w:t>
      </w:r>
      <w:r>
        <w:rPr>
          <w:rFonts w:hint="eastAsia"/>
          <w:color w:val="auto"/>
          <w:highlight w:val="none"/>
          <w:lang w:eastAsia="zh-CN"/>
        </w:rPr>
        <w:t>其他</w:t>
      </w:r>
      <w:r>
        <w:rPr>
          <w:color w:val="auto"/>
          <w:highlight w:val="none"/>
        </w:rPr>
        <w:t>工作；</w:t>
      </w:r>
    </w:p>
    <w:p w14:paraId="072B9AC9">
      <w:pPr>
        <w:bidi w:val="0"/>
        <w:rPr>
          <w:color w:val="auto"/>
          <w:highlight w:val="none"/>
        </w:rPr>
      </w:pPr>
      <w:r>
        <w:rPr>
          <w:color w:val="auto"/>
          <w:highlight w:val="none"/>
        </w:rPr>
        <w:t>（11）负责领导公司环境监测室工作，指导各车间环保小组工作；</w:t>
      </w:r>
    </w:p>
    <w:p w14:paraId="0DBD37EC">
      <w:pPr>
        <w:bidi w:val="0"/>
        <w:rPr>
          <w:color w:val="auto"/>
          <w:highlight w:val="none"/>
        </w:rPr>
      </w:pPr>
      <w:r>
        <w:rPr>
          <w:color w:val="auto"/>
          <w:highlight w:val="none"/>
        </w:rPr>
        <w:t>（12）对本公司的绿化工作进行监督管理，提出建议；</w:t>
      </w:r>
    </w:p>
    <w:p w14:paraId="2260B7AA">
      <w:pPr>
        <w:bidi w:val="0"/>
        <w:rPr>
          <w:color w:val="auto"/>
          <w:highlight w:val="none"/>
        </w:rPr>
      </w:pPr>
      <w:r>
        <w:rPr>
          <w:color w:val="auto"/>
          <w:highlight w:val="none"/>
        </w:rPr>
        <w:t>（13）负责与省、市</w:t>
      </w:r>
      <w:r>
        <w:rPr>
          <w:rFonts w:hint="eastAsia"/>
          <w:color w:val="auto"/>
          <w:highlight w:val="none"/>
          <w:lang w:val="en-US" w:eastAsia="zh-CN"/>
        </w:rPr>
        <w:t>生态环境</w:t>
      </w:r>
      <w:r>
        <w:rPr>
          <w:color w:val="auto"/>
          <w:highlight w:val="none"/>
        </w:rPr>
        <w:t>局的联络和沟通。</w:t>
      </w:r>
    </w:p>
    <w:p w14:paraId="69524B6C">
      <w:pPr>
        <w:pStyle w:val="3"/>
        <w:numPr>
          <w:ilvl w:val="0"/>
          <w:numId w:val="0"/>
        </w:numPr>
        <w:bidi w:val="0"/>
        <w:rPr>
          <w:color w:val="auto"/>
          <w:highlight w:val="none"/>
        </w:rPr>
      </w:pPr>
      <w:bookmarkStart w:id="1119" w:name="_Toc3386"/>
      <w:bookmarkStart w:id="1120" w:name="_Toc28012"/>
      <w:bookmarkStart w:id="1121" w:name="_Toc4908"/>
      <w:bookmarkStart w:id="1122" w:name="_Toc31382"/>
      <w:bookmarkStart w:id="1123" w:name="_Toc30530"/>
      <w:bookmarkStart w:id="1124" w:name="_Toc16785"/>
      <w:bookmarkStart w:id="1125" w:name="_Toc8456"/>
      <w:bookmarkStart w:id="1126" w:name="_Toc3754"/>
      <w:bookmarkStart w:id="1127" w:name="_Toc30793"/>
      <w:bookmarkStart w:id="1128" w:name="_Toc2462"/>
      <w:bookmarkStart w:id="1129" w:name="_Toc69232711"/>
      <w:r>
        <w:rPr>
          <w:color w:val="auto"/>
          <w:highlight w:val="none"/>
        </w:rPr>
        <w:t>9.2</w:t>
      </w:r>
      <w:r>
        <w:rPr>
          <w:rFonts w:hint="eastAsia"/>
          <w:color w:val="auto"/>
          <w:highlight w:val="none"/>
          <w:lang w:val="en-US" w:eastAsia="zh-CN"/>
        </w:rPr>
        <w:t xml:space="preserve"> </w:t>
      </w:r>
      <w:r>
        <w:rPr>
          <w:color w:val="auto"/>
          <w:highlight w:val="none"/>
        </w:rPr>
        <w:t>环境管理计划</w:t>
      </w:r>
      <w:bookmarkEnd w:id="1119"/>
      <w:bookmarkEnd w:id="1120"/>
      <w:bookmarkEnd w:id="1121"/>
      <w:bookmarkEnd w:id="1122"/>
      <w:bookmarkEnd w:id="1123"/>
      <w:bookmarkEnd w:id="1124"/>
      <w:bookmarkEnd w:id="1125"/>
      <w:bookmarkEnd w:id="1126"/>
      <w:bookmarkEnd w:id="1127"/>
      <w:bookmarkEnd w:id="1128"/>
      <w:bookmarkEnd w:id="1129"/>
    </w:p>
    <w:p w14:paraId="28D41017">
      <w:pPr>
        <w:pStyle w:val="4"/>
        <w:numPr>
          <w:ilvl w:val="0"/>
          <w:numId w:val="0"/>
        </w:numPr>
        <w:tabs>
          <w:tab w:val="clear" w:pos="720"/>
        </w:tabs>
        <w:bidi w:val="0"/>
        <w:rPr>
          <w:color w:val="auto"/>
          <w:highlight w:val="none"/>
        </w:rPr>
      </w:pPr>
      <w:bookmarkStart w:id="1130" w:name="_Toc12438"/>
      <w:bookmarkStart w:id="1131" w:name="_Toc13857"/>
      <w:bookmarkStart w:id="1132" w:name="_Toc18440"/>
      <w:bookmarkStart w:id="1133" w:name="_Toc17175"/>
      <w:bookmarkStart w:id="1134" w:name="_Toc22890"/>
      <w:bookmarkStart w:id="1135" w:name="_Toc27903"/>
      <w:bookmarkStart w:id="1136" w:name="_Toc28653"/>
      <w:bookmarkStart w:id="1137" w:name="_Toc30800"/>
      <w:bookmarkStart w:id="1138" w:name="_Toc9997"/>
      <w:r>
        <w:rPr>
          <w:color w:val="auto"/>
          <w:highlight w:val="none"/>
        </w:rPr>
        <w:t>9.2.1</w:t>
      </w:r>
      <w:r>
        <w:rPr>
          <w:rFonts w:hint="eastAsia"/>
          <w:color w:val="auto"/>
          <w:highlight w:val="none"/>
          <w:lang w:val="en-US" w:eastAsia="zh-CN"/>
        </w:rPr>
        <w:t xml:space="preserve"> </w:t>
      </w:r>
      <w:r>
        <w:rPr>
          <w:color w:val="auto"/>
          <w:highlight w:val="none"/>
        </w:rPr>
        <w:t>项目前期工作阶段环境管理</w:t>
      </w:r>
      <w:bookmarkEnd w:id="1130"/>
      <w:bookmarkEnd w:id="1131"/>
      <w:bookmarkEnd w:id="1132"/>
      <w:bookmarkEnd w:id="1133"/>
      <w:bookmarkEnd w:id="1134"/>
      <w:bookmarkEnd w:id="1135"/>
      <w:bookmarkEnd w:id="1136"/>
      <w:bookmarkEnd w:id="1137"/>
      <w:bookmarkEnd w:id="1138"/>
    </w:p>
    <w:p w14:paraId="42F76F42">
      <w:pPr>
        <w:bidi w:val="0"/>
        <w:rPr>
          <w:color w:val="auto"/>
          <w:highlight w:val="none"/>
        </w:rPr>
      </w:pPr>
      <w:r>
        <w:rPr>
          <w:color w:val="auto"/>
          <w:highlight w:val="none"/>
        </w:rPr>
        <w:t>（1）可行性研究阶段</w:t>
      </w:r>
    </w:p>
    <w:p w14:paraId="7DA0C67E">
      <w:pPr>
        <w:bidi w:val="0"/>
        <w:rPr>
          <w:color w:val="auto"/>
          <w:highlight w:val="none"/>
        </w:rPr>
      </w:pPr>
      <w:r>
        <w:rPr>
          <w:color w:val="auto"/>
          <w:highlight w:val="none"/>
        </w:rPr>
        <w:t>在此阶段，建设单位应做的环境管理工作是负责提供项目的环境影响报告书，并报请</w:t>
      </w:r>
      <w:r>
        <w:rPr>
          <w:rFonts w:hint="eastAsia"/>
          <w:color w:val="auto"/>
          <w:highlight w:val="none"/>
          <w:lang w:val="en-US" w:eastAsia="zh-CN"/>
        </w:rPr>
        <w:t>生态环境</w:t>
      </w:r>
      <w:r>
        <w:rPr>
          <w:color w:val="auto"/>
          <w:highlight w:val="none"/>
        </w:rPr>
        <w:t>主管部门审批后，将环保措施纳入可行性研究报告。</w:t>
      </w:r>
    </w:p>
    <w:p w14:paraId="5D1C2BE8">
      <w:pPr>
        <w:bidi w:val="0"/>
        <w:rPr>
          <w:color w:val="auto"/>
          <w:highlight w:val="none"/>
        </w:rPr>
      </w:pPr>
      <w:r>
        <w:rPr>
          <w:color w:val="auto"/>
          <w:highlight w:val="none"/>
        </w:rPr>
        <w:t>（2）设计阶段</w:t>
      </w:r>
    </w:p>
    <w:p w14:paraId="4CC3749D">
      <w:pPr>
        <w:bidi w:val="0"/>
        <w:rPr>
          <w:color w:val="auto"/>
          <w:highlight w:val="none"/>
        </w:rPr>
      </w:pPr>
      <w:r>
        <w:rPr>
          <w:color w:val="auto"/>
          <w:highlight w:val="none"/>
        </w:rPr>
        <w:t>设计部门应将环境影响报告书提出的环保措施列入设计和投资概算中，该公司应对环保措施的设计方案进行审查，并及时提出修改意见。</w:t>
      </w:r>
    </w:p>
    <w:p w14:paraId="68C4A05D">
      <w:pPr>
        <w:bidi w:val="0"/>
        <w:rPr>
          <w:color w:val="auto"/>
          <w:highlight w:val="none"/>
        </w:rPr>
      </w:pPr>
      <w:r>
        <w:rPr>
          <w:color w:val="auto"/>
          <w:highlight w:val="none"/>
        </w:rPr>
        <w:t>（3）招标阶段</w:t>
      </w:r>
    </w:p>
    <w:p w14:paraId="38B92459">
      <w:pPr>
        <w:bidi w:val="0"/>
        <w:rPr>
          <w:color w:val="auto"/>
          <w:highlight w:val="none"/>
        </w:rPr>
      </w:pPr>
      <w:r>
        <w:rPr>
          <w:color w:val="auto"/>
          <w:highlight w:val="none"/>
        </w:rPr>
        <w:t>建设单位应根据环境影响报告书的要求和建议，提出工程施工时的环境保护措施的要求和管理规定，纳入招标要求，要求承包商在标书中要有相应的环保措施内容，并要求承包商在中标后提出较详细的实施计划，确保环保措施在施工时的实施。</w:t>
      </w:r>
    </w:p>
    <w:p w14:paraId="3479CDBC">
      <w:pPr>
        <w:pStyle w:val="4"/>
        <w:numPr>
          <w:ilvl w:val="0"/>
          <w:numId w:val="0"/>
        </w:numPr>
        <w:tabs>
          <w:tab w:val="clear" w:pos="720"/>
        </w:tabs>
        <w:bidi w:val="0"/>
        <w:rPr>
          <w:color w:val="auto"/>
          <w:highlight w:val="none"/>
        </w:rPr>
      </w:pPr>
      <w:bookmarkStart w:id="1139" w:name="_Toc18537"/>
      <w:bookmarkStart w:id="1140" w:name="_Toc8561"/>
      <w:bookmarkStart w:id="1141" w:name="_Toc23361"/>
      <w:bookmarkStart w:id="1142" w:name="_Toc28599"/>
      <w:bookmarkStart w:id="1143" w:name="_Toc4537"/>
      <w:bookmarkStart w:id="1144" w:name="_Toc26827"/>
      <w:bookmarkStart w:id="1145" w:name="_Toc20056"/>
      <w:bookmarkStart w:id="1146" w:name="_Toc15914"/>
      <w:bookmarkStart w:id="1147" w:name="_Toc5131"/>
      <w:r>
        <w:rPr>
          <w:color w:val="auto"/>
          <w:highlight w:val="none"/>
        </w:rPr>
        <w:t>9.2.</w:t>
      </w:r>
      <w:r>
        <w:rPr>
          <w:rFonts w:hint="eastAsia"/>
          <w:color w:val="auto"/>
          <w:highlight w:val="none"/>
          <w:lang w:val="en-US" w:eastAsia="zh-CN"/>
        </w:rPr>
        <w:t xml:space="preserve">2 </w:t>
      </w:r>
      <w:r>
        <w:rPr>
          <w:color w:val="auto"/>
          <w:highlight w:val="none"/>
        </w:rPr>
        <w:t>运营期环境管理</w:t>
      </w:r>
      <w:bookmarkEnd w:id="1139"/>
      <w:bookmarkEnd w:id="1140"/>
      <w:bookmarkEnd w:id="1141"/>
      <w:bookmarkEnd w:id="1142"/>
      <w:bookmarkEnd w:id="1143"/>
      <w:bookmarkEnd w:id="1144"/>
      <w:bookmarkEnd w:id="1145"/>
      <w:bookmarkEnd w:id="1146"/>
      <w:bookmarkEnd w:id="1147"/>
    </w:p>
    <w:p w14:paraId="0CEDEAA2">
      <w:pPr>
        <w:bidi w:val="0"/>
        <w:rPr>
          <w:color w:val="auto"/>
          <w:highlight w:val="none"/>
        </w:rPr>
      </w:pPr>
      <w:r>
        <w:rPr>
          <w:color w:val="auto"/>
          <w:highlight w:val="none"/>
        </w:rPr>
        <w:t>运营期的环境管理的重点是各项环境保护措施的落实，环保设施运行的管理和维护，日常的监测及污染事故的防范和应急处理。</w:t>
      </w:r>
    </w:p>
    <w:p w14:paraId="547D782C">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.1</w:t>
      </w:r>
      <w:r>
        <w:rPr>
          <w:rFonts w:hint="eastAsia"/>
          <w:color w:val="auto"/>
          <w:highlight w:val="none"/>
          <w:lang w:val="en-US" w:eastAsia="zh-CN"/>
        </w:rPr>
        <w:t xml:space="preserve"> </w:t>
      </w:r>
      <w:r>
        <w:rPr>
          <w:color w:val="auto"/>
          <w:highlight w:val="none"/>
        </w:rPr>
        <w:t>生产中的环境管理</w:t>
      </w:r>
    </w:p>
    <w:p w14:paraId="31F0E2B6">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定期进行清洁生产审计，不断采用无污染和少污染的新工艺和新技术。</w:t>
      </w:r>
    </w:p>
    <w:p w14:paraId="5A192575">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color w:val="auto"/>
          <w:highlight w:val="none"/>
        </w:rPr>
        <w:t>进行ISO14000论证，建立环境管理体系，提高环境管理水平。</w:t>
      </w:r>
    </w:p>
    <w:p w14:paraId="7FE1A8E3">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根据企业的环境保护目标考核计划，结合生产过程各环节的不同环境要求，把资源和能源消耗、资源回收利用、污染物排放量和反映环保工作水平的</w:t>
      </w:r>
      <w:r>
        <w:rPr>
          <w:rFonts w:hint="eastAsia"/>
          <w:color w:val="auto"/>
          <w:highlight w:val="none"/>
          <w:lang w:eastAsia="zh-CN"/>
        </w:rPr>
        <w:t>生态环境质量</w:t>
      </w:r>
      <w:r>
        <w:rPr>
          <w:color w:val="auto"/>
          <w:highlight w:val="none"/>
        </w:rPr>
        <w:t>等环保指标，纳入各级生产作业计划，</w:t>
      </w:r>
      <w:r>
        <w:rPr>
          <w:rFonts w:hint="eastAsia"/>
          <w:color w:val="auto"/>
          <w:highlight w:val="none"/>
          <w:lang w:eastAsia="zh-CN"/>
        </w:rPr>
        <w:t>同其他</w:t>
      </w:r>
      <w:r>
        <w:rPr>
          <w:color w:val="auto"/>
          <w:highlight w:val="none"/>
        </w:rPr>
        <w:t>生产指标一起组织实施和考核。</w:t>
      </w:r>
    </w:p>
    <w:p w14:paraId="0C9460CA">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所有的员工都应受到相应的岗位培训，使能胜任该岗位的工作。所有的岗位都应有相应的操作规程，完整的运行记录</w:t>
      </w:r>
      <w:r>
        <w:rPr>
          <w:rFonts w:hint="eastAsia"/>
          <w:color w:val="auto"/>
          <w:highlight w:val="none"/>
          <w:lang w:eastAsia="zh-CN"/>
        </w:rPr>
        <w:t>，</w:t>
      </w:r>
      <w:r>
        <w:rPr>
          <w:color w:val="auto"/>
          <w:highlight w:val="none"/>
        </w:rPr>
        <w:t>畅通的信息交流通道。</w:t>
      </w:r>
    </w:p>
    <w:p w14:paraId="117EC306">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.2</w:t>
      </w:r>
      <w:r>
        <w:rPr>
          <w:rFonts w:hint="eastAsia"/>
          <w:color w:val="auto"/>
          <w:highlight w:val="none"/>
          <w:lang w:val="en-US" w:eastAsia="zh-CN"/>
        </w:rPr>
        <w:t xml:space="preserve"> </w:t>
      </w:r>
      <w:r>
        <w:rPr>
          <w:color w:val="auto"/>
          <w:highlight w:val="none"/>
        </w:rPr>
        <w:t>后勤部门的环境管理</w:t>
      </w:r>
    </w:p>
    <w:p w14:paraId="378402C9">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在原材料采购供应中，要尽量供应无污染或少污染的原料；在</w:t>
      </w:r>
      <w:r>
        <w:rPr>
          <w:rFonts w:hint="eastAsia"/>
          <w:color w:val="auto"/>
          <w:highlight w:val="none"/>
          <w:lang w:eastAsia="zh-CN"/>
        </w:rPr>
        <w:t>储备</w:t>
      </w:r>
      <w:r>
        <w:rPr>
          <w:color w:val="auto"/>
          <w:highlight w:val="none"/>
        </w:rPr>
        <w:t>保管物资时，要加强物资的保管，避免丢失、误用，泄漏对环境造成危害。</w:t>
      </w:r>
    </w:p>
    <w:p w14:paraId="06D2E7C4">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要加强设备、管道、阀门、仪器、仪表的维护、检修，保证设备完好运行，防止滴、漏、跑、冒对环境的污染。</w:t>
      </w:r>
    </w:p>
    <w:p w14:paraId="1409C51F">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color w:val="auto"/>
          <w:highlight w:val="none"/>
        </w:rPr>
        <w:t>做好</w:t>
      </w:r>
      <w:r>
        <w:rPr>
          <w:rFonts w:hint="eastAsia"/>
          <w:color w:val="auto"/>
          <w:highlight w:val="none"/>
          <w:lang w:eastAsia="zh-CN"/>
        </w:rPr>
        <w:t>绿化</w:t>
      </w:r>
      <w:r>
        <w:rPr>
          <w:color w:val="auto"/>
          <w:highlight w:val="none"/>
        </w:rPr>
        <w:t>建设和维护工作。</w:t>
      </w:r>
    </w:p>
    <w:p w14:paraId="15695874">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.3</w:t>
      </w:r>
      <w:r>
        <w:rPr>
          <w:rFonts w:hint="eastAsia"/>
          <w:color w:val="auto"/>
          <w:highlight w:val="none"/>
          <w:lang w:val="en-US" w:eastAsia="zh-CN"/>
        </w:rPr>
        <w:t xml:space="preserve"> </w:t>
      </w:r>
      <w:r>
        <w:rPr>
          <w:color w:val="auto"/>
          <w:highlight w:val="none"/>
        </w:rPr>
        <w:t>环保设施的管理</w:t>
      </w:r>
    </w:p>
    <w:p w14:paraId="5BE56BB7">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尽量采用先进、成熟的污染控制技术，选用先进、高效的环保设施。</w:t>
      </w:r>
    </w:p>
    <w:p w14:paraId="4BB98784">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环保设施应经试运行达标，并经竣工验收合格后，方可正式投入运行。建立运行记录并制定考核指标。</w:t>
      </w:r>
    </w:p>
    <w:p w14:paraId="6F888ED0">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每套环保设备都应有详细的操作规程，每个岗位的员工都应经过相应的培训，并应实行与经济效益挂钩的岗位责任制。</w:t>
      </w:r>
    </w:p>
    <w:p w14:paraId="50FD081B">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加强对环保设施的运行管理，制定定期维修制度，如环保设施出现故障，应立即停厂检修，严禁非正常排放。</w:t>
      </w:r>
    </w:p>
    <w:p w14:paraId="4DBF14DD">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.4</w:t>
      </w:r>
      <w:r>
        <w:rPr>
          <w:rFonts w:hint="eastAsia"/>
          <w:color w:val="auto"/>
          <w:highlight w:val="none"/>
          <w:lang w:val="en-US" w:eastAsia="zh-CN"/>
        </w:rPr>
        <w:t xml:space="preserve"> </w:t>
      </w:r>
      <w:r>
        <w:rPr>
          <w:color w:val="auto"/>
          <w:highlight w:val="none"/>
        </w:rPr>
        <w:t>污染事故的防范与应急处理</w:t>
      </w:r>
    </w:p>
    <w:p w14:paraId="3E831091">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企业</w:t>
      </w:r>
      <w:r>
        <w:rPr>
          <w:color w:val="auto"/>
          <w:highlight w:val="none"/>
        </w:rPr>
        <w:t>要建立起一个有效的污染事故防范体系。首先，要建立起一套严格的</w:t>
      </w:r>
      <w:r>
        <w:rPr>
          <w:rFonts w:hint="eastAsia"/>
          <w:color w:val="auto"/>
          <w:highlight w:val="none"/>
          <w:lang w:eastAsia="zh-CN"/>
        </w:rPr>
        <w:t>日常</w:t>
      </w:r>
      <w:r>
        <w:rPr>
          <w:color w:val="auto"/>
          <w:highlight w:val="none"/>
        </w:rPr>
        <w:t>检查制度。有当班人员的自查，班组长的日查，车间的月查和不定期的抽查，全公司的季度检查、半年度评估小结和年度评估总结。</w:t>
      </w:r>
    </w:p>
    <w:p w14:paraId="399985CF">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为了保证与重要的环境因素有关的生产活动都能按规范运行，避免发生污染事故，也为了便于各部门、各车间、班组自查和检查，应建立一套有效的预防污染的运行控制程序。各程序文件中应明确规定：运行控制的内容，各有关部门的职责，运行规程，控制参数，检查办法，纠正措施，出现异常和紧急情况时的处理程序。</w:t>
      </w:r>
    </w:p>
    <w:p w14:paraId="5A299281">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搞好排放口规范化建设。各排放口应按规范要求安装在线监测系统，便于及时了解污染物排放状况，加强排放口的管理。</w:t>
      </w:r>
    </w:p>
    <w:p w14:paraId="0CE1DE8A">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对于容易发生污染事故的场所，应采取必要的污染预防措施。</w:t>
      </w:r>
    </w:p>
    <w:p w14:paraId="5E17482E">
      <w:pPr>
        <w:bidi w:val="0"/>
        <w:rPr>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color w:val="auto"/>
          <w:highlight w:val="none"/>
        </w:rPr>
        <w:t>加强环境监测工作，重点是各污染源的监测，并注意做好记录，不得弄虚作假。监测中如发现异常情况应及时向有关部门通报，及时采取应急措施，防止事故排放。</w:t>
      </w:r>
    </w:p>
    <w:p w14:paraId="0510C825">
      <w:pPr>
        <w:bidi w:val="0"/>
        <w:rPr>
          <w:color w:val="auto"/>
          <w:highlight w:val="none"/>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color w:val="auto"/>
          <w:highlight w:val="none"/>
        </w:rPr>
        <w:t>定期向生态环境局汇报工作情况及污染治理设施运行情况和监视性监测结果。</w:t>
      </w:r>
    </w:p>
    <w:p w14:paraId="1469ABA4">
      <w:pPr>
        <w:bidi w:val="0"/>
        <w:rPr>
          <w:color w:val="auto"/>
          <w:highlight w:val="none"/>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w:t>
      </w:r>
      <w:r>
        <w:rPr>
          <w:color w:val="auto"/>
          <w:highlight w:val="none"/>
        </w:rPr>
        <w:t>建立污染事故报告制度。当污染事故发生时，必须在事故发生</w:t>
      </w:r>
      <w:r>
        <w:rPr>
          <w:rFonts w:hint="eastAsia"/>
          <w:color w:val="auto"/>
          <w:highlight w:val="none"/>
          <w:lang w:val="en-US" w:eastAsia="zh-CN"/>
        </w:rPr>
        <w:t>48</w:t>
      </w:r>
      <w:r>
        <w:rPr>
          <w:color w:val="auto"/>
          <w:highlight w:val="none"/>
        </w:rPr>
        <w:t>小时内，向</w:t>
      </w:r>
      <w:r>
        <w:rPr>
          <w:rFonts w:hint="eastAsia"/>
          <w:color w:val="auto"/>
          <w:highlight w:val="none"/>
          <w:lang w:val="en-US" w:eastAsia="zh-CN"/>
        </w:rPr>
        <w:t>生态环境主管</w:t>
      </w:r>
      <w:r>
        <w:rPr>
          <w:color w:val="auto"/>
          <w:highlight w:val="none"/>
        </w:rPr>
        <w:t>部门作出事故发生的时间、地点、类型和排放污染物的数量、经济损失等情况的初步报告，事故查清后，向生态环境主管部门书面报告事故的原因，采取的措施，处理结果，并附有关证明。若发生污染事故，则有责任排除危害，同时对直接受到损害的单位或个人赔偿损失。</w:t>
      </w:r>
    </w:p>
    <w:p w14:paraId="3E7EBDE4">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.5</w:t>
      </w:r>
      <w:r>
        <w:rPr>
          <w:rFonts w:hint="eastAsia"/>
          <w:color w:val="auto"/>
          <w:highlight w:val="none"/>
          <w:lang w:val="en-US" w:eastAsia="zh-CN"/>
        </w:rPr>
        <w:t xml:space="preserve"> </w:t>
      </w:r>
      <w:r>
        <w:rPr>
          <w:color w:val="auto"/>
          <w:highlight w:val="none"/>
        </w:rPr>
        <w:t>排污口规范化管理</w:t>
      </w:r>
    </w:p>
    <w:p w14:paraId="30BDF9EB">
      <w:pPr>
        <w:bidi w:val="0"/>
        <w:rPr>
          <w:color w:val="auto"/>
          <w:highlight w:val="none"/>
        </w:rPr>
      </w:pPr>
      <w:r>
        <w:rPr>
          <w:color w:val="auto"/>
          <w:highlight w:val="none"/>
        </w:rPr>
        <w:t>排污口规范化管理体制是实施污染物排放总量控制的基础性工作之一，也是总量控制不可缺少的一部分内容。此项工作可强化污染源的现场监督检查，促进排污单位加强管理和污染源治理，实现主要污染物排放的科学化、定量化管理。同时进行排污口规范化管理。</w:t>
      </w:r>
    </w:p>
    <w:p w14:paraId="7164DF73">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.6</w:t>
      </w:r>
      <w:r>
        <w:rPr>
          <w:rFonts w:hint="eastAsia"/>
          <w:color w:val="auto"/>
          <w:highlight w:val="none"/>
          <w:lang w:val="en-US" w:eastAsia="zh-CN"/>
        </w:rPr>
        <w:t xml:space="preserve"> </w:t>
      </w:r>
      <w:r>
        <w:rPr>
          <w:color w:val="auto"/>
          <w:highlight w:val="none"/>
        </w:rPr>
        <w:t>固体废物污染防治的管理要求</w:t>
      </w:r>
    </w:p>
    <w:p w14:paraId="2D41379D">
      <w:pPr>
        <w:bidi w:val="0"/>
        <w:rPr>
          <w:color w:val="auto"/>
          <w:highlight w:val="none"/>
        </w:rPr>
      </w:pPr>
      <w:r>
        <w:rPr>
          <w:rFonts w:hint="default"/>
          <w:color w:val="auto"/>
          <w:highlight w:val="none"/>
        </w:rPr>
        <w:t>根据《中华人民共和国生态环境法典》（2026年8月15日起施行）</w:t>
      </w:r>
      <w:r>
        <w:rPr>
          <w:rFonts w:hint="eastAsia" w:cs="Times New Roman"/>
          <w:color w:val="auto"/>
          <w:kern w:val="0"/>
          <w:highlight w:val="none"/>
        </w:rPr>
        <w:t>第二编</w:t>
      </w:r>
      <w:r>
        <w:rPr>
          <w:rFonts w:hint="eastAsia" w:cs="Times New Roman"/>
          <w:color w:val="auto"/>
          <w:kern w:val="0"/>
          <w:highlight w:val="none"/>
          <w:lang w:eastAsia="zh-CN"/>
        </w:rPr>
        <w:t>“</w:t>
      </w:r>
      <w:r>
        <w:rPr>
          <w:rFonts w:hint="eastAsia" w:cs="Times New Roman"/>
          <w:color w:val="auto"/>
          <w:kern w:val="0"/>
          <w:highlight w:val="none"/>
          <w:lang w:val="en-US" w:eastAsia="zh-CN"/>
        </w:rPr>
        <w:t>污染防治”中</w:t>
      </w:r>
      <w:r>
        <w:rPr>
          <w:rFonts w:hint="eastAsia" w:cs="Times New Roman"/>
          <w:color w:val="auto"/>
          <w:kern w:val="0"/>
          <w:highlight w:val="none"/>
        </w:rPr>
        <w:t>第六分编</w:t>
      </w:r>
      <w:r>
        <w:rPr>
          <w:rFonts w:hint="eastAsia"/>
          <w:color w:val="auto"/>
          <w:highlight w:val="none"/>
          <w:lang w:eastAsia="zh-CN"/>
        </w:rPr>
        <w:t>“</w:t>
      </w:r>
      <w:r>
        <w:rPr>
          <w:rFonts w:hint="default"/>
          <w:color w:val="auto"/>
          <w:highlight w:val="none"/>
        </w:rPr>
        <w:t>固体废物污染防治</w:t>
      </w:r>
      <w:r>
        <w:rPr>
          <w:rFonts w:hint="eastAsia"/>
          <w:color w:val="auto"/>
          <w:highlight w:val="none"/>
          <w:lang w:eastAsia="zh-CN"/>
        </w:rPr>
        <w:t>”</w:t>
      </w:r>
      <w:r>
        <w:rPr>
          <w:rFonts w:hint="default"/>
          <w:color w:val="auto"/>
          <w:highlight w:val="none"/>
        </w:rPr>
        <w:t>的相关规定，建设单位在运营期应当履行以下固体废物污染防治管理要求：</w:t>
      </w:r>
    </w:p>
    <w:p w14:paraId="147D04E0">
      <w:pPr>
        <w:bidi w:val="0"/>
        <w:rPr>
          <w:rFonts w:hint="default"/>
          <w:b/>
          <w:bCs/>
          <w:color w:val="auto"/>
          <w:highlight w:val="none"/>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lang w:eastAsia="zh-CN"/>
        </w:rPr>
        <w:t>）</w:t>
      </w:r>
      <w:r>
        <w:rPr>
          <w:rFonts w:hint="default"/>
          <w:b/>
          <w:bCs/>
          <w:color w:val="auto"/>
          <w:highlight w:val="none"/>
        </w:rPr>
        <w:t>固体废物污染防治原则</w:t>
      </w:r>
    </w:p>
    <w:p w14:paraId="08062318">
      <w:pPr>
        <w:bidi w:val="0"/>
        <w:rPr>
          <w:rFonts w:hint="default"/>
          <w:color w:val="auto"/>
          <w:highlight w:val="none"/>
        </w:rPr>
      </w:pPr>
      <w:r>
        <w:rPr>
          <w:rFonts w:hint="default"/>
          <w:color w:val="auto"/>
          <w:highlight w:val="none"/>
        </w:rPr>
        <w:t>第</w:t>
      </w:r>
      <w:r>
        <w:rPr>
          <w:rFonts w:hint="eastAsia"/>
          <w:color w:val="auto"/>
          <w:highlight w:val="none"/>
          <w:lang w:val="en-US" w:eastAsia="zh-CN"/>
        </w:rPr>
        <w:t>466</w:t>
      </w:r>
      <w:r>
        <w:rPr>
          <w:rFonts w:hint="default"/>
          <w:color w:val="auto"/>
          <w:highlight w:val="none"/>
        </w:rPr>
        <w:t>条</w:t>
      </w:r>
      <w:r>
        <w:rPr>
          <w:rFonts w:hint="eastAsia"/>
          <w:color w:val="auto"/>
          <w:highlight w:val="none"/>
          <w:lang w:eastAsia="zh-CN"/>
        </w:rPr>
        <w:t>：</w:t>
      </w:r>
      <w:r>
        <w:rPr>
          <w:rFonts w:hint="default"/>
          <w:color w:val="auto"/>
          <w:highlight w:val="none"/>
        </w:rPr>
        <w:t>固体废物污染防治坚持减量化、资源化和无害化的原则，加强产生、收集、贮存、运输、利用、处置等全过程管控。</w:t>
      </w:r>
    </w:p>
    <w:p w14:paraId="68CDE22F">
      <w:pPr>
        <w:bidi w:val="0"/>
        <w:rPr>
          <w:rFonts w:hint="default"/>
          <w:b/>
          <w:bCs/>
          <w:color w:val="auto"/>
          <w:highlight w:val="none"/>
        </w:rPr>
      </w:pPr>
      <w:r>
        <w:rPr>
          <w:rFonts w:hint="eastAsia"/>
          <w:b/>
          <w:bCs/>
          <w:color w:val="auto"/>
          <w:highlight w:val="none"/>
          <w:lang w:val="en-US" w:eastAsia="zh-CN"/>
        </w:rPr>
        <w:t>（2）</w:t>
      </w:r>
      <w:r>
        <w:rPr>
          <w:rFonts w:hint="default"/>
          <w:b/>
          <w:bCs/>
          <w:color w:val="auto"/>
          <w:highlight w:val="none"/>
        </w:rPr>
        <w:t>全过程污染防治责任</w:t>
      </w:r>
    </w:p>
    <w:p w14:paraId="4E1EE7FA">
      <w:pPr>
        <w:bidi w:val="0"/>
        <w:rPr>
          <w:rFonts w:hint="default"/>
          <w:color w:val="auto"/>
          <w:highlight w:val="none"/>
        </w:rPr>
      </w:pPr>
      <w:r>
        <w:rPr>
          <w:rFonts w:hint="default"/>
          <w:color w:val="auto"/>
          <w:highlight w:val="none"/>
          <w:lang w:val="en-US" w:eastAsia="zh-CN"/>
        </w:rPr>
        <w:t>第468条</w:t>
      </w:r>
      <w:r>
        <w:rPr>
          <w:rFonts w:hint="eastAsia"/>
          <w:color w:val="auto"/>
          <w:highlight w:val="none"/>
          <w:lang w:val="en-US" w:eastAsia="zh-CN"/>
        </w:rPr>
        <w:t>：</w:t>
      </w:r>
      <w:r>
        <w:rPr>
          <w:rFonts w:hint="default"/>
          <w:color w:val="auto"/>
          <w:highlight w:val="none"/>
          <w:lang w:val="en-US" w:eastAsia="zh-CN"/>
        </w:rPr>
        <w:t>产生、收集、贮存、运输、利用、处置固体废物的单位和个人，应当采取有效措施，防止或者减少固体废物污染，对所造成的污染依法承担责任。</w:t>
      </w:r>
    </w:p>
    <w:p w14:paraId="194046C0">
      <w:pPr>
        <w:bidi w:val="0"/>
        <w:rPr>
          <w:rFonts w:hint="default"/>
          <w:color w:val="auto"/>
          <w:highlight w:val="none"/>
        </w:rPr>
      </w:pPr>
      <w:r>
        <w:rPr>
          <w:rFonts w:hint="default"/>
          <w:color w:val="auto"/>
          <w:highlight w:val="none"/>
          <w:lang w:val="en-US" w:eastAsia="zh-CN"/>
        </w:rPr>
        <w:t>第475条</w:t>
      </w:r>
      <w:r>
        <w:rPr>
          <w:rFonts w:hint="eastAsia"/>
          <w:color w:val="auto"/>
          <w:highlight w:val="none"/>
          <w:lang w:val="en-US" w:eastAsia="zh-CN"/>
        </w:rPr>
        <w:t>：</w:t>
      </w:r>
      <w:r>
        <w:rPr>
          <w:rFonts w:hint="default"/>
          <w:color w:val="auto"/>
          <w:highlight w:val="none"/>
          <w:lang w:val="en-US" w:eastAsia="zh-CN"/>
        </w:rPr>
        <w:t>产生、收集、贮存、运输、利用、处置固体废物的单位和其他生产经营者，应当采取防扬散、防流失、防渗漏或者其他防止污染环境的措施，不得擅自倾倒、堆放、丢弃、抛撒、遗撒或者焚烧固体废物。</w:t>
      </w:r>
    </w:p>
    <w:p w14:paraId="79967087">
      <w:pPr>
        <w:bidi w:val="0"/>
        <w:rPr>
          <w:rFonts w:hint="default"/>
          <w:b/>
          <w:bCs/>
          <w:color w:val="auto"/>
          <w:highlight w:val="none"/>
        </w:rPr>
      </w:pPr>
      <w:r>
        <w:rPr>
          <w:rFonts w:hint="eastAsia"/>
          <w:b/>
          <w:bCs/>
          <w:color w:val="auto"/>
          <w:highlight w:val="none"/>
          <w:lang w:eastAsia="zh-CN"/>
        </w:rPr>
        <w:t>（</w:t>
      </w:r>
      <w:r>
        <w:rPr>
          <w:rFonts w:hint="eastAsia"/>
          <w:b/>
          <w:bCs/>
          <w:color w:val="auto"/>
          <w:highlight w:val="none"/>
          <w:lang w:val="en-US" w:eastAsia="zh-CN"/>
        </w:rPr>
        <w:t>3</w:t>
      </w:r>
      <w:r>
        <w:rPr>
          <w:rFonts w:hint="eastAsia"/>
          <w:b/>
          <w:bCs/>
          <w:color w:val="auto"/>
          <w:highlight w:val="none"/>
          <w:lang w:eastAsia="zh-CN"/>
        </w:rPr>
        <w:t>）</w:t>
      </w:r>
      <w:r>
        <w:rPr>
          <w:rFonts w:hint="default"/>
          <w:b/>
          <w:bCs/>
          <w:color w:val="auto"/>
          <w:highlight w:val="none"/>
        </w:rPr>
        <w:t>危险废物管理要求</w:t>
      </w:r>
    </w:p>
    <w:p w14:paraId="3B7EDEE5">
      <w:pPr>
        <w:bidi w:val="0"/>
        <w:rPr>
          <w:rFonts w:hint="eastAsia"/>
          <w:color w:val="auto"/>
          <w:highlight w:val="none"/>
          <w:lang w:val="en-US" w:eastAsia="zh-CN"/>
        </w:rPr>
      </w:pPr>
      <w:r>
        <w:rPr>
          <w:rFonts w:hint="eastAsia"/>
          <w:color w:val="auto"/>
          <w:highlight w:val="none"/>
          <w:lang w:val="en-US" w:eastAsia="zh-CN"/>
        </w:rPr>
        <w:t>第531条：对危险废物的容器和包装物以及收集、贮存、运输、利用、处置危险废物的设施、场所，应当按照规定设置危险废物识别标志。</w:t>
      </w:r>
    </w:p>
    <w:p w14:paraId="079FFDB5">
      <w:pPr>
        <w:bidi w:val="0"/>
        <w:rPr>
          <w:rFonts w:hint="eastAsia"/>
          <w:color w:val="auto"/>
          <w:highlight w:val="none"/>
          <w:lang w:val="en-US" w:eastAsia="zh-CN"/>
        </w:rPr>
      </w:pPr>
      <w:r>
        <w:rPr>
          <w:rFonts w:hint="eastAsia"/>
          <w:color w:val="auto"/>
          <w:highlight w:val="none"/>
          <w:lang w:val="en-US" w:eastAsia="zh-CN"/>
        </w:rPr>
        <w:t>第532条：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前款所称危险废物管理计划应当包括减少危险废物产生量和降低危险废物危害性的措施以及危险废物贮存、利用、处置措施。危险废物管理计划应当报产生危险废物的单位所在地生态环境主管部门备案。产生危险废物的单位已经取得排污许可证的，执行排污许可管理制度的规定。</w:t>
      </w:r>
    </w:p>
    <w:p w14:paraId="6FD19131">
      <w:pPr>
        <w:bidi w:val="0"/>
        <w:rPr>
          <w:rFonts w:hint="eastAsia"/>
          <w:color w:val="auto"/>
          <w:highlight w:val="none"/>
          <w:lang w:val="en-US" w:eastAsia="zh-CN"/>
        </w:rPr>
      </w:pPr>
      <w:r>
        <w:rPr>
          <w:rFonts w:hint="eastAsia"/>
          <w:color w:val="auto"/>
          <w:highlight w:val="none"/>
          <w:lang w:val="en-US" w:eastAsia="zh-CN"/>
        </w:rPr>
        <w:t>第533条：产生危险废物的单位，应当按照国家规定和生态环境保护标准的要求贮存、利用、处置危险废物。任何单位和个人不得擅自倾倒、堆放、丢弃、抛撒、遗撒或者焚烧危险废物。</w:t>
      </w:r>
    </w:p>
    <w:p w14:paraId="22B16A73">
      <w:pPr>
        <w:bidi w:val="0"/>
        <w:rPr>
          <w:rFonts w:hint="eastAsia"/>
          <w:color w:val="auto"/>
          <w:highlight w:val="none"/>
          <w:lang w:val="en-US" w:eastAsia="zh-CN"/>
        </w:rPr>
      </w:pPr>
      <w:r>
        <w:rPr>
          <w:rFonts w:hint="eastAsia"/>
          <w:color w:val="auto"/>
          <w:highlight w:val="none"/>
          <w:lang w:val="en-US" w:eastAsia="zh-CN"/>
        </w:rPr>
        <w:t>第535条：收集、贮存危险废物，应当按照危险废物特性分类进行。禁止混合收集、贮存、运输或者处置性质不相容而未经安全性处置的危险废物。贮存危险废物应当采取符合国家生态环境保护标准的防护措施。禁止将危险废物混入非危险废物中贮存。</w:t>
      </w:r>
    </w:p>
    <w:p w14:paraId="447EF663">
      <w:pPr>
        <w:bidi w:val="0"/>
        <w:rPr>
          <w:rFonts w:hint="default"/>
          <w:b/>
          <w:bCs/>
          <w:color w:val="auto"/>
          <w:highlight w:val="none"/>
        </w:rPr>
      </w:pPr>
      <w:r>
        <w:rPr>
          <w:rFonts w:hint="eastAsia"/>
          <w:b/>
          <w:bCs/>
          <w:color w:val="auto"/>
          <w:highlight w:val="none"/>
          <w:lang w:eastAsia="zh-CN"/>
        </w:rPr>
        <w:t>（</w:t>
      </w:r>
      <w:r>
        <w:rPr>
          <w:rFonts w:hint="eastAsia"/>
          <w:b/>
          <w:bCs/>
          <w:color w:val="auto"/>
          <w:highlight w:val="none"/>
          <w:lang w:val="en-US" w:eastAsia="zh-CN"/>
        </w:rPr>
        <w:t>4）</w:t>
      </w:r>
      <w:r>
        <w:rPr>
          <w:rFonts w:hint="default"/>
          <w:b/>
          <w:bCs/>
          <w:color w:val="auto"/>
          <w:highlight w:val="none"/>
        </w:rPr>
        <w:t>危险废物转移管理</w:t>
      </w:r>
    </w:p>
    <w:p w14:paraId="60258202">
      <w:pPr>
        <w:bidi w:val="0"/>
        <w:rPr>
          <w:rFonts w:hint="eastAsia"/>
          <w:color w:val="auto"/>
          <w:highlight w:val="none"/>
          <w:lang w:eastAsia="zh-CN"/>
        </w:rPr>
      </w:pPr>
      <w:r>
        <w:rPr>
          <w:rFonts w:hint="eastAsia"/>
          <w:color w:val="auto"/>
          <w:highlight w:val="none"/>
          <w:lang w:val="en-US" w:eastAsia="zh-CN"/>
        </w:rPr>
        <w:t>第536条：转移危险废物的，应当按照国家规定填写、运行危险废物电子或者纸质转移联单。</w:t>
      </w:r>
    </w:p>
    <w:p w14:paraId="06FE9B17">
      <w:pPr>
        <w:bidi w:val="0"/>
        <w:rPr>
          <w:rFonts w:hint="default"/>
          <w:b/>
          <w:bCs/>
          <w:color w:val="auto"/>
          <w:highlight w:val="none"/>
        </w:rPr>
      </w:pPr>
      <w:r>
        <w:rPr>
          <w:rFonts w:hint="eastAsia"/>
          <w:b/>
          <w:bCs/>
          <w:color w:val="auto"/>
          <w:highlight w:val="none"/>
          <w:lang w:eastAsia="zh-CN"/>
        </w:rPr>
        <w:t>（</w:t>
      </w:r>
      <w:r>
        <w:rPr>
          <w:rFonts w:hint="eastAsia"/>
          <w:b/>
          <w:bCs/>
          <w:color w:val="auto"/>
          <w:highlight w:val="none"/>
          <w:lang w:val="en-US" w:eastAsia="zh-CN"/>
        </w:rPr>
        <w:t>5</w:t>
      </w:r>
      <w:r>
        <w:rPr>
          <w:rFonts w:hint="eastAsia"/>
          <w:b/>
          <w:bCs/>
          <w:color w:val="auto"/>
          <w:highlight w:val="none"/>
          <w:lang w:eastAsia="zh-CN"/>
        </w:rPr>
        <w:t>）</w:t>
      </w:r>
      <w:r>
        <w:rPr>
          <w:rFonts w:hint="default"/>
          <w:b/>
          <w:bCs/>
          <w:color w:val="auto"/>
          <w:highlight w:val="none"/>
        </w:rPr>
        <w:t>意外事故防范</w:t>
      </w:r>
    </w:p>
    <w:p w14:paraId="20808777">
      <w:pPr>
        <w:bidi w:val="0"/>
        <w:rPr>
          <w:rFonts w:hint="default"/>
          <w:color w:val="auto"/>
          <w:highlight w:val="none"/>
        </w:rPr>
      </w:pPr>
      <w:r>
        <w:rPr>
          <w:rFonts w:hint="default"/>
          <w:color w:val="auto"/>
          <w:highlight w:val="none"/>
          <w:lang w:val="en-US" w:eastAsia="zh-CN"/>
        </w:rPr>
        <w:t>第539条</w:t>
      </w:r>
      <w:r>
        <w:rPr>
          <w:rFonts w:hint="eastAsia"/>
          <w:color w:val="auto"/>
          <w:highlight w:val="none"/>
          <w:lang w:val="en-US" w:eastAsia="zh-CN"/>
        </w:rPr>
        <w:t>：</w:t>
      </w:r>
      <w:r>
        <w:rPr>
          <w:rFonts w:hint="default"/>
          <w:color w:val="auto"/>
          <w:highlight w:val="none"/>
          <w:lang w:val="en-US" w:eastAsia="zh-CN"/>
        </w:rPr>
        <w:t>产生、收集、贮存、运输、利用、处置危险废物的单位，应当依法制定意外事故的防范措施和应急预案，并报所在地生态环境主管部门和其他</w:t>
      </w:r>
      <w:r>
        <w:rPr>
          <w:rFonts w:hint="eastAsia"/>
          <w:color w:val="auto"/>
          <w:highlight w:val="none"/>
          <w:lang w:val="en-US" w:eastAsia="zh-CN"/>
        </w:rPr>
        <w:t>具有</w:t>
      </w:r>
      <w:r>
        <w:rPr>
          <w:rFonts w:hint="default"/>
          <w:color w:val="auto"/>
          <w:highlight w:val="none"/>
          <w:lang w:val="en-US" w:eastAsia="zh-CN"/>
        </w:rPr>
        <w:t>固体废物污染防治监督管理职责的部门备案</w:t>
      </w:r>
      <w:r>
        <w:rPr>
          <w:rFonts w:hint="default"/>
          <w:color w:val="auto"/>
          <w:highlight w:val="none"/>
        </w:rPr>
        <w:t>。</w:t>
      </w:r>
    </w:p>
    <w:p w14:paraId="14703402">
      <w:pPr>
        <w:bidi w:val="0"/>
        <w:rPr>
          <w:rFonts w:hint="default"/>
          <w:color w:val="auto"/>
          <w:highlight w:val="none"/>
        </w:rPr>
      </w:pPr>
      <w:r>
        <w:rPr>
          <w:rFonts w:hint="default"/>
          <w:color w:val="auto"/>
          <w:highlight w:val="none"/>
        </w:rPr>
        <w:t>综上，本项目运营期固体废物管理应严格落实上述全过程污染防治要求，确保固体废物得到安全、合规的收集、贮存、转移和处置。</w:t>
      </w:r>
    </w:p>
    <w:p w14:paraId="1ABC7578">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.7</w:t>
      </w:r>
      <w:r>
        <w:rPr>
          <w:rFonts w:hint="eastAsia"/>
          <w:color w:val="auto"/>
          <w:highlight w:val="none"/>
          <w:lang w:val="en-US" w:eastAsia="zh-CN"/>
        </w:rPr>
        <w:t xml:space="preserve"> </w:t>
      </w:r>
      <w:r>
        <w:rPr>
          <w:color w:val="auto"/>
          <w:highlight w:val="none"/>
        </w:rPr>
        <w:t>企业排污许可管理要求</w:t>
      </w:r>
    </w:p>
    <w:p w14:paraId="3BD40564">
      <w:pPr>
        <w:bidi w:val="0"/>
        <w:rPr>
          <w:color w:val="auto"/>
          <w:highlight w:val="none"/>
        </w:rPr>
      </w:pPr>
      <w:r>
        <w:rPr>
          <w:color w:val="auto"/>
          <w:highlight w:val="none"/>
        </w:rPr>
        <w:t>对照《固定污染源排污许可分类管理名录》（2019年版），本项目实施简化管理。排污单位应当在启动生产设施或者发生实际排污之前取得排污许可证。</w:t>
      </w:r>
    </w:p>
    <w:p w14:paraId="782031F7">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9.2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固定污染源排污许可分类管理名录（摘录）</w:t>
      </w:r>
    </w:p>
    <w:tbl>
      <w:tblPr>
        <w:tblStyle w:val="81"/>
        <w:tblW w:w="876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8"/>
        <w:gridCol w:w="1822"/>
        <w:gridCol w:w="1159"/>
        <w:gridCol w:w="2205"/>
        <w:gridCol w:w="1571"/>
        <w:gridCol w:w="1444"/>
      </w:tblGrid>
      <w:tr w14:paraId="40507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68" w:type="dxa"/>
            <w:tcBorders>
              <w:tl2br w:val="nil"/>
              <w:tr2bl w:val="nil"/>
            </w:tcBorders>
            <w:shd w:val="clear" w:color="auto" w:fill="auto"/>
            <w:vAlign w:val="center"/>
          </w:tcPr>
          <w:p w14:paraId="20171F5A">
            <w:pPr>
              <w:pStyle w:val="1405"/>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822" w:type="dxa"/>
            <w:tcBorders>
              <w:tl2br w:val="nil"/>
              <w:tr2bl w:val="nil"/>
            </w:tcBorders>
            <w:shd w:val="clear" w:color="auto" w:fill="auto"/>
            <w:vAlign w:val="center"/>
          </w:tcPr>
          <w:p w14:paraId="2BF300A7">
            <w:pPr>
              <w:pStyle w:val="1405"/>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行业类别</w:t>
            </w:r>
          </w:p>
        </w:tc>
        <w:tc>
          <w:tcPr>
            <w:tcW w:w="1159" w:type="dxa"/>
            <w:tcBorders>
              <w:tl2br w:val="nil"/>
              <w:tr2bl w:val="nil"/>
            </w:tcBorders>
            <w:shd w:val="clear" w:color="auto" w:fill="auto"/>
            <w:vAlign w:val="center"/>
          </w:tcPr>
          <w:p w14:paraId="7188CC70">
            <w:pPr>
              <w:pStyle w:val="1405"/>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重点管理</w:t>
            </w:r>
          </w:p>
        </w:tc>
        <w:tc>
          <w:tcPr>
            <w:tcW w:w="2205" w:type="dxa"/>
            <w:tcBorders>
              <w:tl2br w:val="nil"/>
              <w:tr2bl w:val="nil"/>
            </w:tcBorders>
            <w:shd w:val="clear" w:color="auto" w:fill="auto"/>
            <w:vAlign w:val="center"/>
          </w:tcPr>
          <w:p w14:paraId="47F768F9">
            <w:pPr>
              <w:pStyle w:val="1405"/>
              <w:bidi w:val="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简化管理</w:t>
            </w:r>
          </w:p>
        </w:tc>
        <w:tc>
          <w:tcPr>
            <w:tcW w:w="1571" w:type="dxa"/>
            <w:tcBorders>
              <w:tl2br w:val="nil"/>
              <w:tr2bl w:val="nil"/>
            </w:tcBorders>
            <w:shd w:val="clear" w:color="auto" w:fill="auto"/>
            <w:vAlign w:val="center"/>
          </w:tcPr>
          <w:p w14:paraId="4C6C91CF">
            <w:pPr>
              <w:pStyle w:val="1405"/>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登记管理</w:t>
            </w:r>
          </w:p>
        </w:tc>
        <w:tc>
          <w:tcPr>
            <w:tcW w:w="1444" w:type="dxa"/>
            <w:tcBorders>
              <w:tl2br w:val="nil"/>
              <w:tr2bl w:val="nil"/>
            </w:tcBorders>
            <w:shd w:val="clear" w:color="auto" w:fill="auto"/>
            <w:vAlign w:val="center"/>
          </w:tcPr>
          <w:p w14:paraId="138C4874">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p>
        </w:tc>
      </w:tr>
      <w:tr w14:paraId="34ADA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769" w:type="dxa"/>
            <w:gridSpan w:val="6"/>
            <w:tcBorders>
              <w:tl2br w:val="nil"/>
              <w:tr2bl w:val="nil"/>
            </w:tcBorders>
            <w:shd w:val="clear" w:color="auto" w:fill="BEBEBE" w:themeFill="background1" w:themeFillShade="BF"/>
            <w:vAlign w:val="center"/>
          </w:tcPr>
          <w:p w14:paraId="730809E1">
            <w:pPr>
              <w:pStyle w:val="1405"/>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kern w:val="0"/>
                <w:szCs w:val="21"/>
                <w:highlight w:val="none"/>
              </w:rPr>
              <w:t>三十一、汽车制造业36</w:t>
            </w:r>
          </w:p>
        </w:tc>
      </w:tr>
      <w:tr w14:paraId="3FAA4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68" w:type="dxa"/>
            <w:tcBorders>
              <w:tl2br w:val="nil"/>
              <w:tr2bl w:val="nil"/>
            </w:tcBorders>
            <w:shd w:val="clear" w:color="auto" w:fill="auto"/>
            <w:vAlign w:val="center"/>
          </w:tcPr>
          <w:p w14:paraId="3B2823E8">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85</w:t>
            </w:r>
          </w:p>
        </w:tc>
        <w:tc>
          <w:tcPr>
            <w:tcW w:w="1822" w:type="dxa"/>
            <w:tcBorders>
              <w:tl2br w:val="nil"/>
              <w:tr2bl w:val="nil"/>
            </w:tcBorders>
            <w:shd w:val="clear" w:color="auto" w:fill="auto"/>
            <w:vAlign w:val="center"/>
          </w:tcPr>
          <w:p w14:paraId="5A98F139">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汽车整车制造361，汽车用发动机制造362，改装汽车制造363，低速汽车制造364，电车制造365，汽车车身、挂车制造366，汽车零部件及配件制造367</w:t>
            </w:r>
          </w:p>
        </w:tc>
        <w:tc>
          <w:tcPr>
            <w:tcW w:w="1159" w:type="dxa"/>
            <w:tcBorders>
              <w:tl2br w:val="nil"/>
              <w:tr2bl w:val="nil"/>
            </w:tcBorders>
            <w:shd w:val="clear" w:color="auto" w:fill="auto"/>
            <w:vAlign w:val="center"/>
          </w:tcPr>
          <w:p w14:paraId="25944E77">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纳入重点排污单位名录的</w:t>
            </w:r>
          </w:p>
        </w:tc>
        <w:tc>
          <w:tcPr>
            <w:tcW w:w="2205" w:type="dxa"/>
            <w:tcBorders>
              <w:tl2br w:val="nil"/>
              <w:tr2bl w:val="nil"/>
            </w:tcBorders>
            <w:shd w:val="clear" w:color="auto" w:fill="BEBEBE" w:themeFill="background1" w:themeFillShade="BF"/>
            <w:vAlign w:val="center"/>
          </w:tcPr>
          <w:p w14:paraId="349F89FE">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除重点管理以外的汽车整车制造361，除重点管理以外的</w:t>
            </w:r>
            <w:r>
              <w:rPr>
                <w:rFonts w:hint="default" w:ascii="Times New Roman" w:hAnsi="Times New Roman" w:cs="Times New Roman"/>
                <w:b/>
                <w:bCs/>
                <w:color w:val="auto"/>
                <w:highlight w:val="none"/>
              </w:rPr>
              <w:t>年使用10吨及以上溶剂型涂料或者胶粘剂（含稀释剂、固化剂、清洗溶剂）</w:t>
            </w:r>
            <w:r>
              <w:rPr>
                <w:rFonts w:hint="default" w:ascii="Times New Roman" w:hAnsi="Times New Roman" w:cs="Times New Roman"/>
                <w:color w:val="auto"/>
                <w:highlight w:val="none"/>
              </w:rPr>
              <w:t>的汽车用发动机制造362、改装汽车制造363、低速汽车制造364、电车制造365、汽车车身、挂车制造366、</w:t>
            </w:r>
            <w:r>
              <w:rPr>
                <w:rFonts w:hint="default" w:ascii="Times New Roman" w:hAnsi="Times New Roman" w:cs="Times New Roman"/>
                <w:b/>
                <w:bCs/>
                <w:color w:val="auto"/>
                <w:highlight w:val="none"/>
              </w:rPr>
              <w:t>汽车零部件及配件制造367</w:t>
            </w:r>
          </w:p>
        </w:tc>
        <w:tc>
          <w:tcPr>
            <w:tcW w:w="1571" w:type="dxa"/>
            <w:tcBorders>
              <w:tl2br w:val="nil"/>
              <w:tr2bl w:val="nil"/>
            </w:tcBorders>
            <w:shd w:val="clear" w:color="auto" w:fill="auto"/>
            <w:vAlign w:val="center"/>
          </w:tcPr>
          <w:p w14:paraId="680F8353">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shd w:val="clear"/>
                <w:lang w:val="en-US" w:eastAsia="zh-CN"/>
              </w:rPr>
              <w:t>其他</w:t>
            </w:r>
          </w:p>
        </w:tc>
        <w:tc>
          <w:tcPr>
            <w:tcW w:w="1444" w:type="dxa"/>
            <w:tcBorders>
              <w:tl2br w:val="nil"/>
              <w:tr2bl w:val="nil"/>
            </w:tcBorders>
            <w:shd w:val="clear" w:color="auto" w:fill="auto"/>
            <w:vAlign w:val="center"/>
          </w:tcPr>
          <w:p w14:paraId="5E640C28">
            <w:pPr>
              <w:pStyle w:val="140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本项目年使用溶剂型涂料及胶粘剂10吨以上，属于汽车零部件及配件制造行业，实行排污许可简化管理</w:t>
            </w:r>
          </w:p>
        </w:tc>
      </w:tr>
      <w:tr w14:paraId="29EE4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769" w:type="dxa"/>
            <w:gridSpan w:val="6"/>
            <w:tcBorders>
              <w:tl2br w:val="nil"/>
              <w:tr2bl w:val="nil"/>
            </w:tcBorders>
            <w:shd w:val="clear" w:color="auto" w:fill="BEBEBE" w:themeFill="background1" w:themeFillShade="BF"/>
            <w:vAlign w:val="center"/>
          </w:tcPr>
          <w:p w14:paraId="0856D49E">
            <w:pPr>
              <w:pStyle w:val="1405"/>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kern w:val="0"/>
                <w:szCs w:val="21"/>
                <w:highlight w:val="none"/>
              </w:rPr>
              <w:t>二十四、橡胶和塑料制品业29</w:t>
            </w:r>
          </w:p>
        </w:tc>
      </w:tr>
      <w:tr w14:paraId="3935EF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68" w:type="dxa"/>
            <w:tcBorders>
              <w:tl2br w:val="nil"/>
              <w:tr2bl w:val="nil"/>
            </w:tcBorders>
            <w:shd w:val="clear" w:color="auto" w:fill="auto"/>
            <w:vAlign w:val="center"/>
          </w:tcPr>
          <w:p w14:paraId="04D2F63F">
            <w:pPr>
              <w:pStyle w:val="1405"/>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62</w:t>
            </w:r>
          </w:p>
        </w:tc>
        <w:tc>
          <w:tcPr>
            <w:tcW w:w="1822" w:type="dxa"/>
            <w:tcBorders>
              <w:tl2br w:val="nil"/>
              <w:tr2bl w:val="nil"/>
            </w:tcBorders>
            <w:shd w:val="clear" w:color="auto" w:fill="auto"/>
            <w:vAlign w:val="center"/>
          </w:tcPr>
          <w:p w14:paraId="07526F13">
            <w:pPr>
              <w:pStyle w:val="1405"/>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塑料制品业292</w:t>
            </w:r>
          </w:p>
        </w:tc>
        <w:tc>
          <w:tcPr>
            <w:tcW w:w="1159" w:type="dxa"/>
            <w:tcBorders>
              <w:tl2br w:val="nil"/>
              <w:tr2bl w:val="nil"/>
            </w:tcBorders>
            <w:shd w:val="clear" w:color="auto" w:fill="auto"/>
            <w:vAlign w:val="center"/>
          </w:tcPr>
          <w:p w14:paraId="3DAB1232">
            <w:pPr>
              <w:pStyle w:val="1405"/>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塑料人造革、合成革制造2925</w:t>
            </w:r>
          </w:p>
        </w:tc>
        <w:tc>
          <w:tcPr>
            <w:tcW w:w="2205" w:type="dxa"/>
            <w:tcBorders>
              <w:tl2br w:val="nil"/>
              <w:tr2bl w:val="nil"/>
            </w:tcBorders>
            <w:shd w:val="clear" w:color="auto" w:fill="auto"/>
            <w:vAlign w:val="center"/>
          </w:tcPr>
          <w:p w14:paraId="77A69D17">
            <w:pPr>
              <w:pStyle w:val="1405"/>
              <w:bidi w:val="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年产1万吨及以上的泡沫塑料制造2924，年产1万吨及以上涉及改性的塑料薄膜制造2921、塑料板、管、型材制造2922、塑料丝、绳和编织品制造2923、塑料包装箱及容器制造2926、日用塑料品制造2927、人造草坪制造2928、塑料零件及其他塑料制品制造2929</w:t>
            </w:r>
          </w:p>
        </w:tc>
        <w:tc>
          <w:tcPr>
            <w:tcW w:w="1571" w:type="dxa"/>
            <w:tcBorders>
              <w:tl2br w:val="nil"/>
              <w:tr2bl w:val="nil"/>
            </w:tcBorders>
            <w:shd w:val="clear" w:color="auto" w:fill="BEBEBE" w:themeFill="background1" w:themeFillShade="BF"/>
            <w:vAlign w:val="center"/>
          </w:tcPr>
          <w:p w14:paraId="5826D8A5">
            <w:pPr>
              <w:pStyle w:val="1405"/>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其他</w:t>
            </w:r>
          </w:p>
        </w:tc>
        <w:tc>
          <w:tcPr>
            <w:tcW w:w="1444" w:type="dxa"/>
            <w:tcBorders>
              <w:tl2br w:val="nil"/>
              <w:tr2bl w:val="nil"/>
            </w:tcBorders>
            <w:shd w:val="clear" w:color="auto" w:fill="auto"/>
            <w:vAlign w:val="center"/>
          </w:tcPr>
          <w:p w14:paraId="1F39ABAC">
            <w:pPr>
              <w:pStyle w:val="1405"/>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本项目属于塑料制品业中的塑料零件及其他塑料制品制造2929，年产量未达到1万吨且不涉及改性工艺，实行排污许可登记管理。</w:t>
            </w:r>
          </w:p>
        </w:tc>
      </w:tr>
    </w:tbl>
    <w:p w14:paraId="006027E1">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.8</w:t>
      </w:r>
      <w:r>
        <w:rPr>
          <w:rFonts w:hint="eastAsia"/>
          <w:color w:val="auto"/>
          <w:highlight w:val="none"/>
          <w:lang w:val="en-US" w:eastAsia="zh-CN"/>
        </w:rPr>
        <w:t xml:space="preserve"> </w:t>
      </w:r>
      <w:r>
        <w:rPr>
          <w:color w:val="auto"/>
          <w:highlight w:val="none"/>
        </w:rPr>
        <w:t>企业自主验收的环境管理</w:t>
      </w:r>
    </w:p>
    <w:p w14:paraId="724970D5">
      <w:pPr>
        <w:bidi w:val="0"/>
        <w:rPr>
          <w:color w:val="auto"/>
          <w:highlight w:val="none"/>
        </w:rPr>
      </w:pPr>
      <w:r>
        <w:rPr>
          <w:color w:val="auto"/>
          <w:highlight w:val="none"/>
        </w:rPr>
        <w:t>根据《建设项目环境保护管理条例》（国务院令第682号）和《建设项目竣工环境保护验收暂行办法》（国环规环评</w:t>
      </w:r>
      <w:r>
        <w:rPr>
          <w:rFonts w:hint="eastAsia"/>
          <w:color w:val="auto"/>
          <w:highlight w:val="none"/>
          <w:lang w:eastAsia="zh-CN"/>
        </w:rPr>
        <w:t>〔2017〕4号</w:t>
      </w:r>
      <w:r>
        <w:rPr>
          <w:color w:val="auto"/>
          <w:highlight w:val="none"/>
        </w:rPr>
        <w:t>）以及《建设项目竣工环境保护验收技术指南 污染影响类》（生态环境部公告2018年第9号）等规定要求，建设单位应强化环境保护主体责任，落实建设项目环境保护</w:t>
      </w:r>
      <w:r>
        <w:rPr>
          <w:rFonts w:hint="eastAsia"/>
          <w:color w:val="auto"/>
          <w:highlight w:val="none"/>
          <w:lang w:eastAsia="zh-CN"/>
        </w:rPr>
        <w:t>“</w:t>
      </w:r>
      <w:r>
        <w:rPr>
          <w:color w:val="auto"/>
          <w:highlight w:val="none"/>
        </w:rPr>
        <w:t>三同时</w:t>
      </w:r>
      <w:r>
        <w:rPr>
          <w:rFonts w:hint="eastAsia"/>
          <w:color w:val="auto"/>
          <w:highlight w:val="none"/>
          <w:lang w:eastAsia="zh-CN"/>
        </w:rPr>
        <w:t>”</w:t>
      </w:r>
      <w:r>
        <w:rPr>
          <w:color w:val="auto"/>
          <w:highlight w:val="none"/>
        </w:rPr>
        <w:t>制度，本次项目竣工后的验收程序、验收自查、验收监测方案和报告编制、验收监测技术均应按照技术指南的要求进行。</w:t>
      </w:r>
    </w:p>
    <w:p w14:paraId="56CEF827">
      <w:pPr>
        <w:bidi w:val="0"/>
        <w:rPr>
          <w:color w:val="auto"/>
          <w:highlight w:val="none"/>
        </w:rPr>
      </w:pPr>
      <w:r>
        <w:rPr>
          <w:color w:val="auto"/>
          <w:highlight w:val="none"/>
        </w:rPr>
        <w:t>本项目竣工后，建设单位应当依照国家有关法律法规、建设项目竣工环境保护验收技术规范、建设项目环境影响报告书和审批决定等要求，应当如实查验、监测、记载建设项目环境保护设施的建设和调试情况，同时还应如实记载其他环境保护对策措施</w:t>
      </w:r>
      <w:r>
        <w:rPr>
          <w:rFonts w:hint="eastAsia"/>
          <w:color w:val="auto"/>
          <w:highlight w:val="none"/>
          <w:lang w:eastAsia="zh-CN"/>
        </w:rPr>
        <w:t>“</w:t>
      </w:r>
      <w:r>
        <w:rPr>
          <w:color w:val="auto"/>
          <w:highlight w:val="none"/>
        </w:rPr>
        <w:t>三同时</w:t>
      </w:r>
      <w:r>
        <w:rPr>
          <w:rFonts w:hint="eastAsia"/>
          <w:color w:val="auto"/>
          <w:highlight w:val="none"/>
          <w:lang w:eastAsia="zh-CN"/>
        </w:rPr>
        <w:t>”</w:t>
      </w:r>
      <w:r>
        <w:rPr>
          <w:color w:val="auto"/>
          <w:highlight w:val="none"/>
        </w:rPr>
        <w:t>落实情况，编制验收监测（调查）报告。验收报告编制人员对其编制的验收报告结论终身负责，不得弄虚作假。</w:t>
      </w:r>
    </w:p>
    <w:p w14:paraId="0E3E2AF2">
      <w:pPr>
        <w:bidi w:val="0"/>
        <w:rPr>
          <w:color w:val="auto"/>
          <w:highlight w:val="none"/>
        </w:rPr>
      </w:pPr>
      <w:r>
        <w:rPr>
          <w:color w:val="auto"/>
          <w:highlight w:val="none"/>
        </w:rPr>
        <w:t>建设单位应当通过其网站或其他便于公众知晓的方式，向社会公开下列信息：</w:t>
      </w:r>
    </w:p>
    <w:p w14:paraId="1D49B72B">
      <w:pPr>
        <w:bidi w:val="0"/>
        <w:rPr>
          <w:color w:val="auto"/>
          <w:highlight w:val="none"/>
        </w:rPr>
      </w:pPr>
      <w:r>
        <w:rPr>
          <w:color w:val="auto"/>
          <w:highlight w:val="none"/>
        </w:rPr>
        <w:t>（一）建设项目配套建设的环境保护设施竣工后，公开竣工日期；</w:t>
      </w:r>
    </w:p>
    <w:p w14:paraId="297D9F48">
      <w:pPr>
        <w:bidi w:val="0"/>
        <w:rPr>
          <w:color w:val="auto"/>
          <w:highlight w:val="none"/>
        </w:rPr>
      </w:pPr>
      <w:r>
        <w:rPr>
          <w:color w:val="auto"/>
          <w:highlight w:val="none"/>
        </w:rPr>
        <w:t>（二）对建设项目配套建设的环境保护设施进行调试前，公开调试的起止日期；</w:t>
      </w:r>
    </w:p>
    <w:p w14:paraId="7E4AE83F">
      <w:pPr>
        <w:bidi w:val="0"/>
        <w:rPr>
          <w:color w:val="auto"/>
          <w:highlight w:val="none"/>
        </w:rPr>
      </w:pPr>
      <w:r>
        <w:rPr>
          <w:color w:val="auto"/>
          <w:highlight w:val="none"/>
        </w:rPr>
        <w:t>（三）验收报告编制完成后5个工作日内，公开验收报告，公示的期限不得少于20个工作日。</w:t>
      </w:r>
    </w:p>
    <w:p w14:paraId="691C3958">
      <w:pPr>
        <w:pStyle w:val="5"/>
        <w:numPr>
          <w:ilvl w:val="0"/>
          <w:numId w:val="0"/>
        </w:numPr>
        <w:bidi w:val="0"/>
        <w:ind w:leftChars="0"/>
        <w:rPr>
          <w:color w:val="auto"/>
          <w:highlight w:val="none"/>
        </w:rPr>
      </w:pPr>
      <w:r>
        <w:rPr>
          <w:color w:val="auto"/>
          <w:highlight w:val="none"/>
        </w:rPr>
        <w:t>9.2.</w:t>
      </w:r>
      <w:r>
        <w:rPr>
          <w:rFonts w:hint="eastAsia"/>
          <w:color w:val="auto"/>
          <w:highlight w:val="none"/>
          <w:lang w:val="en-US" w:eastAsia="zh-CN"/>
        </w:rPr>
        <w:t>2</w:t>
      </w:r>
      <w:r>
        <w:rPr>
          <w:color w:val="auto"/>
          <w:highlight w:val="none"/>
        </w:rPr>
        <w:t>.9</w:t>
      </w:r>
      <w:r>
        <w:rPr>
          <w:rFonts w:hint="eastAsia"/>
          <w:color w:val="auto"/>
          <w:highlight w:val="none"/>
          <w:lang w:val="en-US" w:eastAsia="zh-CN"/>
        </w:rPr>
        <w:t xml:space="preserve"> </w:t>
      </w:r>
      <w:r>
        <w:rPr>
          <w:color w:val="auto"/>
          <w:highlight w:val="none"/>
        </w:rPr>
        <w:t>环境保护事中事后监督管理</w:t>
      </w:r>
    </w:p>
    <w:p w14:paraId="2C7C1CEF">
      <w:pPr>
        <w:bidi w:val="0"/>
        <w:rPr>
          <w:color w:val="auto"/>
          <w:highlight w:val="none"/>
        </w:rPr>
      </w:pPr>
      <w:r>
        <w:rPr>
          <w:color w:val="auto"/>
          <w:highlight w:val="none"/>
        </w:rPr>
        <w:t>根据《关于强化建设项目环境影响评价事中事后监管的实施意见》（环环评〔2018〕11号）和《关于印发〈建设项目环境保护事中事后监督管理办法（试行）〉的通知》（环发〔2015〕163号）的有关要求，建设单位应严格落实以下要求：</w:t>
      </w:r>
    </w:p>
    <w:p w14:paraId="240B8151">
      <w:pPr>
        <w:bidi w:val="0"/>
        <w:rPr>
          <w:color w:val="auto"/>
          <w:highlight w:val="none"/>
        </w:rPr>
      </w:pPr>
      <w:r>
        <w:rPr>
          <w:color w:val="auto"/>
          <w:highlight w:val="none"/>
        </w:rPr>
        <w:t>（1）依法依规履行环评程序、开展公众参与情况。严格落实环评文件及批复要求，在项目设计、施工、验收、投入生产或使用中落实环境保护</w:t>
      </w:r>
      <w:r>
        <w:rPr>
          <w:rFonts w:hint="eastAsia"/>
          <w:color w:val="auto"/>
          <w:highlight w:val="none"/>
          <w:lang w:eastAsia="zh-CN"/>
        </w:rPr>
        <w:t>“</w:t>
      </w:r>
      <w:r>
        <w:rPr>
          <w:color w:val="auto"/>
          <w:highlight w:val="none"/>
        </w:rPr>
        <w:t>三同时</w:t>
      </w:r>
      <w:r>
        <w:rPr>
          <w:rFonts w:hint="eastAsia"/>
          <w:color w:val="auto"/>
          <w:highlight w:val="none"/>
          <w:lang w:eastAsia="zh-CN"/>
        </w:rPr>
        <w:t>”</w:t>
      </w:r>
      <w:r>
        <w:rPr>
          <w:color w:val="auto"/>
          <w:highlight w:val="none"/>
        </w:rPr>
        <w:t>及各项环境管理规定情况。</w:t>
      </w:r>
    </w:p>
    <w:p w14:paraId="7BE394AB">
      <w:pPr>
        <w:bidi w:val="0"/>
        <w:rPr>
          <w:color w:val="auto"/>
          <w:highlight w:val="none"/>
        </w:rPr>
      </w:pPr>
      <w:r>
        <w:rPr>
          <w:color w:val="auto"/>
          <w:highlight w:val="none"/>
        </w:rPr>
        <w:t>（2）依法申请排污许可证，根据环境保护设施验收条件有关规定，开展自主验收工作。</w:t>
      </w:r>
    </w:p>
    <w:p w14:paraId="3933E779">
      <w:pPr>
        <w:bidi w:val="0"/>
        <w:rPr>
          <w:color w:val="auto"/>
          <w:highlight w:val="none"/>
        </w:rPr>
      </w:pPr>
      <w:r>
        <w:rPr>
          <w:color w:val="auto"/>
          <w:highlight w:val="none"/>
        </w:rPr>
        <w:t>（3）建设单位在建设项目环境影响报告书报送审批前，应采取适当形式，遵循依法、有序、公开、便利的原则，公开征求公众意见并对公众参与的真实性和结果负责。在项目运行后，主动公开项目排污情况，接受公众监督。</w:t>
      </w:r>
    </w:p>
    <w:p w14:paraId="4BB5C775">
      <w:pPr>
        <w:pStyle w:val="3"/>
        <w:numPr>
          <w:ilvl w:val="0"/>
          <w:numId w:val="0"/>
        </w:numPr>
        <w:bidi w:val="0"/>
        <w:rPr>
          <w:color w:val="auto"/>
          <w:highlight w:val="none"/>
        </w:rPr>
      </w:pPr>
      <w:bookmarkStart w:id="1148" w:name="_Toc529434309"/>
      <w:bookmarkStart w:id="1149" w:name="_Toc11032"/>
      <w:bookmarkStart w:id="1150" w:name="_Toc201"/>
      <w:bookmarkStart w:id="1151" w:name="_Toc5999"/>
      <w:bookmarkStart w:id="1152" w:name="_Toc18485"/>
      <w:bookmarkStart w:id="1153" w:name="_Toc18256"/>
      <w:bookmarkStart w:id="1154" w:name="_Toc30193"/>
      <w:bookmarkStart w:id="1155" w:name="_Toc94"/>
      <w:bookmarkStart w:id="1156" w:name="_Toc28775"/>
      <w:bookmarkStart w:id="1157" w:name="_Toc2698"/>
      <w:bookmarkStart w:id="1158" w:name="_Toc26404"/>
      <w:r>
        <w:rPr>
          <w:color w:val="auto"/>
          <w:highlight w:val="none"/>
        </w:rPr>
        <w:t>9.3</w:t>
      </w:r>
      <w:r>
        <w:rPr>
          <w:rFonts w:hint="eastAsia"/>
          <w:color w:val="auto"/>
          <w:highlight w:val="none"/>
          <w:lang w:val="en-US" w:eastAsia="zh-CN"/>
        </w:rPr>
        <w:t xml:space="preserve"> </w:t>
      </w:r>
      <w:r>
        <w:rPr>
          <w:color w:val="auto"/>
          <w:highlight w:val="none"/>
        </w:rPr>
        <w:t>污染物排放</w:t>
      </w:r>
      <w:bookmarkEnd w:id="1148"/>
      <w:r>
        <w:rPr>
          <w:color w:val="auto"/>
          <w:highlight w:val="none"/>
        </w:rPr>
        <w:t>的管理要求</w:t>
      </w:r>
      <w:bookmarkEnd w:id="1149"/>
      <w:bookmarkEnd w:id="1150"/>
      <w:bookmarkEnd w:id="1151"/>
      <w:bookmarkEnd w:id="1152"/>
      <w:bookmarkEnd w:id="1153"/>
      <w:bookmarkEnd w:id="1154"/>
      <w:bookmarkEnd w:id="1155"/>
      <w:bookmarkEnd w:id="1156"/>
      <w:bookmarkEnd w:id="1157"/>
      <w:bookmarkEnd w:id="1158"/>
    </w:p>
    <w:p w14:paraId="117E2C5A">
      <w:pPr>
        <w:bidi w:val="0"/>
        <w:rPr>
          <w:color w:val="auto"/>
          <w:highlight w:val="none"/>
        </w:rPr>
      </w:pPr>
      <w:r>
        <w:rPr>
          <w:color w:val="auto"/>
          <w:highlight w:val="none"/>
        </w:rPr>
        <w:t>项目污染物排放的管理要求详见下表9.3-1。</w:t>
      </w:r>
    </w:p>
    <w:p w14:paraId="2BAF9FDE">
      <w:pPr>
        <w:pStyle w:val="217"/>
        <w:ind w:firstLine="480"/>
        <w:rPr>
          <w:color w:val="auto"/>
          <w:highlight w:val="none"/>
        </w:rPr>
        <w:sectPr>
          <w:headerReference r:id="rId31" w:type="first"/>
          <w:footerReference r:id="rId33" w:type="first"/>
          <w:headerReference r:id="rId30" w:type="even"/>
          <w:footerReference r:id="rId32" w:type="even"/>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12" w:charSpace="0"/>
        </w:sectPr>
      </w:pPr>
    </w:p>
    <w:p w14:paraId="61714BC2">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表9.3-1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污染物排放清单</w:t>
      </w:r>
    </w:p>
    <w:tbl>
      <w:tblPr>
        <w:tblStyle w:val="80"/>
        <w:tblW w:w="1400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126"/>
        <w:gridCol w:w="622"/>
        <w:gridCol w:w="1406"/>
        <w:gridCol w:w="634"/>
        <w:gridCol w:w="640"/>
        <w:gridCol w:w="921"/>
        <w:gridCol w:w="1225"/>
        <w:gridCol w:w="59"/>
        <w:gridCol w:w="961"/>
        <w:gridCol w:w="1011"/>
        <w:gridCol w:w="2133"/>
        <w:gridCol w:w="1640"/>
        <w:gridCol w:w="951"/>
      </w:tblGrid>
      <w:tr w14:paraId="77322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5A5AAE27">
            <w:pPr>
              <w:pStyle w:val="1405"/>
              <w:bidi w:val="0"/>
              <w:rPr>
                <w:color w:val="auto"/>
                <w:highlight w:val="none"/>
              </w:rPr>
            </w:pPr>
            <w:r>
              <w:rPr>
                <w:color w:val="auto"/>
                <w:highlight w:val="none"/>
              </w:rPr>
              <w:t>序号</w:t>
            </w:r>
          </w:p>
        </w:tc>
        <w:tc>
          <w:tcPr>
            <w:tcW w:w="13329" w:type="dxa"/>
            <w:gridSpan w:val="13"/>
            <w:tcBorders>
              <w:tl2br w:val="nil"/>
              <w:tr2bl w:val="nil"/>
            </w:tcBorders>
            <w:noWrap w:val="0"/>
            <w:vAlign w:val="center"/>
          </w:tcPr>
          <w:p w14:paraId="4D125E7E">
            <w:pPr>
              <w:pStyle w:val="1405"/>
              <w:bidi w:val="0"/>
              <w:rPr>
                <w:color w:val="auto"/>
                <w:highlight w:val="none"/>
              </w:rPr>
            </w:pPr>
            <w:r>
              <w:rPr>
                <w:color w:val="auto"/>
                <w:highlight w:val="none"/>
              </w:rPr>
              <w:t>管理要求及验收依据</w:t>
            </w:r>
          </w:p>
        </w:tc>
      </w:tr>
      <w:tr w14:paraId="4C2B8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406A45C3">
            <w:pPr>
              <w:pStyle w:val="1405"/>
              <w:bidi w:val="0"/>
              <w:rPr>
                <w:color w:val="auto"/>
                <w:highlight w:val="none"/>
              </w:rPr>
            </w:pPr>
            <w:r>
              <w:rPr>
                <w:color w:val="auto"/>
                <w:highlight w:val="none"/>
              </w:rPr>
              <w:t>一</w:t>
            </w:r>
          </w:p>
        </w:tc>
        <w:tc>
          <w:tcPr>
            <w:tcW w:w="13329" w:type="dxa"/>
            <w:gridSpan w:val="13"/>
            <w:tcBorders>
              <w:tl2br w:val="nil"/>
              <w:tr2bl w:val="nil"/>
            </w:tcBorders>
            <w:noWrap w:val="0"/>
            <w:vAlign w:val="center"/>
          </w:tcPr>
          <w:p w14:paraId="49165CEA">
            <w:pPr>
              <w:pStyle w:val="1405"/>
              <w:bidi w:val="0"/>
              <w:rPr>
                <w:color w:val="auto"/>
                <w:highlight w:val="none"/>
              </w:rPr>
            </w:pPr>
            <w:r>
              <w:rPr>
                <w:color w:val="auto"/>
                <w:highlight w:val="none"/>
              </w:rPr>
              <w:t>工程组成</w:t>
            </w:r>
          </w:p>
        </w:tc>
      </w:tr>
      <w:tr w14:paraId="336D4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6F613987">
            <w:pPr>
              <w:pStyle w:val="1405"/>
              <w:bidi w:val="0"/>
              <w:rPr>
                <w:color w:val="auto"/>
                <w:highlight w:val="none"/>
              </w:rPr>
            </w:pPr>
            <w:r>
              <w:rPr>
                <w:color w:val="auto"/>
                <w:highlight w:val="none"/>
              </w:rPr>
              <w:t>1.1</w:t>
            </w:r>
          </w:p>
        </w:tc>
        <w:tc>
          <w:tcPr>
            <w:tcW w:w="1748" w:type="dxa"/>
            <w:gridSpan w:val="2"/>
            <w:tcBorders>
              <w:tl2br w:val="nil"/>
              <w:tr2bl w:val="nil"/>
            </w:tcBorders>
            <w:noWrap w:val="0"/>
            <w:vAlign w:val="center"/>
          </w:tcPr>
          <w:p w14:paraId="4E109D96">
            <w:pPr>
              <w:pStyle w:val="1405"/>
              <w:bidi w:val="0"/>
              <w:rPr>
                <w:color w:val="auto"/>
                <w:highlight w:val="none"/>
              </w:rPr>
            </w:pPr>
            <w:r>
              <w:rPr>
                <w:color w:val="auto"/>
                <w:highlight w:val="none"/>
              </w:rPr>
              <w:t>单位名称</w:t>
            </w:r>
          </w:p>
        </w:tc>
        <w:tc>
          <w:tcPr>
            <w:tcW w:w="11581" w:type="dxa"/>
            <w:gridSpan w:val="11"/>
            <w:tcBorders>
              <w:tl2br w:val="nil"/>
              <w:tr2bl w:val="nil"/>
            </w:tcBorders>
            <w:noWrap w:val="0"/>
            <w:vAlign w:val="center"/>
          </w:tcPr>
          <w:p w14:paraId="2210E05B">
            <w:pPr>
              <w:pStyle w:val="1405"/>
              <w:bidi w:val="0"/>
              <w:rPr>
                <w:color w:val="auto"/>
                <w:highlight w:val="none"/>
              </w:rPr>
            </w:pPr>
            <w:r>
              <w:rPr>
                <w:rFonts w:hint="eastAsia"/>
                <w:color w:val="auto"/>
                <w:highlight w:val="none"/>
                <w:lang w:eastAsia="zh-CN"/>
              </w:rPr>
              <w:t>福州日源汽车零部件有限公司</w:t>
            </w:r>
          </w:p>
        </w:tc>
      </w:tr>
      <w:tr w14:paraId="1FCE6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255C97D6">
            <w:pPr>
              <w:pStyle w:val="1405"/>
              <w:bidi w:val="0"/>
              <w:rPr>
                <w:color w:val="auto"/>
                <w:highlight w:val="none"/>
              </w:rPr>
            </w:pPr>
            <w:r>
              <w:rPr>
                <w:color w:val="auto"/>
                <w:highlight w:val="none"/>
              </w:rPr>
              <w:t>1.2</w:t>
            </w:r>
          </w:p>
        </w:tc>
        <w:tc>
          <w:tcPr>
            <w:tcW w:w="1748" w:type="dxa"/>
            <w:gridSpan w:val="2"/>
            <w:tcBorders>
              <w:tl2br w:val="nil"/>
              <w:tr2bl w:val="nil"/>
            </w:tcBorders>
            <w:noWrap w:val="0"/>
            <w:vAlign w:val="center"/>
          </w:tcPr>
          <w:p w14:paraId="098C5528">
            <w:pPr>
              <w:pStyle w:val="1405"/>
              <w:bidi w:val="0"/>
              <w:rPr>
                <w:color w:val="auto"/>
                <w:highlight w:val="none"/>
              </w:rPr>
            </w:pPr>
            <w:r>
              <w:rPr>
                <w:color w:val="auto"/>
                <w:highlight w:val="none"/>
              </w:rPr>
              <w:t>行业类别</w:t>
            </w:r>
          </w:p>
        </w:tc>
        <w:tc>
          <w:tcPr>
            <w:tcW w:w="11581" w:type="dxa"/>
            <w:gridSpan w:val="11"/>
            <w:tcBorders>
              <w:tl2br w:val="nil"/>
              <w:tr2bl w:val="nil"/>
            </w:tcBorders>
            <w:noWrap w:val="0"/>
            <w:vAlign w:val="center"/>
          </w:tcPr>
          <w:p w14:paraId="6D2207F8">
            <w:pPr>
              <w:pStyle w:val="1405"/>
              <w:bidi w:val="0"/>
              <w:rPr>
                <w:rFonts w:hint="eastAsia" w:eastAsia="宋体"/>
                <w:color w:val="auto"/>
                <w:highlight w:val="none"/>
                <w:lang w:eastAsia="zh-CN"/>
              </w:rPr>
            </w:pPr>
            <w:r>
              <w:rPr>
                <w:color w:val="auto"/>
                <w:highlight w:val="none"/>
              </w:rPr>
              <w:t>C3670 汽车零部件及汽车配件生产</w:t>
            </w:r>
            <w:r>
              <w:rPr>
                <w:rFonts w:hint="eastAsia"/>
                <w:color w:val="auto"/>
                <w:highlight w:val="none"/>
                <w:lang w:eastAsia="zh-CN"/>
              </w:rPr>
              <w:t>；C2929</w:t>
            </w:r>
            <w:r>
              <w:rPr>
                <w:rFonts w:hint="eastAsia"/>
                <w:color w:val="auto"/>
                <w:highlight w:val="none"/>
                <w:lang w:val="en-US" w:eastAsia="zh-CN"/>
              </w:rPr>
              <w:t xml:space="preserve"> </w:t>
            </w:r>
            <w:r>
              <w:rPr>
                <w:rFonts w:hint="eastAsia"/>
                <w:color w:val="auto"/>
                <w:highlight w:val="none"/>
                <w:lang w:eastAsia="zh-CN"/>
              </w:rPr>
              <w:t>塑料零件及其他塑料制品制造</w:t>
            </w:r>
          </w:p>
        </w:tc>
      </w:tr>
      <w:tr w14:paraId="4A74FD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4980F7BB">
            <w:pPr>
              <w:pStyle w:val="1405"/>
              <w:bidi w:val="0"/>
              <w:rPr>
                <w:color w:val="auto"/>
                <w:highlight w:val="none"/>
              </w:rPr>
            </w:pPr>
            <w:r>
              <w:rPr>
                <w:color w:val="auto"/>
                <w:highlight w:val="none"/>
              </w:rPr>
              <w:t>1.3</w:t>
            </w:r>
          </w:p>
        </w:tc>
        <w:tc>
          <w:tcPr>
            <w:tcW w:w="1748" w:type="dxa"/>
            <w:gridSpan w:val="2"/>
            <w:tcBorders>
              <w:tl2br w:val="nil"/>
              <w:tr2bl w:val="nil"/>
            </w:tcBorders>
            <w:noWrap w:val="0"/>
            <w:vAlign w:val="center"/>
          </w:tcPr>
          <w:p w14:paraId="3CD8E715">
            <w:pPr>
              <w:pStyle w:val="1405"/>
              <w:bidi w:val="0"/>
              <w:rPr>
                <w:color w:val="auto"/>
                <w:highlight w:val="none"/>
              </w:rPr>
            </w:pPr>
            <w:r>
              <w:rPr>
                <w:color w:val="auto"/>
                <w:highlight w:val="none"/>
              </w:rPr>
              <w:t>设计生产能力</w:t>
            </w:r>
          </w:p>
        </w:tc>
        <w:tc>
          <w:tcPr>
            <w:tcW w:w="11581" w:type="dxa"/>
            <w:gridSpan w:val="11"/>
            <w:tcBorders>
              <w:tl2br w:val="nil"/>
              <w:tr2bl w:val="nil"/>
            </w:tcBorders>
            <w:noWrap w:val="0"/>
            <w:vAlign w:val="center"/>
          </w:tcPr>
          <w:p w14:paraId="07405084">
            <w:pPr>
              <w:pStyle w:val="1405"/>
              <w:bidi w:val="0"/>
              <w:rPr>
                <w:color w:val="auto"/>
                <w:highlight w:val="none"/>
              </w:rPr>
            </w:pPr>
            <w:r>
              <w:rPr>
                <w:rFonts w:hint="eastAsia"/>
                <w:color w:val="auto"/>
                <w:highlight w:val="none"/>
              </w:rPr>
              <w:t>年产前后</w:t>
            </w:r>
            <w:r>
              <w:rPr>
                <w:rFonts w:hint="eastAsia"/>
                <w:color w:val="auto"/>
                <w:highlight w:val="none"/>
                <w:lang w:eastAsia="zh-CN"/>
              </w:rPr>
              <w:t>保险杠</w:t>
            </w:r>
            <w:r>
              <w:rPr>
                <w:rFonts w:hint="eastAsia"/>
                <w:color w:val="auto"/>
                <w:highlight w:val="none"/>
              </w:rPr>
              <w:t>总成15万套、前格栅总成15万套</w:t>
            </w:r>
          </w:p>
        </w:tc>
      </w:tr>
      <w:tr w14:paraId="2C8C2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09509C6C">
            <w:pPr>
              <w:pStyle w:val="1321"/>
              <w:rPr>
                <w:color w:val="auto"/>
                <w:highlight w:val="none"/>
              </w:rPr>
            </w:pPr>
            <w:r>
              <w:rPr>
                <w:color w:val="auto"/>
                <w:highlight w:val="none"/>
              </w:rPr>
              <w:t>二</w:t>
            </w:r>
          </w:p>
        </w:tc>
        <w:tc>
          <w:tcPr>
            <w:tcW w:w="13329" w:type="dxa"/>
            <w:gridSpan w:val="13"/>
            <w:tcBorders>
              <w:tl2br w:val="nil"/>
              <w:tr2bl w:val="nil"/>
            </w:tcBorders>
            <w:noWrap w:val="0"/>
            <w:vAlign w:val="center"/>
          </w:tcPr>
          <w:p w14:paraId="41A7E401">
            <w:pPr>
              <w:pStyle w:val="1321"/>
              <w:rPr>
                <w:b/>
                <w:color w:val="auto"/>
                <w:highlight w:val="none"/>
              </w:rPr>
            </w:pPr>
            <w:r>
              <w:rPr>
                <w:b/>
                <w:color w:val="auto"/>
                <w:highlight w:val="none"/>
              </w:rPr>
              <w:t>原辅料</w:t>
            </w:r>
          </w:p>
        </w:tc>
      </w:tr>
      <w:tr w14:paraId="4FD0C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79" w:type="dxa"/>
            <w:tcBorders>
              <w:tl2br w:val="nil"/>
              <w:tr2bl w:val="nil"/>
            </w:tcBorders>
            <w:noWrap w:val="0"/>
            <w:vAlign w:val="center"/>
          </w:tcPr>
          <w:p w14:paraId="24CC6B52">
            <w:pPr>
              <w:pStyle w:val="1321"/>
              <w:rPr>
                <w:color w:val="auto"/>
                <w:highlight w:val="none"/>
              </w:rPr>
            </w:pPr>
            <w:r>
              <w:rPr>
                <w:color w:val="auto"/>
                <w:highlight w:val="none"/>
              </w:rPr>
              <w:t>序号</w:t>
            </w:r>
          </w:p>
        </w:tc>
        <w:tc>
          <w:tcPr>
            <w:tcW w:w="1748" w:type="dxa"/>
            <w:gridSpan w:val="2"/>
            <w:tcBorders>
              <w:tl2br w:val="nil"/>
              <w:tr2bl w:val="nil"/>
            </w:tcBorders>
            <w:noWrap w:val="0"/>
            <w:vAlign w:val="center"/>
          </w:tcPr>
          <w:p w14:paraId="3661049D">
            <w:pPr>
              <w:pStyle w:val="1321"/>
              <w:rPr>
                <w:color w:val="auto"/>
                <w:highlight w:val="none"/>
              </w:rPr>
            </w:pPr>
            <w:r>
              <w:rPr>
                <w:color w:val="auto"/>
                <w:highlight w:val="none"/>
              </w:rPr>
              <w:t>项目</w:t>
            </w:r>
          </w:p>
        </w:tc>
        <w:tc>
          <w:tcPr>
            <w:tcW w:w="6857" w:type="dxa"/>
            <w:gridSpan w:val="8"/>
            <w:tcBorders>
              <w:tl2br w:val="nil"/>
              <w:tr2bl w:val="nil"/>
            </w:tcBorders>
            <w:noWrap w:val="0"/>
            <w:vAlign w:val="center"/>
          </w:tcPr>
          <w:p w14:paraId="0551EA0F">
            <w:pPr>
              <w:pStyle w:val="1321"/>
              <w:rPr>
                <w:color w:val="auto"/>
                <w:highlight w:val="none"/>
              </w:rPr>
            </w:pPr>
            <w:r>
              <w:rPr>
                <w:color w:val="auto"/>
                <w:highlight w:val="none"/>
              </w:rPr>
              <w:t>年最大使用量</w:t>
            </w:r>
          </w:p>
        </w:tc>
        <w:tc>
          <w:tcPr>
            <w:tcW w:w="4724" w:type="dxa"/>
            <w:gridSpan w:val="3"/>
            <w:tcBorders>
              <w:tl2br w:val="nil"/>
              <w:tr2bl w:val="nil"/>
            </w:tcBorders>
            <w:noWrap w:val="0"/>
            <w:vAlign w:val="center"/>
          </w:tcPr>
          <w:p w14:paraId="0C0F78DD">
            <w:pPr>
              <w:pStyle w:val="1321"/>
              <w:rPr>
                <w:b/>
                <w:color w:val="auto"/>
                <w:highlight w:val="none"/>
              </w:rPr>
            </w:pPr>
            <w:r>
              <w:rPr>
                <w:color w:val="auto"/>
                <w:highlight w:val="none"/>
              </w:rPr>
              <w:t>计量单位</w:t>
            </w:r>
          </w:p>
        </w:tc>
      </w:tr>
      <w:tr w14:paraId="0CF21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9" w:type="dxa"/>
            <w:tcBorders>
              <w:tl2br w:val="nil"/>
              <w:tr2bl w:val="nil"/>
            </w:tcBorders>
            <w:noWrap w:val="0"/>
            <w:vAlign w:val="center"/>
          </w:tcPr>
          <w:p w14:paraId="3CCF0A93">
            <w:pPr>
              <w:pStyle w:val="1321"/>
              <w:rPr>
                <w:color w:val="auto"/>
                <w:highlight w:val="none"/>
              </w:rPr>
            </w:pPr>
            <w:r>
              <w:rPr>
                <w:color w:val="auto"/>
                <w:highlight w:val="none"/>
              </w:rPr>
              <w:t>2.1</w:t>
            </w:r>
          </w:p>
        </w:tc>
        <w:tc>
          <w:tcPr>
            <w:tcW w:w="1748" w:type="dxa"/>
            <w:gridSpan w:val="2"/>
            <w:tcBorders>
              <w:tl2br w:val="nil"/>
              <w:tr2bl w:val="nil"/>
            </w:tcBorders>
            <w:shd w:val="clear" w:color="auto" w:fill="auto"/>
            <w:noWrap w:val="0"/>
            <w:vAlign w:val="center"/>
          </w:tcPr>
          <w:p w14:paraId="269C9847">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改性PP</w:t>
            </w:r>
          </w:p>
        </w:tc>
        <w:tc>
          <w:tcPr>
            <w:tcW w:w="6857" w:type="dxa"/>
            <w:gridSpan w:val="8"/>
            <w:tcBorders>
              <w:tl2br w:val="nil"/>
              <w:tr2bl w:val="nil"/>
            </w:tcBorders>
            <w:shd w:val="clear" w:color="auto" w:fill="auto"/>
            <w:noWrap w:val="0"/>
            <w:vAlign w:val="center"/>
          </w:tcPr>
          <w:p w14:paraId="06D2FC6C">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762</w:t>
            </w:r>
          </w:p>
        </w:tc>
        <w:tc>
          <w:tcPr>
            <w:tcW w:w="4724" w:type="dxa"/>
            <w:gridSpan w:val="3"/>
            <w:tcBorders>
              <w:tl2br w:val="nil"/>
              <w:tr2bl w:val="nil"/>
            </w:tcBorders>
            <w:noWrap w:val="0"/>
            <w:vAlign w:val="center"/>
          </w:tcPr>
          <w:p w14:paraId="5E63FE00">
            <w:pPr>
              <w:pStyle w:val="1358"/>
              <w:bidi w:val="0"/>
              <w:ind w:firstLine="0" w:firstLineChars="0"/>
              <w:rPr>
                <w:rFonts w:hint="default"/>
                <w:color w:val="auto"/>
                <w:kern w:val="2"/>
                <w:sz w:val="21"/>
                <w:szCs w:val="24"/>
                <w:highlight w:val="none"/>
                <w:lang w:val="en-US" w:eastAsia="zh-CN" w:bidi="ar-SA"/>
              </w:rPr>
            </w:pPr>
            <w:r>
              <w:rPr>
                <w:rFonts w:hint="eastAsia"/>
                <w:color w:val="auto"/>
                <w:highlight w:val="none"/>
                <w:lang w:eastAsia="zh-CN"/>
              </w:rPr>
              <w:t>t/a</w:t>
            </w:r>
          </w:p>
        </w:tc>
      </w:tr>
      <w:tr w14:paraId="6B214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2DF64C60">
            <w:pPr>
              <w:pStyle w:val="1321"/>
              <w:rPr>
                <w:color w:val="auto"/>
                <w:highlight w:val="none"/>
              </w:rPr>
            </w:pPr>
            <w:r>
              <w:rPr>
                <w:color w:val="auto"/>
                <w:highlight w:val="none"/>
              </w:rPr>
              <w:t>2.2</w:t>
            </w:r>
          </w:p>
        </w:tc>
        <w:tc>
          <w:tcPr>
            <w:tcW w:w="1748" w:type="dxa"/>
            <w:gridSpan w:val="2"/>
            <w:tcBorders>
              <w:tl2br w:val="nil"/>
              <w:tr2bl w:val="nil"/>
            </w:tcBorders>
            <w:shd w:val="clear" w:color="auto" w:fill="auto"/>
            <w:noWrap w:val="0"/>
            <w:vAlign w:val="center"/>
          </w:tcPr>
          <w:p w14:paraId="03EC8C03">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ABS</w:t>
            </w:r>
          </w:p>
        </w:tc>
        <w:tc>
          <w:tcPr>
            <w:tcW w:w="6857" w:type="dxa"/>
            <w:gridSpan w:val="8"/>
            <w:tcBorders>
              <w:tl2br w:val="nil"/>
              <w:tr2bl w:val="nil"/>
            </w:tcBorders>
            <w:shd w:val="clear" w:color="auto" w:fill="auto"/>
            <w:noWrap w:val="0"/>
            <w:vAlign w:val="center"/>
          </w:tcPr>
          <w:p w14:paraId="596B11E2">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684</w:t>
            </w:r>
          </w:p>
        </w:tc>
        <w:tc>
          <w:tcPr>
            <w:tcW w:w="4724" w:type="dxa"/>
            <w:gridSpan w:val="3"/>
            <w:tcBorders>
              <w:tl2br w:val="nil"/>
              <w:tr2bl w:val="nil"/>
            </w:tcBorders>
            <w:noWrap w:val="0"/>
            <w:vAlign w:val="center"/>
          </w:tcPr>
          <w:p w14:paraId="04361F03">
            <w:pPr>
              <w:pStyle w:val="1358"/>
              <w:bidi w:val="0"/>
              <w:ind w:firstLine="0" w:firstLineChars="0"/>
              <w:rPr>
                <w:rFonts w:hint="default"/>
                <w:color w:val="auto"/>
                <w:kern w:val="2"/>
                <w:sz w:val="21"/>
                <w:szCs w:val="24"/>
                <w:highlight w:val="none"/>
                <w:lang w:val="en-US" w:eastAsia="zh-CN" w:bidi="ar-SA"/>
              </w:rPr>
            </w:pPr>
            <w:r>
              <w:rPr>
                <w:rFonts w:hint="eastAsia"/>
                <w:color w:val="auto"/>
                <w:highlight w:val="none"/>
                <w:lang w:eastAsia="zh-CN"/>
              </w:rPr>
              <w:t>t/a</w:t>
            </w:r>
          </w:p>
        </w:tc>
      </w:tr>
      <w:tr w14:paraId="505D85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4425524E">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2.3</w:t>
            </w:r>
          </w:p>
        </w:tc>
        <w:tc>
          <w:tcPr>
            <w:tcW w:w="1748" w:type="dxa"/>
            <w:gridSpan w:val="2"/>
            <w:tcBorders>
              <w:tl2br w:val="nil"/>
              <w:tr2bl w:val="nil"/>
            </w:tcBorders>
            <w:shd w:val="clear" w:color="auto" w:fill="auto"/>
            <w:noWrap w:val="0"/>
            <w:vAlign w:val="center"/>
          </w:tcPr>
          <w:p w14:paraId="0D216A08">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底漆</w:t>
            </w:r>
          </w:p>
        </w:tc>
        <w:tc>
          <w:tcPr>
            <w:tcW w:w="6857" w:type="dxa"/>
            <w:gridSpan w:val="8"/>
            <w:tcBorders>
              <w:tl2br w:val="nil"/>
              <w:tr2bl w:val="nil"/>
            </w:tcBorders>
            <w:shd w:val="clear" w:color="auto" w:fill="auto"/>
            <w:noWrap w:val="0"/>
            <w:vAlign w:val="center"/>
          </w:tcPr>
          <w:p w14:paraId="67372752">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14.85</w:t>
            </w:r>
          </w:p>
        </w:tc>
        <w:tc>
          <w:tcPr>
            <w:tcW w:w="4724" w:type="dxa"/>
            <w:gridSpan w:val="3"/>
            <w:tcBorders>
              <w:tl2br w:val="nil"/>
              <w:tr2bl w:val="nil"/>
            </w:tcBorders>
            <w:shd w:val="clear" w:color="auto" w:fill="auto"/>
            <w:noWrap w:val="0"/>
            <w:vAlign w:val="center"/>
          </w:tcPr>
          <w:p w14:paraId="6A962AD1">
            <w:pPr>
              <w:pStyle w:val="1358"/>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t/a</w:t>
            </w:r>
          </w:p>
        </w:tc>
      </w:tr>
      <w:tr w14:paraId="7B35E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151B09BD">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2.4</w:t>
            </w:r>
          </w:p>
        </w:tc>
        <w:tc>
          <w:tcPr>
            <w:tcW w:w="1748" w:type="dxa"/>
            <w:gridSpan w:val="2"/>
            <w:tcBorders>
              <w:tl2br w:val="nil"/>
              <w:tr2bl w:val="nil"/>
            </w:tcBorders>
            <w:shd w:val="clear" w:color="auto" w:fill="auto"/>
            <w:noWrap w:val="0"/>
            <w:vAlign w:val="center"/>
          </w:tcPr>
          <w:p w14:paraId="6D18AE37">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色漆</w:t>
            </w:r>
          </w:p>
        </w:tc>
        <w:tc>
          <w:tcPr>
            <w:tcW w:w="6857" w:type="dxa"/>
            <w:gridSpan w:val="8"/>
            <w:tcBorders>
              <w:tl2br w:val="nil"/>
              <w:tr2bl w:val="nil"/>
            </w:tcBorders>
            <w:shd w:val="clear" w:color="auto" w:fill="auto"/>
            <w:noWrap w:val="0"/>
            <w:vAlign w:val="center"/>
          </w:tcPr>
          <w:p w14:paraId="7475B883">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26.01</w:t>
            </w:r>
          </w:p>
        </w:tc>
        <w:tc>
          <w:tcPr>
            <w:tcW w:w="4724" w:type="dxa"/>
            <w:gridSpan w:val="3"/>
            <w:tcBorders>
              <w:tl2br w:val="nil"/>
              <w:tr2bl w:val="nil"/>
            </w:tcBorders>
            <w:shd w:val="clear" w:color="auto" w:fill="auto"/>
            <w:noWrap w:val="0"/>
            <w:vAlign w:val="center"/>
          </w:tcPr>
          <w:p w14:paraId="58F81CA8">
            <w:pPr>
              <w:pStyle w:val="1358"/>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t/a</w:t>
            </w:r>
          </w:p>
        </w:tc>
      </w:tr>
      <w:tr w14:paraId="796AF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77CE52EE">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2.5</w:t>
            </w:r>
          </w:p>
        </w:tc>
        <w:tc>
          <w:tcPr>
            <w:tcW w:w="1748" w:type="dxa"/>
            <w:gridSpan w:val="2"/>
            <w:tcBorders>
              <w:tl2br w:val="nil"/>
              <w:tr2bl w:val="nil"/>
            </w:tcBorders>
            <w:shd w:val="clear" w:color="auto" w:fill="auto"/>
            <w:noWrap w:val="0"/>
            <w:vAlign w:val="center"/>
          </w:tcPr>
          <w:p w14:paraId="687D2968">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清漆</w:t>
            </w:r>
          </w:p>
        </w:tc>
        <w:tc>
          <w:tcPr>
            <w:tcW w:w="6857" w:type="dxa"/>
            <w:gridSpan w:val="8"/>
            <w:tcBorders>
              <w:tl2br w:val="nil"/>
              <w:tr2bl w:val="nil"/>
            </w:tcBorders>
            <w:shd w:val="clear" w:color="auto" w:fill="auto"/>
            <w:noWrap w:val="0"/>
            <w:vAlign w:val="center"/>
          </w:tcPr>
          <w:p w14:paraId="28DA3B80">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24.49</w:t>
            </w:r>
          </w:p>
        </w:tc>
        <w:tc>
          <w:tcPr>
            <w:tcW w:w="4724" w:type="dxa"/>
            <w:gridSpan w:val="3"/>
            <w:tcBorders>
              <w:tl2br w:val="nil"/>
              <w:tr2bl w:val="nil"/>
            </w:tcBorders>
            <w:noWrap w:val="0"/>
            <w:vAlign w:val="center"/>
          </w:tcPr>
          <w:p w14:paraId="24F1745A">
            <w:pPr>
              <w:pStyle w:val="1358"/>
              <w:bidi w:val="0"/>
              <w:ind w:firstLine="0" w:firstLineChars="0"/>
              <w:rPr>
                <w:rFonts w:hint="default"/>
                <w:color w:val="auto"/>
                <w:kern w:val="2"/>
                <w:sz w:val="21"/>
                <w:szCs w:val="24"/>
                <w:highlight w:val="none"/>
                <w:lang w:val="en-US" w:eastAsia="zh-CN" w:bidi="ar-SA"/>
              </w:rPr>
            </w:pPr>
            <w:r>
              <w:rPr>
                <w:rFonts w:hint="eastAsia"/>
                <w:color w:val="auto"/>
                <w:highlight w:val="none"/>
                <w:lang w:eastAsia="zh-CN"/>
              </w:rPr>
              <w:t>t/a</w:t>
            </w:r>
          </w:p>
        </w:tc>
      </w:tr>
      <w:tr w14:paraId="71313C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1D8DA09F">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2.6</w:t>
            </w:r>
          </w:p>
        </w:tc>
        <w:tc>
          <w:tcPr>
            <w:tcW w:w="1748" w:type="dxa"/>
            <w:gridSpan w:val="2"/>
            <w:tcBorders>
              <w:tl2br w:val="nil"/>
              <w:tr2bl w:val="nil"/>
            </w:tcBorders>
            <w:shd w:val="clear" w:color="auto" w:fill="auto"/>
            <w:noWrap w:val="0"/>
            <w:vAlign w:val="center"/>
          </w:tcPr>
          <w:p w14:paraId="3A3355EA">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稀释剂</w:t>
            </w:r>
          </w:p>
        </w:tc>
        <w:tc>
          <w:tcPr>
            <w:tcW w:w="6857" w:type="dxa"/>
            <w:gridSpan w:val="8"/>
            <w:tcBorders>
              <w:tl2br w:val="nil"/>
              <w:tr2bl w:val="nil"/>
            </w:tcBorders>
            <w:shd w:val="clear" w:color="auto" w:fill="auto"/>
            <w:noWrap w:val="0"/>
            <w:vAlign w:val="center"/>
          </w:tcPr>
          <w:p w14:paraId="449C44EB">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17.56</w:t>
            </w:r>
          </w:p>
        </w:tc>
        <w:tc>
          <w:tcPr>
            <w:tcW w:w="4724" w:type="dxa"/>
            <w:gridSpan w:val="3"/>
            <w:tcBorders>
              <w:tl2br w:val="nil"/>
              <w:tr2bl w:val="nil"/>
            </w:tcBorders>
            <w:noWrap w:val="0"/>
            <w:vAlign w:val="center"/>
          </w:tcPr>
          <w:p w14:paraId="310F1728">
            <w:pPr>
              <w:pStyle w:val="1358"/>
              <w:bidi w:val="0"/>
              <w:ind w:firstLine="0" w:firstLineChars="0"/>
              <w:rPr>
                <w:rFonts w:hint="default"/>
                <w:color w:val="auto"/>
                <w:kern w:val="2"/>
                <w:sz w:val="21"/>
                <w:szCs w:val="24"/>
                <w:highlight w:val="none"/>
                <w:lang w:val="en-US" w:eastAsia="zh-CN" w:bidi="ar-SA"/>
              </w:rPr>
            </w:pPr>
            <w:r>
              <w:rPr>
                <w:rFonts w:hint="eastAsia"/>
                <w:color w:val="auto"/>
                <w:highlight w:val="none"/>
                <w:lang w:eastAsia="zh-CN"/>
              </w:rPr>
              <w:t>t/a</w:t>
            </w:r>
          </w:p>
        </w:tc>
      </w:tr>
      <w:tr w14:paraId="569DE6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7ED3A976">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2.7</w:t>
            </w:r>
          </w:p>
        </w:tc>
        <w:tc>
          <w:tcPr>
            <w:tcW w:w="1748" w:type="dxa"/>
            <w:gridSpan w:val="2"/>
            <w:tcBorders>
              <w:tl2br w:val="nil"/>
              <w:tr2bl w:val="nil"/>
            </w:tcBorders>
            <w:shd w:val="clear" w:color="auto" w:fill="auto"/>
            <w:noWrap w:val="0"/>
            <w:vAlign w:val="center"/>
          </w:tcPr>
          <w:p w14:paraId="269C22F7">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固化剂</w:t>
            </w:r>
          </w:p>
        </w:tc>
        <w:tc>
          <w:tcPr>
            <w:tcW w:w="6857" w:type="dxa"/>
            <w:gridSpan w:val="8"/>
            <w:tcBorders>
              <w:tl2br w:val="nil"/>
              <w:tr2bl w:val="nil"/>
            </w:tcBorders>
            <w:shd w:val="clear" w:color="auto" w:fill="auto"/>
            <w:noWrap w:val="0"/>
            <w:vAlign w:val="center"/>
          </w:tcPr>
          <w:p w14:paraId="44F4B001">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1.22</w:t>
            </w:r>
          </w:p>
        </w:tc>
        <w:tc>
          <w:tcPr>
            <w:tcW w:w="4724" w:type="dxa"/>
            <w:gridSpan w:val="3"/>
            <w:tcBorders>
              <w:tl2br w:val="nil"/>
              <w:tr2bl w:val="nil"/>
            </w:tcBorders>
            <w:noWrap w:val="0"/>
            <w:vAlign w:val="center"/>
          </w:tcPr>
          <w:p w14:paraId="391E0373">
            <w:pPr>
              <w:pStyle w:val="1358"/>
              <w:bidi w:val="0"/>
              <w:ind w:firstLine="0" w:firstLineChars="0"/>
              <w:rPr>
                <w:rFonts w:hint="default"/>
                <w:color w:val="auto"/>
                <w:kern w:val="2"/>
                <w:sz w:val="21"/>
                <w:szCs w:val="24"/>
                <w:highlight w:val="none"/>
                <w:lang w:val="en-US" w:eastAsia="zh-CN" w:bidi="ar-SA"/>
              </w:rPr>
            </w:pPr>
            <w:r>
              <w:rPr>
                <w:rFonts w:hint="eastAsia"/>
                <w:color w:val="auto"/>
                <w:highlight w:val="none"/>
                <w:lang w:eastAsia="zh-CN"/>
              </w:rPr>
              <w:t>t/a</w:t>
            </w:r>
          </w:p>
        </w:tc>
      </w:tr>
      <w:tr w14:paraId="66639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0BB2ABFB">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2.8</w:t>
            </w:r>
          </w:p>
        </w:tc>
        <w:tc>
          <w:tcPr>
            <w:tcW w:w="1748" w:type="dxa"/>
            <w:gridSpan w:val="2"/>
            <w:tcBorders>
              <w:tl2br w:val="nil"/>
              <w:tr2bl w:val="nil"/>
            </w:tcBorders>
            <w:shd w:val="clear" w:color="auto" w:fill="auto"/>
            <w:noWrap w:val="0"/>
            <w:vAlign w:val="center"/>
          </w:tcPr>
          <w:p w14:paraId="59C2CC04">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清洗剂（乙酸乙酯）</w:t>
            </w:r>
          </w:p>
        </w:tc>
        <w:tc>
          <w:tcPr>
            <w:tcW w:w="6857" w:type="dxa"/>
            <w:gridSpan w:val="8"/>
            <w:tcBorders>
              <w:tl2br w:val="nil"/>
              <w:tr2bl w:val="nil"/>
            </w:tcBorders>
            <w:shd w:val="clear" w:color="auto" w:fill="auto"/>
            <w:noWrap w:val="0"/>
            <w:vAlign w:val="center"/>
          </w:tcPr>
          <w:p w14:paraId="387E2E2D">
            <w:pPr>
              <w:pStyle w:val="1358"/>
              <w:bidi w:val="0"/>
              <w:ind w:firstLine="0" w:firstLineChars="0"/>
              <w:jc w:val="center"/>
              <w:rPr>
                <w:rFonts w:hint="default"/>
                <w:color w:val="auto"/>
                <w:highlight w:val="none"/>
                <w:lang w:val="en-US" w:eastAsia="zh-CN"/>
              </w:rPr>
            </w:pPr>
            <w:r>
              <w:rPr>
                <w:rFonts w:hint="eastAsia"/>
                <w:color w:val="auto"/>
                <w:highlight w:val="none"/>
                <w:lang w:val="en-US" w:eastAsia="zh-CN"/>
              </w:rPr>
              <w:t>2.79</w:t>
            </w:r>
          </w:p>
        </w:tc>
        <w:tc>
          <w:tcPr>
            <w:tcW w:w="4724" w:type="dxa"/>
            <w:gridSpan w:val="3"/>
            <w:tcBorders>
              <w:tl2br w:val="nil"/>
              <w:tr2bl w:val="nil"/>
            </w:tcBorders>
            <w:noWrap w:val="0"/>
            <w:vAlign w:val="center"/>
          </w:tcPr>
          <w:p w14:paraId="43233247">
            <w:pPr>
              <w:pStyle w:val="1358"/>
              <w:bidi w:val="0"/>
              <w:ind w:firstLine="0" w:firstLineChars="0"/>
              <w:rPr>
                <w:rFonts w:hint="eastAsia"/>
                <w:color w:val="auto"/>
                <w:kern w:val="2"/>
                <w:sz w:val="21"/>
                <w:szCs w:val="24"/>
                <w:highlight w:val="none"/>
                <w:lang w:val="en-GB" w:eastAsia="zh-CN" w:bidi="ar-SA"/>
              </w:rPr>
            </w:pPr>
            <w:r>
              <w:rPr>
                <w:rFonts w:hint="eastAsia"/>
                <w:color w:val="auto"/>
                <w:highlight w:val="none"/>
                <w:lang w:eastAsia="zh-CN"/>
              </w:rPr>
              <w:t>t/a</w:t>
            </w:r>
          </w:p>
        </w:tc>
      </w:tr>
      <w:tr w14:paraId="3FEC3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3DF1275D">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2.9</w:t>
            </w:r>
          </w:p>
        </w:tc>
        <w:tc>
          <w:tcPr>
            <w:tcW w:w="1748" w:type="dxa"/>
            <w:gridSpan w:val="2"/>
            <w:tcBorders>
              <w:tl2br w:val="nil"/>
              <w:tr2bl w:val="nil"/>
            </w:tcBorders>
            <w:shd w:val="clear" w:color="auto" w:fill="auto"/>
            <w:noWrap w:val="0"/>
            <w:vAlign w:val="center"/>
          </w:tcPr>
          <w:p w14:paraId="590F1031">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抛光蜡</w:t>
            </w:r>
          </w:p>
        </w:tc>
        <w:tc>
          <w:tcPr>
            <w:tcW w:w="6857" w:type="dxa"/>
            <w:gridSpan w:val="8"/>
            <w:tcBorders>
              <w:tl2br w:val="nil"/>
              <w:tr2bl w:val="nil"/>
            </w:tcBorders>
            <w:shd w:val="clear" w:color="auto" w:fill="auto"/>
            <w:noWrap w:val="0"/>
            <w:vAlign w:val="center"/>
          </w:tcPr>
          <w:p w14:paraId="2F84D0C6">
            <w:pPr>
              <w:pStyle w:val="1358"/>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0.005</w:t>
            </w:r>
          </w:p>
        </w:tc>
        <w:tc>
          <w:tcPr>
            <w:tcW w:w="4724" w:type="dxa"/>
            <w:gridSpan w:val="3"/>
            <w:tcBorders>
              <w:tl2br w:val="nil"/>
              <w:tr2bl w:val="nil"/>
            </w:tcBorders>
            <w:noWrap w:val="0"/>
            <w:vAlign w:val="center"/>
          </w:tcPr>
          <w:p w14:paraId="6906E014">
            <w:pPr>
              <w:pStyle w:val="1358"/>
              <w:bidi w:val="0"/>
              <w:ind w:firstLine="0" w:firstLineChars="0"/>
              <w:rPr>
                <w:rFonts w:hint="eastAsia"/>
                <w:color w:val="auto"/>
                <w:kern w:val="2"/>
                <w:sz w:val="21"/>
                <w:szCs w:val="24"/>
                <w:highlight w:val="none"/>
                <w:lang w:val="en-GB" w:eastAsia="zh-CN" w:bidi="ar-SA"/>
              </w:rPr>
            </w:pPr>
            <w:r>
              <w:rPr>
                <w:rFonts w:hint="eastAsia"/>
                <w:color w:val="auto"/>
                <w:highlight w:val="none"/>
                <w:lang w:eastAsia="zh-CN"/>
              </w:rPr>
              <w:t>t/a</w:t>
            </w:r>
          </w:p>
        </w:tc>
      </w:tr>
      <w:tr w14:paraId="35546F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7F9E9FF0">
            <w:pPr>
              <w:pStyle w:val="1321"/>
              <w:ind w:firstLine="0" w:firstLineChars="0"/>
              <w:rPr>
                <w:rFonts w:ascii="Times New Roman" w:hAnsi="Times New Roman" w:eastAsia="宋体" w:cs="Times New Roman"/>
                <w:color w:val="auto"/>
                <w:kern w:val="2"/>
                <w:sz w:val="21"/>
                <w:szCs w:val="21"/>
                <w:highlight w:val="none"/>
                <w:lang w:val="en-US" w:eastAsia="zh-CN" w:bidi="ar-SA"/>
              </w:rPr>
            </w:pPr>
            <w:r>
              <w:rPr>
                <w:color w:val="auto"/>
                <w:highlight w:val="none"/>
              </w:rPr>
              <w:t>2.10</w:t>
            </w:r>
          </w:p>
        </w:tc>
        <w:tc>
          <w:tcPr>
            <w:tcW w:w="1748" w:type="dxa"/>
            <w:gridSpan w:val="2"/>
            <w:tcBorders>
              <w:tl2br w:val="nil"/>
              <w:tr2bl w:val="nil"/>
            </w:tcBorders>
            <w:shd w:val="clear" w:color="auto" w:fill="auto"/>
            <w:noWrap w:val="0"/>
            <w:vAlign w:val="center"/>
          </w:tcPr>
          <w:p w14:paraId="589D74A6">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抛光片</w:t>
            </w:r>
          </w:p>
        </w:tc>
        <w:tc>
          <w:tcPr>
            <w:tcW w:w="6857" w:type="dxa"/>
            <w:gridSpan w:val="8"/>
            <w:tcBorders>
              <w:tl2br w:val="nil"/>
              <w:tr2bl w:val="nil"/>
            </w:tcBorders>
            <w:shd w:val="clear" w:color="auto" w:fill="auto"/>
            <w:noWrap w:val="0"/>
            <w:vAlign w:val="center"/>
          </w:tcPr>
          <w:p w14:paraId="74498D68">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0.015</w:t>
            </w:r>
          </w:p>
        </w:tc>
        <w:tc>
          <w:tcPr>
            <w:tcW w:w="4724" w:type="dxa"/>
            <w:gridSpan w:val="3"/>
            <w:tcBorders>
              <w:tl2br w:val="nil"/>
              <w:tr2bl w:val="nil"/>
            </w:tcBorders>
            <w:shd w:val="clear" w:color="auto" w:fill="auto"/>
            <w:noWrap w:val="0"/>
            <w:vAlign w:val="center"/>
          </w:tcPr>
          <w:p w14:paraId="22DF7E12">
            <w:pPr>
              <w:pStyle w:val="1358"/>
              <w:bidi w:val="0"/>
              <w:ind w:firstLine="0" w:firstLineChars="0"/>
              <w:rPr>
                <w:rFonts w:hint="eastAsia" w:ascii="Times New Roman" w:hAnsi="Times New Roman" w:eastAsia="宋体" w:cs="Times New Roman"/>
                <w:color w:val="auto"/>
                <w:kern w:val="2"/>
                <w:sz w:val="21"/>
                <w:szCs w:val="24"/>
                <w:highlight w:val="none"/>
                <w:lang w:val="en-GB" w:eastAsia="zh-CN" w:bidi="ar-SA"/>
              </w:rPr>
            </w:pPr>
            <w:r>
              <w:rPr>
                <w:rFonts w:hint="eastAsia"/>
                <w:color w:val="auto"/>
                <w:highlight w:val="none"/>
                <w:lang w:eastAsia="zh-CN"/>
              </w:rPr>
              <w:t>t/a</w:t>
            </w:r>
          </w:p>
        </w:tc>
      </w:tr>
      <w:tr w14:paraId="3648B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shd w:val="clear" w:color="auto" w:fill="auto"/>
            <w:noWrap w:val="0"/>
            <w:vAlign w:val="center"/>
          </w:tcPr>
          <w:p w14:paraId="280D0961">
            <w:pPr>
              <w:pStyle w:val="1321"/>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2.11</w:t>
            </w:r>
          </w:p>
        </w:tc>
        <w:tc>
          <w:tcPr>
            <w:tcW w:w="1748" w:type="dxa"/>
            <w:gridSpan w:val="2"/>
            <w:tcBorders>
              <w:tl2br w:val="nil"/>
              <w:tr2bl w:val="nil"/>
            </w:tcBorders>
            <w:shd w:val="clear" w:color="auto" w:fill="auto"/>
            <w:noWrap w:val="0"/>
            <w:vAlign w:val="center"/>
          </w:tcPr>
          <w:p w14:paraId="5540A94A">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外购零部件（弹片螺母、卡扣等）</w:t>
            </w:r>
          </w:p>
        </w:tc>
        <w:tc>
          <w:tcPr>
            <w:tcW w:w="6857" w:type="dxa"/>
            <w:gridSpan w:val="8"/>
            <w:tcBorders>
              <w:tl2br w:val="nil"/>
              <w:tr2bl w:val="nil"/>
            </w:tcBorders>
            <w:shd w:val="clear" w:color="auto" w:fill="auto"/>
            <w:noWrap w:val="0"/>
            <w:vAlign w:val="center"/>
          </w:tcPr>
          <w:p w14:paraId="7BBD676A">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30</w:t>
            </w:r>
          </w:p>
        </w:tc>
        <w:tc>
          <w:tcPr>
            <w:tcW w:w="4724" w:type="dxa"/>
            <w:gridSpan w:val="3"/>
            <w:tcBorders>
              <w:tl2br w:val="nil"/>
              <w:tr2bl w:val="nil"/>
            </w:tcBorders>
            <w:shd w:val="clear" w:color="auto" w:fill="auto"/>
            <w:noWrap w:val="0"/>
            <w:vAlign w:val="center"/>
          </w:tcPr>
          <w:p w14:paraId="51D59D2C">
            <w:pPr>
              <w:pStyle w:val="1358"/>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万套</w:t>
            </w:r>
            <w:r>
              <w:rPr>
                <w:rFonts w:hint="eastAsia"/>
                <w:color w:val="auto"/>
                <w:highlight w:val="none"/>
                <w:lang w:eastAsia="zh-CN"/>
              </w:rPr>
              <w:t>/</w:t>
            </w:r>
            <w:r>
              <w:rPr>
                <w:rFonts w:hint="eastAsia"/>
                <w:color w:val="auto"/>
                <w:highlight w:val="none"/>
                <w:lang w:val="en-US" w:eastAsia="zh-CN"/>
              </w:rPr>
              <w:t>年</w:t>
            </w:r>
          </w:p>
        </w:tc>
      </w:tr>
      <w:tr w14:paraId="7CBA3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70A751E0">
            <w:pPr>
              <w:pStyle w:val="1321"/>
              <w:rPr>
                <w:b/>
                <w:color w:val="auto"/>
                <w:highlight w:val="none"/>
              </w:rPr>
            </w:pPr>
            <w:r>
              <w:rPr>
                <w:b/>
                <w:color w:val="auto"/>
                <w:highlight w:val="none"/>
              </w:rPr>
              <w:t>三</w:t>
            </w:r>
          </w:p>
        </w:tc>
        <w:tc>
          <w:tcPr>
            <w:tcW w:w="13329" w:type="dxa"/>
            <w:gridSpan w:val="13"/>
            <w:tcBorders>
              <w:tl2br w:val="nil"/>
              <w:tr2bl w:val="nil"/>
            </w:tcBorders>
            <w:noWrap w:val="0"/>
            <w:vAlign w:val="center"/>
          </w:tcPr>
          <w:p w14:paraId="540A0970">
            <w:pPr>
              <w:pStyle w:val="1321"/>
              <w:rPr>
                <w:b/>
                <w:color w:val="auto"/>
                <w:highlight w:val="none"/>
              </w:rPr>
            </w:pPr>
            <w:r>
              <w:rPr>
                <w:b/>
                <w:color w:val="auto"/>
                <w:highlight w:val="none"/>
              </w:rPr>
              <w:t>污染因子及污染防治措施</w:t>
            </w:r>
          </w:p>
        </w:tc>
      </w:tr>
      <w:tr w14:paraId="78160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7" w:type="dxa"/>
            <w:gridSpan w:val="3"/>
            <w:vMerge w:val="restart"/>
            <w:tcBorders>
              <w:tl2br w:val="nil"/>
              <w:tr2bl w:val="nil"/>
            </w:tcBorders>
            <w:noWrap w:val="0"/>
            <w:vAlign w:val="center"/>
          </w:tcPr>
          <w:p w14:paraId="64730CFC">
            <w:pPr>
              <w:pStyle w:val="1405"/>
              <w:bidi w:val="0"/>
              <w:rPr>
                <w:color w:val="auto"/>
                <w:highlight w:val="none"/>
              </w:rPr>
            </w:pPr>
            <w:r>
              <w:rPr>
                <w:color w:val="auto"/>
                <w:highlight w:val="none"/>
              </w:rPr>
              <w:t>控制要求污染物种类</w:t>
            </w:r>
          </w:p>
        </w:tc>
        <w:tc>
          <w:tcPr>
            <w:tcW w:w="1406" w:type="dxa"/>
            <w:vMerge w:val="restart"/>
            <w:tcBorders>
              <w:tl2br w:val="nil"/>
              <w:tr2bl w:val="nil"/>
            </w:tcBorders>
            <w:noWrap w:val="0"/>
            <w:vAlign w:val="center"/>
          </w:tcPr>
          <w:p w14:paraId="5DB16B7D">
            <w:pPr>
              <w:pStyle w:val="1405"/>
              <w:bidi w:val="0"/>
              <w:rPr>
                <w:color w:val="auto"/>
                <w:highlight w:val="none"/>
              </w:rPr>
            </w:pPr>
            <w:r>
              <w:rPr>
                <w:color w:val="auto"/>
                <w:highlight w:val="none"/>
              </w:rPr>
              <w:t>污染</w:t>
            </w:r>
          </w:p>
          <w:p w14:paraId="41F9123A">
            <w:pPr>
              <w:pStyle w:val="1405"/>
              <w:bidi w:val="0"/>
              <w:rPr>
                <w:color w:val="auto"/>
                <w:highlight w:val="none"/>
              </w:rPr>
            </w:pPr>
            <w:r>
              <w:rPr>
                <w:color w:val="auto"/>
                <w:highlight w:val="none"/>
              </w:rPr>
              <w:t>因子</w:t>
            </w:r>
          </w:p>
        </w:tc>
        <w:tc>
          <w:tcPr>
            <w:tcW w:w="1274" w:type="dxa"/>
            <w:gridSpan w:val="2"/>
            <w:vMerge w:val="restart"/>
            <w:tcBorders>
              <w:tl2br w:val="nil"/>
              <w:tr2bl w:val="nil"/>
            </w:tcBorders>
            <w:noWrap w:val="0"/>
            <w:vAlign w:val="center"/>
          </w:tcPr>
          <w:p w14:paraId="48FBDD29">
            <w:pPr>
              <w:pStyle w:val="1405"/>
              <w:bidi w:val="0"/>
              <w:rPr>
                <w:color w:val="auto"/>
                <w:highlight w:val="none"/>
              </w:rPr>
            </w:pPr>
            <w:r>
              <w:rPr>
                <w:color w:val="auto"/>
                <w:highlight w:val="none"/>
              </w:rPr>
              <w:t>污染治理设施</w:t>
            </w:r>
          </w:p>
        </w:tc>
        <w:tc>
          <w:tcPr>
            <w:tcW w:w="921" w:type="dxa"/>
            <w:vMerge w:val="restart"/>
            <w:tcBorders>
              <w:tl2br w:val="nil"/>
              <w:tr2bl w:val="nil"/>
            </w:tcBorders>
            <w:noWrap w:val="0"/>
            <w:vAlign w:val="center"/>
          </w:tcPr>
          <w:p w14:paraId="30A88436">
            <w:pPr>
              <w:pStyle w:val="1405"/>
              <w:bidi w:val="0"/>
              <w:rPr>
                <w:color w:val="auto"/>
                <w:highlight w:val="none"/>
              </w:rPr>
            </w:pPr>
            <w:r>
              <w:rPr>
                <w:color w:val="auto"/>
                <w:highlight w:val="none"/>
              </w:rPr>
              <w:t>运行</w:t>
            </w:r>
          </w:p>
          <w:p w14:paraId="2F43DDD6">
            <w:pPr>
              <w:pStyle w:val="1405"/>
              <w:bidi w:val="0"/>
              <w:rPr>
                <w:color w:val="auto"/>
                <w:highlight w:val="none"/>
              </w:rPr>
            </w:pPr>
            <w:r>
              <w:rPr>
                <w:color w:val="auto"/>
                <w:highlight w:val="none"/>
              </w:rPr>
              <w:t>参数</w:t>
            </w:r>
          </w:p>
        </w:tc>
        <w:tc>
          <w:tcPr>
            <w:tcW w:w="1225" w:type="dxa"/>
            <w:vMerge w:val="restart"/>
            <w:tcBorders>
              <w:tl2br w:val="nil"/>
              <w:tr2bl w:val="nil"/>
            </w:tcBorders>
            <w:noWrap w:val="0"/>
            <w:vAlign w:val="center"/>
          </w:tcPr>
          <w:p w14:paraId="35AF15E9">
            <w:pPr>
              <w:pStyle w:val="1405"/>
              <w:bidi w:val="0"/>
              <w:rPr>
                <w:color w:val="auto"/>
                <w:highlight w:val="none"/>
              </w:rPr>
            </w:pPr>
            <w:r>
              <w:rPr>
                <w:color w:val="auto"/>
                <w:highlight w:val="none"/>
              </w:rPr>
              <w:t>排放形式及排放去向</w:t>
            </w:r>
          </w:p>
        </w:tc>
        <w:tc>
          <w:tcPr>
            <w:tcW w:w="1020" w:type="dxa"/>
            <w:gridSpan w:val="2"/>
            <w:vMerge w:val="restart"/>
            <w:tcBorders>
              <w:tl2br w:val="nil"/>
              <w:tr2bl w:val="nil"/>
            </w:tcBorders>
            <w:noWrap w:val="0"/>
            <w:vAlign w:val="center"/>
          </w:tcPr>
          <w:p w14:paraId="37084FA3">
            <w:pPr>
              <w:pStyle w:val="1405"/>
              <w:bidi w:val="0"/>
              <w:rPr>
                <w:color w:val="auto"/>
                <w:highlight w:val="none"/>
              </w:rPr>
            </w:pPr>
            <w:r>
              <w:rPr>
                <w:color w:val="auto"/>
                <w:highlight w:val="none"/>
              </w:rPr>
              <w:t>排污口信息</w:t>
            </w:r>
          </w:p>
        </w:tc>
        <w:tc>
          <w:tcPr>
            <w:tcW w:w="4784" w:type="dxa"/>
            <w:gridSpan w:val="3"/>
            <w:tcBorders>
              <w:tl2br w:val="nil"/>
              <w:tr2bl w:val="nil"/>
            </w:tcBorders>
            <w:noWrap w:val="0"/>
            <w:vAlign w:val="center"/>
          </w:tcPr>
          <w:p w14:paraId="5A8A6DBA">
            <w:pPr>
              <w:pStyle w:val="1405"/>
              <w:bidi w:val="0"/>
              <w:rPr>
                <w:color w:val="auto"/>
                <w:highlight w:val="none"/>
              </w:rPr>
            </w:pPr>
            <w:r>
              <w:rPr>
                <w:color w:val="auto"/>
                <w:highlight w:val="none"/>
              </w:rPr>
              <w:t>执行的环境标准</w:t>
            </w:r>
          </w:p>
        </w:tc>
        <w:tc>
          <w:tcPr>
            <w:tcW w:w="951" w:type="dxa"/>
            <w:vMerge w:val="restart"/>
            <w:tcBorders>
              <w:tl2br w:val="nil"/>
              <w:tr2bl w:val="nil"/>
            </w:tcBorders>
            <w:noWrap w:val="0"/>
            <w:vAlign w:val="center"/>
          </w:tcPr>
          <w:p w14:paraId="0D34D345">
            <w:pPr>
              <w:pStyle w:val="1405"/>
              <w:bidi w:val="0"/>
              <w:rPr>
                <w:color w:val="auto"/>
                <w:highlight w:val="none"/>
              </w:rPr>
            </w:pPr>
            <w:r>
              <w:rPr>
                <w:color w:val="auto"/>
                <w:highlight w:val="none"/>
              </w:rPr>
              <w:t>总量控制指标</w:t>
            </w:r>
          </w:p>
        </w:tc>
      </w:tr>
      <w:tr w14:paraId="5912D8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7" w:type="dxa"/>
            <w:gridSpan w:val="3"/>
            <w:vMerge w:val="continue"/>
            <w:tcBorders>
              <w:tl2br w:val="nil"/>
              <w:tr2bl w:val="nil"/>
            </w:tcBorders>
            <w:noWrap w:val="0"/>
            <w:vAlign w:val="center"/>
          </w:tcPr>
          <w:p w14:paraId="152C3683">
            <w:pPr>
              <w:pStyle w:val="1405"/>
              <w:bidi w:val="0"/>
              <w:rPr>
                <w:color w:val="auto"/>
                <w:highlight w:val="none"/>
              </w:rPr>
            </w:pPr>
          </w:p>
        </w:tc>
        <w:tc>
          <w:tcPr>
            <w:tcW w:w="1406" w:type="dxa"/>
            <w:vMerge w:val="continue"/>
            <w:tcBorders>
              <w:tl2br w:val="nil"/>
              <w:tr2bl w:val="nil"/>
            </w:tcBorders>
            <w:noWrap w:val="0"/>
            <w:vAlign w:val="center"/>
          </w:tcPr>
          <w:p w14:paraId="3252FA76">
            <w:pPr>
              <w:pStyle w:val="1405"/>
              <w:bidi w:val="0"/>
              <w:rPr>
                <w:color w:val="auto"/>
                <w:highlight w:val="none"/>
              </w:rPr>
            </w:pPr>
          </w:p>
        </w:tc>
        <w:tc>
          <w:tcPr>
            <w:tcW w:w="1274" w:type="dxa"/>
            <w:gridSpan w:val="2"/>
            <w:vMerge w:val="continue"/>
            <w:tcBorders>
              <w:tl2br w:val="nil"/>
              <w:tr2bl w:val="nil"/>
            </w:tcBorders>
            <w:noWrap w:val="0"/>
            <w:vAlign w:val="center"/>
          </w:tcPr>
          <w:p w14:paraId="2332A667">
            <w:pPr>
              <w:pStyle w:val="1405"/>
              <w:bidi w:val="0"/>
              <w:rPr>
                <w:color w:val="auto"/>
                <w:highlight w:val="none"/>
              </w:rPr>
            </w:pPr>
          </w:p>
        </w:tc>
        <w:tc>
          <w:tcPr>
            <w:tcW w:w="921" w:type="dxa"/>
            <w:vMerge w:val="continue"/>
            <w:tcBorders>
              <w:tl2br w:val="nil"/>
              <w:tr2bl w:val="nil"/>
            </w:tcBorders>
            <w:noWrap w:val="0"/>
            <w:vAlign w:val="center"/>
          </w:tcPr>
          <w:p w14:paraId="4B95BA45">
            <w:pPr>
              <w:pStyle w:val="1405"/>
              <w:bidi w:val="0"/>
              <w:rPr>
                <w:color w:val="auto"/>
                <w:highlight w:val="none"/>
              </w:rPr>
            </w:pPr>
          </w:p>
        </w:tc>
        <w:tc>
          <w:tcPr>
            <w:tcW w:w="1225" w:type="dxa"/>
            <w:vMerge w:val="continue"/>
            <w:tcBorders>
              <w:tl2br w:val="nil"/>
              <w:tr2bl w:val="nil"/>
            </w:tcBorders>
            <w:noWrap w:val="0"/>
            <w:vAlign w:val="center"/>
          </w:tcPr>
          <w:p w14:paraId="01F44CC2">
            <w:pPr>
              <w:pStyle w:val="1405"/>
              <w:bidi w:val="0"/>
              <w:rPr>
                <w:color w:val="auto"/>
                <w:highlight w:val="none"/>
              </w:rPr>
            </w:pPr>
          </w:p>
        </w:tc>
        <w:tc>
          <w:tcPr>
            <w:tcW w:w="1020" w:type="dxa"/>
            <w:gridSpan w:val="2"/>
            <w:vMerge w:val="continue"/>
            <w:tcBorders>
              <w:tl2br w:val="nil"/>
              <w:tr2bl w:val="nil"/>
            </w:tcBorders>
            <w:noWrap w:val="0"/>
            <w:vAlign w:val="center"/>
          </w:tcPr>
          <w:p w14:paraId="494EE72F">
            <w:pPr>
              <w:pStyle w:val="1405"/>
              <w:bidi w:val="0"/>
              <w:rPr>
                <w:color w:val="auto"/>
                <w:highlight w:val="none"/>
              </w:rPr>
            </w:pPr>
          </w:p>
        </w:tc>
        <w:tc>
          <w:tcPr>
            <w:tcW w:w="3144" w:type="dxa"/>
            <w:gridSpan w:val="2"/>
            <w:tcBorders>
              <w:tl2br w:val="nil"/>
              <w:tr2bl w:val="nil"/>
            </w:tcBorders>
            <w:noWrap w:val="0"/>
            <w:vAlign w:val="center"/>
          </w:tcPr>
          <w:p w14:paraId="71994C73">
            <w:pPr>
              <w:pStyle w:val="1405"/>
              <w:bidi w:val="0"/>
              <w:rPr>
                <w:color w:val="auto"/>
                <w:highlight w:val="none"/>
              </w:rPr>
            </w:pPr>
            <w:r>
              <w:rPr>
                <w:color w:val="auto"/>
                <w:highlight w:val="none"/>
              </w:rPr>
              <w:t>污染物排放标准</w:t>
            </w:r>
          </w:p>
        </w:tc>
        <w:tc>
          <w:tcPr>
            <w:tcW w:w="1640" w:type="dxa"/>
            <w:tcBorders>
              <w:tl2br w:val="nil"/>
              <w:tr2bl w:val="nil"/>
            </w:tcBorders>
            <w:noWrap w:val="0"/>
            <w:vAlign w:val="center"/>
          </w:tcPr>
          <w:p w14:paraId="4AF0C15F">
            <w:pPr>
              <w:pStyle w:val="1405"/>
              <w:bidi w:val="0"/>
              <w:rPr>
                <w:color w:val="auto"/>
                <w:highlight w:val="none"/>
              </w:rPr>
            </w:pPr>
            <w:r>
              <w:rPr>
                <w:color w:val="auto"/>
                <w:highlight w:val="none"/>
              </w:rPr>
              <w:t>环境质量标准</w:t>
            </w:r>
          </w:p>
        </w:tc>
        <w:tc>
          <w:tcPr>
            <w:tcW w:w="951" w:type="dxa"/>
            <w:vMerge w:val="continue"/>
            <w:tcBorders>
              <w:tl2br w:val="nil"/>
              <w:tr2bl w:val="nil"/>
            </w:tcBorders>
            <w:noWrap w:val="0"/>
            <w:vAlign w:val="center"/>
          </w:tcPr>
          <w:p w14:paraId="0639CCFF">
            <w:pPr>
              <w:pStyle w:val="1405"/>
              <w:bidi w:val="0"/>
              <w:rPr>
                <w:color w:val="auto"/>
                <w:highlight w:val="none"/>
              </w:rPr>
            </w:pPr>
          </w:p>
        </w:tc>
      </w:tr>
      <w:tr w14:paraId="2D2E1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355A301C">
            <w:pPr>
              <w:pStyle w:val="1405"/>
              <w:bidi w:val="0"/>
              <w:rPr>
                <w:color w:val="auto"/>
                <w:highlight w:val="none"/>
              </w:rPr>
            </w:pPr>
            <w:r>
              <w:rPr>
                <w:color w:val="auto"/>
                <w:highlight w:val="none"/>
              </w:rPr>
              <w:t>3.1</w:t>
            </w:r>
          </w:p>
        </w:tc>
        <w:tc>
          <w:tcPr>
            <w:tcW w:w="13329" w:type="dxa"/>
            <w:gridSpan w:val="13"/>
            <w:tcBorders>
              <w:tl2br w:val="nil"/>
              <w:tr2bl w:val="nil"/>
            </w:tcBorders>
            <w:noWrap w:val="0"/>
            <w:vAlign w:val="center"/>
          </w:tcPr>
          <w:p w14:paraId="3B7AD7B7">
            <w:pPr>
              <w:pStyle w:val="1405"/>
              <w:bidi w:val="0"/>
              <w:rPr>
                <w:color w:val="auto"/>
                <w:highlight w:val="none"/>
              </w:rPr>
            </w:pPr>
            <w:r>
              <w:rPr>
                <w:color w:val="auto"/>
                <w:highlight w:val="none"/>
              </w:rPr>
              <w:t>废气</w:t>
            </w:r>
          </w:p>
        </w:tc>
      </w:tr>
      <w:tr w14:paraId="75747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3C48A180">
            <w:pPr>
              <w:pStyle w:val="1405"/>
              <w:bidi w:val="0"/>
              <w:rPr>
                <w:rFonts w:hint="default" w:eastAsia="宋体"/>
                <w:color w:val="auto"/>
                <w:highlight w:val="none"/>
                <w:lang w:val="en-US" w:eastAsia="zh-CN"/>
              </w:rPr>
            </w:pPr>
            <w:r>
              <w:rPr>
                <w:rFonts w:hint="eastAsia"/>
                <w:color w:val="auto"/>
                <w:highlight w:val="none"/>
                <w:lang w:val="en-US" w:eastAsia="zh-CN"/>
              </w:rPr>
              <w:t>3.1.1</w:t>
            </w:r>
          </w:p>
        </w:tc>
        <w:tc>
          <w:tcPr>
            <w:tcW w:w="1126" w:type="dxa"/>
            <w:tcBorders>
              <w:tl2br w:val="nil"/>
              <w:tr2bl w:val="nil"/>
            </w:tcBorders>
            <w:noWrap w:val="0"/>
            <w:vAlign w:val="center"/>
          </w:tcPr>
          <w:p w14:paraId="670CDEA6">
            <w:pPr>
              <w:pStyle w:val="1405"/>
              <w:bidi w:val="0"/>
              <w:rPr>
                <w:rFonts w:hint="default" w:eastAsia="宋体"/>
                <w:color w:val="auto"/>
                <w:highlight w:val="none"/>
                <w:lang w:val="en-US" w:eastAsia="zh-CN"/>
              </w:rPr>
            </w:pPr>
            <w:r>
              <w:rPr>
                <w:rFonts w:hint="eastAsia"/>
                <w:color w:val="auto"/>
                <w:highlight w:val="none"/>
                <w:lang w:eastAsia="zh-CN"/>
              </w:rPr>
              <w:t>喷漆、流平、烘干</w:t>
            </w:r>
            <w:r>
              <w:rPr>
                <w:rFonts w:hint="eastAsia"/>
                <w:color w:val="auto"/>
                <w:highlight w:val="none"/>
                <w:lang w:val="en-US" w:eastAsia="zh-CN"/>
              </w:rPr>
              <w:t>及喷枪清洗</w:t>
            </w:r>
            <w:r>
              <w:rPr>
                <w:color w:val="auto"/>
                <w:highlight w:val="none"/>
              </w:rPr>
              <w:t>工序有机废气</w:t>
            </w:r>
            <w:r>
              <w:rPr>
                <w:rFonts w:hint="eastAsia"/>
                <w:color w:val="auto"/>
                <w:highlight w:val="none"/>
                <w:lang w:eastAsia="zh-CN"/>
              </w:rPr>
              <w:t>；</w:t>
            </w:r>
            <w:r>
              <w:rPr>
                <w:rFonts w:hint="eastAsia"/>
                <w:color w:val="auto"/>
                <w:highlight w:val="none"/>
                <w:lang w:val="en-US" w:eastAsia="zh-CN"/>
              </w:rPr>
              <w:t>固化炉、RTO焚烧炉天然气燃烧废气</w:t>
            </w:r>
          </w:p>
        </w:tc>
        <w:tc>
          <w:tcPr>
            <w:tcW w:w="622" w:type="dxa"/>
            <w:vMerge w:val="restart"/>
            <w:tcBorders>
              <w:tl2br w:val="nil"/>
              <w:tr2bl w:val="nil"/>
            </w:tcBorders>
            <w:noWrap w:val="0"/>
            <w:vAlign w:val="center"/>
          </w:tcPr>
          <w:p w14:paraId="445E7AB8">
            <w:pPr>
              <w:pStyle w:val="1405"/>
              <w:bidi w:val="0"/>
              <w:rPr>
                <w:rFonts w:hint="eastAsia" w:eastAsia="宋体"/>
                <w:color w:val="auto"/>
                <w:highlight w:val="none"/>
                <w:lang w:val="en-US" w:eastAsia="zh-CN"/>
              </w:rPr>
            </w:pPr>
            <w:r>
              <w:rPr>
                <w:rFonts w:hint="eastAsia"/>
                <w:color w:val="auto"/>
                <w:highlight w:val="none"/>
                <w:lang w:val="en-US" w:eastAsia="zh-CN"/>
              </w:rPr>
              <w:t>有组织</w:t>
            </w:r>
          </w:p>
        </w:tc>
        <w:tc>
          <w:tcPr>
            <w:tcW w:w="1406" w:type="dxa"/>
            <w:tcBorders>
              <w:tl2br w:val="nil"/>
              <w:tr2bl w:val="nil"/>
            </w:tcBorders>
            <w:noWrap w:val="0"/>
            <w:vAlign w:val="center"/>
          </w:tcPr>
          <w:p w14:paraId="56D55CCA">
            <w:pPr>
              <w:pStyle w:val="1405"/>
              <w:bidi w:val="0"/>
              <w:rPr>
                <w:rFonts w:hint="default"/>
                <w:color w:val="auto"/>
                <w:highlight w:val="none"/>
                <w:lang w:val="en-US" w:eastAsia="zh-CN"/>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颗粒物、二甲苯、</w:t>
            </w:r>
            <w:r>
              <w:rPr>
                <w:rFonts w:hint="eastAsia"/>
                <w:color w:val="auto"/>
                <w:highlight w:val="none"/>
                <w:lang w:eastAsia="zh-CN"/>
              </w:rPr>
              <w:t>乙酸乙酯与乙酸丁酯合计</w:t>
            </w:r>
            <w:r>
              <w:rPr>
                <w:rFonts w:hint="eastAsia"/>
                <w:color w:val="auto"/>
                <w:highlight w:val="none"/>
                <w:lang w:val="en-US" w:eastAsia="zh-CN"/>
              </w:rPr>
              <w:t>、SO</w:t>
            </w:r>
            <w:r>
              <w:rPr>
                <w:rFonts w:hint="eastAsia"/>
                <w:color w:val="auto"/>
                <w:highlight w:val="none"/>
                <w:vertAlign w:val="subscript"/>
                <w:lang w:val="en-US" w:eastAsia="zh-CN"/>
              </w:rPr>
              <w:t>2</w:t>
            </w:r>
            <w:r>
              <w:rPr>
                <w:rFonts w:hint="eastAsia"/>
                <w:color w:val="auto"/>
                <w:highlight w:val="none"/>
                <w:lang w:val="en-US" w:eastAsia="zh-CN"/>
              </w:rPr>
              <w:t>、NOx、颗粒物、烟气黑度</w:t>
            </w:r>
          </w:p>
        </w:tc>
        <w:tc>
          <w:tcPr>
            <w:tcW w:w="1274" w:type="dxa"/>
            <w:gridSpan w:val="2"/>
            <w:tcBorders>
              <w:tl2br w:val="nil"/>
              <w:tr2bl w:val="nil"/>
            </w:tcBorders>
            <w:noWrap w:val="0"/>
            <w:vAlign w:val="center"/>
          </w:tcPr>
          <w:p w14:paraId="5CFFCC85">
            <w:pPr>
              <w:pStyle w:val="1405"/>
              <w:bidi w:val="0"/>
              <w:rPr>
                <w:rFonts w:hint="default" w:eastAsia="宋体"/>
                <w:color w:val="auto"/>
                <w:highlight w:val="none"/>
                <w:lang w:val="en-US" w:eastAsia="zh-CN"/>
              </w:rPr>
            </w:pPr>
            <w:r>
              <w:rPr>
                <w:rFonts w:hint="eastAsia"/>
                <w:color w:val="auto"/>
                <w:highlight w:val="none"/>
                <w:lang w:val="en-US" w:eastAsia="zh-CN"/>
              </w:rPr>
              <w:t>负压收集+干式纸盒+过滤棉过滤+RTO蓄热式焚烧炉+20m排气筒DA001</w:t>
            </w:r>
          </w:p>
        </w:tc>
        <w:tc>
          <w:tcPr>
            <w:tcW w:w="921" w:type="dxa"/>
            <w:tcBorders>
              <w:tl2br w:val="nil"/>
              <w:tr2bl w:val="nil"/>
            </w:tcBorders>
            <w:noWrap w:val="0"/>
            <w:vAlign w:val="center"/>
          </w:tcPr>
          <w:p w14:paraId="1B7932B8">
            <w:pPr>
              <w:pStyle w:val="1405"/>
              <w:bidi w:val="0"/>
              <w:rPr>
                <w:rFonts w:hint="default" w:eastAsia="宋体"/>
                <w:color w:val="auto"/>
                <w:highlight w:val="none"/>
                <w:lang w:val="en-US" w:eastAsia="zh-CN"/>
              </w:rPr>
            </w:pPr>
            <w:r>
              <w:rPr>
                <w:rFonts w:hint="eastAsia"/>
                <w:color w:val="auto"/>
                <w:highlight w:val="none"/>
                <w:lang w:val="en-US" w:eastAsia="zh-CN"/>
              </w:rPr>
              <w:t>25000m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noWrap w:val="0"/>
            <w:vAlign w:val="center"/>
          </w:tcPr>
          <w:p w14:paraId="523306AF">
            <w:pPr>
              <w:pStyle w:val="1321"/>
              <w:ind w:firstLine="0" w:firstLineChars="0"/>
              <w:rPr>
                <w:color w:val="auto"/>
                <w:highlight w:val="none"/>
              </w:rPr>
            </w:pPr>
            <w:r>
              <w:rPr>
                <w:rFonts w:hint="eastAsia"/>
                <w:color w:val="auto"/>
                <w:highlight w:val="none"/>
                <w:lang w:val="en-US" w:eastAsia="zh-CN"/>
              </w:rPr>
              <w:t>20</w:t>
            </w:r>
            <w:r>
              <w:rPr>
                <w:color w:val="auto"/>
                <w:highlight w:val="none"/>
              </w:rPr>
              <w:t>m高排气筒</w:t>
            </w:r>
          </w:p>
        </w:tc>
        <w:tc>
          <w:tcPr>
            <w:tcW w:w="1020" w:type="dxa"/>
            <w:gridSpan w:val="2"/>
            <w:tcBorders>
              <w:tl2br w:val="nil"/>
              <w:tr2bl w:val="nil"/>
            </w:tcBorders>
            <w:noWrap w:val="0"/>
            <w:vAlign w:val="center"/>
          </w:tcPr>
          <w:p w14:paraId="2ACAE6B7">
            <w:pPr>
              <w:pStyle w:val="1321"/>
              <w:ind w:firstLine="0" w:firstLineChars="0"/>
              <w:rPr>
                <w:color w:val="auto"/>
                <w:highlight w:val="none"/>
              </w:rPr>
            </w:pPr>
            <w:r>
              <w:rPr>
                <w:color w:val="auto"/>
                <w:highlight w:val="none"/>
              </w:rPr>
              <w:t>内径</w:t>
            </w:r>
            <w:r>
              <w:rPr>
                <w:rFonts w:hint="eastAsia"/>
                <w:color w:val="auto"/>
                <w:highlight w:val="none"/>
                <w:lang w:val="en-US" w:eastAsia="zh-CN"/>
              </w:rPr>
              <w:t>0.9</w:t>
            </w:r>
            <w:r>
              <w:rPr>
                <w:color w:val="auto"/>
                <w:highlight w:val="none"/>
              </w:rPr>
              <w:t>m</w:t>
            </w:r>
          </w:p>
        </w:tc>
        <w:tc>
          <w:tcPr>
            <w:tcW w:w="3144" w:type="dxa"/>
            <w:gridSpan w:val="2"/>
            <w:tcBorders>
              <w:tl2br w:val="nil"/>
              <w:tr2bl w:val="nil"/>
            </w:tcBorders>
            <w:noWrap w:val="0"/>
            <w:vAlign w:val="center"/>
          </w:tcPr>
          <w:p w14:paraId="752F9B1C">
            <w:pPr>
              <w:pStyle w:val="1405"/>
              <w:bidi w:val="0"/>
              <w:rPr>
                <w:rFonts w:hint="default" w:eastAsia="宋体"/>
                <w:color w:val="auto"/>
                <w:highlight w:val="none"/>
                <w:lang w:val="en-US" w:eastAsia="zh-CN"/>
              </w:rPr>
            </w:pPr>
            <w:r>
              <w:rPr>
                <w:rFonts w:hint="eastAsia"/>
                <w:color w:val="auto"/>
                <w:highlight w:val="none"/>
                <w:lang w:eastAsia="zh-CN"/>
              </w:rPr>
              <w:t>《工业涂装工序挥发性有机物排放标准》（DB35/1783-2018）表1“汽车整车制造”排放限值；《大气污染物综合排放标准》（GB16297-1996）表2中二级标准</w:t>
            </w:r>
            <w:r>
              <w:rPr>
                <w:rFonts w:hint="eastAsia"/>
                <w:color w:val="auto"/>
                <w:highlight w:val="none"/>
                <w:lang w:val="en-US" w:eastAsia="zh-CN"/>
              </w:rPr>
              <w:t>；《福建省工业炉窑大气污染综合治理方案》（闽环保大气〔2019〕10号）鼓励排放限值；《工业炉窑大气污染物排放标准》（GB9078-1996）表2限值</w:t>
            </w:r>
          </w:p>
        </w:tc>
        <w:tc>
          <w:tcPr>
            <w:tcW w:w="1640" w:type="dxa"/>
            <w:vMerge w:val="restart"/>
            <w:tcBorders>
              <w:tl2br w:val="nil"/>
              <w:tr2bl w:val="nil"/>
            </w:tcBorders>
            <w:noWrap w:val="0"/>
            <w:vAlign w:val="center"/>
          </w:tcPr>
          <w:p w14:paraId="2BB8B038">
            <w:pPr>
              <w:pStyle w:val="1405"/>
              <w:bidi w:val="0"/>
              <w:rPr>
                <w:rFonts w:hint="eastAsia" w:eastAsia="宋体"/>
                <w:color w:val="auto"/>
                <w:highlight w:val="none"/>
                <w:lang w:eastAsia="zh-CN"/>
              </w:rPr>
            </w:pPr>
            <w:r>
              <w:rPr>
                <w:color w:val="auto"/>
                <w:highlight w:val="none"/>
              </w:rPr>
              <w:t>《环境空气质量标准》（GB3095-2026）</w:t>
            </w:r>
            <w:r>
              <w:rPr>
                <w:rFonts w:hint="eastAsia"/>
                <w:color w:val="auto"/>
                <w:highlight w:val="none"/>
                <w:lang w:val="en-US" w:eastAsia="zh-CN"/>
              </w:rPr>
              <w:t>中</w:t>
            </w:r>
            <w:r>
              <w:rPr>
                <w:rFonts w:hint="eastAsia" w:ascii="Times New Roman" w:hAnsi="Times New Roman" w:eastAsia="宋体" w:cs="Times New Roman"/>
                <w:color w:val="auto"/>
                <w:kern w:val="2"/>
                <w:sz w:val="21"/>
                <w:szCs w:val="24"/>
                <w:highlight w:val="none"/>
                <w:lang w:val="en-US" w:eastAsia="zh-CN" w:bidi="ar-SA"/>
              </w:rPr>
              <w:t>表1过渡阶段</w:t>
            </w:r>
            <w:r>
              <w:rPr>
                <w:rFonts w:hint="eastAsia"/>
                <w:color w:val="auto"/>
                <w:highlight w:val="none"/>
                <w:lang w:val="en-US" w:eastAsia="zh-CN"/>
              </w:rPr>
              <w:t>（</w:t>
            </w:r>
            <w:r>
              <w:rPr>
                <w:rFonts w:hint="eastAsia"/>
                <w:color w:val="auto"/>
                <w:highlight w:val="none"/>
              </w:rPr>
              <w:t>2026年3月1日至2030年12月31日</w:t>
            </w:r>
            <w:r>
              <w:rPr>
                <w:rFonts w:hint="eastAsia"/>
                <w:color w:val="auto"/>
                <w:highlight w:val="none"/>
                <w:lang w:val="en-US" w:eastAsia="zh-CN"/>
              </w:rPr>
              <w:t>）</w:t>
            </w:r>
            <w:r>
              <w:rPr>
                <w:rFonts w:hint="eastAsia" w:ascii="Times New Roman" w:hAnsi="Times New Roman" w:eastAsia="宋体" w:cs="Times New Roman"/>
                <w:color w:val="auto"/>
                <w:kern w:val="2"/>
                <w:sz w:val="21"/>
                <w:szCs w:val="24"/>
                <w:highlight w:val="none"/>
                <w:lang w:val="en-US" w:eastAsia="zh-CN" w:bidi="ar-SA"/>
              </w:rPr>
              <w:t>二级浓度限值</w:t>
            </w:r>
            <w:r>
              <w:rPr>
                <w:rFonts w:hint="eastAsia" w:eastAsia="宋体" w:cs="Times New Roman"/>
                <w:color w:val="auto"/>
                <w:kern w:val="2"/>
                <w:sz w:val="21"/>
                <w:szCs w:val="24"/>
                <w:highlight w:val="none"/>
                <w:lang w:val="en-US" w:eastAsia="zh-CN" w:bidi="ar-SA"/>
              </w:rPr>
              <w:t>和</w:t>
            </w:r>
            <w:r>
              <w:rPr>
                <w:rFonts w:hint="eastAsia"/>
                <w:color w:val="auto"/>
                <w:highlight w:val="none"/>
                <w:lang w:val="en-US" w:eastAsia="zh-CN"/>
              </w:rPr>
              <w:t>表2环境空气污染物其他项目浓度限值；</w:t>
            </w:r>
            <w:r>
              <w:rPr>
                <w:color w:val="auto"/>
                <w:highlight w:val="none"/>
              </w:rPr>
              <w:t>《大气污染物综合排放标准详解》中C</w:t>
            </w:r>
            <w:r>
              <w:rPr>
                <w:color w:val="auto"/>
                <w:highlight w:val="none"/>
                <w:vertAlign w:val="subscript"/>
              </w:rPr>
              <w:t>m</w:t>
            </w:r>
            <w:r>
              <w:rPr>
                <w:color w:val="auto"/>
                <w:highlight w:val="none"/>
              </w:rPr>
              <w:t>取值规定作为质量标准参考值</w:t>
            </w:r>
            <w:r>
              <w:rPr>
                <w:rFonts w:hint="eastAsia"/>
                <w:color w:val="auto"/>
                <w:highlight w:val="none"/>
                <w:lang w:eastAsia="zh-CN"/>
              </w:rPr>
              <w:t>；</w:t>
            </w:r>
            <w:r>
              <w:rPr>
                <w:rFonts w:hint="eastAsia"/>
                <w:color w:val="auto"/>
                <w:highlight w:val="none"/>
              </w:rPr>
              <w:t>《环境影响评价技术导则大气环境》（HJ2.2-2018）</w:t>
            </w:r>
            <w:r>
              <w:rPr>
                <w:rFonts w:hint="eastAsia"/>
                <w:color w:val="auto"/>
                <w:highlight w:val="none"/>
                <w:lang w:val="en-US" w:eastAsia="zh-CN"/>
              </w:rPr>
              <w:t>附录D标准限值</w:t>
            </w:r>
          </w:p>
        </w:tc>
        <w:tc>
          <w:tcPr>
            <w:tcW w:w="951" w:type="dxa"/>
            <w:vMerge w:val="restart"/>
            <w:tcBorders>
              <w:tl2br w:val="nil"/>
              <w:tr2bl w:val="nil"/>
            </w:tcBorders>
            <w:noWrap w:val="0"/>
            <w:vAlign w:val="center"/>
          </w:tcPr>
          <w:p w14:paraId="64984907">
            <w:pPr>
              <w:pStyle w:val="1358"/>
              <w:rPr>
                <w:rFonts w:hint="default" w:eastAsia="宋体"/>
                <w:color w:val="auto"/>
                <w:highlight w:val="none"/>
                <w:lang w:val="en-US" w:eastAsia="zh-CN"/>
              </w:rPr>
            </w:pPr>
          </w:p>
        </w:tc>
      </w:tr>
      <w:tr w14:paraId="5D068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41AC20AF">
            <w:pPr>
              <w:pStyle w:val="1405"/>
              <w:bidi w:val="0"/>
              <w:rPr>
                <w:rFonts w:hint="default"/>
                <w:color w:val="auto"/>
                <w:highlight w:val="none"/>
                <w:lang w:val="en-US" w:eastAsia="zh-CN"/>
              </w:rPr>
            </w:pPr>
            <w:r>
              <w:rPr>
                <w:rFonts w:hint="eastAsia"/>
                <w:color w:val="auto"/>
                <w:highlight w:val="none"/>
                <w:lang w:val="en-US" w:eastAsia="zh-CN"/>
              </w:rPr>
              <w:t>3.1.2</w:t>
            </w:r>
          </w:p>
        </w:tc>
        <w:tc>
          <w:tcPr>
            <w:tcW w:w="1126" w:type="dxa"/>
            <w:tcBorders>
              <w:tl2br w:val="nil"/>
              <w:tr2bl w:val="nil"/>
            </w:tcBorders>
            <w:noWrap w:val="0"/>
            <w:vAlign w:val="center"/>
          </w:tcPr>
          <w:p w14:paraId="0C3E9583">
            <w:pPr>
              <w:pStyle w:val="1405"/>
              <w:bidi w:val="0"/>
              <w:rPr>
                <w:rFonts w:hint="default"/>
                <w:color w:val="auto"/>
                <w:highlight w:val="none"/>
                <w:lang w:val="en-US" w:eastAsia="zh-CN"/>
              </w:rPr>
            </w:pPr>
            <w:r>
              <w:rPr>
                <w:rFonts w:hint="eastAsia"/>
                <w:color w:val="auto"/>
                <w:highlight w:val="none"/>
                <w:lang w:val="en-US" w:eastAsia="zh-CN"/>
              </w:rPr>
              <w:t>调漆工序有机废气</w:t>
            </w:r>
          </w:p>
        </w:tc>
        <w:tc>
          <w:tcPr>
            <w:tcW w:w="622" w:type="dxa"/>
            <w:vMerge w:val="continue"/>
            <w:tcBorders>
              <w:tl2br w:val="nil"/>
              <w:tr2bl w:val="nil"/>
            </w:tcBorders>
            <w:noWrap w:val="0"/>
            <w:vAlign w:val="center"/>
          </w:tcPr>
          <w:p w14:paraId="44A60BFF">
            <w:pPr>
              <w:pStyle w:val="1405"/>
              <w:bidi w:val="0"/>
              <w:rPr>
                <w:rFonts w:hint="eastAsia"/>
                <w:color w:val="auto"/>
                <w:highlight w:val="none"/>
                <w:lang w:val="en-US" w:eastAsia="zh-CN"/>
              </w:rPr>
            </w:pPr>
          </w:p>
        </w:tc>
        <w:tc>
          <w:tcPr>
            <w:tcW w:w="1406" w:type="dxa"/>
            <w:tcBorders>
              <w:tl2br w:val="nil"/>
              <w:tr2bl w:val="nil"/>
            </w:tcBorders>
            <w:noWrap w:val="0"/>
            <w:vAlign w:val="center"/>
          </w:tcPr>
          <w:p w14:paraId="562D716C">
            <w:pPr>
              <w:pStyle w:val="1405"/>
              <w:bidi w:val="0"/>
              <w:rPr>
                <w:color w:val="auto"/>
                <w:highlight w:val="none"/>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二甲苯、</w:t>
            </w:r>
            <w:r>
              <w:rPr>
                <w:rFonts w:hint="eastAsia"/>
                <w:color w:val="auto"/>
                <w:highlight w:val="none"/>
                <w:lang w:eastAsia="zh-CN"/>
              </w:rPr>
              <w:t>乙酸乙酯与乙酸丁酯合计</w:t>
            </w:r>
          </w:p>
        </w:tc>
        <w:tc>
          <w:tcPr>
            <w:tcW w:w="1274" w:type="dxa"/>
            <w:gridSpan w:val="2"/>
            <w:tcBorders>
              <w:tl2br w:val="nil"/>
              <w:tr2bl w:val="nil"/>
            </w:tcBorders>
            <w:noWrap w:val="0"/>
            <w:vAlign w:val="center"/>
          </w:tcPr>
          <w:p w14:paraId="4E59A03B">
            <w:pPr>
              <w:pStyle w:val="1405"/>
              <w:bidi w:val="0"/>
              <w:rPr>
                <w:rFonts w:hint="eastAsia"/>
                <w:color w:val="auto"/>
                <w:highlight w:val="none"/>
                <w:lang w:val="en-US" w:eastAsia="zh-CN"/>
              </w:rPr>
            </w:pPr>
            <w:r>
              <w:rPr>
                <w:rFonts w:hint="eastAsia"/>
                <w:color w:val="auto"/>
                <w:highlight w:val="none"/>
                <w:lang w:val="en-US" w:eastAsia="zh-CN"/>
              </w:rPr>
              <w:t>负压收集+二级活性炭吸附装置+20m排气筒DA002</w:t>
            </w:r>
          </w:p>
        </w:tc>
        <w:tc>
          <w:tcPr>
            <w:tcW w:w="921" w:type="dxa"/>
            <w:tcBorders>
              <w:tl2br w:val="nil"/>
              <w:tr2bl w:val="nil"/>
            </w:tcBorders>
            <w:noWrap w:val="0"/>
            <w:vAlign w:val="center"/>
          </w:tcPr>
          <w:p w14:paraId="77A15A0F">
            <w:pPr>
              <w:pStyle w:val="1405"/>
              <w:bidi w:val="0"/>
              <w:rPr>
                <w:rFonts w:hint="default"/>
                <w:color w:val="auto"/>
                <w:highlight w:val="none"/>
                <w:lang w:val="en-US" w:eastAsia="zh-CN"/>
              </w:rPr>
            </w:pPr>
            <w:r>
              <w:rPr>
                <w:rFonts w:hint="eastAsia"/>
                <w:color w:val="auto"/>
                <w:highlight w:val="none"/>
                <w:lang w:val="en-US" w:eastAsia="zh-CN"/>
              </w:rPr>
              <w:t>6000m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noWrap w:val="0"/>
            <w:vAlign w:val="center"/>
          </w:tcPr>
          <w:p w14:paraId="03233C7A">
            <w:pPr>
              <w:pStyle w:val="1321"/>
              <w:ind w:firstLine="0" w:firstLineChars="0"/>
              <w:rPr>
                <w:rFonts w:hint="eastAsia"/>
                <w:color w:val="auto"/>
                <w:highlight w:val="none"/>
                <w:lang w:val="en-US" w:eastAsia="zh-CN"/>
              </w:rPr>
            </w:pPr>
            <w:r>
              <w:rPr>
                <w:rFonts w:hint="eastAsia"/>
                <w:color w:val="auto"/>
                <w:highlight w:val="none"/>
                <w:lang w:val="en-US" w:eastAsia="zh-CN"/>
              </w:rPr>
              <w:t>20</w:t>
            </w:r>
            <w:r>
              <w:rPr>
                <w:color w:val="auto"/>
                <w:highlight w:val="none"/>
              </w:rPr>
              <w:t>m高排气筒</w:t>
            </w:r>
          </w:p>
        </w:tc>
        <w:tc>
          <w:tcPr>
            <w:tcW w:w="1020" w:type="dxa"/>
            <w:gridSpan w:val="2"/>
            <w:tcBorders>
              <w:tl2br w:val="nil"/>
              <w:tr2bl w:val="nil"/>
            </w:tcBorders>
            <w:noWrap w:val="0"/>
            <w:vAlign w:val="center"/>
          </w:tcPr>
          <w:p w14:paraId="2C825694">
            <w:pPr>
              <w:pStyle w:val="1321"/>
              <w:ind w:firstLine="0" w:firstLineChars="0"/>
              <w:rPr>
                <w:color w:val="auto"/>
                <w:highlight w:val="none"/>
              </w:rPr>
            </w:pPr>
            <w:r>
              <w:rPr>
                <w:color w:val="auto"/>
                <w:highlight w:val="none"/>
              </w:rPr>
              <w:t>内径</w:t>
            </w:r>
            <w:r>
              <w:rPr>
                <w:rFonts w:hint="eastAsia"/>
                <w:color w:val="auto"/>
                <w:highlight w:val="none"/>
                <w:lang w:val="en-US" w:eastAsia="zh-CN"/>
              </w:rPr>
              <w:t>0.5</w:t>
            </w:r>
            <w:r>
              <w:rPr>
                <w:color w:val="auto"/>
                <w:highlight w:val="none"/>
              </w:rPr>
              <w:t>m</w:t>
            </w:r>
          </w:p>
        </w:tc>
        <w:tc>
          <w:tcPr>
            <w:tcW w:w="3144" w:type="dxa"/>
            <w:gridSpan w:val="2"/>
            <w:tcBorders>
              <w:tl2br w:val="nil"/>
              <w:tr2bl w:val="nil"/>
            </w:tcBorders>
            <w:noWrap w:val="0"/>
            <w:vAlign w:val="center"/>
          </w:tcPr>
          <w:p w14:paraId="34D79C4C">
            <w:pPr>
              <w:pStyle w:val="1405"/>
              <w:bidi w:val="0"/>
              <w:rPr>
                <w:rFonts w:hint="eastAsia"/>
                <w:color w:val="auto"/>
                <w:highlight w:val="none"/>
              </w:rPr>
            </w:pPr>
            <w:r>
              <w:rPr>
                <w:rFonts w:hint="eastAsia"/>
                <w:color w:val="auto"/>
                <w:highlight w:val="none"/>
                <w:lang w:eastAsia="zh-CN"/>
              </w:rPr>
              <w:t>《工业涂装工序挥发性有机物排放标准》（DB35/1783-2018）表1“汽车整车制造”排放限值</w:t>
            </w:r>
          </w:p>
        </w:tc>
        <w:tc>
          <w:tcPr>
            <w:tcW w:w="1640" w:type="dxa"/>
            <w:vMerge w:val="continue"/>
            <w:tcBorders>
              <w:tl2br w:val="nil"/>
              <w:tr2bl w:val="nil"/>
            </w:tcBorders>
            <w:noWrap w:val="0"/>
            <w:vAlign w:val="center"/>
          </w:tcPr>
          <w:p w14:paraId="2585E441">
            <w:pPr>
              <w:pStyle w:val="1405"/>
              <w:bidi w:val="0"/>
              <w:rPr>
                <w:color w:val="auto"/>
                <w:highlight w:val="none"/>
              </w:rPr>
            </w:pPr>
          </w:p>
        </w:tc>
        <w:tc>
          <w:tcPr>
            <w:tcW w:w="951" w:type="dxa"/>
            <w:vMerge w:val="continue"/>
            <w:tcBorders>
              <w:tl2br w:val="nil"/>
              <w:tr2bl w:val="nil"/>
            </w:tcBorders>
            <w:noWrap w:val="0"/>
            <w:vAlign w:val="center"/>
          </w:tcPr>
          <w:p w14:paraId="1210B0A8">
            <w:pPr>
              <w:pStyle w:val="1405"/>
              <w:bidi w:val="0"/>
              <w:rPr>
                <w:rFonts w:hint="eastAsia" w:eastAsia="宋体"/>
                <w:color w:val="auto"/>
                <w:highlight w:val="none"/>
                <w:lang w:val="en-US" w:eastAsia="zh-CN"/>
              </w:rPr>
            </w:pPr>
          </w:p>
        </w:tc>
      </w:tr>
      <w:tr w14:paraId="246E1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77344F78">
            <w:pPr>
              <w:pStyle w:val="1405"/>
              <w:bidi w:val="0"/>
              <w:rPr>
                <w:rFonts w:hint="default"/>
                <w:color w:val="auto"/>
                <w:highlight w:val="none"/>
                <w:lang w:val="en-US" w:eastAsia="zh-CN"/>
              </w:rPr>
            </w:pPr>
            <w:r>
              <w:rPr>
                <w:rFonts w:hint="eastAsia"/>
                <w:color w:val="auto"/>
                <w:highlight w:val="none"/>
                <w:lang w:val="en-US" w:eastAsia="zh-CN"/>
              </w:rPr>
              <w:t>3.1.3</w:t>
            </w:r>
          </w:p>
        </w:tc>
        <w:tc>
          <w:tcPr>
            <w:tcW w:w="1126" w:type="dxa"/>
            <w:tcBorders>
              <w:tl2br w:val="nil"/>
              <w:tr2bl w:val="nil"/>
            </w:tcBorders>
            <w:noWrap w:val="0"/>
            <w:vAlign w:val="center"/>
          </w:tcPr>
          <w:p w14:paraId="5902834A">
            <w:pPr>
              <w:pStyle w:val="1405"/>
              <w:bidi w:val="0"/>
              <w:rPr>
                <w:rFonts w:hint="default"/>
                <w:color w:val="auto"/>
                <w:highlight w:val="none"/>
                <w:lang w:val="en-US" w:eastAsia="zh-CN"/>
              </w:rPr>
            </w:pPr>
            <w:r>
              <w:rPr>
                <w:rFonts w:hint="eastAsia"/>
                <w:color w:val="auto"/>
                <w:highlight w:val="none"/>
                <w:lang w:val="en-US" w:eastAsia="zh-CN"/>
              </w:rPr>
              <w:t>点补工序有机废气</w:t>
            </w:r>
          </w:p>
        </w:tc>
        <w:tc>
          <w:tcPr>
            <w:tcW w:w="622" w:type="dxa"/>
            <w:vMerge w:val="continue"/>
            <w:tcBorders>
              <w:tl2br w:val="nil"/>
              <w:tr2bl w:val="nil"/>
            </w:tcBorders>
            <w:noWrap w:val="0"/>
            <w:vAlign w:val="center"/>
          </w:tcPr>
          <w:p w14:paraId="11A0E7EA">
            <w:pPr>
              <w:pStyle w:val="1405"/>
              <w:bidi w:val="0"/>
              <w:rPr>
                <w:rFonts w:hint="eastAsia"/>
                <w:color w:val="auto"/>
                <w:highlight w:val="none"/>
                <w:lang w:val="en-US" w:eastAsia="zh-CN"/>
              </w:rPr>
            </w:pPr>
          </w:p>
        </w:tc>
        <w:tc>
          <w:tcPr>
            <w:tcW w:w="1406" w:type="dxa"/>
            <w:tcBorders>
              <w:tl2br w:val="nil"/>
              <w:tr2bl w:val="nil"/>
            </w:tcBorders>
            <w:noWrap w:val="0"/>
            <w:vAlign w:val="center"/>
          </w:tcPr>
          <w:p w14:paraId="160EA905">
            <w:pPr>
              <w:pStyle w:val="1405"/>
              <w:bidi w:val="0"/>
              <w:rPr>
                <w:rFonts w:hint="default"/>
                <w:color w:val="auto"/>
                <w:highlight w:val="none"/>
                <w:lang w:val="en-US"/>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二甲苯、</w:t>
            </w:r>
            <w:r>
              <w:rPr>
                <w:rFonts w:hint="eastAsia"/>
                <w:color w:val="auto"/>
                <w:highlight w:val="none"/>
                <w:lang w:eastAsia="zh-CN"/>
              </w:rPr>
              <w:t>乙酸乙酯与乙酸丁酯合计</w:t>
            </w:r>
            <w:r>
              <w:rPr>
                <w:rFonts w:hint="eastAsia"/>
                <w:color w:val="auto"/>
                <w:highlight w:val="none"/>
                <w:lang w:val="en-US" w:eastAsia="zh-CN"/>
              </w:rPr>
              <w:t>、颗粒物</w:t>
            </w:r>
          </w:p>
        </w:tc>
        <w:tc>
          <w:tcPr>
            <w:tcW w:w="1274" w:type="dxa"/>
            <w:gridSpan w:val="2"/>
            <w:tcBorders>
              <w:tl2br w:val="nil"/>
              <w:tr2bl w:val="nil"/>
            </w:tcBorders>
            <w:noWrap w:val="0"/>
            <w:vAlign w:val="center"/>
          </w:tcPr>
          <w:p w14:paraId="6976B44E">
            <w:pPr>
              <w:pStyle w:val="1405"/>
              <w:bidi w:val="0"/>
              <w:rPr>
                <w:rFonts w:hint="eastAsia"/>
                <w:color w:val="auto"/>
                <w:highlight w:val="none"/>
                <w:lang w:val="en-US" w:eastAsia="zh-CN"/>
              </w:rPr>
            </w:pPr>
            <w:r>
              <w:rPr>
                <w:rFonts w:hint="eastAsia"/>
                <w:color w:val="auto"/>
                <w:highlight w:val="none"/>
                <w:lang w:val="en-US" w:eastAsia="zh-CN"/>
              </w:rPr>
              <w:t>负压收集+过滤棉过滤+二级活性炭吸附装置+20m排气筒DA003</w:t>
            </w:r>
          </w:p>
        </w:tc>
        <w:tc>
          <w:tcPr>
            <w:tcW w:w="921" w:type="dxa"/>
            <w:tcBorders>
              <w:tl2br w:val="nil"/>
              <w:tr2bl w:val="nil"/>
            </w:tcBorders>
            <w:noWrap w:val="0"/>
            <w:vAlign w:val="center"/>
          </w:tcPr>
          <w:p w14:paraId="78BAE8BF">
            <w:pPr>
              <w:pStyle w:val="1405"/>
              <w:bidi w:val="0"/>
              <w:rPr>
                <w:rFonts w:hint="eastAsia"/>
                <w:color w:val="auto"/>
                <w:highlight w:val="none"/>
                <w:lang w:val="en-US" w:eastAsia="zh-CN"/>
              </w:rPr>
            </w:pPr>
            <w:r>
              <w:rPr>
                <w:rFonts w:hint="eastAsia"/>
                <w:color w:val="auto"/>
                <w:highlight w:val="none"/>
                <w:lang w:val="en-US" w:eastAsia="zh-CN"/>
              </w:rPr>
              <w:t>15000m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noWrap w:val="0"/>
            <w:vAlign w:val="center"/>
          </w:tcPr>
          <w:p w14:paraId="1036099A">
            <w:pPr>
              <w:pStyle w:val="1321"/>
              <w:ind w:firstLine="0" w:firstLineChars="0"/>
              <w:rPr>
                <w:rFonts w:hint="eastAsia"/>
                <w:color w:val="auto"/>
                <w:highlight w:val="none"/>
                <w:lang w:val="en-US" w:eastAsia="zh-CN"/>
              </w:rPr>
            </w:pPr>
            <w:r>
              <w:rPr>
                <w:rFonts w:hint="eastAsia"/>
                <w:color w:val="auto"/>
                <w:highlight w:val="none"/>
                <w:lang w:val="en-US" w:eastAsia="zh-CN"/>
              </w:rPr>
              <w:t>20</w:t>
            </w:r>
            <w:r>
              <w:rPr>
                <w:color w:val="auto"/>
                <w:highlight w:val="none"/>
              </w:rPr>
              <w:t>m高排气筒</w:t>
            </w:r>
          </w:p>
        </w:tc>
        <w:tc>
          <w:tcPr>
            <w:tcW w:w="1020" w:type="dxa"/>
            <w:gridSpan w:val="2"/>
            <w:tcBorders>
              <w:tl2br w:val="nil"/>
              <w:tr2bl w:val="nil"/>
            </w:tcBorders>
            <w:noWrap w:val="0"/>
            <w:vAlign w:val="center"/>
          </w:tcPr>
          <w:p w14:paraId="2C4CB33F">
            <w:pPr>
              <w:pStyle w:val="1321"/>
              <w:ind w:firstLine="0" w:firstLineChars="0"/>
              <w:rPr>
                <w:color w:val="auto"/>
                <w:highlight w:val="none"/>
              </w:rPr>
            </w:pPr>
            <w:r>
              <w:rPr>
                <w:color w:val="auto"/>
                <w:highlight w:val="none"/>
              </w:rPr>
              <w:t>内径</w:t>
            </w:r>
            <w:r>
              <w:rPr>
                <w:rFonts w:hint="eastAsia"/>
                <w:color w:val="auto"/>
                <w:highlight w:val="none"/>
                <w:lang w:val="en-US" w:eastAsia="zh-CN"/>
              </w:rPr>
              <w:t>0.7</w:t>
            </w:r>
            <w:r>
              <w:rPr>
                <w:color w:val="auto"/>
                <w:highlight w:val="none"/>
              </w:rPr>
              <w:t>m</w:t>
            </w:r>
          </w:p>
        </w:tc>
        <w:tc>
          <w:tcPr>
            <w:tcW w:w="3144" w:type="dxa"/>
            <w:gridSpan w:val="2"/>
            <w:tcBorders>
              <w:tl2br w:val="nil"/>
              <w:tr2bl w:val="nil"/>
            </w:tcBorders>
            <w:noWrap w:val="0"/>
            <w:vAlign w:val="center"/>
          </w:tcPr>
          <w:p w14:paraId="5169A24B">
            <w:pPr>
              <w:pStyle w:val="1405"/>
              <w:bidi w:val="0"/>
              <w:rPr>
                <w:rFonts w:hint="eastAsia"/>
                <w:color w:val="auto"/>
                <w:highlight w:val="none"/>
              </w:rPr>
            </w:pPr>
            <w:r>
              <w:rPr>
                <w:rFonts w:hint="eastAsia"/>
                <w:color w:val="auto"/>
                <w:highlight w:val="none"/>
                <w:lang w:eastAsia="zh-CN"/>
              </w:rPr>
              <w:t>《工业涂装工序挥发性有机物排放标准》（DB35/1783-2018）表1中限值要求；《大气污染物综合排放标准》（GB16297-1996）表2二级标准</w:t>
            </w:r>
          </w:p>
        </w:tc>
        <w:tc>
          <w:tcPr>
            <w:tcW w:w="1640" w:type="dxa"/>
            <w:vMerge w:val="continue"/>
            <w:tcBorders>
              <w:tl2br w:val="nil"/>
              <w:tr2bl w:val="nil"/>
            </w:tcBorders>
            <w:noWrap w:val="0"/>
            <w:vAlign w:val="center"/>
          </w:tcPr>
          <w:p w14:paraId="44B64277">
            <w:pPr>
              <w:pStyle w:val="1405"/>
              <w:bidi w:val="0"/>
              <w:rPr>
                <w:color w:val="auto"/>
                <w:highlight w:val="none"/>
              </w:rPr>
            </w:pPr>
          </w:p>
        </w:tc>
        <w:tc>
          <w:tcPr>
            <w:tcW w:w="951" w:type="dxa"/>
            <w:vMerge w:val="continue"/>
            <w:tcBorders>
              <w:tl2br w:val="nil"/>
              <w:tr2bl w:val="nil"/>
            </w:tcBorders>
            <w:noWrap w:val="0"/>
            <w:vAlign w:val="center"/>
          </w:tcPr>
          <w:p w14:paraId="64EC9DF0">
            <w:pPr>
              <w:pStyle w:val="1405"/>
              <w:bidi w:val="0"/>
              <w:rPr>
                <w:rFonts w:hint="eastAsia" w:eastAsia="宋体"/>
                <w:color w:val="auto"/>
                <w:highlight w:val="none"/>
                <w:lang w:val="en-US" w:eastAsia="zh-CN"/>
              </w:rPr>
            </w:pPr>
          </w:p>
        </w:tc>
      </w:tr>
      <w:tr w14:paraId="07D20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9" w:type="dxa"/>
            <w:tcBorders>
              <w:tl2br w:val="nil"/>
              <w:tr2bl w:val="nil"/>
            </w:tcBorders>
            <w:noWrap w:val="0"/>
            <w:vAlign w:val="center"/>
          </w:tcPr>
          <w:p w14:paraId="79BAB915">
            <w:pPr>
              <w:pStyle w:val="1405"/>
              <w:bidi w:val="0"/>
              <w:rPr>
                <w:rFonts w:hint="default"/>
                <w:color w:val="auto"/>
                <w:highlight w:val="none"/>
                <w:lang w:val="en-US" w:eastAsia="zh-CN"/>
              </w:rPr>
            </w:pPr>
            <w:r>
              <w:rPr>
                <w:rFonts w:hint="eastAsia"/>
                <w:color w:val="auto"/>
                <w:highlight w:val="none"/>
                <w:lang w:val="en-US" w:eastAsia="zh-CN"/>
              </w:rPr>
              <w:t>3.1.4</w:t>
            </w:r>
          </w:p>
        </w:tc>
        <w:tc>
          <w:tcPr>
            <w:tcW w:w="1126" w:type="dxa"/>
            <w:tcBorders>
              <w:tl2br w:val="nil"/>
              <w:tr2bl w:val="nil"/>
            </w:tcBorders>
            <w:noWrap w:val="0"/>
            <w:vAlign w:val="center"/>
          </w:tcPr>
          <w:p w14:paraId="1ABEBAF5">
            <w:pPr>
              <w:pStyle w:val="1405"/>
              <w:bidi w:val="0"/>
              <w:rPr>
                <w:rFonts w:hint="default"/>
                <w:color w:val="auto"/>
                <w:highlight w:val="none"/>
                <w:lang w:val="en-US" w:eastAsia="zh-CN"/>
              </w:rPr>
            </w:pPr>
            <w:r>
              <w:rPr>
                <w:rFonts w:hint="eastAsia"/>
                <w:color w:val="auto"/>
                <w:highlight w:val="none"/>
                <w:lang w:val="en-US" w:eastAsia="zh-CN"/>
              </w:rPr>
              <w:t>注塑工序废气</w:t>
            </w:r>
          </w:p>
        </w:tc>
        <w:tc>
          <w:tcPr>
            <w:tcW w:w="622" w:type="dxa"/>
            <w:vMerge w:val="continue"/>
            <w:tcBorders>
              <w:tl2br w:val="nil"/>
              <w:tr2bl w:val="nil"/>
            </w:tcBorders>
            <w:noWrap w:val="0"/>
            <w:vAlign w:val="center"/>
          </w:tcPr>
          <w:p w14:paraId="0E7A8104">
            <w:pPr>
              <w:pStyle w:val="1405"/>
              <w:bidi w:val="0"/>
              <w:rPr>
                <w:rFonts w:hint="eastAsia"/>
                <w:color w:val="auto"/>
                <w:highlight w:val="none"/>
                <w:lang w:val="en-US" w:eastAsia="zh-CN"/>
              </w:rPr>
            </w:pPr>
          </w:p>
        </w:tc>
        <w:tc>
          <w:tcPr>
            <w:tcW w:w="1406" w:type="dxa"/>
            <w:tcBorders>
              <w:tl2br w:val="nil"/>
              <w:tr2bl w:val="nil"/>
            </w:tcBorders>
            <w:noWrap w:val="0"/>
            <w:vAlign w:val="center"/>
          </w:tcPr>
          <w:p w14:paraId="40B7AD8C">
            <w:pPr>
              <w:pStyle w:val="1405"/>
              <w:bidi w:val="0"/>
              <w:rPr>
                <w:rFonts w:hint="default" w:eastAsia="宋体"/>
                <w:color w:val="auto"/>
                <w:highlight w:val="none"/>
                <w:lang w:val="en-US" w:eastAsia="zh-CN"/>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臭气浓度</w:t>
            </w:r>
          </w:p>
        </w:tc>
        <w:tc>
          <w:tcPr>
            <w:tcW w:w="1274" w:type="dxa"/>
            <w:gridSpan w:val="2"/>
            <w:tcBorders>
              <w:tl2br w:val="nil"/>
              <w:tr2bl w:val="nil"/>
            </w:tcBorders>
            <w:noWrap w:val="0"/>
            <w:vAlign w:val="center"/>
          </w:tcPr>
          <w:p w14:paraId="00DEBD89">
            <w:pPr>
              <w:pStyle w:val="1405"/>
              <w:bidi w:val="0"/>
              <w:rPr>
                <w:rFonts w:hint="eastAsia"/>
                <w:color w:val="auto"/>
                <w:highlight w:val="none"/>
                <w:lang w:val="en-US" w:eastAsia="zh-CN"/>
              </w:rPr>
            </w:pPr>
            <w:r>
              <w:rPr>
                <w:rFonts w:hint="eastAsia"/>
                <w:color w:val="auto"/>
                <w:highlight w:val="none"/>
                <w:lang w:val="en-US" w:eastAsia="zh-CN"/>
              </w:rPr>
              <w:t>集气罩+二级活性炭吸附装置+20m排气筒DA004</w:t>
            </w:r>
          </w:p>
        </w:tc>
        <w:tc>
          <w:tcPr>
            <w:tcW w:w="921" w:type="dxa"/>
            <w:tcBorders>
              <w:tl2br w:val="nil"/>
              <w:tr2bl w:val="nil"/>
            </w:tcBorders>
            <w:noWrap w:val="0"/>
            <w:vAlign w:val="center"/>
          </w:tcPr>
          <w:p w14:paraId="2411D2A1">
            <w:pPr>
              <w:pStyle w:val="1405"/>
              <w:bidi w:val="0"/>
              <w:rPr>
                <w:rFonts w:hint="eastAsia"/>
                <w:color w:val="auto"/>
                <w:highlight w:val="none"/>
                <w:lang w:val="en-US" w:eastAsia="zh-CN"/>
              </w:rPr>
            </w:pPr>
            <w:r>
              <w:rPr>
                <w:rFonts w:hint="eastAsia"/>
                <w:color w:val="auto"/>
                <w:highlight w:val="none"/>
                <w:lang w:val="en-US" w:eastAsia="zh-CN"/>
              </w:rPr>
              <w:t>12000m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noWrap w:val="0"/>
            <w:vAlign w:val="center"/>
          </w:tcPr>
          <w:p w14:paraId="5AA17DF0">
            <w:pPr>
              <w:pStyle w:val="1321"/>
              <w:ind w:firstLine="0" w:firstLineChars="0"/>
              <w:rPr>
                <w:color w:val="auto"/>
                <w:highlight w:val="none"/>
              </w:rPr>
            </w:pPr>
            <w:r>
              <w:rPr>
                <w:rFonts w:hint="eastAsia"/>
                <w:color w:val="auto"/>
                <w:highlight w:val="none"/>
                <w:lang w:val="en-US" w:eastAsia="zh-CN"/>
              </w:rPr>
              <w:t>20</w:t>
            </w:r>
            <w:r>
              <w:rPr>
                <w:color w:val="auto"/>
                <w:highlight w:val="none"/>
              </w:rPr>
              <w:t>m高排气筒</w:t>
            </w:r>
          </w:p>
        </w:tc>
        <w:tc>
          <w:tcPr>
            <w:tcW w:w="1020" w:type="dxa"/>
            <w:gridSpan w:val="2"/>
            <w:tcBorders>
              <w:tl2br w:val="nil"/>
              <w:tr2bl w:val="nil"/>
            </w:tcBorders>
            <w:noWrap w:val="0"/>
            <w:vAlign w:val="center"/>
          </w:tcPr>
          <w:p w14:paraId="157F16AC">
            <w:pPr>
              <w:pStyle w:val="1321"/>
              <w:ind w:firstLine="0" w:firstLineChars="0"/>
              <w:rPr>
                <w:color w:val="auto"/>
                <w:highlight w:val="none"/>
              </w:rPr>
            </w:pPr>
            <w:r>
              <w:rPr>
                <w:color w:val="auto"/>
                <w:highlight w:val="none"/>
              </w:rPr>
              <w:t>内径</w:t>
            </w:r>
            <w:r>
              <w:rPr>
                <w:rFonts w:hint="eastAsia"/>
                <w:color w:val="auto"/>
                <w:highlight w:val="none"/>
                <w:lang w:val="en-US" w:eastAsia="zh-CN"/>
              </w:rPr>
              <w:t>0.7</w:t>
            </w:r>
            <w:r>
              <w:rPr>
                <w:color w:val="auto"/>
                <w:highlight w:val="none"/>
              </w:rPr>
              <w:t>m</w:t>
            </w:r>
          </w:p>
        </w:tc>
        <w:tc>
          <w:tcPr>
            <w:tcW w:w="3144" w:type="dxa"/>
            <w:gridSpan w:val="2"/>
            <w:tcBorders>
              <w:tl2br w:val="nil"/>
              <w:tr2bl w:val="nil"/>
            </w:tcBorders>
            <w:noWrap w:val="0"/>
            <w:vAlign w:val="center"/>
          </w:tcPr>
          <w:p w14:paraId="55F7E58F">
            <w:pPr>
              <w:pStyle w:val="1405"/>
              <w:bidi w:val="0"/>
              <w:rPr>
                <w:rFonts w:hint="eastAsia"/>
                <w:color w:val="auto"/>
                <w:highlight w:val="none"/>
              </w:rPr>
            </w:pPr>
            <w:r>
              <w:rPr>
                <w:rFonts w:hint="eastAsia"/>
                <w:color w:val="auto"/>
                <w:highlight w:val="none"/>
                <w:lang w:eastAsia="zh-CN"/>
              </w:rPr>
              <w:t>《合成树脂工业污染物排放标准》（GB31572-2015）</w:t>
            </w:r>
            <w:r>
              <w:rPr>
                <w:rFonts w:hint="eastAsia"/>
                <w:color w:val="auto"/>
                <w:highlight w:val="none"/>
                <w:lang w:val="en-US" w:eastAsia="zh-CN"/>
              </w:rPr>
              <w:t>及</w:t>
            </w:r>
            <w:r>
              <w:rPr>
                <w:rFonts w:hint="eastAsia"/>
                <w:color w:val="auto"/>
                <w:highlight w:val="none"/>
                <w:lang w:eastAsia="zh-CN"/>
              </w:rPr>
              <w:t>2024年修改单要求中表</w:t>
            </w:r>
            <w:r>
              <w:rPr>
                <w:rFonts w:hint="eastAsia"/>
                <w:color w:val="auto"/>
                <w:highlight w:val="none"/>
                <w:lang w:val="en-US" w:eastAsia="zh-CN"/>
              </w:rPr>
              <w:t>4</w:t>
            </w:r>
            <w:r>
              <w:rPr>
                <w:rFonts w:hint="eastAsia"/>
                <w:color w:val="auto"/>
                <w:highlight w:val="none"/>
                <w:lang w:eastAsia="zh-CN"/>
              </w:rPr>
              <w:t>排放限值；</w:t>
            </w:r>
            <w:r>
              <w:rPr>
                <w:rFonts w:hint="eastAsia"/>
                <w:color w:val="auto"/>
                <w:highlight w:val="none"/>
              </w:rPr>
              <w:t>《恶臭污染物排放标准》（GB14554-93）</w:t>
            </w:r>
            <w:r>
              <w:rPr>
                <w:rFonts w:hint="eastAsia"/>
                <w:color w:val="auto"/>
                <w:highlight w:val="none"/>
                <w:lang w:val="en-US" w:eastAsia="zh-CN"/>
              </w:rPr>
              <w:t>表2排放标准</w:t>
            </w:r>
          </w:p>
        </w:tc>
        <w:tc>
          <w:tcPr>
            <w:tcW w:w="1640" w:type="dxa"/>
            <w:vMerge w:val="continue"/>
            <w:tcBorders>
              <w:tl2br w:val="nil"/>
              <w:tr2bl w:val="nil"/>
            </w:tcBorders>
            <w:noWrap w:val="0"/>
            <w:vAlign w:val="center"/>
          </w:tcPr>
          <w:p w14:paraId="7F3FB3FC">
            <w:pPr>
              <w:pStyle w:val="1405"/>
              <w:bidi w:val="0"/>
              <w:rPr>
                <w:color w:val="auto"/>
                <w:highlight w:val="none"/>
              </w:rPr>
            </w:pPr>
          </w:p>
        </w:tc>
        <w:tc>
          <w:tcPr>
            <w:tcW w:w="951" w:type="dxa"/>
            <w:vMerge w:val="continue"/>
            <w:tcBorders>
              <w:tl2br w:val="nil"/>
              <w:tr2bl w:val="nil"/>
            </w:tcBorders>
            <w:noWrap w:val="0"/>
            <w:vAlign w:val="center"/>
          </w:tcPr>
          <w:p w14:paraId="335E028C">
            <w:pPr>
              <w:pStyle w:val="1405"/>
              <w:bidi w:val="0"/>
              <w:rPr>
                <w:rFonts w:hint="eastAsia" w:eastAsia="宋体"/>
                <w:color w:val="auto"/>
                <w:highlight w:val="none"/>
                <w:lang w:val="en-US" w:eastAsia="zh-CN"/>
              </w:rPr>
            </w:pPr>
          </w:p>
        </w:tc>
      </w:tr>
      <w:tr w14:paraId="7DF67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9" w:type="dxa"/>
            <w:tcBorders>
              <w:tl2br w:val="nil"/>
              <w:tr2bl w:val="nil"/>
            </w:tcBorders>
            <w:noWrap w:val="0"/>
            <w:vAlign w:val="center"/>
          </w:tcPr>
          <w:p w14:paraId="6F48655F">
            <w:pPr>
              <w:pStyle w:val="1405"/>
              <w:bidi w:val="0"/>
              <w:rPr>
                <w:rFonts w:hint="default"/>
                <w:color w:val="auto"/>
                <w:highlight w:val="none"/>
                <w:lang w:val="en-US" w:eastAsia="zh-CN"/>
              </w:rPr>
            </w:pPr>
            <w:r>
              <w:rPr>
                <w:rFonts w:hint="eastAsia"/>
                <w:color w:val="auto"/>
                <w:highlight w:val="none"/>
                <w:lang w:val="en-US" w:eastAsia="zh-CN"/>
              </w:rPr>
              <w:t>3.1.5</w:t>
            </w:r>
          </w:p>
        </w:tc>
        <w:tc>
          <w:tcPr>
            <w:tcW w:w="1126" w:type="dxa"/>
            <w:tcBorders>
              <w:tl2br w:val="nil"/>
              <w:tr2bl w:val="nil"/>
            </w:tcBorders>
            <w:noWrap w:val="0"/>
            <w:vAlign w:val="center"/>
          </w:tcPr>
          <w:p w14:paraId="50400B14">
            <w:pPr>
              <w:pStyle w:val="1405"/>
              <w:bidi w:val="0"/>
              <w:rPr>
                <w:rFonts w:hint="default"/>
                <w:color w:val="auto"/>
                <w:highlight w:val="none"/>
                <w:lang w:val="en-US" w:eastAsia="zh-CN"/>
              </w:rPr>
            </w:pPr>
            <w:r>
              <w:rPr>
                <w:rFonts w:hint="eastAsia"/>
                <w:color w:val="auto"/>
                <w:highlight w:val="none"/>
                <w:lang w:val="en-US" w:eastAsia="zh-CN"/>
              </w:rPr>
              <w:t>热水炉天然气燃烧废气</w:t>
            </w:r>
          </w:p>
        </w:tc>
        <w:tc>
          <w:tcPr>
            <w:tcW w:w="622" w:type="dxa"/>
            <w:vMerge w:val="continue"/>
            <w:tcBorders>
              <w:tl2br w:val="nil"/>
              <w:tr2bl w:val="nil"/>
            </w:tcBorders>
            <w:noWrap w:val="0"/>
            <w:vAlign w:val="center"/>
          </w:tcPr>
          <w:p w14:paraId="2274F8DF">
            <w:pPr>
              <w:pStyle w:val="1405"/>
              <w:bidi w:val="0"/>
              <w:rPr>
                <w:rFonts w:hint="eastAsia"/>
                <w:color w:val="auto"/>
                <w:highlight w:val="none"/>
                <w:lang w:val="en-US" w:eastAsia="zh-CN"/>
              </w:rPr>
            </w:pPr>
          </w:p>
        </w:tc>
        <w:tc>
          <w:tcPr>
            <w:tcW w:w="1406" w:type="dxa"/>
            <w:tcBorders>
              <w:tl2br w:val="nil"/>
              <w:tr2bl w:val="nil"/>
            </w:tcBorders>
            <w:noWrap w:val="0"/>
            <w:vAlign w:val="center"/>
          </w:tcPr>
          <w:p w14:paraId="19A38F80">
            <w:pPr>
              <w:pStyle w:val="1405"/>
              <w:bidi w:val="0"/>
              <w:rPr>
                <w:rFonts w:hint="default" w:eastAsia="宋体"/>
                <w:color w:val="auto"/>
                <w:highlight w:val="none"/>
                <w:lang w:val="en-US" w:eastAsia="zh-CN"/>
              </w:rPr>
            </w:pPr>
            <w:r>
              <w:rPr>
                <w:rFonts w:hint="eastAsia"/>
                <w:color w:val="auto"/>
                <w:highlight w:val="none"/>
                <w:lang w:val="en-US" w:eastAsia="zh-CN"/>
              </w:rPr>
              <w:t>SO</w:t>
            </w:r>
            <w:r>
              <w:rPr>
                <w:rFonts w:hint="eastAsia"/>
                <w:color w:val="auto"/>
                <w:highlight w:val="none"/>
                <w:vertAlign w:val="subscript"/>
                <w:lang w:val="en-US" w:eastAsia="zh-CN"/>
              </w:rPr>
              <w:t>2</w:t>
            </w:r>
            <w:r>
              <w:rPr>
                <w:rFonts w:hint="eastAsia"/>
                <w:color w:val="auto"/>
                <w:highlight w:val="none"/>
                <w:lang w:val="en-US" w:eastAsia="zh-CN"/>
              </w:rPr>
              <w:t>、NOx、颗粒物、烟气黑度</w:t>
            </w:r>
          </w:p>
        </w:tc>
        <w:tc>
          <w:tcPr>
            <w:tcW w:w="1274" w:type="dxa"/>
            <w:gridSpan w:val="2"/>
            <w:tcBorders>
              <w:tl2br w:val="nil"/>
              <w:tr2bl w:val="nil"/>
            </w:tcBorders>
            <w:noWrap w:val="0"/>
            <w:vAlign w:val="center"/>
          </w:tcPr>
          <w:p w14:paraId="50695AEF">
            <w:pPr>
              <w:pStyle w:val="1405"/>
              <w:bidi w:val="0"/>
              <w:rPr>
                <w:rFonts w:hint="default"/>
                <w:color w:val="auto"/>
                <w:highlight w:val="none"/>
                <w:lang w:val="en-US" w:eastAsia="zh-CN"/>
              </w:rPr>
            </w:pPr>
            <w:r>
              <w:rPr>
                <w:rFonts w:hint="eastAsia"/>
                <w:color w:val="auto"/>
                <w:highlight w:val="none"/>
                <w:lang w:val="en-US" w:eastAsia="zh-CN"/>
              </w:rPr>
              <w:t>低氮燃烧+不低于8m排气筒DA005</w:t>
            </w:r>
          </w:p>
        </w:tc>
        <w:tc>
          <w:tcPr>
            <w:tcW w:w="921" w:type="dxa"/>
            <w:tcBorders>
              <w:tl2br w:val="nil"/>
              <w:tr2bl w:val="nil"/>
            </w:tcBorders>
            <w:noWrap w:val="0"/>
            <w:vAlign w:val="center"/>
          </w:tcPr>
          <w:p w14:paraId="6F274D4D">
            <w:pPr>
              <w:pStyle w:val="1405"/>
              <w:bidi w:val="0"/>
              <w:ind w:firstLine="0" w:firstLineChars="0"/>
              <w:rPr>
                <w:rFonts w:hint="default"/>
                <w:color w:val="auto"/>
                <w:highlight w:val="none"/>
                <w:lang w:val="en-US" w:eastAsia="zh-CN"/>
              </w:rPr>
            </w:pPr>
            <w:r>
              <w:rPr>
                <w:rFonts w:hint="eastAsia"/>
                <w:color w:val="auto"/>
                <w:highlight w:val="none"/>
                <w:lang w:val="en-US" w:eastAsia="zh-CN"/>
              </w:rPr>
              <w:t>108m</w:t>
            </w:r>
            <w:r>
              <w:rPr>
                <w:rFonts w:hint="eastAsia"/>
                <w:color w:val="auto"/>
                <w:highlight w:val="none"/>
                <w:vertAlign w:val="superscript"/>
                <w:lang w:val="en-US" w:eastAsia="zh-CN"/>
              </w:rPr>
              <w:t>3</w:t>
            </w:r>
            <w:r>
              <w:rPr>
                <w:rFonts w:hint="eastAsia"/>
                <w:color w:val="auto"/>
                <w:highlight w:val="none"/>
                <w:lang w:val="en-US" w:eastAsia="zh-CN"/>
              </w:rPr>
              <w:t>/h（废气量）</w:t>
            </w:r>
          </w:p>
        </w:tc>
        <w:tc>
          <w:tcPr>
            <w:tcW w:w="1225" w:type="dxa"/>
            <w:tcBorders>
              <w:tl2br w:val="nil"/>
              <w:tr2bl w:val="nil"/>
            </w:tcBorders>
            <w:noWrap w:val="0"/>
            <w:vAlign w:val="center"/>
          </w:tcPr>
          <w:p w14:paraId="3FF3DCC8">
            <w:pPr>
              <w:pStyle w:val="1321"/>
              <w:ind w:firstLine="0" w:firstLineChars="0"/>
              <w:rPr>
                <w:rFonts w:hint="eastAsia"/>
                <w:color w:val="auto"/>
                <w:highlight w:val="none"/>
                <w:lang w:val="en-US" w:eastAsia="zh-CN"/>
              </w:rPr>
            </w:pPr>
            <w:r>
              <w:rPr>
                <w:rFonts w:hint="eastAsia"/>
                <w:color w:val="auto"/>
                <w:highlight w:val="none"/>
                <w:lang w:val="en-US" w:eastAsia="zh-CN"/>
              </w:rPr>
              <w:t>不低于8m排气筒</w:t>
            </w:r>
          </w:p>
        </w:tc>
        <w:tc>
          <w:tcPr>
            <w:tcW w:w="1020" w:type="dxa"/>
            <w:gridSpan w:val="2"/>
            <w:tcBorders>
              <w:tl2br w:val="nil"/>
              <w:tr2bl w:val="nil"/>
            </w:tcBorders>
            <w:noWrap w:val="0"/>
            <w:vAlign w:val="center"/>
          </w:tcPr>
          <w:p w14:paraId="5F638A81">
            <w:pPr>
              <w:pStyle w:val="1321"/>
              <w:ind w:firstLine="0" w:firstLineChars="0"/>
              <w:rPr>
                <w:rFonts w:hint="eastAsia" w:eastAsia="宋体"/>
                <w:color w:val="auto"/>
                <w:highlight w:val="none"/>
                <w:lang w:val="en-US" w:eastAsia="zh-CN"/>
              </w:rPr>
            </w:pPr>
            <w:r>
              <w:rPr>
                <w:rFonts w:hint="eastAsia"/>
                <w:color w:val="auto"/>
                <w:highlight w:val="none"/>
                <w:lang w:val="en-US" w:eastAsia="zh-CN"/>
              </w:rPr>
              <w:t>/</w:t>
            </w:r>
          </w:p>
        </w:tc>
        <w:tc>
          <w:tcPr>
            <w:tcW w:w="3144" w:type="dxa"/>
            <w:gridSpan w:val="2"/>
            <w:tcBorders>
              <w:tl2br w:val="nil"/>
              <w:tr2bl w:val="nil"/>
            </w:tcBorders>
            <w:noWrap w:val="0"/>
            <w:vAlign w:val="center"/>
          </w:tcPr>
          <w:p w14:paraId="7956AFD2">
            <w:pPr>
              <w:pStyle w:val="1405"/>
              <w:bidi w:val="0"/>
              <w:rPr>
                <w:rFonts w:hint="eastAsia" w:eastAsia="宋体"/>
                <w:color w:val="auto"/>
                <w:highlight w:val="none"/>
                <w:lang w:eastAsia="zh-CN"/>
              </w:rPr>
            </w:pPr>
            <w:r>
              <w:rPr>
                <w:rFonts w:hint="eastAsia"/>
                <w:color w:val="auto"/>
                <w:highlight w:val="none"/>
              </w:rPr>
              <w:t>《锅炉大气污染物排放标准》（GB13271-2014）表2燃气锅炉排放限值</w:t>
            </w:r>
          </w:p>
        </w:tc>
        <w:tc>
          <w:tcPr>
            <w:tcW w:w="1640" w:type="dxa"/>
            <w:vMerge w:val="continue"/>
            <w:tcBorders>
              <w:tl2br w:val="nil"/>
              <w:tr2bl w:val="nil"/>
            </w:tcBorders>
            <w:noWrap w:val="0"/>
            <w:vAlign w:val="center"/>
          </w:tcPr>
          <w:p w14:paraId="6C34A8D0">
            <w:pPr>
              <w:pStyle w:val="1405"/>
              <w:bidi w:val="0"/>
              <w:rPr>
                <w:color w:val="auto"/>
                <w:highlight w:val="none"/>
              </w:rPr>
            </w:pPr>
          </w:p>
        </w:tc>
        <w:tc>
          <w:tcPr>
            <w:tcW w:w="951" w:type="dxa"/>
            <w:vMerge w:val="continue"/>
            <w:tcBorders>
              <w:tl2br w:val="nil"/>
              <w:tr2bl w:val="nil"/>
            </w:tcBorders>
            <w:noWrap w:val="0"/>
            <w:vAlign w:val="center"/>
          </w:tcPr>
          <w:p w14:paraId="43BCA65A">
            <w:pPr>
              <w:pStyle w:val="1405"/>
              <w:bidi w:val="0"/>
              <w:rPr>
                <w:rFonts w:hint="eastAsia" w:eastAsia="宋体"/>
                <w:color w:val="auto"/>
                <w:highlight w:val="none"/>
                <w:lang w:val="en-US" w:eastAsia="zh-CN"/>
              </w:rPr>
            </w:pPr>
          </w:p>
        </w:tc>
      </w:tr>
      <w:tr w14:paraId="165A1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9" w:type="dxa"/>
            <w:tcBorders>
              <w:tl2br w:val="nil"/>
              <w:tr2bl w:val="nil"/>
            </w:tcBorders>
            <w:noWrap w:val="0"/>
            <w:vAlign w:val="center"/>
          </w:tcPr>
          <w:p w14:paraId="21A77A5F">
            <w:pPr>
              <w:pStyle w:val="1405"/>
              <w:bidi w:val="0"/>
              <w:rPr>
                <w:rFonts w:hint="eastAsia"/>
                <w:color w:val="auto"/>
                <w:highlight w:val="none"/>
                <w:lang w:val="en-US" w:eastAsia="zh-CN"/>
              </w:rPr>
            </w:pPr>
            <w:r>
              <w:rPr>
                <w:rFonts w:hint="eastAsia"/>
                <w:color w:val="auto"/>
                <w:highlight w:val="none"/>
                <w:lang w:val="en-US" w:eastAsia="zh-CN"/>
              </w:rPr>
              <w:t>3.1.6</w:t>
            </w:r>
          </w:p>
        </w:tc>
        <w:tc>
          <w:tcPr>
            <w:tcW w:w="1126" w:type="dxa"/>
            <w:tcBorders>
              <w:tl2br w:val="nil"/>
              <w:tr2bl w:val="nil"/>
            </w:tcBorders>
            <w:noWrap w:val="0"/>
            <w:vAlign w:val="center"/>
          </w:tcPr>
          <w:p w14:paraId="2DDEA929">
            <w:pPr>
              <w:pStyle w:val="1405"/>
              <w:bidi w:val="0"/>
              <w:rPr>
                <w:rFonts w:hint="default"/>
                <w:color w:val="auto"/>
                <w:highlight w:val="none"/>
                <w:lang w:val="en-US" w:eastAsia="zh-CN"/>
              </w:rPr>
            </w:pPr>
            <w:r>
              <w:rPr>
                <w:rFonts w:hint="eastAsia"/>
                <w:color w:val="auto"/>
                <w:highlight w:val="none"/>
                <w:lang w:val="en-US" w:eastAsia="zh-CN"/>
              </w:rPr>
              <w:t>热洁炉废气</w:t>
            </w:r>
          </w:p>
        </w:tc>
        <w:tc>
          <w:tcPr>
            <w:tcW w:w="622" w:type="dxa"/>
            <w:vMerge w:val="continue"/>
            <w:tcBorders>
              <w:tl2br w:val="nil"/>
              <w:tr2bl w:val="nil"/>
            </w:tcBorders>
            <w:noWrap w:val="0"/>
            <w:vAlign w:val="center"/>
          </w:tcPr>
          <w:p w14:paraId="1E26C70A">
            <w:pPr>
              <w:pStyle w:val="1405"/>
              <w:bidi w:val="0"/>
              <w:rPr>
                <w:rFonts w:hint="default"/>
                <w:color w:val="auto"/>
                <w:highlight w:val="none"/>
                <w:lang w:val="en-US" w:eastAsia="zh-CN"/>
              </w:rPr>
            </w:pPr>
          </w:p>
        </w:tc>
        <w:tc>
          <w:tcPr>
            <w:tcW w:w="1406" w:type="dxa"/>
            <w:tcBorders>
              <w:tl2br w:val="nil"/>
              <w:tr2bl w:val="nil"/>
            </w:tcBorders>
            <w:noWrap w:val="0"/>
            <w:vAlign w:val="center"/>
          </w:tcPr>
          <w:p w14:paraId="04D9ECB2">
            <w:pPr>
              <w:pStyle w:val="1405"/>
              <w:bidi w:val="0"/>
              <w:rPr>
                <w:rFonts w:hint="default"/>
                <w:color w:val="auto"/>
                <w:highlight w:val="none"/>
                <w:lang w:val="en-US" w:eastAsia="zh-CN"/>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SO</w:t>
            </w:r>
            <w:r>
              <w:rPr>
                <w:rFonts w:hint="eastAsia"/>
                <w:color w:val="auto"/>
                <w:highlight w:val="none"/>
                <w:vertAlign w:val="subscript"/>
                <w:lang w:val="en-US" w:eastAsia="zh-CN"/>
              </w:rPr>
              <w:t>2</w:t>
            </w:r>
            <w:r>
              <w:rPr>
                <w:rFonts w:hint="eastAsia"/>
                <w:color w:val="auto"/>
                <w:highlight w:val="none"/>
                <w:lang w:val="en-US" w:eastAsia="zh-CN"/>
              </w:rPr>
              <w:t>、NOx、颗粒物、烟气黑度、臭气浓度</w:t>
            </w:r>
          </w:p>
        </w:tc>
        <w:tc>
          <w:tcPr>
            <w:tcW w:w="1274" w:type="dxa"/>
            <w:gridSpan w:val="2"/>
            <w:tcBorders>
              <w:tl2br w:val="nil"/>
              <w:tr2bl w:val="nil"/>
            </w:tcBorders>
            <w:noWrap w:val="0"/>
            <w:vAlign w:val="center"/>
          </w:tcPr>
          <w:p w14:paraId="767EB5DB">
            <w:pPr>
              <w:pStyle w:val="1405"/>
              <w:bidi w:val="0"/>
              <w:rPr>
                <w:rFonts w:hint="default"/>
                <w:color w:val="auto"/>
                <w:highlight w:val="none"/>
                <w:lang w:val="en-US" w:eastAsia="zh-CN"/>
              </w:rPr>
            </w:pPr>
            <w:r>
              <w:rPr>
                <w:rFonts w:hint="eastAsia"/>
                <w:color w:val="auto"/>
                <w:highlight w:val="none"/>
                <w:lang w:val="en-US" w:eastAsia="zh-CN"/>
              </w:rPr>
              <w:t>二燃室+换热器+20m排气筒DA006</w:t>
            </w:r>
          </w:p>
        </w:tc>
        <w:tc>
          <w:tcPr>
            <w:tcW w:w="921" w:type="dxa"/>
            <w:tcBorders>
              <w:tl2br w:val="nil"/>
              <w:tr2bl w:val="nil"/>
            </w:tcBorders>
            <w:noWrap w:val="0"/>
            <w:vAlign w:val="center"/>
          </w:tcPr>
          <w:p w14:paraId="733F61C8">
            <w:pPr>
              <w:pStyle w:val="1405"/>
              <w:bidi w:val="0"/>
              <w:ind w:firstLine="0" w:firstLineChars="0"/>
              <w:rPr>
                <w:rFonts w:hint="eastAsia"/>
                <w:color w:val="auto"/>
                <w:highlight w:val="none"/>
                <w:lang w:val="en-US" w:eastAsia="zh-CN"/>
              </w:rPr>
            </w:pPr>
            <w:r>
              <w:rPr>
                <w:rFonts w:hint="eastAsia"/>
                <w:color w:val="auto"/>
                <w:highlight w:val="none"/>
                <w:lang w:val="en-US" w:eastAsia="zh-CN"/>
              </w:rPr>
              <w:t>15000m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noWrap w:val="0"/>
            <w:vAlign w:val="center"/>
          </w:tcPr>
          <w:p w14:paraId="187418BA">
            <w:pPr>
              <w:pStyle w:val="1321"/>
              <w:ind w:firstLine="0" w:firstLineChars="0"/>
              <w:rPr>
                <w:rFonts w:hint="eastAsia"/>
                <w:color w:val="auto"/>
                <w:highlight w:val="none"/>
                <w:lang w:val="en-US" w:eastAsia="zh-CN"/>
              </w:rPr>
            </w:pPr>
            <w:r>
              <w:rPr>
                <w:rFonts w:hint="eastAsia"/>
                <w:color w:val="auto"/>
                <w:highlight w:val="none"/>
                <w:lang w:val="en-US" w:eastAsia="zh-CN"/>
              </w:rPr>
              <w:t>20m排气筒</w:t>
            </w:r>
          </w:p>
        </w:tc>
        <w:tc>
          <w:tcPr>
            <w:tcW w:w="1020" w:type="dxa"/>
            <w:gridSpan w:val="2"/>
            <w:tcBorders>
              <w:tl2br w:val="nil"/>
              <w:tr2bl w:val="nil"/>
            </w:tcBorders>
            <w:noWrap w:val="0"/>
            <w:vAlign w:val="center"/>
          </w:tcPr>
          <w:p w14:paraId="7B702DF1">
            <w:pPr>
              <w:pStyle w:val="1321"/>
              <w:ind w:firstLine="0" w:firstLineChars="0"/>
              <w:rPr>
                <w:rFonts w:hint="default"/>
                <w:color w:val="auto"/>
                <w:highlight w:val="none"/>
                <w:lang w:val="en-US" w:eastAsia="zh-CN"/>
              </w:rPr>
            </w:pPr>
            <w:r>
              <w:rPr>
                <w:rFonts w:hint="eastAsia"/>
                <w:color w:val="auto"/>
                <w:highlight w:val="none"/>
                <w:lang w:val="en-US" w:eastAsia="zh-CN"/>
              </w:rPr>
              <w:t>/</w:t>
            </w:r>
          </w:p>
        </w:tc>
        <w:tc>
          <w:tcPr>
            <w:tcW w:w="3144" w:type="dxa"/>
            <w:gridSpan w:val="2"/>
            <w:tcBorders>
              <w:tl2br w:val="nil"/>
              <w:tr2bl w:val="nil"/>
            </w:tcBorders>
            <w:noWrap w:val="0"/>
            <w:vAlign w:val="center"/>
          </w:tcPr>
          <w:p w14:paraId="56755439">
            <w:pPr>
              <w:pStyle w:val="1405"/>
              <w:bidi w:val="0"/>
              <w:rPr>
                <w:rFonts w:hint="eastAsia"/>
                <w:color w:val="auto"/>
                <w:highlight w:val="none"/>
              </w:rPr>
            </w:pPr>
            <w:r>
              <w:rPr>
                <w:rFonts w:hint="eastAsia"/>
                <w:color w:val="auto"/>
                <w:highlight w:val="none"/>
                <w:lang w:eastAsia="zh-CN"/>
              </w:rPr>
              <w:t>《工业涂装工序挥发性有机物排放标准》（DB35/1783-2018）表1“汽车整车制造”排放限值；《大气污染物综合排放标准》（GB16297-1996）表2中二级标准</w:t>
            </w:r>
            <w:r>
              <w:rPr>
                <w:rFonts w:hint="eastAsia"/>
                <w:color w:val="auto"/>
                <w:highlight w:val="none"/>
                <w:lang w:val="en-US" w:eastAsia="zh-CN"/>
              </w:rPr>
              <w:t>；《福建省工业炉窑大气污染综合治理方案》（闽环保大气〔2019〕10号）鼓励排放限值；《工业炉窑大气污染物排放标准》（GB9078-1996）表2限值；</w:t>
            </w:r>
            <w:r>
              <w:rPr>
                <w:rFonts w:hint="eastAsia"/>
                <w:color w:val="auto"/>
                <w:highlight w:val="none"/>
              </w:rPr>
              <w:t>《恶臭污染物排放标准》（GB14554-93）</w:t>
            </w:r>
            <w:r>
              <w:rPr>
                <w:rFonts w:hint="eastAsia"/>
                <w:color w:val="auto"/>
                <w:highlight w:val="none"/>
                <w:lang w:val="en-US" w:eastAsia="zh-CN"/>
              </w:rPr>
              <w:t>表2排放标准</w:t>
            </w:r>
          </w:p>
        </w:tc>
        <w:tc>
          <w:tcPr>
            <w:tcW w:w="1640" w:type="dxa"/>
            <w:vMerge w:val="continue"/>
            <w:tcBorders>
              <w:tl2br w:val="nil"/>
              <w:tr2bl w:val="nil"/>
            </w:tcBorders>
            <w:noWrap w:val="0"/>
            <w:vAlign w:val="center"/>
          </w:tcPr>
          <w:p w14:paraId="7E3A4E53">
            <w:pPr>
              <w:pStyle w:val="1405"/>
              <w:bidi w:val="0"/>
              <w:rPr>
                <w:color w:val="auto"/>
                <w:highlight w:val="none"/>
              </w:rPr>
            </w:pPr>
          </w:p>
        </w:tc>
        <w:tc>
          <w:tcPr>
            <w:tcW w:w="951" w:type="dxa"/>
            <w:vMerge w:val="continue"/>
            <w:tcBorders>
              <w:tl2br w:val="nil"/>
              <w:tr2bl w:val="nil"/>
            </w:tcBorders>
            <w:noWrap w:val="0"/>
            <w:vAlign w:val="center"/>
          </w:tcPr>
          <w:p w14:paraId="1DC59A2E">
            <w:pPr>
              <w:pStyle w:val="1405"/>
              <w:bidi w:val="0"/>
              <w:rPr>
                <w:rFonts w:hint="eastAsia" w:eastAsia="宋体"/>
                <w:color w:val="auto"/>
                <w:highlight w:val="none"/>
                <w:lang w:val="en-US" w:eastAsia="zh-CN"/>
              </w:rPr>
            </w:pPr>
          </w:p>
        </w:tc>
      </w:tr>
      <w:tr w14:paraId="55B8C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9" w:type="dxa"/>
            <w:tcBorders>
              <w:tl2br w:val="nil"/>
              <w:tr2bl w:val="nil"/>
            </w:tcBorders>
            <w:noWrap w:val="0"/>
            <w:vAlign w:val="center"/>
          </w:tcPr>
          <w:p w14:paraId="1A251773">
            <w:pPr>
              <w:pStyle w:val="1405"/>
              <w:bidi w:val="0"/>
              <w:rPr>
                <w:rFonts w:hint="default"/>
                <w:color w:val="auto"/>
                <w:highlight w:val="none"/>
                <w:lang w:val="en-US" w:eastAsia="zh-CN"/>
              </w:rPr>
            </w:pPr>
            <w:r>
              <w:rPr>
                <w:rFonts w:hint="eastAsia"/>
                <w:color w:val="auto"/>
                <w:highlight w:val="none"/>
                <w:lang w:val="en-US" w:eastAsia="zh-CN"/>
              </w:rPr>
              <w:t>3.1.7</w:t>
            </w:r>
          </w:p>
        </w:tc>
        <w:tc>
          <w:tcPr>
            <w:tcW w:w="1126" w:type="dxa"/>
            <w:tcBorders>
              <w:tl2br w:val="nil"/>
              <w:tr2bl w:val="nil"/>
            </w:tcBorders>
            <w:noWrap w:val="0"/>
            <w:vAlign w:val="center"/>
          </w:tcPr>
          <w:p w14:paraId="267006D7">
            <w:pPr>
              <w:pStyle w:val="1405"/>
              <w:bidi w:val="0"/>
              <w:rPr>
                <w:rFonts w:hint="default"/>
                <w:color w:val="auto"/>
                <w:highlight w:val="none"/>
                <w:lang w:val="en-US" w:eastAsia="zh-CN"/>
              </w:rPr>
            </w:pPr>
            <w:r>
              <w:rPr>
                <w:rFonts w:hint="eastAsia"/>
                <w:color w:val="auto"/>
                <w:highlight w:val="none"/>
                <w:lang w:val="en-US" w:eastAsia="zh-CN"/>
              </w:rPr>
              <w:t>塑料粉碎工序废气（B库）</w:t>
            </w:r>
          </w:p>
        </w:tc>
        <w:tc>
          <w:tcPr>
            <w:tcW w:w="622" w:type="dxa"/>
            <w:tcBorders>
              <w:tl2br w:val="nil"/>
              <w:tr2bl w:val="nil"/>
            </w:tcBorders>
            <w:noWrap w:val="0"/>
            <w:vAlign w:val="center"/>
          </w:tcPr>
          <w:p w14:paraId="65B23B2C">
            <w:pPr>
              <w:pStyle w:val="1405"/>
              <w:bidi w:val="0"/>
              <w:rPr>
                <w:rFonts w:hint="eastAsia"/>
                <w:color w:val="auto"/>
                <w:highlight w:val="none"/>
                <w:lang w:val="en-US" w:eastAsia="zh-CN"/>
              </w:rPr>
            </w:pPr>
            <w:r>
              <w:rPr>
                <w:color w:val="auto"/>
                <w:highlight w:val="none"/>
              </w:rPr>
              <w:t>无组织</w:t>
            </w:r>
          </w:p>
        </w:tc>
        <w:tc>
          <w:tcPr>
            <w:tcW w:w="1406" w:type="dxa"/>
            <w:tcBorders>
              <w:tl2br w:val="nil"/>
              <w:tr2bl w:val="nil"/>
            </w:tcBorders>
            <w:noWrap w:val="0"/>
            <w:vAlign w:val="center"/>
          </w:tcPr>
          <w:p w14:paraId="6F2D24B3">
            <w:pPr>
              <w:pStyle w:val="1405"/>
              <w:bidi w:val="0"/>
              <w:rPr>
                <w:rFonts w:hint="eastAsia" w:eastAsia="宋体"/>
                <w:color w:val="auto"/>
                <w:highlight w:val="none"/>
                <w:lang w:val="en-US" w:eastAsia="zh-CN"/>
              </w:rPr>
            </w:pPr>
            <w:r>
              <w:rPr>
                <w:rFonts w:hint="eastAsia"/>
                <w:color w:val="auto"/>
                <w:highlight w:val="none"/>
                <w:lang w:val="en-US" w:eastAsia="zh-CN"/>
              </w:rPr>
              <w:t>颗粒物</w:t>
            </w:r>
          </w:p>
        </w:tc>
        <w:tc>
          <w:tcPr>
            <w:tcW w:w="1274" w:type="dxa"/>
            <w:gridSpan w:val="2"/>
            <w:tcBorders>
              <w:tl2br w:val="nil"/>
              <w:tr2bl w:val="nil"/>
            </w:tcBorders>
            <w:noWrap w:val="0"/>
            <w:vAlign w:val="center"/>
          </w:tcPr>
          <w:p w14:paraId="67D6184C">
            <w:pPr>
              <w:pStyle w:val="1405"/>
              <w:bidi w:val="0"/>
              <w:rPr>
                <w:rFonts w:hint="default"/>
                <w:color w:val="auto"/>
                <w:highlight w:val="none"/>
                <w:lang w:val="en-US" w:eastAsia="zh-CN"/>
              </w:rPr>
            </w:pPr>
            <w:r>
              <w:rPr>
                <w:rFonts w:hint="eastAsia"/>
                <w:color w:val="auto"/>
                <w:highlight w:val="none"/>
                <w:lang w:val="en-US" w:eastAsia="zh-CN"/>
              </w:rPr>
              <w:t>集气罩+布袋除尘器</w:t>
            </w:r>
          </w:p>
        </w:tc>
        <w:tc>
          <w:tcPr>
            <w:tcW w:w="921" w:type="dxa"/>
            <w:tcBorders>
              <w:tl2br w:val="nil"/>
              <w:tr2bl w:val="nil"/>
            </w:tcBorders>
            <w:shd w:val="clear" w:color="auto" w:fill="auto"/>
            <w:noWrap w:val="0"/>
            <w:vAlign w:val="center"/>
          </w:tcPr>
          <w:p w14:paraId="64AAAF78">
            <w:pPr>
              <w:pStyle w:val="1405"/>
              <w:bidi w:val="0"/>
              <w:ind w:firstLine="0" w:firstLineChars="0"/>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1000</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lang w:val="en-US" w:eastAsia="zh-CN"/>
              </w:rPr>
              <w:t>/h</w:t>
            </w:r>
          </w:p>
        </w:tc>
        <w:tc>
          <w:tcPr>
            <w:tcW w:w="1225" w:type="dxa"/>
            <w:tcBorders>
              <w:tl2br w:val="nil"/>
              <w:tr2bl w:val="nil"/>
            </w:tcBorders>
            <w:shd w:val="clear" w:color="auto" w:fill="auto"/>
            <w:noWrap w:val="0"/>
            <w:vAlign w:val="center"/>
          </w:tcPr>
          <w:p w14:paraId="0A94432C">
            <w:pPr>
              <w:pStyle w:val="1405"/>
              <w:bidi w:val="0"/>
              <w:ind w:firstLine="0" w:firstLineChars="0"/>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w:t>
            </w:r>
          </w:p>
        </w:tc>
        <w:tc>
          <w:tcPr>
            <w:tcW w:w="1020" w:type="dxa"/>
            <w:gridSpan w:val="2"/>
            <w:tcBorders>
              <w:tl2br w:val="nil"/>
              <w:tr2bl w:val="nil"/>
            </w:tcBorders>
            <w:shd w:val="clear" w:color="auto" w:fill="auto"/>
            <w:noWrap w:val="0"/>
            <w:vAlign w:val="center"/>
          </w:tcPr>
          <w:p w14:paraId="1A94701C">
            <w:pPr>
              <w:pStyle w:val="1405"/>
              <w:bidi w:val="0"/>
              <w:ind w:firstLine="0" w:firstLineChars="0"/>
              <w:rPr>
                <w:rFonts w:hint="eastAsia" w:ascii="Times New Roman" w:hAnsi="Times New Roman" w:eastAsia="宋体" w:cs="Times New Roman"/>
                <w:color w:val="auto"/>
                <w:kern w:val="2"/>
                <w:sz w:val="21"/>
                <w:szCs w:val="20"/>
                <w:highlight w:val="none"/>
                <w:lang w:val="en-US" w:eastAsia="zh-CN" w:bidi="ar-SA"/>
              </w:rPr>
            </w:pPr>
            <w:r>
              <w:rPr>
                <w:rFonts w:hint="eastAsia"/>
                <w:color w:val="auto"/>
                <w:highlight w:val="none"/>
                <w:lang w:val="en-US" w:eastAsia="zh-CN"/>
              </w:rPr>
              <w:t>/</w:t>
            </w:r>
          </w:p>
        </w:tc>
        <w:tc>
          <w:tcPr>
            <w:tcW w:w="3144" w:type="dxa"/>
            <w:gridSpan w:val="2"/>
            <w:tcBorders>
              <w:tl2br w:val="nil"/>
              <w:tr2bl w:val="nil"/>
            </w:tcBorders>
            <w:noWrap w:val="0"/>
            <w:vAlign w:val="center"/>
          </w:tcPr>
          <w:p w14:paraId="0526838D">
            <w:pPr>
              <w:pStyle w:val="1405"/>
              <w:bidi w:val="0"/>
              <w:rPr>
                <w:rFonts w:hint="eastAsia"/>
                <w:color w:val="auto"/>
                <w:highlight w:val="none"/>
              </w:rPr>
            </w:pPr>
            <w:r>
              <w:rPr>
                <w:rFonts w:hint="eastAsia"/>
                <w:color w:val="auto"/>
                <w:highlight w:val="none"/>
              </w:rPr>
              <w:t>《合成树脂工业污染物排放标准》（GB31572-2015）表9企业边界大气污染物浓度限值</w:t>
            </w:r>
          </w:p>
        </w:tc>
        <w:tc>
          <w:tcPr>
            <w:tcW w:w="1640" w:type="dxa"/>
            <w:vMerge w:val="continue"/>
            <w:tcBorders>
              <w:tl2br w:val="nil"/>
              <w:tr2bl w:val="nil"/>
            </w:tcBorders>
            <w:noWrap w:val="0"/>
            <w:vAlign w:val="center"/>
          </w:tcPr>
          <w:p w14:paraId="19CFB312">
            <w:pPr>
              <w:pStyle w:val="1405"/>
              <w:bidi w:val="0"/>
              <w:rPr>
                <w:color w:val="auto"/>
                <w:highlight w:val="none"/>
              </w:rPr>
            </w:pPr>
          </w:p>
        </w:tc>
        <w:tc>
          <w:tcPr>
            <w:tcW w:w="951" w:type="dxa"/>
            <w:vMerge w:val="continue"/>
            <w:tcBorders>
              <w:tl2br w:val="nil"/>
              <w:tr2bl w:val="nil"/>
            </w:tcBorders>
            <w:noWrap w:val="0"/>
            <w:vAlign w:val="center"/>
          </w:tcPr>
          <w:p w14:paraId="63663215">
            <w:pPr>
              <w:pStyle w:val="1405"/>
              <w:bidi w:val="0"/>
              <w:rPr>
                <w:rFonts w:hint="eastAsia" w:eastAsia="宋体"/>
                <w:color w:val="auto"/>
                <w:highlight w:val="none"/>
                <w:lang w:val="en-US" w:eastAsia="zh-CN"/>
              </w:rPr>
            </w:pPr>
          </w:p>
        </w:tc>
      </w:tr>
      <w:tr w14:paraId="45AFD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765D320B">
            <w:pPr>
              <w:pStyle w:val="1405"/>
              <w:bidi w:val="0"/>
              <w:rPr>
                <w:rFonts w:hint="eastAsia" w:eastAsia="宋体"/>
                <w:color w:val="auto"/>
                <w:highlight w:val="none"/>
                <w:lang w:eastAsia="zh-CN"/>
              </w:rPr>
            </w:pPr>
            <w:r>
              <w:rPr>
                <w:color w:val="auto"/>
                <w:highlight w:val="none"/>
              </w:rPr>
              <w:t>3.1.</w:t>
            </w:r>
            <w:r>
              <w:rPr>
                <w:rFonts w:hint="eastAsia"/>
                <w:color w:val="auto"/>
                <w:highlight w:val="none"/>
                <w:lang w:val="en-US" w:eastAsia="zh-CN"/>
              </w:rPr>
              <w:t>8</w:t>
            </w:r>
          </w:p>
        </w:tc>
        <w:tc>
          <w:tcPr>
            <w:tcW w:w="1126" w:type="dxa"/>
            <w:tcBorders>
              <w:tl2br w:val="nil"/>
              <w:tr2bl w:val="nil"/>
            </w:tcBorders>
            <w:noWrap w:val="0"/>
            <w:vAlign w:val="center"/>
          </w:tcPr>
          <w:p w14:paraId="291D183D">
            <w:pPr>
              <w:pStyle w:val="1405"/>
              <w:bidi w:val="0"/>
              <w:rPr>
                <w:rFonts w:hint="default"/>
                <w:color w:val="auto"/>
                <w:highlight w:val="none"/>
                <w:lang w:val="en-US" w:eastAsia="zh-CN"/>
              </w:rPr>
            </w:pPr>
            <w:r>
              <w:rPr>
                <w:rFonts w:hint="eastAsia"/>
                <w:color w:val="auto"/>
                <w:highlight w:val="none"/>
                <w:lang w:val="en-US" w:eastAsia="zh-CN"/>
              </w:rPr>
              <w:t>生产车间（A库、B库）</w:t>
            </w:r>
          </w:p>
        </w:tc>
        <w:tc>
          <w:tcPr>
            <w:tcW w:w="622" w:type="dxa"/>
            <w:tcBorders>
              <w:tl2br w:val="nil"/>
              <w:tr2bl w:val="nil"/>
            </w:tcBorders>
            <w:noWrap w:val="0"/>
            <w:vAlign w:val="center"/>
          </w:tcPr>
          <w:p w14:paraId="06F7CE10">
            <w:pPr>
              <w:pStyle w:val="1405"/>
              <w:bidi w:val="0"/>
              <w:rPr>
                <w:color w:val="auto"/>
                <w:highlight w:val="none"/>
                <w:lang w:val="en-US" w:eastAsia="zh-CN"/>
              </w:rPr>
            </w:pPr>
            <w:r>
              <w:rPr>
                <w:color w:val="auto"/>
                <w:highlight w:val="none"/>
              </w:rPr>
              <w:t>无组织</w:t>
            </w:r>
          </w:p>
        </w:tc>
        <w:tc>
          <w:tcPr>
            <w:tcW w:w="1406" w:type="dxa"/>
            <w:tcBorders>
              <w:tl2br w:val="nil"/>
              <w:tr2bl w:val="nil"/>
            </w:tcBorders>
            <w:noWrap w:val="0"/>
            <w:vAlign w:val="center"/>
          </w:tcPr>
          <w:p w14:paraId="191D29CB">
            <w:pPr>
              <w:pStyle w:val="1405"/>
              <w:bidi w:val="0"/>
              <w:rPr>
                <w:rFonts w:hint="default"/>
                <w:color w:val="auto"/>
                <w:highlight w:val="none"/>
                <w:lang w:val="en-US" w:eastAsia="zh-CN"/>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颗粒物、乙酸乙酯、二甲苯、臭气浓度</w:t>
            </w:r>
          </w:p>
        </w:tc>
        <w:tc>
          <w:tcPr>
            <w:tcW w:w="1274" w:type="dxa"/>
            <w:gridSpan w:val="2"/>
            <w:tcBorders>
              <w:tl2br w:val="nil"/>
              <w:tr2bl w:val="nil"/>
            </w:tcBorders>
            <w:noWrap w:val="0"/>
            <w:vAlign w:val="center"/>
          </w:tcPr>
          <w:p w14:paraId="165F88EB">
            <w:pPr>
              <w:pStyle w:val="1405"/>
              <w:bidi w:val="0"/>
              <w:rPr>
                <w:rFonts w:hint="default"/>
                <w:color w:val="auto"/>
                <w:highlight w:val="none"/>
                <w:lang w:val="en-US" w:eastAsia="zh-CN"/>
              </w:rPr>
            </w:pPr>
            <w:r>
              <w:rPr>
                <w:rFonts w:hint="eastAsia"/>
                <w:color w:val="auto"/>
                <w:highlight w:val="none"/>
                <w:lang w:val="en-US" w:eastAsia="zh-CN"/>
              </w:rPr>
              <w:t>未收集</w:t>
            </w:r>
          </w:p>
        </w:tc>
        <w:tc>
          <w:tcPr>
            <w:tcW w:w="921" w:type="dxa"/>
            <w:tcBorders>
              <w:tl2br w:val="nil"/>
              <w:tr2bl w:val="nil"/>
            </w:tcBorders>
            <w:noWrap w:val="0"/>
            <w:vAlign w:val="center"/>
          </w:tcPr>
          <w:p w14:paraId="1AB4578E">
            <w:pPr>
              <w:pStyle w:val="1405"/>
              <w:bidi w:val="0"/>
              <w:rPr>
                <w:rFonts w:hint="eastAsia"/>
                <w:color w:val="auto"/>
                <w:highlight w:val="none"/>
                <w:lang w:val="en-US" w:eastAsia="zh-CN"/>
              </w:rPr>
            </w:pPr>
            <w:r>
              <w:rPr>
                <w:rFonts w:hint="eastAsia"/>
                <w:color w:val="auto"/>
                <w:highlight w:val="none"/>
                <w:lang w:val="en-US" w:eastAsia="zh-CN"/>
              </w:rPr>
              <w:t>/</w:t>
            </w:r>
          </w:p>
        </w:tc>
        <w:tc>
          <w:tcPr>
            <w:tcW w:w="1225" w:type="dxa"/>
            <w:tcBorders>
              <w:tl2br w:val="nil"/>
              <w:tr2bl w:val="nil"/>
            </w:tcBorders>
            <w:noWrap w:val="0"/>
            <w:vAlign w:val="center"/>
          </w:tcPr>
          <w:p w14:paraId="21D50E06">
            <w:pPr>
              <w:pStyle w:val="1405"/>
              <w:bidi w:val="0"/>
              <w:rPr>
                <w:rFonts w:hint="eastAsia"/>
                <w:color w:val="auto"/>
                <w:highlight w:val="none"/>
                <w:lang w:val="en-US" w:eastAsia="zh-CN"/>
              </w:rPr>
            </w:pPr>
            <w:r>
              <w:rPr>
                <w:rFonts w:hint="eastAsia"/>
                <w:color w:val="auto"/>
                <w:highlight w:val="none"/>
                <w:lang w:val="en-US" w:eastAsia="zh-CN"/>
              </w:rPr>
              <w:t>/</w:t>
            </w:r>
          </w:p>
        </w:tc>
        <w:tc>
          <w:tcPr>
            <w:tcW w:w="1020" w:type="dxa"/>
            <w:gridSpan w:val="2"/>
            <w:tcBorders>
              <w:tl2br w:val="nil"/>
              <w:tr2bl w:val="nil"/>
            </w:tcBorders>
            <w:noWrap w:val="0"/>
            <w:vAlign w:val="center"/>
          </w:tcPr>
          <w:p w14:paraId="7A62BBE3">
            <w:pPr>
              <w:pStyle w:val="1405"/>
              <w:bidi w:val="0"/>
              <w:rPr>
                <w:rFonts w:hint="eastAsia"/>
                <w:color w:val="auto"/>
                <w:highlight w:val="none"/>
                <w:lang w:val="en-US" w:eastAsia="zh-CN"/>
              </w:rPr>
            </w:pPr>
            <w:r>
              <w:rPr>
                <w:rFonts w:hint="eastAsia"/>
                <w:color w:val="auto"/>
                <w:highlight w:val="none"/>
                <w:lang w:val="en-US" w:eastAsia="zh-CN"/>
              </w:rPr>
              <w:t>/</w:t>
            </w:r>
          </w:p>
        </w:tc>
        <w:tc>
          <w:tcPr>
            <w:tcW w:w="3144" w:type="dxa"/>
            <w:gridSpan w:val="2"/>
            <w:tcBorders>
              <w:tl2br w:val="nil"/>
              <w:tr2bl w:val="nil"/>
            </w:tcBorders>
            <w:noWrap w:val="0"/>
            <w:vAlign w:val="center"/>
          </w:tcPr>
          <w:p w14:paraId="5875CCC7">
            <w:pPr>
              <w:pStyle w:val="1405"/>
              <w:bidi w:val="0"/>
              <w:rPr>
                <w:color w:val="auto"/>
                <w:highlight w:val="none"/>
              </w:rPr>
            </w:pPr>
            <w:r>
              <w:rPr>
                <w:rFonts w:ascii="Times New Roman" w:hAnsi="Times New Roman" w:eastAsia="宋体" w:cs="Times New Roman"/>
                <w:b w:val="0"/>
                <w:bCs/>
                <w:color w:val="auto"/>
                <w:kern w:val="0"/>
                <w:sz w:val="21"/>
                <w:szCs w:val="22"/>
                <w:highlight w:val="none"/>
                <w:lang w:eastAsia="en-US"/>
              </w:rPr>
              <w:t>《工业涂装工序挥发性有机物排放标准》（DB35/1783-2018）</w:t>
            </w:r>
            <w:r>
              <w:rPr>
                <w:rFonts w:hint="eastAsia" w:cs="Times New Roman"/>
                <w:b w:val="0"/>
                <w:bCs/>
                <w:color w:val="auto"/>
                <w:kern w:val="0"/>
                <w:sz w:val="21"/>
                <w:szCs w:val="22"/>
                <w:highlight w:val="none"/>
                <w:lang w:val="en-US" w:eastAsia="zh-CN"/>
              </w:rPr>
              <w:t>表3厂区内监控点浓度限值及表</w:t>
            </w:r>
            <w:r>
              <w:rPr>
                <w:rFonts w:ascii="Times New Roman" w:hAnsi="Times New Roman" w:eastAsia="宋体" w:cs="Times New Roman"/>
                <w:b w:val="0"/>
                <w:bCs/>
                <w:color w:val="auto"/>
                <w:kern w:val="0"/>
                <w:sz w:val="21"/>
                <w:szCs w:val="22"/>
                <w:highlight w:val="none"/>
                <w:lang w:eastAsia="en-US"/>
              </w:rPr>
              <w:t>4企业边界监控点浓度限值</w:t>
            </w:r>
            <w:r>
              <w:rPr>
                <w:rFonts w:hint="eastAsia"/>
                <w:color w:val="auto"/>
                <w:highlight w:val="none"/>
                <w:lang w:eastAsia="zh-CN"/>
              </w:rPr>
              <w:t>；</w:t>
            </w:r>
            <w:r>
              <w:rPr>
                <w:rFonts w:hint="eastAsia" w:cs="Times New Roman"/>
                <w:color w:val="auto"/>
                <w:highlight w:val="none"/>
                <w:lang w:val="en-US" w:eastAsia="zh-CN"/>
              </w:rPr>
              <w:t>《挥发性有机物无组织排放控制标准》（GB37822-2019）附录A中表A.1排放限值要求；</w:t>
            </w:r>
            <w:r>
              <w:rPr>
                <w:rFonts w:hint="eastAsia"/>
                <w:color w:val="auto"/>
                <w:highlight w:val="none"/>
              </w:rPr>
              <w:t>《合成树脂工业污染物排放标准》（GB31572-2015）表9企业边界大气污染物浓度限值</w:t>
            </w:r>
            <w:r>
              <w:rPr>
                <w:rFonts w:hint="eastAsia"/>
                <w:color w:val="auto"/>
                <w:highlight w:val="none"/>
                <w:lang w:eastAsia="zh-CN"/>
              </w:rPr>
              <w:t>；</w:t>
            </w:r>
            <w:r>
              <w:rPr>
                <w:rFonts w:ascii="Times New Roman" w:hAnsi="Times New Roman" w:eastAsia="宋体" w:cs="Times New Roman"/>
                <w:b w:val="0"/>
                <w:bCs/>
                <w:color w:val="auto"/>
                <w:kern w:val="0"/>
                <w:sz w:val="21"/>
                <w:szCs w:val="22"/>
                <w:highlight w:val="none"/>
                <w:lang w:eastAsia="en-US"/>
              </w:rPr>
              <w:t>《大气污染物综合排放标准》表2无组织排放监控点浓度限值</w:t>
            </w:r>
            <w:r>
              <w:rPr>
                <w:rFonts w:hint="eastAsia" w:ascii="Times New Roman" w:hAnsi="Times New Roman" w:eastAsia="宋体" w:cs="Times New Roman"/>
                <w:b w:val="0"/>
                <w:bCs/>
                <w:color w:val="auto"/>
                <w:kern w:val="0"/>
                <w:sz w:val="21"/>
                <w:szCs w:val="22"/>
                <w:highlight w:val="none"/>
                <w:lang w:eastAsia="zh-CN"/>
              </w:rPr>
              <w:t>；</w:t>
            </w:r>
            <w:r>
              <w:rPr>
                <w:rFonts w:hint="eastAsia"/>
                <w:color w:val="auto"/>
                <w:highlight w:val="none"/>
              </w:rPr>
              <w:t>《恶臭污染物排放标准》（GB14554-93）</w:t>
            </w:r>
            <w:r>
              <w:rPr>
                <w:rFonts w:hint="eastAsia"/>
                <w:color w:val="auto"/>
                <w:highlight w:val="none"/>
                <w:lang w:val="en-US" w:eastAsia="zh-CN"/>
              </w:rPr>
              <w:t>表1</w:t>
            </w:r>
            <w:r>
              <w:rPr>
                <w:rFonts w:hint="eastAsia"/>
                <w:color w:val="auto"/>
                <w:highlight w:val="none"/>
              </w:rPr>
              <w:t>中二级</w:t>
            </w:r>
            <w:r>
              <w:rPr>
                <w:rFonts w:hint="eastAsia"/>
                <w:color w:val="auto"/>
                <w:highlight w:val="none"/>
                <w:lang w:val="en-US" w:eastAsia="zh-CN"/>
              </w:rPr>
              <w:t>新扩改建</w:t>
            </w:r>
            <w:r>
              <w:rPr>
                <w:rFonts w:hint="eastAsia"/>
                <w:color w:val="auto"/>
                <w:highlight w:val="none"/>
              </w:rPr>
              <w:t>标准</w:t>
            </w:r>
          </w:p>
        </w:tc>
        <w:tc>
          <w:tcPr>
            <w:tcW w:w="1640" w:type="dxa"/>
            <w:vMerge w:val="continue"/>
            <w:tcBorders>
              <w:tl2br w:val="nil"/>
              <w:tr2bl w:val="nil"/>
            </w:tcBorders>
            <w:noWrap w:val="0"/>
            <w:vAlign w:val="center"/>
          </w:tcPr>
          <w:p w14:paraId="4C10BB80">
            <w:pPr>
              <w:pStyle w:val="1405"/>
              <w:bidi w:val="0"/>
              <w:rPr>
                <w:color w:val="auto"/>
                <w:highlight w:val="none"/>
              </w:rPr>
            </w:pPr>
          </w:p>
        </w:tc>
        <w:tc>
          <w:tcPr>
            <w:tcW w:w="951" w:type="dxa"/>
            <w:vMerge w:val="continue"/>
            <w:tcBorders>
              <w:tl2br w:val="nil"/>
              <w:tr2bl w:val="nil"/>
            </w:tcBorders>
            <w:noWrap w:val="0"/>
            <w:vAlign w:val="center"/>
          </w:tcPr>
          <w:p w14:paraId="20D2388C">
            <w:pPr>
              <w:pStyle w:val="1358"/>
              <w:rPr>
                <w:rFonts w:hint="default" w:eastAsia="宋体"/>
                <w:color w:val="auto"/>
                <w:highlight w:val="none"/>
                <w:lang w:val="en-US" w:eastAsia="zh-CN"/>
              </w:rPr>
            </w:pPr>
          </w:p>
        </w:tc>
      </w:tr>
      <w:tr w14:paraId="1BCDD7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70743684">
            <w:pPr>
              <w:pStyle w:val="1405"/>
              <w:bidi w:val="0"/>
              <w:rPr>
                <w:color w:val="auto"/>
                <w:highlight w:val="none"/>
              </w:rPr>
            </w:pPr>
            <w:r>
              <w:rPr>
                <w:color w:val="auto"/>
                <w:highlight w:val="none"/>
              </w:rPr>
              <w:t>3.2</w:t>
            </w:r>
          </w:p>
        </w:tc>
        <w:tc>
          <w:tcPr>
            <w:tcW w:w="13329" w:type="dxa"/>
            <w:gridSpan w:val="13"/>
            <w:tcBorders>
              <w:tl2br w:val="nil"/>
              <w:tr2bl w:val="nil"/>
            </w:tcBorders>
            <w:noWrap w:val="0"/>
            <w:vAlign w:val="center"/>
          </w:tcPr>
          <w:p w14:paraId="5131ECCE">
            <w:pPr>
              <w:pStyle w:val="1405"/>
              <w:bidi w:val="0"/>
              <w:rPr>
                <w:color w:val="auto"/>
                <w:highlight w:val="none"/>
              </w:rPr>
            </w:pPr>
            <w:r>
              <w:rPr>
                <w:color w:val="auto"/>
                <w:highlight w:val="none"/>
              </w:rPr>
              <w:t>废水</w:t>
            </w:r>
          </w:p>
        </w:tc>
      </w:tr>
      <w:tr w14:paraId="2601F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6F174E4A">
            <w:pPr>
              <w:pStyle w:val="1405"/>
              <w:bidi w:val="0"/>
              <w:rPr>
                <w:color w:val="auto"/>
                <w:highlight w:val="none"/>
              </w:rPr>
            </w:pPr>
            <w:r>
              <w:rPr>
                <w:color w:val="auto"/>
                <w:highlight w:val="none"/>
              </w:rPr>
              <w:t>3.2.1</w:t>
            </w:r>
          </w:p>
        </w:tc>
        <w:tc>
          <w:tcPr>
            <w:tcW w:w="1748" w:type="dxa"/>
            <w:gridSpan w:val="2"/>
            <w:tcBorders>
              <w:tl2br w:val="nil"/>
              <w:tr2bl w:val="nil"/>
            </w:tcBorders>
            <w:noWrap w:val="0"/>
            <w:vAlign w:val="center"/>
          </w:tcPr>
          <w:p w14:paraId="453B0002">
            <w:pPr>
              <w:pStyle w:val="1405"/>
              <w:bidi w:val="0"/>
              <w:ind w:firstLine="0" w:firstLineChars="0"/>
              <w:rPr>
                <w:color w:val="auto"/>
                <w:highlight w:val="none"/>
              </w:rPr>
            </w:pPr>
            <w:r>
              <w:rPr>
                <w:color w:val="auto"/>
                <w:highlight w:val="none"/>
              </w:rPr>
              <w:t>生活污水</w:t>
            </w:r>
          </w:p>
        </w:tc>
        <w:tc>
          <w:tcPr>
            <w:tcW w:w="1406" w:type="dxa"/>
            <w:tcBorders>
              <w:tl2br w:val="nil"/>
              <w:tr2bl w:val="nil"/>
            </w:tcBorders>
            <w:noWrap w:val="0"/>
            <w:vAlign w:val="center"/>
          </w:tcPr>
          <w:p w14:paraId="558110AC">
            <w:pPr>
              <w:pStyle w:val="1405"/>
              <w:bidi w:val="0"/>
              <w:ind w:firstLine="0" w:firstLineChars="0"/>
              <w:rPr>
                <w:rFonts w:hint="default"/>
                <w:color w:val="auto"/>
                <w:highlight w:val="none"/>
                <w:lang w:val="en-US"/>
              </w:rPr>
            </w:pPr>
            <w:r>
              <w:rPr>
                <w:rFonts w:hint="eastAsia"/>
                <w:color w:val="auto"/>
                <w:highlight w:val="none"/>
              </w:rPr>
              <w:t>pH、</w:t>
            </w:r>
            <w:r>
              <w:rPr>
                <w:color w:val="auto"/>
                <w:highlight w:val="none"/>
              </w:rPr>
              <w:t>COD</w:t>
            </w:r>
            <w:r>
              <w:rPr>
                <w:rFonts w:hint="eastAsia"/>
                <w:color w:val="auto"/>
                <w:highlight w:val="none"/>
                <w:vertAlign w:val="subscript"/>
              </w:rPr>
              <w:t>Cr</w:t>
            </w:r>
            <w:r>
              <w:rPr>
                <w:color w:val="auto"/>
                <w:highlight w:val="none"/>
              </w:rPr>
              <w:t>、BOD</w:t>
            </w:r>
            <w:r>
              <w:rPr>
                <w:color w:val="auto"/>
                <w:highlight w:val="none"/>
                <w:vertAlign w:val="subscript"/>
              </w:rPr>
              <w:t>5</w:t>
            </w:r>
            <w:r>
              <w:rPr>
                <w:color w:val="auto"/>
                <w:highlight w:val="none"/>
              </w:rPr>
              <w:t>、SS、</w:t>
            </w:r>
            <w:r>
              <w:rPr>
                <w:rFonts w:hint="eastAsia"/>
                <w:color w:val="auto"/>
                <w:highlight w:val="none"/>
                <w:lang w:val="en-US" w:eastAsia="zh-CN"/>
              </w:rPr>
              <w:t>氨氮</w:t>
            </w:r>
          </w:p>
        </w:tc>
        <w:tc>
          <w:tcPr>
            <w:tcW w:w="1274" w:type="dxa"/>
            <w:gridSpan w:val="2"/>
            <w:tcBorders>
              <w:tl2br w:val="nil"/>
              <w:tr2bl w:val="nil"/>
            </w:tcBorders>
            <w:noWrap w:val="0"/>
            <w:vAlign w:val="center"/>
          </w:tcPr>
          <w:p w14:paraId="193E5A3E">
            <w:pPr>
              <w:pStyle w:val="1405"/>
              <w:bidi w:val="0"/>
              <w:ind w:firstLine="0" w:firstLineChars="0"/>
              <w:rPr>
                <w:color w:val="auto"/>
                <w:highlight w:val="none"/>
              </w:rPr>
            </w:pPr>
            <w:r>
              <w:rPr>
                <w:color w:val="auto"/>
                <w:highlight w:val="none"/>
              </w:rPr>
              <w:t>化粪池</w:t>
            </w:r>
          </w:p>
        </w:tc>
        <w:tc>
          <w:tcPr>
            <w:tcW w:w="921" w:type="dxa"/>
            <w:tcBorders>
              <w:tl2br w:val="nil"/>
              <w:tr2bl w:val="nil"/>
            </w:tcBorders>
            <w:noWrap w:val="0"/>
            <w:vAlign w:val="center"/>
          </w:tcPr>
          <w:p w14:paraId="22BFA142">
            <w:pPr>
              <w:pStyle w:val="1405"/>
              <w:bidi w:val="0"/>
              <w:ind w:firstLine="0" w:firstLineChars="0"/>
              <w:rPr>
                <w:rFonts w:hint="default" w:eastAsia="宋体"/>
                <w:color w:val="auto"/>
                <w:highlight w:val="none"/>
                <w:lang w:val="en-US" w:eastAsia="zh-CN"/>
              </w:rPr>
            </w:pPr>
            <w:r>
              <w:rPr>
                <w:rFonts w:hint="eastAsia"/>
                <w:color w:val="auto"/>
                <w:highlight w:val="none"/>
                <w:lang w:val="en-US" w:eastAsia="zh-CN"/>
              </w:rPr>
              <w:t>4m</w:t>
            </w:r>
            <w:r>
              <w:rPr>
                <w:rFonts w:hint="eastAsia"/>
                <w:color w:val="auto"/>
                <w:highlight w:val="none"/>
                <w:vertAlign w:val="superscript"/>
                <w:lang w:val="en-US" w:eastAsia="zh-CN"/>
              </w:rPr>
              <w:t>3</w:t>
            </w:r>
          </w:p>
        </w:tc>
        <w:tc>
          <w:tcPr>
            <w:tcW w:w="1284" w:type="dxa"/>
            <w:gridSpan w:val="2"/>
            <w:tcBorders>
              <w:tl2br w:val="nil"/>
              <w:tr2bl w:val="nil"/>
            </w:tcBorders>
            <w:noWrap w:val="0"/>
            <w:vAlign w:val="center"/>
          </w:tcPr>
          <w:p w14:paraId="321A485B">
            <w:pPr>
              <w:pStyle w:val="1405"/>
              <w:bidi w:val="0"/>
              <w:ind w:firstLine="0" w:firstLineChars="0"/>
              <w:rPr>
                <w:rFonts w:hint="eastAsia"/>
                <w:color w:val="auto"/>
                <w:highlight w:val="none"/>
                <w:lang w:eastAsia="zh-CN"/>
              </w:rPr>
            </w:pPr>
            <w:r>
              <w:rPr>
                <w:rFonts w:hint="eastAsia"/>
                <w:color w:val="auto"/>
                <w:highlight w:val="none"/>
                <w:lang w:val="en-US" w:eastAsia="zh-CN"/>
              </w:rPr>
              <w:t>间接排放，</w:t>
            </w:r>
            <w:r>
              <w:rPr>
                <w:color w:val="auto"/>
                <w:highlight w:val="none"/>
              </w:rPr>
              <w:t>排入</w:t>
            </w:r>
            <w:r>
              <w:rPr>
                <w:rFonts w:hint="eastAsia"/>
                <w:color w:val="auto"/>
                <w:highlight w:val="none"/>
                <w:lang w:eastAsia="zh-CN"/>
              </w:rPr>
              <w:t>青口汽车工业开发区污水处理厂</w:t>
            </w:r>
          </w:p>
        </w:tc>
        <w:tc>
          <w:tcPr>
            <w:tcW w:w="961" w:type="dxa"/>
            <w:tcBorders>
              <w:tl2br w:val="nil"/>
              <w:tr2bl w:val="nil"/>
            </w:tcBorders>
            <w:noWrap w:val="0"/>
            <w:vAlign w:val="center"/>
          </w:tcPr>
          <w:p w14:paraId="2EC5B12B">
            <w:pPr>
              <w:pStyle w:val="1405"/>
              <w:bidi w:val="0"/>
              <w:ind w:firstLine="0" w:firstLineChars="0"/>
              <w:rPr>
                <w:rFonts w:hint="default"/>
                <w:color w:val="auto"/>
                <w:highlight w:val="none"/>
                <w:lang w:val="en-US" w:eastAsia="zh-CN"/>
              </w:rPr>
            </w:pPr>
            <w:r>
              <w:rPr>
                <w:rFonts w:hint="eastAsia"/>
                <w:color w:val="auto"/>
                <w:highlight w:val="none"/>
                <w:lang w:val="en-US" w:eastAsia="zh-CN"/>
              </w:rPr>
              <w:t>DW001</w:t>
            </w:r>
          </w:p>
        </w:tc>
        <w:tc>
          <w:tcPr>
            <w:tcW w:w="3144" w:type="dxa"/>
            <w:gridSpan w:val="2"/>
            <w:vMerge w:val="restart"/>
            <w:tcBorders>
              <w:tl2br w:val="nil"/>
              <w:tr2bl w:val="nil"/>
            </w:tcBorders>
            <w:noWrap w:val="0"/>
            <w:vAlign w:val="center"/>
          </w:tcPr>
          <w:p w14:paraId="21BFBBBE">
            <w:pPr>
              <w:pStyle w:val="1405"/>
              <w:bidi w:val="0"/>
              <w:rPr>
                <w:rFonts w:hint="eastAsia"/>
                <w:color w:val="auto"/>
                <w:highlight w:val="none"/>
                <w:lang w:eastAsia="zh-CN"/>
              </w:rPr>
            </w:pPr>
            <w:r>
              <w:rPr>
                <w:color w:val="auto"/>
                <w:highlight w:val="none"/>
              </w:rPr>
              <w:t>《污水综合排放标准》（GB8978-1996）表4中的三级标准（其中NH</w:t>
            </w:r>
            <w:r>
              <w:rPr>
                <w:color w:val="auto"/>
                <w:highlight w:val="none"/>
                <w:vertAlign w:val="subscript"/>
              </w:rPr>
              <w:t>3</w:t>
            </w:r>
            <w:r>
              <w:rPr>
                <w:color w:val="auto"/>
                <w:highlight w:val="none"/>
              </w:rPr>
              <w:t>-N参照执行《污水排入城镇下水道水质标准》（GB/T31962-2015）表1中B级标准）</w:t>
            </w:r>
          </w:p>
        </w:tc>
        <w:tc>
          <w:tcPr>
            <w:tcW w:w="1640" w:type="dxa"/>
            <w:vMerge w:val="restart"/>
            <w:tcBorders>
              <w:tl2br w:val="nil"/>
              <w:tr2bl w:val="nil"/>
            </w:tcBorders>
            <w:noWrap w:val="0"/>
            <w:vAlign w:val="center"/>
          </w:tcPr>
          <w:p w14:paraId="11D9C775">
            <w:pPr>
              <w:pStyle w:val="1405"/>
              <w:bidi w:val="0"/>
              <w:rPr>
                <w:color w:val="auto"/>
                <w:highlight w:val="none"/>
              </w:rPr>
            </w:pPr>
            <w:r>
              <w:rPr>
                <w:color w:val="auto"/>
                <w:highlight w:val="none"/>
              </w:rPr>
              <w:t>《地表水环境质量标准》（GB3838-2002）</w:t>
            </w:r>
            <w:r>
              <w:rPr>
                <w:rFonts w:hint="default" w:ascii="Times New Roman" w:hAnsi="Times New Roman" w:cs="Times New Roman"/>
                <w:color w:val="auto"/>
                <w:highlight w:val="none"/>
                <w:lang w:eastAsia="zh-CN"/>
              </w:rPr>
              <w:t>Ⅲ</w:t>
            </w:r>
            <w:r>
              <w:rPr>
                <w:rFonts w:hint="eastAsia"/>
                <w:color w:val="auto"/>
                <w:highlight w:val="none"/>
                <w:lang w:eastAsia="zh-CN"/>
              </w:rPr>
              <w:t>类</w:t>
            </w:r>
          </w:p>
        </w:tc>
        <w:tc>
          <w:tcPr>
            <w:tcW w:w="951" w:type="dxa"/>
            <w:tcBorders>
              <w:tl2br w:val="nil"/>
              <w:tr2bl w:val="nil"/>
            </w:tcBorders>
            <w:noWrap w:val="0"/>
            <w:vAlign w:val="center"/>
          </w:tcPr>
          <w:p w14:paraId="2B5692FF">
            <w:pPr>
              <w:pStyle w:val="1321"/>
              <w:rPr>
                <w:rFonts w:hint="eastAsia" w:eastAsia="宋体"/>
                <w:color w:val="auto"/>
                <w:highlight w:val="none"/>
                <w:lang w:val="en-US" w:eastAsia="zh-CN"/>
              </w:rPr>
            </w:pPr>
            <w:r>
              <w:rPr>
                <w:rFonts w:hint="eastAsia" w:cs="Times New Roman"/>
                <w:color w:val="auto"/>
                <w:highlight w:val="none"/>
                <w:lang w:val="en-US" w:eastAsia="zh-CN"/>
              </w:rPr>
              <w:t>/</w:t>
            </w:r>
          </w:p>
        </w:tc>
      </w:tr>
      <w:tr w14:paraId="6D33F7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053997EF">
            <w:pPr>
              <w:pStyle w:val="1405"/>
              <w:bidi w:val="0"/>
              <w:rPr>
                <w:rFonts w:hint="default" w:eastAsia="宋体"/>
                <w:color w:val="auto"/>
                <w:highlight w:val="none"/>
                <w:lang w:val="en-US" w:eastAsia="zh-CN"/>
              </w:rPr>
            </w:pPr>
            <w:r>
              <w:rPr>
                <w:rFonts w:hint="eastAsia"/>
                <w:color w:val="auto"/>
                <w:highlight w:val="none"/>
                <w:lang w:val="en-US" w:eastAsia="zh-CN"/>
              </w:rPr>
              <w:t>3.2.2</w:t>
            </w:r>
          </w:p>
        </w:tc>
        <w:tc>
          <w:tcPr>
            <w:tcW w:w="1748" w:type="dxa"/>
            <w:gridSpan w:val="2"/>
            <w:tcBorders>
              <w:tl2br w:val="nil"/>
              <w:tr2bl w:val="nil"/>
            </w:tcBorders>
            <w:noWrap w:val="0"/>
            <w:vAlign w:val="center"/>
          </w:tcPr>
          <w:p w14:paraId="5C07BF42">
            <w:pPr>
              <w:pStyle w:val="1405"/>
              <w:bidi w:val="0"/>
              <w:ind w:firstLine="0" w:firstLineChars="0"/>
              <w:rPr>
                <w:rFonts w:hint="default" w:eastAsia="宋体"/>
                <w:color w:val="auto"/>
                <w:highlight w:val="none"/>
                <w:lang w:val="en-US" w:eastAsia="zh-CN"/>
              </w:rPr>
            </w:pPr>
            <w:r>
              <w:rPr>
                <w:rFonts w:hint="eastAsia"/>
                <w:color w:val="auto"/>
                <w:highlight w:val="none"/>
                <w:lang w:val="en-US" w:eastAsia="zh-CN"/>
              </w:rPr>
              <w:t>生产废水（锅炉排污水、反渗透浓水）</w:t>
            </w:r>
          </w:p>
        </w:tc>
        <w:tc>
          <w:tcPr>
            <w:tcW w:w="1406" w:type="dxa"/>
            <w:tcBorders>
              <w:tl2br w:val="nil"/>
              <w:tr2bl w:val="nil"/>
            </w:tcBorders>
            <w:noWrap w:val="0"/>
            <w:vAlign w:val="center"/>
          </w:tcPr>
          <w:p w14:paraId="1F0E455C">
            <w:pPr>
              <w:pStyle w:val="1405"/>
              <w:bidi w:val="0"/>
              <w:ind w:firstLine="0" w:firstLineChars="0"/>
              <w:rPr>
                <w:rFonts w:hint="default" w:eastAsia="宋体"/>
                <w:color w:val="auto"/>
                <w:highlight w:val="none"/>
                <w:lang w:val="en-US" w:eastAsia="zh-CN"/>
              </w:rPr>
            </w:pPr>
            <w:r>
              <w:rPr>
                <w:color w:val="auto"/>
                <w:highlight w:val="none"/>
              </w:rPr>
              <w:t>COD</w:t>
            </w:r>
            <w:r>
              <w:rPr>
                <w:rFonts w:hint="eastAsia"/>
                <w:color w:val="auto"/>
                <w:highlight w:val="none"/>
                <w:vertAlign w:val="subscript"/>
              </w:rPr>
              <w:t>Cr</w:t>
            </w:r>
            <w:r>
              <w:rPr>
                <w:color w:val="auto"/>
                <w:highlight w:val="none"/>
              </w:rPr>
              <w:t>、SS、</w:t>
            </w:r>
            <w:r>
              <w:rPr>
                <w:rFonts w:hint="eastAsia"/>
                <w:color w:val="auto"/>
                <w:highlight w:val="none"/>
                <w:lang w:val="en-US" w:eastAsia="zh-CN"/>
              </w:rPr>
              <w:t>TDS</w:t>
            </w:r>
          </w:p>
        </w:tc>
        <w:tc>
          <w:tcPr>
            <w:tcW w:w="1274" w:type="dxa"/>
            <w:gridSpan w:val="2"/>
            <w:tcBorders>
              <w:tl2br w:val="nil"/>
              <w:tr2bl w:val="nil"/>
            </w:tcBorders>
            <w:noWrap w:val="0"/>
            <w:vAlign w:val="center"/>
          </w:tcPr>
          <w:p w14:paraId="4EECB60A">
            <w:pPr>
              <w:pStyle w:val="1405"/>
              <w:bidi w:val="0"/>
              <w:ind w:firstLine="0" w:firstLineChars="0"/>
              <w:rPr>
                <w:rFonts w:hint="eastAsia" w:eastAsia="宋体"/>
                <w:color w:val="auto"/>
                <w:highlight w:val="none"/>
                <w:lang w:val="en-US" w:eastAsia="zh-CN"/>
              </w:rPr>
            </w:pPr>
            <w:r>
              <w:rPr>
                <w:rFonts w:hint="eastAsia"/>
                <w:color w:val="auto"/>
                <w:highlight w:val="none"/>
                <w:lang w:val="en-US" w:eastAsia="zh-CN"/>
              </w:rPr>
              <w:t>/</w:t>
            </w:r>
          </w:p>
        </w:tc>
        <w:tc>
          <w:tcPr>
            <w:tcW w:w="921" w:type="dxa"/>
            <w:tcBorders>
              <w:tl2br w:val="nil"/>
              <w:tr2bl w:val="nil"/>
            </w:tcBorders>
            <w:noWrap w:val="0"/>
            <w:vAlign w:val="center"/>
          </w:tcPr>
          <w:p w14:paraId="78EEFD3D">
            <w:pPr>
              <w:pStyle w:val="1405"/>
              <w:bidi w:val="0"/>
              <w:ind w:firstLine="0" w:firstLineChars="0"/>
              <w:rPr>
                <w:rFonts w:hint="default"/>
                <w:color w:val="auto"/>
                <w:highlight w:val="none"/>
                <w:lang w:val="en-US" w:eastAsia="zh-CN"/>
              </w:rPr>
            </w:pPr>
            <w:r>
              <w:rPr>
                <w:rFonts w:hint="eastAsia"/>
                <w:color w:val="auto"/>
                <w:highlight w:val="none"/>
                <w:lang w:val="en-US" w:eastAsia="zh-CN"/>
              </w:rPr>
              <w:t>/</w:t>
            </w:r>
          </w:p>
        </w:tc>
        <w:tc>
          <w:tcPr>
            <w:tcW w:w="1284" w:type="dxa"/>
            <w:gridSpan w:val="2"/>
            <w:tcBorders>
              <w:tl2br w:val="nil"/>
              <w:tr2bl w:val="nil"/>
            </w:tcBorders>
            <w:noWrap w:val="0"/>
            <w:vAlign w:val="center"/>
          </w:tcPr>
          <w:p w14:paraId="6BFC7012">
            <w:pPr>
              <w:pStyle w:val="1405"/>
              <w:bidi w:val="0"/>
              <w:ind w:firstLine="0" w:firstLineChars="0"/>
              <w:rPr>
                <w:rFonts w:hint="eastAsia"/>
                <w:color w:val="auto"/>
                <w:highlight w:val="none"/>
                <w:lang w:val="en-US" w:eastAsia="zh-CN"/>
              </w:rPr>
            </w:pPr>
            <w:r>
              <w:rPr>
                <w:rFonts w:hint="eastAsia"/>
                <w:color w:val="auto"/>
                <w:highlight w:val="none"/>
                <w:lang w:val="en-US" w:eastAsia="zh-CN"/>
              </w:rPr>
              <w:t>间接排放，</w:t>
            </w:r>
            <w:r>
              <w:rPr>
                <w:color w:val="auto"/>
                <w:highlight w:val="none"/>
              </w:rPr>
              <w:t>排入</w:t>
            </w:r>
            <w:r>
              <w:rPr>
                <w:rFonts w:hint="eastAsia"/>
                <w:color w:val="auto"/>
                <w:highlight w:val="none"/>
                <w:lang w:eastAsia="zh-CN"/>
              </w:rPr>
              <w:t>青口汽车工业开发区污水处理厂</w:t>
            </w:r>
          </w:p>
        </w:tc>
        <w:tc>
          <w:tcPr>
            <w:tcW w:w="961" w:type="dxa"/>
            <w:tcBorders>
              <w:tl2br w:val="nil"/>
              <w:tr2bl w:val="nil"/>
            </w:tcBorders>
            <w:noWrap w:val="0"/>
            <w:vAlign w:val="center"/>
          </w:tcPr>
          <w:p w14:paraId="7F953202">
            <w:pPr>
              <w:pStyle w:val="1405"/>
              <w:bidi w:val="0"/>
              <w:ind w:firstLine="0" w:firstLineChars="0"/>
              <w:rPr>
                <w:rFonts w:hint="eastAsia"/>
                <w:color w:val="auto"/>
                <w:highlight w:val="none"/>
                <w:lang w:val="en-US" w:eastAsia="zh-CN"/>
              </w:rPr>
            </w:pPr>
            <w:r>
              <w:rPr>
                <w:rFonts w:hint="eastAsia"/>
                <w:color w:val="auto"/>
                <w:highlight w:val="none"/>
                <w:lang w:val="en-US" w:eastAsia="zh-CN"/>
              </w:rPr>
              <w:t>DW001</w:t>
            </w:r>
          </w:p>
        </w:tc>
        <w:tc>
          <w:tcPr>
            <w:tcW w:w="3144" w:type="dxa"/>
            <w:gridSpan w:val="2"/>
            <w:vMerge w:val="continue"/>
            <w:tcBorders>
              <w:tl2br w:val="nil"/>
              <w:tr2bl w:val="nil"/>
            </w:tcBorders>
            <w:noWrap w:val="0"/>
            <w:vAlign w:val="center"/>
          </w:tcPr>
          <w:p w14:paraId="09FE92DE">
            <w:pPr>
              <w:pStyle w:val="1405"/>
              <w:bidi w:val="0"/>
              <w:rPr>
                <w:color w:val="auto"/>
                <w:highlight w:val="none"/>
              </w:rPr>
            </w:pPr>
          </w:p>
        </w:tc>
        <w:tc>
          <w:tcPr>
            <w:tcW w:w="1640" w:type="dxa"/>
            <w:vMerge w:val="continue"/>
            <w:tcBorders>
              <w:tl2br w:val="nil"/>
              <w:tr2bl w:val="nil"/>
            </w:tcBorders>
            <w:noWrap w:val="0"/>
            <w:vAlign w:val="center"/>
          </w:tcPr>
          <w:p w14:paraId="2B7CA9CE">
            <w:pPr>
              <w:pStyle w:val="1405"/>
              <w:bidi w:val="0"/>
              <w:rPr>
                <w:color w:val="auto"/>
                <w:highlight w:val="none"/>
              </w:rPr>
            </w:pPr>
          </w:p>
        </w:tc>
        <w:tc>
          <w:tcPr>
            <w:tcW w:w="951" w:type="dxa"/>
            <w:tcBorders>
              <w:tl2br w:val="nil"/>
              <w:tr2bl w:val="nil"/>
            </w:tcBorders>
            <w:noWrap w:val="0"/>
            <w:vAlign w:val="center"/>
          </w:tcPr>
          <w:p w14:paraId="1B31E902">
            <w:pPr>
              <w:pStyle w:val="1321"/>
              <w:rPr>
                <w:rFonts w:hint="default" w:cs="Times New Roman"/>
                <w:color w:val="auto"/>
                <w:highlight w:val="none"/>
                <w:lang w:val="en-US" w:eastAsia="zh-CN"/>
              </w:rPr>
            </w:pPr>
            <w:r>
              <w:rPr>
                <w:rFonts w:hint="eastAsia" w:cs="Times New Roman"/>
                <w:color w:val="auto"/>
                <w:highlight w:val="none"/>
                <w:lang w:val="en-US" w:eastAsia="zh-CN"/>
              </w:rPr>
              <w:t>/</w:t>
            </w:r>
          </w:p>
        </w:tc>
      </w:tr>
      <w:tr w14:paraId="455596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1BE0E7B7">
            <w:pPr>
              <w:pStyle w:val="1405"/>
              <w:bidi w:val="0"/>
              <w:rPr>
                <w:color w:val="auto"/>
                <w:highlight w:val="none"/>
              </w:rPr>
            </w:pPr>
            <w:r>
              <w:rPr>
                <w:color w:val="auto"/>
                <w:highlight w:val="none"/>
              </w:rPr>
              <w:t>3.3</w:t>
            </w:r>
          </w:p>
        </w:tc>
        <w:tc>
          <w:tcPr>
            <w:tcW w:w="13329" w:type="dxa"/>
            <w:gridSpan w:val="13"/>
            <w:tcBorders>
              <w:tl2br w:val="nil"/>
              <w:tr2bl w:val="nil"/>
            </w:tcBorders>
            <w:noWrap w:val="0"/>
            <w:vAlign w:val="center"/>
          </w:tcPr>
          <w:p w14:paraId="634AD111">
            <w:pPr>
              <w:pStyle w:val="1405"/>
              <w:bidi w:val="0"/>
              <w:rPr>
                <w:color w:val="auto"/>
                <w:highlight w:val="none"/>
              </w:rPr>
            </w:pPr>
            <w:r>
              <w:rPr>
                <w:color w:val="auto"/>
                <w:highlight w:val="none"/>
              </w:rPr>
              <w:t>噪声</w:t>
            </w:r>
          </w:p>
        </w:tc>
      </w:tr>
      <w:tr w14:paraId="6D47F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2C621C67">
            <w:pPr>
              <w:pStyle w:val="1405"/>
              <w:bidi w:val="0"/>
              <w:rPr>
                <w:color w:val="auto"/>
                <w:highlight w:val="none"/>
              </w:rPr>
            </w:pPr>
            <w:r>
              <w:rPr>
                <w:color w:val="auto"/>
                <w:highlight w:val="none"/>
              </w:rPr>
              <w:t>3.3.1</w:t>
            </w:r>
          </w:p>
        </w:tc>
        <w:tc>
          <w:tcPr>
            <w:tcW w:w="1748" w:type="dxa"/>
            <w:gridSpan w:val="2"/>
            <w:tcBorders>
              <w:tl2br w:val="nil"/>
              <w:tr2bl w:val="nil"/>
            </w:tcBorders>
            <w:noWrap w:val="0"/>
            <w:vAlign w:val="center"/>
          </w:tcPr>
          <w:p w14:paraId="5C6850B7">
            <w:pPr>
              <w:pStyle w:val="1405"/>
              <w:bidi w:val="0"/>
              <w:rPr>
                <w:color w:val="auto"/>
                <w:highlight w:val="none"/>
              </w:rPr>
            </w:pPr>
            <w:r>
              <w:rPr>
                <w:color w:val="auto"/>
                <w:highlight w:val="none"/>
              </w:rPr>
              <w:t>设备噪声</w:t>
            </w:r>
          </w:p>
        </w:tc>
        <w:tc>
          <w:tcPr>
            <w:tcW w:w="2040" w:type="dxa"/>
            <w:gridSpan w:val="2"/>
            <w:tcBorders>
              <w:tl2br w:val="nil"/>
              <w:tr2bl w:val="nil"/>
            </w:tcBorders>
            <w:noWrap w:val="0"/>
            <w:vAlign w:val="center"/>
          </w:tcPr>
          <w:p w14:paraId="148D90F1">
            <w:pPr>
              <w:pStyle w:val="1405"/>
              <w:bidi w:val="0"/>
              <w:rPr>
                <w:color w:val="auto"/>
                <w:highlight w:val="none"/>
              </w:rPr>
            </w:pPr>
            <w:r>
              <w:rPr>
                <w:color w:val="auto"/>
                <w:highlight w:val="none"/>
              </w:rPr>
              <w:t>Leq（A）</w:t>
            </w:r>
          </w:p>
        </w:tc>
        <w:tc>
          <w:tcPr>
            <w:tcW w:w="3806" w:type="dxa"/>
            <w:gridSpan w:val="5"/>
            <w:tcBorders>
              <w:tl2br w:val="nil"/>
              <w:tr2bl w:val="nil"/>
            </w:tcBorders>
            <w:noWrap w:val="0"/>
            <w:vAlign w:val="center"/>
          </w:tcPr>
          <w:p w14:paraId="05DD1BEA">
            <w:pPr>
              <w:pStyle w:val="1405"/>
              <w:bidi w:val="0"/>
              <w:rPr>
                <w:color w:val="auto"/>
                <w:highlight w:val="none"/>
              </w:rPr>
            </w:pPr>
            <w:r>
              <w:rPr>
                <w:color w:val="auto"/>
                <w:highlight w:val="none"/>
              </w:rPr>
              <w:t>厂区绿化、设备减振、厂房隔声</w:t>
            </w:r>
          </w:p>
        </w:tc>
        <w:tc>
          <w:tcPr>
            <w:tcW w:w="3144" w:type="dxa"/>
            <w:gridSpan w:val="2"/>
            <w:tcBorders>
              <w:tl2br w:val="nil"/>
              <w:tr2bl w:val="nil"/>
            </w:tcBorders>
            <w:noWrap w:val="0"/>
            <w:vAlign w:val="center"/>
          </w:tcPr>
          <w:p w14:paraId="1725C1A4">
            <w:pPr>
              <w:pStyle w:val="1405"/>
              <w:bidi w:val="0"/>
              <w:rPr>
                <w:rFonts w:hint="default"/>
                <w:color w:val="auto"/>
                <w:highlight w:val="none"/>
                <w:lang w:val="en-US" w:eastAsia="zh-CN"/>
              </w:rPr>
            </w:pPr>
            <w:r>
              <w:rPr>
                <w:color w:val="auto"/>
                <w:highlight w:val="none"/>
              </w:rPr>
              <w:t>《工业企业厂界环境噪声排放标准》（GB12348-2008）中3类</w:t>
            </w:r>
            <w:r>
              <w:rPr>
                <w:rFonts w:hint="eastAsia"/>
                <w:color w:val="auto"/>
                <w:highlight w:val="none"/>
                <w:lang w:eastAsia="zh-CN"/>
              </w:rPr>
              <w:t>，</w:t>
            </w:r>
            <w:r>
              <w:rPr>
                <w:rFonts w:hint="eastAsia"/>
                <w:color w:val="auto"/>
                <w:highlight w:val="none"/>
                <w:lang w:val="en-US" w:eastAsia="zh-CN"/>
              </w:rPr>
              <w:t>靠近祥宏南路一侧执行4类标准</w:t>
            </w:r>
          </w:p>
        </w:tc>
        <w:tc>
          <w:tcPr>
            <w:tcW w:w="1640" w:type="dxa"/>
            <w:tcBorders>
              <w:tl2br w:val="nil"/>
              <w:tr2bl w:val="nil"/>
            </w:tcBorders>
            <w:noWrap w:val="0"/>
            <w:vAlign w:val="center"/>
          </w:tcPr>
          <w:p w14:paraId="1EB79839">
            <w:pPr>
              <w:pStyle w:val="1405"/>
              <w:bidi w:val="0"/>
              <w:rPr>
                <w:rFonts w:hint="default" w:eastAsia="宋体"/>
                <w:color w:val="auto"/>
                <w:highlight w:val="none"/>
                <w:lang w:val="en-US" w:eastAsia="zh-CN"/>
              </w:rPr>
            </w:pPr>
            <w:r>
              <w:rPr>
                <w:color w:val="auto"/>
                <w:highlight w:val="none"/>
              </w:rPr>
              <w:t>《声环境质量标准》（GB3096-2008）中3类</w:t>
            </w:r>
            <w:r>
              <w:rPr>
                <w:rFonts w:hint="eastAsia"/>
                <w:color w:val="auto"/>
                <w:highlight w:val="none"/>
                <w:lang w:eastAsia="zh-CN"/>
              </w:rPr>
              <w:t>，</w:t>
            </w:r>
            <w:r>
              <w:rPr>
                <w:rFonts w:hint="eastAsia"/>
                <w:color w:val="auto"/>
                <w:highlight w:val="none"/>
                <w:lang w:val="en-US" w:eastAsia="zh-CN"/>
              </w:rPr>
              <w:t>靠近祥宏南路一侧执行4a类标准</w:t>
            </w:r>
          </w:p>
        </w:tc>
        <w:tc>
          <w:tcPr>
            <w:tcW w:w="951" w:type="dxa"/>
            <w:tcBorders>
              <w:tl2br w:val="nil"/>
              <w:tr2bl w:val="nil"/>
            </w:tcBorders>
            <w:noWrap w:val="0"/>
            <w:vAlign w:val="center"/>
          </w:tcPr>
          <w:p w14:paraId="727F6D86">
            <w:pPr>
              <w:pStyle w:val="1405"/>
              <w:bidi w:val="0"/>
              <w:rPr>
                <w:color w:val="auto"/>
                <w:highlight w:val="none"/>
              </w:rPr>
            </w:pPr>
            <w:r>
              <w:rPr>
                <w:color w:val="auto"/>
                <w:highlight w:val="none"/>
              </w:rPr>
              <w:t>/</w:t>
            </w:r>
          </w:p>
        </w:tc>
      </w:tr>
      <w:tr w14:paraId="3A3F6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3ECE3F08">
            <w:pPr>
              <w:pStyle w:val="1321"/>
              <w:rPr>
                <w:i w:val="0"/>
                <w:iCs w:val="0"/>
                <w:color w:val="auto"/>
                <w:highlight w:val="none"/>
              </w:rPr>
            </w:pPr>
            <w:r>
              <w:rPr>
                <w:i w:val="0"/>
                <w:iCs w:val="0"/>
                <w:color w:val="auto"/>
                <w:highlight w:val="none"/>
              </w:rPr>
              <w:t>3.4</w:t>
            </w:r>
          </w:p>
        </w:tc>
        <w:tc>
          <w:tcPr>
            <w:tcW w:w="13329" w:type="dxa"/>
            <w:gridSpan w:val="13"/>
            <w:tcBorders>
              <w:tl2br w:val="nil"/>
              <w:tr2bl w:val="nil"/>
            </w:tcBorders>
            <w:noWrap w:val="0"/>
            <w:vAlign w:val="center"/>
          </w:tcPr>
          <w:p w14:paraId="3052B0A9">
            <w:pPr>
              <w:pStyle w:val="1321"/>
              <w:rPr>
                <w:rFonts w:hint="eastAsia" w:eastAsia="宋体"/>
                <w:i w:val="0"/>
                <w:iCs w:val="0"/>
                <w:color w:val="auto"/>
                <w:highlight w:val="none"/>
                <w:lang w:eastAsia="zh-CN"/>
              </w:rPr>
            </w:pPr>
            <w:r>
              <w:rPr>
                <w:rFonts w:hint="eastAsia"/>
                <w:i w:val="0"/>
                <w:iCs w:val="0"/>
                <w:color w:val="auto"/>
                <w:highlight w:val="none"/>
                <w:lang w:val="en-US" w:eastAsia="zh-CN"/>
              </w:rPr>
              <w:t>固废</w:t>
            </w:r>
          </w:p>
        </w:tc>
      </w:tr>
      <w:tr w14:paraId="3EF8F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64347381">
            <w:pPr>
              <w:pStyle w:val="1405"/>
              <w:bidi w:val="0"/>
              <w:rPr>
                <w:i w:val="0"/>
                <w:iCs w:val="0"/>
                <w:color w:val="auto"/>
                <w:highlight w:val="none"/>
              </w:rPr>
            </w:pPr>
            <w:r>
              <w:rPr>
                <w:i w:val="0"/>
                <w:iCs w:val="0"/>
                <w:color w:val="auto"/>
                <w:highlight w:val="none"/>
              </w:rPr>
              <w:t>3.4.1</w:t>
            </w:r>
          </w:p>
        </w:tc>
        <w:tc>
          <w:tcPr>
            <w:tcW w:w="1748" w:type="dxa"/>
            <w:gridSpan w:val="2"/>
            <w:tcBorders>
              <w:tl2br w:val="nil"/>
              <w:tr2bl w:val="nil"/>
            </w:tcBorders>
            <w:noWrap w:val="0"/>
            <w:vAlign w:val="center"/>
          </w:tcPr>
          <w:p w14:paraId="362892BD">
            <w:pPr>
              <w:pStyle w:val="1405"/>
              <w:bidi w:val="0"/>
              <w:rPr>
                <w:i w:val="0"/>
                <w:iCs w:val="0"/>
                <w:color w:val="auto"/>
                <w:highlight w:val="none"/>
              </w:rPr>
            </w:pPr>
            <w:r>
              <w:rPr>
                <w:i w:val="0"/>
                <w:iCs w:val="0"/>
                <w:color w:val="auto"/>
                <w:highlight w:val="none"/>
              </w:rPr>
              <w:t>生活垃圾</w:t>
            </w:r>
          </w:p>
        </w:tc>
        <w:tc>
          <w:tcPr>
            <w:tcW w:w="5846" w:type="dxa"/>
            <w:gridSpan w:val="7"/>
            <w:tcBorders>
              <w:tl2br w:val="nil"/>
              <w:tr2bl w:val="nil"/>
            </w:tcBorders>
            <w:noWrap w:val="0"/>
            <w:vAlign w:val="center"/>
          </w:tcPr>
          <w:p w14:paraId="10D686DB">
            <w:pPr>
              <w:pStyle w:val="1321"/>
              <w:rPr>
                <w:i w:val="0"/>
                <w:iCs w:val="0"/>
                <w:color w:val="auto"/>
                <w:highlight w:val="none"/>
              </w:rPr>
            </w:pPr>
            <w:r>
              <w:rPr>
                <w:i w:val="0"/>
                <w:iCs w:val="0"/>
                <w:color w:val="auto"/>
                <w:highlight w:val="none"/>
              </w:rPr>
              <w:t>在厂区内</w:t>
            </w:r>
            <w:r>
              <w:rPr>
                <w:rFonts w:hint="eastAsia"/>
                <w:i w:val="0"/>
                <w:iCs w:val="0"/>
                <w:color w:val="auto"/>
                <w:highlight w:val="none"/>
                <w:lang w:eastAsia="zh-CN"/>
              </w:rPr>
              <w:t>设置</w:t>
            </w:r>
            <w:r>
              <w:rPr>
                <w:i w:val="0"/>
                <w:iCs w:val="0"/>
                <w:color w:val="auto"/>
                <w:highlight w:val="none"/>
              </w:rPr>
              <w:t>专门的垃圾收集桶，集中后由环卫部门每日清运处理</w:t>
            </w:r>
          </w:p>
        </w:tc>
        <w:tc>
          <w:tcPr>
            <w:tcW w:w="4784" w:type="dxa"/>
            <w:gridSpan w:val="3"/>
            <w:tcBorders>
              <w:tl2br w:val="nil"/>
              <w:tr2bl w:val="nil"/>
            </w:tcBorders>
            <w:noWrap w:val="0"/>
            <w:vAlign w:val="center"/>
          </w:tcPr>
          <w:p w14:paraId="46EEE200">
            <w:pPr>
              <w:pStyle w:val="1358"/>
              <w:bidi w:val="0"/>
              <w:rPr>
                <w:i w:val="0"/>
                <w:iCs w:val="0"/>
                <w:color w:val="auto"/>
                <w:highlight w:val="none"/>
              </w:rPr>
            </w:pPr>
            <w:r>
              <w:rPr>
                <w:rFonts w:ascii="Times New Roman" w:hAnsi="Times New Roman" w:eastAsia="宋体" w:cs="Times New Roman"/>
                <w:color w:val="auto"/>
                <w:highlight w:val="none"/>
              </w:rPr>
              <w:t>《</w:t>
            </w:r>
            <w:r>
              <w:rPr>
                <w:rFonts w:hint="eastAsia" w:cs="Times New Roman"/>
                <w:color w:val="auto"/>
                <w:highlight w:val="none"/>
                <w:lang w:eastAsia="zh-CN"/>
              </w:rPr>
              <w:t>城市环境卫生设施规划标准</w:t>
            </w:r>
            <w:r>
              <w:rPr>
                <w:rFonts w:ascii="Times New Roman" w:hAnsi="Times New Roman" w:eastAsia="宋体" w:cs="Times New Roman"/>
                <w:color w:val="auto"/>
                <w:highlight w:val="none"/>
              </w:rPr>
              <w:t>》（</w:t>
            </w:r>
            <w:r>
              <w:rPr>
                <w:rFonts w:hint="eastAsia" w:cs="Times New Roman"/>
                <w:color w:val="auto"/>
                <w:highlight w:val="none"/>
                <w:lang w:eastAsia="zh-CN"/>
              </w:rPr>
              <w:t>GB/T 50337-2018</w:t>
            </w:r>
            <w:r>
              <w:rPr>
                <w:rFonts w:ascii="Times New Roman" w:hAnsi="Times New Roman" w:eastAsia="宋体" w:cs="Times New Roman"/>
                <w:color w:val="auto"/>
                <w:highlight w:val="none"/>
              </w:rPr>
              <w:t>）</w:t>
            </w:r>
          </w:p>
        </w:tc>
        <w:tc>
          <w:tcPr>
            <w:tcW w:w="951" w:type="dxa"/>
            <w:tcBorders>
              <w:tl2br w:val="nil"/>
              <w:tr2bl w:val="nil"/>
            </w:tcBorders>
            <w:noWrap w:val="0"/>
            <w:vAlign w:val="center"/>
          </w:tcPr>
          <w:p w14:paraId="30F1DDEA">
            <w:pPr>
              <w:pStyle w:val="1405"/>
              <w:bidi w:val="0"/>
              <w:rPr>
                <w:i w:val="0"/>
                <w:iCs w:val="0"/>
                <w:color w:val="auto"/>
                <w:highlight w:val="none"/>
              </w:rPr>
            </w:pPr>
            <w:r>
              <w:rPr>
                <w:i w:val="0"/>
                <w:iCs w:val="0"/>
                <w:color w:val="auto"/>
                <w:highlight w:val="none"/>
              </w:rPr>
              <w:t>/</w:t>
            </w:r>
          </w:p>
        </w:tc>
      </w:tr>
      <w:tr w14:paraId="0A500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6ECE3C64">
            <w:pPr>
              <w:pStyle w:val="1321"/>
              <w:rPr>
                <w:i w:val="0"/>
                <w:iCs w:val="0"/>
                <w:color w:val="auto"/>
                <w:highlight w:val="none"/>
              </w:rPr>
            </w:pPr>
            <w:r>
              <w:rPr>
                <w:i w:val="0"/>
                <w:iCs w:val="0"/>
                <w:color w:val="auto"/>
                <w:highlight w:val="none"/>
              </w:rPr>
              <w:t>3.4.2</w:t>
            </w:r>
          </w:p>
        </w:tc>
        <w:tc>
          <w:tcPr>
            <w:tcW w:w="1748" w:type="dxa"/>
            <w:gridSpan w:val="2"/>
            <w:tcBorders>
              <w:tl2br w:val="nil"/>
              <w:tr2bl w:val="nil"/>
            </w:tcBorders>
            <w:noWrap w:val="0"/>
            <w:vAlign w:val="center"/>
          </w:tcPr>
          <w:p w14:paraId="5D84073A">
            <w:pPr>
              <w:pStyle w:val="1321"/>
              <w:rPr>
                <w:i w:val="0"/>
                <w:iCs w:val="0"/>
                <w:color w:val="auto"/>
                <w:highlight w:val="none"/>
              </w:rPr>
            </w:pPr>
            <w:r>
              <w:rPr>
                <w:i w:val="0"/>
                <w:iCs w:val="0"/>
                <w:color w:val="auto"/>
                <w:highlight w:val="none"/>
              </w:rPr>
              <w:t>一般固废</w:t>
            </w:r>
          </w:p>
        </w:tc>
        <w:tc>
          <w:tcPr>
            <w:tcW w:w="5846" w:type="dxa"/>
            <w:gridSpan w:val="7"/>
            <w:tcBorders>
              <w:tl2br w:val="nil"/>
              <w:tr2bl w:val="nil"/>
            </w:tcBorders>
            <w:noWrap w:val="0"/>
            <w:vAlign w:val="center"/>
          </w:tcPr>
          <w:p w14:paraId="492F040F">
            <w:pPr>
              <w:pStyle w:val="1321"/>
              <w:rPr>
                <w:i w:val="0"/>
                <w:iCs w:val="0"/>
                <w:color w:val="auto"/>
                <w:highlight w:val="none"/>
              </w:rPr>
            </w:pPr>
            <w:r>
              <w:rPr>
                <w:i w:val="0"/>
                <w:iCs w:val="0"/>
                <w:color w:val="auto"/>
                <w:highlight w:val="none"/>
              </w:rPr>
              <w:t>暂存于一般固废间，定期出售给回收企业进行综合利用</w:t>
            </w:r>
          </w:p>
        </w:tc>
        <w:tc>
          <w:tcPr>
            <w:tcW w:w="4784" w:type="dxa"/>
            <w:gridSpan w:val="3"/>
            <w:tcBorders>
              <w:tl2br w:val="nil"/>
              <w:tr2bl w:val="nil"/>
            </w:tcBorders>
            <w:noWrap w:val="0"/>
            <w:vAlign w:val="center"/>
          </w:tcPr>
          <w:p w14:paraId="549A0F0E">
            <w:pPr>
              <w:pStyle w:val="1358"/>
              <w:bidi w:val="0"/>
              <w:rPr>
                <w:i w:val="0"/>
                <w:iCs w:val="0"/>
                <w:color w:val="auto"/>
                <w:highlight w:val="none"/>
              </w:rPr>
            </w:pPr>
            <w:r>
              <w:rPr>
                <w:i w:val="0"/>
                <w:iCs w:val="0"/>
                <w:color w:val="auto"/>
                <w:highlight w:val="none"/>
              </w:rPr>
              <w:t>《一般工业固体废物贮存和填埋污染控制标准》（GB18599-2020）</w:t>
            </w:r>
          </w:p>
        </w:tc>
        <w:tc>
          <w:tcPr>
            <w:tcW w:w="951" w:type="dxa"/>
            <w:tcBorders>
              <w:tl2br w:val="nil"/>
              <w:tr2bl w:val="nil"/>
            </w:tcBorders>
            <w:noWrap w:val="0"/>
            <w:vAlign w:val="center"/>
          </w:tcPr>
          <w:p w14:paraId="686D3F82">
            <w:pPr>
              <w:pStyle w:val="1405"/>
              <w:bidi w:val="0"/>
              <w:rPr>
                <w:i w:val="0"/>
                <w:iCs w:val="0"/>
                <w:color w:val="auto"/>
                <w:highlight w:val="none"/>
              </w:rPr>
            </w:pPr>
            <w:r>
              <w:rPr>
                <w:i w:val="0"/>
                <w:iCs w:val="0"/>
                <w:color w:val="auto"/>
                <w:highlight w:val="none"/>
              </w:rPr>
              <w:t>/</w:t>
            </w:r>
          </w:p>
        </w:tc>
      </w:tr>
      <w:tr w14:paraId="0FD547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4715C043">
            <w:pPr>
              <w:pStyle w:val="1405"/>
              <w:bidi w:val="0"/>
              <w:rPr>
                <w:i w:val="0"/>
                <w:iCs w:val="0"/>
                <w:color w:val="auto"/>
                <w:highlight w:val="none"/>
              </w:rPr>
            </w:pPr>
            <w:r>
              <w:rPr>
                <w:i w:val="0"/>
                <w:iCs w:val="0"/>
                <w:color w:val="auto"/>
                <w:highlight w:val="none"/>
              </w:rPr>
              <w:t>3.4.3</w:t>
            </w:r>
          </w:p>
        </w:tc>
        <w:tc>
          <w:tcPr>
            <w:tcW w:w="1748" w:type="dxa"/>
            <w:gridSpan w:val="2"/>
            <w:tcBorders>
              <w:tl2br w:val="nil"/>
              <w:tr2bl w:val="nil"/>
            </w:tcBorders>
            <w:noWrap w:val="0"/>
            <w:vAlign w:val="center"/>
          </w:tcPr>
          <w:p w14:paraId="20DAF1CC">
            <w:pPr>
              <w:pStyle w:val="1405"/>
              <w:bidi w:val="0"/>
              <w:rPr>
                <w:i w:val="0"/>
                <w:iCs w:val="0"/>
                <w:color w:val="auto"/>
                <w:highlight w:val="none"/>
              </w:rPr>
            </w:pPr>
            <w:r>
              <w:rPr>
                <w:i w:val="0"/>
                <w:iCs w:val="0"/>
                <w:color w:val="auto"/>
                <w:highlight w:val="none"/>
              </w:rPr>
              <w:t>危险废物</w:t>
            </w:r>
          </w:p>
        </w:tc>
        <w:tc>
          <w:tcPr>
            <w:tcW w:w="5846" w:type="dxa"/>
            <w:gridSpan w:val="7"/>
            <w:tcBorders>
              <w:tl2br w:val="nil"/>
              <w:tr2bl w:val="nil"/>
            </w:tcBorders>
            <w:noWrap w:val="0"/>
            <w:vAlign w:val="center"/>
          </w:tcPr>
          <w:p w14:paraId="50D2586C">
            <w:pPr>
              <w:pStyle w:val="1405"/>
              <w:bidi w:val="0"/>
              <w:rPr>
                <w:i w:val="0"/>
                <w:iCs w:val="0"/>
                <w:color w:val="auto"/>
                <w:highlight w:val="none"/>
              </w:rPr>
            </w:pPr>
            <w:r>
              <w:rPr>
                <w:i w:val="0"/>
                <w:iCs w:val="0"/>
                <w:color w:val="auto"/>
                <w:highlight w:val="none"/>
              </w:rPr>
              <w:t>暂存于</w:t>
            </w:r>
            <w:r>
              <w:rPr>
                <w:rFonts w:hint="eastAsia"/>
                <w:i w:val="0"/>
                <w:iCs w:val="0"/>
                <w:color w:val="auto"/>
                <w:highlight w:val="none"/>
                <w:lang w:eastAsia="zh-CN"/>
              </w:rPr>
              <w:t>危废贮存库</w:t>
            </w:r>
            <w:r>
              <w:rPr>
                <w:i w:val="0"/>
                <w:iCs w:val="0"/>
                <w:color w:val="auto"/>
                <w:highlight w:val="none"/>
              </w:rPr>
              <w:t>，定期委托有资质单位清运处置</w:t>
            </w:r>
          </w:p>
        </w:tc>
        <w:tc>
          <w:tcPr>
            <w:tcW w:w="4784" w:type="dxa"/>
            <w:gridSpan w:val="3"/>
            <w:tcBorders>
              <w:tl2br w:val="nil"/>
              <w:tr2bl w:val="nil"/>
            </w:tcBorders>
            <w:noWrap w:val="0"/>
            <w:vAlign w:val="center"/>
          </w:tcPr>
          <w:p w14:paraId="2C4361C8">
            <w:pPr>
              <w:pStyle w:val="1405"/>
              <w:bidi w:val="0"/>
              <w:rPr>
                <w:i w:val="0"/>
                <w:iCs w:val="0"/>
                <w:color w:val="auto"/>
                <w:highlight w:val="none"/>
              </w:rPr>
            </w:pPr>
            <w:r>
              <w:rPr>
                <w:i w:val="0"/>
                <w:iCs w:val="0"/>
                <w:color w:val="auto"/>
                <w:highlight w:val="none"/>
                <w:lang w:val="en-GB"/>
              </w:rPr>
              <w:t>《危险废物贮存污染控制标准》（GB18597-20</w:t>
            </w:r>
            <w:r>
              <w:rPr>
                <w:rFonts w:hint="eastAsia"/>
                <w:i w:val="0"/>
                <w:iCs w:val="0"/>
                <w:color w:val="auto"/>
                <w:highlight w:val="none"/>
                <w:lang w:val="en-US" w:eastAsia="zh-CN"/>
              </w:rPr>
              <w:t>23</w:t>
            </w:r>
            <w:r>
              <w:rPr>
                <w:i w:val="0"/>
                <w:iCs w:val="0"/>
                <w:color w:val="auto"/>
                <w:highlight w:val="none"/>
                <w:lang w:val="en-GB"/>
              </w:rPr>
              <w:t>）</w:t>
            </w:r>
          </w:p>
        </w:tc>
        <w:tc>
          <w:tcPr>
            <w:tcW w:w="951" w:type="dxa"/>
            <w:tcBorders>
              <w:tl2br w:val="nil"/>
              <w:tr2bl w:val="nil"/>
            </w:tcBorders>
            <w:noWrap w:val="0"/>
            <w:vAlign w:val="center"/>
          </w:tcPr>
          <w:p w14:paraId="31031AEF">
            <w:pPr>
              <w:pStyle w:val="1405"/>
              <w:bidi w:val="0"/>
              <w:rPr>
                <w:i w:val="0"/>
                <w:iCs w:val="0"/>
                <w:color w:val="auto"/>
                <w:highlight w:val="none"/>
              </w:rPr>
            </w:pPr>
            <w:r>
              <w:rPr>
                <w:i w:val="0"/>
                <w:iCs w:val="0"/>
                <w:color w:val="auto"/>
                <w:highlight w:val="none"/>
              </w:rPr>
              <w:t>/</w:t>
            </w:r>
          </w:p>
        </w:tc>
      </w:tr>
      <w:tr w14:paraId="0C7412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08" w:type="dxa"/>
            <w:gridSpan w:val="14"/>
            <w:tcBorders>
              <w:tl2br w:val="nil"/>
              <w:tr2bl w:val="nil"/>
            </w:tcBorders>
            <w:noWrap w:val="0"/>
            <w:vAlign w:val="center"/>
          </w:tcPr>
          <w:p w14:paraId="312547AD">
            <w:pPr>
              <w:pStyle w:val="1405"/>
              <w:bidi w:val="0"/>
              <w:rPr>
                <w:rFonts w:hint="default"/>
                <w:i w:val="0"/>
                <w:iCs w:val="0"/>
                <w:color w:val="auto"/>
                <w:highlight w:val="none"/>
                <w:lang w:val="en-US" w:eastAsia="zh-CN"/>
              </w:rPr>
            </w:pPr>
            <w:r>
              <w:rPr>
                <w:rFonts w:hint="eastAsia"/>
                <w:i w:val="0"/>
                <w:iCs w:val="0"/>
                <w:color w:val="auto"/>
                <w:highlight w:val="none"/>
                <w:lang w:val="en-US" w:eastAsia="zh-CN"/>
              </w:rPr>
              <w:t>土壤和地下水</w:t>
            </w:r>
          </w:p>
        </w:tc>
      </w:tr>
      <w:tr w14:paraId="07530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08" w:type="dxa"/>
            <w:gridSpan w:val="14"/>
            <w:tcBorders>
              <w:tl2br w:val="nil"/>
              <w:tr2bl w:val="nil"/>
            </w:tcBorders>
            <w:noWrap w:val="0"/>
            <w:vAlign w:val="center"/>
          </w:tcPr>
          <w:p w14:paraId="575845BE">
            <w:pPr>
              <w:pStyle w:val="1405"/>
              <w:bidi w:val="0"/>
              <w:rPr>
                <w:rFonts w:hint="eastAsia"/>
                <w:color w:val="auto"/>
                <w:highlight w:val="none"/>
              </w:rPr>
            </w:pPr>
            <w:r>
              <w:rPr>
                <w:rFonts w:hint="eastAsia"/>
                <w:color w:val="auto"/>
                <w:highlight w:val="none"/>
              </w:rPr>
              <w:t>按重点防渗区、一般防渗区、简单防渗区落实不同防渗分区的防渗技术要求。</w:t>
            </w:r>
          </w:p>
          <w:p w14:paraId="04408B47">
            <w:pPr>
              <w:pStyle w:val="1405"/>
              <w:bidi w:val="0"/>
              <w:rPr>
                <w:color w:val="auto"/>
                <w:highlight w:val="none"/>
              </w:rPr>
            </w:pPr>
            <w:r>
              <w:rPr>
                <w:rFonts w:hint="eastAsia"/>
                <w:color w:val="auto"/>
                <w:highlight w:val="none"/>
              </w:rPr>
              <w:t>按照环评报告和相关技术规范要求，建立完善的土壤和地下水监测制度，设置地下水监测井和土壤跟踪监测点，严格落实土壤和地下水监测计划。一旦出现土壤或地下水污染，应立即启动应急预案和应急措施，减少对</w:t>
            </w:r>
            <w:r>
              <w:rPr>
                <w:rFonts w:hint="eastAsia"/>
                <w:color w:val="auto"/>
                <w:highlight w:val="none"/>
                <w:lang w:eastAsia="zh-CN"/>
              </w:rPr>
              <w:t>土壤</w:t>
            </w:r>
            <w:r>
              <w:rPr>
                <w:rFonts w:hint="eastAsia"/>
                <w:color w:val="auto"/>
                <w:highlight w:val="none"/>
              </w:rPr>
              <w:t>和地下水的不利影响。</w:t>
            </w:r>
          </w:p>
        </w:tc>
      </w:tr>
      <w:tr w14:paraId="5D243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08" w:type="dxa"/>
            <w:gridSpan w:val="14"/>
            <w:tcBorders>
              <w:tl2br w:val="nil"/>
              <w:tr2bl w:val="nil"/>
            </w:tcBorders>
            <w:noWrap w:val="0"/>
            <w:vAlign w:val="center"/>
          </w:tcPr>
          <w:p w14:paraId="7ED2DFBE">
            <w:pPr>
              <w:pStyle w:val="1405"/>
              <w:bidi w:val="0"/>
              <w:rPr>
                <w:rFonts w:hint="eastAsia"/>
                <w:color w:val="auto"/>
                <w:highlight w:val="none"/>
                <w:lang w:val="en-US" w:eastAsia="zh-CN"/>
              </w:rPr>
            </w:pPr>
            <w:r>
              <w:rPr>
                <w:rFonts w:hint="eastAsia"/>
                <w:color w:val="auto"/>
                <w:highlight w:val="none"/>
                <w:lang w:val="en-US" w:eastAsia="zh-CN"/>
              </w:rPr>
              <w:t>风险</w:t>
            </w:r>
          </w:p>
        </w:tc>
      </w:tr>
      <w:tr w14:paraId="35D23F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08" w:type="dxa"/>
            <w:gridSpan w:val="14"/>
            <w:tcBorders>
              <w:tl2br w:val="nil"/>
              <w:tr2bl w:val="nil"/>
            </w:tcBorders>
            <w:noWrap w:val="0"/>
            <w:vAlign w:val="center"/>
          </w:tcPr>
          <w:p w14:paraId="744CC9F5">
            <w:pPr>
              <w:pStyle w:val="1405"/>
              <w:bidi w:val="0"/>
              <w:rPr>
                <w:color w:val="auto"/>
                <w:highlight w:val="none"/>
              </w:rPr>
            </w:pPr>
            <w:r>
              <w:rPr>
                <w:rFonts w:hint="eastAsia"/>
                <w:color w:val="auto"/>
                <w:highlight w:val="none"/>
                <w:lang w:val="en-US" w:eastAsia="zh-CN"/>
              </w:rPr>
              <w:t>加强环保设施日常维护管理，定期开展应急演练并及时公开培训演练情况。本项目事故废水需暂存110.43m³，依托租赁方现有应急池（厂区北侧约70m，79m³）暂存，建设单位拟补充不小于40m³应急水袋，并以现空置调节池（约37.5m³）备用补充。因距离较远无法自流，事故废水经专用阀门、管线及水泵提升输送至应急池，应急水袋及调节池就近收集，雨水沟设截断阀门控制，确保事故废水完全收集不外排。试生产前编制突发环境事件应急预案并报生态环境主管部门备案。</w:t>
            </w:r>
          </w:p>
        </w:tc>
      </w:tr>
      <w:tr w14:paraId="2CB9D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4CA403F6">
            <w:pPr>
              <w:pStyle w:val="1358"/>
              <w:bidi w:val="0"/>
              <w:rPr>
                <w:color w:val="auto"/>
                <w:highlight w:val="none"/>
              </w:rPr>
            </w:pPr>
            <w:r>
              <w:rPr>
                <w:color w:val="auto"/>
                <w:highlight w:val="none"/>
              </w:rPr>
              <w:t>四</w:t>
            </w:r>
          </w:p>
        </w:tc>
        <w:tc>
          <w:tcPr>
            <w:tcW w:w="13329" w:type="dxa"/>
            <w:gridSpan w:val="13"/>
            <w:tcBorders>
              <w:tl2br w:val="nil"/>
              <w:tr2bl w:val="nil"/>
            </w:tcBorders>
            <w:noWrap w:val="0"/>
            <w:vAlign w:val="center"/>
          </w:tcPr>
          <w:p w14:paraId="675C09B3">
            <w:pPr>
              <w:pStyle w:val="1358"/>
              <w:bidi w:val="0"/>
              <w:rPr>
                <w:color w:val="auto"/>
                <w:highlight w:val="none"/>
              </w:rPr>
            </w:pPr>
            <w:r>
              <w:rPr>
                <w:color w:val="auto"/>
                <w:highlight w:val="none"/>
              </w:rPr>
              <w:t>环境管理要求</w:t>
            </w:r>
          </w:p>
        </w:tc>
      </w:tr>
      <w:tr w14:paraId="27CF7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dxa"/>
            <w:tcBorders>
              <w:tl2br w:val="nil"/>
              <w:tr2bl w:val="nil"/>
            </w:tcBorders>
            <w:noWrap w:val="0"/>
            <w:vAlign w:val="center"/>
          </w:tcPr>
          <w:p w14:paraId="21A8C938">
            <w:pPr>
              <w:pStyle w:val="1358"/>
              <w:bidi w:val="0"/>
              <w:rPr>
                <w:color w:val="auto"/>
                <w:highlight w:val="none"/>
              </w:rPr>
            </w:pPr>
            <w:r>
              <w:rPr>
                <w:color w:val="auto"/>
                <w:highlight w:val="none"/>
              </w:rPr>
              <w:t>4.1</w:t>
            </w:r>
          </w:p>
        </w:tc>
        <w:tc>
          <w:tcPr>
            <w:tcW w:w="13329" w:type="dxa"/>
            <w:gridSpan w:val="13"/>
            <w:tcBorders>
              <w:tl2br w:val="nil"/>
              <w:tr2bl w:val="nil"/>
            </w:tcBorders>
            <w:noWrap w:val="0"/>
            <w:vAlign w:val="center"/>
          </w:tcPr>
          <w:p w14:paraId="287E11B8">
            <w:pPr>
              <w:pStyle w:val="1358"/>
              <w:bidi w:val="0"/>
              <w:jc w:val="both"/>
              <w:rPr>
                <w:color w:val="auto"/>
                <w:highlight w:val="none"/>
              </w:rPr>
            </w:pPr>
            <w:r>
              <w:rPr>
                <w:rFonts w:hint="default"/>
                <w:color w:val="auto"/>
                <w:highlight w:val="none"/>
              </w:rPr>
              <w:t>①</w:t>
            </w:r>
            <w:r>
              <w:rPr>
                <w:color w:val="auto"/>
                <w:highlight w:val="none"/>
              </w:rPr>
              <w:t>配备专（兼）职环保管理人员；</w:t>
            </w:r>
          </w:p>
          <w:p w14:paraId="2E06B95E">
            <w:pPr>
              <w:pStyle w:val="1358"/>
              <w:bidi w:val="0"/>
              <w:jc w:val="both"/>
              <w:rPr>
                <w:color w:val="auto"/>
                <w:highlight w:val="none"/>
              </w:rPr>
            </w:pPr>
            <w:r>
              <w:rPr>
                <w:rFonts w:hint="eastAsia"/>
                <w:color w:val="auto"/>
                <w:highlight w:val="none"/>
              </w:rPr>
              <w:t>②</w:t>
            </w:r>
            <w:r>
              <w:rPr>
                <w:color w:val="auto"/>
                <w:highlight w:val="none"/>
              </w:rPr>
              <w:t>建立日常环境管理制度和环境管理工作计划；</w:t>
            </w:r>
          </w:p>
          <w:p w14:paraId="1E7845CA">
            <w:pPr>
              <w:pStyle w:val="1358"/>
              <w:bidi w:val="0"/>
              <w:jc w:val="both"/>
              <w:rPr>
                <w:color w:val="auto"/>
                <w:highlight w:val="none"/>
              </w:rPr>
            </w:pPr>
            <w:r>
              <w:rPr>
                <w:rFonts w:hint="eastAsia"/>
                <w:color w:val="auto"/>
                <w:highlight w:val="none"/>
              </w:rPr>
              <w:t>③</w:t>
            </w:r>
            <w:r>
              <w:rPr>
                <w:color w:val="auto"/>
                <w:highlight w:val="none"/>
              </w:rPr>
              <w:t>加强环保设施运行管理维护，建立环保设施运行台账，确保环保设施正常运行及污染物稳定达标排放。</w:t>
            </w:r>
          </w:p>
        </w:tc>
      </w:tr>
    </w:tbl>
    <w:p w14:paraId="615903CA">
      <w:pPr>
        <w:pStyle w:val="3"/>
        <w:numPr>
          <w:ilvl w:val="0"/>
          <w:numId w:val="0"/>
        </w:numPr>
        <w:bidi w:val="0"/>
        <w:rPr>
          <w:color w:val="auto"/>
          <w:highlight w:val="none"/>
        </w:rPr>
        <w:sectPr>
          <w:headerReference r:id="rId35" w:type="first"/>
          <w:footerReference r:id="rId37" w:type="first"/>
          <w:headerReference r:id="rId34" w:type="even"/>
          <w:footerReference r:id="rId36" w:type="even"/>
          <w:pgSz w:w="16838" w:h="11906" w:orient="landscape"/>
          <w:pgMar w:top="1701" w:right="158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12" w:charSpace="0"/>
        </w:sectPr>
      </w:pPr>
      <w:bookmarkStart w:id="1159" w:name="_Toc17155"/>
      <w:bookmarkStart w:id="1160" w:name="_Toc18141"/>
      <w:bookmarkStart w:id="1161" w:name="_Toc27170"/>
      <w:bookmarkStart w:id="1162" w:name="_Toc28806"/>
      <w:bookmarkStart w:id="1163" w:name="_Toc12206"/>
      <w:bookmarkStart w:id="1164" w:name="_Toc3206"/>
      <w:bookmarkStart w:id="1165" w:name="_Toc5870"/>
      <w:bookmarkStart w:id="1166" w:name="_Toc9235"/>
      <w:bookmarkStart w:id="1167" w:name="_Toc366255032"/>
      <w:bookmarkStart w:id="1168" w:name="_Toc362276200"/>
      <w:bookmarkStart w:id="1169" w:name="_Toc373835751"/>
    </w:p>
    <w:p w14:paraId="03BAE067">
      <w:pPr>
        <w:pStyle w:val="3"/>
        <w:numPr>
          <w:ilvl w:val="0"/>
          <w:numId w:val="0"/>
        </w:numPr>
        <w:bidi w:val="0"/>
        <w:rPr>
          <w:color w:val="auto"/>
          <w:highlight w:val="none"/>
        </w:rPr>
      </w:pPr>
      <w:bookmarkStart w:id="1170" w:name="_Toc4239"/>
      <w:bookmarkStart w:id="1171" w:name="_Toc20256"/>
      <w:r>
        <w:rPr>
          <w:color w:val="auto"/>
          <w:highlight w:val="none"/>
        </w:rPr>
        <w:t>9.4</w:t>
      </w:r>
      <w:r>
        <w:rPr>
          <w:rFonts w:hint="eastAsia"/>
          <w:color w:val="auto"/>
          <w:highlight w:val="none"/>
          <w:lang w:val="en-US" w:eastAsia="zh-CN"/>
        </w:rPr>
        <w:t xml:space="preserve"> </w:t>
      </w:r>
      <w:r>
        <w:rPr>
          <w:color w:val="auto"/>
          <w:highlight w:val="none"/>
        </w:rPr>
        <w:t>环境监测</w:t>
      </w:r>
      <w:bookmarkEnd w:id="1159"/>
      <w:bookmarkEnd w:id="1160"/>
      <w:bookmarkEnd w:id="1161"/>
      <w:bookmarkEnd w:id="1162"/>
      <w:bookmarkEnd w:id="1163"/>
      <w:bookmarkEnd w:id="1164"/>
      <w:bookmarkEnd w:id="1165"/>
      <w:bookmarkEnd w:id="1166"/>
      <w:bookmarkEnd w:id="1170"/>
      <w:bookmarkEnd w:id="1171"/>
    </w:p>
    <w:p w14:paraId="0964DDC1">
      <w:pPr>
        <w:bidi w:val="0"/>
        <w:rPr>
          <w:color w:val="auto"/>
          <w:highlight w:val="none"/>
        </w:rPr>
      </w:pPr>
      <w:r>
        <w:rPr>
          <w:color w:val="auto"/>
          <w:highlight w:val="none"/>
        </w:rPr>
        <w:t>企业内部环境监测主要对企业生产过程中排放的污染物进行定期监测，判断环境质量，评价环保设施及其治理效果。为防治污染提供科学依据。</w:t>
      </w:r>
    </w:p>
    <w:p w14:paraId="224AB818">
      <w:pPr>
        <w:pStyle w:val="4"/>
        <w:numPr>
          <w:ilvl w:val="0"/>
          <w:numId w:val="0"/>
        </w:numPr>
        <w:tabs>
          <w:tab w:val="clear" w:pos="720"/>
        </w:tabs>
        <w:bidi w:val="0"/>
        <w:rPr>
          <w:color w:val="auto"/>
          <w:highlight w:val="none"/>
        </w:rPr>
      </w:pPr>
      <w:bookmarkStart w:id="1172" w:name="_Toc8520"/>
      <w:bookmarkStart w:id="1173" w:name="_Toc20499"/>
      <w:bookmarkStart w:id="1174" w:name="_Toc19260"/>
      <w:bookmarkStart w:id="1175" w:name="_Toc12842"/>
      <w:bookmarkStart w:id="1176" w:name="_Toc22886"/>
      <w:bookmarkStart w:id="1177" w:name="_Toc14221"/>
      <w:bookmarkStart w:id="1178" w:name="_Toc3343"/>
      <w:bookmarkStart w:id="1179" w:name="_Toc6997"/>
      <w:bookmarkStart w:id="1180" w:name="_Toc24142"/>
      <w:r>
        <w:rPr>
          <w:color w:val="auto"/>
          <w:highlight w:val="none"/>
        </w:rPr>
        <w:t>9.4.1</w:t>
      </w:r>
      <w:r>
        <w:rPr>
          <w:rFonts w:hint="eastAsia"/>
          <w:color w:val="auto"/>
          <w:highlight w:val="none"/>
          <w:lang w:val="en-US" w:eastAsia="zh-CN"/>
        </w:rPr>
        <w:t xml:space="preserve"> </w:t>
      </w:r>
      <w:r>
        <w:rPr>
          <w:color w:val="auto"/>
          <w:highlight w:val="none"/>
        </w:rPr>
        <w:t>环境监测计划实施单位</w:t>
      </w:r>
      <w:bookmarkEnd w:id="1172"/>
      <w:bookmarkEnd w:id="1173"/>
      <w:bookmarkEnd w:id="1174"/>
      <w:bookmarkEnd w:id="1175"/>
      <w:bookmarkEnd w:id="1176"/>
      <w:bookmarkEnd w:id="1177"/>
      <w:bookmarkEnd w:id="1178"/>
      <w:bookmarkEnd w:id="1179"/>
      <w:bookmarkEnd w:id="1180"/>
    </w:p>
    <w:p w14:paraId="6D87AA8B">
      <w:pPr>
        <w:bidi w:val="0"/>
        <w:rPr>
          <w:color w:val="auto"/>
          <w:highlight w:val="none"/>
        </w:rPr>
      </w:pPr>
      <w:r>
        <w:rPr>
          <w:color w:val="auto"/>
          <w:highlight w:val="none"/>
        </w:rPr>
        <w:t>企业日常环境监测工作由企业委托有资质的环境监测单位实施。</w:t>
      </w:r>
      <w:r>
        <w:rPr>
          <w:rFonts w:hint="eastAsia"/>
          <w:color w:val="auto"/>
          <w:highlight w:val="none"/>
          <w:lang w:val="en-US" w:eastAsia="zh-CN"/>
        </w:rPr>
        <w:t>环境保护</w:t>
      </w:r>
      <w:r>
        <w:rPr>
          <w:color w:val="auto"/>
          <w:highlight w:val="none"/>
        </w:rPr>
        <w:t>科根据本报告的监测计划负责安排具体的环境监测工作，并根据监测结果进行评估分析，</w:t>
      </w:r>
      <w:r>
        <w:rPr>
          <w:rFonts w:hint="eastAsia"/>
          <w:color w:val="auto"/>
          <w:highlight w:val="none"/>
          <w:lang w:eastAsia="zh-CN"/>
        </w:rPr>
        <w:t>及</w:t>
      </w:r>
      <w:r>
        <w:rPr>
          <w:color w:val="auto"/>
          <w:highlight w:val="none"/>
        </w:rPr>
        <w:t>时掌握环保设施的运行状态和排污情况。</w:t>
      </w:r>
    </w:p>
    <w:p w14:paraId="27DA7982">
      <w:pPr>
        <w:bidi w:val="0"/>
        <w:rPr>
          <w:rFonts w:hint="eastAsia"/>
          <w:color w:val="auto"/>
          <w:highlight w:val="none"/>
          <w:lang w:val="en-US" w:eastAsia="zh-CN"/>
        </w:rPr>
      </w:pPr>
      <w:bookmarkStart w:id="1181" w:name="_Toc11090"/>
      <w:bookmarkStart w:id="1182" w:name="_Toc17036"/>
      <w:bookmarkStart w:id="1183" w:name="_Toc52129098"/>
      <w:bookmarkStart w:id="1184" w:name="_Toc96524491"/>
      <w:bookmarkStart w:id="1185" w:name="_Toc14902"/>
      <w:bookmarkStart w:id="1186" w:name="_Toc16665"/>
      <w:bookmarkStart w:id="1187" w:name="_Toc97027308"/>
      <w:bookmarkStart w:id="1188" w:name="_Toc12229"/>
      <w:bookmarkStart w:id="1189" w:name="_Toc10834"/>
      <w:r>
        <w:rPr>
          <w:color w:val="auto"/>
          <w:highlight w:val="none"/>
        </w:rPr>
        <w:t>根据《排污单位自行监测技术指南 总则》（HJ819-2017）和《排污许可证申请与核发技术规范 汽车制造业》（HJ 971-</w:t>
      </w:r>
      <w:r>
        <w:rPr>
          <w:rFonts w:hint="eastAsia"/>
          <w:color w:val="auto"/>
          <w:highlight w:val="none"/>
          <w:lang w:val="en-US" w:eastAsia="zh-CN"/>
        </w:rPr>
        <w:t>2026，自2027年1月1日起实施</w:t>
      </w:r>
      <w:r>
        <w:rPr>
          <w:color w:val="auto"/>
          <w:highlight w:val="none"/>
        </w:rPr>
        <w:t>）</w:t>
      </w:r>
      <w:r>
        <w:rPr>
          <w:rFonts w:hint="eastAsia"/>
          <w:color w:val="auto"/>
          <w:highlight w:val="none"/>
          <w:lang w:eastAsia="zh-CN"/>
        </w:rPr>
        <w:t>、</w:t>
      </w:r>
      <w:r>
        <w:rPr>
          <w:rFonts w:hint="eastAsia"/>
          <w:color w:val="auto"/>
          <w:highlight w:val="none"/>
          <w:lang w:val="en-US" w:eastAsia="zh-CN"/>
        </w:rPr>
        <w:t>《排污单位自行监测技术指南 涂装》（HJ1086-2020）、《排污许可证申请与核发技术规范 橡胶和塑料制品工业》（HJ1122-2020）、《排污单位自行监测技术指南 火力发电及锅炉》（HJ820-2017）以及</w:t>
      </w:r>
      <w:r>
        <w:rPr>
          <w:rFonts w:hint="eastAsia" w:cs="Times New Roman"/>
          <w:color w:val="auto"/>
          <w:highlight w:val="none"/>
          <w:u w:val="none"/>
          <w:lang w:val="en-US" w:eastAsia="zh-CN"/>
        </w:rPr>
        <w:t>《排污许可证申请与核发技术规范 锅炉》（HJ953.2-2026）</w:t>
      </w:r>
      <w:r>
        <w:rPr>
          <w:rFonts w:hint="eastAsia" w:cs="Times New Roman"/>
          <w:color w:val="auto"/>
          <w:szCs w:val="22"/>
          <w:highlight w:val="none"/>
          <w:lang w:eastAsia="zh-CN"/>
        </w:rPr>
        <w:t>（</w:t>
      </w:r>
      <w:r>
        <w:rPr>
          <w:rFonts w:hint="eastAsia" w:cs="Times New Roman"/>
          <w:color w:val="auto"/>
          <w:szCs w:val="22"/>
          <w:highlight w:val="none"/>
          <w:lang w:val="en-US" w:eastAsia="zh-CN"/>
        </w:rPr>
        <w:t>2027年1月1日起实施）</w:t>
      </w:r>
      <w:r>
        <w:rPr>
          <w:color w:val="auto"/>
          <w:highlight w:val="none"/>
        </w:rPr>
        <w:t>中的有关要求，制定本项目环境监测计划。具体监测计划详见表9.4-</w:t>
      </w:r>
      <w:r>
        <w:rPr>
          <w:rFonts w:hint="eastAsia"/>
          <w:color w:val="auto"/>
          <w:highlight w:val="none"/>
          <w:lang w:val="en-US" w:eastAsia="zh-CN"/>
        </w:rPr>
        <w:t>1</w:t>
      </w:r>
      <w:r>
        <w:rPr>
          <w:color w:val="auto"/>
          <w:highlight w:val="none"/>
        </w:rPr>
        <w:t>。</w:t>
      </w:r>
    </w:p>
    <w:p w14:paraId="20FE5BBA">
      <w:pPr>
        <w:pStyle w:val="8"/>
        <w:bidi w:val="0"/>
        <w:rPr>
          <w:rFonts w:hint="default" w:ascii="Times New Roman" w:hAnsi="Times New Roman" w:cs="Times New Roman"/>
          <w:color w:val="auto"/>
          <w:szCs w:val="21"/>
          <w:highlight w:val="none"/>
        </w:rPr>
      </w:pPr>
      <w:bookmarkStart w:id="1190" w:name="_Ref68715991"/>
      <w:r>
        <w:rPr>
          <w:rFonts w:hint="default" w:ascii="Times New Roman" w:hAnsi="Times New Roman" w:cs="Times New Roman"/>
          <w:color w:val="auto"/>
          <w:highlight w:val="none"/>
        </w:rPr>
        <w:t>表</w:t>
      </w:r>
      <w:bookmarkEnd w:id="1190"/>
      <w:r>
        <w:rPr>
          <w:rFonts w:hint="default" w:ascii="Times New Roman" w:hAnsi="Times New Roman" w:cs="Times New Roman"/>
          <w:color w:val="auto"/>
          <w:highlight w:val="none"/>
        </w:rPr>
        <w:t>9.4-</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本项目运营期污染物监测计划一览表</w:t>
      </w:r>
    </w:p>
    <w:tbl>
      <w:tblPr>
        <w:tblStyle w:val="80"/>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Layout w:type="autofit"/>
        <w:tblCellMar>
          <w:top w:w="15" w:type="dxa"/>
          <w:left w:w="15" w:type="dxa"/>
          <w:bottom w:w="15" w:type="dxa"/>
          <w:right w:w="15" w:type="dxa"/>
        </w:tblCellMar>
      </w:tblPr>
      <w:tblGrid>
        <w:gridCol w:w="560"/>
        <w:gridCol w:w="2730"/>
        <w:gridCol w:w="4176"/>
        <w:gridCol w:w="1351"/>
      </w:tblGrid>
      <w:tr w14:paraId="77301D35">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340" w:hRule="atLeast"/>
        </w:trPr>
        <w:tc>
          <w:tcPr>
            <w:tcW w:w="318" w:type="pct"/>
            <w:tcBorders>
              <w:tl2br w:val="nil"/>
              <w:tr2bl w:val="nil"/>
            </w:tcBorders>
            <w:noWrap w:val="0"/>
            <w:vAlign w:val="center"/>
          </w:tcPr>
          <w:p w14:paraId="69A7FC5C">
            <w:pPr>
              <w:pStyle w:val="1358"/>
              <w:rPr>
                <w:color w:val="auto"/>
                <w:highlight w:val="none"/>
              </w:rPr>
            </w:pPr>
            <w:r>
              <w:rPr>
                <w:color w:val="auto"/>
                <w:highlight w:val="none"/>
              </w:rPr>
              <w:t>类别</w:t>
            </w:r>
          </w:p>
        </w:tc>
        <w:tc>
          <w:tcPr>
            <w:tcW w:w="1548" w:type="pct"/>
            <w:tcBorders>
              <w:tl2br w:val="nil"/>
              <w:tr2bl w:val="nil"/>
            </w:tcBorders>
            <w:noWrap w:val="0"/>
            <w:vAlign w:val="center"/>
          </w:tcPr>
          <w:p w14:paraId="5255FDB9">
            <w:pPr>
              <w:pStyle w:val="1358"/>
              <w:rPr>
                <w:color w:val="auto"/>
                <w:highlight w:val="none"/>
              </w:rPr>
            </w:pPr>
            <w:r>
              <w:rPr>
                <w:color w:val="auto"/>
                <w:highlight w:val="none"/>
              </w:rPr>
              <w:t>监测点</w:t>
            </w:r>
          </w:p>
        </w:tc>
        <w:tc>
          <w:tcPr>
            <w:tcW w:w="2368" w:type="pct"/>
            <w:tcBorders>
              <w:tl2br w:val="nil"/>
              <w:tr2bl w:val="nil"/>
            </w:tcBorders>
            <w:noWrap w:val="0"/>
            <w:vAlign w:val="center"/>
          </w:tcPr>
          <w:p w14:paraId="674118BB">
            <w:pPr>
              <w:pStyle w:val="1358"/>
              <w:rPr>
                <w:color w:val="auto"/>
                <w:highlight w:val="none"/>
              </w:rPr>
            </w:pPr>
            <w:r>
              <w:rPr>
                <w:color w:val="auto"/>
                <w:highlight w:val="none"/>
              </w:rPr>
              <w:t>监测因子</w:t>
            </w:r>
          </w:p>
        </w:tc>
        <w:tc>
          <w:tcPr>
            <w:tcW w:w="764" w:type="pct"/>
            <w:tcBorders>
              <w:tl2br w:val="nil"/>
              <w:tr2bl w:val="nil"/>
            </w:tcBorders>
            <w:noWrap w:val="0"/>
            <w:vAlign w:val="center"/>
          </w:tcPr>
          <w:p w14:paraId="5393469F">
            <w:pPr>
              <w:pStyle w:val="1358"/>
              <w:rPr>
                <w:color w:val="auto"/>
                <w:highlight w:val="none"/>
              </w:rPr>
            </w:pPr>
            <w:r>
              <w:rPr>
                <w:color w:val="auto"/>
                <w:highlight w:val="none"/>
              </w:rPr>
              <w:t>监测频率</w:t>
            </w:r>
          </w:p>
        </w:tc>
      </w:tr>
      <w:tr w14:paraId="39C77B8C">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340" w:hRule="atLeast"/>
        </w:trPr>
        <w:tc>
          <w:tcPr>
            <w:tcW w:w="318" w:type="pct"/>
            <w:tcBorders>
              <w:tl2br w:val="nil"/>
              <w:tr2bl w:val="nil"/>
            </w:tcBorders>
            <w:noWrap w:val="0"/>
            <w:vAlign w:val="center"/>
          </w:tcPr>
          <w:p w14:paraId="6F4F62E4">
            <w:pPr>
              <w:pStyle w:val="1358"/>
              <w:rPr>
                <w:color w:val="auto"/>
                <w:highlight w:val="none"/>
              </w:rPr>
            </w:pPr>
            <w:r>
              <w:rPr>
                <w:color w:val="auto"/>
                <w:highlight w:val="none"/>
              </w:rPr>
              <w:t>废水</w:t>
            </w:r>
          </w:p>
        </w:tc>
        <w:tc>
          <w:tcPr>
            <w:tcW w:w="1548" w:type="pct"/>
            <w:tcBorders>
              <w:tl2br w:val="nil"/>
              <w:tr2bl w:val="nil"/>
            </w:tcBorders>
            <w:noWrap w:val="0"/>
            <w:vAlign w:val="center"/>
          </w:tcPr>
          <w:p w14:paraId="279DD122">
            <w:pPr>
              <w:pStyle w:val="1358"/>
              <w:rPr>
                <w:rFonts w:hint="default" w:eastAsia="宋体"/>
                <w:color w:val="auto"/>
                <w:highlight w:val="none"/>
                <w:lang w:val="en-US" w:eastAsia="zh-CN"/>
              </w:rPr>
            </w:pPr>
            <w:r>
              <w:rPr>
                <w:rFonts w:hint="eastAsia"/>
                <w:color w:val="auto"/>
                <w:highlight w:val="none"/>
                <w:lang w:val="en-US" w:eastAsia="zh-CN"/>
              </w:rPr>
              <w:t>雨水排放口</w:t>
            </w:r>
            <w:r>
              <w:rPr>
                <w:rFonts w:hint="eastAsia" w:ascii="Times New Roman" w:hAnsi="Times New Roman" w:eastAsia="宋体" w:cs="Times New Roman"/>
                <w:color w:val="auto"/>
                <w:highlight w:val="none"/>
                <w:vertAlign w:val="superscript"/>
                <w:lang w:val="en-US" w:eastAsia="zh-CN"/>
              </w:rPr>
              <w:t>a</w:t>
            </w:r>
          </w:p>
        </w:tc>
        <w:tc>
          <w:tcPr>
            <w:tcW w:w="2368" w:type="pct"/>
            <w:tcBorders>
              <w:tl2br w:val="nil"/>
              <w:tr2bl w:val="nil"/>
            </w:tcBorders>
            <w:noWrap w:val="0"/>
            <w:vAlign w:val="center"/>
          </w:tcPr>
          <w:p w14:paraId="32CD6E8A">
            <w:pPr>
              <w:pStyle w:val="1358"/>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pH值、</w:t>
            </w:r>
            <w:r>
              <w:rPr>
                <w:rFonts w:ascii="Times New Roman" w:hAnsi="Times New Roman" w:eastAsia="宋体" w:cs="Times New Roman"/>
                <w:color w:val="auto"/>
                <w:highlight w:val="none"/>
              </w:rPr>
              <w:t>悬浮物、</w:t>
            </w:r>
            <w:r>
              <w:rPr>
                <w:rFonts w:hint="eastAsia" w:ascii="Times New Roman" w:hAnsi="Times New Roman" w:eastAsia="宋体" w:cs="Times New Roman"/>
                <w:color w:val="auto"/>
                <w:highlight w:val="none"/>
                <w:lang w:val="en-US" w:eastAsia="zh-CN"/>
              </w:rPr>
              <w:t>C</w:t>
            </w:r>
            <w:r>
              <w:rPr>
                <w:rFonts w:ascii="Times New Roman" w:hAnsi="Times New Roman" w:eastAsia="宋体" w:cs="Times New Roman"/>
                <w:color w:val="auto"/>
                <w:highlight w:val="none"/>
              </w:rPr>
              <w:t>OD</w:t>
            </w:r>
          </w:p>
        </w:tc>
        <w:tc>
          <w:tcPr>
            <w:tcW w:w="764" w:type="pct"/>
            <w:tcBorders>
              <w:tl2br w:val="nil"/>
              <w:tr2bl w:val="nil"/>
            </w:tcBorders>
            <w:noWrap w:val="0"/>
            <w:vAlign w:val="center"/>
          </w:tcPr>
          <w:p w14:paraId="7B337586">
            <w:pPr>
              <w:pStyle w:val="1358"/>
              <w:rPr>
                <w:rFonts w:hint="default" w:ascii="Times New Roman" w:hAnsi="Times New Roman" w:eastAsia="宋体" w:cs="Times New Roman"/>
                <w:color w:val="auto"/>
                <w:highlight w:val="none"/>
                <w:lang w:val="en-US"/>
              </w:rPr>
            </w:pPr>
            <w:r>
              <w:rPr>
                <w:rFonts w:ascii="Times New Roman" w:hAnsi="Times New Roman" w:eastAsia="宋体" w:cs="Times New Roman"/>
                <w:color w:val="auto"/>
                <w:highlight w:val="none"/>
              </w:rPr>
              <w:t>1次/</w:t>
            </w:r>
            <w:r>
              <w:rPr>
                <w:rFonts w:hint="eastAsia" w:cs="Times New Roman"/>
                <w:color w:val="auto"/>
                <w:highlight w:val="none"/>
                <w:lang w:val="en-US" w:eastAsia="zh-CN"/>
              </w:rPr>
              <w:t>月</w:t>
            </w:r>
            <w:r>
              <w:rPr>
                <w:rFonts w:hint="eastAsia" w:cs="Times New Roman"/>
                <w:color w:val="auto"/>
                <w:highlight w:val="none"/>
                <w:vertAlign w:val="superscript"/>
                <w:lang w:val="en-US" w:eastAsia="zh-CN"/>
              </w:rPr>
              <w:t>a</w:t>
            </w:r>
          </w:p>
        </w:tc>
      </w:tr>
      <w:tr w14:paraId="082C517F">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72" w:hRule="atLeast"/>
        </w:trPr>
        <w:tc>
          <w:tcPr>
            <w:tcW w:w="318" w:type="pct"/>
            <w:vMerge w:val="restart"/>
            <w:tcBorders>
              <w:tl2br w:val="nil"/>
              <w:tr2bl w:val="nil"/>
            </w:tcBorders>
            <w:noWrap w:val="0"/>
            <w:vAlign w:val="center"/>
          </w:tcPr>
          <w:p w14:paraId="4DB05681">
            <w:pPr>
              <w:pStyle w:val="1358"/>
              <w:rPr>
                <w:color w:val="auto"/>
                <w:highlight w:val="none"/>
              </w:rPr>
            </w:pPr>
            <w:r>
              <w:rPr>
                <w:color w:val="auto"/>
                <w:highlight w:val="none"/>
              </w:rPr>
              <w:t>废气</w:t>
            </w:r>
          </w:p>
        </w:tc>
        <w:tc>
          <w:tcPr>
            <w:tcW w:w="1548" w:type="pct"/>
            <w:vMerge w:val="restart"/>
            <w:tcBorders>
              <w:tl2br w:val="nil"/>
              <w:tr2bl w:val="nil"/>
            </w:tcBorders>
            <w:noWrap w:val="0"/>
            <w:vAlign w:val="center"/>
          </w:tcPr>
          <w:p w14:paraId="4758D402">
            <w:pPr>
              <w:pStyle w:val="1358"/>
              <w:rPr>
                <w:color w:val="auto"/>
                <w:highlight w:val="none"/>
              </w:rPr>
            </w:pPr>
            <w:r>
              <w:rPr>
                <w:color w:val="auto"/>
                <w:highlight w:val="none"/>
              </w:rPr>
              <w:t>DA001排气筒</w:t>
            </w:r>
          </w:p>
        </w:tc>
        <w:tc>
          <w:tcPr>
            <w:tcW w:w="2368" w:type="pct"/>
            <w:tcBorders>
              <w:tl2br w:val="nil"/>
              <w:tr2bl w:val="nil"/>
            </w:tcBorders>
            <w:shd w:val="clear" w:color="auto" w:fill="auto"/>
            <w:noWrap w:val="0"/>
            <w:vAlign w:val="center"/>
          </w:tcPr>
          <w:p w14:paraId="745EDFFB">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color w:val="auto"/>
                <w:highlight w:val="none"/>
              </w:rPr>
              <w:t>非甲烷总烃</w:t>
            </w:r>
            <w:r>
              <w:rPr>
                <w:rFonts w:hint="eastAsia"/>
                <w:color w:val="auto"/>
                <w:highlight w:val="none"/>
                <w:lang w:val="en-US" w:eastAsia="zh-CN"/>
              </w:rPr>
              <w:t>、乙酸丁酯、二甲苯</w:t>
            </w:r>
          </w:p>
        </w:tc>
        <w:tc>
          <w:tcPr>
            <w:tcW w:w="764" w:type="pct"/>
            <w:tcBorders>
              <w:tl2br w:val="nil"/>
              <w:tr2bl w:val="nil"/>
            </w:tcBorders>
            <w:shd w:val="clear" w:color="auto" w:fill="auto"/>
            <w:noWrap w:val="0"/>
            <w:vAlign w:val="center"/>
          </w:tcPr>
          <w:p w14:paraId="0DBB0F49">
            <w:pPr>
              <w:pStyle w:val="1358"/>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1次/年</w:t>
            </w:r>
          </w:p>
        </w:tc>
      </w:tr>
      <w:tr w14:paraId="28558E0A">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82" w:hRule="atLeast"/>
        </w:trPr>
        <w:tc>
          <w:tcPr>
            <w:tcW w:w="318" w:type="pct"/>
            <w:vMerge w:val="continue"/>
            <w:tcBorders>
              <w:tl2br w:val="nil"/>
              <w:tr2bl w:val="nil"/>
            </w:tcBorders>
            <w:noWrap w:val="0"/>
            <w:vAlign w:val="center"/>
          </w:tcPr>
          <w:p w14:paraId="2F778214">
            <w:pPr>
              <w:pStyle w:val="1358"/>
              <w:rPr>
                <w:color w:val="auto"/>
                <w:highlight w:val="none"/>
              </w:rPr>
            </w:pPr>
          </w:p>
        </w:tc>
        <w:tc>
          <w:tcPr>
            <w:tcW w:w="1548" w:type="pct"/>
            <w:vMerge w:val="continue"/>
            <w:tcBorders>
              <w:tl2br w:val="nil"/>
              <w:tr2bl w:val="nil"/>
            </w:tcBorders>
            <w:noWrap w:val="0"/>
            <w:vAlign w:val="center"/>
          </w:tcPr>
          <w:p w14:paraId="2A21B1A2">
            <w:pPr>
              <w:pStyle w:val="1358"/>
              <w:rPr>
                <w:color w:val="auto"/>
                <w:highlight w:val="none"/>
              </w:rPr>
            </w:pPr>
          </w:p>
        </w:tc>
        <w:tc>
          <w:tcPr>
            <w:tcW w:w="2368" w:type="pct"/>
            <w:tcBorders>
              <w:tl2br w:val="nil"/>
              <w:tr2bl w:val="nil"/>
            </w:tcBorders>
            <w:shd w:val="clear" w:color="auto" w:fill="auto"/>
            <w:noWrap w:val="0"/>
            <w:vAlign w:val="center"/>
          </w:tcPr>
          <w:p w14:paraId="65725AB8">
            <w:pPr>
              <w:pStyle w:val="1358"/>
              <w:ind w:firstLine="0" w:firstLineChars="0"/>
              <w:rPr>
                <w:rFonts w:hint="eastAsia"/>
                <w:color w:val="auto"/>
                <w:highlight w:val="none"/>
                <w:lang w:val="en-US" w:eastAsia="zh-CN"/>
              </w:rPr>
            </w:pPr>
            <w:r>
              <w:rPr>
                <w:rFonts w:hint="eastAsia"/>
                <w:color w:val="auto"/>
                <w:highlight w:val="none"/>
                <w:lang w:val="en-US" w:eastAsia="zh-CN"/>
              </w:rPr>
              <w:t>颗粒物、二氧化硫、林格曼黑度</w:t>
            </w:r>
          </w:p>
        </w:tc>
        <w:tc>
          <w:tcPr>
            <w:tcW w:w="764" w:type="pct"/>
            <w:tcBorders>
              <w:tl2br w:val="nil"/>
              <w:tr2bl w:val="nil"/>
            </w:tcBorders>
            <w:shd w:val="clear" w:color="auto" w:fill="auto"/>
            <w:noWrap w:val="0"/>
            <w:vAlign w:val="center"/>
          </w:tcPr>
          <w:p w14:paraId="2CE1CCF6">
            <w:pPr>
              <w:pStyle w:val="1358"/>
              <w:ind w:firstLine="0" w:firstLineChars="0"/>
              <w:rPr>
                <w:color w:val="auto"/>
                <w:highlight w:val="none"/>
              </w:rPr>
            </w:pPr>
            <w:r>
              <w:rPr>
                <w:rFonts w:hint="eastAsia"/>
                <w:color w:val="auto"/>
                <w:highlight w:val="none"/>
                <w:lang w:val="en-US" w:eastAsia="zh-CN"/>
              </w:rPr>
              <w:t>1次/年</w:t>
            </w:r>
          </w:p>
        </w:tc>
      </w:tr>
      <w:tr w14:paraId="39EF12E3">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82" w:hRule="atLeast"/>
        </w:trPr>
        <w:tc>
          <w:tcPr>
            <w:tcW w:w="318" w:type="pct"/>
            <w:vMerge w:val="continue"/>
            <w:tcBorders>
              <w:tl2br w:val="nil"/>
              <w:tr2bl w:val="nil"/>
            </w:tcBorders>
            <w:noWrap w:val="0"/>
            <w:vAlign w:val="center"/>
          </w:tcPr>
          <w:p w14:paraId="1EECC8AE">
            <w:pPr>
              <w:pStyle w:val="1358"/>
              <w:rPr>
                <w:color w:val="auto"/>
                <w:highlight w:val="none"/>
              </w:rPr>
            </w:pPr>
          </w:p>
        </w:tc>
        <w:tc>
          <w:tcPr>
            <w:tcW w:w="1548" w:type="pct"/>
            <w:vMerge w:val="continue"/>
            <w:tcBorders>
              <w:tl2br w:val="nil"/>
              <w:tr2bl w:val="nil"/>
            </w:tcBorders>
            <w:noWrap w:val="0"/>
            <w:vAlign w:val="center"/>
          </w:tcPr>
          <w:p w14:paraId="726FBC94">
            <w:pPr>
              <w:pStyle w:val="1358"/>
              <w:rPr>
                <w:color w:val="auto"/>
                <w:highlight w:val="none"/>
              </w:rPr>
            </w:pPr>
          </w:p>
        </w:tc>
        <w:tc>
          <w:tcPr>
            <w:tcW w:w="2368" w:type="pct"/>
            <w:tcBorders>
              <w:tl2br w:val="nil"/>
              <w:tr2bl w:val="nil"/>
            </w:tcBorders>
            <w:shd w:val="clear" w:color="auto" w:fill="auto"/>
            <w:noWrap w:val="0"/>
            <w:vAlign w:val="center"/>
          </w:tcPr>
          <w:p w14:paraId="3B2FEB97">
            <w:pPr>
              <w:pStyle w:val="1358"/>
              <w:ind w:firstLine="0" w:firstLineChars="0"/>
              <w:rPr>
                <w:rFonts w:hint="eastAsia"/>
                <w:color w:val="auto"/>
                <w:highlight w:val="none"/>
                <w:lang w:val="en-US" w:eastAsia="zh-CN"/>
              </w:rPr>
            </w:pPr>
            <w:r>
              <w:rPr>
                <w:rFonts w:hint="eastAsia"/>
                <w:color w:val="auto"/>
                <w:highlight w:val="none"/>
                <w:lang w:val="en-US" w:eastAsia="zh-CN"/>
              </w:rPr>
              <w:t>氮氧化物</w:t>
            </w:r>
          </w:p>
        </w:tc>
        <w:tc>
          <w:tcPr>
            <w:tcW w:w="764" w:type="pct"/>
            <w:tcBorders>
              <w:tl2br w:val="nil"/>
              <w:tr2bl w:val="nil"/>
            </w:tcBorders>
            <w:shd w:val="clear" w:color="auto" w:fill="auto"/>
            <w:noWrap w:val="0"/>
            <w:vAlign w:val="center"/>
          </w:tcPr>
          <w:p w14:paraId="584DC3BB">
            <w:pPr>
              <w:pStyle w:val="1358"/>
              <w:ind w:firstLine="0" w:firstLineChars="0"/>
              <w:rPr>
                <w:rFonts w:hint="eastAsia"/>
                <w:color w:val="auto"/>
                <w:highlight w:val="none"/>
                <w:lang w:val="en-US" w:eastAsia="zh-CN"/>
              </w:rPr>
            </w:pPr>
            <w:r>
              <w:rPr>
                <w:rFonts w:hint="eastAsia"/>
                <w:color w:val="auto"/>
                <w:highlight w:val="none"/>
                <w:lang w:val="en-US" w:eastAsia="zh-CN"/>
              </w:rPr>
              <w:t>1次/月</w:t>
            </w:r>
          </w:p>
        </w:tc>
      </w:tr>
      <w:tr w14:paraId="7C852F21">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00" w:hRule="atLeast"/>
        </w:trPr>
        <w:tc>
          <w:tcPr>
            <w:tcW w:w="318" w:type="pct"/>
            <w:vMerge w:val="continue"/>
            <w:tcBorders>
              <w:tl2br w:val="nil"/>
              <w:tr2bl w:val="nil"/>
            </w:tcBorders>
            <w:noWrap w:val="0"/>
            <w:vAlign w:val="center"/>
          </w:tcPr>
          <w:p w14:paraId="367E844A">
            <w:pPr>
              <w:pStyle w:val="1358"/>
              <w:rPr>
                <w:color w:val="auto"/>
                <w:highlight w:val="none"/>
              </w:rPr>
            </w:pPr>
          </w:p>
        </w:tc>
        <w:tc>
          <w:tcPr>
            <w:tcW w:w="1548" w:type="pct"/>
            <w:tcBorders>
              <w:tl2br w:val="nil"/>
              <w:tr2bl w:val="nil"/>
            </w:tcBorders>
            <w:noWrap w:val="0"/>
            <w:vAlign w:val="center"/>
          </w:tcPr>
          <w:p w14:paraId="33B9FDC3">
            <w:pPr>
              <w:pStyle w:val="1358"/>
              <w:rPr>
                <w:rFonts w:hint="default" w:eastAsia="宋体"/>
                <w:color w:val="auto"/>
                <w:highlight w:val="none"/>
                <w:lang w:val="en-US" w:eastAsia="zh-CN"/>
              </w:rPr>
            </w:pPr>
            <w:r>
              <w:rPr>
                <w:rFonts w:hint="eastAsia"/>
                <w:color w:val="auto"/>
                <w:highlight w:val="none"/>
                <w:lang w:val="en-US" w:eastAsia="zh-CN"/>
              </w:rPr>
              <w:t>DA002排气筒</w:t>
            </w:r>
          </w:p>
        </w:tc>
        <w:tc>
          <w:tcPr>
            <w:tcW w:w="2368" w:type="pct"/>
            <w:tcBorders>
              <w:tl2br w:val="nil"/>
              <w:tr2bl w:val="nil"/>
            </w:tcBorders>
            <w:noWrap w:val="0"/>
            <w:vAlign w:val="center"/>
          </w:tcPr>
          <w:p w14:paraId="11C76200">
            <w:pPr>
              <w:pStyle w:val="1358"/>
              <w:rPr>
                <w:color w:val="auto"/>
                <w:highlight w:val="none"/>
              </w:rPr>
            </w:pPr>
            <w:r>
              <w:rPr>
                <w:color w:val="auto"/>
                <w:highlight w:val="none"/>
              </w:rPr>
              <w:t>非甲烷总烃</w:t>
            </w:r>
            <w:r>
              <w:rPr>
                <w:rFonts w:hint="eastAsia"/>
                <w:color w:val="auto"/>
                <w:highlight w:val="none"/>
                <w:lang w:val="en-US" w:eastAsia="zh-CN"/>
              </w:rPr>
              <w:t>、乙酸丁酯、二甲苯</w:t>
            </w:r>
          </w:p>
        </w:tc>
        <w:tc>
          <w:tcPr>
            <w:tcW w:w="764" w:type="pct"/>
            <w:tcBorders>
              <w:tl2br w:val="nil"/>
              <w:tr2bl w:val="nil"/>
            </w:tcBorders>
            <w:shd w:val="clear" w:color="auto" w:fill="auto"/>
            <w:noWrap w:val="0"/>
            <w:vAlign w:val="center"/>
          </w:tcPr>
          <w:p w14:paraId="30529EB8">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1次/年</w:t>
            </w:r>
          </w:p>
        </w:tc>
      </w:tr>
      <w:tr w14:paraId="1A0225A7">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51" w:hRule="atLeast"/>
        </w:trPr>
        <w:tc>
          <w:tcPr>
            <w:tcW w:w="318" w:type="pct"/>
            <w:vMerge w:val="continue"/>
            <w:tcBorders>
              <w:tl2br w:val="nil"/>
              <w:tr2bl w:val="nil"/>
            </w:tcBorders>
            <w:noWrap w:val="0"/>
            <w:vAlign w:val="center"/>
          </w:tcPr>
          <w:p w14:paraId="5AE4BA89">
            <w:pPr>
              <w:pStyle w:val="1358"/>
              <w:rPr>
                <w:color w:val="auto"/>
                <w:highlight w:val="none"/>
              </w:rPr>
            </w:pPr>
          </w:p>
        </w:tc>
        <w:tc>
          <w:tcPr>
            <w:tcW w:w="1548" w:type="pct"/>
            <w:tcBorders>
              <w:tl2br w:val="nil"/>
              <w:tr2bl w:val="nil"/>
            </w:tcBorders>
            <w:noWrap w:val="0"/>
            <w:vAlign w:val="center"/>
          </w:tcPr>
          <w:p w14:paraId="76FFC029">
            <w:pPr>
              <w:pStyle w:val="1358"/>
              <w:rPr>
                <w:rFonts w:hint="eastAsia"/>
                <w:color w:val="auto"/>
                <w:highlight w:val="none"/>
                <w:lang w:val="en-US" w:eastAsia="zh-CN"/>
              </w:rPr>
            </w:pPr>
            <w:r>
              <w:rPr>
                <w:rFonts w:hint="eastAsia"/>
                <w:color w:val="auto"/>
                <w:highlight w:val="none"/>
                <w:lang w:val="en-US" w:eastAsia="zh-CN"/>
              </w:rPr>
              <w:t>DA003排气筒</w:t>
            </w:r>
          </w:p>
        </w:tc>
        <w:tc>
          <w:tcPr>
            <w:tcW w:w="2368" w:type="pct"/>
            <w:tcBorders>
              <w:tl2br w:val="nil"/>
              <w:tr2bl w:val="nil"/>
            </w:tcBorders>
            <w:noWrap w:val="0"/>
            <w:vAlign w:val="center"/>
          </w:tcPr>
          <w:p w14:paraId="6E9B29C5">
            <w:pPr>
              <w:pStyle w:val="1358"/>
              <w:rPr>
                <w:color w:val="auto"/>
                <w:highlight w:val="none"/>
              </w:rPr>
            </w:pPr>
            <w:r>
              <w:rPr>
                <w:color w:val="auto"/>
                <w:highlight w:val="none"/>
              </w:rPr>
              <w:t>非甲烷总烃</w:t>
            </w:r>
            <w:r>
              <w:rPr>
                <w:rFonts w:hint="eastAsia"/>
                <w:color w:val="auto"/>
                <w:highlight w:val="none"/>
                <w:lang w:val="en-US" w:eastAsia="zh-CN"/>
              </w:rPr>
              <w:t>、乙酸丁酯、二甲苯</w:t>
            </w:r>
          </w:p>
        </w:tc>
        <w:tc>
          <w:tcPr>
            <w:tcW w:w="764" w:type="pct"/>
            <w:tcBorders>
              <w:tl2br w:val="nil"/>
              <w:tr2bl w:val="nil"/>
            </w:tcBorders>
            <w:shd w:val="clear" w:color="auto" w:fill="auto"/>
            <w:noWrap w:val="0"/>
            <w:vAlign w:val="center"/>
          </w:tcPr>
          <w:p w14:paraId="4842BDF5">
            <w:pPr>
              <w:pStyle w:val="1358"/>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1次/年</w:t>
            </w:r>
          </w:p>
        </w:tc>
      </w:tr>
      <w:tr w14:paraId="45136E41">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82" w:hRule="atLeast"/>
        </w:trPr>
        <w:tc>
          <w:tcPr>
            <w:tcW w:w="318" w:type="pct"/>
            <w:vMerge w:val="continue"/>
            <w:tcBorders>
              <w:tl2br w:val="nil"/>
              <w:tr2bl w:val="nil"/>
            </w:tcBorders>
            <w:noWrap w:val="0"/>
            <w:vAlign w:val="center"/>
          </w:tcPr>
          <w:p w14:paraId="550F04D3">
            <w:pPr>
              <w:pStyle w:val="1358"/>
              <w:rPr>
                <w:color w:val="auto"/>
                <w:highlight w:val="none"/>
              </w:rPr>
            </w:pPr>
          </w:p>
        </w:tc>
        <w:tc>
          <w:tcPr>
            <w:tcW w:w="1548" w:type="pct"/>
            <w:tcBorders>
              <w:tl2br w:val="nil"/>
              <w:tr2bl w:val="nil"/>
            </w:tcBorders>
            <w:noWrap w:val="0"/>
            <w:vAlign w:val="center"/>
          </w:tcPr>
          <w:p w14:paraId="6A0B3E27">
            <w:pPr>
              <w:pStyle w:val="1358"/>
              <w:rPr>
                <w:rFonts w:hint="eastAsia"/>
                <w:color w:val="auto"/>
                <w:highlight w:val="none"/>
                <w:lang w:val="en-US" w:eastAsia="zh-CN"/>
              </w:rPr>
            </w:pPr>
            <w:r>
              <w:rPr>
                <w:rFonts w:hint="eastAsia"/>
                <w:color w:val="auto"/>
                <w:highlight w:val="none"/>
                <w:lang w:val="en-US" w:eastAsia="zh-CN"/>
              </w:rPr>
              <w:t>DA004排气筒</w:t>
            </w:r>
          </w:p>
        </w:tc>
        <w:tc>
          <w:tcPr>
            <w:tcW w:w="2368" w:type="pct"/>
            <w:tcBorders>
              <w:tl2br w:val="nil"/>
              <w:tr2bl w:val="nil"/>
            </w:tcBorders>
            <w:noWrap w:val="0"/>
            <w:vAlign w:val="center"/>
          </w:tcPr>
          <w:p w14:paraId="4C1F963D">
            <w:pPr>
              <w:pStyle w:val="1358"/>
              <w:rPr>
                <w:rFonts w:hint="default" w:eastAsia="宋体"/>
                <w:color w:val="auto"/>
                <w:highlight w:val="none"/>
                <w:lang w:val="en-US" w:eastAsia="zh-CN"/>
              </w:rPr>
            </w:pPr>
            <w:r>
              <w:rPr>
                <w:rFonts w:hint="eastAsia"/>
                <w:color w:val="auto"/>
                <w:highlight w:val="none"/>
                <w:lang w:val="en-US" w:eastAsia="zh-CN"/>
              </w:rPr>
              <w:t>非甲烷总烃、臭气浓度</w:t>
            </w:r>
          </w:p>
        </w:tc>
        <w:tc>
          <w:tcPr>
            <w:tcW w:w="764" w:type="pct"/>
            <w:tcBorders>
              <w:tl2br w:val="nil"/>
              <w:tr2bl w:val="nil"/>
            </w:tcBorders>
            <w:noWrap w:val="0"/>
            <w:vAlign w:val="center"/>
          </w:tcPr>
          <w:p w14:paraId="199AB009">
            <w:pPr>
              <w:pStyle w:val="1358"/>
              <w:rPr>
                <w:rFonts w:hint="eastAsia"/>
                <w:color w:val="auto"/>
                <w:highlight w:val="none"/>
                <w:lang w:val="en-US" w:eastAsia="zh-CN"/>
              </w:rPr>
            </w:pPr>
            <w:r>
              <w:rPr>
                <w:rFonts w:hint="eastAsia"/>
                <w:color w:val="auto"/>
                <w:highlight w:val="none"/>
                <w:lang w:val="en-US" w:eastAsia="zh-CN"/>
              </w:rPr>
              <w:t>1次/年</w:t>
            </w:r>
          </w:p>
        </w:tc>
      </w:tr>
      <w:tr w14:paraId="783F046C">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82" w:hRule="atLeast"/>
        </w:trPr>
        <w:tc>
          <w:tcPr>
            <w:tcW w:w="318" w:type="pct"/>
            <w:vMerge w:val="continue"/>
            <w:tcBorders>
              <w:tl2br w:val="nil"/>
              <w:tr2bl w:val="nil"/>
            </w:tcBorders>
            <w:noWrap w:val="0"/>
            <w:vAlign w:val="center"/>
          </w:tcPr>
          <w:p w14:paraId="31457976">
            <w:pPr>
              <w:pStyle w:val="1358"/>
              <w:rPr>
                <w:color w:val="auto"/>
                <w:highlight w:val="none"/>
              </w:rPr>
            </w:pPr>
          </w:p>
        </w:tc>
        <w:tc>
          <w:tcPr>
            <w:tcW w:w="1548" w:type="pct"/>
            <w:vMerge w:val="restart"/>
            <w:tcBorders>
              <w:tl2br w:val="nil"/>
              <w:tr2bl w:val="nil"/>
            </w:tcBorders>
            <w:noWrap w:val="0"/>
            <w:vAlign w:val="center"/>
          </w:tcPr>
          <w:p w14:paraId="6676CCBF">
            <w:pPr>
              <w:pStyle w:val="1358"/>
              <w:rPr>
                <w:rFonts w:hint="eastAsia"/>
                <w:color w:val="auto"/>
                <w:highlight w:val="none"/>
                <w:lang w:val="en-US" w:eastAsia="zh-CN"/>
              </w:rPr>
            </w:pPr>
            <w:r>
              <w:rPr>
                <w:rFonts w:hint="eastAsia"/>
                <w:color w:val="auto"/>
                <w:highlight w:val="none"/>
                <w:lang w:val="en-US" w:eastAsia="zh-CN"/>
              </w:rPr>
              <w:t>DA005排气筒</w:t>
            </w:r>
          </w:p>
        </w:tc>
        <w:tc>
          <w:tcPr>
            <w:tcW w:w="2368" w:type="pct"/>
            <w:tcBorders>
              <w:tl2br w:val="nil"/>
              <w:tr2bl w:val="nil"/>
            </w:tcBorders>
            <w:noWrap w:val="0"/>
            <w:vAlign w:val="center"/>
          </w:tcPr>
          <w:p w14:paraId="34D59B4F">
            <w:pPr>
              <w:pStyle w:val="1358"/>
              <w:rPr>
                <w:rFonts w:hint="eastAsia"/>
                <w:color w:val="auto"/>
                <w:highlight w:val="none"/>
                <w:lang w:val="en-US" w:eastAsia="zh-CN"/>
              </w:rPr>
            </w:pPr>
            <w:r>
              <w:rPr>
                <w:rFonts w:hint="eastAsia"/>
                <w:color w:val="auto"/>
                <w:highlight w:val="none"/>
                <w:lang w:val="en-US" w:eastAsia="zh-CN"/>
              </w:rPr>
              <w:t>颗粒物、二氧化硫、林格曼黑度</w:t>
            </w:r>
          </w:p>
        </w:tc>
        <w:tc>
          <w:tcPr>
            <w:tcW w:w="764" w:type="pct"/>
            <w:tcBorders>
              <w:tl2br w:val="nil"/>
              <w:tr2bl w:val="nil"/>
            </w:tcBorders>
            <w:noWrap w:val="0"/>
            <w:vAlign w:val="center"/>
          </w:tcPr>
          <w:p w14:paraId="027C8960">
            <w:pPr>
              <w:pStyle w:val="1358"/>
              <w:rPr>
                <w:rFonts w:hint="eastAsia"/>
                <w:color w:val="auto"/>
                <w:highlight w:val="none"/>
                <w:lang w:val="en-US" w:eastAsia="zh-CN"/>
              </w:rPr>
            </w:pPr>
            <w:r>
              <w:rPr>
                <w:rFonts w:hint="eastAsia"/>
                <w:color w:val="auto"/>
                <w:highlight w:val="none"/>
                <w:lang w:val="en-US" w:eastAsia="zh-CN"/>
              </w:rPr>
              <w:t>1次/年</w:t>
            </w:r>
          </w:p>
        </w:tc>
      </w:tr>
      <w:tr w14:paraId="15A3A951">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282" w:hRule="atLeast"/>
        </w:trPr>
        <w:tc>
          <w:tcPr>
            <w:tcW w:w="318" w:type="pct"/>
            <w:vMerge w:val="continue"/>
            <w:tcBorders>
              <w:tl2br w:val="nil"/>
              <w:tr2bl w:val="nil"/>
            </w:tcBorders>
            <w:noWrap w:val="0"/>
            <w:vAlign w:val="center"/>
          </w:tcPr>
          <w:p w14:paraId="3ED1A83C">
            <w:pPr>
              <w:pStyle w:val="1358"/>
              <w:rPr>
                <w:color w:val="auto"/>
                <w:highlight w:val="none"/>
              </w:rPr>
            </w:pPr>
          </w:p>
        </w:tc>
        <w:tc>
          <w:tcPr>
            <w:tcW w:w="1548" w:type="pct"/>
            <w:vMerge w:val="continue"/>
            <w:tcBorders>
              <w:tl2br w:val="nil"/>
              <w:tr2bl w:val="nil"/>
            </w:tcBorders>
            <w:noWrap w:val="0"/>
            <w:vAlign w:val="center"/>
          </w:tcPr>
          <w:p w14:paraId="56185F47">
            <w:pPr>
              <w:pStyle w:val="1358"/>
              <w:rPr>
                <w:rFonts w:hint="eastAsia"/>
                <w:color w:val="auto"/>
                <w:highlight w:val="none"/>
                <w:lang w:val="en-US" w:eastAsia="zh-CN"/>
              </w:rPr>
            </w:pPr>
          </w:p>
        </w:tc>
        <w:tc>
          <w:tcPr>
            <w:tcW w:w="2368" w:type="pct"/>
            <w:tcBorders>
              <w:tl2br w:val="nil"/>
              <w:tr2bl w:val="nil"/>
            </w:tcBorders>
            <w:noWrap w:val="0"/>
            <w:vAlign w:val="center"/>
          </w:tcPr>
          <w:p w14:paraId="206DF848">
            <w:pPr>
              <w:pStyle w:val="1358"/>
              <w:rPr>
                <w:rFonts w:hint="eastAsia"/>
                <w:color w:val="auto"/>
                <w:highlight w:val="none"/>
                <w:lang w:val="en-US" w:eastAsia="zh-CN"/>
              </w:rPr>
            </w:pPr>
            <w:r>
              <w:rPr>
                <w:rFonts w:hint="eastAsia"/>
                <w:color w:val="auto"/>
                <w:highlight w:val="none"/>
                <w:lang w:val="en-US" w:eastAsia="zh-CN"/>
              </w:rPr>
              <w:t>氮氧化物</w:t>
            </w:r>
          </w:p>
        </w:tc>
        <w:tc>
          <w:tcPr>
            <w:tcW w:w="764" w:type="pct"/>
            <w:tcBorders>
              <w:tl2br w:val="nil"/>
              <w:tr2bl w:val="nil"/>
            </w:tcBorders>
            <w:noWrap w:val="0"/>
            <w:vAlign w:val="center"/>
          </w:tcPr>
          <w:p w14:paraId="4357B8F7">
            <w:pPr>
              <w:pStyle w:val="1358"/>
              <w:rPr>
                <w:rFonts w:hint="eastAsia"/>
                <w:color w:val="auto"/>
                <w:highlight w:val="none"/>
                <w:lang w:val="en-US" w:eastAsia="zh-CN"/>
              </w:rPr>
            </w:pPr>
            <w:r>
              <w:rPr>
                <w:rFonts w:hint="eastAsia"/>
                <w:color w:val="auto"/>
                <w:highlight w:val="none"/>
                <w:lang w:val="en-US" w:eastAsia="zh-CN"/>
              </w:rPr>
              <w:t>1次/月</w:t>
            </w:r>
          </w:p>
        </w:tc>
      </w:tr>
      <w:tr w14:paraId="3D9190BA">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51" w:hRule="atLeast"/>
        </w:trPr>
        <w:tc>
          <w:tcPr>
            <w:tcW w:w="318" w:type="pct"/>
            <w:vMerge w:val="continue"/>
            <w:tcBorders>
              <w:tl2br w:val="nil"/>
              <w:tr2bl w:val="nil"/>
            </w:tcBorders>
            <w:noWrap w:val="0"/>
            <w:vAlign w:val="center"/>
          </w:tcPr>
          <w:p w14:paraId="448C7E2C">
            <w:pPr>
              <w:pStyle w:val="1358"/>
              <w:rPr>
                <w:color w:val="auto"/>
                <w:highlight w:val="none"/>
              </w:rPr>
            </w:pPr>
          </w:p>
        </w:tc>
        <w:tc>
          <w:tcPr>
            <w:tcW w:w="1548" w:type="pct"/>
            <w:vMerge w:val="restart"/>
            <w:tcBorders>
              <w:tl2br w:val="nil"/>
              <w:tr2bl w:val="nil"/>
            </w:tcBorders>
            <w:noWrap w:val="0"/>
            <w:vAlign w:val="center"/>
          </w:tcPr>
          <w:p w14:paraId="656F39C2">
            <w:pPr>
              <w:pStyle w:val="1358"/>
              <w:rPr>
                <w:rFonts w:hint="eastAsia"/>
                <w:color w:val="auto"/>
                <w:highlight w:val="none"/>
                <w:lang w:val="en-US" w:eastAsia="zh-CN"/>
              </w:rPr>
            </w:pPr>
            <w:r>
              <w:rPr>
                <w:rFonts w:hint="eastAsia"/>
                <w:color w:val="auto"/>
                <w:highlight w:val="none"/>
                <w:lang w:val="en-US" w:eastAsia="zh-CN"/>
              </w:rPr>
              <w:t>DA006排气筒</w:t>
            </w:r>
          </w:p>
        </w:tc>
        <w:tc>
          <w:tcPr>
            <w:tcW w:w="2368" w:type="pct"/>
            <w:tcBorders>
              <w:tl2br w:val="nil"/>
              <w:tr2bl w:val="nil"/>
            </w:tcBorders>
            <w:noWrap w:val="0"/>
            <w:vAlign w:val="center"/>
          </w:tcPr>
          <w:p w14:paraId="06D8A138">
            <w:pPr>
              <w:pStyle w:val="1358"/>
              <w:ind w:firstLine="0" w:firstLineChars="0"/>
              <w:rPr>
                <w:rFonts w:hint="eastAsia"/>
                <w:color w:val="auto"/>
                <w:highlight w:val="none"/>
                <w:lang w:val="en-US" w:eastAsia="zh-CN"/>
              </w:rPr>
            </w:pPr>
            <w:r>
              <w:rPr>
                <w:color w:val="auto"/>
                <w:highlight w:val="none"/>
              </w:rPr>
              <w:t>非甲烷总烃</w:t>
            </w:r>
            <w:r>
              <w:rPr>
                <w:rFonts w:hint="eastAsia"/>
                <w:color w:val="auto"/>
                <w:highlight w:val="none"/>
                <w:lang w:val="en-US" w:eastAsia="zh-CN"/>
              </w:rPr>
              <w:t>、颗粒物、二氧化硫、林格曼黑度</w:t>
            </w:r>
          </w:p>
        </w:tc>
        <w:tc>
          <w:tcPr>
            <w:tcW w:w="764" w:type="pct"/>
            <w:tcBorders>
              <w:tl2br w:val="nil"/>
              <w:tr2bl w:val="nil"/>
            </w:tcBorders>
            <w:noWrap w:val="0"/>
            <w:vAlign w:val="center"/>
          </w:tcPr>
          <w:p w14:paraId="68644295">
            <w:pPr>
              <w:pStyle w:val="1358"/>
              <w:rPr>
                <w:rFonts w:hint="eastAsia"/>
                <w:color w:val="auto"/>
                <w:highlight w:val="none"/>
                <w:lang w:val="en-US" w:eastAsia="zh-CN"/>
              </w:rPr>
            </w:pPr>
            <w:r>
              <w:rPr>
                <w:rFonts w:hint="eastAsia"/>
                <w:color w:val="auto"/>
                <w:highlight w:val="none"/>
                <w:lang w:val="en-US" w:eastAsia="zh-CN"/>
              </w:rPr>
              <w:t>1次/年</w:t>
            </w:r>
          </w:p>
        </w:tc>
      </w:tr>
      <w:tr w14:paraId="7486E902">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51" w:hRule="atLeast"/>
        </w:trPr>
        <w:tc>
          <w:tcPr>
            <w:tcW w:w="318" w:type="pct"/>
            <w:vMerge w:val="continue"/>
            <w:tcBorders>
              <w:tl2br w:val="nil"/>
              <w:tr2bl w:val="nil"/>
            </w:tcBorders>
            <w:noWrap w:val="0"/>
            <w:vAlign w:val="center"/>
          </w:tcPr>
          <w:p w14:paraId="5C508238">
            <w:pPr>
              <w:pStyle w:val="1358"/>
              <w:rPr>
                <w:color w:val="auto"/>
                <w:highlight w:val="none"/>
              </w:rPr>
            </w:pPr>
          </w:p>
        </w:tc>
        <w:tc>
          <w:tcPr>
            <w:tcW w:w="1548" w:type="pct"/>
            <w:vMerge w:val="continue"/>
            <w:tcBorders>
              <w:tl2br w:val="nil"/>
              <w:tr2bl w:val="nil"/>
            </w:tcBorders>
            <w:noWrap w:val="0"/>
            <w:vAlign w:val="center"/>
          </w:tcPr>
          <w:p w14:paraId="77179E21">
            <w:pPr>
              <w:pStyle w:val="1358"/>
              <w:rPr>
                <w:color w:val="auto"/>
                <w:highlight w:val="none"/>
              </w:rPr>
            </w:pPr>
          </w:p>
        </w:tc>
        <w:tc>
          <w:tcPr>
            <w:tcW w:w="2368" w:type="pct"/>
            <w:tcBorders>
              <w:tl2br w:val="nil"/>
              <w:tr2bl w:val="nil"/>
            </w:tcBorders>
            <w:noWrap w:val="0"/>
            <w:vAlign w:val="center"/>
          </w:tcPr>
          <w:p w14:paraId="3BC40E41">
            <w:pPr>
              <w:pStyle w:val="1358"/>
              <w:ind w:firstLine="0" w:firstLineChars="0"/>
              <w:rPr>
                <w:rFonts w:hint="eastAsia"/>
                <w:color w:val="auto"/>
                <w:highlight w:val="none"/>
                <w:lang w:val="en-US" w:eastAsia="zh-CN"/>
              </w:rPr>
            </w:pPr>
            <w:r>
              <w:rPr>
                <w:rFonts w:hint="eastAsia"/>
                <w:color w:val="auto"/>
                <w:highlight w:val="none"/>
                <w:lang w:val="en-US" w:eastAsia="zh-CN"/>
              </w:rPr>
              <w:t>氮氧化物</w:t>
            </w:r>
          </w:p>
        </w:tc>
        <w:tc>
          <w:tcPr>
            <w:tcW w:w="764" w:type="pct"/>
            <w:tcBorders>
              <w:tl2br w:val="nil"/>
              <w:tr2bl w:val="nil"/>
            </w:tcBorders>
            <w:noWrap w:val="0"/>
            <w:vAlign w:val="center"/>
          </w:tcPr>
          <w:p w14:paraId="255959EA">
            <w:pPr>
              <w:pStyle w:val="1358"/>
              <w:rPr>
                <w:rFonts w:hint="eastAsia"/>
                <w:color w:val="auto"/>
                <w:highlight w:val="none"/>
                <w:lang w:val="en-US" w:eastAsia="zh-CN"/>
              </w:rPr>
            </w:pPr>
            <w:r>
              <w:rPr>
                <w:rFonts w:hint="eastAsia"/>
                <w:color w:val="auto"/>
                <w:highlight w:val="none"/>
                <w:lang w:val="en-US" w:eastAsia="zh-CN"/>
              </w:rPr>
              <w:t>1次/月</w:t>
            </w:r>
          </w:p>
        </w:tc>
      </w:tr>
      <w:tr w14:paraId="42261B04">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97" w:hRule="atLeast"/>
        </w:trPr>
        <w:tc>
          <w:tcPr>
            <w:tcW w:w="318" w:type="pct"/>
            <w:vMerge w:val="continue"/>
            <w:tcBorders>
              <w:tl2br w:val="nil"/>
              <w:tr2bl w:val="nil"/>
            </w:tcBorders>
            <w:noWrap w:val="0"/>
            <w:vAlign w:val="center"/>
          </w:tcPr>
          <w:p w14:paraId="642D94B9">
            <w:pPr>
              <w:pStyle w:val="1358"/>
              <w:rPr>
                <w:color w:val="auto"/>
                <w:highlight w:val="none"/>
              </w:rPr>
            </w:pPr>
          </w:p>
        </w:tc>
        <w:tc>
          <w:tcPr>
            <w:tcW w:w="1548" w:type="pct"/>
            <w:vMerge w:val="restart"/>
            <w:tcBorders>
              <w:tl2br w:val="nil"/>
              <w:tr2bl w:val="nil"/>
            </w:tcBorders>
            <w:noWrap w:val="0"/>
            <w:vAlign w:val="center"/>
          </w:tcPr>
          <w:p w14:paraId="17BF1830">
            <w:pPr>
              <w:pStyle w:val="1358"/>
              <w:rPr>
                <w:color w:val="auto"/>
                <w:highlight w:val="none"/>
              </w:rPr>
            </w:pPr>
            <w:r>
              <w:rPr>
                <w:color w:val="auto"/>
                <w:highlight w:val="none"/>
              </w:rPr>
              <w:t>厂界</w:t>
            </w:r>
          </w:p>
        </w:tc>
        <w:tc>
          <w:tcPr>
            <w:tcW w:w="2368" w:type="pct"/>
            <w:tcBorders>
              <w:tl2br w:val="nil"/>
              <w:tr2bl w:val="nil"/>
            </w:tcBorders>
            <w:noWrap w:val="0"/>
            <w:vAlign w:val="center"/>
          </w:tcPr>
          <w:p w14:paraId="0A2DA2EE">
            <w:pPr>
              <w:pStyle w:val="1358"/>
              <w:rPr>
                <w:rFonts w:hint="eastAsia" w:eastAsia="宋体"/>
                <w:color w:val="auto"/>
                <w:highlight w:val="none"/>
                <w:lang w:eastAsia="zh-CN"/>
              </w:rPr>
            </w:pPr>
            <w:r>
              <w:rPr>
                <w:color w:val="auto"/>
                <w:highlight w:val="none"/>
              </w:rPr>
              <w:t>非甲烷总烃</w:t>
            </w:r>
            <w:r>
              <w:rPr>
                <w:rFonts w:hint="eastAsia"/>
                <w:color w:val="auto"/>
                <w:highlight w:val="none"/>
                <w:lang w:eastAsia="zh-CN"/>
              </w:rPr>
              <w:t>、</w:t>
            </w:r>
            <w:r>
              <w:rPr>
                <w:rFonts w:hint="eastAsia"/>
                <w:color w:val="auto"/>
                <w:highlight w:val="none"/>
                <w:lang w:val="en-US" w:eastAsia="zh-CN"/>
              </w:rPr>
              <w:t>乙酸丁酯、二甲苯</w:t>
            </w:r>
          </w:p>
        </w:tc>
        <w:tc>
          <w:tcPr>
            <w:tcW w:w="764" w:type="pct"/>
            <w:tcBorders>
              <w:tl2br w:val="nil"/>
              <w:tr2bl w:val="nil"/>
            </w:tcBorders>
            <w:noWrap w:val="0"/>
            <w:vAlign w:val="center"/>
          </w:tcPr>
          <w:p w14:paraId="75BB369F">
            <w:pPr>
              <w:pStyle w:val="1358"/>
              <w:rPr>
                <w:color w:val="auto"/>
                <w:highlight w:val="none"/>
              </w:rPr>
            </w:pPr>
            <w:r>
              <w:rPr>
                <w:color w:val="auto"/>
                <w:highlight w:val="none"/>
              </w:rPr>
              <w:t>1次/</w:t>
            </w:r>
            <w:r>
              <w:rPr>
                <w:rFonts w:hint="eastAsia"/>
                <w:color w:val="auto"/>
                <w:highlight w:val="none"/>
                <w:lang w:val="en-US" w:eastAsia="zh-CN"/>
              </w:rPr>
              <w:t>半</w:t>
            </w:r>
            <w:r>
              <w:rPr>
                <w:color w:val="auto"/>
                <w:highlight w:val="none"/>
              </w:rPr>
              <w:t>年</w:t>
            </w:r>
          </w:p>
        </w:tc>
      </w:tr>
      <w:tr w14:paraId="6F9C7701">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97" w:hRule="atLeast"/>
        </w:trPr>
        <w:tc>
          <w:tcPr>
            <w:tcW w:w="318" w:type="pct"/>
            <w:vMerge w:val="continue"/>
            <w:tcBorders>
              <w:tl2br w:val="nil"/>
              <w:tr2bl w:val="nil"/>
            </w:tcBorders>
            <w:noWrap w:val="0"/>
            <w:vAlign w:val="center"/>
          </w:tcPr>
          <w:p w14:paraId="5472BEC7">
            <w:pPr>
              <w:pStyle w:val="1358"/>
              <w:rPr>
                <w:color w:val="auto"/>
                <w:highlight w:val="none"/>
              </w:rPr>
            </w:pPr>
          </w:p>
        </w:tc>
        <w:tc>
          <w:tcPr>
            <w:tcW w:w="1548" w:type="pct"/>
            <w:vMerge w:val="continue"/>
            <w:tcBorders>
              <w:tl2br w:val="nil"/>
              <w:tr2bl w:val="nil"/>
            </w:tcBorders>
            <w:noWrap w:val="0"/>
            <w:vAlign w:val="center"/>
          </w:tcPr>
          <w:p w14:paraId="3C60B961">
            <w:pPr>
              <w:pStyle w:val="1358"/>
              <w:rPr>
                <w:color w:val="auto"/>
                <w:highlight w:val="none"/>
              </w:rPr>
            </w:pPr>
          </w:p>
        </w:tc>
        <w:tc>
          <w:tcPr>
            <w:tcW w:w="2368" w:type="pct"/>
            <w:tcBorders>
              <w:tl2br w:val="nil"/>
              <w:tr2bl w:val="nil"/>
            </w:tcBorders>
            <w:noWrap w:val="0"/>
            <w:vAlign w:val="center"/>
          </w:tcPr>
          <w:p w14:paraId="77F4EFFC">
            <w:pPr>
              <w:pStyle w:val="1358"/>
              <w:rPr>
                <w:rFonts w:hint="eastAsia" w:eastAsia="宋体"/>
                <w:color w:val="auto"/>
                <w:highlight w:val="none"/>
                <w:lang w:val="en-US" w:eastAsia="zh-CN"/>
              </w:rPr>
            </w:pPr>
            <w:r>
              <w:rPr>
                <w:rFonts w:hint="eastAsia"/>
                <w:color w:val="auto"/>
                <w:highlight w:val="none"/>
                <w:lang w:val="en-US" w:eastAsia="zh-CN"/>
              </w:rPr>
              <w:t>臭气浓度</w:t>
            </w:r>
          </w:p>
        </w:tc>
        <w:tc>
          <w:tcPr>
            <w:tcW w:w="764" w:type="pct"/>
            <w:tcBorders>
              <w:tl2br w:val="nil"/>
              <w:tr2bl w:val="nil"/>
            </w:tcBorders>
            <w:noWrap w:val="0"/>
            <w:vAlign w:val="center"/>
          </w:tcPr>
          <w:p w14:paraId="1F866179">
            <w:pPr>
              <w:pStyle w:val="1358"/>
              <w:rPr>
                <w:rFonts w:hint="default" w:eastAsia="宋体"/>
                <w:color w:val="auto"/>
                <w:highlight w:val="none"/>
                <w:lang w:val="en-US" w:eastAsia="zh-CN"/>
              </w:rPr>
            </w:pPr>
            <w:r>
              <w:rPr>
                <w:rFonts w:hint="eastAsia"/>
                <w:color w:val="auto"/>
                <w:highlight w:val="none"/>
                <w:lang w:val="en-US" w:eastAsia="zh-CN"/>
              </w:rPr>
              <w:t>1次/年</w:t>
            </w:r>
          </w:p>
        </w:tc>
      </w:tr>
      <w:tr w14:paraId="7EB3DB43">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97" w:hRule="atLeast"/>
        </w:trPr>
        <w:tc>
          <w:tcPr>
            <w:tcW w:w="318" w:type="pct"/>
            <w:vMerge w:val="continue"/>
            <w:tcBorders>
              <w:tl2br w:val="nil"/>
              <w:tr2bl w:val="nil"/>
            </w:tcBorders>
            <w:noWrap w:val="0"/>
            <w:vAlign w:val="center"/>
          </w:tcPr>
          <w:p w14:paraId="76C7358D">
            <w:pPr>
              <w:pStyle w:val="1358"/>
              <w:rPr>
                <w:color w:val="auto"/>
                <w:highlight w:val="none"/>
              </w:rPr>
            </w:pPr>
          </w:p>
        </w:tc>
        <w:tc>
          <w:tcPr>
            <w:tcW w:w="1548" w:type="pct"/>
            <w:tcBorders>
              <w:tl2br w:val="nil"/>
              <w:tr2bl w:val="nil"/>
            </w:tcBorders>
            <w:noWrap w:val="0"/>
            <w:vAlign w:val="center"/>
          </w:tcPr>
          <w:p w14:paraId="70D2ED55">
            <w:pPr>
              <w:pStyle w:val="1358"/>
              <w:rPr>
                <w:rFonts w:hint="default" w:eastAsia="宋体"/>
                <w:color w:val="auto"/>
                <w:highlight w:val="none"/>
                <w:lang w:val="en-US" w:eastAsia="zh-CN"/>
              </w:rPr>
            </w:pPr>
            <w:r>
              <w:rPr>
                <w:rFonts w:hint="eastAsia"/>
                <w:color w:val="auto"/>
                <w:highlight w:val="none"/>
                <w:lang w:val="en-US" w:eastAsia="zh-CN"/>
              </w:rPr>
              <w:t>厂区内</w:t>
            </w:r>
          </w:p>
        </w:tc>
        <w:tc>
          <w:tcPr>
            <w:tcW w:w="2368" w:type="pct"/>
            <w:tcBorders>
              <w:tl2br w:val="nil"/>
              <w:tr2bl w:val="nil"/>
            </w:tcBorders>
            <w:noWrap w:val="0"/>
            <w:vAlign w:val="center"/>
          </w:tcPr>
          <w:p w14:paraId="240E3886">
            <w:pPr>
              <w:pStyle w:val="1358"/>
              <w:rPr>
                <w:rFonts w:hint="eastAsia"/>
                <w:color w:val="auto"/>
                <w:highlight w:val="none"/>
                <w:lang w:val="en-US" w:eastAsia="zh-CN"/>
              </w:rPr>
            </w:pPr>
            <w:r>
              <w:rPr>
                <w:color w:val="auto"/>
                <w:highlight w:val="none"/>
              </w:rPr>
              <w:t>非甲烷总烃</w:t>
            </w:r>
          </w:p>
        </w:tc>
        <w:tc>
          <w:tcPr>
            <w:tcW w:w="764" w:type="pct"/>
            <w:tcBorders>
              <w:tl2br w:val="nil"/>
              <w:tr2bl w:val="nil"/>
            </w:tcBorders>
            <w:noWrap w:val="0"/>
            <w:vAlign w:val="center"/>
          </w:tcPr>
          <w:p w14:paraId="5FC72D67">
            <w:pPr>
              <w:pStyle w:val="1358"/>
              <w:rPr>
                <w:rFonts w:hint="eastAsia"/>
                <w:color w:val="auto"/>
                <w:highlight w:val="none"/>
                <w:lang w:val="en-US" w:eastAsia="zh-CN"/>
              </w:rPr>
            </w:pPr>
            <w:r>
              <w:rPr>
                <w:color w:val="auto"/>
                <w:highlight w:val="none"/>
              </w:rPr>
              <w:t>1次/</w:t>
            </w:r>
            <w:r>
              <w:rPr>
                <w:rFonts w:hint="eastAsia"/>
                <w:color w:val="auto"/>
                <w:highlight w:val="none"/>
                <w:lang w:val="en-US" w:eastAsia="zh-CN"/>
              </w:rPr>
              <w:t>季</w:t>
            </w:r>
          </w:p>
        </w:tc>
      </w:tr>
      <w:tr w14:paraId="6AD88F85">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340" w:hRule="atLeast"/>
        </w:trPr>
        <w:tc>
          <w:tcPr>
            <w:tcW w:w="318" w:type="pct"/>
            <w:tcBorders>
              <w:tl2br w:val="nil"/>
              <w:tr2bl w:val="nil"/>
            </w:tcBorders>
            <w:noWrap w:val="0"/>
            <w:vAlign w:val="center"/>
          </w:tcPr>
          <w:p w14:paraId="084B4F7F">
            <w:pPr>
              <w:pStyle w:val="1358"/>
              <w:rPr>
                <w:color w:val="auto"/>
                <w:highlight w:val="none"/>
              </w:rPr>
            </w:pPr>
            <w:r>
              <w:rPr>
                <w:color w:val="auto"/>
                <w:highlight w:val="none"/>
              </w:rPr>
              <w:t>噪声</w:t>
            </w:r>
          </w:p>
        </w:tc>
        <w:tc>
          <w:tcPr>
            <w:tcW w:w="1548" w:type="pct"/>
            <w:tcBorders>
              <w:tl2br w:val="nil"/>
              <w:tr2bl w:val="nil"/>
            </w:tcBorders>
            <w:noWrap w:val="0"/>
            <w:vAlign w:val="center"/>
          </w:tcPr>
          <w:p w14:paraId="095BDAF8">
            <w:pPr>
              <w:pStyle w:val="1358"/>
              <w:rPr>
                <w:color w:val="auto"/>
                <w:highlight w:val="none"/>
              </w:rPr>
            </w:pPr>
            <w:r>
              <w:rPr>
                <w:color w:val="auto"/>
                <w:highlight w:val="none"/>
              </w:rPr>
              <w:t>厂界外1米（厂界四周）</w:t>
            </w:r>
          </w:p>
        </w:tc>
        <w:tc>
          <w:tcPr>
            <w:tcW w:w="2368" w:type="pct"/>
            <w:tcBorders>
              <w:tl2br w:val="nil"/>
              <w:tr2bl w:val="nil"/>
            </w:tcBorders>
            <w:noWrap w:val="0"/>
            <w:vAlign w:val="center"/>
          </w:tcPr>
          <w:p w14:paraId="0894B683">
            <w:pPr>
              <w:pStyle w:val="1358"/>
              <w:rPr>
                <w:rFonts w:hint="eastAsia" w:eastAsia="宋体"/>
                <w:color w:val="auto"/>
                <w:highlight w:val="none"/>
                <w:lang w:eastAsia="zh-CN"/>
              </w:rPr>
            </w:pPr>
            <w:r>
              <w:rPr>
                <w:color w:val="auto"/>
                <w:highlight w:val="none"/>
              </w:rPr>
              <w:t>等效连续A声级</w:t>
            </w:r>
            <w:r>
              <w:rPr>
                <w:rFonts w:hint="eastAsia"/>
                <w:color w:val="auto"/>
                <w:highlight w:val="none"/>
                <w:lang w:eastAsia="zh-CN"/>
              </w:rPr>
              <w:t>、</w:t>
            </w:r>
            <w:r>
              <w:rPr>
                <w:rFonts w:hint="eastAsia"/>
                <w:color w:val="auto"/>
                <w:highlight w:val="none"/>
                <w:lang w:val="en-GB" w:eastAsia="zh-CN"/>
              </w:rPr>
              <w:t>最大声级（</w:t>
            </w:r>
            <w:r>
              <w:rPr>
                <w:rFonts w:hint="eastAsia"/>
                <w:color w:val="auto"/>
                <w:highlight w:val="none"/>
                <w:lang w:val="en-US" w:eastAsia="zh-CN"/>
              </w:rPr>
              <w:t>偶发噪声、频发噪声</w:t>
            </w:r>
            <w:r>
              <w:rPr>
                <w:rFonts w:hint="eastAsia"/>
                <w:color w:val="auto"/>
                <w:highlight w:val="none"/>
                <w:lang w:val="en-GB" w:eastAsia="zh-CN"/>
              </w:rPr>
              <w:t>）</w:t>
            </w:r>
          </w:p>
        </w:tc>
        <w:tc>
          <w:tcPr>
            <w:tcW w:w="764" w:type="pct"/>
            <w:tcBorders>
              <w:tl2br w:val="nil"/>
              <w:tr2bl w:val="nil"/>
            </w:tcBorders>
            <w:noWrap w:val="0"/>
            <w:vAlign w:val="center"/>
          </w:tcPr>
          <w:p w14:paraId="60BB118B">
            <w:pPr>
              <w:pStyle w:val="1358"/>
              <w:rPr>
                <w:color w:val="auto"/>
                <w:highlight w:val="none"/>
              </w:rPr>
            </w:pPr>
            <w:r>
              <w:rPr>
                <w:color w:val="auto"/>
                <w:highlight w:val="none"/>
              </w:rPr>
              <w:t>1次/季</w:t>
            </w:r>
          </w:p>
        </w:tc>
      </w:tr>
      <w:tr w14:paraId="45B4FF0C">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340" w:hRule="atLeast"/>
        </w:trPr>
        <w:tc>
          <w:tcPr>
            <w:tcW w:w="318" w:type="pct"/>
            <w:tcBorders>
              <w:tl2br w:val="nil"/>
              <w:tr2bl w:val="nil"/>
            </w:tcBorders>
            <w:noWrap w:val="0"/>
            <w:vAlign w:val="center"/>
          </w:tcPr>
          <w:p w14:paraId="63E31D67">
            <w:pPr>
              <w:pStyle w:val="1358"/>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地下水</w:t>
            </w:r>
            <w:r>
              <w:rPr>
                <w:rFonts w:hint="eastAsia" w:cs="Times New Roman"/>
                <w:color w:val="auto"/>
                <w:highlight w:val="none"/>
                <w:vertAlign w:val="superscript"/>
                <w:lang w:val="en-US" w:eastAsia="zh-CN"/>
              </w:rPr>
              <w:t>b</w:t>
            </w:r>
          </w:p>
        </w:tc>
        <w:tc>
          <w:tcPr>
            <w:tcW w:w="1548" w:type="pct"/>
            <w:tcBorders>
              <w:tl2br w:val="nil"/>
              <w:tr2bl w:val="nil"/>
            </w:tcBorders>
            <w:noWrap w:val="0"/>
            <w:vAlign w:val="center"/>
          </w:tcPr>
          <w:p w14:paraId="4CD364F2">
            <w:pPr>
              <w:pStyle w:val="1358"/>
              <w:rPr>
                <w:rFonts w:ascii="Times New Roman" w:hAnsi="Times New Roman" w:eastAsia="宋体" w:cs="Times New Roman"/>
                <w:color w:val="auto"/>
                <w:highlight w:val="none"/>
                <w:lang w:val="en-US" w:eastAsia="zh-CN"/>
              </w:rPr>
            </w:pPr>
            <w:r>
              <w:rPr>
                <w:rFonts w:hint="eastAsia" w:cs="Times New Roman"/>
                <w:color w:val="auto"/>
                <w:highlight w:val="none"/>
                <w:lang w:val="en-US" w:eastAsia="zh-CN"/>
              </w:rPr>
              <w:t>厂址</w:t>
            </w:r>
            <w:r>
              <w:rPr>
                <w:rFonts w:ascii="Times New Roman" w:hAnsi="Times New Roman" w:eastAsia="宋体" w:cs="Times New Roman"/>
                <w:color w:val="auto"/>
                <w:highlight w:val="none"/>
              </w:rPr>
              <w:t>下游1个点位</w:t>
            </w:r>
          </w:p>
        </w:tc>
        <w:tc>
          <w:tcPr>
            <w:tcW w:w="2368" w:type="pct"/>
            <w:tcBorders>
              <w:tl2br w:val="nil"/>
              <w:tr2bl w:val="nil"/>
            </w:tcBorders>
            <w:noWrap w:val="0"/>
            <w:vAlign w:val="center"/>
          </w:tcPr>
          <w:p w14:paraId="02CC6DD6">
            <w:pPr>
              <w:pStyle w:val="1358"/>
              <w:rPr>
                <w:rFonts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pH</w:t>
            </w:r>
            <w:r>
              <w:rPr>
                <w:rFonts w:hint="eastAsia" w:ascii="Times New Roman" w:hAnsi="Times New Roman" w:eastAsia="宋体" w:cs="Times New Roman"/>
                <w:color w:val="auto"/>
                <w:highlight w:val="none"/>
                <w:lang w:val="en-US" w:eastAsia="zh-CN"/>
              </w:rPr>
              <w:t>、溶解性总固体、氨氮、耗氧量、石油类等</w:t>
            </w:r>
          </w:p>
        </w:tc>
        <w:tc>
          <w:tcPr>
            <w:tcW w:w="764" w:type="pct"/>
            <w:tcBorders>
              <w:tl2br w:val="nil"/>
              <w:tr2bl w:val="nil"/>
            </w:tcBorders>
            <w:noWrap w:val="0"/>
            <w:vAlign w:val="center"/>
          </w:tcPr>
          <w:p w14:paraId="67892E49">
            <w:pPr>
              <w:pStyle w:val="1358"/>
              <w:rPr>
                <w:rFonts w:ascii="Times New Roman" w:hAnsi="Times New Roman" w:eastAsia="宋体" w:cs="Times New Roman"/>
                <w:color w:val="auto"/>
                <w:highlight w:val="none"/>
              </w:rPr>
            </w:pPr>
            <w:r>
              <w:rPr>
                <w:rFonts w:ascii="Times New Roman" w:hAnsi="Times New Roman" w:eastAsia="宋体" w:cs="Times New Roman"/>
                <w:color w:val="auto"/>
                <w:highlight w:val="none"/>
              </w:rPr>
              <w:t>1次/年</w:t>
            </w:r>
          </w:p>
        </w:tc>
      </w:tr>
      <w:tr w14:paraId="1D95F339">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85" w:hRule="atLeast"/>
        </w:trPr>
        <w:tc>
          <w:tcPr>
            <w:tcW w:w="318" w:type="pct"/>
            <w:vMerge w:val="restart"/>
            <w:tcBorders>
              <w:tl2br w:val="nil"/>
              <w:tr2bl w:val="nil"/>
            </w:tcBorders>
            <w:noWrap w:val="0"/>
            <w:vAlign w:val="center"/>
          </w:tcPr>
          <w:p w14:paraId="65B9E84C">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土壤</w:t>
            </w:r>
            <w:r>
              <w:rPr>
                <w:rFonts w:hint="eastAsia" w:cs="Times New Roman"/>
                <w:color w:val="auto"/>
                <w:highlight w:val="none"/>
                <w:vertAlign w:val="superscript"/>
                <w:lang w:val="en-US" w:eastAsia="zh-CN"/>
              </w:rPr>
              <w:t>b</w:t>
            </w:r>
          </w:p>
        </w:tc>
        <w:tc>
          <w:tcPr>
            <w:tcW w:w="1548" w:type="pct"/>
            <w:tcBorders>
              <w:tl2br w:val="nil"/>
              <w:tr2bl w:val="nil"/>
            </w:tcBorders>
            <w:noWrap w:val="0"/>
            <w:vAlign w:val="center"/>
          </w:tcPr>
          <w:p w14:paraId="4CAD08B9">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一类单元：每个隐蔽性重点设施设备周边至少布置1个深层土壤监测点，单元内部或周边布设至少1个表层土壤监测点</w:t>
            </w:r>
          </w:p>
        </w:tc>
        <w:tc>
          <w:tcPr>
            <w:tcW w:w="2368" w:type="pct"/>
            <w:vMerge w:val="restart"/>
            <w:tcBorders>
              <w:tl2br w:val="nil"/>
              <w:tr2bl w:val="nil"/>
            </w:tcBorders>
            <w:noWrap w:val="0"/>
            <w:vAlign w:val="center"/>
          </w:tcPr>
          <w:p w14:paraId="77C83C6E">
            <w:pPr>
              <w:pStyle w:val="1358"/>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初次监测：原则上所有土壤监测点的监测指标至少应包括</w:t>
            </w:r>
            <w:r>
              <w:rPr>
                <w:rFonts w:hint="default" w:ascii="Times New Roman" w:hAnsi="Times New Roman" w:eastAsia="宋体" w:cs="Times New Roman"/>
                <w:color w:val="auto"/>
                <w:highlight w:val="none"/>
                <w:lang w:val="en-US" w:eastAsia="zh-CN"/>
              </w:rPr>
              <w:t>GB 36600</w:t>
            </w:r>
            <w:r>
              <w:rPr>
                <w:rFonts w:hint="eastAsia" w:ascii="Times New Roman" w:hAnsi="Times New Roman" w:eastAsia="宋体" w:cs="Times New Roman"/>
                <w:color w:val="auto"/>
                <w:highlight w:val="none"/>
                <w:lang w:val="en-US" w:eastAsia="zh-CN"/>
              </w:rPr>
              <w:t>表</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基本项目，与关注污染物（本项目包括二甲苯等），后续监测的监测指标至少应包括该重点单元对应的任一土壤监测点或地下水监测井在前期监测中曾超标的污染物，受地质背景等因素影响造成超标的指标可不监测，以及该重点单元涉及的所有关注污染物</w:t>
            </w:r>
          </w:p>
        </w:tc>
        <w:tc>
          <w:tcPr>
            <w:tcW w:w="764" w:type="pct"/>
            <w:vMerge w:val="restart"/>
            <w:tcBorders>
              <w:tl2br w:val="nil"/>
              <w:tr2bl w:val="nil"/>
            </w:tcBorders>
            <w:noWrap w:val="0"/>
            <w:vAlign w:val="center"/>
          </w:tcPr>
          <w:p w14:paraId="679E4A6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表层土壤：1次</w:t>
            </w:r>
            <w:r>
              <w:rPr>
                <w:rFonts w:hint="default" w:ascii="Times New Roman" w:hAnsi="Times New Roman" w:eastAsia="宋体" w:cs="Times New Roman"/>
                <w:color w:val="auto"/>
                <w:highlight w:val="none"/>
                <w:lang w:val="en-US" w:eastAsia="zh-CN"/>
              </w:rPr>
              <w:t>/</w:t>
            </w:r>
          </w:p>
          <w:p w14:paraId="562FC765">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年；深层土壤：</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次</w:t>
            </w:r>
            <w:r>
              <w:rPr>
                <w:rFonts w:hint="default"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年</w:t>
            </w:r>
          </w:p>
        </w:tc>
      </w:tr>
      <w:tr w14:paraId="6CFAAF8D">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85" w:hRule="atLeast"/>
        </w:trPr>
        <w:tc>
          <w:tcPr>
            <w:tcW w:w="318" w:type="pct"/>
            <w:vMerge w:val="continue"/>
            <w:tcBorders>
              <w:tl2br w:val="nil"/>
              <w:tr2bl w:val="nil"/>
            </w:tcBorders>
            <w:noWrap w:val="0"/>
            <w:vAlign w:val="center"/>
          </w:tcPr>
          <w:p w14:paraId="297FC5BD">
            <w:pPr>
              <w:pStyle w:val="1358"/>
              <w:rPr>
                <w:rFonts w:hint="eastAsia" w:ascii="Times New Roman" w:hAnsi="Times New Roman" w:eastAsia="宋体" w:cs="Times New Roman"/>
                <w:color w:val="auto"/>
                <w:highlight w:val="none"/>
                <w:lang w:val="en-US" w:eastAsia="zh-CN"/>
              </w:rPr>
            </w:pPr>
          </w:p>
        </w:tc>
        <w:tc>
          <w:tcPr>
            <w:tcW w:w="1548" w:type="pct"/>
            <w:tcBorders>
              <w:tl2br w:val="nil"/>
              <w:tr2bl w:val="nil"/>
            </w:tcBorders>
            <w:noWrap w:val="0"/>
            <w:vAlign w:val="center"/>
          </w:tcPr>
          <w:p w14:paraId="7214963E">
            <w:pPr>
              <w:pStyle w:val="1358"/>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二类单元：内部或周边均布设至少</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个表层土壤监测点</w:t>
            </w:r>
          </w:p>
        </w:tc>
        <w:tc>
          <w:tcPr>
            <w:tcW w:w="2368" w:type="pct"/>
            <w:vMerge w:val="continue"/>
            <w:tcBorders>
              <w:tl2br w:val="nil"/>
              <w:tr2bl w:val="nil"/>
            </w:tcBorders>
            <w:noWrap w:val="0"/>
            <w:vAlign w:val="center"/>
          </w:tcPr>
          <w:p w14:paraId="358771F6">
            <w:pPr>
              <w:pStyle w:val="1358"/>
              <w:rPr>
                <w:rFonts w:hint="eastAsia" w:ascii="Times New Roman" w:hAnsi="Times New Roman" w:eastAsia="宋体" w:cs="Times New Roman"/>
                <w:color w:val="auto"/>
                <w:highlight w:val="none"/>
                <w:lang w:val="en-US" w:eastAsia="zh-CN"/>
              </w:rPr>
            </w:pPr>
          </w:p>
        </w:tc>
        <w:tc>
          <w:tcPr>
            <w:tcW w:w="764" w:type="pct"/>
            <w:vMerge w:val="continue"/>
            <w:tcBorders>
              <w:tl2br w:val="nil"/>
              <w:tr2bl w:val="nil"/>
            </w:tcBorders>
            <w:noWrap w:val="0"/>
            <w:vAlign w:val="center"/>
          </w:tcPr>
          <w:p w14:paraId="5514BC3C">
            <w:pPr>
              <w:pStyle w:val="1358"/>
              <w:rPr>
                <w:rFonts w:hint="eastAsia" w:ascii="Times New Roman" w:hAnsi="Times New Roman" w:eastAsia="宋体" w:cs="Times New Roman"/>
                <w:color w:val="auto"/>
                <w:highlight w:val="none"/>
                <w:lang w:val="en-US" w:eastAsia="zh-CN"/>
              </w:rPr>
            </w:pPr>
          </w:p>
        </w:tc>
      </w:tr>
      <w:tr w14:paraId="4C591D1B">
        <w:tblPrEx>
          <w:tblBorders>
            <w:top w:val="single" w:color="auto" w:sz="12" w:space="0"/>
            <w:left w:val="none" w:color="auto" w:sz="0" w:space="0"/>
            <w:bottom w:val="single" w:color="auto" w:sz="12" w:space="0"/>
            <w:right w:val="none" w:color="auto" w:sz="0" w:space="0"/>
            <w:insideH w:val="single" w:color="000000" w:sz="4" w:space="0"/>
            <w:insideV w:val="single" w:color="auto" w:sz="4" w:space="0"/>
          </w:tblBorders>
          <w:tblCellMar>
            <w:top w:w="15" w:type="dxa"/>
            <w:left w:w="15" w:type="dxa"/>
            <w:bottom w:w="15" w:type="dxa"/>
            <w:right w:w="15" w:type="dxa"/>
          </w:tblCellMar>
        </w:tblPrEx>
        <w:trPr>
          <w:trHeight w:val="185" w:hRule="atLeast"/>
        </w:trPr>
        <w:tc>
          <w:tcPr>
            <w:tcW w:w="5000" w:type="pct"/>
            <w:gridSpan w:val="4"/>
            <w:tcBorders>
              <w:tl2br w:val="nil"/>
              <w:tr2bl w:val="nil"/>
            </w:tcBorders>
            <w:noWrap w:val="0"/>
            <w:vAlign w:val="center"/>
          </w:tcPr>
          <w:p w14:paraId="235E7435">
            <w:pPr>
              <w:pStyle w:val="1405"/>
              <w:bidi w:val="0"/>
              <w:jc w:val="both"/>
              <w:rPr>
                <w:rFonts w:hint="eastAsia"/>
                <w:color w:val="auto"/>
                <w:highlight w:val="none"/>
                <w:lang w:val="en-US" w:eastAsia="zh-CN"/>
              </w:rPr>
            </w:pPr>
            <w:r>
              <w:rPr>
                <w:rFonts w:hint="eastAsia"/>
                <w:color w:val="auto"/>
                <w:highlight w:val="none"/>
                <w:lang w:val="en-US" w:eastAsia="zh-CN"/>
              </w:rPr>
              <w:t>注：</w:t>
            </w:r>
          </w:p>
          <w:p w14:paraId="521EC7EA">
            <w:pPr>
              <w:pStyle w:val="1405"/>
              <w:bidi w:val="0"/>
              <w:jc w:val="both"/>
              <w:rPr>
                <w:rFonts w:hint="eastAsia"/>
                <w:color w:val="auto"/>
                <w:highlight w:val="none"/>
                <w:lang w:val="en-US" w:eastAsia="zh-CN"/>
              </w:rPr>
            </w:pPr>
            <w:r>
              <w:rPr>
                <w:rFonts w:hint="eastAsia"/>
                <w:color w:val="auto"/>
                <w:highlight w:val="none"/>
                <w:lang w:val="en-US" w:eastAsia="zh-CN"/>
              </w:rPr>
              <w:t>a雨水排放口有流动水排放时按月监测。若监测一年无异常情况，可放宽至每季度开展一次监测。</w:t>
            </w:r>
          </w:p>
          <w:p w14:paraId="0D070572">
            <w:pPr>
              <w:pStyle w:val="1405"/>
              <w:bidi w:val="0"/>
              <w:jc w:val="both"/>
              <w:rPr>
                <w:rFonts w:hint="default"/>
                <w:color w:val="auto"/>
                <w:highlight w:val="none"/>
                <w:lang w:val="en-US" w:eastAsia="zh-CN"/>
              </w:rPr>
            </w:pPr>
            <w:r>
              <w:rPr>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4721860</wp:posOffset>
                      </wp:positionH>
                      <wp:positionV relativeFrom="paragraph">
                        <wp:posOffset>387985</wp:posOffset>
                      </wp:positionV>
                      <wp:extent cx="934085" cy="855345"/>
                      <wp:effectExtent l="0" t="0" r="0" b="0"/>
                      <wp:wrapNone/>
                      <wp:docPr id="37" name="文本框 37"/>
                      <wp:cNvGraphicFramePr/>
                      <a:graphic xmlns:a="http://schemas.openxmlformats.org/drawingml/2006/main">
                        <a:graphicData uri="http://schemas.microsoft.com/office/word/2010/wordprocessingShape">
                          <wps:wsp>
                            <wps:cNvSpPr txBox="1"/>
                            <wps:spPr>
                              <a:xfrm>
                                <a:off x="5205095" y="2186940"/>
                                <a:ext cx="934085" cy="855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096DF">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pPr>
                                  <w:r>
                                    <w:drawing>
                                      <wp:inline distT="0" distB="0" distL="114300" distR="114300">
                                        <wp:extent cx="770890" cy="638175"/>
                                        <wp:effectExtent l="0" t="0" r="10160" b="9525"/>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98"/>
                                                <a:stretch>
                                                  <a:fillRect/>
                                                </a:stretch>
                                              </pic:blipFill>
                                              <pic:spPr>
                                                <a:xfrm>
                                                  <a:off x="0" y="0"/>
                                                  <a:ext cx="770890" cy="638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1.8pt;margin-top:30.55pt;height:67.35pt;width:73.55pt;z-index:251667456;mso-width-relative:page;mso-height-relative:page;" filled="f" stroked="f" coordsize="21600,21600" o:gfxdata="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IXZHvcAAAACgEAAA8AAAAA&#10;AAAAAQAgAAAAIgAAAGRycy9kb3ducmV2LnhtbFBLAQIUABQAAAAIAIdO4kCFVSoeSQIAAHMEAAAO&#10;AAAAAAAAAAEAIAAAACsBAABkcnMvZTJvRG9jLnhtbFBLBQYAAAAABgAGAFkBAADmBQAAAAA=&#10;">
                      <v:fill on="f" focussize="0,0"/>
                      <v:stroke on="f" weight="0.5pt"/>
                      <v:imagedata o:title=""/>
                      <o:lock v:ext="edit" aspectratio="f"/>
                      <v:textbox>
                        <w:txbxContent>
                          <w:p w14:paraId="0A7096DF">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pPr>
                            <w:r>
                              <w:drawing>
                                <wp:inline distT="0" distB="0" distL="114300" distR="114300">
                                  <wp:extent cx="770890" cy="638175"/>
                                  <wp:effectExtent l="0" t="0" r="10160" b="9525"/>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98"/>
                                          <a:stretch>
                                            <a:fillRect/>
                                          </a:stretch>
                                        </pic:blipFill>
                                        <pic:spPr>
                                          <a:xfrm>
                                            <a:off x="0" y="0"/>
                                            <a:ext cx="770890" cy="638175"/>
                                          </a:xfrm>
                                          <a:prstGeom prst="rect">
                                            <a:avLst/>
                                          </a:prstGeom>
                                          <a:noFill/>
                                          <a:ln>
                                            <a:noFill/>
                                          </a:ln>
                                        </pic:spPr>
                                      </pic:pic>
                                    </a:graphicData>
                                  </a:graphic>
                                </wp:inline>
                              </w:drawing>
                            </w:r>
                          </w:p>
                        </w:txbxContent>
                      </v:textbox>
                    </v:shape>
                  </w:pict>
                </mc:Fallback>
              </mc:AlternateContent>
            </w:r>
            <w:r>
              <w:rPr>
                <w:rFonts w:hint="eastAsia"/>
                <w:color w:val="auto"/>
                <w:highlight w:val="none"/>
                <w:lang w:val="en-US" w:eastAsia="zh-CN"/>
              </w:rPr>
              <w:t>b本项目不属于土壤污染重点监管单位，地下水和土壤监测可参照《排污单位自行监测技术指南 涂装》（HJ 1086-2020）执行，最终根据环评文件批复要求、地方生态环境主管部门的规定确定</w:t>
            </w:r>
            <w:r>
              <w:rPr>
                <w:rFonts w:hint="eastAsia"/>
                <w:color w:val="auto"/>
                <w:highlight w:val="none"/>
                <w:lang w:val="en-US" w:eastAsia="zh-CN"/>
              </w:rPr>
              <w:fldChar w:fldCharType="begin"/>
            </w:r>
            <w:r>
              <w:rPr>
                <w:rFonts w:hint="eastAsia"/>
                <w:color w:val="auto"/>
                <w:highlight w:val="none"/>
                <w:lang w:val="en-US" w:eastAsia="zh-CN"/>
              </w:rPr>
              <w:instrText xml:space="preserve"> HYPERLINK "http://www.luqiao.gov.cn/api-gateway/jpaas-web-server/front/document/file-download?fileUrl=/cms_files/jcms1/web3235/site/attach/0/e2b985ee360e46b0bcce0a19431c0b9b.pdf" \l "18#14" \t "https://chat.deepseek.com/a/chat/s/_blank" </w:instrText>
            </w:r>
            <w:r>
              <w:rPr>
                <w:rFonts w:hint="eastAsia"/>
                <w:color w:val="auto"/>
                <w:highlight w:val="none"/>
                <w:lang w:val="en-US" w:eastAsia="zh-CN"/>
              </w:rPr>
              <w:fldChar w:fldCharType="separate"/>
            </w:r>
            <w:r>
              <w:rPr>
                <w:rFonts w:hint="eastAsia"/>
                <w:color w:val="auto"/>
                <w:highlight w:val="none"/>
                <w:lang w:val="en-US" w:eastAsia="zh-CN"/>
              </w:rPr>
              <w:fldChar w:fldCharType="end"/>
            </w:r>
            <w:r>
              <w:rPr>
                <w:rFonts w:hint="eastAsia"/>
                <w:color w:val="auto"/>
                <w:highlight w:val="none"/>
                <w:lang w:val="en-US" w:eastAsia="zh-CN"/>
              </w:rPr>
              <w:fldChar w:fldCharType="begin"/>
            </w:r>
            <w:r>
              <w:rPr>
                <w:rFonts w:hint="eastAsia"/>
                <w:color w:val="auto"/>
                <w:highlight w:val="none"/>
                <w:lang w:val="en-US" w:eastAsia="zh-CN"/>
              </w:rPr>
              <w:instrText xml:space="preserve"> HYPERLINK "https://public.zhengzhou.gov.cn/attachment/%E9%83%91%E7%85%A4%E6%9C%BA%E7%94%B5%E9%95%80%E7%94%9F%E4%BA%A7%E7%BA%BF%E8%87%AA%E5%8A%A8%E5%8C%96%E5%8D%87%E7%BA%A7%E6%94%B9%E9%80%A0%E9%A1%B9%E7%9B%AE%E7%8E%AF%E5%A2%83%E5%BD%B1%E5%93%8D%E6%8A%A5%E5%91%8A%E4%B9%A6.pdf?opvx9S5AA23pxBYfqIyFUR5dbm8-_a9ILF445m8FuCGqiMmj1kjBu4g_C86PnqTRRHwAiqW4RRfqgNkEz28DYNzbWsYHRw==" \l "49#37" \t "https://chat.deepseek.com/a/chat/s/_blank" </w:instrText>
            </w:r>
            <w:r>
              <w:rPr>
                <w:rFonts w:hint="eastAsia"/>
                <w:color w:val="auto"/>
                <w:highlight w:val="none"/>
                <w:lang w:val="en-US" w:eastAsia="zh-CN"/>
              </w:rPr>
              <w:fldChar w:fldCharType="separate"/>
            </w:r>
            <w:r>
              <w:rPr>
                <w:rFonts w:hint="eastAsia"/>
                <w:color w:val="auto"/>
                <w:highlight w:val="none"/>
                <w:lang w:val="en-US" w:eastAsia="zh-CN"/>
              </w:rPr>
              <w:fldChar w:fldCharType="end"/>
            </w:r>
            <w:r>
              <w:rPr>
                <w:rFonts w:hint="eastAsia"/>
                <w:color w:val="auto"/>
                <w:highlight w:val="none"/>
                <w:lang w:val="en-US" w:eastAsia="zh-CN"/>
              </w:rPr>
              <w:t>。</w:t>
            </w:r>
          </w:p>
        </w:tc>
      </w:tr>
    </w:tbl>
    <w:p w14:paraId="11763663">
      <w:pPr>
        <w:bidi w:val="0"/>
        <w:ind w:left="0" w:leftChars="0" w:firstLine="0" w:firstLineChars="0"/>
        <w:rPr>
          <w:color w:val="auto"/>
          <w:highlight w:val="none"/>
        </w:rPr>
      </w:pPr>
      <w:r>
        <w:rPr>
          <w:color w:val="auto"/>
          <w:sz w:val="24"/>
          <w:highlight w:val="none"/>
        </w:rPr>
        <mc:AlternateContent>
          <mc:Choice Requires="wps">
            <w:drawing>
              <wp:anchor distT="0" distB="0" distL="114300" distR="114300" simplePos="0" relativeHeight="251693056" behindDoc="0" locked="0" layoutInCell="1" allowOverlap="1">
                <wp:simplePos x="0" y="0"/>
                <wp:positionH relativeFrom="column">
                  <wp:posOffset>280670</wp:posOffset>
                </wp:positionH>
                <wp:positionV relativeFrom="paragraph">
                  <wp:posOffset>3007360</wp:posOffset>
                </wp:positionV>
                <wp:extent cx="266700" cy="165100"/>
                <wp:effectExtent l="12700" t="12700" r="25400" b="12700"/>
                <wp:wrapNone/>
                <wp:docPr id="306" name="矩形 306"/>
                <wp:cNvGraphicFramePr/>
                <a:graphic xmlns:a="http://schemas.openxmlformats.org/drawingml/2006/main">
                  <a:graphicData uri="http://schemas.microsoft.com/office/word/2010/wordprocessingShape">
                    <wps:wsp>
                      <wps:cNvSpPr/>
                      <wps:spPr>
                        <a:xfrm>
                          <a:off x="0" y="0"/>
                          <a:ext cx="266700" cy="165100"/>
                        </a:xfrm>
                        <a:prstGeom prst="rect">
                          <a:avLst/>
                        </a:prstGeom>
                        <a:noFill/>
                        <a:ln>
                          <a:solidFill>
                            <a:srgbClr val="01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1pt;margin-top:236.8pt;height:13pt;width:21pt;z-index:251693056;v-text-anchor:middle;mso-width-relative:page;mso-height-relative:page;" filled="f" stroked="t" coordsize="21600,21600" o:gfxdata="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0pIfTdoAAAAJAQAADwAAAAAAAAABACAAAAAiAAAAZHJzL2Rvd25yZXYueG1sUEsBAhQAFAAAAAgA&#10;h07iQFY4TJJcAgAAtwQAAA4AAAAAAAAAAQAgAAAAKQEAAGRycy9lMm9Eb2MueG1sUEsFBgAAAAAG&#10;AAYAWQEAAPcFAAAAAA==&#10;">
                <v:fill on="f" focussize="0,0"/>
                <v:stroke weight="2pt" color="#0100FF [2404]" joinstyle="round"/>
                <v:imagedata o:title=""/>
                <o:lock v:ext="edit" aspectratio="f"/>
              </v:rect>
            </w:pict>
          </mc:Fallback>
        </mc:AlternateContent>
      </w:r>
      <w:r>
        <w:rPr>
          <w:color w:val="auto"/>
          <w:sz w:val="24"/>
          <w:highlight w:val="none"/>
        </w:rPr>
        <mc:AlternateContent>
          <mc:Choice Requires="wps">
            <w:drawing>
              <wp:anchor distT="0" distB="0" distL="114300" distR="114300" simplePos="0" relativeHeight="251692032" behindDoc="0" locked="0" layoutInCell="1" allowOverlap="1">
                <wp:simplePos x="0" y="0"/>
                <wp:positionH relativeFrom="column">
                  <wp:posOffset>274320</wp:posOffset>
                </wp:positionH>
                <wp:positionV relativeFrom="paragraph">
                  <wp:posOffset>3267710</wp:posOffset>
                </wp:positionV>
                <wp:extent cx="266700" cy="165100"/>
                <wp:effectExtent l="0" t="0" r="0" b="6350"/>
                <wp:wrapNone/>
                <wp:docPr id="305" name="矩形 305"/>
                <wp:cNvGraphicFramePr/>
                <a:graphic xmlns:a="http://schemas.openxmlformats.org/drawingml/2006/main">
                  <a:graphicData uri="http://schemas.microsoft.com/office/word/2010/wordprocessingShape">
                    <wps:wsp>
                      <wps:cNvSpPr/>
                      <wps:spPr>
                        <a:xfrm>
                          <a:off x="1354455" y="6348730"/>
                          <a:ext cx="266700" cy="165100"/>
                        </a:xfrm>
                        <a:prstGeom prst="rect">
                          <a:avLst/>
                        </a:prstGeom>
                        <a:solidFill>
                          <a:srgbClr val="FF0000">
                            <a:alpha val="69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6pt;margin-top:257.3pt;height:13pt;width:21pt;z-index:251692032;v-text-anchor:middle;mso-width-relative:page;mso-height-relative:page;" fillcolor="#FF0000" filled="t" stroked="f" coordsize="21600,21600" o:gfxdata="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2ASdUAAAAJAQAADwAAAAAAAAABACAAAAAiAAAAZHJz&#10;L2Rvd25yZXYueG1sUEsBAhQAFAAAAAgAh07iQNAQPUF5AgAA5AQAAA4AAAAAAAAAAQAgAAAAJAEA&#10;AGRycy9lMm9Eb2MueG1sUEsFBgAAAAAGAAYAWQEAAA8GAAAAAA==&#10;">
                <v:fill on="t" opacity="45219f" focussize="0,0"/>
                <v:stroke on="f" weight="2pt"/>
                <v:imagedata o:title=""/>
                <o:lock v:ext="edit" aspectratio="f"/>
              </v:rect>
            </w:pict>
          </mc:Fallback>
        </mc:AlternateContent>
      </w:r>
      <w:r>
        <w:rPr>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321310</wp:posOffset>
                </wp:positionH>
                <wp:positionV relativeFrom="paragraph">
                  <wp:posOffset>3522345</wp:posOffset>
                </wp:positionV>
                <wp:extent cx="190500" cy="184150"/>
                <wp:effectExtent l="12700" t="12700" r="25400" b="12700"/>
                <wp:wrapNone/>
                <wp:docPr id="36" name="同心圆 36"/>
                <wp:cNvGraphicFramePr/>
                <a:graphic xmlns:a="http://schemas.openxmlformats.org/drawingml/2006/main">
                  <a:graphicData uri="http://schemas.microsoft.com/office/word/2010/wordprocessingShape">
                    <wps:wsp>
                      <wps:cNvSpPr/>
                      <wps:spPr>
                        <a:xfrm>
                          <a:off x="1363345" y="5090160"/>
                          <a:ext cx="190500" cy="184150"/>
                        </a:xfrm>
                        <a:prstGeom prst="donu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25.3pt;margin-top:277.35pt;height:14.5pt;width:15pt;z-index:251666432;v-text-anchor:middle;mso-width-relative:page;mso-height-relative:page;" filled="f" stroked="t" coordsize="21600,21600" o:gfxdata="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XPSV82AAAAAkBAAAPAAAAAAAAAAEAIAAAACIAAABkcnMvZG93bnJl&#10;di54bWxQSwECFAAUAAAACACHTuJAYJ2cvG8CAADFBAAADgAAAAAAAAABACAAAAAnAQAAZHJzL2Uy&#10;b0RvYy54bWxQSwUGAAAAAAYABgBZAQAACAYAAAAA&#10;" adj="5220">
                <v:fill on="f" focussize="0,0"/>
                <v:stroke weight="2pt" color="#000000 [3213]"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314960</wp:posOffset>
                </wp:positionH>
                <wp:positionV relativeFrom="paragraph">
                  <wp:posOffset>3827145</wp:posOffset>
                </wp:positionV>
                <wp:extent cx="190500" cy="158750"/>
                <wp:effectExtent l="12700" t="12700" r="25400" b="19050"/>
                <wp:wrapNone/>
                <wp:docPr id="35" name="等腰三角形 35"/>
                <wp:cNvGraphicFramePr/>
                <a:graphic xmlns:a="http://schemas.openxmlformats.org/drawingml/2006/main">
                  <a:graphicData uri="http://schemas.microsoft.com/office/word/2010/wordprocessingShape">
                    <wps:wsp>
                      <wps:cNvSpPr/>
                      <wps:spPr>
                        <a:xfrm>
                          <a:off x="1356995" y="5414010"/>
                          <a:ext cx="190500" cy="158750"/>
                        </a:xfrm>
                        <a:prstGeom prst="triangl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4.8pt;margin-top:301.35pt;height:12.5pt;width:15pt;z-index:251665408;v-text-anchor:middle;mso-width-relative:page;mso-height-relative:page;" fillcolor="#FFFF00" filled="t" stroked="t" coordsize="21600,21600" o:gfxdata="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mTL6DNYAAAAJAQAADwAAAAAAAAABACAA&#10;AAAiAAAAZHJzL2Rvd25yZXYueG1sUEsBAhQAFAAAAAgAh07iQF153ZKBAgAA9wQAAA4AAAAAAAAA&#10;AQAgAAAAJQEAAGRycy9lMm9Eb2MueG1sUEsFBgAAAAAGAAYAWQEAABgGAAAAAA==&#10;" adj="10800">
                <v:fill on="t" focussize="0,0"/>
                <v:stroke weight="2pt" color="#FFFF00 [24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645795</wp:posOffset>
                </wp:positionH>
                <wp:positionV relativeFrom="paragraph">
                  <wp:posOffset>2900680</wp:posOffset>
                </wp:positionV>
                <wp:extent cx="1294765" cy="1167130"/>
                <wp:effectExtent l="0" t="0" r="635" b="13970"/>
                <wp:wrapNone/>
                <wp:docPr id="34" name="文本框 34"/>
                <wp:cNvGraphicFramePr/>
                <a:graphic xmlns:a="http://schemas.openxmlformats.org/drawingml/2006/main">
                  <a:graphicData uri="http://schemas.microsoft.com/office/word/2010/wordprocessingShape">
                    <wps:wsp>
                      <wps:cNvSpPr txBox="1"/>
                      <wps:spPr>
                        <a:xfrm>
                          <a:off x="1325245" y="5045710"/>
                          <a:ext cx="1294765" cy="11671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E1A7CF">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所在厂区位置</w:t>
                            </w:r>
                          </w:p>
                          <w:p w14:paraId="7449DDD9">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项目位置</w:t>
                            </w:r>
                          </w:p>
                          <w:p w14:paraId="6C0437A7">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eastAsia"/>
                                <w:b/>
                                <w:bCs/>
                                <w:sz w:val="18"/>
                                <w:szCs w:val="18"/>
                                <w:lang w:val="en-US" w:eastAsia="zh-CN"/>
                              </w:rPr>
                            </w:pPr>
                            <w:r>
                              <w:rPr>
                                <w:rFonts w:hint="eastAsia"/>
                                <w:b/>
                                <w:bCs/>
                                <w:sz w:val="18"/>
                                <w:szCs w:val="18"/>
                                <w:lang w:val="en-US" w:eastAsia="zh-CN"/>
                              </w:rPr>
                              <w:t>有组织废气监测点位</w:t>
                            </w:r>
                          </w:p>
                          <w:p w14:paraId="75E04ED9">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噪声监测点位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85pt;margin-top:228.4pt;height:91.9pt;width:101.95pt;z-index:251664384;mso-width-relative:page;mso-height-relative:page;" fillcolor="#FFFFFF [3201]" filled="t" stroked="f" coordsize="21600,21600" o:gfxdata="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1Zfjb&#10;1QAAAAsBAAAPAAAAAAAAAAEAIAAAACIAAABkcnMvZG93bnJldi54bWxQSwECFAAUAAAACACHTuJA&#10;jxfe/l0CAACeBAAADgAAAAAAAAABACAAAAAkAQAAZHJzL2Uyb0RvYy54bWxQSwUGAAAAAAYABgBZ&#10;AQAA8wUAAAAA&#10;">
                <v:fill on="t" focussize="0,0"/>
                <v:stroke on="f" weight="0.5pt"/>
                <v:imagedata o:title=""/>
                <o:lock v:ext="edit" aspectratio="f"/>
                <v:textbox>
                  <w:txbxContent>
                    <w:p w14:paraId="00E1A7CF">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所在厂区位置</w:t>
                      </w:r>
                    </w:p>
                    <w:p w14:paraId="7449DDD9">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项目位置</w:t>
                      </w:r>
                    </w:p>
                    <w:p w14:paraId="6C0437A7">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eastAsia"/>
                          <w:b/>
                          <w:bCs/>
                          <w:sz w:val="18"/>
                          <w:szCs w:val="18"/>
                          <w:lang w:val="en-US" w:eastAsia="zh-CN"/>
                        </w:rPr>
                      </w:pPr>
                      <w:r>
                        <w:rPr>
                          <w:rFonts w:hint="eastAsia"/>
                          <w:b/>
                          <w:bCs/>
                          <w:sz w:val="18"/>
                          <w:szCs w:val="18"/>
                          <w:lang w:val="en-US" w:eastAsia="zh-CN"/>
                        </w:rPr>
                        <w:t>有组织废气监测点位</w:t>
                      </w:r>
                    </w:p>
                    <w:p w14:paraId="75E04ED9">
                      <w:pPr>
                        <w:keepNext w:val="0"/>
                        <w:keepLines w:val="0"/>
                        <w:pageBreakBefore w:val="0"/>
                        <w:widowControl w:val="0"/>
                        <w:kinsoku/>
                        <w:wordWrap/>
                        <w:overflowPunct/>
                        <w:topLinePunct w:val="0"/>
                        <w:bidi w:val="0"/>
                        <w:adjustRightInd/>
                        <w:snapToGrid/>
                        <w:spacing w:line="336" w:lineRule="auto"/>
                        <w:ind w:left="0" w:leftChars="0" w:firstLine="0" w:firstLineChars="0"/>
                        <w:textAlignment w:val="auto"/>
                        <w:rPr>
                          <w:rFonts w:hint="default"/>
                          <w:b/>
                          <w:bCs/>
                          <w:sz w:val="18"/>
                          <w:szCs w:val="18"/>
                          <w:lang w:val="en-US" w:eastAsia="zh-CN"/>
                        </w:rPr>
                      </w:pPr>
                      <w:r>
                        <w:rPr>
                          <w:rFonts w:hint="eastAsia"/>
                          <w:b/>
                          <w:bCs/>
                          <w:sz w:val="18"/>
                          <w:szCs w:val="18"/>
                          <w:lang w:val="en-US" w:eastAsia="zh-CN"/>
                        </w:rPr>
                        <w:t>噪声监测点位</w:t>
                      </w:r>
                    </w:p>
                  </w:txbxContent>
                </v:textbox>
              </v:shape>
            </w:pict>
          </mc:Fallback>
        </mc:AlternateContent>
      </w: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2593340</wp:posOffset>
                </wp:positionV>
                <wp:extent cx="2019300" cy="1512570"/>
                <wp:effectExtent l="4445" t="4445" r="14605" b="6985"/>
                <wp:wrapNone/>
                <wp:docPr id="32" name="文本框 32"/>
                <wp:cNvGraphicFramePr/>
                <a:graphic xmlns:a="http://schemas.openxmlformats.org/drawingml/2006/main">
                  <a:graphicData uri="http://schemas.microsoft.com/office/word/2010/wordprocessingShape">
                    <wps:wsp>
                      <wps:cNvSpPr txBox="1"/>
                      <wps:spPr>
                        <a:xfrm>
                          <a:off x="1274445" y="4645660"/>
                          <a:ext cx="2019300" cy="15125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1C5AF32">
                            <w:pPr>
                              <w:ind w:left="0" w:leftChars="0" w:firstLine="0" w:firstLineChars="0"/>
                              <w:jc w:val="center"/>
                              <w:rPr>
                                <w:rFonts w:hint="eastAsia" w:eastAsia="宋体"/>
                                <w:b/>
                                <w:bCs/>
                                <w:sz w:val="21"/>
                                <w:szCs w:val="21"/>
                                <w:lang w:val="en-US" w:eastAsia="zh-CN"/>
                              </w:rPr>
                            </w:pPr>
                            <w:r>
                              <w:rPr>
                                <w:rFonts w:hint="eastAsia"/>
                                <w:b/>
                                <w:bCs/>
                                <w:sz w:val="21"/>
                                <w:szCs w:val="21"/>
                                <w:lang w:val="en-US" w:eastAsia="zh-CN"/>
                              </w:rPr>
                              <w:t>图例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75pt;margin-top:204.2pt;height:119.1pt;width:159pt;z-index:251663360;mso-width-relative:page;mso-height-relative:page;" fillcolor="#FFFFFF [3201]" filled="t" stroked="t" coordsize="21600,21600" o:gfxdata="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WhAu3VAAAACQEAAA8AAAAAAAAAAQAgAAAAIgAAAGRycy9kb3ducmV2LnhtbFBLAQIU&#10;ABQAAAAIAIdO4kD61ivyaAIAAMYEAAAOAAAAAAAAAAEAIAAAACQBAABkcnMvZTJvRG9jLnhtbFBL&#10;BQYAAAAABgAGAFkBAAD+BQAAAAA=&#10;">
                <v:fill on="t" focussize="0,0"/>
                <v:stroke weight="0.5pt" color="#000000 [3204]" joinstyle="round"/>
                <v:imagedata o:title=""/>
                <o:lock v:ext="edit" aspectratio="f"/>
                <v:textbox>
                  <w:txbxContent>
                    <w:p w14:paraId="71C5AF32">
                      <w:pPr>
                        <w:ind w:left="0" w:leftChars="0" w:firstLine="0" w:firstLineChars="0"/>
                        <w:jc w:val="center"/>
                        <w:rPr>
                          <w:rFonts w:hint="eastAsia" w:eastAsia="宋体"/>
                          <w:b/>
                          <w:bCs/>
                          <w:sz w:val="21"/>
                          <w:szCs w:val="21"/>
                          <w:lang w:val="en-US" w:eastAsia="zh-CN"/>
                        </w:rPr>
                      </w:pPr>
                      <w:r>
                        <w:rPr>
                          <w:rFonts w:hint="eastAsia"/>
                          <w:b/>
                          <w:bCs/>
                          <w:sz w:val="21"/>
                          <w:szCs w:val="21"/>
                          <w:lang w:val="en-US" w:eastAsia="zh-CN"/>
                        </w:rPr>
                        <w:t>图例</w:t>
                      </w:r>
                    </w:p>
                  </w:txbxContent>
                </v:textbox>
              </v:shape>
            </w:pict>
          </mc:Fallback>
        </mc:AlternateContent>
      </w: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4512310</wp:posOffset>
                </wp:positionH>
                <wp:positionV relativeFrom="paragraph">
                  <wp:posOffset>3042285</wp:posOffset>
                </wp:positionV>
                <wp:extent cx="1059180" cy="922655"/>
                <wp:effectExtent l="0" t="0" r="0" b="0"/>
                <wp:wrapNone/>
                <wp:docPr id="49" name="文本框 49"/>
                <wp:cNvGraphicFramePr/>
                <a:graphic xmlns:a="http://schemas.openxmlformats.org/drawingml/2006/main">
                  <a:graphicData uri="http://schemas.microsoft.com/office/word/2010/wordprocessingShape">
                    <wps:wsp>
                      <wps:cNvSpPr txBox="1"/>
                      <wps:spPr>
                        <a:xfrm>
                          <a:off x="5351145" y="5228590"/>
                          <a:ext cx="1059180" cy="922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A49B4">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pPr>
                            <w:r>
                              <w:drawing>
                                <wp:inline distT="0" distB="0" distL="114300" distR="114300">
                                  <wp:extent cx="825500" cy="813435"/>
                                  <wp:effectExtent l="0" t="0" r="12700" b="5715"/>
                                  <wp:docPr id="3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5"/>
                                          <pic:cNvPicPr>
                                            <a:picLocks noChangeAspect="1"/>
                                          </pic:cNvPicPr>
                                        </pic:nvPicPr>
                                        <pic:blipFill>
                                          <a:blip r:embed="rId99"/>
                                          <a:stretch>
                                            <a:fillRect/>
                                          </a:stretch>
                                        </pic:blipFill>
                                        <pic:spPr>
                                          <a:xfrm>
                                            <a:off x="0" y="0"/>
                                            <a:ext cx="825500" cy="813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5.3pt;margin-top:239.55pt;height:72.65pt;width:83.4pt;z-index:251668480;mso-width-relative:page;mso-height-relative:page;" filled="f" stroked="f" coordsize="21600,21600" o:gfxdata="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A3OEwrdAAAACwEAAA8AAAAA&#10;AAAAAQAgAAAAIgAAAGRycy9kb3ducmV2LnhtbFBLAQIUABQAAAAIAIdO4kBqjRL+SAIAAHQEAAAO&#10;AAAAAAAAAAEAIAAAACwBAABkcnMvZTJvRG9jLnhtbFBLBQYAAAAABgAGAFkBAADmBQAAAAA=&#10;">
                <v:fill on="f" focussize="0,0"/>
                <v:stroke on="f" weight="0.5pt"/>
                <v:imagedata o:title=""/>
                <o:lock v:ext="edit" aspectratio="f"/>
                <v:textbox>
                  <w:txbxContent>
                    <w:p w14:paraId="15BA49B4">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pPr>
                      <w:r>
                        <w:drawing>
                          <wp:inline distT="0" distB="0" distL="114300" distR="114300">
                            <wp:extent cx="825500" cy="813435"/>
                            <wp:effectExtent l="0" t="0" r="12700" b="5715"/>
                            <wp:docPr id="3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5"/>
                                    <pic:cNvPicPr>
                                      <a:picLocks noChangeAspect="1"/>
                                    </pic:cNvPicPr>
                                  </pic:nvPicPr>
                                  <pic:blipFill>
                                    <a:blip r:embed="rId99"/>
                                    <a:stretch>
                                      <a:fillRect/>
                                    </a:stretch>
                                  </pic:blipFill>
                                  <pic:spPr>
                                    <a:xfrm>
                                      <a:off x="0" y="0"/>
                                      <a:ext cx="825500" cy="813435"/>
                                    </a:xfrm>
                                    <a:prstGeom prst="rect">
                                      <a:avLst/>
                                    </a:prstGeom>
                                    <a:noFill/>
                                    <a:ln>
                                      <a:noFill/>
                                    </a:ln>
                                  </pic:spPr>
                                </pic:pic>
                              </a:graphicData>
                            </a:graphic>
                          </wp:inline>
                        </w:drawing>
                      </w:r>
                    </w:p>
                  </w:txbxContent>
                </v:textbox>
              </v:shape>
            </w:pict>
          </mc:Fallback>
        </mc:AlternateContent>
      </w:r>
      <w:r>
        <w:rPr>
          <w:color w:val="auto"/>
          <w:highlight w:val="none"/>
        </w:rPr>
        <w:drawing>
          <wp:inline distT="0" distB="0" distL="114300" distR="114300">
            <wp:extent cx="5622290" cy="4108450"/>
            <wp:effectExtent l="0" t="0" r="16510" b="6350"/>
            <wp:docPr id="3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4"/>
                    <pic:cNvPicPr>
                      <a:picLocks noChangeAspect="1"/>
                    </pic:cNvPicPr>
                  </pic:nvPicPr>
                  <pic:blipFill>
                    <a:blip r:embed="rId100"/>
                    <a:stretch>
                      <a:fillRect/>
                    </a:stretch>
                  </pic:blipFill>
                  <pic:spPr>
                    <a:xfrm>
                      <a:off x="0" y="0"/>
                      <a:ext cx="5622290" cy="4108450"/>
                    </a:xfrm>
                    <a:prstGeom prst="rect">
                      <a:avLst/>
                    </a:prstGeom>
                    <a:noFill/>
                    <a:ln>
                      <a:noFill/>
                    </a:ln>
                  </pic:spPr>
                </pic:pic>
              </a:graphicData>
            </a:graphic>
          </wp:inline>
        </w:drawing>
      </w:r>
    </w:p>
    <w:p w14:paraId="457CEC3E">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图9.4-1  监测点位图</w:t>
      </w:r>
    </w:p>
    <w:p w14:paraId="274972A1">
      <w:pPr>
        <w:pStyle w:val="3"/>
        <w:numPr>
          <w:ilvl w:val="0"/>
          <w:numId w:val="0"/>
        </w:numPr>
        <w:bidi w:val="0"/>
        <w:rPr>
          <w:color w:val="auto"/>
          <w:highlight w:val="none"/>
        </w:rPr>
      </w:pPr>
      <w:bookmarkStart w:id="1191" w:name="_Toc2870"/>
      <w:bookmarkStart w:id="1192" w:name="_Toc32248"/>
      <w:bookmarkStart w:id="1193" w:name="_Toc11519"/>
      <w:bookmarkStart w:id="1194" w:name="_Toc19962"/>
      <w:bookmarkStart w:id="1195" w:name="_Toc27697"/>
      <w:bookmarkStart w:id="1196" w:name="_Toc11489"/>
      <w:bookmarkStart w:id="1197" w:name="_Toc6438"/>
      <w:bookmarkStart w:id="1198" w:name="_Toc22739"/>
      <w:bookmarkStart w:id="1199" w:name="_Toc18812"/>
      <w:bookmarkStart w:id="1200" w:name="_Toc11656"/>
      <w:r>
        <w:rPr>
          <w:color w:val="auto"/>
          <w:highlight w:val="none"/>
        </w:rPr>
        <w:t>9.5</w:t>
      </w:r>
      <w:r>
        <w:rPr>
          <w:rFonts w:hint="eastAsia"/>
          <w:color w:val="auto"/>
          <w:highlight w:val="none"/>
          <w:lang w:val="en-US" w:eastAsia="zh-CN"/>
        </w:rPr>
        <w:t xml:space="preserve"> </w:t>
      </w:r>
      <w:r>
        <w:rPr>
          <w:color w:val="auto"/>
          <w:highlight w:val="none"/>
        </w:rPr>
        <w:t>总量控制</w:t>
      </w:r>
      <w:bookmarkEnd w:id="1181"/>
      <w:bookmarkEnd w:id="1182"/>
      <w:bookmarkEnd w:id="1183"/>
      <w:bookmarkEnd w:id="1184"/>
      <w:bookmarkEnd w:id="1185"/>
      <w:bookmarkEnd w:id="1186"/>
      <w:bookmarkEnd w:id="1187"/>
      <w:bookmarkEnd w:id="1188"/>
      <w:bookmarkEnd w:id="1189"/>
      <w:bookmarkEnd w:id="1191"/>
      <w:bookmarkEnd w:id="1192"/>
      <w:bookmarkEnd w:id="1193"/>
      <w:bookmarkEnd w:id="1194"/>
      <w:bookmarkEnd w:id="1195"/>
      <w:bookmarkEnd w:id="1196"/>
      <w:bookmarkEnd w:id="1197"/>
      <w:bookmarkEnd w:id="1198"/>
      <w:bookmarkEnd w:id="1199"/>
      <w:bookmarkEnd w:id="1200"/>
    </w:p>
    <w:p w14:paraId="72571295">
      <w:pPr>
        <w:pStyle w:val="4"/>
        <w:numPr>
          <w:ilvl w:val="0"/>
          <w:numId w:val="0"/>
        </w:numPr>
        <w:tabs>
          <w:tab w:val="clear" w:pos="720"/>
        </w:tabs>
        <w:bidi w:val="0"/>
        <w:rPr>
          <w:color w:val="auto"/>
          <w:highlight w:val="none"/>
        </w:rPr>
      </w:pPr>
      <w:bookmarkStart w:id="1201" w:name="_Toc4904"/>
      <w:bookmarkStart w:id="1202" w:name="_Toc14515"/>
      <w:bookmarkStart w:id="1203" w:name="_Toc30205"/>
      <w:bookmarkStart w:id="1204" w:name="_Toc19266"/>
      <w:bookmarkStart w:id="1205" w:name="_Toc4409"/>
      <w:bookmarkStart w:id="1206" w:name="_Toc17397"/>
      <w:bookmarkStart w:id="1207" w:name="_Toc8852"/>
      <w:bookmarkStart w:id="1208" w:name="_Toc7442"/>
      <w:bookmarkStart w:id="1209" w:name="_Toc28588"/>
      <w:r>
        <w:rPr>
          <w:color w:val="auto"/>
          <w:highlight w:val="none"/>
        </w:rPr>
        <w:t>9.5.1</w:t>
      </w:r>
      <w:r>
        <w:rPr>
          <w:rFonts w:hint="eastAsia"/>
          <w:color w:val="auto"/>
          <w:highlight w:val="none"/>
          <w:lang w:val="en-US" w:eastAsia="zh-CN"/>
        </w:rPr>
        <w:t xml:space="preserve"> </w:t>
      </w:r>
      <w:r>
        <w:rPr>
          <w:color w:val="auto"/>
          <w:highlight w:val="none"/>
        </w:rPr>
        <w:t>污染物总量控制原则</w:t>
      </w:r>
      <w:bookmarkEnd w:id="1201"/>
      <w:bookmarkEnd w:id="1202"/>
      <w:bookmarkEnd w:id="1203"/>
      <w:bookmarkEnd w:id="1204"/>
      <w:bookmarkEnd w:id="1205"/>
      <w:bookmarkEnd w:id="1206"/>
      <w:bookmarkEnd w:id="1207"/>
      <w:bookmarkEnd w:id="1208"/>
      <w:bookmarkEnd w:id="1209"/>
    </w:p>
    <w:p w14:paraId="2FC96B1D">
      <w:pPr>
        <w:bidi w:val="0"/>
        <w:rPr>
          <w:color w:val="auto"/>
          <w:highlight w:val="none"/>
        </w:rPr>
      </w:pPr>
      <w:r>
        <w:rPr>
          <w:color w:val="auto"/>
          <w:highlight w:val="none"/>
        </w:rPr>
        <w:t>对污染物排放总量进行控制的原则是：将给定区域内污染源的污染物排放负荷控制在一定数量之内，使环境质量可以达到规定的环境目标。污染物总量控制方案的确定：在考虑污染物种类、污染源影响范围、区域环境质量、环境功能以及环境管理要求等因素的基础上，结合项目实际条件和控制措施的经济技术可行性进行。</w:t>
      </w:r>
    </w:p>
    <w:p w14:paraId="4EAE5D94">
      <w:pPr>
        <w:bidi w:val="0"/>
        <w:rPr>
          <w:color w:val="auto"/>
          <w:highlight w:val="none"/>
        </w:rPr>
      </w:pPr>
      <w:r>
        <w:rPr>
          <w:color w:val="auto"/>
          <w:highlight w:val="none"/>
        </w:rPr>
        <w:t>根据国家当前的产业政策和环保技术政策，制定本项目污染物总量控制原则和方法，提出污染物总量控制思路：</w:t>
      </w:r>
    </w:p>
    <w:p w14:paraId="34F08A84">
      <w:pPr>
        <w:bidi w:val="0"/>
        <w:rPr>
          <w:rFonts w:hint="eastAsia" w:eastAsia="宋体"/>
          <w:color w:val="auto"/>
          <w:highlight w:val="none"/>
          <w:lang w:eastAsia="zh-CN"/>
        </w:rPr>
      </w:pPr>
      <w:r>
        <w:rPr>
          <w:color w:val="auto"/>
          <w:highlight w:val="none"/>
        </w:rPr>
        <w:t>（1）以国家产业政策为指导，分析产品方向的合理性和规模效益水平</w:t>
      </w:r>
      <w:r>
        <w:rPr>
          <w:rFonts w:hint="eastAsia"/>
          <w:color w:val="auto"/>
          <w:highlight w:val="none"/>
          <w:lang w:eastAsia="zh-CN"/>
        </w:rPr>
        <w:t>。</w:t>
      </w:r>
    </w:p>
    <w:p w14:paraId="1F52B69E">
      <w:pPr>
        <w:bidi w:val="0"/>
        <w:rPr>
          <w:rFonts w:hint="eastAsia" w:eastAsia="宋体"/>
          <w:color w:val="auto"/>
          <w:highlight w:val="none"/>
          <w:lang w:eastAsia="zh-CN"/>
        </w:rPr>
      </w:pPr>
      <w:r>
        <w:rPr>
          <w:color w:val="auto"/>
          <w:highlight w:val="none"/>
        </w:rPr>
        <w:t>（2）采用全方位总量控制思想，提高资源的综合利用率，选用清洁能源，降低能耗水平，实现清洁生产，将污染尽可能消除在生产过程中</w:t>
      </w:r>
      <w:r>
        <w:rPr>
          <w:rFonts w:hint="eastAsia"/>
          <w:color w:val="auto"/>
          <w:highlight w:val="none"/>
          <w:lang w:eastAsia="zh-CN"/>
        </w:rPr>
        <w:t>。</w:t>
      </w:r>
    </w:p>
    <w:p w14:paraId="477765D9">
      <w:pPr>
        <w:bidi w:val="0"/>
        <w:rPr>
          <w:rFonts w:hint="eastAsia" w:eastAsia="宋体"/>
          <w:color w:val="auto"/>
          <w:highlight w:val="none"/>
          <w:lang w:eastAsia="zh-CN"/>
        </w:rPr>
      </w:pPr>
      <w:r>
        <w:rPr>
          <w:color w:val="auto"/>
          <w:highlight w:val="none"/>
        </w:rPr>
        <w:t>（3）强化中、末端控制，降低污染物的排放水平，实现达标排放</w:t>
      </w:r>
      <w:r>
        <w:rPr>
          <w:rFonts w:hint="eastAsia"/>
          <w:color w:val="auto"/>
          <w:highlight w:val="none"/>
          <w:lang w:eastAsia="zh-CN"/>
        </w:rPr>
        <w:t>。</w:t>
      </w:r>
    </w:p>
    <w:p w14:paraId="21B51842">
      <w:pPr>
        <w:bidi w:val="0"/>
        <w:rPr>
          <w:color w:val="auto"/>
          <w:highlight w:val="none"/>
        </w:rPr>
      </w:pPr>
      <w:r>
        <w:rPr>
          <w:color w:val="auto"/>
          <w:highlight w:val="none"/>
        </w:rPr>
        <w:t>（4）满足地方环境管理要求，参照区域总量控制规划，使项目造成的环境影响低于项目所在地区的环境保护目标控制水平。</w:t>
      </w:r>
    </w:p>
    <w:p w14:paraId="5095EEAF">
      <w:pPr>
        <w:pStyle w:val="4"/>
        <w:numPr>
          <w:ilvl w:val="0"/>
          <w:numId w:val="0"/>
        </w:numPr>
        <w:tabs>
          <w:tab w:val="clear" w:pos="720"/>
        </w:tabs>
        <w:bidi w:val="0"/>
        <w:rPr>
          <w:color w:val="auto"/>
          <w:highlight w:val="none"/>
        </w:rPr>
      </w:pPr>
      <w:bookmarkStart w:id="1210" w:name="_Toc29478"/>
      <w:bookmarkStart w:id="1211" w:name="_Toc13783"/>
      <w:bookmarkStart w:id="1212" w:name="_Toc16308"/>
      <w:bookmarkStart w:id="1213" w:name="_Toc17319"/>
      <w:bookmarkStart w:id="1214" w:name="_Toc24445"/>
      <w:bookmarkStart w:id="1215" w:name="_Toc21875"/>
      <w:bookmarkStart w:id="1216" w:name="_Toc28962"/>
      <w:bookmarkStart w:id="1217" w:name="_Toc31356"/>
      <w:bookmarkStart w:id="1218" w:name="_Toc26257"/>
      <w:r>
        <w:rPr>
          <w:color w:val="auto"/>
          <w:highlight w:val="none"/>
        </w:rPr>
        <w:t>9.5.2</w:t>
      </w:r>
      <w:r>
        <w:rPr>
          <w:rFonts w:hint="eastAsia"/>
          <w:color w:val="auto"/>
          <w:highlight w:val="none"/>
          <w:lang w:val="en-US" w:eastAsia="zh-CN"/>
        </w:rPr>
        <w:t xml:space="preserve"> </w:t>
      </w:r>
      <w:r>
        <w:rPr>
          <w:color w:val="auto"/>
          <w:highlight w:val="none"/>
        </w:rPr>
        <w:t>总量控制因子</w:t>
      </w:r>
      <w:bookmarkEnd w:id="1210"/>
      <w:bookmarkEnd w:id="1211"/>
      <w:bookmarkEnd w:id="1212"/>
      <w:bookmarkEnd w:id="1213"/>
      <w:bookmarkEnd w:id="1214"/>
      <w:bookmarkEnd w:id="1215"/>
      <w:bookmarkEnd w:id="1216"/>
      <w:bookmarkEnd w:id="1217"/>
      <w:bookmarkEnd w:id="1218"/>
    </w:p>
    <w:p w14:paraId="26234F0F">
      <w:pPr>
        <w:pStyle w:val="1336"/>
        <w:ind w:firstLine="480"/>
        <w:rPr>
          <w:rFonts w:hint="eastAsia"/>
          <w:color w:val="auto"/>
          <w:highlight w:val="none"/>
        </w:rPr>
      </w:pPr>
      <w:r>
        <w:rPr>
          <w:rFonts w:hint="eastAsia"/>
          <w:color w:val="auto"/>
          <w:highlight w:val="none"/>
        </w:rPr>
        <w:t>总量控制是我国环境保护管理工作的一项重要举措，而实行污染物排放总量是环境保护法律法规的要求，它不仅是促进经济结构战略性调整和经济增长方式根本性转变的有力措施，同时也是促进工业技术进步和管理水平的提高，做到环保与经济的相互促进。实施以环境容量为基础的排污总量控制制度是改善环境质量的根本手段。</w:t>
      </w:r>
    </w:p>
    <w:p w14:paraId="0F8616F3">
      <w:pPr>
        <w:pStyle w:val="1336"/>
        <w:ind w:firstLine="480"/>
        <w:rPr>
          <w:rFonts w:hint="eastAsia"/>
          <w:color w:val="auto"/>
          <w:highlight w:val="none"/>
        </w:rPr>
      </w:pPr>
      <w:r>
        <w:rPr>
          <w:rFonts w:hint="eastAsia"/>
          <w:color w:val="auto"/>
          <w:highlight w:val="none"/>
        </w:rPr>
        <w:t>根据</w:t>
      </w:r>
      <w:r>
        <w:rPr>
          <w:rFonts w:hint="eastAsia"/>
          <w:color w:val="auto"/>
          <w:highlight w:val="none"/>
          <w:lang w:val="en-US" w:eastAsia="zh-CN"/>
        </w:rPr>
        <w:t>《福建省主要污染物排污权指标核定管理办法（试行）》（闽环发〔2014〕12号）、</w:t>
      </w:r>
      <w:r>
        <w:rPr>
          <w:rFonts w:hint="eastAsia"/>
          <w:color w:val="auto"/>
          <w:highlight w:val="none"/>
        </w:rPr>
        <w:t>《福建省人民政府关于推进排污权有偿使用和交易工作的意见</w:t>
      </w:r>
      <w:r>
        <w:rPr>
          <w:rFonts w:hint="eastAsia"/>
          <w:color w:val="auto"/>
          <w:highlight w:val="none"/>
          <w:lang w:eastAsia="zh-CN"/>
        </w:rPr>
        <w:t>（</w:t>
      </w:r>
      <w:r>
        <w:rPr>
          <w:rFonts w:hint="eastAsia"/>
          <w:color w:val="auto"/>
          <w:highlight w:val="none"/>
        </w:rPr>
        <w:t>试行</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闽政〔2014〕24号</w:t>
      </w:r>
      <w:r>
        <w:rPr>
          <w:rFonts w:hint="eastAsia"/>
          <w:color w:val="auto"/>
          <w:highlight w:val="none"/>
          <w:lang w:eastAsia="zh-CN"/>
        </w:rPr>
        <w:t>）、</w:t>
      </w:r>
      <w:r>
        <w:rPr>
          <w:rFonts w:hint="eastAsia"/>
          <w:color w:val="auto"/>
          <w:highlight w:val="none"/>
        </w:rPr>
        <w:t>《福建省人民政府关于全面实施排污权有偿使用和交易工作的意见》</w:t>
      </w:r>
      <w:r>
        <w:rPr>
          <w:rFonts w:hint="eastAsia"/>
          <w:color w:val="auto"/>
          <w:highlight w:val="none"/>
          <w:lang w:eastAsia="zh-CN"/>
        </w:rPr>
        <w:t>（闽政〔2016〕54号）</w:t>
      </w:r>
      <w:r>
        <w:rPr>
          <w:rFonts w:hint="eastAsia"/>
          <w:color w:val="auto"/>
          <w:highlight w:val="none"/>
        </w:rPr>
        <w:t>，主要控制污染物质指标为COD、NH</w:t>
      </w:r>
      <w:r>
        <w:rPr>
          <w:rFonts w:hint="eastAsia"/>
          <w:color w:val="auto"/>
          <w:highlight w:val="none"/>
          <w:vertAlign w:val="subscript"/>
        </w:rPr>
        <w:t>3</w:t>
      </w:r>
      <w:r>
        <w:rPr>
          <w:rFonts w:hint="eastAsia"/>
          <w:color w:val="auto"/>
          <w:highlight w:val="none"/>
        </w:rPr>
        <w:t>-N、SO</w:t>
      </w:r>
      <w:r>
        <w:rPr>
          <w:rFonts w:hint="eastAsia"/>
          <w:color w:val="auto"/>
          <w:highlight w:val="none"/>
          <w:vertAlign w:val="subscript"/>
        </w:rPr>
        <w:t>2</w:t>
      </w:r>
      <w:r>
        <w:rPr>
          <w:rFonts w:hint="eastAsia"/>
          <w:color w:val="auto"/>
          <w:highlight w:val="none"/>
        </w:rPr>
        <w:t>及NOx。</w:t>
      </w:r>
    </w:p>
    <w:p w14:paraId="50717E80">
      <w:pPr>
        <w:bidi w:val="0"/>
        <w:rPr>
          <w:rFonts w:hint="eastAsia"/>
          <w:color w:val="auto"/>
          <w:highlight w:val="none"/>
        </w:rPr>
      </w:pPr>
      <w:r>
        <w:rPr>
          <w:rFonts w:hint="eastAsia"/>
          <w:color w:val="auto"/>
          <w:highlight w:val="none"/>
        </w:rPr>
        <w:t>根据《福建省环保厅关于进一步明确排污权工作有关问题的通知》</w:t>
      </w:r>
      <w:r>
        <w:rPr>
          <w:rFonts w:hint="eastAsia"/>
          <w:color w:val="auto"/>
          <w:highlight w:val="none"/>
          <w:lang w:eastAsia="zh-CN"/>
        </w:rPr>
        <w:t>（</w:t>
      </w:r>
      <w:r>
        <w:rPr>
          <w:rFonts w:hint="eastAsia"/>
          <w:color w:val="auto"/>
          <w:highlight w:val="none"/>
        </w:rPr>
        <w:t>闽环保财</w:t>
      </w:r>
      <w:r>
        <w:rPr>
          <w:rFonts w:hint="eastAsia"/>
          <w:color w:val="auto"/>
          <w:highlight w:val="none"/>
          <w:lang w:eastAsia="zh-CN"/>
        </w:rPr>
        <w:t>〔2017〕22号），</w:t>
      </w:r>
      <w:r>
        <w:rPr>
          <w:rFonts w:hint="eastAsia"/>
          <w:color w:val="auto"/>
          <w:highlight w:val="none"/>
        </w:rPr>
        <w:t>现有工业排污单位的水污染物的初始排污权只核定工业废水部分</w:t>
      </w:r>
      <w:r>
        <w:rPr>
          <w:rFonts w:hint="eastAsia"/>
          <w:color w:val="auto"/>
          <w:highlight w:val="none"/>
          <w:lang w:eastAsia="zh-CN"/>
        </w:rPr>
        <w:t>。</w:t>
      </w:r>
      <w:r>
        <w:rPr>
          <w:rFonts w:hint="eastAsia"/>
          <w:color w:val="auto"/>
          <w:highlight w:val="none"/>
        </w:rPr>
        <w:t>因此，本项目生活污水中COD、氨氮无需申请总量。</w:t>
      </w:r>
    </w:p>
    <w:p w14:paraId="4425FA1E">
      <w:pPr>
        <w:bidi w:val="0"/>
        <w:rPr>
          <w:rFonts w:hint="default"/>
          <w:color w:val="auto"/>
          <w:highlight w:val="none"/>
          <w:lang w:eastAsia="zh-CN"/>
        </w:rPr>
      </w:pPr>
      <w:r>
        <w:rPr>
          <w:rFonts w:hint="eastAsia"/>
          <w:color w:val="auto"/>
          <w:highlight w:val="none"/>
        </w:rPr>
        <w:t>根据国家制定的总量控制指标，结合本项目的特征污染物，确定本项目污染物中总量控制的项目有：COD、NH</w:t>
      </w:r>
      <w:r>
        <w:rPr>
          <w:rFonts w:hint="eastAsia"/>
          <w:color w:val="auto"/>
          <w:highlight w:val="none"/>
          <w:vertAlign w:val="subscript"/>
        </w:rPr>
        <w:t>3</w:t>
      </w:r>
      <w:r>
        <w:rPr>
          <w:rFonts w:hint="eastAsia"/>
          <w:color w:val="auto"/>
          <w:highlight w:val="none"/>
        </w:rPr>
        <w:t>-N、SO</w:t>
      </w:r>
      <w:r>
        <w:rPr>
          <w:rFonts w:hint="eastAsia"/>
          <w:color w:val="auto"/>
          <w:highlight w:val="none"/>
          <w:vertAlign w:val="subscript"/>
        </w:rPr>
        <w:t>2</w:t>
      </w:r>
      <w:r>
        <w:rPr>
          <w:rFonts w:hint="eastAsia"/>
          <w:color w:val="auto"/>
          <w:highlight w:val="none"/>
          <w:vertAlign w:val="baseline"/>
          <w:lang w:eastAsia="zh-CN"/>
        </w:rPr>
        <w:t>、</w:t>
      </w:r>
      <w:r>
        <w:rPr>
          <w:rFonts w:hint="eastAsia"/>
          <w:color w:val="auto"/>
          <w:highlight w:val="none"/>
        </w:rPr>
        <w:t>NOx</w:t>
      </w:r>
      <w:r>
        <w:rPr>
          <w:rFonts w:hint="eastAsia"/>
          <w:color w:val="auto"/>
          <w:highlight w:val="none"/>
          <w:lang w:eastAsia="zh-CN"/>
        </w:rPr>
        <w:t>、</w:t>
      </w:r>
      <w:r>
        <w:rPr>
          <w:rFonts w:hint="eastAsia"/>
          <w:color w:val="auto"/>
          <w:highlight w:val="none"/>
          <w:lang w:val="en-US" w:eastAsia="zh-CN"/>
        </w:rPr>
        <w:t>VOCs</w:t>
      </w:r>
      <w:r>
        <w:rPr>
          <w:rFonts w:hint="default"/>
          <w:color w:val="auto"/>
          <w:highlight w:val="none"/>
          <w:lang w:eastAsia="zh-CN"/>
        </w:rPr>
        <w:t>。</w:t>
      </w:r>
    </w:p>
    <w:p w14:paraId="682F0BF4">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表9.5-1  本项目废气污染物排放总量一览表</w:t>
      </w:r>
    </w:p>
    <w:tbl>
      <w:tblPr>
        <w:tblStyle w:val="80"/>
        <w:tblW w:w="8604" w:type="dxa"/>
        <w:tblInd w:w="1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8"/>
        <w:gridCol w:w="51"/>
        <w:gridCol w:w="2313"/>
        <w:gridCol w:w="2156"/>
        <w:gridCol w:w="2166"/>
      </w:tblGrid>
      <w:tr w14:paraId="6E1E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969" w:type="dxa"/>
            <w:gridSpan w:val="2"/>
            <w:tcBorders>
              <w:top w:val="single" w:color="000000" w:sz="12" w:space="0"/>
              <w:left w:val="nil"/>
              <w:bottom w:val="single" w:color="000000" w:sz="4" w:space="0"/>
              <w:right w:val="single" w:color="000000" w:sz="4" w:space="0"/>
            </w:tcBorders>
            <w:shd w:val="clear" w:color="auto" w:fill="auto"/>
            <w:noWrap/>
            <w:vAlign w:val="center"/>
          </w:tcPr>
          <w:p w14:paraId="16752E31">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污染物</w:t>
            </w:r>
          </w:p>
        </w:tc>
        <w:tc>
          <w:tcPr>
            <w:tcW w:w="2313"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57CC160A">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无组织排放量（</w:t>
            </w:r>
            <w:r>
              <w:rPr>
                <w:rFonts w:hint="default" w:ascii="Times New Roman" w:hAnsi="Times New Roman" w:eastAsia="宋体" w:cs="Times New Roman"/>
                <w:color w:val="auto"/>
                <w:kern w:val="2"/>
                <w:sz w:val="21"/>
                <w:szCs w:val="24"/>
                <w:highlight w:val="none"/>
                <w:lang w:val="en-US" w:eastAsia="zh-CN" w:bidi="ar-SA"/>
              </w:rPr>
              <w:t>t/a</w:t>
            </w:r>
            <w:r>
              <w:rPr>
                <w:rFonts w:hint="eastAsia" w:ascii="Times New Roman" w:hAnsi="Times New Roman" w:eastAsia="宋体" w:cs="Times New Roman"/>
                <w:color w:val="auto"/>
                <w:kern w:val="2"/>
                <w:sz w:val="21"/>
                <w:szCs w:val="24"/>
                <w:highlight w:val="none"/>
                <w:lang w:val="en-US" w:eastAsia="zh-CN" w:bidi="ar-SA"/>
              </w:rPr>
              <w:t>）</w:t>
            </w:r>
          </w:p>
        </w:tc>
        <w:tc>
          <w:tcPr>
            <w:tcW w:w="2156"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38754DFF">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有组织排放量（</w:t>
            </w:r>
            <w:r>
              <w:rPr>
                <w:rFonts w:hint="default" w:ascii="Times New Roman" w:hAnsi="Times New Roman" w:eastAsia="宋体" w:cs="Times New Roman"/>
                <w:color w:val="auto"/>
                <w:kern w:val="2"/>
                <w:sz w:val="21"/>
                <w:szCs w:val="24"/>
                <w:highlight w:val="none"/>
                <w:lang w:val="en-US" w:eastAsia="zh-CN" w:bidi="ar-SA"/>
              </w:rPr>
              <w:t>t/a</w:t>
            </w:r>
            <w:r>
              <w:rPr>
                <w:rFonts w:hint="eastAsia" w:ascii="Times New Roman" w:hAnsi="Times New Roman" w:eastAsia="宋体" w:cs="Times New Roman"/>
                <w:color w:val="auto"/>
                <w:kern w:val="2"/>
                <w:sz w:val="21"/>
                <w:szCs w:val="24"/>
                <w:highlight w:val="none"/>
                <w:lang w:val="en-US" w:eastAsia="zh-CN" w:bidi="ar-SA"/>
              </w:rPr>
              <w:t>）</w:t>
            </w:r>
          </w:p>
        </w:tc>
        <w:tc>
          <w:tcPr>
            <w:tcW w:w="2166" w:type="dxa"/>
            <w:tcBorders>
              <w:top w:val="single" w:color="000000" w:sz="12" w:space="0"/>
              <w:left w:val="single" w:color="000000" w:sz="4" w:space="0"/>
              <w:bottom w:val="single" w:color="000000" w:sz="4" w:space="0"/>
              <w:right w:val="nil"/>
            </w:tcBorders>
            <w:shd w:val="clear" w:color="auto" w:fill="auto"/>
            <w:vAlign w:val="center"/>
          </w:tcPr>
          <w:p w14:paraId="3C458DBF">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总排放量（</w:t>
            </w:r>
            <w:r>
              <w:rPr>
                <w:rFonts w:hint="default" w:ascii="Times New Roman" w:hAnsi="Times New Roman" w:eastAsia="宋体" w:cs="Times New Roman"/>
                <w:color w:val="auto"/>
                <w:kern w:val="2"/>
                <w:sz w:val="21"/>
                <w:szCs w:val="24"/>
                <w:highlight w:val="none"/>
                <w:lang w:val="en-US" w:eastAsia="zh-CN" w:bidi="ar-SA"/>
              </w:rPr>
              <w:t>t/a</w:t>
            </w:r>
            <w:r>
              <w:rPr>
                <w:rFonts w:hint="eastAsia" w:ascii="Times New Roman" w:hAnsi="Times New Roman" w:eastAsia="宋体" w:cs="Times New Roman"/>
                <w:color w:val="auto"/>
                <w:kern w:val="2"/>
                <w:sz w:val="21"/>
                <w:szCs w:val="24"/>
                <w:highlight w:val="none"/>
                <w:lang w:val="en-US" w:eastAsia="zh-CN" w:bidi="ar-SA"/>
              </w:rPr>
              <w:t>）</w:t>
            </w:r>
          </w:p>
        </w:tc>
      </w:tr>
      <w:tr w14:paraId="2F4D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969" w:type="dxa"/>
            <w:gridSpan w:val="2"/>
            <w:tcBorders>
              <w:top w:val="single" w:color="000000" w:sz="4" w:space="0"/>
              <w:left w:val="nil"/>
              <w:bottom w:val="single" w:color="000000" w:sz="4" w:space="0"/>
              <w:right w:val="single" w:color="000000" w:sz="4" w:space="0"/>
            </w:tcBorders>
            <w:shd w:val="clear" w:color="auto" w:fill="auto"/>
            <w:vAlign w:val="center"/>
          </w:tcPr>
          <w:p w14:paraId="6CF6812F">
            <w:pPr>
              <w:widowControl w:val="0"/>
              <w:bidi w:val="0"/>
              <w:spacing w:line="240" w:lineRule="auto"/>
              <w:ind w:firstLine="0" w:firstLineChars="0"/>
              <w:jc w:val="center"/>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NMHC（含乙酸丁酯）</w:t>
            </w:r>
          </w:p>
        </w:tc>
        <w:tc>
          <w:tcPr>
            <w:tcW w:w="2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2D8E">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3.189</w:t>
            </w:r>
            <w:r>
              <w:rPr>
                <w:rFonts w:hint="eastAsia"/>
                <w:color w:val="auto"/>
                <w:highlight w:val="none"/>
                <w:lang w:val="en-US" w:eastAsia="zh-CN"/>
              </w:rPr>
              <w:t>0</w:t>
            </w:r>
          </w:p>
        </w:tc>
        <w:tc>
          <w:tcPr>
            <w:tcW w:w="2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0965">
            <w:pPr>
              <w:pStyle w:val="1405"/>
              <w:bidi w:val="0"/>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1.2131</w:t>
            </w:r>
          </w:p>
        </w:tc>
        <w:tc>
          <w:tcPr>
            <w:tcW w:w="2166" w:type="dxa"/>
            <w:tcBorders>
              <w:top w:val="single" w:color="000000" w:sz="4" w:space="0"/>
              <w:left w:val="single" w:color="000000" w:sz="4" w:space="0"/>
              <w:bottom w:val="single" w:color="000000" w:sz="4" w:space="0"/>
              <w:right w:val="nil"/>
            </w:tcBorders>
            <w:shd w:val="clear" w:color="auto" w:fill="auto"/>
            <w:noWrap/>
            <w:vAlign w:val="center"/>
          </w:tcPr>
          <w:p w14:paraId="3E46AF4B">
            <w:pPr>
              <w:pStyle w:val="1405"/>
              <w:bidi w:val="0"/>
              <w:ind w:firstLine="0" w:firstLineChars="0"/>
              <w:rPr>
                <w:rFonts w:hint="eastAsia"/>
                <w:color w:val="auto"/>
                <w:highlight w:val="none"/>
                <w:lang w:val="en-US" w:eastAsia="zh-CN"/>
              </w:rPr>
            </w:pPr>
            <w:r>
              <w:rPr>
                <w:rFonts w:hint="default"/>
                <w:color w:val="auto"/>
                <w:highlight w:val="none"/>
                <w:lang w:val="en-US" w:eastAsia="zh-CN"/>
              </w:rPr>
              <w:t>4.402</w:t>
            </w:r>
            <w:r>
              <w:rPr>
                <w:rFonts w:hint="eastAsia"/>
                <w:color w:val="auto"/>
                <w:highlight w:val="none"/>
                <w:lang w:val="en-US" w:eastAsia="zh-CN"/>
              </w:rPr>
              <w:t>1</w:t>
            </w:r>
          </w:p>
        </w:tc>
      </w:tr>
      <w:tr w14:paraId="7C0D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69" w:type="dxa"/>
            <w:gridSpan w:val="2"/>
            <w:tcBorders>
              <w:top w:val="single" w:color="000000" w:sz="4" w:space="0"/>
              <w:left w:val="nil"/>
              <w:bottom w:val="single" w:color="000000" w:sz="4" w:space="0"/>
              <w:right w:val="single" w:color="000000" w:sz="4" w:space="0"/>
            </w:tcBorders>
            <w:shd w:val="clear" w:color="auto" w:fill="auto"/>
            <w:vAlign w:val="center"/>
          </w:tcPr>
          <w:p w14:paraId="63B7CBB8">
            <w:pPr>
              <w:widowControl w:val="0"/>
              <w:bidi w:val="0"/>
              <w:spacing w:line="240" w:lineRule="auto"/>
              <w:ind w:firstLine="0" w:firstLineChars="0"/>
              <w:jc w:val="center"/>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二甲苯</w:t>
            </w:r>
          </w:p>
        </w:tc>
        <w:tc>
          <w:tcPr>
            <w:tcW w:w="2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66F9">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1.386</w:t>
            </w:r>
          </w:p>
        </w:tc>
        <w:tc>
          <w:tcPr>
            <w:tcW w:w="2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A1AB">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0.3719</w:t>
            </w:r>
          </w:p>
        </w:tc>
        <w:tc>
          <w:tcPr>
            <w:tcW w:w="2166" w:type="dxa"/>
            <w:tcBorders>
              <w:top w:val="single" w:color="000000" w:sz="4" w:space="0"/>
              <w:left w:val="single" w:color="000000" w:sz="4" w:space="0"/>
              <w:bottom w:val="single" w:color="000000" w:sz="4" w:space="0"/>
              <w:right w:val="nil"/>
            </w:tcBorders>
            <w:shd w:val="clear" w:color="auto" w:fill="auto"/>
            <w:noWrap/>
            <w:vAlign w:val="center"/>
          </w:tcPr>
          <w:p w14:paraId="28BCDDFF">
            <w:pPr>
              <w:pStyle w:val="1405"/>
              <w:bidi w:val="0"/>
              <w:ind w:firstLine="0" w:firstLineChars="0"/>
              <w:rPr>
                <w:rFonts w:hint="default"/>
                <w:color w:val="auto"/>
                <w:highlight w:val="none"/>
                <w:lang w:val="en-US" w:eastAsia="zh-CN"/>
              </w:rPr>
            </w:pPr>
            <w:r>
              <w:rPr>
                <w:rFonts w:hint="default"/>
                <w:color w:val="auto"/>
                <w:highlight w:val="none"/>
                <w:lang w:val="en-US" w:eastAsia="zh-CN"/>
              </w:rPr>
              <w:t>1.7579</w:t>
            </w:r>
          </w:p>
        </w:tc>
      </w:tr>
      <w:tr w14:paraId="274C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6438" w:type="dxa"/>
            <w:gridSpan w:val="4"/>
            <w:tcBorders>
              <w:top w:val="single" w:color="000000" w:sz="4" w:space="0"/>
              <w:left w:val="nil"/>
              <w:bottom w:val="single" w:color="000000" w:sz="4" w:space="0"/>
              <w:right w:val="single" w:color="000000" w:sz="4" w:space="0"/>
            </w:tcBorders>
            <w:shd w:val="clear" w:color="auto" w:fill="auto"/>
            <w:vAlign w:val="center"/>
          </w:tcPr>
          <w:p w14:paraId="0C655C38">
            <w:pPr>
              <w:widowControl w:val="0"/>
              <w:bidi w:val="0"/>
              <w:spacing w:line="240" w:lineRule="auto"/>
              <w:ind w:firstLine="0" w:firstLineChars="0"/>
              <w:jc w:val="center"/>
              <w:rPr>
                <w:rFonts w:hint="eastAsia" w:ascii="Times New Roman" w:hAnsi="Times New Roman" w:eastAsia="宋体" w:cs="Times New Roman"/>
                <w:color w:val="auto"/>
                <w:kern w:val="2"/>
                <w:sz w:val="21"/>
                <w:szCs w:val="20"/>
                <w:highlight w:val="none"/>
                <w:lang w:val="en-US" w:eastAsia="zh-CN" w:bidi="ar-SA"/>
              </w:rPr>
            </w:pPr>
            <w:r>
              <w:rPr>
                <w:rFonts w:hint="default" w:ascii="Times New Roman" w:hAnsi="Times New Roman" w:eastAsia="宋体" w:cs="Times New Roman"/>
                <w:color w:val="auto"/>
                <w:kern w:val="2"/>
                <w:sz w:val="21"/>
                <w:szCs w:val="20"/>
                <w:highlight w:val="none"/>
                <w:lang w:val="en-US" w:eastAsia="zh-CN" w:bidi="ar-SA"/>
              </w:rPr>
              <w:t>VOCs合计</w:t>
            </w:r>
          </w:p>
        </w:tc>
        <w:tc>
          <w:tcPr>
            <w:tcW w:w="2166" w:type="dxa"/>
            <w:tcBorders>
              <w:top w:val="single" w:color="000000" w:sz="4" w:space="0"/>
              <w:left w:val="single" w:color="000000" w:sz="4" w:space="0"/>
              <w:bottom w:val="single" w:color="000000" w:sz="4" w:space="0"/>
              <w:right w:val="nil"/>
            </w:tcBorders>
            <w:shd w:val="clear" w:color="auto" w:fill="auto"/>
            <w:noWrap/>
            <w:vAlign w:val="center"/>
          </w:tcPr>
          <w:p w14:paraId="0DEBF417">
            <w:pPr>
              <w:widowControl w:val="0"/>
              <w:bidi w:val="0"/>
              <w:spacing w:line="240" w:lineRule="auto"/>
              <w:ind w:firstLine="0" w:firstLineChars="0"/>
              <w:jc w:val="center"/>
              <w:rPr>
                <w:rFonts w:hint="default" w:ascii="Times New Roman" w:hAnsi="Times New Roman" w:eastAsia="宋体" w:cs="Times New Roman"/>
                <w:color w:val="auto"/>
                <w:kern w:val="2"/>
                <w:sz w:val="21"/>
                <w:szCs w:val="20"/>
                <w:highlight w:val="none"/>
                <w:lang w:val="en-US" w:eastAsia="zh-CN" w:bidi="ar-SA"/>
              </w:rPr>
            </w:pPr>
            <w:r>
              <w:rPr>
                <w:rFonts w:hint="eastAsia" w:cs="Times New Roman"/>
                <w:color w:val="auto"/>
                <w:kern w:val="2"/>
                <w:sz w:val="21"/>
                <w:szCs w:val="20"/>
                <w:highlight w:val="none"/>
                <w:lang w:val="en-US" w:eastAsia="zh-CN" w:bidi="ar-SA"/>
              </w:rPr>
              <w:t>6.16</w:t>
            </w:r>
          </w:p>
        </w:tc>
      </w:tr>
      <w:tr w14:paraId="7CE9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918" w:type="dxa"/>
            <w:tcBorders>
              <w:top w:val="single" w:color="000000" w:sz="4" w:space="0"/>
              <w:left w:val="nil"/>
              <w:bottom w:val="single" w:color="000000" w:sz="4" w:space="0"/>
              <w:right w:val="single" w:color="000000" w:sz="4" w:space="0"/>
            </w:tcBorders>
            <w:shd w:val="clear" w:color="auto" w:fill="auto"/>
            <w:vAlign w:val="center"/>
          </w:tcPr>
          <w:p w14:paraId="78CC957C">
            <w:pPr>
              <w:widowControl w:val="0"/>
              <w:bidi w:val="0"/>
              <w:spacing w:line="240" w:lineRule="auto"/>
              <w:ind w:firstLine="0" w:firstLineChars="0"/>
              <w:jc w:val="center"/>
              <w:rPr>
                <w:rFonts w:hint="default" w:ascii="Times New Roman" w:hAnsi="Times New Roman" w:eastAsia="宋体" w:cs="Times New Roman"/>
                <w:color w:val="auto"/>
                <w:kern w:val="2"/>
                <w:sz w:val="21"/>
                <w:szCs w:val="20"/>
                <w:highlight w:val="none"/>
                <w:lang w:val="en-US" w:eastAsia="zh-CN" w:bidi="ar-SA"/>
              </w:rPr>
            </w:pPr>
            <w:r>
              <w:rPr>
                <w:rFonts w:hint="eastAsia" w:ascii="Times New Roman" w:hAnsi="Times New Roman" w:eastAsia="宋体" w:cs="Times New Roman"/>
                <w:color w:val="auto"/>
                <w:kern w:val="2"/>
                <w:sz w:val="21"/>
                <w:szCs w:val="20"/>
                <w:highlight w:val="none"/>
                <w:lang w:val="en-US" w:eastAsia="zh-CN" w:bidi="ar-SA"/>
              </w:rPr>
              <w:t>二氧化硫</w:t>
            </w:r>
          </w:p>
        </w:tc>
        <w:tc>
          <w:tcPr>
            <w:tcW w:w="2364" w:type="dxa"/>
            <w:gridSpan w:val="2"/>
            <w:tcBorders>
              <w:top w:val="single" w:color="000000" w:sz="4" w:space="0"/>
              <w:left w:val="nil"/>
              <w:bottom w:val="single" w:color="000000" w:sz="4" w:space="0"/>
              <w:right w:val="single" w:color="000000" w:sz="4" w:space="0"/>
            </w:tcBorders>
            <w:shd w:val="clear" w:color="auto" w:fill="auto"/>
            <w:vAlign w:val="center"/>
          </w:tcPr>
          <w:p w14:paraId="60D51F2B">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w:t>
            </w:r>
          </w:p>
        </w:tc>
        <w:tc>
          <w:tcPr>
            <w:tcW w:w="2156" w:type="dxa"/>
            <w:tcBorders>
              <w:top w:val="single" w:color="000000" w:sz="4" w:space="0"/>
              <w:left w:val="nil"/>
              <w:bottom w:val="single" w:color="000000" w:sz="4" w:space="0"/>
              <w:right w:val="single" w:color="000000" w:sz="4" w:space="0"/>
            </w:tcBorders>
            <w:shd w:val="clear" w:color="auto" w:fill="auto"/>
            <w:vAlign w:val="center"/>
          </w:tcPr>
          <w:p w14:paraId="4D2CCFA1">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0.0668</w:t>
            </w:r>
          </w:p>
        </w:tc>
        <w:tc>
          <w:tcPr>
            <w:tcW w:w="2166" w:type="dxa"/>
            <w:tcBorders>
              <w:top w:val="single" w:color="000000" w:sz="4" w:space="0"/>
              <w:left w:val="single" w:color="000000" w:sz="4" w:space="0"/>
              <w:bottom w:val="single" w:color="000000" w:sz="4" w:space="0"/>
              <w:right w:val="nil"/>
            </w:tcBorders>
            <w:shd w:val="clear" w:color="auto" w:fill="auto"/>
            <w:noWrap/>
            <w:vAlign w:val="center"/>
          </w:tcPr>
          <w:p w14:paraId="5FA0785B">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0.0668</w:t>
            </w:r>
          </w:p>
        </w:tc>
      </w:tr>
      <w:tr w14:paraId="01F0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918" w:type="dxa"/>
            <w:tcBorders>
              <w:top w:val="single" w:color="000000" w:sz="4" w:space="0"/>
              <w:left w:val="nil"/>
              <w:bottom w:val="single" w:color="000000" w:sz="12" w:space="0"/>
              <w:right w:val="single" w:color="000000" w:sz="4" w:space="0"/>
            </w:tcBorders>
            <w:shd w:val="clear" w:color="auto" w:fill="auto"/>
            <w:vAlign w:val="center"/>
          </w:tcPr>
          <w:p w14:paraId="7C69E626">
            <w:pPr>
              <w:widowControl w:val="0"/>
              <w:bidi w:val="0"/>
              <w:spacing w:line="240" w:lineRule="auto"/>
              <w:ind w:firstLine="0" w:firstLineChars="0"/>
              <w:jc w:val="center"/>
              <w:rPr>
                <w:rFonts w:hint="default" w:ascii="Times New Roman" w:hAnsi="Times New Roman" w:eastAsia="宋体" w:cs="Times New Roman"/>
                <w:color w:val="auto"/>
                <w:kern w:val="2"/>
                <w:sz w:val="21"/>
                <w:szCs w:val="20"/>
                <w:highlight w:val="none"/>
                <w:lang w:val="en-US" w:eastAsia="zh-CN" w:bidi="ar-SA"/>
              </w:rPr>
            </w:pPr>
            <w:r>
              <w:rPr>
                <w:rFonts w:hint="eastAsia" w:ascii="Times New Roman" w:hAnsi="Times New Roman" w:eastAsia="宋体" w:cs="Times New Roman"/>
                <w:color w:val="auto"/>
                <w:kern w:val="2"/>
                <w:sz w:val="21"/>
                <w:szCs w:val="20"/>
                <w:highlight w:val="none"/>
                <w:lang w:val="en-US" w:eastAsia="zh-CN" w:bidi="ar-SA"/>
              </w:rPr>
              <w:t>氮氧化物</w:t>
            </w:r>
          </w:p>
        </w:tc>
        <w:tc>
          <w:tcPr>
            <w:tcW w:w="2364" w:type="dxa"/>
            <w:gridSpan w:val="2"/>
            <w:tcBorders>
              <w:top w:val="single" w:color="000000" w:sz="4" w:space="0"/>
              <w:left w:val="nil"/>
              <w:bottom w:val="single" w:color="000000" w:sz="12" w:space="0"/>
              <w:right w:val="single" w:color="000000" w:sz="4" w:space="0"/>
            </w:tcBorders>
            <w:shd w:val="clear" w:color="auto" w:fill="auto"/>
            <w:vAlign w:val="center"/>
          </w:tcPr>
          <w:p w14:paraId="08FCD640">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0</w:t>
            </w:r>
          </w:p>
        </w:tc>
        <w:tc>
          <w:tcPr>
            <w:tcW w:w="2156" w:type="dxa"/>
            <w:tcBorders>
              <w:top w:val="single" w:color="000000" w:sz="4" w:space="0"/>
              <w:left w:val="nil"/>
              <w:bottom w:val="single" w:color="000000" w:sz="12" w:space="0"/>
              <w:right w:val="single" w:color="000000" w:sz="4" w:space="0"/>
            </w:tcBorders>
            <w:shd w:val="clear" w:color="auto" w:fill="auto"/>
            <w:vAlign w:val="center"/>
          </w:tcPr>
          <w:p w14:paraId="2BA44C84">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0.5825</w:t>
            </w:r>
          </w:p>
        </w:tc>
        <w:tc>
          <w:tcPr>
            <w:tcW w:w="2166" w:type="dxa"/>
            <w:tcBorders>
              <w:top w:val="single" w:color="000000" w:sz="4" w:space="0"/>
              <w:left w:val="single" w:color="000000" w:sz="4" w:space="0"/>
              <w:bottom w:val="single" w:color="000000" w:sz="12" w:space="0"/>
              <w:right w:val="nil"/>
            </w:tcBorders>
            <w:shd w:val="clear" w:color="auto" w:fill="auto"/>
            <w:noWrap/>
            <w:vAlign w:val="center"/>
          </w:tcPr>
          <w:p w14:paraId="6EE843F2">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0.5825</w:t>
            </w:r>
          </w:p>
        </w:tc>
      </w:tr>
    </w:tbl>
    <w:p w14:paraId="0B3DC952">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表9.5-2  本项目水污染物排放总量一览表</w:t>
      </w:r>
    </w:p>
    <w:tbl>
      <w:tblPr>
        <w:tblStyle w:val="80"/>
        <w:tblW w:w="8711"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540"/>
        <w:gridCol w:w="1480"/>
        <w:gridCol w:w="2180"/>
        <w:gridCol w:w="2021"/>
      </w:tblGrid>
      <w:tr w14:paraId="50F914B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490" w:type="dxa"/>
            <w:tcBorders>
              <w:top w:val="single" w:color="auto" w:sz="12" w:space="0"/>
              <w:left w:val="nil"/>
              <w:bottom w:val="single" w:color="auto" w:sz="4" w:space="0"/>
              <w:right w:val="single" w:color="auto" w:sz="4" w:space="0"/>
            </w:tcBorders>
            <w:noWrap w:val="0"/>
            <w:vAlign w:val="center"/>
          </w:tcPr>
          <w:p w14:paraId="4DD17A0E">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项目</w:t>
            </w:r>
          </w:p>
        </w:tc>
        <w:tc>
          <w:tcPr>
            <w:tcW w:w="7221" w:type="dxa"/>
            <w:gridSpan w:val="4"/>
            <w:tcBorders>
              <w:top w:val="single" w:color="auto" w:sz="12" w:space="0"/>
              <w:left w:val="single" w:color="auto" w:sz="4" w:space="0"/>
              <w:bottom w:val="single" w:color="auto" w:sz="4" w:space="0"/>
              <w:right w:val="nil"/>
            </w:tcBorders>
            <w:noWrap w:val="0"/>
            <w:vAlign w:val="center"/>
          </w:tcPr>
          <w:p w14:paraId="30F14F3D">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建议最终排入环境控制指标</w:t>
            </w:r>
          </w:p>
        </w:tc>
      </w:tr>
      <w:tr w14:paraId="163A1E5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90" w:type="dxa"/>
            <w:tcBorders>
              <w:top w:val="single" w:color="auto" w:sz="4" w:space="0"/>
              <w:left w:val="nil"/>
              <w:bottom w:val="single" w:color="auto" w:sz="4" w:space="0"/>
              <w:right w:val="single" w:color="auto" w:sz="4" w:space="0"/>
            </w:tcBorders>
            <w:noWrap w:val="0"/>
            <w:vAlign w:val="center"/>
          </w:tcPr>
          <w:p w14:paraId="113B5D60">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污染物名称</w:t>
            </w:r>
          </w:p>
        </w:tc>
        <w:tc>
          <w:tcPr>
            <w:tcW w:w="1540" w:type="dxa"/>
            <w:tcBorders>
              <w:top w:val="single" w:color="auto" w:sz="4" w:space="0"/>
              <w:left w:val="single" w:color="auto" w:sz="4" w:space="0"/>
              <w:bottom w:val="single" w:color="auto" w:sz="4" w:space="0"/>
              <w:right w:val="single" w:color="auto" w:sz="4" w:space="0"/>
            </w:tcBorders>
            <w:noWrap w:val="0"/>
            <w:vAlign w:val="center"/>
          </w:tcPr>
          <w:p w14:paraId="535B2AB1">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排放浓度mg/L</w:t>
            </w:r>
          </w:p>
        </w:tc>
        <w:tc>
          <w:tcPr>
            <w:tcW w:w="1480" w:type="dxa"/>
            <w:tcBorders>
              <w:top w:val="single" w:color="auto" w:sz="4" w:space="0"/>
              <w:left w:val="single" w:color="auto" w:sz="4" w:space="0"/>
              <w:bottom w:val="single" w:color="auto" w:sz="4" w:space="0"/>
              <w:right w:val="single" w:color="auto" w:sz="4" w:space="0"/>
            </w:tcBorders>
            <w:noWrap w:val="0"/>
            <w:vAlign w:val="center"/>
          </w:tcPr>
          <w:p w14:paraId="0567EE90">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总排放量</w:t>
            </w:r>
            <w:r>
              <w:rPr>
                <w:rFonts w:hint="default" w:ascii="Times New Roman" w:hAnsi="Times New Roman" w:eastAsia="宋体" w:cs="Times New Roman"/>
                <w:color w:val="auto"/>
                <w:kern w:val="2"/>
                <w:sz w:val="21"/>
                <w:szCs w:val="24"/>
                <w:highlight w:val="none"/>
                <w:lang w:val="en-US" w:eastAsia="zh-CN" w:bidi="ar-SA"/>
              </w:rPr>
              <w:t>t/a</w:t>
            </w:r>
          </w:p>
        </w:tc>
        <w:tc>
          <w:tcPr>
            <w:tcW w:w="2180" w:type="dxa"/>
            <w:tcBorders>
              <w:top w:val="single" w:color="auto" w:sz="4" w:space="0"/>
              <w:left w:val="single" w:color="auto" w:sz="4" w:space="0"/>
              <w:bottom w:val="single" w:color="auto" w:sz="4" w:space="0"/>
              <w:right w:val="single" w:color="auto" w:sz="4" w:space="0"/>
            </w:tcBorders>
            <w:noWrap w:val="0"/>
            <w:vAlign w:val="center"/>
          </w:tcPr>
          <w:p w14:paraId="51290FCF">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生产废水排放量</w:t>
            </w:r>
            <w:r>
              <w:rPr>
                <w:rFonts w:hint="default" w:ascii="Times New Roman" w:hAnsi="Times New Roman" w:eastAsia="宋体" w:cs="Times New Roman"/>
                <w:color w:val="auto"/>
                <w:kern w:val="2"/>
                <w:sz w:val="21"/>
                <w:szCs w:val="24"/>
                <w:highlight w:val="none"/>
                <w:lang w:val="en-US" w:eastAsia="zh-CN" w:bidi="ar-SA"/>
              </w:rPr>
              <w:t>t/a</w:t>
            </w:r>
          </w:p>
        </w:tc>
        <w:tc>
          <w:tcPr>
            <w:tcW w:w="2021" w:type="dxa"/>
            <w:tcBorders>
              <w:top w:val="single" w:color="auto" w:sz="4" w:space="0"/>
              <w:left w:val="single" w:color="auto" w:sz="4" w:space="0"/>
              <w:bottom w:val="single" w:color="auto" w:sz="4" w:space="0"/>
              <w:right w:val="nil"/>
            </w:tcBorders>
            <w:noWrap w:val="0"/>
            <w:vAlign w:val="center"/>
          </w:tcPr>
          <w:p w14:paraId="66D2DB43">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生活污水排放量</w:t>
            </w:r>
            <w:r>
              <w:rPr>
                <w:rFonts w:hint="default" w:ascii="Times New Roman" w:hAnsi="Times New Roman" w:eastAsia="宋体" w:cs="Times New Roman"/>
                <w:color w:val="auto"/>
                <w:kern w:val="2"/>
                <w:sz w:val="21"/>
                <w:szCs w:val="24"/>
                <w:highlight w:val="none"/>
                <w:lang w:val="en-US" w:eastAsia="zh-CN" w:bidi="ar-SA"/>
              </w:rPr>
              <w:t>t/a</w:t>
            </w:r>
          </w:p>
        </w:tc>
      </w:tr>
      <w:tr w14:paraId="020CDCF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490" w:type="dxa"/>
            <w:tcBorders>
              <w:top w:val="single" w:color="auto" w:sz="4" w:space="0"/>
              <w:left w:val="nil"/>
              <w:bottom w:val="single" w:color="auto" w:sz="4" w:space="0"/>
              <w:right w:val="single" w:color="auto" w:sz="4" w:space="0"/>
            </w:tcBorders>
            <w:noWrap w:val="0"/>
            <w:vAlign w:val="center"/>
          </w:tcPr>
          <w:p w14:paraId="5B3289EF">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废水量</w:t>
            </w:r>
          </w:p>
        </w:tc>
        <w:tc>
          <w:tcPr>
            <w:tcW w:w="1540" w:type="dxa"/>
            <w:tcBorders>
              <w:top w:val="single" w:color="auto" w:sz="4" w:space="0"/>
              <w:left w:val="single" w:color="auto" w:sz="4" w:space="0"/>
              <w:bottom w:val="single" w:color="auto" w:sz="4" w:space="0"/>
              <w:right w:val="single" w:color="auto" w:sz="4" w:space="0"/>
            </w:tcBorders>
            <w:noWrap w:val="0"/>
            <w:vAlign w:val="center"/>
          </w:tcPr>
          <w:p w14:paraId="0971D97F">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w:t>
            </w:r>
          </w:p>
        </w:tc>
        <w:tc>
          <w:tcPr>
            <w:tcW w:w="1480" w:type="dxa"/>
            <w:tcBorders>
              <w:top w:val="single" w:color="auto" w:sz="4" w:space="0"/>
              <w:left w:val="single" w:color="auto" w:sz="4" w:space="0"/>
              <w:bottom w:val="single" w:color="auto" w:sz="4" w:space="0"/>
              <w:right w:val="single" w:color="auto" w:sz="4" w:space="0"/>
            </w:tcBorders>
            <w:noWrap w:val="0"/>
            <w:vAlign w:val="center"/>
          </w:tcPr>
          <w:p w14:paraId="64ACD4A6">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757.8</w:t>
            </w:r>
          </w:p>
        </w:tc>
        <w:tc>
          <w:tcPr>
            <w:tcW w:w="2180" w:type="dxa"/>
            <w:tcBorders>
              <w:top w:val="single" w:color="auto" w:sz="4" w:space="0"/>
              <w:left w:val="single" w:color="auto" w:sz="4" w:space="0"/>
              <w:bottom w:val="single" w:color="auto" w:sz="4" w:space="0"/>
              <w:right w:val="single" w:color="auto" w:sz="4" w:space="0"/>
            </w:tcBorders>
            <w:noWrap w:val="0"/>
            <w:vAlign w:val="center"/>
          </w:tcPr>
          <w:p w14:paraId="43E42F89">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157.8</w:t>
            </w:r>
          </w:p>
        </w:tc>
        <w:tc>
          <w:tcPr>
            <w:tcW w:w="2021" w:type="dxa"/>
            <w:tcBorders>
              <w:top w:val="single" w:color="auto" w:sz="4" w:space="0"/>
              <w:left w:val="single" w:color="auto" w:sz="4" w:space="0"/>
              <w:bottom w:val="single" w:color="auto" w:sz="4" w:space="0"/>
              <w:right w:val="nil"/>
            </w:tcBorders>
            <w:noWrap w:val="0"/>
            <w:vAlign w:val="center"/>
          </w:tcPr>
          <w:p w14:paraId="1DED7344">
            <w:pPr>
              <w:pStyle w:val="1405"/>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600</w:t>
            </w:r>
          </w:p>
        </w:tc>
      </w:tr>
      <w:tr w14:paraId="5842E54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490" w:type="dxa"/>
            <w:tcBorders>
              <w:top w:val="single" w:color="auto" w:sz="4" w:space="0"/>
              <w:left w:val="nil"/>
              <w:bottom w:val="single" w:color="auto" w:sz="4" w:space="0"/>
              <w:right w:val="single" w:color="auto" w:sz="4" w:space="0"/>
            </w:tcBorders>
            <w:noWrap w:val="0"/>
            <w:vAlign w:val="center"/>
          </w:tcPr>
          <w:p w14:paraId="1D195BDA">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COD</w:t>
            </w:r>
          </w:p>
        </w:tc>
        <w:tc>
          <w:tcPr>
            <w:tcW w:w="1540" w:type="dxa"/>
            <w:tcBorders>
              <w:top w:val="single" w:color="auto" w:sz="4" w:space="0"/>
              <w:left w:val="single" w:color="auto" w:sz="4" w:space="0"/>
              <w:bottom w:val="single" w:color="auto" w:sz="4" w:space="0"/>
              <w:right w:val="single" w:color="auto" w:sz="4" w:space="0"/>
            </w:tcBorders>
            <w:noWrap w:val="0"/>
            <w:vAlign w:val="center"/>
          </w:tcPr>
          <w:p w14:paraId="47B1FA00">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50</w:t>
            </w:r>
          </w:p>
        </w:tc>
        <w:tc>
          <w:tcPr>
            <w:tcW w:w="1480" w:type="dxa"/>
            <w:tcBorders>
              <w:top w:val="single" w:color="auto" w:sz="4" w:space="0"/>
              <w:left w:val="single" w:color="auto" w:sz="4" w:space="0"/>
              <w:bottom w:val="single" w:color="auto" w:sz="4" w:space="0"/>
              <w:right w:val="single" w:color="auto" w:sz="4" w:space="0"/>
            </w:tcBorders>
            <w:noWrap w:val="0"/>
            <w:vAlign w:val="center"/>
          </w:tcPr>
          <w:p w14:paraId="5244DD35">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0.3789</w:t>
            </w:r>
          </w:p>
        </w:tc>
        <w:tc>
          <w:tcPr>
            <w:tcW w:w="2180" w:type="dxa"/>
            <w:tcBorders>
              <w:top w:val="single" w:color="auto" w:sz="4" w:space="0"/>
              <w:left w:val="single" w:color="auto" w:sz="4" w:space="0"/>
              <w:bottom w:val="single" w:color="auto" w:sz="4" w:space="0"/>
              <w:right w:val="single" w:color="auto" w:sz="4" w:space="0"/>
            </w:tcBorders>
            <w:noWrap w:val="0"/>
            <w:vAlign w:val="center"/>
          </w:tcPr>
          <w:p w14:paraId="3F595A7C">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0.0789</w:t>
            </w:r>
          </w:p>
        </w:tc>
        <w:tc>
          <w:tcPr>
            <w:tcW w:w="2021" w:type="dxa"/>
            <w:tcBorders>
              <w:top w:val="single" w:color="auto" w:sz="4" w:space="0"/>
              <w:left w:val="single" w:color="auto" w:sz="4" w:space="0"/>
              <w:bottom w:val="single" w:color="auto" w:sz="4" w:space="0"/>
              <w:right w:val="nil"/>
            </w:tcBorders>
            <w:noWrap w:val="0"/>
            <w:vAlign w:val="center"/>
          </w:tcPr>
          <w:p w14:paraId="497D05CC">
            <w:pPr>
              <w:pStyle w:val="1405"/>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0.30</w:t>
            </w:r>
          </w:p>
        </w:tc>
      </w:tr>
      <w:tr w14:paraId="56989528">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490" w:type="dxa"/>
            <w:tcBorders>
              <w:top w:val="single" w:color="auto" w:sz="4" w:space="0"/>
              <w:left w:val="nil"/>
              <w:bottom w:val="single" w:color="auto" w:sz="12" w:space="0"/>
              <w:right w:val="single" w:color="auto" w:sz="4" w:space="0"/>
            </w:tcBorders>
            <w:noWrap w:val="0"/>
            <w:vAlign w:val="center"/>
          </w:tcPr>
          <w:p w14:paraId="434B0469">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NH</w:t>
            </w:r>
            <w:r>
              <w:rPr>
                <w:rFonts w:hint="default" w:ascii="Times New Roman" w:hAnsi="Times New Roman" w:eastAsia="宋体" w:cs="Times New Roman"/>
                <w:color w:val="auto"/>
                <w:kern w:val="2"/>
                <w:sz w:val="21"/>
                <w:szCs w:val="24"/>
                <w:highlight w:val="none"/>
                <w:vertAlign w:val="subscript"/>
                <w:lang w:val="en-US" w:eastAsia="zh-CN" w:bidi="ar-SA"/>
              </w:rPr>
              <w:t>3</w:t>
            </w:r>
            <w:r>
              <w:rPr>
                <w:rFonts w:hint="default" w:ascii="Times New Roman" w:hAnsi="Times New Roman" w:eastAsia="宋体" w:cs="Times New Roman"/>
                <w:color w:val="auto"/>
                <w:kern w:val="2"/>
                <w:sz w:val="21"/>
                <w:szCs w:val="24"/>
                <w:highlight w:val="none"/>
                <w:lang w:val="en-US" w:eastAsia="zh-CN" w:bidi="ar-SA"/>
              </w:rPr>
              <w:t>-N</w:t>
            </w:r>
          </w:p>
        </w:tc>
        <w:tc>
          <w:tcPr>
            <w:tcW w:w="1540" w:type="dxa"/>
            <w:tcBorders>
              <w:top w:val="single" w:color="auto" w:sz="4" w:space="0"/>
              <w:left w:val="single" w:color="auto" w:sz="4" w:space="0"/>
              <w:bottom w:val="single" w:color="auto" w:sz="12" w:space="0"/>
              <w:right w:val="single" w:color="auto" w:sz="4" w:space="0"/>
            </w:tcBorders>
            <w:noWrap w:val="0"/>
            <w:vAlign w:val="center"/>
          </w:tcPr>
          <w:p w14:paraId="6E01DFB4">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5</w:t>
            </w:r>
          </w:p>
        </w:tc>
        <w:tc>
          <w:tcPr>
            <w:tcW w:w="1480" w:type="dxa"/>
            <w:tcBorders>
              <w:top w:val="single" w:color="auto" w:sz="4" w:space="0"/>
              <w:left w:val="single" w:color="auto" w:sz="4" w:space="0"/>
              <w:bottom w:val="single" w:color="auto" w:sz="12" w:space="0"/>
              <w:right w:val="single" w:color="auto" w:sz="4" w:space="0"/>
            </w:tcBorders>
            <w:noWrap w:val="0"/>
            <w:vAlign w:val="center"/>
          </w:tcPr>
          <w:p w14:paraId="3E9CD166">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0.03789</w:t>
            </w:r>
          </w:p>
        </w:tc>
        <w:tc>
          <w:tcPr>
            <w:tcW w:w="2180" w:type="dxa"/>
            <w:tcBorders>
              <w:top w:val="single" w:color="auto" w:sz="4" w:space="0"/>
              <w:left w:val="single" w:color="auto" w:sz="4" w:space="0"/>
              <w:bottom w:val="single" w:color="auto" w:sz="12" w:space="0"/>
              <w:right w:val="single" w:color="auto" w:sz="4" w:space="0"/>
            </w:tcBorders>
            <w:noWrap w:val="0"/>
            <w:vAlign w:val="center"/>
          </w:tcPr>
          <w:p w14:paraId="0F46ACE1">
            <w:pPr>
              <w:pStyle w:val="1405"/>
              <w:bidi w:val="0"/>
              <w:ind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0.00789</w:t>
            </w:r>
          </w:p>
        </w:tc>
        <w:tc>
          <w:tcPr>
            <w:tcW w:w="2021" w:type="dxa"/>
            <w:tcBorders>
              <w:top w:val="single" w:color="auto" w:sz="4" w:space="0"/>
              <w:left w:val="single" w:color="auto" w:sz="4" w:space="0"/>
              <w:bottom w:val="single" w:color="auto" w:sz="12" w:space="0"/>
              <w:right w:val="nil"/>
            </w:tcBorders>
            <w:noWrap w:val="0"/>
            <w:vAlign w:val="center"/>
          </w:tcPr>
          <w:p w14:paraId="6C2B1B27">
            <w:pPr>
              <w:pStyle w:val="1405"/>
              <w:bidi w:val="0"/>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lang w:val="en-US" w:eastAsia="zh-CN"/>
              </w:rPr>
              <w:t>0.03</w:t>
            </w:r>
          </w:p>
        </w:tc>
      </w:tr>
    </w:tbl>
    <w:p w14:paraId="2354B378">
      <w:pPr>
        <w:bidi w:val="0"/>
        <w:rPr>
          <w:rFonts w:hint="eastAsia"/>
          <w:color w:val="auto"/>
          <w:highlight w:val="none"/>
          <w:lang w:val="en-US" w:eastAsia="zh-CN"/>
        </w:rPr>
      </w:pPr>
      <w:r>
        <w:rPr>
          <w:rFonts w:hint="eastAsia"/>
          <w:color w:val="auto"/>
          <w:highlight w:val="none"/>
          <w:lang w:val="en-US" w:eastAsia="zh-CN"/>
        </w:rPr>
        <w:t>本项目生产废水主要为锅炉排污水和纯水制备反渗透浓水，上述废水水质简单、仅含少量浓缩的无机盐分，不含有机污染物及有毒有害物质，故本项目无需购买对应的排污权交易指标。</w:t>
      </w:r>
    </w:p>
    <w:p w14:paraId="0CD92D3C">
      <w:pPr>
        <w:bidi w:val="0"/>
        <w:rPr>
          <w:rFonts w:hint="eastAsia"/>
          <w:color w:val="auto"/>
          <w:highlight w:val="none"/>
          <w:lang w:val="en-US" w:eastAsia="zh-CN"/>
        </w:rPr>
      </w:pPr>
      <w:r>
        <w:rPr>
          <w:rFonts w:hint="eastAsia"/>
          <w:color w:val="auto"/>
          <w:highlight w:val="none"/>
          <w:lang w:val="en-US" w:eastAsia="zh-CN"/>
        </w:rPr>
        <w:t>根据《福建省人民政府关于推进排污权有偿使用和交易工作的意见（试行）》（闽政〔2014〕24号）及《福州市排污权储备和出让工作实施意见》等相关规定，新建项目新增主要污染物排放总量指标需作为环境影响评价审批的前置条件，通过排污权交易或有偿获取。</w:t>
      </w:r>
    </w:p>
    <w:p w14:paraId="52979666">
      <w:pPr>
        <w:bidi w:val="0"/>
        <w:rPr>
          <w:rFonts w:hint="default"/>
          <w:color w:val="auto"/>
          <w:highlight w:val="none"/>
          <w:lang w:val="en-US" w:eastAsia="zh-CN"/>
        </w:rPr>
      </w:pPr>
      <w:r>
        <w:rPr>
          <w:rFonts w:hint="eastAsia"/>
          <w:color w:val="auto"/>
          <w:highlight w:val="none"/>
          <w:lang w:val="en-US" w:eastAsia="zh-CN"/>
        </w:rPr>
        <w:t>本项目废气污染物（</w:t>
      </w:r>
      <w:r>
        <w:rPr>
          <w:rFonts w:hint="eastAsia"/>
          <w:color w:val="auto"/>
          <w:highlight w:val="none"/>
        </w:rPr>
        <w:t>二氧化硫</w:t>
      </w:r>
      <w:r>
        <w:rPr>
          <w:rFonts w:hint="eastAsia"/>
          <w:color w:val="auto"/>
          <w:highlight w:val="none"/>
          <w:lang w:val="en-US" w:eastAsia="zh-CN"/>
        </w:rPr>
        <w:t>（0.0668t/a）</w:t>
      </w:r>
      <w:r>
        <w:rPr>
          <w:rFonts w:hint="eastAsia"/>
          <w:color w:val="auto"/>
          <w:highlight w:val="none"/>
        </w:rPr>
        <w:t>、氮氧化物</w:t>
      </w:r>
      <w:r>
        <w:rPr>
          <w:rFonts w:hint="eastAsia"/>
          <w:color w:val="auto"/>
          <w:highlight w:val="none"/>
          <w:lang w:val="en-US" w:eastAsia="zh-CN"/>
        </w:rPr>
        <w:t>（0.5825t/a））排放量达到购买排污权交易指标的要求，需在环评审批前向福州市生态环境局提交总量来源说明，并依规通过海峡股权交易中心购买所需的排污权指标。</w:t>
      </w:r>
    </w:p>
    <w:p w14:paraId="5A9CE6E6">
      <w:pPr>
        <w:bidi w:val="0"/>
        <w:rPr>
          <w:rFonts w:hint="default"/>
          <w:color w:val="auto"/>
          <w:highlight w:val="none"/>
          <w:lang w:eastAsia="zh-CN"/>
        </w:rPr>
      </w:pPr>
      <w:r>
        <w:rPr>
          <w:rFonts w:hint="default"/>
          <w:color w:val="auto"/>
          <w:highlight w:val="none"/>
          <w:lang w:val="en-US" w:eastAsia="zh-CN"/>
        </w:rPr>
        <w:t>根据《福州市环境保护局关于印发福州市大气污染联防控联治工作方案的通知》榕环保综</w:t>
      </w:r>
      <w:r>
        <w:rPr>
          <w:rFonts w:hint="eastAsia"/>
          <w:color w:val="auto"/>
          <w:highlight w:val="none"/>
          <w:lang w:val="en-US" w:eastAsia="zh-CN"/>
        </w:rPr>
        <w:t>〔2018〕</w:t>
      </w:r>
      <w:r>
        <w:rPr>
          <w:rFonts w:hint="default"/>
          <w:color w:val="auto"/>
          <w:highlight w:val="none"/>
          <w:lang w:val="en-US" w:eastAsia="zh-CN"/>
        </w:rPr>
        <w:t>386号：VOCs排放实行区域内倍量替代，新、改扩建涉VOCs排放项目，应从源头加强控制，使用低</w:t>
      </w:r>
      <w:r>
        <w:rPr>
          <w:rFonts w:hint="eastAsia"/>
          <w:color w:val="auto"/>
          <w:highlight w:val="none"/>
          <w:lang w:val="en-US" w:eastAsia="zh-CN"/>
        </w:rPr>
        <w:t>（</w:t>
      </w:r>
      <w:r>
        <w:rPr>
          <w:rFonts w:hint="default"/>
          <w:color w:val="auto"/>
          <w:highlight w:val="none"/>
          <w:lang w:val="en-US" w:eastAsia="zh-CN"/>
        </w:rPr>
        <w:t>无</w:t>
      </w:r>
      <w:r>
        <w:rPr>
          <w:rFonts w:hint="eastAsia"/>
          <w:color w:val="auto"/>
          <w:highlight w:val="none"/>
          <w:lang w:val="en-US" w:eastAsia="zh-CN"/>
        </w:rPr>
        <w:t>）</w:t>
      </w:r>
      <w:r>
        <w:rPr>
          <w:rFonts w:hint="default"/>
          <w:color w:val="auto"/>
          <w:highlight w:val="none"/>
          <w:lang w:val="en-US" w:eastAsia="zh-CN"/>
        </w:rPr>
        <w:t>VOCs含量的原辅材料，加强废气收集、安装高效治理设施。</w:t>
      </w:r>
      <w:r>
        <w:rPr>
          <w:rFonts w:hint="eastAsia"/>
          <w:color w:val="auto"/>
          <w:highlight w:val="none"/>
          <w:lang w:val="en-US" w:eastAsia="zh-CN"/>
        </w:rPr>
        <w:t>VOCs（非甲烷总烃）总量（6.16t/a）需要通过区域调剂来获得。最终的总量控制指标以本报告表报批生态环境主管部门后核定的总量为准（总量承诺函见附件10）。</w:t>
      </w:r>
    </w:p>
    <w:p w14:paraId="679371C5">
      <w:pPr>
        <w:pStyle w:val="3"/>
        <w:numPr>
          <w:ilvl w:val="0"/>
          <w:numId w:val="0"/>
        </w:numPr>
        <w:bidi w:val="0"/>
        <w:rPr>
          <w:color w:val="auto"/>
          <w:highlight w:val="none"/>
        </w:rPr>
      </w:pPr>
      <w:bookmarkStart w:id="1219" w:name="_Toc13107"/>
      <w:bookmarkStart w:id="1220" w:name="_Toc23107"/>
      <w:bookmarkStart w:id="1221" w:name="_Toc19799"/>
      <w:bookmarkStart w:id="1222" w:name="_Toc10274"/>
      <w:bookmarkStart w:id="1223" w:name="_Toc15348"/>
      <w:bookmarkStart w:id="1224" w:name="_Toc23566"/>
      <w:bookmarkStart w:id="1225" w:name="_Toc17228"/>
      <w:bookmarkStart w:id="1226" w:name="_Toc1365"/>
      <w:bookmarkStart w:id="1227" w:name="_Toc5910"/>
      <w:r>
        <w:rPr>
          <w:rFonts w:hint="eastAsia"/>
          <w:color w:val="auto"/>
          <w:highlight w:val="none"/>
          <w:lang w:val="en-US" w:eastAsia="zh-CN"/>
        </w:rPr>
        <w:t xml:space="preserve">9.6 </w:t>
      </w:r>
      <w:r>
        <w:rPr>
          <w:color w:val="auto"/>
          <w:highlight w:val="none"/>
        </w:rPr>
        <w:t>排污口规范化建设</w:t>
      </w:r>
      <w:bookmarkEnd w:id="1219"/>
      <w:bookmarkEnd w:id="1220"/>
      <w:bookmarkEnd w:id="1221"/>
      <w:bookmarkEnd w:id="1222"/>
      <w:bookmarkEnd w:id="1223"/>
      <w:bookmarkEnd w:id="1224"/>
      <w:bookmarkEnd w:id="1225"/>
      <w:bookmarkEnd w:id="1226"/>
      <w:bookmarkEnd w:id="1227"/>
    </w:p>
    <w:p w14:paraId="5F12E7C4">
      <w:pPr>
        <w:bidi w:val="0"/>
        <w:rPr>
          <w:color w:val="auto"/>
          <w:highlight w:val="none"/>
        </w:rPr>
      </w:pPr>
      <w:r>
        <w:rPr>
          <w:color w:val="auto"/>
          <w:highlight w:val="none"/>
        </w:rPr>
        <w:t>排污口规范化管理体制是实施污染物排放总量控制的基础性工作之一，也是总量控制不可缺少的一部分内容。此项工作可强化污染源的现场监督检查，促进排污单位加强管理和污染源治理，实现主要污染物排放的科学化、定量化</w:t>
      </w:r>
      <w:r>
        <w:rPr>
          <w:rFonts w:hint="eastAsia"/>
          <w:color w:val="auto"/>
          <w:highlight w:val="none"/>
          <w:lang w:eastAsia="zh-CN"/>
        </w:rPr>
        <w:t>具有</w:t>
      </w:r>
      <w:r>
        <w:rPr>
          <w:color w:val="auto"/>
          <w:highlight w:val="none"/>
        </w:rPr>
        <w:t>极大的现实意义。</w:t>
      </w:r>
    </w:p>
    <w:p w14:paraId="2DBA0E7C">
      <w:pPr>
        <w:pStyle w:val="4"/>
        <w:numPr>
          <w:ilvl w:val="0"/>
          <w:numId w:val="0"/>
        </w:numPr>
        <w:tabs>
          <w:tab w:val="clear" w:pos="720"/>
        </w:tabs>
        <w:bidi w:val="0"/>
        <w:rPr>
          <w:rFonts w:ascii="Times New Roman" w:hAnsi="Times New Roman" w:cs="Times New Roman"/>
          <w:b w:val="0"/>
          <w:bCs w:val="0"/>
          <w:color w:val="auto"/>
          <w:highlight w:val="none"/>
        </w:rPr>
      </w:pPr>
      <w:bookmarkStart w:id="1228" w:name="_Toc27399"/>
      <w:bookmarkStart w:id="1229" w:name="_Toc264"/>
      <w:bookmarkStart w:id="1230" w:name="_Toc30229"/>
      <w:bookmarkStart w:id="1231" w:name="_Toc21417"/>
      <w:bookmarkStart w:id="1232" w:name="_Toc1952"/>
      <w:bookmarkStart w:id="1233" w:name="_Toc14987"/>
      <w:bookmarkStart w:id="1234" w:name="_Toc10847"/>
      <w:bookmarkStart w:id="1235" w:name="_Toc17914"/>
      <w:bookmarkStart w:id="1236" w:name="_Toc6050"/>
      <w:r>
        <w:rPr>
          <w:rFonts w:hint="eastAsia"/>
          <w:color w:val="auto"/>
          <w:highlight w:val="none"/>
          <w:lang w:val="en-US" w:eastAsia="zh-CN"/>
        </w:rPr>
        <w:t xml:space="preserve">9.6.1 </w:t>
      </w:r>
      <w:r>
        <w:rPr>
          <w:color w:val="auto"/>
          <w:highlight w:val="none"/>
        </w:rPr>
        <w:t>排污口规范化要求的依据</w:t>
      </w:r>
      <w:bookmarkEnd w:id="1228"/>
      <w:bookmarkEnd w:id="1229"/>
      <w:bookmarkEnd w:id="1230"/>
      <w:bookmarkEnd w:id="1231"/>
      <w:bookmarkEnd w:id="1232"/>
      <w:bookmarkEnd w:id="1233"/>
      <w:bookmarkEnd w:id="1234"/>
      <w:bookmarkEnd w:id="1235"/>
      <w:bookmarkEnd w:id="1236"/>
    </w:p>
    <w:p w14:paraId="726BFBDE">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《关于开展排污口规范化整治工作的通知》</w:t>
      </w:r>
      <w:r>
        <w:rPr>
          <w:rFonts w:hint="eastAsia"/>
          <w:color w:val="auto"/>
          <w:highlight w:val="none"/>
          <w:lang w:eastAsia="zh-CN"/>
        </w:rPr>
        <w:t>，</w:t>
      </w:r>
      <w:r>
        <w:rPr>
          <w:rFonts w:hint="eastAsia"/>
          <w:color w:val="auto"/>
          <w:highlight w:val="none"/>
          <w:lang w:val="en-US" w:eastAsia="zh-CN"/>
        </w:rPr>
        <w:t>原</w:t>
      </w:r>
      <w:r>
        <w:rPr>
          <w:color w:val="auto"/>
          <w:highlight w:val="none"/>
        </w:rPr>
        <w:t>国家环境保护总局</w:t>
      </w:r>
      <w:r>
        <w:rPr>
          <w:rFonts w:hint="eastAsia"/>
          <w:color w:val="auto"/>
          <w:highlight w:val="none"/>
          <w:lang w:val="en-US" w:eastAsia="zh-CN"/>
        </w:rPr>
        <w:t>（中华人民共和国生态环境部）</w:t>
      </w:r>
      <w:r>
        <w:rPr>
          <w:color w:val="auto"/>
          <w:highlight w:val="none"/>
        </w:rPr>
        <w:t>，环发</w:t>
      </w:r>
      <w:r>
        <w:rPr>
          <w:rFonts w:hint="eastAsia"/>
          <w:color w:val="auto"/>
          <w:highlight w:val="none"/>
          <w:lang w:eastAsia="zh-CN"/>
        </w:rPr>
        <w:t>〔1999〕24号</w:t>
      </w:r>
      <w:r>
        <w:rPr>
          <w:color w:val="auto"/>
          <w:highlight w:val="none"/>
        </w:rPr>
        <w:t>；</w:t>
      </w:r>
    </w:p>
    <w:p w14:paraId="4FA31E4B">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《排污口规范化整治技术》</w:t>
      </w:r>
      <w:r>
        <w:rPr>
          <w:rFonts w:hint="eastAsia"/>
          <w:color w:val="auto"/>
          <w:highlight w:val="none"/>
          <w:lang w:eastAsia="zh-CN"/>
        </w:rPr>
        <w:t>，</w:t>
      </w:r>
      <w:r>
        <w:rPr>
          <w:rFonts w:hint="eastAsia"/>
          <w:color w:val="auto"/>
          <w:highlight w:val="none"/>
          <w:lang w:val="en-US" w:eastAsia="zh-CN"/>
        </w:rPr>
        <w:t>原</w:t>
      </w:r>
      <w:r>
        <w:rPr>
          <w:color w:val="auto"/>
          <w:highlight w:val="none"/>
        </w:rPr>
        <w:t>国家环境保护总局</w:t>
      </w:r>
      <w:r>
        <w:rPr>
          <w:rFonts w:hint="eastAsia"/>
          <w:color w:val="auto"/>
          <w:highlight w:val="none"/>
          <w:lang w:val="en-US" w:eastAsia="zh-CN"/>
        </w:rPr>
        <w:t>（中华人民共和国生态环境部）</w:t>
      </w:r>
      <w:r>
        <w:rPr>
          <w:color w:val="auto"/>
          <w:highlight w:val="none"/>
        </w:rPr>
        <w:t>，环发</w:t>
      </w:r>
      <w:r>
        <w:rPr>
          <w:rFonts w:hint="eastAsia"/>
          <w:color w:val="auto"/>
          <w:highlight w:val="none"/>
          <w:lang w:eastAsia="zh-CN"/>
        </w:rPr>
        <w:t>〔1999〕24号</w:t>
      </w:r>
      <w:r>
        <w:rPr>
          <w:color w:val="auto"/>
          <w:highlight w:val="none"/>
        </w:rPr>
        <w:t>；</w:t>
      </w:r>
    </w:p>
    <w:p w14:paraId="0CF01E65">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《关于开展排污口规范化整治工作的通知》</w:t>
      </w:r>
      <w:r>
        <w:rPr>
          <w:rFonts w:hint="eastAsia"/>
          <w:color w:val="auto"/>
          <w:highlight w:val="none"/>
          <w:lang w:eastAsia="zh-CN"/>
        </w:rPr>
        <w:t>，</w:t>
      </w:r>
      <w:r>
        <w:rPr>
          <w:rFonts w:hint="eastAsia"/>
          <w:color w:val="auto"/>
          <w:highlight w:val="none"/>
          <w:lang w:val="en-US" w:eastAsia="zh-CN"/>
        </w:rPr>
        <w:t>原</w:t>
      </w:r>
      <w:r>
        <w:rPr>
          <w:color w:val="auto"/>
          <w:highlight w:val="none"/>
        </w:rPr>
        <w:t>福建省环境保护局</w:t>
      </w:r>
      <w:r>
        <w:rPr>
          <w:rFonts w:hint="eastAsia"/>
          <w:color w:val="auto"/>
          <w:highlight w:val="none"/>
          <w:lang w:val="en-US" w:eastAsia="zh-CN"/>
        </w:rPr>
        <w:t>（福建省生态环境厅）</w:t>
      </w:r>
      <w:r>
        <w:rPr>
          <w:color w:val="auto"/>
          <w:highlight w:val="none"/>
        </w:rPr>
        <w:t>，闽环保</w:t>
      </w:r>
      <w:r>
        <w:rPr>
          <w:rFonts w:hint="eastAsia"/>
          <w:color w:val="auto"/>
          <w:highlight w:val="none"/>
          <w:lang w:eastAsia="zh-CN"/>
        </w:rPr>
        <w:t>〔</w:t>
      </w:r>
      <w:r>
        <w:rPr>
          <w:color w:val="auto"/>
          <w:highlight w:val="none"/>
        </w:rPr>
        <w:t>1999</w:t>
      </w:r>
      <w:r>
        <w:rPr>
          <w:rFonts w:hint="eastAsia"/>
          <w:color w:val="auto"/>
          <w:highlight w:val="none"/>
          <w:lang w:eastAsia="zh-CN"/>
        </w:rPr>
        <w:t>〕</w:t>
      </w:r>
      <w:r>
        <w:rPr>
          <w:color w:val="auto"/>
          <w:highlight w:val="none"/>
        </w:rPr>
        <w:t>理3号；</w:t>
      </w:r>
    </w:p>
    <w:p w14:paraId="5BEDD216">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《福建省污染物排放口规范化整治补充技术要求》，</w:t>
      </w:r>
      <w:r>
        <w:rPr>
          <w:rFonts w:hint="eastAsia"/>
          <w:color w:val="auto"/>
          <w:highlight w:val="none"/>
          <w:lang w:val="en-US" w:eastAsia="zh-CN"/>
        </w:rPr>
        <w:t>原</w:t>
      </w:r>
      <w:r>
        <w:rPr>
          <w:color w:val="auto"/>
          <w:highlight w:val="none"/>
        </w:rPr>
        <w:t>福建省环境保护局</w:t>
      </w:r>
      <w:r>
        <w:rPr>
          <w:rFonts w:hint="eastAsia"/>
          <w:color w:val="auto"/>
          <w:highlight w:val="none"/>
          <w:lang w:val="en-US" w:eastAsia="zh-CN"/>
        </w:rPr>
        <w:t>（福建省生态环境厅）</w:t>
      </w:r>
      <w:r>
        <w:rPr>
          <w:color w:val="auto"/>
          <w:highlight w:val="none"/>
        </w:rPr>
        <w:t>，闽环保</w:t>
      </w:r>
      <w:r>
        <w:rPr>
          <w:rFonts w:hint="eastAsia"/>
          <w:color w:val="auto"/>
          <w:highlight w:val="none"/>
          <w:lang w:eastAsia="zh-CN"/>
        </w:rPr>
        <w:t>〔</w:t>
      </w:r>
      <w:r>
        <w:rPr>
          <w:color w:val="auto"/>
          <w:highlight w:val="none"/>
        </w:rPr>
        <w:t>1999</w:t>
      </w:r>
      <w:r>
        <w:rPr>
          <w:rFonts w:hint="eastAsia"/>
          <w:color w:val="auto"/>
          <w:highlight w:val="none"/>
          <w:lang w:eastAsia="zh-CN"/>
        </w:rPr>
        <w:t>〕</w:t>
      </w:r>
      <w:r>
        <w:rPr>
          <w:color w:val="auto"/>
          <w:highlight w:val="none"/>
        </w:rPr>
        <w:t>理8号；</w:t>
      </w:r>
    </w:p>
    <w:p w14:paraId="15846995">
      <w:pPr>
        <w:bidi w:val="0"/>
        <w:rPr>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color w:val="auto"/>
          <w:highlight w:val="none"/>
        </w:rPr>
        <w:t>《福建省工业污染源排放口管理办法》，</w:t>
      </w:r>
      <w:r>
        <w:rPr>
          <w:rFonts w:hint="eastAsia"/>
          <w:color w:val="auto"/>
          <w:highlight w:val="none"/>
          <w:lang w:val="en-US" w:eastAsia="zh-CN"/>
        </w:rPr>
        <w:t>原</w:t>
      </w:r>
      <w:r>
        <w:rPr>
          <w:color w:val="auto"/>
          <w:highlight w:val="none"/>
        </w:rPr>
        <w:t>福建省环境保护局</w:t>
      </w:r>
      <w:r>
        <w:rPr>
          <w:rFonts w:hint="eastAsia"/>
          <w:color w:val="auto"/>
          <w:highlight w:val="none"/>
          <w:lang w:val="en-US" w:eastAsia="zh-CN"/>
        </w:rPr>
        <w:t>（福建省生态环境厅）</w:t>
      </w:r>
      <w:r>
        <w:rPr>
          <w:color w:val="auto"/>
          <w:highlight w:val="none"/>
        </w:rPr>
        <w:t>，闽环保</w:t>
      </w:r>
      <w:r>
        <w:rPr>
          <w:rFonts w:hint="eastAsia"/>
          <w:color w:val="auto"/>
          <w:highlight w:val="none"/>
          <w:lang w:eastAsia="zh-CN"/>
        </w:rPr>
        <w:t>〔</w:t>
      </w:r>
      <w:r>
        <w:rPr>
          <w:color w:val="auto"/>
          <w:highlight w:val="none"/>
        </w:rPr>
        <w:t>1999</w:t>
      </w:r>
      <w:r>
        <w:rPr>
          <w:rFonts w:hint="eastAsia"/>
          <w:color w:val="auto"/>
          <w:highlight w:val="none"/>
          <w:lang w:eastAsia="zh-CN"/>
        </w:rPr>
        <w:t>〕</w:t>
      </w:r>
      <w:r>
        <w:rPr>
          <w:color w:val="auto"/>
          <w:highlight w:val="none"/>
        </w:rPr>
        <w:t>9号。</w:t>
      </w:r>
    </w:p>
    <w:p w14:paraId="63F7A2D4">
      <w:pPr>
        <w:pStyle w:val="4"/>
        <w:numPr>
          <w:ilvl w:val="0"/>
          <w:numId w:val="0"/>
        </w:numPr>
        <w:tabs>
          <w:tab w:val="clear" w:pos="720"/>
        </w:tabs>
        <w:bidi w:val="0"/>
        <w:rPr>
          <w:rFonts w:hint="eastAsia"/>
          <w:color w:val="auto"/>
          <w:highlight w:val="none"/>
          <w:lang w:val="en-US" w:eastAsia="zh-CN"/>
        </w:rPr>
      </w:pPr>
      <w:bookmarkStart w:id="1237" w:name="_Toc15286"/>
      <w:bookmarkStart w:id="1238" w:name="_Toc19248"/>
      <w:bookmarkStart w:id="1239" w:name="_Toc27549"/>
      <w:bookmarkStart w:id="1240" w:name="_Toc10337"/>
      <w:bookmarkStart w:id="1241" w:name="_Toc20993"/>
      <w:bookmarkStart w:id="1242" w:name="_Toc5288"/>
      <w:bookmarkStart w:id="1243" w:name="_Toc13674"/>
      <w:bookmarkStart w:id="1244" w:name="_Toc19604"/>
      <w:bookmarkStart w:id="1245" w:name="_Toc6911"/>
      <w:r>
        <w:rPr>
          <w:rFonts w:hint="eastAsia"/>
          <w:color w:val="auto"/>
          <w:highlight w:val="none"/>
          <w:lang w:val="en-US" w:eastAsia="zh-CN"/>
        </w:rPr>
        <w:t>9.6.2 排污口规范化的范围和时间</w:t>
      </w:r>
      <w:bookmarkEnd w:id="1237"/>
      <w:bookmarkEnd w:id="1238"/>
      <w:bookmarkEnd w:id="1239"/>
      <w:bookmarkEnd w:id="1240"/>
      <w:bookmarkEnd w:id="1241"/>
      <w:bookmarkEnd w:id="1242"/>
      <w:bookmarkEnd w:id="1243"/>
      <w:bookmarkEnd w:id="1244"/>
      <w:bookmarkEnd w:id="1245"/>
    </w:p>
    <w:p w14:paraId="419F8D24">
      <w:pPr>
        <w:bidi w:val="0"/>
        <w:rPr>
          <w:color w:val="auto"/>
          <w:highlight w:val="none"/>
        </w:rPr>
      </w:pPr>
      <w:r>
        <w:rPr>
          <w:color w:val="auto"/>
          <w:highlight w:val="none"/>
        </w:rPr>
        <w:t>根据</w:t>
      </w:r>
      <w:r>
        <w:rPr>
          <w:rFonts w:hint="eastAsia"/>
          <w:color w:val="auto"/>
          <w:highlight w:val="none"/>
          <w:lang w:val="en-US" w:eastAsia="zh-CN"/>
        </w:rPr>
        <w:t>原</w:t>
      </w:r>
      <w:r>
        <w:rPr>
          <w:color w:val="auto"/>
          <w:highlight w:val="none"/>
        </w:rPr>
        <w:t>福建省环境保护局</w:t>
      </w:r>
      <w:r>
        <w:rPr>
          <w:rFonts w:hint="eastAsia"/>
          <w:color w:val="auto"/>
          <w:highlight w:val="none"/>
          <w:lang w:val="en-US" w:eastAsia="zh-CN"/>
        </w:rPr>
        <w:t>（福建省生态环境厅）发布</w:t>
      </w:r>
      <w:r>
        <w:rPr>
          <w:rFonts w:hint="eastAsia"/>
          <w:color w:val="auto"/>
          <w:highlight w:val="none"/>
          <w:lang w:eastAsia="zh-CN"/>
        </w:rPr>
        <w:t>“</w:t>
      </w:r>
      <w:r>
        <w:rPr>
          <w:color w:val="auto"/>
          <w:highlight w:val="none"/>
        </w:rPr>
        <w:t>关于转发《关于开展排污口规范化整治工作的通知》的通知</w:t>
      </w:r>
      <w:r>
        <w:rPr>
          <w:rFonts w:hint="eastAsia"/>
          <w:color w:val="auto"/>
          <w:highlight w:val="none"/>
          <w:lang w:eastAsia="zh-CN"/>
        </w:rPr>
        <w:t>（</w:t>
      </w:r>
      <w:r>
        <w:rPr>
          <w:color w:val="auto"/>
          <w:highlight w:val="none"/>
        </w:rPr>
        <w:t>闽环保</w:t>
      </w:r>
      <w:r>
        <w:rPr>
          <w:rFonts w:hint="eastAsia"/>
          <w:color w:val="auto"/>
          <w:highlight w:val="none"/>
          <w:lang w:eastAsia="zh-CN"/>
        </w:rPr>
        <w:t>〔</w:t>
      </w:r>
      <w:r>
        <w:rPr>
          <w:color w:val="auto"/>
          <w:highlight w:val="none"/>
        </w:rPr>
        <w:t>1999</w:t>
      </w:r>
      <w:r>
        <w:rPr>
          <w:rFonts w:hint="eastAsia"/>
          <w:color w:val="auto"/>
          <w:highlight w:val="none"/>
          <w:lang w:eastAsia="zh-CN"/>
        </w:rPr>
        <w:t>〕</w:t>
      </w:r>
      <w:r>
        <w:rPr>
          <w:color w:val="auto"/>
          <w:highlight w:val="none"/>
        </w:rPr>
        <w:t>理3号</w:t>
      </w:r>
      <w:r>
        <w:rPr>
          <w:rFonts w:hint="eastAsia"/>
          <w:color w:val="auto"/>
          <w:highlight w:val="none"/>
          <w:lang w:eastAsia="zh-CN"/>
        </w:rPr>
        <w:t>）”文件</w:t>
      </w:r>
      <w:r>
        <w:rPr>
          <w:color w:val="auto"/>
          <w:highlight w:val="none"/>
        </w:rPr>
        <w:t>的要求，一切新建、改建的排污单位以及限期治理的排污单位，必须在建设污染治理设施的同时，建设规范化排污口。因此，本工程排污口必须规范化设置和管理。规范化工作应与污染治理同步实施，即污染治理设施完工时，规范化工作必须同时完成，并列入污染治理设施的竣工验收内容。</w:t>
      </w:r>
    </w:p>
    <w:p w14:paraId="6ACF022D">
      <w:pPr>
        <w:pStyle w:val="5"/>
        <w:numPr>
          <w:ilvl w:val="0"/>
          <w:numId w:val="0"/>
        </w:numPr>
        <w:bidi w:val="0"/>
        <w:ind w:leftChars="0"/>
        <w:rPr>
          <w:rFonts w:hint="eastAsia" w:ascii="Times New Roman" w:hAnsi="Times New Roman" w:cs="Times New Roman"/>
          <w:b w:val="0"/>
          <w:bCs w:val="0"/>
          <w:color w:val="auto"/>
          <w:highlight w:val="none"/>
          <w:lang w:val="en-US" w:eastAsia="zh-CN"/>
        </w:rPr>
      </w:pPr>
      <w:r>
        <w:rPr>
          <w:rFonts w:hint="eastAsia"/>
          <w:color w:val="auto"/>
          <w:highlight w:val="none"/>
          <w:lang w:val="en-US" w:eastAsia="zh-CN"/>
        </w:rPr>
        <w:t>9.6.2.1 排污口规范化与在线监测</w:t>
      </w:r>
    </w:p>
    <w:p w14:paraId="176EED84">
      <w:pPr>
        <w:bidi w:val="0"/>
        <w:rPr>
          <w:color w:val="auto"/>
          <w:highlight w:val="none"/>
        </w:rPr>
      </w:pPr>
      <w:r>
        <w:rPr>
          <w:color w:val="auto"/>
          <w:highlight w:val="none"/>
        </w:rPr>
        <w:t>本项目需规范的排污口主要有废</w:t>
      </w:r>
      <w:r>
        <w:rPr>
          <w:rFonts w:hint="eastAsia"/>
          <w:color w:val="auto"/>
          <w:highlight w:val="none"/>
          <w:lang w:val="en-US" w:eastAsia="zh-CN"/>
        </w:rPr>
        <w:t>气</w:t>
      </w:r>
      <w:r>
        <w:rPr>
          <w:color w:val="auto"/>
          <w:highlight w:val="none"/>
        </w:rPr>
        <w:t>排放口</w:t>
      </w:r>
      <w:r>
        <w:rPr>
          <w:rFonts w:hint="eastAsia"/>
          <w:color w:val="auto"/>
          <w:highlight w:val="none"/>
          <w:lang w:eastAsia="zh-CN"/>
        </w:rPr>
        <w:t>、</w:t>
      </w:r>
      <w:r>
        <w:rPr>
          <w:rFonts w:hint="eastAsia"/>
          <w:color w:val="auto"/>
          <w:highlight w:val="none"/>
          <w:lang w:val="en-US" w:eastAsia="zh-CN"/>
        </w:rPr>
        <w:t>固体废物贮存场所</w:t>
      </w:r>
      <w:r>
        <w:rPr>
          <w:color w:val="auto"/>
          <w:highlight w:val="none"/>
        </w:rPr>
        <w:t>、高噪声源等。</w:t>
      </w:r>
    </w:p>
    <w:p w14:paraId="2EC643E4">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废气排放口：本项目各排气筒应按照《固定污染源排气中颗粒物测定与气态污染物采样方法》（GB/T16157-1996）的规定要求，在排气筒上预留永久性采样监测孔和采样平台。为便于对大气污染物排放的管理和环保行政部门的监督。</w:t>
      </w:r>
    </w:p>
    <w:p w14:paraId="00F8C388">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固体废物：各工业固体废物和</w:t>
      </w:r>
      <w:r>
        <w:rPr>
          <w:rFonts w:hint="eastAsia"/>
          <w:color w:val="auto"/>
          <w:highlight w:val="none"/>
        </w:rPr>
        <w:t>危废贮存库</w:t>
      </w:r>
      <w:r>
        <w:rPr>
          <w:color w:val="auto"/>
          <w:highlight w:val="none"/>
        </w:rPr>
        <w:t>应设置规范化标志牌。</w:t>
      </w:r>
    </w:p>
    <w:p w14:paraId="6D4EA4EC">
      <w:pPr>
        <w:bidi w:val="0"/>
        <w:rPr>
          <w:color w:val="auto"/>
          <w:highlight w:val="none"/>
        </w:rPr>
      </w:pPr>
      <w:r>
        <w:rPr>
          <w:rFonts w:hint="eastAsia"/>
          <w:color w:val="auto"/>
          <w:highlight w:val="none"/>
          <w:lang w:val="en-US" w:eastAsia="zh-CN"/>
        </w:rPr>
        <w:t>（3）噪声排放源：按规定对固定噪声进行治理，并在边界噪声敏感点、对外界影响最大处设置标志牌。</w:t>
      </w:r>
    </w:p>
    <w:p w14:paraId="714EDAAB">
      <w:pPr>
        <w:pStyle w:val="5"/>
        <w:numPr>
          <w:ilvl w:val="0"/>
          <w:numId w:val="0"/>
        </w:numPr>
        <w:bidi w:val="0"/>
        <w:ind w:leftChars="0"/>
        <w:rPr>
          <w:rFonts w:hint="eastAsia" w:ascii="Times New Roman" w:hAnsi="Times New Roman" w:cs="Times New Roman"/>
          <w:b w:val="0"/>
          <w:bCs w:val="0"/>
          <w:color w:val="auto"/>
          <w:highlight w:val="none"/>
          <w:lang w:val="en-US" w:eastAsia="zh-CN"/>
        </w:rPr>
      </w:pPr>
      <w:r>
        <w:rPr>
          <w:rFonts w:hint="eastAsia"/>
          <w:color w:val="auto"/>
          <w:highlight w:val="none"/>
          <w:lang w:val="en-US" w:eastAsia="zh-CN"/>
        </w:rPr>
        <w:t>9.6.2.2 排放口管理</w:t>
      </w:r>
    </w:p>
    <w:p w14:paraId="73136592">
      <w:pPr>
        <w:bidi w:val="0"/>
        <w:rPr>
          <w:color w:val="auto"/>
          <w:highlight w:val="none"/>
        </w:rPr>
      </w:pPr>
      <w:r>
        <w:rPr>
          <w:color w:val="auto"/>
          <w:highlight w:val="none"/>
        </w:rPr>
        <w:t>本项目应按照《关于开展排放口规范化整治工作的通知》（环发〔1999〕24号）和《排污口规范化整治技术要求（试行）》（环监〔1996〕470号）等文件要求，进行排污口规范化设置工作。</w:t>
      </w:r>
    </w:p>
    <w:p w14:paraId="406839D5">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在各排污口处设立较明显的排污口标志牌，其上应注明主要排放污染物的名称。</w:t>
      </w:r>
    </w:p>
    <w:p w14:paraId="79067C11">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如实填写《中华人民共和国规范化排污口标志登记证》的有关内容，由</w:t>
      </w:r>
      <w:r>
        <w:rPr>
          <w:rFonts w:hint="eastAsia"/>
          <w:color w:val="auto"/>
          <w:highlight w:val="none"/>
          <w:lang w:eastAsia="zh-CN"/>
        </w:rPr>
        <w:t>生态环境主管</w:t>
      </w:r>
      <w:r>
        <w:rPr>
          <w:color w:val="auto"/>
          <w:highlight w:val="none"/>
        </w:rPr>
        <w:t>部门签发登记证。</w:t>
      </w:r>
    </w:p>
    <w:p w14:paraId="22AC3518">
      <w:pPr>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将有关排污口的情况如：排污口的性质、编号、排污口的位置；主要排放的污染物种类、数量、浓度、排放规律、排放去向；污染治理设施的运行情况等进行建档管理，并报送</w:t>
      </w:r>
      <w:r>
        <w:rPr>
          <w:rFonts w:hint="eastAsia"/>
          <w:color w:val="auto"/>
          <w:highlight w:val="none"/>
          <w:lang w:eastAsia="zh-CN"/>
        </w:rPr>
        <w:t>生态环境主管</w:t>
      </w:r>
      <w:r>
        <w:rPr>
          <w:color w:val="auto"/>
          <w:highlight w:val="none"/>
        </w:rPr>
        <w:t>部门备案。</w:t>
      </w:r>
    </w:p>
    <w:p w14:paraId="0F0E6E84">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按照排污口规范管理及排放口环境保护图形标志管理有关规定，在污染物排污口或固体废物堆放场地，应设置国家统一的环境保护图形标志牌，具体设置图形见表9.</w:t>
      </w:r>
      <w:r>
        <w:rPr>
          <w:rFonts w:hint="eastAsia"/>
          <w:color w:val="auto"/>
          <w:highlight w:val="none"/>
          <w:lang w:val="en-US" w:eastAsia="zh-CN"/>
        </w:rPr>
        <w:t>6</w:t>
      </w:r>
      <w:r>
        <w:rPr>
          <w:color w:val="auto"/>
          <w:highlight w:val="none"/>
        </w:rPr>
        <w:t>-1。根据</w:t>
      </w:r>
      <w:r>
        <w:rPr>
          <w:rFonts w:hint="eastAsia"/>
          <w:color w:val="auto"/>
          <w:highlight w:val="none"/>
        </w:rPr>
        <w:t>《环境保护图形标志—排放口（源）》（GB15562.1-1995）及2023年修改单</w:t>
      </w:r>
      <w:r>
        <w:rPr>
          <w:color w:val="auto"/>
          <w:highlight w:val="none"/>
        </w:rPr>
        <w:t>实施细则，填写本工程的主要污染物；标志牌必须保持清晰、完整，发现形象损坏、颜色污染或有变化、</w:t>
      </w:r>
      <w:r>
        <w:rPr>
          <w:rFonts w:hint="eastAsia"/>
          <w:color w:val="auto"/>
          <w:highlight w:val="none"/>
          <w:lang w:eastAsia="zh-CN"/>
        </w:rPr>
        <w:t>褪色</w:t>
      </w:r>
      <w:r>
        <w:rPr>
          <w:color w:val="auto"/>
          <w:highlight w:val="none"/>
        </w:rPr>
        <w:t>等不符合图形标志标准的情况，应及时修复或更换，检查时间至少每年一次。</w:t>
      </w:r>
    </w:p>
    <w:p w14:paraId="0E5B15DF">
      <w:pPr>
        <w:bidi w:val="0"/>
        <w:rPr>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color w:val="auto"/>
          <w:highlight w:val="none"/>
        </w:rPr>
        <w:t>排放口规范化整治要遵循便于采集样品、便于监测计量、便于日常监督管理的原则，严格</w:t>
      </w:r>
      <w:r>
        <w:rPr>
          <w:rFonts w:hint="eastAsia"/>
          <w:color w:val="auto"/>
          <w:highlight w:val="none"/>
          <w:lang w:eastAsia="zh-CN"/>
        </w:rPr>
        <w:t>按照</w:t>
      </w:r>
      <w:r>
        <w:rPr>
          <w:color w:val="auto"/>
          <w:highlight w:val="none"/>
        </w:rPr>
        <w:t>排放口规范化整治技术要求进行。</w:t>
      </w:r>
    </w:p>
    <w:p w14:paraId="453B7BA3">
      <w:pPr>
        <w:bidi w:val="0"/>
        <w:rPr>
          <w:color w:val="auto"/>
          <w:highlight w:val="none"/>
        </w:rPr>
        <w:sectPr>
          <w:pgSz w:w="11906" w:h="16838"/>
          <w:pgMar w:top="1588" w:right="1418" w:bottom="1418" w:left="1701" w:header="1021" w:footer="907" w:gutter="0"/>
          <w:pgBorders w:offsetFrom="page">
            <w:top w:val="none" w:sz="0" w:space="0"/>
            <w:left w:val="none" w:sz="0" w:space="0"/>
            <w:bottom w:val="none" w:sz="0" w:space="0"/>
            <w:right w:val="none" w:sz="0" w:space="0"/>
          </w:pgBorders>
          <w:pgNumType w:fmt="decimal"/>
          <w:cols w:space="720" w:num="1"/>
          <w:docGrid w:type="lines" w:linePitch="312" w:charSpace="0"/>
        </w:sect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color w:val="auto"/>
          <w:highlight w:val="none"/>
        </w:rPr>
        <w:t>环境保护图形标志牌设置位置应距污染物排放口及固体废物堆放场或采样点较近且醒目处，设置高度一般为标志牌上缘距离地面约2m。</w:t>
      </w:r>
    </w:p>
    <w:p w14:paraId="19EBE0E6">
      <w:pPr>
        <w:pStyle w:val="8"/>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表9.</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 xml:space="preserve">-1 </w:t>
      </w:r>
      <w:r>
        <w:rPr>
          <w:rFonts w:hint="default" w:ascii="Times New Roman" w:hAnsi="Times New Roman" w:cs="Times New Roman"/>
          <w:color w:val="auto"/>
          <w:highlight w:val="none"/>
          <w:lang w:val="en-US" w:eastAsia="zh-CN"/>
        </w:rPr>
        <w:t xml:space="preserve"> 各排污口（源）标志牌及警告图形示意图</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3066"/>
        <w:gridCol w:w="3215"/>
        <w:gridCol w:w="3454"/>
        <w:gridCol w:w="3096"/>
      </w:tblGrid>
      <w:tr w14:paraId="2B5B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top w:val="single" w:color="auto" w:sz="12" w:space="0"/>
              <w:left w:val="nil"/>
            </w:tcBorders>
            <w:noWrap w:val="0"/>
            <w:vAlign w:val="top"/>
          </w:tcPr>
          <w:p w14:paraId="31C2C50D">
            <w:pPr>
              <w:pStyle w:val="1358"/>
              <w:bidi w:val="0"/>
              <w:rPr>
                <w:rFonts w:hint="eastAsia" w:eastAsia="宋体"/>
                <w:color w:val="auto"/>
                <w:highlight w:val="none"/>
                <w:lang w:val="en-US" w:eastAsia="zh-CN"/>
              </w:rPr>
            </w:pPr>
            <w:r>
              <w:rPr>
                <w:rFonts w:hint="eastAsia"/>
                <w:color w:val="auto"/>
                <w:highlight w:val="none"/>
                <w:lang w:val="en-US" w:eastAsia="zh-CN"/>
              </w:rPr>
              <w:t>排放口</w:t>
            </w:r>
          </w:p>
        </w:tc>
        <w:tc>
          <w:tcPr>
            <w:tcW w:w="3066" w:type="dxa"/>
            <w:tcBorders>
              <w:top w:val="single" w:color="auto" w:sz="12" w:space="0"/>
            </w:tcBorders>
            <w:noWrap w:val="0"/>
            <w:vAlign w:val="top"/>
          </w:tcPr>
          <w:p w14:paraId="0C3B27D9">
            <w:pPr>
              <w:pStyle w:val="1358"/>
              <w:bidi w:val="0"/>
              <w:rPr>
                <w:rFonts w:hint="default" w:eastAsia="宋体"/>
                <w:color w:val="auto"/>
                <w:highlight w:val="none"/>
                <w:lang w:val="en-US" w:eastAsia="zh-CN"/>
              </w:rPr>
            </w:pPr>
            <w:r>
              <w:rPr>
                <w:rFonts w:hint="eastAsia"/>
                <w:color w:val="auto"/>
                <w:highlight w:val="none"/>
                <w:lang w:val="en-US" w:eastAsia="zh-CN"/>
              </w:rPr>
              <w:t>废水排放口</w:t>
            </w:r>
          </w:p>
        </w:tc>
        <w:tc>
          <w:tcPr>
            <w:tcW w:w="3215" w:type="dxa"/>
            <w:tcBorders>
              <w:top w:val="single" w:color="auto" w:sz="12" w:space="0"/>
            </w:tcBorders>
            <w:noWrap w:val="0"/>
            <w:vAlign w:val="top"/>
          </w:tcPr>
          <w:p w14:paraId="5E724CC3">
            <w:pPr>
              <w:pStyle w:val="1358"/>
              <w:bidi w:val="0"/>
              <w:rPr>
                <w:rFonts w:hint="default" w:eastAsia="宋体"/>
                <w:color w:val="auto"/>
                <w:highlight w:val="none"/>
                <w:lang w:val="en-US" w:eastAsia="zh-CN"/>
              </w:rPr>
            </w:pPr>
            <w:r>
              <w:rPr>
                <w:rFonts w:hint="eastAsia"/>
                <w:color w:val="auto"/>
                <w:highlight w:val="none"/>
                <w:lang w:val="en-US" w:eastAsia="zh-CN"/>
              </w:rPr>
              <w:t>噪声排放源</w:t>
            </w:r>
          </w:p>
        </w:tc>
        <w:tc>
          <w:tcPr>
            <w:tcW w:w="3454" w:type="dxa"/>
            <w:tcBorders>
              <w:top w:val="single" w:color="auto" w:sz="12" w:space="0"/>
              <w:right w:val="nil"/>
            </w:tcBorders>
            <w:noWrap w:val="0"/>
            <w:vAlign w:val="top"/>
          </w:tcPr>
          <w:p w14:paraId="38145BED">
            <w:pPr>
              <w:pStyle w:val="1358"/>
              <w:bidi w:val="0"/>
              <w:rPr>
                <w:rFonts w:hint="default" w:eastAsia="宋体"/>
                <w:color w:val="auto"/>
                <w:highlight w:val="none"/>
                <w:lang w:val="en-US" w:eastAsia="zh-CN"/>
              </w:rPr>
            </w:pPr>
            <w:r>
              <w:rPr>
                <w:rFonts w:hint="eastAsia"/>
                <w:color w:val="auto"/>
                <w:highlight w:val="none"/>
                <w:lang w:val="en-US" w:eastAsia="zh-CN"/>
              </w:rPr>
              <w:t>固体废物提示</w:t>
            </w:r>
          </w:p>
        </w:tc>
        <w:tc>
          <w:tcPr>
            <w:tcW w:w="3096" w:type="dxa"/>
            <w:tcBorders>
              <w:top w:val="single" w:color="auto" w:sz="12" w:space="0"/>
              <w:right w:val="nil"/>
            </w:tcBorders>
            <w:noWrap w:val="0"/>
            <w:vAlign w:val="top"/>
          </w:tcPr>
          <w:p w14:paraId="185BE80B">
            <w:pPr>
              <w:pStyle w:val="1358"/>
              <w:bidi w:val="0"/>
              <w:rPr>
                <w:rFonts w:hint="default"/>
                <w:color w:val="auto"/>
                <w:highlight w:val="none"/>
                <w:lang w:val="en-US" w:eastAsia="zh-CN"/>
              </w:rPr>
            </w:pPr>
            <w:r>
              <w:rPr>
                <w:rFonts w:hint="eastAsia"/>
                <w:color w:val="auto"/>
                <w:highlight w:val="none"/>
                <w:lang w:val="en-US" w:eastAsia="zh-CN"/>
              </w:rPr>
              <w:t>/</w:t>
            </w:r>
          </w:p>
        </w:tc>
      </w:tr>
      <w:tr w14:paraId="0114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20D3B988">
            <w:pPr>
              <w:pStyle w:val="1358"/>
              <w:keepNext w:val="0"/>
              <w:keepLines w:val="0"/>
              <w:pageBreakBefore w:val="0"/>
              <w:widowControl w:val="0"/>
              <w:kinsoku/>
              <w:wordWrap/>
              <w:overflowPunct/>
              <w:topLinePunct w:val="0"/>
              <w:autoSpaceDE/>
              <w:autoSpaceDN/>
              <w:bidi w:val="0"/>
              <w:adjustRightInd w:val="0"/>
              <w:snapToGrid w:val="0"/>
              <w:spacing w:before="937" w:beforeLines="300"/>
              <w:textAlignment w:val="auto"/>
              <w:rPr>
                <w:rFonts w:hint="default" w:eastAsia="宋体"/>
                <w:color w:val="auto"/>
                <w:highlight w:val="none"/>
                <w:lang w:val="en-US" w:eastAsia="zh-CN"/>
              </w:rPr>
            </w:pPr>
            <w:r>
              <w:rPr>
                <w:rFonts w:hint="eastAsia"/>
                <w:color w:val="auto"/>
                <w:highlight w:val="none"/>
                <w:lang w:val="en-US" w:eastAsia="zh-CN"/>
              </w:rPr>
              <w:t>图形符号</w:t>
            </w:r>
          </w:p>
        </w:tc>
        <w:tc>
          <w:tcPr>
            <w:tcW w:w="3066" w:type="dxa"/>
            <w:noWrap w:val="0"/>
            <w:vAlign w:val="top"/>
          </w:tcPr>
          <w:p w14:paraId="251780C6">
            <w:pPr>
              <w:pStyle w:val="1358"/>
              <w:bidi w:val="0"/>
              <w:rPr>
                <w:color w:val="auto"/>
                <w:highlight w:val="none"/>
              </w:rPr>
            </w:pPr>
            <w:r>
              <w:rPr>
                <w:color w:val="auto"/>
                <w:highlight w:val="none"/>
              </w:rPr>
              <w:drawing>
                <wp:inline distT="0" distB="0" distL="114300" distR="114300">
                  <wp:extent cx="1903095" cy="1738630"/>
                  <wp:effectExtent l="0" t="0" r="1905" b="13970"/>
                  <wp:docPr id="117" name="图片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045"/>
                          <pic:cNvPicPr>
                            <a:picLocks noChangeAspect="1"/>
                          </pic:cNvPicPr>
                        </pic:nvPicPr>
                        <pic:blipFill>
                          <a:blip r:embed="rId101"/>
                          <a:srcRect l="3239" t="4027" r="3793" b="3561"/>
                          <a:stretch>
                            <a:fillRect/>
                          </a:stretch>
                        </pic:blipFill>
                        <pic:spPr>
                          <a:xfrm>
                            <a:off x="0" y="0"/>
                            <a:ext cx="1903095" cy="1738630"/>
                          </a:xfrm>
                          <a:prstGeom prst="rect">
                            <a:avLst/>
                          </a:prstGeom>
                          <a:noFill/>
                          <a:ln>
                            <a:noFill/>
                          </a:ln>
                        </pic:spPr>
                      </pic:pic>
                    </a:graphicData>
                  </a:graphic>
                </wp:inline>
              </w:drawing>
            </w:r>
          </w:p>
        </w:tc>
        <w:tc>
          <w:tcPr>
            <w:tcW w:w="3215" w:type="dxa"/>
            <w:noWrap w:val="0"/>
            <w:vAlign w:val="top"/>
          </w:tcPr>
          <w:p w14:paraId="701CBEB0">
            <w:pPr>
              <w:pStyle w:val="1358"/>
              <w:bidi w:val="0"/>
              <w:rPr>
                <w:color w:val="auto"/>
                <w:highlight w:val="none"/>
              </w:rPr>
            </w:pPr>
            <w:r>
              <w:rPr>
                <w:color w:val="auto"/>
                <w:highlight w:val="none"/>
              </w:rPr>
              <w:drawing>
                <wp:inline distT="0" distB="0" distL="114300" distR="114300">
                  <wp:extent cx="1841500" cy="1753870"/>
                  <wp:effectExtent l="0" t="0" r="6350" b="17780"/>
                  <wp:docPr id="118" name="图片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044"/>
                          <pic:cNvPicPr>
                            <a:picLocks noChangeAspect="1"/>
                          </pic:cNvPicPr>
                        </pic:nvPicPr>
                        <pic:blipFill>
                          <a:blip r:embed="rId102"/>
                          <a:stretch>
                            <a:fillRect/>
                          </a:stretch>
                        </pic:blipFill>
                        <pic:spPr>
                          <a:xfrm>
                            <a:off x="0" y="0"/>
                            <a:ext cx="1841500" cy="1753870"/>
                          </a:xfrm>
                          <a:prstGeom prst="rect">
                            <a:avLst/>
                          </a:prstGeom>
                          <a:noFill/>
                          <a:ln>
                            <a:noFill/>
                          </a:ln>
                        </pic:spPr>
                      </pic:pic>
                    </a:graphicData>
                  </a:graphic>
                </wp:inline>
              </w:drawing>
            </w:r>
          </w:p>
        </w:tc>
        <w:tc>
          <w:tcPr>
            <w:tcW w:w="3454" w:type="dxa"/>
            <w:tcBorders>
              <w:right w:val="nil"/>
            </w:tcBorders>
            <w:noWrap w:val="0"/>
            <w:vAlign w:val="top"/>
          </w:tcPr>
          <w:p w14:paraId="157AE5FF">
            <w:pPr>
              <w:pStyle w:val="1358"/>
              <w:bidi w:val="0"/>
              <w:rPr>
                <w:color w:val="auto"/>
                <w:highlight w:val="none"/>
              </w:rPr>
            </w:pPr>
            <w:r>
              <w:rPr>
                <w:color w:val="auto"/>
                <w:highlight w:val="none"/>
              </w:rPr>
              <w:drawing>
                <wp:inline distT="0" distB="0" distL="114300" distR="114300">
                  <wp:extent cx="1945640" cy="1770380"/>
                  <wp:effectExtent l="0" t="0" r="16510" b="1270"/>
                  <wp:docPr id="119" name="图片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059"/>
                          <pic:cNvPicPr>
                            <a:picLocks noChangeAspect="1"/>
                          </pic:cNvPicPr>
                        </pic:nvPicPr>
                        <pic:blipFill>
                          <a:blip r:embed="rId103"/>
                          <a:stretch>
                            <a:fillRect/>
                          </a:stretch>
                        </pic:blipFill>
                        <pic:spPr>
                          <a:xfrm>
                            <a:off x="0" y="0"/>
                            <a:ext cx="1945640" cy="1770380"/>
                          </a:xfrm>
                          <a:prstGeom prst="rect">
                            <a:avLst/>
                          </a:prstGeom>
                          <a:noFill/>
                          <a:ln>
                            <a:noFill/>
                          </a:ln>
                        </pic:spPr>
                      </pic:pic>
                    </a:graphicData>
                  </a:graphic>
                </wp:inline>
              </w:drawing>
            </w:r>
          </w:p>
        </w:tc>
        <w:tc>
          <w:tcPr>
            <w:tcW w:w="3096" w:type="dxa"/>
            <w:tcBorders>
              <w:right w:val="nil"/>
            </w:tcBorders>
            <w:noWrap w:val="0"/>
            <w:vAlign w:val="top"/>
          </w:tcPr>
          <w:p w14:paraId="63651237">
            <w:pPr>
              <w:pStyle w:val="1358"/>
              <w:keepNext w:val="0"/>
              <w:keepLines w:val="0"/>
              <w:pageBreakBefore w:val="0"/>
              <w:widowControl w:val="0"/>
              <w:kinsoku/>
              <w:wordWrap/>
              <w:overflowPunct/>
              <w:topLinePunct w:val="0"/>
              <w:autoSpaceDE/>
              <w:autoSpaceDN/>
              <w:bidi w:val="0"/>
              <w:adjustRightInd w:val="0"/>
              <w:snapToGrid w:val="0"/>
              <w:spacing w:before="937" w:beforeLines="300"/>
              <w:textAlignment w:val="auto"/>
              <w:rPr>
                <w:rFonts w:hint="eastAsia" w:eastAsia="宋体"/>
                <w:color w:val="auto"/>
                <w:highlight w:val="none"/>
                <w:lang w:val="en-US" w:eastAsia="zh-CN"/>
              </w:rPr>
            </w:pPr>
            <w:r>
              <w:rPr>
                <w:rFonts w:hint="eastAsia"/>
                <w:color w:val="auto"/>
                <w:highlight w:val="none"/>
                <w:lang w:val="en-US" w:eastAsia="zh-CN"/>
              </w:rPr>
              <w:t>/</w:t>
            </w:r>
          </w:p>
        </w:tc>
      </w:tr>
      <w:tr w14:paraId="2EA8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37A40360">
            <w:pPr>
              <w:pStyle w:val="1358"/>
              <w:bidi w:val="0"/>
              <w:rPr>
                <w:rFonts w:hint="default" w:eastAsia="宋体"/>
                <w:color w:val="auto"/>
                <w:highlight w:val="none"/>
                <w:lang w:val="en-US" w:eastAsia="zh-CN"/>
              </w:rPr>
            </w:pPr>
            <w:r>
              <w:rPr>
                <w:rFonts w:hint="eastAsia"/>
                <w:color w:val="auto"/>
                <w:highlight w:val="none"/>
                <w:lang w:val="en-US" w:eastAsia="zh-CN"/>
              </w:rPr>
              <w:t>背景颜色</w:t>
            </w:r>
          </w:p>
        </w:tc>
        <w:tc>
          <w:tcPr>
            <w:tcW w:w="9735" w:type="dxa"/>
            <w:gridSpan w:val="3"/>
            <w:tcBorders>
              <w:right w:val="nil"/>
            </w:tcBorders>
            <w:noWrap w:val="0"/>
            <w:vAlign w:val="top"/>
          </w:tcPr>
          <w:p w14:paraId="3C25C7B1">
            <w:pPr>
              <w:pStyle w:val="1358"/>
              <w:bidi w:val="0"/>
              <w:rPr>
                <w:color w:val="auto"/>
                <w:highlight w:val="none"/>
              </w:rPr>
            </w:pPr>
            <w:r>
              <w:rPr>
                <w:rFonts w:hint="eastAsia"/>
                <w:color w:val="auto"/>
                <w:highlight w:val="none"/>
                <w:lang w:val="en-US" w:eastAsia="zh-CN"/>
              </w:rPr>
              <w:t>绿色</w:t>
            </w:r>
          </w:p>
        </w:tc>
        <w:tc>
          <w:tcPr>
            <w:tcW w:w="3096" w:type="dxa"/>
            <w:tcBorders>
              <w:right w:val="nil"/>
            </w:tcBorders>
            <w:noWrap w:val="0"/>
            <w:vAlign w:val="top"/>
          </w:tcPr>
          <w:p w14:paraId="21EECA37">
            <w:pPr>
              <w:pStyle w:val="1358"/>
              <w:bidi w:val="0"/>
              <w:rPr>
                <w:rFonts w:hint="default"/>
                <w:color w:val="auto"/>
                <w:highlight w:val="none"/>
                <w:lang w:val="en-US" w:eastAsia="zh-CN"/>
              </w:rPr>
            </w:pPr>
            <w:r>
              <w:rPr>
                <w:rFonts w:hint="eastAsia"/>
                <w:color w:val="auto"/>
                <w:highlight w:val="none"/>
                <w:lang w:val="en-US" w:eastAsia="zh-CN"/>
              </w:rPr>
              <w:t>/</w:t>
            </w:r>
          </w:p>
        </w:tc>
      </w:tr>
      <w:tr w14:paraId="5163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48965657">
            <w:pPr>
              <w:pStyle w:val="1358"/>
              <w:bidi w:val="0"/>
              <w:rPr>
                <w:rFonts w:hint="default" w:eastAsia="宋体"/>
                <w:color w:val="auto"/>
                <w:highlight w:val="none"/>
                <w:lang w:val="en-US" w:eastAsia="zh-CN"/>
              </w:rPr>
            </w:pPr>
            <w:r>
              <w:rPr>
                <w:rFonts w:hint="eastAsia"/>
                <w:color w:val="auto"/>
                <w:highlight w:val="none"/>
                <w:lang w:val="en-US" w:eastAsia="zh-CN"/>
              </w:rPr>
              <w:t>图形颜色</w:t>
            </w:r>
          </w:p>
        </w:tc>
        <w:tc>
          <w:tcPr>
            <w:tcW w:w="9735" w:type="dxa"/>
            <w:gridSpan w:val="3"/>
            <w:tcBorders>
              <w:right w:val="nil"/>
            </w:tcBorders>
            <w:noWrap w:val="0"/>
            <w:vAlign w:val="top"/>
          </w:tcPr>
          <w:p w14:paraId="3611C9CC">
            <w:pPr>
              <w:pStyle w:val="1358"/>
              <w:bidi w:val="0"/>
              <w:rPr>
                <w:color w:val="auto"/>
                <w:highlight w:val="none"/>
              </w:rPr>
            </w:pPr>
            <w:r>
              <w:rPr>
                <w:rFonts w:hint="eastAsia"/>
                <w:color w:val="auto"/>
                <w:highlight w:val="none"/>
                <w:lang w:val="en-US" w:eastAsia="zh-CN"/>
              </w:rPr>
              <w:t>白色</w:t>
            </w:r>
          </w:p>
        </w:tc>
        <w:tc>
          <w:tcPr>
            <w:tcW w:w="3096" w:type="dxa"/>
            <w:tcBorders>
              <w:right w:val="nil"/>
            </w:tcBorders>
            <w:noWrap w:val="0"/>
            <w:vAlign w:val="top"/>
          </w:tcPr>
          <w:p w14:paraId="12ADB471">
            <w:pPr>
              <w:pStyle w:val="1358"/>
              <w:bidi w:val="0"/>
              <w:rPr>
                <w:rFonts w:hint="default"/>
                <w:color w:val="auto"/>
                <w:highlight w:val="none"/>
                <w:lang w:val="en-US" w:eastAsia="zh-CN"/>
              </w:rPr>
            </w:pPr>
            <w:r>
              <w:rPr>
                <w:rFonts w:hint="eastAsia"/>
                <w:color w:val="auto"/>
                <w:highlight w:val="none"/>
                <w:lang w:val="en-US" w:eastAsia="zh-CN"/>
              </w:rPr>
              <w:t>/</w:t>
            </w:r>
          </w:p>
        </w:tc>
      </w:tr>
      <w:tr w14:paraId="2AF4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5D962560">
            <w:pPr>
              <w:pStyle w:val="1358"/>
              <w:bidi w:val="0"/>
              <w:rPr>
                <w:rFonts w:hint="default" w:eastAsia="宋体"/>
                <w:color w:val="auto"/>
                <w:highlight w:val="none"/>
                <w:lang w:val="en-US" w:eastAsia="zh-CN"/>
              </w:rPr>
            </w:pPr>
            <w:r>
              <w:rPr>
                <w:rFonts w:hint="eastAsia"/>
                <w:color w:val="auto"/>
                <w:highlight w:val="none"/>
                <w:lang w:val="en-US" w:eastAsia="zh-CN"/>
              </w:rPr>
              <w:t>排放口</w:t>
            </w:r>
          </w:p>
        </w:tc>
        <w:tc>
          <w:tcPr>
            <w:tcW w:w="3066" w:type="dxa"/>
            <w:noWrap w:val="0"/>
            <w:vAlign w:val="top"/>
          </w:tcPr>
          <w:p w14:paraId="4763913B">
            <w:pPr>
              <w:pStyle w:val="1358"/>
              <w:bidi w:val="0"/>
              <w:ind w:firstLine="0" w:firstLineChars="0"/>
              <w:rPr>
                <w:rFonts w:hint="default" w:eastAsia="宋体"/>
                <w:color w:val="auto"/>
                <w:kern w:val="2"/>
                <w:sz w:val="21"/>
                <w:szCs w:val="24"/>
                <w:highlight w:val="none"/>
                <w:lang w:val="en-US" w:eastAsia="zh-CN" w:bidi="ar-SA"/>
              </w:rPr>
            </w:pPr>
            <w:r>
              <w:rPr>
                <w:rFonts w:hint="eastAsia"/>
                <w:color w:val="auto"/>
                <w:highlight w:val="none"/>
                <w:lang w:val="en-US" w:eastAsia="zh-CN"/>
              </w:rPr>
              <w:t>废水排放口</w:t>
            </w:r>
          </w:p>
        </w:tc>
        <w:tc>
          <w:tcPr>
            <w:tcW w:w="3215" w:type="dxa"/>
            <w:noWrap w:val="0"/>
            <w:vAlign w:val="top"/>
          </w:tcPr>
          <w:p w14:paraId="7774DBA8">
            <w:pPr>
              <w:pStyle w:val="1358"/>
              <w:bidi w:val="0"/>
              <w:ind w:firstLine="0" w:firstLineChars="0"/>
              <w:rPr>
                <w:rFonts w:hint="default" w:eastAsia="宋体"/>
                <w:color w:val="auto"/>
                <w:kern w:val="2"/>
                <w:sz w:val="21"/>
                <w:szCs w:val="24"/>
                <w:highlight w:val="none"/>
                <w:lang w:val="en-US" w:eastAsia="zh-CN" w:bidi="ar-SA"/>
              </w:rPr>
            </w:pPr>
            <w:r>
              <w:rPr>
                <w:rFonts w:hint="eastAsia"/>
                <w:color w:val="auto"/>
                <w:highlight w:val="none"/>
                <w:lang w:val="en-US" w:eastAsia="zh-CN"/>
              </w:rPr>
              <w:t>噪声排放源</w:t>
            </w:r>
          </w:p>
        </w:tc>
        <w:tc>
          <w:tcPr>
            <w:tcW w:w="3454" w:type="dxa"/>
            <w:tcBorders>
              <w:right w:val="nil"/>
            </w:tcBorders>
            <w:noWrap w:val="0"/>
            <w:vAlign w:val="top"/>
          </w:tcPr>
          <w:p w14:paraId="3772DBFE">
            <w:pPr>
              <w:pStyle w:val="1358"/>
              <w:bidi w:val="0"/>
              <w:ind w:firstLine="0" w:firstLineChars="0"/>
              <w:rPr>
                <w:rFonts w:hint="default" w:eastAsia="宋体"/>
                <w:color w:val="auto"/>
                <w:kern w:val="2"/>
                <w:sz w:val="21"/>
                <w:szCs w:val="24"/>
                <w:highlight w:val="none"/>
                <w:lang w:val="en-US" w:eastAsia="zh-CN" w:bidi="ar-SA"/>
              </w:rPr>
            </w:pPr>
            <w:r>
              <w:rPr>
                <w:rFonts w:hint="eastAsia"/>
                <w:color w:val="auto"/>
                <w:highlight w:val="none"/>
                <w:lang w:val="en-US" w:eastAsia="zh-CN"/>
              </w:rPr>
              <w:t>固体废物提示</w:t>
            </w:r>
          </w:p>
        </w:tc>
        <w:tc>
          <w:tcPr>
            <w:tcW w:w="3096" w:type="dxa"/>
            <w:tcBorders>
              <w:right w:val="nil"/>
            </w:tcBorders>
            <w:noWrap w:val="0"/>
            <w:vAlign w:val="top"/>
          </w:tcPr>
          <w:p w14:paraId="422128DA">
            <w:pPr>
              <w:pStyle w:val="1358"/>
              <w:bidi w:val="0"/>
              <w:ind w:firstLine="0" w:firstLineChars="0"/>
              <w:rPr>
                <w:rFonts w:hint="default"/>
                <w:color w:val="auto"/>
                <w:highlight w:val="none"/>
                <w:lang w:val="en-US" w:eastAsia="zh-CN"/>
              </w:rPr>
            </w:pPr>
            <w:r>
              <w:rPr>
                <w:rFonts w:hint="eastAsia"/>
                <w:color w:val="auto"/>
                <w:highlight w:val="none"/>
                <w:lang w:val="en-US" w:eastAsia="zh-CN"/>
              </w:rPr>
              <w:t>危险废物贮存区</w:t>
            </w:r>
          </w:p>
        </w:tc>
      </w:tr>
      <w:tr w14:paraId="4145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1D66316B">
            <w:pPr>
              <w:pStyle w:val="1358"/>
              <w:keepNext w:val="0"/>
              <w:keepLines w:val="0"/>
              <w:pageBreakBefore w:val="0"/>
              <w:widowControl w:val="0"/>
              <w:kinsoku/>
              <w:wordWrap/>
              <w:overflowPunct/>
              <w:topLinePunct w:val="0"/>
              <w:autoSpaceDE/>
              <w:autoSpaceDN/>
              <w:bidi w:val="0"/>
              <w:adjustRightInd w:val="0"/>
              <w:snapToGrid w:val="0"/>
              <w:spacing w:before="937" w:beforeLines="300"/>
              <w:textAlignment w:val="auto"/>
              <w:rPr>
                <w:rFonts w:hint="eastAsia"/>
                <w:color w:val="auto"/>
                <w:highlight w:val="none"/>
                <w:lang w:val="en-US" w:eastAsia="zh-CN"/>
              </w:rPr>
            </w:pPr>
            <w:r>
              <w:rPr>
                <w:rFonts w:hint="eastAsia"/>
                <w:color w:val="auto"/>
                <w:highlight w:val="none"/>
                <w:lang w:val="en-US" w:eastAsia="zh-CN"/>
              </w:rPr>
              <w:t>图形符号</w:t>
            </w:r>
          </w:p>
        </w:tc>
        <w:tc>
          <w:tcPr>
            <w:tcW w:w="3066" w:type="dxa"/>
            <w:noWrap w:val="0"/>
            <w:vAlign w:val="top"/>
          </w:tcPr>
          <w:p w14:paraId="45B4179B">
            <w:pPr>
              <w:pStyle w:val="1358"/>
              <w:bidi w:val="0"/>
              <w:ind w:firstLine="0" w:firstLineChars="0"/>
              <w:rPr>
                <w:rFonts w:hint="eastAsia"/>
                <w:color w:val="auto"/>
                <w:highlight w:val="none"/>
                <w:lang w:val="en-US" w:eastAsia="zh-CN"/>
              </w:rPr>
            </w:pPr>
            <w:r>
              <w:rPr>
                <w:color w:val="auto"/>
                <w:highlight w:val="none"/>
              </w:rPr>
              <w:drawing>
                <wp:inline distT="0" distB="0" distL="114300" distR="114300">
                  <wp:extent cx="1759585" cy="1650365"/>
                  <wp:effectExtent l="0" t="0" r="12065" b="6985"/>
                  <wp:docPr id="120" name="图片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043"/>
                          <pic:cNvPicPr>
                            <a:picLocks noChangeAspect="1"/>
                          </pic:cNvPicPr>
                        </pic:nvPicPr>
                        <pic:blipFill>
                          <a:blip r:embed="rId104"/>
                          <a:stretch>
                            <a:fillRect/>
                          </a:stretch>
                        </pic:blipFill>
                        <pic:spPr>
                          <a:xfrm>
                            <a:off x="0" y="0"/>
                            <a:ext cx="1759585" cy="1650365"/>
                          </a:xfrm>
                          <a:prstGeom prst="rect">
                            <a:avLst/>
                          </a:prstGeom>
                          <a:noFill/>
                          <a:ln>
                            <a:noFill/>
                          </a:ln>
                        </pic:spPr>
                      </pic:pic>
                    </a:graphicData>
                  </a:graphic>
                </wp:inline>
              </w:drawing>
            </w:r>
          </w:p>
        </w:tc>
        <w:tc>
          <w:tcPr>
            <w:tcW w:w="3215" w:type="dxa"/>
            <w:noWrap w:val="0"/>
            <w:vAlign w:val="top"/>
          </w:tcPr>
          <w:p w14:paraId="1FFBB58D">
            <w:pPr>
              <w:pStyle w:val="1358"/>
              <w:bidi w:val="0"/>
              <w:ind w:firstLine="0" w:firstLineChars="0"/>
              <w:rPr>
                <w:rFonts w:hint="eastAsia"/>
                <w:color w:val="auto"/>
                <w:highlight w:val="none"/>
                <w:lang w:val="en-US" w:eastAsia="zh-CN"/>
              </w:rPr>
            </w:pPr>
            <w:r>
              <w:rPr>
                <w:color w:val="auto"/>
                <w:highlight w:val="none"/>
              </w:rPr>
              <w:drawing>
                <wp:inline distT="0" distB="0" distL="114300" distR="114300">
                  <wp:extent cx="1802130" cy="1663065"/>
                  <wp:effectExtent l="0" t="0" r="7620" b="13335"/>
                  <wp:docPr id="121" name="图片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056"/>
                          <pic:cNvPicPr>
                            <a:picLocks noChangeAspect="1"/>
                          </pic:cNvPicPr>
                        </pic:nvPicPr>
                        <pic:blipFill>
                          <a:blip r:embed="rId105"/>
                          <a:stretch>
                            <a:fillRect/>
                          </a:stretch>
                        </pic:blipFill>
                        <pic:spPr>
                          <a:xfrm>
                            <a:off x="0" y="0"/>
                            <a:ext cx="1802130" cy="1663065"/>
                          </a:xfrm>
                          <a:prstGeom prst="rect">
                            <a:avLst/>
                          </a:prstGeom>
                          <a:noFill/>
                          <a:ln>
                            <a:noFill/>
                          </a:ln>
                        </pic:spPr>
                      </pic:pic>
                    </a:graphicData>
                  </a:graphic>
                </wp:inline>
              </w:drawing>
            </w:r>
          </w:p>
        </w:tc>
        <w:tc>
          <w:tcPr>
            <w:tcW w:w="3454" w:type="dxa"/>
            <w:tcBorders>
              <w:right w:val="nil"/>
            </w:tcBorders>
            <w:noWrap w:val="0"/>
            <w:vAlign w:val="top"/>
          </w:tcPr>
          <w:p w14:paraId="232D7E10">
            <w:pPr>
              <w:pStyle w:val="1358"/>
              <w:bidi w:val="0"/>
              <w:ind w:firstLine="0" w:firstLineChars="0"/>
              <w:rPr>
                <w:rFonts w:hint="eastAsia"/>
                <w:color w:val="auto"/>
                <w:highlight w:val="none"/>
                <w:lang w:val="en-US" w:eastAsia="zh-CN"/>
              </w:rPr>
            </w:pPr>
            <w:r>
              <w:rPr>
                <w:color w:val="auto"/>
                <w:highlight w:val="none"/>
              </w:rPr>
              <w:drawing>
                <wp:inline distT="0" distB="0" distL="114300" distR="114300">
                  <wp:extent cx="1978660" cy="1635760"/>
                  <wp:effectExtent l="0" t="0" r="2540" b="2540"/>
                  <wp:docPr id="122" name="图片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058"/>
                          <pic:cNvPicPr>
                            <a:picLocks noChangeAspect="1"/>
                          </pic:cNvPicPr>
                        </pic:nvPicPr>
                        <pic:blipFill>
                          <a:blip r:embed="rId106"/>
                          <a:stretch>
                            <a:fillRect/>
                          </a:stretch>
                        </pic:blipFill>
                        <pic:spPr>
                          <a:xfrm>
                            <a:off x="0" y="0"/>
                            <a:ext cx="1978660" cy="1635760"/>
                          </a:xfrm>
                          <a:prstGeom prst="rect">
                            <a:avLst/>
                          </a:prstGeom>
                          <a:noFill/>
                          <a:ln>
                            <a:noFill/>
                          </a:ln>
                        </pic:spPr>
                      </pic:pic>
                    </a:graphicData>
                  </a:graphic>
                </wp:inline>
              </w:drawing>
            </w:r>
          </w:p>
        </w:tc>
        <w:tc>
          <w:tcPr>
            <w:tcW w:w="3096" w:type="dxa"/>
            <w:tcBorders>
              <w:right w:val="nil"/>
            </w:tcBorders>
            <w:noWrap w:val="0"/>
            <w:vAlign w:val="top"/>
          </w:tcPr>
          <w:p w14:paraId="491E262B">
            <w:pPr>
              <w:pStyle w:val="1358"/>
              <w:bidi w:val="0"/>
              <w:ind w:firstLine="0" w:firstLineChars="0"/>
              <w:rPr>
                <w:rFonts w:hint="eastAsia"/>
                <w:color w:val="auto"/>
                <w:highlight w:val="none"/>
                <w:lang w:val="en-US" w:eastAsia="zh-CN"/>
              </w:rPr>
            </w:pPr>
            <w:r>
              <w:rPr>
                <w:color w:val="auto"/>
                <w:highlight w:val="none"/>
              </w:rPr>
              <w:drawing>
                <wp:inline distT="0" distB="0" distL="114300" distR="114300">
                  <wp:extent cx="1827530" cy="1588135"/>
                  <wp:effectExtent l="0" t="0" r="1270" b="12065"/>
                  <wp:docPr id="1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
                          <pic:cNvPicPr>
                            <a:picLocks noChangeAspect="1"/>
                          </pic:cNvPicPr>
                        </pic:nvPicPr>
                        <pic:blipFill>
                          <a:blip r:embed="rId107"/>
                          <a:stretch>
                            <a:fillRect/>
                          </a:stretch>
                        </pic:blipFill>
                        <pic:spPr>
                          <a:xfrm>
                            <a:off x="0" y="0"/>
                            <a:ext cx="1827530" cy="1588135"/>
                          </a:xfrm>
                          <a:prstGeom prst="rect">
                            <a:avLst/>
                          </a:prstGeom>
                          <a:noFill/>
                          <a:ln>
                            <a:noFill/>
                          </a:ln>
                        </pic:spPr>
                      </pic:pic>
                    </a:graphicData>
                  </a:graphic>
                </wp:inline>
              </w:drawing>
            </w:r>
          </w:p>
        </w:tc>
      </w:tr>
      <w:tr w14:paraId="3E2F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tcBorders>
            <w:noWrap w:val="0"/>
            <w:vAlign w:val="top"/>
          </w:tcPr>
          <w:p w14:paraId="245882D3">
            <w:pPr>
              <w:pStyle w:val="1358"/>
              <w:bidi w:val="0"/>
              <w:ind w:firstLine="0" w:firstLineChars="0"/>
              <w:rPr>
                <w:rFonts w:hint="eastAsia" w:eastAsia="宋体"/>
                <w:color w:val="auto"/>
                <w:kern w:val="2"/>
                <w:sz w:val="21"/>
                <w:szCs w:val="24"/>
                <w:highlight w:val="none"/>
                <w:lang w:val="en-US" w:eastAsia="zh-CN" w:bidi="ar-SA"/>
              </w:rPr>
            </w:pPr>
            <w:r>
              <w:rPr>
                <w:rFonts w:hint="eastAsia"/>
                <w:color w:val="auto"/>
                <w:highlight w:val="none"/>
                <w:lang w:val="en-US" w:eastAsia="zh-CN"/>
              </w:rPr>
              <w:t>背景颜色</w:t>
            </w:r>
          </w:p>
        </w:tc>
        <w:tc>
          <w:tcPr>
            <w:tcW w:w="12831" w:type="dxa"/>
            <w:gridSpan w:val="4"/>
            <w:tcBorders>
              <w:right w:val="nil"/>
            </w:tcBorders>
            <w:noWrap w:val="0"/>
            <w:vAlign w:val="top"/>
          </w:tcPr>
          <w:p w14:paraId="305FDF3F">
            <w:pPr>
              <w:pStyle w:val="1358"/>
              <w:bidi w:val="0"/>
              <w:rPr>
                <w:rFonts w:hint="eastAsia"/>
                <w:color w:val="auto"/>
                <w:highlight w:val="none"/>
                <w:lang w:val="en-US" w:eastAsia="zh-CN"/>
              </w:rPr>
            </w:pPr>
            <w:r>
              <w:rPr>
                <w:rFonts w:hint="eastAsia"/>
                <w:color w:val="auto"/>
                <w:highlight w:val="none"/>
                <w:lang w:val="en-US" w:eastAsia="zh-CN"/>
              </w:rPr>
              <w:t>黄色</w:t>
            </w:r>
          </w:p>
        </w:tc>
      </w:tr>
      <w:tr w14:paraId="7147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bottom w:val="single" w:color="auto" w:sz="12" w:space="0"/>
            </w:tcBorders>
            <w:noWrap w:val="0"/>
            <w:vAlign w:val="top"/>
          </w:tcPr>
          <w:p w14:paraId="2D6A21B2">
            <w:pPr>
              <w:pStyle w:val="1358"/>
              <w:bidi w:val="0"/>
              <w:ind w:firstLine="0" w:firstLineChars="0"/>
              <w:rPr>
                <w:rFonts w:hint="eastAsia" w:eastAsia="宋体"/>
                <w:color w:val="auto"/>
                <w:kern w:val="2"/>
                <w:sz w:val="21"/>
                <w:szCs w:val="24"/>
                <w:highlight w:val="none"/>
                <w:lang w:val="en-US" w:eastAsia="zh-CN" w:bidi="ar-SA"/>
              </w:rPr>
            </w:pPr>
            <w:r>
              <w:rPr>
                <w:rFonts w:hint="eastAsia"/>
                <w:color w:val="auto"/>
                <w:highlight w:val="none"/>
                <w:lang w:val="en-US" w:eastAsia="zh-CN"/>
              </w:rPr>
              <w:t>图形颜色</w:t>
            </w:r>
          </w:p>
        </w:tc>
        <w:tc>
          <w:tcPr>
            <w:tcW w:w="12831" w:type="dxa"/>
            <w:gridSpan w:val="4"/>
            <w:tcBorders>
              <w:bottom w:val="single" w:color="auto" w:sz="12" w:space="0"/>
              <w:right w:val="nil"/>
            </w:tcBorders>
            <w:noWrap w:val="0"/>
            <w:vAlign w:val="top"/>
          </w:tcPr>
          <w:p w14:paraId="20DBB56E">
            <w:pPr>
              <w:pStyle w:val="1358"/>
              <w:bidi w:val="0"/>
              <w:rPr>
                <w:rFonts w:hint="eastAsia"/>
                <w:color w:val="auto"/>
                <w:highlight w:val="none"/>
                <w:lang w:val="en-US" w:eastAsia="zh-CN"/>
              </w:rPr>
            </w:pPr>
            <w:r>
              <w:rPr>
                <w:rFonts w:hint="eastAsia"/>
                <w:color w:val="auto"/>
                <w:highlight w:val="none"/>
                <w:lang w:val="en-US" w:eastAsia="zh-CN"/>
              </w:rPr>
              <w:t>黑色</w:t>
            </w:r>
          </w:p>
        </w:tc>
      </w:tr>
    </w:tbl>
    <w:p w14:paraId="76095CC6">
      <w:pPr>
        <w:pStyle w:val="2"/>
        <w:numPr>
          <w:ilvl w:val="0"/>
          <w:numId w:val="0"/>
        </w:numPr>
        <w:bidi w:val="0"/>
        <w:ind w:leftChars="0"/>
        <w:rPr>
          <w:color w:val="auto"/>
          <w:highlight w:val="none"/>
        </w:rPr>
        <w:sectPr>
          <w:pgSz w:w="16838" w:h="11906" w:orient="landscape"/>
          <w:pgMar w:top="1701" w:right="158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12" w:charSpace="0"/>
        </w:sectPr>
      </w:pPr>
      <w:bookmarkStart w:id="1246" w:name="_Toc5427"/>
      <w:bookmarkStart w:id="1247" w:name="_Toc24633"/>
      <w:bookmarkStart w:id="1248" w:name="_Toc16808"/>
      <w:bookmarkStart w:id="1249" w:name="_Toc5166"/>
    </w:p>
    <w:p w14:paraId="58D5D41F">
      <w:pPr>
        <w:pStyle w:val="2"/>
        <w:numPr>
          <w:ilvl w:val="0"/>
          <w:numId w:val="0"/>
        </w:numPr>
        <w:bidi w:val="0"/>
        <w:ind w:leftChars="0"/>
        <w:rPr>
          <w:color w:val="auto"/>
          <w:highlight w:val="none"/>
        </w:rPr>
      </w:pPr>
      <w:bookmarkStart w:id="1250" w:name="_Toc29499"/>
      <w:bookmarkStart w:id="1251" w:name="_Toc12303"/>
      <w:bookmarkStart w:id="1252" w:name="_Toc24964"/>
      <w:bookmarkStart w:id="1253" w:name="_Toc17682"/>
      <w:bookmarkStart w:id="1254" w:name="_Toc10192"/>
      <w:bookmarkStart w:id="1255" w:name="_Toc15382"/>
      <w:r>
        <w:rPr>
          <w:color w:val="auto"/>
          <w:highlight w:val="none"/>
        </w:rPr>
        <w:t>10</w:t>
      </w:r>
      <w:r>
        <w:rPr>
          <w:rFonts w:hint="eastAsia"/>
          <w:color w:val="auto"/>
          <w:highlight w:val="none"/>
          <w:lang w:val="en-US" w:eastAsia="zh-CN"/>
        </w:rPr>
        <w:t xml:space="preserve"> </w:t>
      </w:r>
      <w:r>
        <w:rPr>
          <w:color w:val="auto"/>
          <w:highlight w:val="none"/>
        </w:rPr>
        <w:t>结论与建议</w:t>
      </w:r>
      <w:bookmarkEnd w:id="1167"/>
      <w:bookmarkEnd w:id="1168"/>
      <w:bookmarkEnd w:id="1169"/>
      <w:bookmarkEnd w:id="1246"/>
      <w:bookmarkEnd w:id="1247"/>
      <w:bookmarkEnd w:id="1248"/>
      <w:bookmarkEnd w:id="1249"/>
      <w:bookmarkEnd w:id="1250"/>
      <w:bookmarkEnd w:id="1251"/>
      <w:bookmarkEnd w:id="1252"/>
      <w:bookmarkEnd w:id="1253"/>
      <w:bookmarkEnd w:id="1254"/>
      <w:bookmarkEnd w:id="1255"/>
    </w:p>
    <w:p w14:paraId="23174602">
      <w:pPr>
        <w:pStyle w:val="3"/>
        <w:numPr>
          <w:ilvl w:val="0"/>
          <w:numId w:val="0"/>
        </w:numPr>
        <w:bidi w:val="0"/>
        <w:rPr>
          <w:color w:val="auto"/>
          <w:highlight w:val="none"/>
        </w:rPr>
      </w:pPr>
      <w:bookmarkStart w:id="1256" w:name="_Toc359708326"/>
      <w:bookmarkEnd w:id="1256"/>
      <w:bookmarkStart w:id="1257" w:name="_Toc359709237"/>
      <w:bookmarkEnd w:id="1257"/>
      <w:bookmarkStart w:id="1258" w:name="_Toc359708701"/>
      <w:bookmarkEnd w:id="1258"/>
      <w:bookmarkStart w:id="1259" w:name="_Toc3842"/>
      <w:bookmarkStart w:id="1260" w:name="_Toc4851"/>
      <w:bookmarkStart w:id="1261" w:name="_Toc32590"/>
      <w:bookmarkStart w:id="1262" w:name="_Toc2269"/>
      <w:bookmarkStart w:id="1263" w:name="_Toc1024"/>
      <w:bookmarkStart w:id="1264" w:name="_Toc27925"/>
      <w:bookmarkStart w:id="1265" w:name="_Toc10093"/>
      <w:bookmarkStart w:id="1266" w:name="_Toc24832"/>
      <w:bookmarkStart w:id="1267" w:name="_Toc22356"/>
      <w:bookmarkStart w:id="1268" w:name="_Toc6248"/>
      <w:bookmarkStart w:id="1269" w:name="_Toc373835752"/>
      <w:bookmarkStart w:id="1270" w:name="_Toc366255033"/>
      <w:bookmarkStart w:id="1271" w:name="_Toc362276201"/>
      <w:r>
        <w:rPr>
          <w:color w:val="auto"/>
          <w:highlight w:val="none"/>
        </w:rPr>
        <w:t>10.1</w:t>
      </w:r>
      <w:r>
        <w:rPr>
          <w:rFonts w:hint="eastAsia"/>
          <w:color w:val="auto"/>
          <w:highlight w:val="none"/>
          <w:lang w:val="en-US" w:eastAsia="zh-CN"/>
        </w:rPr>
        <w:t xml:space="preserve"> </w:t>
      </w:r>
      <w:r>
        <w:rPr>
          <w:color w:val="auto"/>
          <w:highlight w:val="none"/>
        </w:rPr>
        <w:t>项目概况与主要环境问题</w:t>
      </w:r>
      <w:bookmarkEnd w:id="1259"/>
      <w:bookmarkEnd w:id="1260"/>
      <w:bookmarkEnd w:id="1261"/>
      <w:bookmarkEnd w:id="1262"/>
      <w:bookmarkEnd w:id="1263"/>
      <w:bookmarkEnd w:id="1264"/>
      <w:bookmarkEnd w:id="1265"/>
      <w:bookmarkEnd w:id="1266"/>
      <w:bookmarkEnd w:id="1267"/>
      <w:bookmarkEnd w:id="1268"/>
    </w:p>
    <w:p w14:paraId="02B1E592">
      <w:pPr>
        <w:pStyle w:val="4"/>
        <w:numPr>
          <w:ilvl w:val="0"/>
          <w:numId w:val="0"/>
        </w:numPr>
        <w:tabs>
          <w:tab w:val="clear" w:pos="720"/>
        </w:tabs>
        <w:bidi w:val="0"/>
        <w:rPr>
          <w:rStyle w:val="148"/>
          <w:b/>
          <w:bCs/>
          <w:color w:val="auto"/>
          <w:highlight w:val="none"/>
        </w:rPr>
      </w:pPr>
      <w:bookmarkStart w:id="1272" w:name="_Toc17706"/>
      <w:bookmarkStart w:id="1273" w:name="_Toc2234"/>
      <w:bookmarkStart w:id="1274" w:name="_Toc22999"/>
      <w:bookmarkStart w:id="1275" w:name="_Toc2570"/>
      <w:bookmarkStart w:id="1276" w:name="_Toc26519"/>
      <w:bookmarkStart w:id="1277" w:name="_Toc19831"/>
      <w:bookmarkStart w:id="1278" w:name="_Toc13490"/>
      <w:bookmarkStart w:id="1279" w:name="_Toc13668"/>
      <w:bookmarkStart w:id="1280" w:name="_Toc3678"/>
      <w:r>
        <w:rPr>
          <w:color w:val="auto"/>
          <w:highlight w:val="none"/>
        </w:rPr>
        <w:t>10.1.1</w:t>
      </w:r>
      <w:r>
        <w:rPr>
          <w:rFonts w:hint="eastAsia"/>
          <w:color w:val="auto"/>
          <w:highlight w:val="none"/>
          <w:lang w:val="en-US" w:eastAsia="zh-CN"/>
        </w:rPr>
        <w:t xml:space="preserve"> </w:t>
      </w:r>
      <w:r>
        <w:rPr>
          <w:color w:val="auto"/>
          <w:highlight w:val="none"/>
        </w:rPr>
        <w:t>项目概况</w:t>
      </w:r>
      <w:bookmarkEnd w:id="1269"/>
      <w:bookmarkEnd w:id="1270"/>
      <w:bookmarkEnd w:id="1271"/>
      <w:bookmarkEnd w:id="1272"/>
      <w:bookmarkEnd w:id="1273"/>
      <w:bookmarkEnd w:id="1274"/>
      <w:bookmarkEnd w:id="1275"/>
      <w:bookmarkEnd w:id="1276"/>
      <w:bookmarkEnd w:id="1277"/>
      <w:bookmarkEnd w:id="1278"/>
      <w:bookmarkEnd w:id="1279"/>
      <w:bookmarkEnd w:id="1280"/>
    </w:p>
    <w:p w14:paraId="0355E234">
      <w:pPr>
        <w:bidi w:val="0"/>
        <w:rPr>
          <w:rFonts w:hint="default"/>
          <w:color w:val="auto"/>
          <w:highlight w:val="none"/>
        </w:rPr>
      </w:pPr>
      <w:bookmarkStart w:id="1281" w:name="_Toc19195"/>
      <w:bookmarkStart w:id="1282" w:name="_Toc15687"/>
      <w:bookmarkStart w:id="1283" w:name="_Toc17866"/>
      <w:r>
        <w:rPr>
          <w:rFonts w:hint="default"/>
          <w:color w:val="auto"/>
          <w:highlight w:val="none"/>
        </w:rPr>
        <w:t>为迎合市场需求，推动产业集聚与升级，公司拟投资1000万元，其中环保投资</w:t>
      </w:r>
      <w:r>
        <w:rPr>
          <w:rFonts w:hint="eastAsia"/>
          <w:color w:val="auto"/>
          <w:highlight w:val="none"/>
          <w:lang w:val="en-US" w:eastAsia="zh-CN"/>
        </w:rPr>
        <w:t>175</w:t>
      </w:r>
      <w:r>
        <w:rPr>
          <w:rFonts w:hint="default"/>
          <w:color w:val="auto"/>
          <w:highlight w:val="none"/>
        </w:rPr>
        <w:t>万元，占总投资的</w:t>
      </w:r>
      <w:r>
        <w:rPr>
          <w:rFonts w:hint="eastAsia"/>
          <w:color w:val="auto"/>
          <w:highlight w:val="none"/>
          <w:lang w:val="en-US" w:eastAsia="zh-CN"/>
        </w:rPr>
        <w:t>17.5</w:t>
      </w:r>
      <w:r>
        <w:rPr>
          <w:rFonts w:hint="default"/>
          <w:color w:val="auto"/>
          <w:highlight w:val="none"/>
        </w:rPr>
        <w:t>%。企业选址于福建省福州市闽侯县青口镇祥宏南路1366号，租赁现有办公楼、A库厂房、B库厂房建设</w:t>
      </w:r>
      <w:r>
        <w:rPr>
          <w:rFonts w:hint="eastAsia"/>
          <w:color w:val="auto"/>
          <w:highlight w:val="none"/>
          <w:lang w:eastAsia="zh-CN"/>
        </w:rPr>
        <w:t>“</w:t>
      </w:r>
      <w:r>
        <w:rPr>
          <w:rFonts w:hint="default"/>
          <w:color w:val="auto"/>
          <w:highlight w:val="none"/>
        </w:rPr>
        <w:t>福州日源汽车零部件加工生产项目</w:t>
      </w:r>
      <w:r>
        <w:rPr>
          <w:rFonts w:hint="eastAsia"/>
          <w:color w:val="auto"/>
          <w:highlight w:val="none"/>
          <w:lang w:eastAsia="zh-CN"/>
        </w:rPr>
        <w:t>”</w:t>
      </w:r>
      <w:r>
        <w:rPr>
          <w:rFonts w:hint="default"/>
          <w:color w:val="auto"/>
          <w:highlight w:val="none"/>
        </w:rPr>
        <w:t>。</w:t>
      </w:r>
    </w:p>
    <w:p w14:paraId="3266128A">
      <w:pPr>
        <w:bidi w:val="0"/>
        <w:rPr>
          <w:rFonts w:hint="default"/>
          <w:color w:val="auto"/>
          <w:highlight w:val="none"/>
        </w:rPr>
      </w:pPr>
      <w:r>
        <w:rPr>
          <w:rFonts w:hint="default"/>
          <w:color w:val="auto"/>
          <w:highlight w:val="none"/>
        </w:rPr>
        <w:t>本项目租赁总建筑面积为18377.76m²，租赁建筑均为已建成的现有建筑，不新增用地、不新建厂房，项目仅在租赁厂房内进行设备安装与生产布局。生产工艺流程主要包括注塑、前处理、涂装和装配四部分，建成后年产前后保险杠总成15万套、前格栅总成15万套。项目劳动定员50人，均不住厂，采用年工作</w:t>
      </w:r>
      <w:r>
        <w:rPr>
          <w:rFonts w:hint="eastAsia"/>
          <w:color w:val="auto"/>
          <w:highlight w:val="none"/>
          <w:lang w:val="en-US" w:eastAsia="zh-CN"/>
        </w:rPr>
        <w:t>300</w:t>
      </w:r>
      <w:r>
        <w:rPr>
          <w:rFonts w:hint="default"/>
          <w:color w:val="auto"/>
          <w:highlight w:val="none"/>
        </w:rPr>
        <w:t>天、</w:t>
      </w:r>
      <w:r>
        <w:rPr>
          <w:rFonts w:hint="eastAsia"/>
          <w:color w:val="auto"/>
          <w:highlight w:val="none"/>
          <w:lang w:val="en-US" w:eastAsia="zh-CN"/>
        </w:rPr>
        <w:t>职能部门为单班制，生产部门为三</w:t>
      </w:r>
      <w:r>
        <w:rPr>
          <w:rFonts w:hint="default"/>
          <w:color w:val="auto"/>
          <w:highlight w:val="none"/>
        </w:rPr>
        <w:t>班制（每班8小时）的工作制度。</w:t>
      </w:r>
    </w:p>
    <w:p w14:paraId="4C6D5AB7">
      <w:pPr>
        <w:pStyle w:val="4"/>
        <w:numPr>
          <w:ilvl w:val="0"/>
          <w:numId w:val="0"/>
        </w:numPr>
        <w:tabs>
          <w:tab w:val="clear" w:pos="720"/>
        </w:tabs>
        <w:bidi w:val="0"/>
        <w:rPr>
          <w:color w:val="auto"/>
          <w:highlight w:val="none"/>
        </w:rPr>
      </w:pPr>
      <w:bookmarkStart w:id="1284" w:name="_Toc25914"/>
      <w:bookmarkStart w:id="1285" w:name="_Toc12479"/>
      <w:bookmarkStart w:id="1286" w:name="_Toc7878"/>
      <w:bookmarkStart w:id="1287" w:name="_Toc2499"/>
      <w:bookmarkStart w:id="1288" w:name="_Toc72"/>
      <w:bookmarkStart w:id="1289" w:name="_Toc19346"/>
      <w:r>
        <w:rPr>
          <w:color w:val="auto"/>
          <w:highlight w:val="none"/>
        </w:rPr>
        <w:t>10.1.2</w:t>
      </w:r>
      <w:r>
        <w:rPr>
          <w:rFonts w:hint="eastAsia"/>
          <w:color w:val="auto"/>
          <w:highlight w:val="none"/>
          <w:lang w:val="en-US" w:eastAsia="zh-CN"/>
        </w:rPr>
        <w:t xml:space="preserve"> </w:t>
      </w:r>
      <w:r>
        <w:rPr>
          <w:color w:val="auto"/>
          <w:highlight w:val="none"/>
        </w:rPr>
        <w:t>主要环境问题</w:t>
      </w:r>
      <w:bookmarkEnd w:id="1281"/>
      <w:bookmarkEnd w:id="1282"/>
      <w:bookmarkEnd w:id="1283"/>
      <w:bookmarkEnd w:id="1284"/>
      <w:bookmarkEnd w:id="1285"/>
      <w:bookmarkEnd w:id="1286"/>
      <w:bookmarkEnd w:id="1287"/>
      <w:bookmarkEnd w:id="1288"/>
      <w:bookmarkEnd w:id="1289"/>
    </w:p>
    <w:p w14:paraId="4D8E1A07">
      <w:pPr>
        <w:bidi w:val="0"/>
        <w:rPr>
          <w:rFonts w:hint="eastAsia"/>
          <w:color w:val="auto"/>
          <w:highlight w:val="none"/>
          <w:lang w:val="en-US" w:eastAsia="zh-CN"/>
        </w:rPr>
      </w:pPr>
      <w:bookmarkStart w:id="1290" w:name="_Toc366255034"/>
      <w:bookmarkStart w:id="1291" w:name="_Toc362276202"/>
      <w:bookmarkStart w:id="1292" w:name="_Toc373835753"/>
      <w:r>
        <w:rPr>
          <w:rFonts w:hint="eastAsia"/>
          <w:color w:val="auto"/>
          <w:highlight w:val="none"/>
          <w:lang w:val="en-US" w:eastAsia="zh-CN"/>
        </w:rPr>
        <w:t>（1）废水</w:t>
      </w:r>
    </w:p>
    <w:p w14:paraId="1286DFCE">
      <w:pPr>
        <w:bidi w:val="0"/>
        <w:rPr>
          <w:rFonts w:hint="eastAsia"/>
          <w:color w:val="auto"/>
          <w:highlight w:val="none"/>
          <w:lang w:val="en-US" w:eastAsia="zh-CN"/>
        </w:rPr>
      </w:pPr>
      <w:r>
        <w:rPr>
          <w:rFonts w:hint="eastAsia"/>
          <w:color w:val="auto"/>
          <w:highlight w:val="none"/>
          <w:lang w:val="en-US" w:eastAsia="zh-CN"/>
        </w:rPr>
        <w:t>①生活污水</w:t>
      </w:r>
    </w:p>
    <w:p w14:paraId="0A021838">
      <w:pPr>
        <w:bidi w:val="0"/>
        <w:rPr>
          <w:rFonts w:hint="eastAsia"/>
          <w:color w:val="auto"/>
          <w:highlight w:val="none"/>
          <w:lang w:val="en-US" w:eastAsia="zh-CN"/>
        </w:rPr>
      </w:pPr>
      <w:r>
        <w:rPr>
          <w:rFonts w:hint="eastAsia"/>
          <w:color w:val="auto"/>
          <w:highlight w:val="none"/>
          <w:lang w:val="en-US" w:eastAsia="zh-CN"/>
        </w:rPr>
        <w:t>生活污水主要来源于员工办公及生活。生活污水经出租方已建化粪池处理后，纳入市政污水管网，排入青口汽车工业开发区污水处理厂进一步处理。评价主要关注生活污水纳管的可靠性及依托化粪池的处理能力。</w:t>
      </w:r>
    </w:p>
    <w:p w14:paraId="5E5E45E6">
      <w:pPr>
        <w:bidi w:val="0"/>
        <w:rPr>
          <w:rFonts w:hint="eastAsia"/>
          <w:color w:val="auto"/>
          <w:highlight w:val="none"/>
          <w:lang w:val="en-US" w:eastAsia="zh-CN"/>
        </w:rPr>
      </w:pPr>
      <w:r>
        <w:rPr>
          <w:rFonts w:hint="eastAsia"/>
          <w:color w:val="auto"/>
          <w:highlight w:val="none"/>
          <w:lang w:val="en-US" w:eastAsia="zh-CN"/>
        </w:rPr>
        <w:t>②生产废水</w:t>
      </w:r>
    </w:p>
    <w:p w14:paraId="18836161">
      <w:pPr>
        <w:bidi w:val="0"/>
        <w:rPr>
          <w:rFonts w:hint="eastAsia"/>
          <w:color w:val="auto"/>
          <w:highlight w:val="none"/>
          <w:lang w:val="en-US" w:eastAsia="zh-CN"/>
        </w:rPr>
      </w:pPr>
      <w:r>
        <w:rPr>
          <w:rFonts w:hint="eastAsia"/>
          <w:color w:val="auto"/>
          <w:highlight w:val="none"/>
          <w:lang w:val="en-US" w:eastAsia="zh-CN"/>
        </w:rPr>
        <w:t>本项目生产废水主要包括注塑冷却水、冰水机配套冷却水、热洁炉换热器冷却水、锅炉排污水及纯水制备反渗透浓水。其中，注塑冷却水、冰水机配套冷却水、热洁炉换热器冷却水均为间接冷却水，水质基本不受污染，经降温后全部循环使用，不外排，仅定期补充蒸发、风吹等损耗水量；锅炉排污水以及纯水制备反渗透浓水水质相对清洁，不含重金属及有毒有害物质。锅炉排污水经冷却降温后、反渗透浓水经厂区污水总排口接入市政污水管网。评价主要关注生产废水回用措施的可行性以及锅炉排污水、反渗透浓水达标纳管的可靠性。</w:t>
      </w:r>
    </w:p>
    <w:p w14:paraId="42E93329">
      <w:pPr>
        <w:bidi w:val="0"/>
        <w:rPr>
          <w:rFonts w:hint="eastAsia"/>
          <w:color w:val="auto"/>
          <w:highlight w:val="none"/>
          <w:lang w:val="en-US" w:eastAsia="zh-CN"/>
        </w:rPr>
      </w:pPr>
      <w:r>
        <w:rPr>
          <w:rFonts w:hint="eastAsia"/>
          <w:color w:val="auto"/>
          <w:highlight w:val="none"/>
          <w:lang w:val="en-US" w:eastAsia="zh-CN"/>
        </w:rPr>
        <w:t>（2）废气</w:t>
      </w:r>
    </w:p>
    <w:p w14:paraId="261881CF">
      <w:pPr>
        <w:bidi w:val="0"/>
        <w:rPr>
          <w:rFonts w:hint="eastAsia"/>
          <w:color w:val="auto"/>
          <w:highlight w:val="none"/>
          <w:lang w:val="en-US" w:eastAsia="zh-CN"/>
        </w:rPr>
      </w:pPr>
      <w:r>
        <w:rPr>
          <w:rFonts w:hint="eastAsia"/>
          <w:color w:val="auto"/>
          <w:highlight w:val="none"/>
          <w:lang w:val="en-US" w:eastAsia="zh-CN"/>
        </w:rPr>
        <w:t>①喷漆、流平、烘干及喷枪清洗废气</w:t>
      </w:r>
    </w:p>
    <w:p w14:paraId="06920094">
      <w:pPr>
        <w:bidi w:val="0"/>
        <w:rPr>
          <w:rFonts w:hint="eastAsia"/>
          <w:color w:val="auto"/>
          <w:highlight w:val="none"/>
          <w:lang w:val="en-US" w:eastAsia="zh-CN"/>
        </w:rPr>
      </w:pPr>
      <w:r>
        <w:rPr>
          <w:rFonts w:hint="eastAsia"/>
          <w:color w:val="auto"/>
          <w:highlight w:val="none"/>
          <w:lang w:val="en-US" w:eastAsia="zh-CN"/>
        </w:rPr>
        <w:t>喷漆室、流平室、油漆烘干室在作业过程中产生有机废气和漆雾，主要污染物为非甲烷总烃、二甲苯、乙酸丁酯及颗粒物（漆雾），喷枪清洗工序在清洗溶剂挥发过程中亦会产生少量有机废气，一并纳入本系统处理。喷漆、流平、烘干及喷枪清洗工序均在密闭设备/房内进行，废气经负压收集后统一输送至“干式纸盒+过滤棉过滤+RTO蓄热式焚烧炉”组合工艺处理，处理后经20m高排气筒（DA001）高空排放。本次评价主要关注喷漆、流平、烘干及喷枪清洗废气经治理设施处理后通过DA001排气筒有组织排放的污染物浓度及排放速率是否满足相应排放标准要求，以及各产污工序密闭空间内负压维持情况及废气收集效率，确保无组织逸散得到有效控制。</w:t>
      </w:r>
    </w:p>
    <w:p w14:paraId="02B0B73F">
      <w:pPr>
        <w:bidi w:val="0"/>
        <w:rPr>
          <w:rFonts w:hint="eastAsia"/>
          <w:color w:val="auto"/>
          <w:highlight w:val="none"/>
          <w:lang w:val="en-US" w:eastAsia="zh-CN"/>
        </w:rPr>
      </w:pPr>
      <w:r>
        <w:rPr>
          <w:rFonts w:hint="eastAsia"/>
          <w:color w:val="auto"/>
          <w:highlight w:val="none"/>
          <w:lang w:val="en-US" w:eastAsia="zh-CN"/>
        </w:rPr>
        <w:t>②调漆废气</w:t>
      </w:r>
    </w:p>
    <w:p w14:paraId="3B036FEA">
      <w:pPr>
        <w:bidi w:val="0"/>
        <w:rPr>
          <w:rFonts w:hint="eastAsia"/>
          <w:color w:val="auto"/>
          <w:highlight w:val="none"/>
          <w:lang w:val="en-US" w:eastAsia="zh-CN"/>
        </w:rPr>
      </w:pPr>
      <w:r>
        <w:rPr>
          <w:rFonts w:hint="eastAsia"/>
          <w:color w:val="auto"/>
          <w:highlight w:val="none"/>
          <w:lang w:val="en-US" w:eastAsia="zh-CN"/>
        </w:rPr>
        <w:t>调漆房在调漆过程中产生有机废气，主要污染物为非甲烷总烃、二甲苯、乙酸丁酯。调漆房设置为密闭空间，采用负压抽风方式，废气经收集处理后经20m高排气筒（DA002）高空排放。评价主要关注调漆废气有组织排放的达标性及密闭收集的有效性，以及各产污工序密闭空间内负压维持情况及废气收集效率，确保无组织逸散得到有效控制。</w:t>
      </w:r>
    </w:p>
    <w:p w14:paraId="4394D58B">
      <w:pPr>
        <w:bidi w:val="0"/>
        <w:rPr>
          <w:rFonts w:hint="eastAsia"/>
          <w:color w:val="auto"/>
          <w:highlight w:val="none"/>
          <w:lang w:val="en-US" w:eastAsia="zh-CN"/>
        </w:rPr>
      </w:pPr>
      <w:r>
        <w:rPr>
          <w:rFonts w:hint="eastAsia"/>
          <w:color w:val="auto"/>
          <w:highlight w:val="none"/>
          <w:lang w:val="en-US" w:eastAsia="zh-CN"/>
        </w:rPr>
        <w:t>③点补废气</w:t>
      </w:r>
    </w:p>
    <w:p w14:paraId="2DEF70ED">
      <w:pPr>
        <w:bidi w:val="0"/>
        <w:rPr>
          <w:rFonts w:hint="eastAsia"/>
          <w:color w:val="auto"/>
          <w:highlight w:val="none"/>
          <w:lang w:val="en-US" w:eastAsia="zh-CN"/>
        </w:rPr>
      </w:pPr>
      <w:r>
        <w:rPr>
          <w:rFonts w:hint="eastAsia"/>
          <w:color w:val="auto"/>
          <w:highlight w:val="none"/>
          <w:lang w:val="en-US" w:eastAsia="zh-CN"/>
        </w:rPr>
        <w:t>点补室在点补作业过程中产生有机废气和漆雾，主要污染物为颗粒物、非甲烷总烃、二甲苯、乙酸丁酯。点补工序设置独立密闭空间，采用负压抽风，废气经收集处理后经20m高排气筒（DA003）高空排放。评价主要关注点补废气有组织排放的达标性及密闭收集的有效性，以及各产污工序密闭空间内负压维持情况及废气收集效率，确保无组织逸散得到有效控制。</w:t>
      </w:r>
    </w:p>
    <w:p w14:paraId="1D81CD96">
      <w:pPr>
        <w:bidi w:val="0"/>
        <w:rPr>
          <w:rFonts w:hint="eastAsia"/>
          <w:color w:val="auto"/>
          <w:highlight w:val="none"/>
          <w:lang w:val="en-US" w:eastAsia="zh-CN"/>
        </w:rPr>
      </w:pPr>
      <w:r>
        <w:rPr>
          <w:rFonts w:hint="eastAsia"/>
          <w:color w:val="auto"/>
          <w:highlight w:val="none"/>
          <w:lang w:val="en-US" w:eastAsia="zh-CN"/>
        </w:rPr>
        <w:t>④注塑废气</w:t>
      </w:r>
    </w:p>
    <w:p w14:paraId="615C9516">
      <w:pPr>
        <w:bidi w:val="0"/>
        <w:rPr>
          <w:rFonts w:hint="eastAsia"/>
          <w:color w:val="auto"/>
          <w:highlight w:val="none"/>
          <w:lang w:val="en-US" w:eastAsia="zh-CN"/>
        </w:rPr>
      </w:pPr>
      <w:r>
        <w:rPr>
          <w:rFonts w:hint="eastAsia"/>
          <w:color w:val="auto"/>
          <w:highlight w:val="none"/>
          <w:lang w:val="en-US" w:eastAsia="zh-CN"/>
        </w:rPr>
        <w:t>注塑区在注塑过程中产生有机废气及伴随的臭气，主要污染物为VOCs（以非甲烷总烃计）及臭气浓度。注塑机通过集气罩收集，废气经处理后通过1根20m高排气筒（DA004）排放。评价主要关注注塑废气有组织排放的达标性及集气罩收集的有效性。</w:t>
      </w:r>
    </w:p>
    <w:p w14:paraId="21DFA2E9">
      <w:pPr>
        <w:bidi w:val="0"/>
        <w:rPr>
          <w:rFonts w:hint="eastAsia"/>
          <w:color w:val="auto"/>
          <w:highlight w:val="none"/>
          <w:lang w:val="en-US" w:eastAsia="zh-CN"/>
        </w:rPr>
      </w:pPr>
      <w:r>
        <w:rPr>
          <w:rFonts w:hint="eastAsia"/>
          <w:color w:val="auto"/>
          <w:highlight w:val="none"/>
          <w:lang w:val="en-US" w:eastAsia="zh-CN"/>
        </w:rPr>
        <w:t>⑤天然气燃烧废气</w:t>
      </w:r>
    </w:p>
    <w:p w14:paraId="2495F037">
      <w:pPr>
        <w:bidi w:val="0"/>
        <w:rPr>
          <w:rFonts w:hint="eastAsia"/>
          <w:color w:val="auto"/>
          <w:highlight w:val="none"/>
          <w:lang w:val="en-US" w:eastAsia="zh-CN"/>
        </w:rPr>
      </w:pPr>
      <w:r>
        <w:rPr>
          <w:rFonts w:hint="eastAsia"/>
          <w:color w:val="auto"/>
          <w:highlight w:val="none"/>
          <w:lang w:val="en-US" w:eastAsia="zh-CN"/>
        </w:rPr>
        <w:t>热水炉、固化炉及热洁炉以天然气为燃料，燃烧过程中产生颗粒物、二氧化硫、氮氧化物等污染物。热水炉采样低氮燃烧工艺产生的废气由不低于8m高排气筒（DA005）高空排放；固化炉采样低氮燃烧工艺产生的废气与烘干废气一并进入RTO蓄热式焚烧炉处理，RTO焚烧炉采样低氮燃烧工艺产生的废气随RTO处理后的尾气一并经20m高排气筒（DA001）高空排放；热洁炉采用低氮燃烧工艺产生的废气经不低于20m高排气筒（DA006）高空排放。本次评价主要关注各工艺经低氮燃烧处理后通过对应排气筒有组织排放的污染物浓度及排放速率是否满足相应排放标准要求。</w:t>
      </w:r>
    </w:p>
    <w:p w14:paraId="7029196D">
      <w:pPr>
        <w:bidi w:val="0"/>
        <w:rPr>
          <w:rFonts w:hint="eastAsia"/>
          <w:color w:val="auto"/>
          <w:highlight w:val="none"/>
          <w:lang w:val="en-US" w:eastAsia="zh-CN"/>
        </w:rPr>
      </w:pPr>
      <w:r>
        <w:rPr>
          <w:rFonts w:hint="eastAsia"/>
          <w:color w:val="auto"/>
          <w:highlight w:val="none"/>
          <w:lang w:val="en-US" w:eastAsia="zh-CN"/>
        </w:rPr>
        <w:t>⑥塑料粉碎废气</w:t>
      </w:r>
    </w:p>
    <w:p w14:paraId="695C84F6">
      <w:pPr>
        <w:bidi w:val="0"/>
        <w:rPr>
          <w:rFonts w:hint="eastAsia"/>
          <w:color w:val="auto"/>
          <w:highlight w:val="none"/>
          <w:lang w:val="en-US" w:eastAsia="zh-CN"/>
        </w:rPr>
      </w:pPr>
      <w:r>
        <w:rPr>
          <w:rFonts w:hint="eastAsia"/>
          <w:color w:val="auto"/>
          <w:highlight w:val="none"/>
          <w:lang w:val="en-US" w:eastAsia="zh-CN"/>
        </w:rPr>
        <w:t>粉碎机在塑料粉碎过程中产生粉尘，主要污染物为颗粒物。粉碎机上方设置集气罩，粉碎废气经布袋除尘器处理后无组织排放。评价主要关注塑料粉碎废气无组织排放的达标性及集气罩收集的有效性。</w:t>
      </w:r>
    </w:p>
    <w:p w14:paraId="527F77E0">
      <w:pPr>
        <w:bidi w:val="0"/>
        <w:rPr>
          <w:rFonts w:hint="eastAsia"/>
          <w:color w:val="auto"/>
          <w:highlight w:val="none"/>
          <w:lang w:val="en-US" w:eastAsia="zh-CN"/>
        </w:rPr>
      </w:pPr>
      <w:r>
        <w:rPr>
          <w:rFonts w:hint="eastAsia" w:ascii="宋体" w:hAnsi="宋体" w:eastAsia="宋体" w:cs="宋体"/>
          <w:color w:val="auto"/>
          <w:highlight w:val="none"/>
          <w:lang w:val="en-US" w:eastAsia="zh-CN"/>
        </w:rPr>
        <w:t>⑦</w:t>
      </w:r>
      <w:r>
        <w:rPr>
          <w:rFonts w:hint="eastAsia"/>
          <w:color w:val="auto"/>
          <w:highlight w:val="none"/>
          <w:lang w:val="en-US" w:eastAsia="zh-CN"/>
        </w:rPr>
        <w:t>热洁炉废气</w:t>
      </w:r>
    </w:p>
    <w:p w14:paraId="625E96EA">
      <w:pPr>
        <w:bidi w:val="0"/>
        <w:rPr>
          <w:rFonts w:hint="default"/>
          <w:color w:val="auto"/>
          <w:highlight w:val="none"/>
          <w:lang w:val="en-US" w:eastAsia="zh-CN"/>
        </w:rPr>
      </w:pPr>
      <w:r>
        <w:rPr>
          <w:rFonts w:hint="default"/>
          <w:color w:val="auto"/>
          <w:highlight w:val="none"/>
          <w:lang w:val="en-US" w:eastAsia="zh-CN"/>
        </w:rPr>
        <w:t>热洁炉裂解</w:t>
      </w:r>
      <w:r>
        <w:rPr>
          <w:rFonts w:hint="eastAsia"/>
          <w:color w:val="auto"/>
          <w:highlight w:val="none"/>
          <w:lang w:val="en-US" w:eastAsia="zh-CN"/>
        </w:rPr>
        <w:t>产生废气</w:t>
      </w:r>
      <w:r>
        <w:rPr>
          <w:rFonts w:hint="default"/>
          <w:color w:val="auto"/>
          <w:highlight w:val="none"/>
          <w:lang w:val="en-US" w:eastAsia="zh-CN"/>
        </w:rPr>
        <w:t>经二燃室高温氧化后经配套换热器降温后，通过不低于20m高排气筒（DA006）有组织排放。本次评价关注热洁炉排气筒中颗粒物、二氧化硫、氮氧化物及VOCs的排放浓度和排放速率是否满足相应排放标准要求。</w:t>
      </w:r>
    </w:p>
    <w:p w14:paraId="26125C3D">
      <w:pPr>
        <w:bidi w:val="0"/>
        <w:rPr>
          <w:rFonts w:hint="default"/>
          <w:color w:val="auto"/>
          <w:highlight w:val="none"/>
        </w:rPr>
      </w:pPr>
      <w:r>
        <w:rPr>
          <w:rFonts w:hint="default"/>
          <w:color w:val="auto"/>
          <w:highlight w:val="none"/>
        </w:rPr>
        <w:t>（3）噪声</w:t>
      </w:r>
    </w:p>
    <w:p w14:paraId="6CA4EA9E">
      <w:pPr>
        <w:bidi w:val="0"/>
        <w:rPr>
          <w:rFonts w:hint="default"/>
          <w:color w:val="auto"/>
          <w:highlight w:val="none"/>
        </w:rPr>
      </w:pPr>
      <w:r>
        <w:rPr>
          <w:rFonts w:hint="default"/>
          <w:color w:val="auto"/>
          <w:highlight w:val="none"/>
        </w:rPr>
        <w:t>运营期噪声主要来自注塑机组、空压机、粉碎机、喷漆循环风空调机组、风机等生产及辅助设备。项目通过合理总图布置，将高噪声设备尽量布置在车间中央或远离厂界位置；对高噪声设备安装减振基础或减振垫，设备与管道连接处采用柔性橡胶接头；对注塑机组、空压机、粉碎机、喷漆循环风空调机组、风机等安装消声器，并对高噪声设备设置隔声室或通风隔声罩，对排气管道采用包扎阻尼或埋地敷设。评价主要关注高噪声设备对厂界及周边敏感目标的声环境影响，以及降噪措施的可行性。</w:t>
      </w:r>
    </w:p>
    <w:p w14:paraId="39B84DC4">
      <w:pPr>
        <w:bidi w:val="0"/>
        <w:rPr>
          <w:rFonts w:hint="default"/>
          <w:color w:val="auto"/>
          <w:highlight w:val="none"/>
        </w:rPr>
      </w:pPr>
      <w:r>
        <w:rPr>
          <w:rFonts w:hint="default"/>
          <w:color w:val="auto"/>
          <w:highlight w:val="none"/>
        </w:rPr>
        <w:t>（4）固体废物</w:t>
      </w:r>
    </w:p>
    <w:p w14:paraId="7ADA8E91">
      <w:pPr>
        <w:bidi w:val="0"/>
        <w:rPr>
          <w:rFonts w:hint="default"/>
          <w:color w:val="auto"/>
          <w:highlight w:val="none"/>
        </w:rPr>
      </w:pPr>
      <w:r>
        <w:rPr>
          <w:rFonts w:hint="default"/>
          <w:color w:val="auto"/>
          <w:highlight w:val="none"/>
        </w:rPr>
        <w:t>本项目固废主要为一般工业固体废物、危险废物和生活垃圾。一般工业固体废物中，注塑工序不合格品及废边角料经粉碎后回用于生产；废包装材料、布袋收集粉尘、废抛光片、废布袋分类收集后，暂存于一般固废暂存间，由合规回收单位回收综合利用；纯水制备废滤材及废蓄热陶瓷体更换时由厂家回收处理，不在厂区暂存。危险废物主要为</w:t>
      </w:r>
      <w:r>
        <w:rPr>
          <w:rFonts w:hint="eastAsia"/>
          <w:color w:val="auto"/>
          <w:highlight w:val="none"/>
          <w:lang w:eastAsia="zh-CN"/>
        </w:rPr>
        <w:t>废包装桶</w:t>
      </w:r>
      <w:r>
        <w:rPr>
          <w:rFonts w:hint="default"/>
          <w:color w:val="auto"/>
          <w:highlight w:val="none"/>
        </w:rPr>
        <w:t>、废润滑油、废清洗剂、废活性炭、废过滤棉（含漆渣）、废干式纸盒（含漆渣）、热洁炉灰渣、</w:t>
      </w:r>
      <w:r>
        <w:rPr>
          <w:rFonts w:hint="eastAsia"/>
          <w:color w:val="auto"/>
          <w:highlight w:val="none"/>
          <w:lang w:eastAsia="zh-CN"/>
        </w:rPr>
        <w:t>含油的手套及废抹布</w:t>
      </w:r>
      <w:r>
        <w:rPr>
          <w:rFonts w:hint="default"/>
          <w:color w:val="auto"/>
          <w:highlight w:val="none"/>
        </w:rPr>
        <w:t>，分类收集后暂存于厂内危险废物贮存库，定期委托有资质的危险废物处置单位进行安全处置；其中</w:t>
      </w:r>
      <w:r>
        <w:rPr>
          <w:rFonts w:hint="eastAsia"/>
          <w:color w:val="auto"/>
          <w:highlight w:val="none"/>
          <w:lang w:eastAsia="zh-CN"/>
        </w:rPr>
        <w:t>含油的手套及废抹布</w:t>
      </w:r>
      <w:r>
        <w:rPr>
          <w:rFonts w:hint="default"/>
          <w:color w:val="auto"/>
          <w:highlight w:val="none"/>
        </w:rPr>
        <w:t>属于危险废物豁免管理清单，分类收集后混入生活垃圾，委托环卫部门统一清运处置。生活垃圾分类收集后由当地环卫部门统一清运处理。本次评价主要关注危险废物暂存设施的规范性、委托处置的合规性，以及一般固废综合利用途径的可行性。</w:t>
      </w:r>
    </w:p>
    <w:p w14:paraId="1C7ABB91">
      <w:pPr>
        <w:bidi w:val="0"/>
        <w:rPr>
          <w:rFonts w:hint="default"/>
          <w:color w:val="auto"/>
          <w:highlight w:val="none"/>
        </w:rPr>
      </w:pPr>
      <w:r>
        <w:rPr>
          <w:rFonts w:hint="default"/>
          <w:color w:val="auto"/>
          <w:highlight w:val="none"/>
        </w:rPr>
        <w:t>（5）环境风险</w:t>
      </w:r>
    </w:p>
    <w:p w14:paraId="51A37809">
      <w:pPr>
        <w:bidi w:val="0"/>
        <w:rPr>
          <w:rFonts w:hint="default"/>
          <w:color w:val="auto"/>
          <w:highlight w:val="none"/>
        </w:rPr>
      </w:pPr>
      <w:r>
        <w:rPr>
          <w:rFonts w:hint="default"/>
          <w:color w:val="auto"/>
          <w:highlight w:val="none"/>
        </w:rPr>
        <w:t>项目环境风险主要为废润滑油、废清洗剂等危险废物泄漏及火灾引发的次生污染，以及化学品泄漏可能引发的腐蚀、危害。项目建成投产后须加强日常管理，严格落实本环评提出的各项风险防范措施，包括危险物质储存区防渗、防泄漏设施设置、消防物资配备、应急预案制定及定期演练等。同时，对化学品应分类存放，设置防泄漏托盘，配备相应的应急防护用品及中和处置物资。在落实上述措施的前提下，项目环境风险可控。评价主要关注危险物质泄漏及火灾次生污染的风险水平，以及风险防范措施的完备性和应急预案的可操作性。</w:t>
      </w:r>
    </w:p>
    <w:p w14:paraId="7467FAE3">
      <w:pPr>
        <w:bidi w:val="0"/>
        <w:rPr>
          <w:rFonts w:hint="default"/>
          <w:color w:val="auto"/>
          <w:highlight w:val="none"/>
        </w:rPr>
      </w:pPr>
      <w:r>
        <w:rPr>
          <w:rFonts w:hint="default"/>
          <w:color w:val="auto"/>
          <w:highlight w:val="none"/>
        </w:rPr>
        <w:t>（6）原辅材料储存</w:t>
      </w:r>
    </w:p>
    <w:p w14:paraId="5E412AA6">
      <w:pPr>
        <w:bidi w:val="0"/>
        <w:rPr>
          <w:rFonts w:hint="default"/>
          <w:color w:val="auto"/>
          <w:highlight w:val="none"/>
        </w:rPr>
      </w:pPr>
      <w:r>
        <w:rPr>
          <w:rFonts w:hint="default"/>
          <w:color w:val="auto"/>
          <w:highlight w:val="none"/>
        </w:rPr>
        <w:t>关注项目原辅材料的储存方式及储存量，特别是化学品及危险物质，应规范设置储存区域，配备防泄漏设施，加强日常巡查管理，避免物料泄漏对周边环境产生影响。评价主要关注化学品储存区的防泄漏措施、储存量的合理性，以及泄漏事故对周边环境的风险影响。</w:t>
      </w:r>
    </w:p>
    <w:p w14:paraId="575AF8DB">
      <w:pPr>
        <w:pStyle w:val="3"/>
        <w:numPr>
          <w:ilvl w:val="0"/>
          <w:numId w:val="0"/>
        </w:numPr>
        <w:bidi w:val="0"/>
        <w:rPr>
          <w:color w:val="auto"/>
          <w:highlight w:val="none"/>
        </w:rPr>
      </w:pPr>
      <w:bookmarkStart w:id="1293" w:name="_Toc18838"/>
      <w:bookmarkStart w:id="1294" w:name="_Toc29518"/>
      <w:bookmarkStart w:id="1295" w:name="_Toc16372"/>
      <w:bookmarkStart w:id="1296" w:name="_Toc13366"/>
      <w:bookmarkStart w:id="1297" w:name="_Toc6796"/>
      <w:bookmarkStart w:id="1298" w:name="_Toc6239"/>
      <w:bookmarkStart w:id="1299" w:name="_Toc25722"/>
      <w:bookmarkStart w:id="1300" w:name="_Toc28301"/>
      <w:bookmarkStart w:id="1301" w:name="_Toc5793"/>
      <w:bookmarkStart w:id="1302" w:name="_Toc8353"/>
      <w:r>
        <w:rPr>
          <w:color w:val="auto"/>
          <w:highlight w:val="none"/>
        </w:rPr>
        <w:t>10.2</w:t>
      </w:r>
      <w:r>
        <w:rPr>
          <w:rFonts w:hint="eastAsia"/>
          <w:color w:val="auto"/>
          <w:highlight w:val="none"/>
          <w:lang w:val="en-US" w:eastAsia="zh-CN"/>
        </w:rPr>
        <w:t xml:space="preserve"> </w:t>
      </w:r>
      <w:r>
        <w:rPr>
          <w:color w:val="auto"/>
          <w:highlight w:val="none"/>
        </w:rPr>
        <w:t>工程环境影响评价结论</w:t>
      </w:r>
      <w:bookmarkEnd w:id="1293"/>
      <w:bookmarkEnd w:id="1294"/>
      <w:bookmarkEnd w:id="1295"/>
      <w:bookmarkEnd w:id="1296"/>
      <w:bookmarkEnd w:id="1297"/>
      <w:bookmarkEnd w:id="1298"/>
      <w:bookmarkEnd w:id="1299"/>
      <w:bookmarkEnd w:id="1300"/>
      <w:bookmarkEnd w:id="1301"/>
      <w:bookmarkEnd w:id="1302"/>
    </w:p>
    <w:p w14:paraId="3FF0862A">
      <w:pPr>
        <w:pStyle w:val="4"/>
        <w:numPr>
          <w:ilvl w:val="0"/>
          <w:numId w:val="0"/>
        </w:numPr>
        <w:tabs>
          <w:tab w:val="clear" w:pos="720"/>
        </w:tabs>
        <w:bidi w:val="0"/>
        <w:rPr>
          <w:color w:val="auto"/>
          <w:highlight w:val="none"/>
        </w:rPr>
      </w:pPr>
      <w:bookmarkStart w:id="1303" w:name="_Toc28517"/>
      <w:bookmarkStart w:id="1304" w:name="_Toc8240"/>
      <w:bookmarkStart w:id="1305" w:name="_Toc11360"/>
      <w:bookmarkStart w:id="1306" w:name="_Toc13844"/>
      <w:bookmarkStart w:id="1307" w:name="_Toc20251"/>
      <w:bookmarkStart w:id="1308" w:name="_Toc18060"/>
      <w:bookmarkStart w:id="1309" w:name="_Toc31265"/>
      <w:bookmarkStart w:id="1310" w:name="_Toc7355"/>
      <w:bookmarkStart w:id="1311" w:name="_Toc12839"/>
      <w:r>
        <w:rPr>
          <w:color w:val="auto"/>
          <w:highlight w:val="none"/>
        </w:rPr>
        <w:t>10.2.1</w:t>
      </w:r>
      <w:r>
        <w:rPr>
          <w:rFonts w:hint="eastAsia"/>
          <w:color w:val="auto"/>
          <w:highlight w:val="none"/>
          <w:lang w:val="en-US" w:eastAsia="zh-CN"/>
        </w:rPr>
        <w:t xml:space="preserve"> </w:t>
      </w:r>
      <w:r>
        <w:rPr>
          <w:color w:val="auto"/>
          <w:highlight w:val="none"/>
        </w:rPr>
        <w:t>地表水环境影响评价结论</w:t>
      </w:r>
      <w:bookmarkEnd w:id="1303"/>
      <w:bookmarkEnd w:id="1304"/>
      <w:bookmarkEnd w:id="1305"/>
      <w:bookmarkEnd w:id="1306"/>
      <w:bookmarkEnd w:id="1307"/>
      <w:bookmarkEnd w:id="1308"/>
      <w:bookmarkEnd w:id="1309"/>
      <w:bookmarkEnd w:id="1310"/>
      <w:bookmarkEnd w:id="1311"/>
    </w:p>
    <w:p w14:paraId="27D7A4C8">
      <w:pPr>
        <w:bidi w:val="0"/>
        <w:rPr>
          <w:rFonts w:hint="default"/>
          <w:color w:val="auto"/>
          <w:highlight w:val="none"/>
        </w:rPr>
      </w:pPr>
      <w:r>
        <w:rPr>
          <w:rFonts w:hint="default"/>
          <w:color w:val="auto"/>
          <w:highlight w:val="none"/>
        </w:rPr>
        <w:t>（1）水环境质量现状</w:t>
      </w:r>
    </w:p>
    <w:p w14:paraId="116D1F1C">
      <w:pPr>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default"/>
          <w:color w:val="auto"/>
          <w:highlight w:val="none"/>
          <w:lang w:val="en-US" w:eastAsia="zh-CN"/>
        </w:rPr>
        <w:t>本项目位于</w:t>
      </w:r>
      <w:r>
        <w:rPr>
          <w:rFonts w:hint="eastAsia"/>
          <w:color w:val="auto"/>
          <w:highlight w:val="none"/>
          <w:lang w:val="en-US" w:eastAsia="zh-CN"/>
        </w:rPr>
        <w:t>福州市</w:t>
      </w:r>
      <w:r>
        <w:rPr>
          <w:rFonts w:hint="default"/>
          <w:color w:val="auto"/>
          <w:highlight w:val="none"/>
          <w:lang w:val="en-US" w:eastAsia="zh-CN"/>
        </w:rPr>
        <w:t>，根据福州市人民政府发布的《2025年福州市生态环境状况公报》，2025年，福州市主要流域总体水质状况为优。I~I类水质比例为100%，同比持平，其中I~I类水质比例为77.8%，同比上升11.1个百分点，无IV类、V类、劣V类断面。闽江流域福州段总体水质状况为优，I~I类水质比例为100%，同比持平</w:t>
      </w:r>
      <w:r>
        <w:rPr>
          <w:rFonts w:hint="eastAsia"/>
          <w:color w:val="auto"/>
          <w:highlight w:val="none"/>
          <w:lang w:val="en-US" w:eastAsia="zh-CN"/>
        </w:rPr>
        <w:t>；</w:t>
      </w:r>
      <w:r>
        <w:rPr>
          <w:rFonts w:hint="default"/>
          <w:color w:val="auto"/>
          <w:highlight w:val="none"/>
          <w:lang w:val="en-US" w:eastAsia="zh-CN"/>
        </w:rPr>
        <w:t>I~I类水质比例为93.8%，同比上升12.5个百分点。项目所在区域地表水环境质量现状良好。</w:t>
      </w:r>
    </w:p>
    <w:p w14:paraId="5E3F2D72">
      <w:pPr>
        <w:bidi w:val="0"/>
        <w:rPr>
          <w:color w:val="auto"/>
          <w:highlight w:val="none"/>
        </w:rPr>
      </w:pPr>
      <w:r>
        <w:rPr>
          <w:color w:val="auto"/>
          <w:highlight w:val="none"/>
        </w:rPr>
        <w:t>（2）地表水环境影响分析</w:t>
      </w:r>
    </w:p>
    <w:p w14:paraId="63FB95C8">
      <w:pPr>
        <w:bidi w:val="0"/>
        <w:rPr>
          <w:rFonts w:hint="eastAsia"/>
          <w:color w:val="auto"/>
          <w:highlight w:val="none"/>
        </w:rPr>
      </w:pPr>
      <w:r>
        <w:rPr>
          <w:rFonts w:hint="eastAsia"/>
          <w:color w:val="auto"/>
          <w:highlight w:val="none"/>
          <w:lang w:val="en-US" w:eastAsia="zh-CN"/>
        </w:rPr>
        <w:t>项目</w:t>
      </w:r>
      <w:r>
        <w:rPr>
          <w:rFonts w:hint="eastAsia"/>
          <w:color w:val="auto"/>
          <w:highlight w:val="none"/>
        </w:rPr>
        <w:t>通过落实清污分流、雨污分流、污污分流，能够确保本项目生产废水与事故废水不排放。</w:t>
      </w:r>
      <w:r>
        <w:rPr>
          <w:rFonts w:hint="eastAsia"/>
          <w:color w:val="auto"/>
          <w:highlight w:val="none"/>
          <w:lang w:val="en-US" w:eastAsia="zh-CN"/>
        </w:rPr>
        <w:t>生活污水经出租方已建化粪池处理后，纳入市政污水管网，排入青口汽车工业开发区污水处理厂进一步处理。</w:t>
      </w:r>
      <w:r>
        <w:rPr>
          <w:rFonts w:hint="eastAsia"/>
          <w:color w:val="auto"/>
          <w:highlight w:val="none"/>
        </w:rPr>
        <w:t>通过落实环保三同时，项目水污染控制和水环境影响减缓措施有效，依托的污水处理设施具有环境可行性，正常运行对周边地表水环境影响很小。</w:t>
      </w:r>
    </w:p>
    <w:p w14:paraId="72B21E13">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水污染防治措施</w:t>
      </w:r>
    </w:p>
    <w:p w14:paraId="4FEFD061">
      <w:pPr>
        <w:bidi w:val="0"/>
        <w:rPr>
          <w:rFonts w:hint="default"/>
          <w:color w:val="auto"/>
          <w:highlight w:val="none"/>
          <w:lang w:val="en-US"/>
        </w:rPr>
      </w:pPr>
      <w:r>
        <w:rPr>
          <w:rFonts w:hint="eastAsia"/>
          <w:color w:val="auto"/>
          <w:highlight w:val="none"/>
          <w:lang w:val="en-US" w:eastAsia="zh-CN"/>
        </w:rPr>
        <w:t>项目生产废水不外排，生活污水经出租方已建化粪池处理后，纳入市政污水管网，排入青口汽车工业开发区污水处理厂进一步处理。</w:t>
      </w:r>
    </w:p>
    <w:p w14:paraId="283BAFCD">
      <w:pPr>
        <w:pStyle w:val="4"/>
        <w:numPr>
          <w:ilvl w:val="0"/>
          <w:numId w:val="0"/>
        </w:numPr>
        <w:tabs>
          <w:tab w:val="clear" w:pos="720"/>
        </w:tabs>
        <w:bidi w:val="0"/>
        <w:rPr>
          <w:color w:val="auto"/>
          <w:highlight w:val="none"/>
        </w:rPr>
      </w:pPr>
      <w:bookmarkStart w:id="1312" w:name="_Toc7703"/>
      <w:bookmarkStart w:id="1313" w:name="_Toc5392"/>
      <w:bookmarkStart w:id="1314" w:name="_Toc28796"/>
      <w:bookmarkStart w:id="1315" w:name="_Toc8165"/>
      <w:bookmarkStart w:id="1316" w:name="_Toc5327"/>
      <w:bookmarkStart w:id="1317" w:name="_Toc21169"/>
      <w:bookmarkStart w:id="1318" w:name="_Toc25005"/>
      <w:bookmarkStart w:id="1319" w:name="_Toc1130"/>
      <w:bookmarkStart w:id="1320" w:name="_Toc19816"/>
      <w:r>
        <w:rPr>
          <w:color w:val="auto"/>
          <w:highlight w:val="none"/>
        </w:rPr>
        <w:t>10.2.2</w:t>
      </w:r>
      <w:r>
        <w:rPr>
          <w:rFonts w:hint="eastAsia"/>
          <w:color w:val="auto"/>
          <w:highlight w:val="none"/>
          <w:lang w:val="en-US" w:eastAsia="zh-CN"/>
        </w:rPr>
        <w:t xml:space="preserve"> </w:t>
      </w:r>
      <w:r>
        <w:rPr>
          <w:color w:val="auto"/>
          <w:highlight w:val="none"/>
        </w:rPr>
        <w:t>大气环境影响评价结论</w:t>
      </w:r>
      <w:bookmarkEnd w:id="1312"/>
      <w:bookmarkEnd w:id="1313"/>
      <w:bookmarkEnd w:id="1314"/>
      <w:bookmarkEnd w:id="1315"/>
      <w:bookmarkEnd w:id="1316"/>
      <w:bookmarkEnd w:id="1317"/>
      <w:bookmarkEnd w:id="1318"/>
      <w:bookmarkEnd w:id="1319"/>
      <w:bookmarkEnd w:id="1320"/>
    </w:p>
    <w:p w14:paraId="4594A035">
      <w:pPr>
        <w:bidi w:val="0"/>
        <w:rPr>
          <w:color w:val="auto"/>
          <w:highlight w:val="none"/>
        </w:rPr>
      </w:pPr>
      <w:r>
        <w:rPr>
          <w:color w:val="auto"/>
          <w:highlight w:val="none"/>
        </w:rPr>
        <w:t>（1）环境空气质量现状</w:t>
      </w:r>
    </w:p>
    <w:p w14:paraId="07F33546">
      <w:pPr>
        <w:bidi w:val="0"/>
        <w:rPr>
          <w:rFonts w:hint="eastAsia"/>
          <w:color w:val="auto"/>
          <w:highlight w:val="none"/>
          <w:lang w:eastAsia="zh-CN"/>
        </w:rPr>
      </w:pPr>
      <w:r>
        <w:rPr>
          <w:rFonts w:hint="eastAsia"/>
          <w:color w:val="auto"/>
          <w:highlight w:val="none"/>
          <w:lang w:eastAsia="zh-CN"/>
        </w:rPr>
        <w:t>本次评价引用福州市人民政府发布的《2025年福州市生态环境状况公报》中的结论和数据。根据公报，2025年福州市环境空气质量优良天数比例为97.5%，空气质量综合指数2.385，在全国168个重点城市中排名第三，首次进入全国重点城市前三；各项基本污染物（SO</w:t>
      </w:r>
      <w:r>
        <w:rPr>
          <w:rFonts w:hint="eastAsia"/>
          <w:color w:val="auto"/>
          <w:highlight w:val="none"/>
          <w:vertAlign w:val="subscript"/>
          <w:lang w:val="en-US" w:eastAsia="zh-CN"/>
        </w:rPr>
        <w:t>2</w:t>
      </w:r>
      <w:r>
        <w:rPr>
          <w:rFonts w:hint="eastAsia"/>
          <w:color w:val="auto"/>
          <w:highlight w:val="none"/>
          <w:lang w:eastAsia="zh-CN"/>
        </w:rPr>
        <w:t>、NO</w:t>
      </w:r>
      <w:r>
        <w:rPr>
          <w:rFonts w:hint="eastAsia"/>
          <w:color w:val="auto"/>
          <w:highlight w:val="none"/>
          <w:vertAlign w:val="subscript"/>
          <w:lang w:val="en-US" w:eastAsia="zh-CN"/>
        </w:rPr>
        <w:t>2</w:t>
      </w:r>
      <w:r>
        <w:rPr>
          <w:rFonts w:hint="eastAsia"/>
          <w:color w:val="auto"/>
          <w:highlight w:val="none"/>
          <w:lang w:eastAsia="zh-CN"/>
        </w:rPr>
        <w:t>、PM</w:t>
      </w:r>
      <w:r>
        <w:rPr>
          <w:rFonts w:hint="eastAsia"/>
          <w:color w:val="auto"/>
          <w:highlight w:val="none"/>
          <w:vertAlign w:val="subscript"/>
          <w:lang w:val="en-US" w:eastAsia="zh-CN"/>
        </w:rPr>
        <w:t>10</w:t>
      </w:r>
      <w:r>
        <w:rPr>
          <w:rFonts w:hint="eastAsia"/>
          <w:color w:val="auto"/>
          <w:highlight w:val="none"/>
          <w:lang w:eastAsia="zh-CN"/>
        </w:rPr>
        <w:t>、PM</w:t>
      </w:r>
      <w:r>
        <w:rPr>
          <w:rFonts w:hint="eastAsia"/>
          <w:color w:val="auto"/>
          <w:highlight w:val="none"/>
          <w:vertAlign w:val="subscript"/>
          <w:lang w:val="en-US" w:eastAsia="zh-CN"/>
        </w:rPr>
        <w:t>2.5</w:t>
      </w:r>
      <w:r>
        <w:rPr>
          <w:rFonts w:hint="eastAsia"/>
          <w:color w:val="auto"/>
          <w:highlight w:val="none"/>
          <w:lang w:eastAsia="zh-CN"/>
        </w:rPr>
        <w:t>、CO、O</w:t>
      </w:r>
      <w:r>
        <w:rPr>
          <w:rFonts w:hint="eastAsia"/>
          <w:color w:val="auto"/>
          <w:highlight w:val="none"/>
          <w:vertAlign w:val="subscript"/>
          <w:lang w:val="en-US" w:eastAsia="zh-CN"/>
        </w:rPr>
        <w:t>3</w:t>
      </w:r>
      <w:r>
        <w:rPr>
          <w:rFonts w:hint="eastAsia"/>
          <w:color w:val="auto"/>
          <w:highlight w:val="none"/>
          <w:lang w:eastAsia="zh-CN"/>
        </w:rPr>
        <w:t>）浓度均符合《环境空气质量标准》（GB 3095-2026）</w:t>
      </w:r>
      <w:r>
        <w:rPr>
          <w:rFonts w:hint="eastAsia"/>
          <w:color w:val="auto"/>
          <w:highlight w:val="none"/>
          <w:lang w:val="en-US" w:eastAsia="zh-CN"/>
        </w:rPr>
        <w:t>中表1过渡阶段</w:t>
      </w:r>
      <w:r>
        <w:rPr>
          <w:rFonts w:hint="eastAsia"/>
          <w:color w:val="auto"/>
          <w:highlight w:val="none"/>
          <w:lang w:eastAsia="zh-CN"/>
        </w:rPr>
        <w:t>（2026年3月1日至2030年12月31日）</w:t>
      </w:r>
      <w:r>
        <w:rPr>
          <w:rFonts w:hint="eastAsia"/>
          <w:color w:val="auto"/>
          <w:highlight w:val="none"/>
          <w:lang w:val="en-US" w:eastAsia="zh-CN"/>
        </w:rPr>
        <w:t>二级浓度限值</w:t>
      </w:r>
      <w:r>
        <w:rPr>
          <w:rFonts w:hint="eastAsia"/>
          <w:color w:val="auto"/>
          <w:highlight w:val="none"/>
          <w:lang w:eastAsia="zh-CN"/>
        </w:rPr>
        <w:t>。据此判定，本项目所在区域为环境空气质量达标区。</w:t>
      </w:r>
    </w:p>
    <w:p w14:paraId="79363315">
      <w:pPr>
        <w:bidi w:val="0"/>
        <w:rPr>
          <w:rFonts w:hint="eastAsia"/>
          <w:color w:val="auto"/>
          <w:highlight w:val="none"/>
          <w:lang w:eastAsia="zh-CN"/>
        </w:rPr>
      </w:pPr>
      <w:r>
        <w:rPr>
          <w:rFonts w:hint="eastAsia"/>
          <w:color w:val="auto"/>
          <w:highlight w:val="none"/>
          <w:lang w:eastAsia="zh-CN"/>
        </w:rPr>
        <w:t>针对项目特征污染物（非甲烷总烃、二甲苯、乙酸丁酯、颗粒物、</w:t>
      </w:r>
      <w:r>
        <w:rPr>
          <w:rFonts w:hint="eastAsia"/>
          <w:color w:val="auto"/>
          <w:highlight w:val="none"/>
          <w:lang w:val="en-US" w:eastAsia="zh-CN"/>
        </w:rPr>
        <w:t>臭气浓度</w:t>
      </w:r>
      <w:r>
        <w:rPr>
          <w:rFonts w:hint="eastAsia"/>
          <w:color w:val="auto"/>
          <w:highlight w:val="none"/>
          <w:lang w:eastAsia="zh-CN"/>
        </w:rPr>
        <w:t>），本次评价进行了环境空气质量现状监测。监测结果表明，各监测点非甲烷总烃、二甲苯、乙酸丁酯、颗粒物</w:t>
      </w:r>
      <w:r>
        <w:rPr>
          <w:rFonts w:hint="eastAsia"/>
          <w:color w:val="auto"/>
          <w:highlight w:val="none"/>
          <w:lang w:val="en-US" w:eastAsia="zh-CN"/>
        </w:rPr>
        <w:t>及臭气浓度</w:t>
      </w:r>
      <w:r>
        <w:rPr>
          <w:rFonts w:hint="eastAsia"/>
          <w:color w:val="auto"/>
          <w:highlight w:val="none"/>
          <w:lang w:eastAsia="zh-CN"/>
        </w:rPr>
        <w:t>的监测值均符合相应环境空气质量标准要求。</w:t>
      </w:r>
    </w:p>
    <w:p w14:paraId="5793D5B4">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大气环境影响分析</w:t>
      </w:r>
    </w:p>
    <w:p w14:paraId="01962716">
      <w:pPr>
        <w:keepNext w:val="0"/>
        <w:keepLines w:val="0"/>
        <w:pageBreakBefore w:val="0"/>
        <w:widowControl w:val="0"/>
        <w:kinsoku/>
        <w:wordWrap w:val="0"/>
        <w:overflowPunct/>
        <w:topLinePunct w:val="0"/>
        <w:autoSpaceDE/>
        <w:autoSpaceDN/>
        <w:bidi w:val="0"/>
        <w:adjustRightInd/>
        <w:snapToGrid/>
        <w:textAlignment w:val="auto"/>
        <w:rPr>
          <w:rFonts w:hint="eastAsia"/>
          <w:color w:val="auto"/>
          <w:highlight w:val="none"/>
        </w:rPr>
      </w:pPr>
      <w:r>
        <w:rPr>
          <w:rFonts w:hint="eastAsia"/>
          <w:color w:val="auto"/>
          <w:highlight w:val="none"/>
          <w:lang w:val="en-US" w:eastAsia="zh-CN"/>
        </w:rPr>
        <w:t>项目</w:t>
      </w:r>
      <w:r>
        <w:rPr>
          <w:rFonts w:hint="eastAsia"/>
          <w:color w:val="auto"/>
          <w:highlight w:val="none"/>
        </w:rPr>
        <w:t>选用AERSCREEN模式对项目污染源主要污染物进行估算预测，正常工况下，最大落地浓度污染物为</w:t>
      </w:r>
      <w:r>
        <w:rPr>
          <w:rFonts w:hint="eastAsia"/>
          <w:color w:val="auto"/>
          <w:highlight w:val="none"/>
          <w:lang w:val="en-US" w:eastAsia="zh-CN"/>
        </w:rPr>
        <w:t>A库厂房</w:t>
      </w:r>
      <w:r>
        <w:rPr>
          <w:rFonts w:hint="eastAsia"/>
          <w:color w:val="auto"/>
          <w:highlight w:val="none"/>
        </w:rPr>
        <w:t>无组织排放的</w:t>
      </w:r>
      <w:r>
        <w:rPr>
          <w:rFonts w:hint="eastAsia"/>
          <w:color w:val="auto"/>
          <w:highlight w:val="none"/>
          <w:lang w:val="en-US" w:eastAsia="zh-CN"/>
        </w:rPr>
        <w:t>二甲苯</w:t>
      </w:r>
      <w:r>
        <w:rPr>
          <w:rFonts w:hint="eastAsia"/>
          <w:color w:val="auto"/>
          <w:highlight w:val="none"/>
        </w:rPr>
        <w:t>，P</w:t>
      </w:r>
      <w:r>
        <w:rPr>
          <w:rFonts w:hint="eastAsia"/>
          <w:color w:val="auto"/>
          <w:highlight w:val="none"/>
          <w:vertAlign w:val="subscript"/>
        </w:rPr>
        <w:t>max</w:t>
      </w:r>
      <w:r>
        <w:rPr>
          <w:rFonts w:hint="eastAsia"/>
          <w:color w:val="auto"/>
          <w:highlight w:val="none"/>
          <w:vertAlign w:val="baseline"/>
          <w:lang w:val="en-US" w:eastAsia="zh-CN"/>
        </w:rPr>
        <w:t>=</w:t>
      </w:r>
      <w:r>
        <w:rPr>
          <w:rFonts w:hint="eastAsia"/>
          <w:color w:val="auto"/>
          <w:highlight w:val="none"/>
          <w:lang w:val="en-US" w:eastAsia="zh-CN"/>
        </w:rPr>
        <w:t>7.93</w:t>
      </w:r>
      <w:r>
        <w:rPr>
          <w:rFonts w:hint="eastAsia"/>
          <w:color w:val="auto"/>
          <w:highlight w:val="none"/>
        </w:rPr>
        <w:t>%</w:t>
      </w:r>
      <w:r>
        <w:rPr>
          <w:rFonts w:hint="eastAsia"/>
          <w:color w:val="auto"/>
          <w:highlight w:val="none"/>
          <w:lang w:eastAsia="zh-CN"/>
        </w:rPr>
        <w:t>，</w:t>
      </w:r>
      <w:r>
        <w:rPr>
          <w:rFonts w:hint="eastAsia"/>
          <w:color w:val="auto"/>
          <w:highlight w:val="none"/>
        </w:rPr>
        <w:t>大气环境影响评价等级为二级。</w:t>
      </w:r>
    </w:p>
    <w:p w14:paraId="3A1E37E2">
      <w:pPr>
        <w:bidi w:val="0"/>
        <w:rPr>
          <w:rFonts w:hint="eastAsia"/>
          <w:color w:val="auto"/>
          <w:highlight w:val="none"/>
        </w:rPr>
      </w:pPr>
      <w:r>
        <w:rPr>
          <w:rFonts w:hint="eastAsia"/>
          <w:color w:val="auto"/>
          <w:highlight w:val="none"/>
        </w:rPr>
        <w:t>项目以</w:t>
      </w:r>
      <w:r>
        <w:rPr>
          <w:rFonts w:hint="eastAsia"/>
          <w:color w:val="auto"/>
          <w:highlight w:val="none"/>
          <w:lang w:val="en-US" w:eastAsia="zh-CN"/>
        </w:rPr>
        <w:t>喷涂车间（A库）</w:t>
      </w:r>
      <w:r>
        <w:rPr>
          <w:rFonts w:hint="eastAsia"/>
          <w:color w:val="auto"/>
          <w:highlight w:val="none"/>
        </w:rPr>
        <w:t>边界为起点设置100m卫生防护距离</w:t>
      </w:r>
      <w:r>
        <w:rPr>
          <w:rFonts w:hint="eastAsia"/>
          <w:color w:val="auto"/>
          <w:highlight w:val="none"/>
          <w:lang w:eastAsia="zh-CN"/>
        </w:rPr>
        <w:t>，</w:t>
      </w:r>
      <w:r>
        <w:rPr>
          <w:rFonts w:hint="eastAsia"/>
          <w:color w:val="auto"/>
          <w:highlight w:val="none"/>
          <w:lang w:val="en-US" w:eastAsia="zh-CN"/>
        </w:rPr>
        <w:t>注塑车间（B库）</w:t>
      </w:r>
      <w:r>
        <w:rPr>
          <w:rFonts w:hint="eastAsia"/>
          <w:color w:val="auto"/>
          <w:highlight w:val="none"/>
        </w:rPr>
        <w:t>边界为起点设置</w:t>
      </w:r>
      <w:r>
        <w:rPr>
          <w:rFonts w:hint="eastAsia"/>
          <w:color w:val="auto"/>
          <w:highlight w:val="none"/>
          <w:lang w:val="en-US" w:eastAsia="zh-CN"/>
        </w:rPr>
        <w:t>5</w:t>
      </w:r>
      <w:r>
        <w:rPr>
          <w:rFonts w:hint="eastAsia"/>
          <w:color w:val="auto"/>
          <w:highlight w:val="none"/>
        </w:rPr>
        <w:t>0m卫生防护距离。</w:t>
      </w:r>
      <w:r>
        <w:rPr>
          <w:rFonts w:hint="eastAsia"/>
          <w:color w:val="auto"/>
          <w:highlight w:val="none"/>
          <w:lang w:val="en-US" w:eastAsia="zh-CN"/>
        </w:rPr>
        <w:t>卫生</w:t>
      </w:r>
      <w:r>
        <w:rPr>
          <w:rFonts w:hint="eastAsia"/>
          <w:color w:val="auto"/>
          <w:highlight w:val="none"/>
        </w:rPr>
        <w:t>距离包络范围全部属于规划区，没有居民集中区、学校医院等敏感目标，项目选址及总图布置符合环境防护距离要求。</w:t>
      </w:r>
    </w:p>
    <w:p w14:paraId="2B1D0626">
      <w:pPr>
        <w:bidi w:val="0"/>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大气污染防治措施</w:t>
      </w:r>
    </w:p>
    <w:p w14:paraId="1F3AF427">
      <w:pPr>
        <w:bidi w:val="0"/>
        <w:rPr>
          <w:rFonts w:hint="eastAsia"/>
          <w:color w:val="auto"/>
          <w:highlight w:val="none"/>
          <w:lang w:eastAsia="zh-CN"/>
        </w:rPr>
      </w:pPr>
      <w:r>
        <w:rPr>
          <w:rFonts w:hint="eastAsia"/>
          <w:color w:val="auto"/>
          <w:highlight w:val="none"/>
          <w:lang w:eastAsia="zh-CN"/>
        </w:rPr>
        <w:t>本项目运营期废气主要包括喷漆、流平、烘干</w:t>
      </w:r>
      <w:r>
        <w:rPr>
          <w:rFonts w:hint="eastAsia"/>
          <w:color w:val="auto"/>
          <w:highlight w:val="none"/>
          <w:lang w:val="en-US" w:eastAsia="zh-CN"/>
        </w:rPr>
        <w:t>及喷枪清洗</w:t>
      </w:r>
      <w:r>
        <w:rPr>
          <w:rFonts w:hint="eastAsia"/>
          <w:color w:val="auto"/>
          <w:highlight w:val="none"/>
          <w:lang w:eastAsia="zh-CN"/>
        </w:rPr>
        <w:t>废气，调漆废气，点补废气，注塑废气，</w:t>
      </w:r>
      <w:r>
        <w:rPr>
          <w:rFonts w:hint="eastAsia"/>
          <w:color w:val="auto"/>
          <w:highlight w:val="none"/>
          <w:lang w:val="en-US" w:eastAsia="zh-CN"/>
        </w:rPr>
        <w:t>热水炉</w:t>
      </w:r>
      <w:r>
        <w:rPr>
          <w:rFonts w:hint="eastAsia"/>
          <w:color w:val="auto"/>
          <w:highlight w:val="none"/>
          <w:lang w:eastAsia="zh-CN"/>
        </w:rPr>
        <w:t>天然气燃烧废气、</w:t>
      </w:r>
      <w:r>
        <w:rPr>
          <w:rFonts w:hint="eastAsia"/>
          <w:color w:val="auto"/>
          <w:highlight w:val="none"/>
          <w:lang w:val="en-US" w:eastAsia="zh-CN"/>
        </w:rPr>
        <w:t>固化炉</w:t>
      </w:r>
      <w:r>
        <w:rPr>
          <w:rFonts w:hint="eastAsia"/>
          <w:color w:val="auto"/>
          <w:highlight w:val="none"/>
          <w:lang w:eastAsia="zh-CN"/>
        </w:rPr>
        <w:t>天然气燃烧废气、</w:t>
      </w:r>
      <w:r>
        <w:rPr>
          <w:rFonts w:hint="eastAsia"/>
          <w:color w:val="auto"/>
          <w:highlight w:val="none"/>
          <w:lang w:val="en-US" w:eastAsia="zh-CN"/>
        </w:rPr>
        <w:t>RTO焚烧炉</w:t>
      </w:r>
      <w:r>
        <w:rPr>
          <w:rFonts w:hint="eastAsia"/>
          <w:color w:val="auto"/>
          <w:highlight w:val="none"/>
          <w:lang w:eastAsia="zh-CN"/>
        </w:rPr>
        <w:t>天然气燃烧废气、</w:t>
      </w:r>
      <w:r>
        <w:rPr>
          <w:rFonts w:hint="eastAsia"/>
          <w:color w:val="auto"/>
          <w:highlight w:val="none"/>
          <w:lang w:val="en-US" w:eastAsia="zh-CN"/>
        </w:rPr>
        <w:t>热洁炉废气</w:t>
      </w:r>
      <w:r>
        <w:rPr>
          <w:rFonts w:hint="eastAsia"/>
          <w:color w:val="auto"/>
          <w:highlight w:val="none"/>
          <w:lang w:eastAsia="zh-CN"/>
        </w:rPr>
        <w:t>及塑料粉碎废气。各类废气均根据其产生环节和污染物特性，分别设置相应的收集方式和处理设施。</w:t>
      </w:r>
    </w:p>
    <w:p w14:paraId="23384828">
      <w:pPr>
        <w:pStyle w:val="1319"/>
        <w:ind w:firstLine="480"/>
        <w:rPr>
          <w:rFonts w:hint="eastAsia"/>
          <w:color w:val="auto"/>
          <w:highlight w:val="none"/>
          <w:lang w:eastAsia="zh-CN"/>
        </w:rPr>
      </w:pPr>
      <w:r>
        <w:rPr>
          <w:rFonts w:hint="eastAsia"/>
          <w:color w:val="auto"/>
          <w:highlight w:val="none"/>
          <w:lang w:eastAsia="zh-CN"/>
        </w:rPr>
        <w:t>喷漆室、流平室、油漆烘干室</w:t>
      </w:r>
      <w:r>
        <w:rPr>
          <w:rFonts w:hint="eastAsia"/>
          <w:color w:val="auto"/>
          <w:highlight w:val="none"/>
          <w:lang w:val="en-US" w:eastAsia="zh-CN"/>
        </w:rPr>
        <w:t>以及喷枪清洗工序</w:t>
      </w:r>
      <w:r>
        <w:rPr>
          <w:rFonts w:hint="eastAsia"/>
          <w:color w:val="auto"/>
          <w:highlight w:val="none"/>
          <w:lang w:eastAsia="zh-CN"/>
        </w:rPr>
        <w:t>产生的有机废气及漆雾（颗粒物）经负压收集后，统一由“</w:t>
      </w:r>
      <w:r>
        <w:rPr>
          <w:rFonts w:hint="eastAsia"/>
          <w:color w:val="auto"/>
          <w:highlight w:val="none"/>
          <w:lang w:val="en-US" w:eastAsia="zh-CN"/>
        </w:rPr>
        <w:t>干式纸盒+过滤棉过滤</w:t>
      </w:r>
      <w:r>
        <w:rPr>
          <w:rFonts w:hint="eastAsia"/>
          <w:color w:val="auto"/>
          <w:highlight w:val="none"/>
          <w:lang w:eastAsia="zh-CN"/>
        </w:rPr>
        <w:t>+RTO蓄热式焚烧炉”（TA001）处理达标后，经20m高排气筒（DA001）高空排放；调漆房产生的有机废气经负压收集后，由“二级活性炭吸附”（TA002）处理达标后，经20m高排气筒（DA002）高空排放；点补室产生的有机废气及漆雾（颗粒物）经负压收集后，由“</w:t>
      </w:r>
      <w:r>
        <w:rPr>
          <w:rFonts w:hint="eastAsia"/>
          <w:color w:val="auto"/>
          <w:highlight w:val="none"/>
          <w:lang w:val="en-US" w:eastAsia="zh-CN"/>
        </w:rPr>
        <w:t>过滤棉过滤</w:t>
      </w:r>
      <w:r>
        <w:rPr>
          <w:rFonts w:hint="eastAsia"/>
          <w:color w:val="auto"/>
          <w:highlight w:val="none"/>
          <w:lang w:eastAsia="zh-CN"/>
        </w:rPr>
        <w:t>+二级活性炭吸附”（TA003）处理达标后，经20m高排气筒（DA003）高空排放；注塑区产生的有机废气及臭气经设备直连管道收集后，由“二级活性炭吸附”（TA004）处理达标后，通过20m高排气筒（DA004）排放；热水炉天然气燃烧废气经低氮燃烧后，由不低于8m高排气筒（DA005）高空排放，固化炉</w:t>
      </w:r>
      <w:r>
        <w:rPr>
          <w:rFonts w:hint="eastAsia"/>
          <w:color w:val="auto"/>
          <w:highlight w:val="none"/>
          <w:lang w:val="en-US" w:eastAsia="zh-CN"/>
        </w:rPr>
        <w:t>采样</w:t>
      </w:r>
      <w:r>
        <w:rPr>
          <w:rFonts w:hint="eastAsia"/>
          <w:color w:val="auto"/>
          <w:highlight w:val="none"/>
          <w:lang w:eastAsia="zh-CN"/>
        </w:rPr>
        <w:t>低氮燃烧</w:t>
      </w:r>
      <w:r>
        <w:rPr>
          <w:rFonts w:hint="eastAsia"/>
          <w:color w:val="auto"/>
          <w:highlight w:val="none"/>
          <w:lang w:val="en-US" w:eastAsia="zh-CN"/>
        </w:rPr>
        <w:t>工艺产生的废气</w:t>
      </w:r>
      <w:r>
        <w:rPr>
          <w:rFonts w:hint="eastAsia"/>
          <w:color w:val="auto"/>
          <w:highlight w:val="none"/>
          <w:lang w:eastAsia="zh-CN"/>
        </w:rPr>
        <w:t>与烘干废气一并进入RTO蓄热式焚烧炉处理，RTO蓄热式焚烧炉</w:t>
      </w:r>
      <w:r>
        <w:rPr>
          <w:rFonts w:hint="eastAsia"/>
          <w:color w:val="auto"/>
          <w:highlight w:val="none"/>
          <w:lang w:val="en-US" w:eastAsia="zh-CN"/>
        </w:rPr>
        <w:t>采样</w:t>
      </w:r>
      <w:r>
        <w:rPr>
          <w:rFonts w:hint="eastAsia"/>
          <w:color w:val="auto"/>
          <w:highlight w:val="none"/>
          <w:lang w:eastAsia="zh-CN"/>
        </w:rPr>
        <w:t>低氮燃烧</w:t>
      </w:r>
      <w:r>
        <w:rPr>
          <w:rFonts w:hint="eastAsia"/>
          <w:color w:val="auto"/>
          <w:highlight w:val="none"/>
          <w:lang w:val="en-US" w:eastAsia="zh-CN"/>
        </w:rPr>
        <w:t>工艺产生的废气</w:t>
      </w:r>
      <w:r>
        <w:rPr>
          <w:rFonts w:hint="eastAsia"/>
          <w:color w:val="auto"/>
          <w:highlight w:val="none"/>
          <w:lang w:eastAsia="zh-CN"/>
        </w:rPr>
        <w:t>随RTO处理后的尾气一并经20m高排气筒（DA001）高空排放；</w:t>
      </w:r>
      <w:r>
        <w:rPr>
          <w:rFonts w:hint="default"/>
          <w:color w:val="auto"/>
          <w:highlight w:val="none"/>
          <w:lang w:val="en-US" w:eastAsia="zh-CN"/>
        </w:rPr>
        <w:t>热洁炉分解产生的有机废气经设备直连管道收集后，进入</w:t>
      </w:r>
      <w:r>
        <w:rPr>
          <w:rFonts w:hint="eastAsia"/>
          <w:color w:val="auto"/>
          <w:highlight w:val="none"/>
          <w:lang w:val="en-US" w:eastAsia="zh-CN"/>
        </w:rPr>
        <w:t>二燃室</w:t>
      </w:r>
      <w:r>
        <w:rPr>
          <w:rFonts w:hint="default"/>
          <w:color w:val="auto"/>
          <w:highlight w:val="none"/>
          <w:lang w:val="en-US" w:eastAsia="zh-CN"/>
        </w:rPr>
        <w:t>高温</w:t>
      </w:r>
      <w:r>
        <w:rPr>
          <w:rFonts w:hint="eastAsia"/>
          <w:color w:val="auto"/>
          <w:highlight w:val="none"/>
          <w:lang w:val="en-US" w:eastAsia="zh-CN"/>
        </w:rPr>
        <w:t>热分解</w:t>
      </w:r>
      <w:r>
        <w:rPr>
          <w:rFonts w:hint="default"/>
          <w:color w:val="auto"/>
          <w:highlight w:val="none"/>
          <w:lang w:val="en-US" w:eastAsia="zh-CN"/>
        </w:rPr>
        <w:t>（TA006）处理，处理达标后与热洁炉</w:t>
      </w:r>
      <w:r>
        <w:rPr>
          <w:rFonts w:hint="eastAsia"/>
          <w:color w:val="auto"/>
          <w:highlight w:val="none"/>
          <w:lang w:val="en-US" w:eastAsia="zh-CN"/>
        </w:rPr>
        <w:t>采样</w:t>
      </w:r>
      <w:r>
        <w:rPr>
          <w:rFonts w:hint="eastAsia"/>
          <w:color w:val="auto"/>
          <w:highlight w:val="none"/>
          <w:lang w:eastAsia="zh-CN"/>
        </w:rPr>
        <w:t>低氮燃烧</w:t>
      </w:r>
      <w:r>
        <w:rPr>
          <w:rFonts w:hint="eastAsia"/>
          <w:color w:val="auto"/>
          <w:highlight w:val="none"/>
          <w:lang w:val="en-US" w:eastAsia="zh-CN"/>
        </w:rPr>
        <w:t>工艺产生的废气</w:t>
      </w:r>
      <w:r>
        <w:rPr>
          <w:rFonts w:hint="default"/>
          <w:color w:val="auto"/>
          <w:highlight w:val="none"/>
          <w:lang w:val="en-US" w:eastAsia="zh-CN"/>
        </w:rPr>
        <w:t>一并通过</w:t>
      </w:r>
      <w:r>
        <w:rPr>
          <w:rFonts w:hint="eastAsia"/>
          <w:color w:val="auto"/>
          <w:highlight w:val="none"/>
          <w:lang w:val="en-US" w:eastAsia="zh-CN"/>
        </w:rPr>
        <w:t>20</w:t>
      </w:r>
      <w:r>
        <w:rPr>
          <w:rFonts w:hint="default"/>
          <w:color w:val="auto"/>
          <w:highlight w:val="none"/>
          <w:lang w:val="en-US" w:eastAsia="zh-CN"/>
        </w:rPr>
        <w:t>m高排气筒（DA006）排放</w:t>
      </w:r>
      <w:r>
        <w:rPr>
          <w:rFonts w:hint="eastAsia"/>
          <w:color w:val="auto"/>
          <w:highlight w:val="none"/>
          <w:lang w:val="en-US" w:eastAsia="zh-CN"/>
        </w:rPr>
        <w:t>，</w:t>
      </w:r>
      <w:r>
        <w:rPr>
          <w:rFonts w:hint="eastAsia"/>
          <w:color w:val="auto"/>
          <w:highlight w:val="none"/>
          <w:lang w:eastAsia="zh-CN"/>
        </w:rPr>
        <w:t>塑料粉碎废气经集气罩收集、布袋除尘器处理后无组织排放。</w:t>
      </w:r>
    </w:p>
    <w:p w14:paraId="039696CD">
      <w:pPr>
        <w:bidi w:val="0"/>
        <w:rPr>
          <w:rFonts w:hint="eastAsia"/>
          <w:color w:val="auto"/>
          <w:highlight w:val="none"/>
          <w:lang w:eastAsia="zh-CN"/>
        </w:rPr>
      </w:pPr>
      <w:r>
        <w:rPr>
          <w:rFonts w:hint="eastAsia"/>
          <w:color w:val="auto"/>
          <w:highlight w:val="none"/>
          <w:lang w:eastAsia="zh-CN"/>
        </w:rPr>
        <w:t>采取上述措施后，各污染物有组织排放浓度及排放速率均满足相应排放标准要求，厂界无组织浓度亦满足相应标准限值要求，对周边环境影响较小。</w:t>
      </w:r>
    </w:p>
    <w:p w14:paraId="1B319C76">
      <w:pPr>
        <w:pStyle w:val="4"/>
        <w:numPr>
          <w:ilvl w:val="0"/>
          <w:numId w:val="0"/>
        </w:numPr>
        <w:tabs>
          <w:tab w:val="clear" w:pos="720"/>
        </w:tabs>
        <w:bidi w:val="0"/>
        <w:rPr>
          <w:color w:val="auto"/>
          <w:highlight w:val="none"/>
        </w:rPr>
      </w:pPr>
      <w:bookmarkStart w:id="1321" w:name="_Toc16129"/>
      <w:bookmarkStart w:id="1322" w:name="_Toc2631"/>
      <w:bookmarkStart w:id="1323" w:name="_Toc12722"/>
      <w:bookmarkStart w:id="1324" w:name="_Toc5372"/>
      <w:bookmarkStart w:id="1325" w:name="_Toc23846"/>
      <w:bookmarkStart w:id="1326" w:name="_Toc13181"/>
      <w:bookmarkStart w:id="1327" w:name="_Toc18347"/>
      <w:bookmarkStart w:id="1328" w:name="_Toc31925"/>
      <w:bookmarkStart w:id="1329" w:name="_Toc3893"/>
      <w:r>
        <w:rPr>
          <w:color w:val="auto"/>
          <w:highlight w:val="none"/>
        </w:rPr>
        <w:t>10.2.3</w:t>
      </w:r>
      <w:r>
        <w:rPr>
          <w:rFonts w:hint="eastAsia"/>
          <w:color w:val="auto"/>
          <w:highlight w:val="none"/>
          <w:lang w:val="en-US" w:eastAsia="zh-CN"/>
        </w:rPr>
        <w:t xml:space="preserve"> </w:t>
      </w:r>
      <w:r>
        <w:rPr>
          <w:color w:val="auto"/>
          <w:highlight w:val="none"/>
        </w:rPr>
        <w:t>声环境影响评价结论</w:t>
      </w:r>
      <w:bookmarkEnd w:id="1321"/>
      <w:bookmarkEnd w:id="1322"/>
      <w:bookmarkEnd w:id="1323"/>
      <w:bookmarkEnd w:id="1324"/>
      <w:bookmarkEnd w:id="1325"/>
      <w:bookmarkEnd w:id="1326"/>
      <w:bookmarkEnd w:id="1327"/>
      <w:bookmarkEnd w:id="1328"/>
      <w:bookmarkEnd w:id="1329"/>
    </w:p>
    <w:p w14:paraId="2CB9C8AE">
      <w:pPr>
        <w:bidi w:val="0"/>
        <w:rPr>
          <w:color w:val="auto"/>
          <w:highlight w:val="none"/>
        </w:rPr>
      </w:pPr>
      <w:r>
        <w:rPr>
          <w:color w:val="auto"/>
          <w:highlight w:val="none"/>
        </w:rPr>
        <w:t>（1）声环境现状</w:t>
      </w:r>
    </w:p>
    <w:p w14:paraId="725500AA">
      <w:pPr>
        <w:bidi w:val="0"/>
        <w:rPr>
          <w:color w:val="auto"/>
          <w:highlight w:val="none"/>
        </w:rPr>
      </w:pPr>
      <w:r>
        <w:rPr>
          <w:rFonts w:hint="eastAsia"/>
          <w:color w:val="auto"/>
          <w:highlight w:val="none"/>
          <w:lang w:val="en-US" w:eastAsia="zh-CN"/>
        </w:rPr>
        <w:t>根据监测结果可知，</w:t>
      </w:r>
      <w:r>
        <w:rPr>
          <w:color w:val="auto"/>
          <w:highlight w:val="none"/>
        </w:rPr>
        <w:t>厂界声环境质量现状能满足《声环境质量标准》（GB3096-2008）3类标准</w:t>
      </w:r>
      <w:r>
        <w:rPr>
          <w:rFonts w:hint="eastAsia"/>
          <w:color w:val="auto"/>
          <w:highlight w:val="none"/>
          <w:lang w:eastAsia="zh-CN"/>
        </w:rPr>
        <w:t>，</w:t>
      </w:r>
      <w:r>
        <w:rPr>
          <w:rFonts w:hint="eastAsia"/>
          <w:color w:val="auto"/>
          <w:highlight w:val="none"/>
          <w:lang w:val="en-US" w:eastAsia="zh-CN"/>
        </w:rPr>
        <w:t>其中靠近祥宏南路一侧执行4a类标准</w:t>
      </w:r>
      <w:r>
        <w:rPr>
          <w:color w:val="auto"/>
          <w:highlight w:val="none"/>
        </w:rPr>
        <w:t>，区域声环境质量良好。</w:t>
      </w:r>
    </w:p>
    <w:p w14:paraId="4789A753">
      <w:pPr>
        <w:bidi w:val="0"/>
        <w:rPr>
          <w:color w:val="auto"/>
          <w:highlight w:val="none"/>
        </w:rPr>
      </w:pPr>
      <w:r>
        <w:rPr>
          <w:color w:val="auto"/>
          <w:highlight w:val="none"/>
        </w:rPr>
        <w:t>（2）声环境影响分析</w:t>
      </w:r>
    </w:p>
    <w:p w14:paraId="006A7C74">
      <w:pPr>
        <w:keepNext w:val="0"/>
        <w:keepLines w:val="0"/>
        <w:widowControl/>
        <w:suppressLineNumbers w:val="0"/>
        <w:jc w:val="both"/>
        <w:rPr>
          <w:color w:val="auto"/>
          <w:highlight w:val="none"/>
        </w:rPr>
      </w:pPr>
      <w:r>
        <w:rPr>
          <w:color w:val="auto"/>
          <w:highlight w:val="none"/>
        </w:rPr>
        <w:t>项目主要噪声源集中在生产区，在采取各种隔声、降噪措施的基础上，根据预测结果：</w:t>
      </w:r>
      <w:r>
        <w:rPr>
          <w:rFonts w:hint="eastAsia" w:ascii="宋体" w:hAnsi="宋体" w:eastAsia="宋体" w:cs="宋体"/>
          <w:color w:val="auto"/>
          <w:kern w:val="0"/>
          <w:sz w:val="24"/>
          <w:szCs w:val="24"/>
          <w:highlight w:val="none"/>
          <w:lang w:val="en-US" w:eastAsia="zh-CN" w:bidi="ar"/>
        </w:rPr>
        <w:t>厂界各监测点位噪声监测值满足</w:t>
      </w:r>
      <w:r>
        <w:rPr>
          <w:color w:val="auto"/>
          <w:highlight w:val="none"/>
        </w:rPr>
        <w:t>《工业企业厂界环境噪声排放标准》（GB12348-2008）</w:t>
      </w:r>
      <w:r>
        <w:rPr>
          <w:rFonts w:hint="eastAsia"/>
          <w:color w:val="auto"/>
          <w:highlight w:val="none"/>
          <w:lang w:val="en-US" w:eastAsia="zh-CN"/>
        </w:rPr>
        <w:t>3</w:t>
      </w:r>
      <w:r>
        <w:rPr>
          <w:color w:val="auto"/>
          <w:highlight w:val="none"/>
        </w:rPr>
        <w:t>类标准</w:t>
      </w:r>
      <w:r>
        <w:rPr>
          <w:rFonts w:hint="eastAsia"/>
          <w:color w:val="auto"/>
          <w:highlight w:val="none"/>
          <w:lang w:eastAsia="zh-CN"/>
        </w:rPr>
        <w:t>，</w:t>
      </w:r>
      <w:r>
        <w:rPr>
          <w:rFonts w:hint="eastAsia"/>
          <w:color w:val="auto"/>
          <w:highlight w:val="none"/>
          <w:lang w:val="en-US" w:eastAsia="zh-CN"/>
        </w:rPr>
        <w:t>其中靠近祥宏南路一侧满足4类标准</w:t>
      </w:r>
      <w:r>
        <w:rPr>
          <w:color w:val="auto"/>
          <w:highlight w:val="none"/>
        </w:rPr>
        <w:t>。</w:t>
      </w:r>
    </w:p>
    <w:p w14:paraId="225AE9C1">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噪声污染防治措施</w:t>
      </w:r>
    </w:p>
    <w:p w14:paraId="612A34E9">
      <w:pPr>
        <w:bidi w:val="0"/>
        <w:rPr>
          <w:color w:val="auto"/>
          <w:highlight w:val="none"/>
        </w:rPr>
      </w:pPr>
      <w:r>
        <w:rPr>
          <w:color w:val="auto"/>
          <w:highlight w:val="none"/>
        </w:rPr>
        <w:t>本项目拟采取以下噪声污染防治措施：优先选用低噪声设备；对</w:t>
      </w:r>
      <w:r>
        <w:rPr>
          <w:rFonts w:hint="eastAsia"/>
          <w:color w:val="auto"/>
          <w:highlight w:val="none"/>
          <w:lang w:val="en-US" w:eastAsia="zh-CN"/>
        </w:rPr>
        <w:t>注塑机组、空压机、粉碎机、喷漆循环风空调机组、风机</w:t>
      </w:r>
      <w:r>
        <w:rPr>
          <w:color w:val="auto"/>
          <w:highlight w:val="none"/>
        </w:rPr>
        <w:t>等强噪声源采取基础减振、厂房隔声；对空压机</w:t>
      </w:r>
      <w:r>
        <w:rPr>
          <w:rFonts w:hint="eastAsia"/>
          <w:color w:val="auto"/>
          <w:highlight w:val="none"/>
          <w:lang w:eastAsia="zh-CN"/>
        </w:rPr>
        <w:t>、</w:t>
      </w:r>
      <w:r>
        <w:rPr>
          <w:rFonts w:hint="eastAsia"/>
          <w:color w:val="auto"/>
          <w:highlight w:val="none"/>
          <w:lang w:val="en-US" w:eastAsia="zh-CN"/>
        </w:rPr>
        <w:t>各种泵类等</w:t>
      </w:r>
      <w:r>
        <w:rPr>
          <w:color w:val="auto"/>
          <w:highlight w:val="none"/>
        </w:rPr>
        <w:t>设置局部隔声罩或隔声间；加强设备维护管理，避免异常噪声产生。</w:t>
      </w:r>
    </w:p>
    <w:p w14:paraId="7FDA4807">
      <w:pPr>
        <w:pStyle w:val="4"/>
        <w:numPr>
          <w:ilvl w:val="0"/>
          <w:numId w:val="0"/>
        </w:numPr>
        <w:tabs>
          <w:tab w:val="clear" w:pos="720"/>
        </w:tabs>
        <w:bidi w:val="0"/>
        <w:rPr>
          <w:color w:val="auto"/>
          <w:highlight w:val="none"/>
        </w:rPr>
      </w:pPr>
      <w:bookmarkStart w:id="1330" w:name="_Toc21017"/>
      <w:bookmarkStart w:id="1331" w:name="_Toc18686"/>
      <w:bookmarkStart w:id="1332" w:name="_Toc30221"/>
      <w:bookmarkStart w:id="1333" w:name="_Toc2074"/>
      <w:bookmarkStart w:id="1334" w:name="_Toc19684"/>
      <w:bookmarkStart w:id="1335" w:name="_Toc11952"/>
      <w:bookmarkStart w:id="1336" w:name="_Toc4676"/>
      <w:bookmarkStart w:id="1337" w:name="_Toc4748"/>
      <w:bookmarkStart w:id="1338" w:name="_Toc20076"/>
      <w:r>
        <w:rPr>
          <w:color w:val="auto"/>
          <w:highlight w:val="none"/>
        </w:rPr>
        <w:t>10.2.4</w:t>
      </w:r>
      <w:r>
        <w:rPr>
          <w:rFonts w:hint="eastAsia"/>
          <w:color w:val="auto"/>
          <w:highlight w:val="none"/>
          <w:lang w:val="en-US" w:eastAsia="zh-CN"/>
        </w:rPr>
        <w:t xml:space="preserve"> </w:t>
      </w:r>
      <w:r>
        <w:rPr>
          <w:color w:val="auto"/>
          <w:highlight w:val="none"/>
        </w:rPr>
        <w:t>固体废物影响评价结论</w:t>
      </w:r>
      <w:bookmarkEnd w:id="1330"/>
      <w:bookmarkEnd w:id="1331"/>
      <w:bookmarkEnd w:id="1332"/>
      <w:bookmarkEnd w:id="1333"/>
      <w:bookmarkEnd w:id="1334"/>
      <w:bookmarkEnd w:id="1335"/>
      <w:bookmarkEnd w:id="1336"/>
      <w:bookmarkEnd w:id="1337"/>
      <w:bookmarkEnd w:id="1338"/>
    </w:p>
    <w:p w14:paraId="4FEF1479">
      <w:pPr>
        <w:pStyle w:val="25"/>
        <w:rPr>
          <w:color w:val="auto"/>
          <w:highlight w:val="none"/>
        </w:rPr>
      </w:pPr>
      <w:r>
        <w:rPr>
          <w:rFonts w:hint="default"/>
          <w:color w:val="auto"/>
          <w:highlight w:val="none"/>
        </w:rPr>
        <w:t>项目固废处置遵循</w:t>
      </w:r>
      <w:r>
        <w:rPr>
          <w:rFonts w:hint="eastAsia"/>
          <w:color w:val="auto"/>
          <w:highlight w:val="none"/>
          <w:lang w:eastAsia="zh-CN"/>
        </w:rPr>
        <w:t>“</w:t>
      </w:r>
      <w:r>
        <w:rPr>
          <w:rFonts w:hint="default"/>
          <w:color w:val="auto"/>
          <w:highlight w:val="none"/>
        </w:rPr>
        <w:t>减量化、资源化、无害化</w:t>
      </w:r>
      <w:r>
        <w:rPr>
          <w:rFonts w:hint="eastAsia"/>
          <w:color w:val="auto"/>
          <w:highlight w:val="none"/>
          <w:lang w:eastAsia="zh-CN"/>
        </w:rPr>
        <w:t>”</w:t>
      </w:r>
      <w:r>
        <w:rPr>
          <w:rFonts w:hint="default"/>
          <w:color w:val="auto"/>
          <w:highlight w:val="none"/>
        </w:rPr>
        <w:t>原则，各类固体废物均得到合理有效处置：</w:t>
      </w:r>
    </w:p>
    <w:p w14:paraId="62AAE35B">
      <w:pPr>
        <w:pStyle w:val="25"/>
        <w:rPr>
          <w:rFonts w:hint="default"/>
          <w:color w:val="auto"/>
          <w:highlight w:val="none"/>
        </w:rPr>
      </w:pPr>
      <w:r>
        <w:rPr>
          <w:rFonts w:hint="default"/>
          <w:color w:val="auto"/>
          <w:highlight w:val="none"/>
        </w:rPr>
        <w:t>一般工业固体废物：注塑工序不合格品及废边角料经粉碎后回用于生产；废包装材料、布袋收集粉尘、废抛光片、废布袋分类收集后暂存于一般固废暂存间，由合规回收单位回收综合利用；纯水制备废滤材及废蓄热陶瓷体更换时由</w:t>
      </w:r>
      <w:r>
        <w:rPr>
          <w:rFonts w:hint="eastAsia"/>
          <w:color w:val="auto"/>
          <w:highlight w:val="none"/>
          <w:lang w:val="en-US" w:eastAsia="zh-CN"/>
        </w:rPr>
        <w:t>相应</w:t>
      </w:r>
      <w:r>
        <w:rPr>
          <w:rFonts w:hint="default"/>
          <w:color w:val="auto"/>
          <w:highlight w:val="none"/>
        </w:rPr>
        <w:t>厂家直接回收处理，不在厂区暂存。</w:t>
      </w:r>
    </w:p>
    <w:p w14:paraId="2F952A2C">
      <w:pPr>
        <w:pStyle w:val="25"/>
        <w:rPr>
          <w:rFonts w:hint="default"/>
          <w:color w:val="auto"/>
          <w:highlight w:val="none"/>
        </w:rPr>
      </w:pPr>
      <w:r>
        <w:rPr>
          <w:rFonts w:hint="default"/>
          <w:color w:val="auto"/>
          <w:highlight w:val="none"/>
        </w:rPr>
        <w:t>危险废物：</w:t>
      </w:r>
      <w:r>
        <w:rPr>
          <w:rFonts w:hint="eastAsia"/>
          <w:color w:val="auto"/>
          <w:highlight w:val="none"/>
          <w:lang w:eastAsia="zh-CN"/>
        </w:rPr>
        <w:t>废包装桶</w:t>
      </w:r>
      <w:r>
        <w:rPr>
          <w:rFonts w:hint="default"/>
          <w:color w:val="auto"/>
          <w:highlight w:val="none"/>
        </w:rPr>
        <w:t>、废润滑油、废清洗剂、废活性炭、废过滤棉（含漆渣）、废干式纸盒（含漆渣）、热洁炉灰渣等分类收集后暂存于厂内危废贮存库，定期委托有资质的危废处置单位安全处置；其中</w:t>
      </w:r>
      <w:r>
        <w:rPr>
          <w:rFonts w:hint="eastAsia"/>
          <w:color w:val="auto"/>
          <w:highlight w:val="none"/>
          <w:lang w:eastAsia="zh-CN"/>
        </w:rPr>
        <w:t>含油的手套及废抹布</w:t>
      </w:r>
      <w:r>
        <w:rPr>
          <w:rFonts w:hint="default"/>
          <w:color w:val="auto"/>
          <w:highlight w:val="none"/>
        </w:rPr>
        <w:t>属于危险废物豁免管理清单范畴，分类收集后混入生活垃圾，委托环卫部门统一清运处置。</w:t>
      </w:r>
    </w:p>
    <w:p w14:paraId="1F05A24B">
      <w:pPr>
        <w:pStyle w:val="25"/>
        <w:rPr>
          <w:rFonts w:hint="default"/>
          <w:color w:val="auto"/>
          <w:highlight w:val="none"/>
        </w:rPr>
      </w:pPr>
      <w:r>
        <w:rPr>
          <w:rFonts w:hint="default"/>
          <w:color w:val="auto"/>
          <w:highlight w:val="none"/>
        </w:rPr>
        <w:t>生活垃圾：在厂区内定点分类收集后，委托当地环卫部门统一清运处理。</w:t>
      </w:r>
    </w:p>
    <w:p w14:paraId="3922D353">
      <w:pPr>
        <w:pStyle w:val="25"/>
        <w:rPr>
          <w:rFonts w:hint="default"/>
          <w:color w:val="auto"/>
          <w:highlight w:val="none"/>
        </w:rPr>
      </w:pPr>
      <w:r>
        <w:rPr>
          <w:rFonts w:hint="default"/>
          <w:color w:val="auto"/>
          <w:highlight w:val="none"/>
        </w:rPr>
        <w:t>各固废在外运处置前，须在厂内规范、安全暂存，确保不产生二次污染。综上，本项目固体废物处置措施可行，对周围环境影响较小。</w:t>
      </w:r>
    </w:p>
    <w:bookmarkEnd w:id="1290"/>
    <w:bookmarkEnd w:id="1291"/>
    <w:bookmarkEnd w:id="1292"/>
    <w:p w14:paraId="65501DD9">
      <w:pPr>
        <w:pStyle w:val="4"/>
        <w:numPr>
          <w:ilvl w:val="0"/>
          <w:numId w:val="0"/>
        </w:numPr>
        <w:tabs>
          <w:tab w:val="clear" w:pos="720"/>
        </w:tabs>
        <w:bidi w:val="0"/>
        <w:rPr>
          <w:color w:val="auto"/>
          <w:highlight w:val="none"/>
        </w:rPr>
      </w:pPr>
      <w:bookmarkStart w:id="1339" w:name="_Toc28899"/>
      <w:bookmarkStart w:id="1340" w:name="_Toc23365"/>
      <w:bookmarkStart w:id="1341" w:name="_Toc1040"/>
      <w:bookmarkStart w:id="1342" w:name="_Toc2983"/>
      <w:bookmarkStart w:id="1343" w:name="_Toc18959"/>
      <w:bookmarkStart w:id="1344" w:name="_Toc5894"/>
      <w:bookmarkStart w:id="1345" w:name="_Toc14763"/>
      <w:bookmarkStart w:id="1346" w:name="_Toc7920"/>
      <w:bookmarkStart w:id="1347" w:name="_Toc16851"/>
      <w:bookmarkStart w:id="1348" w:name="_Toc366255037"/>
      <w:bookmarkStart w:id="1349" w:name="_Toc362276205"/>
      <w:bookmarkStart w:id="1350" w:name="_Toc373835756"/>
      <w:r>
        <w:rPr>
          <w:color w:val="auto"/>
          <w:highlight w:val="none"/>
        </w:rPr>
        <w:t>10.2.5</w:t>
      </w:r>
      <w:r>
        <w:rPr>
          <w:rFonts w:hint="eastAsia"/>
          <w:color w:val="auto"/>
          <w:highlight w:val="none"/>
          <w:lang w:val="en-US" w:eastAsia="zh-CN"/>
        </w:rPr>
        <w:t xml:space="preserve"> </w:t>
      </w:r>
      <w:r>
        <w:rPr>
          <w:color w:val="auto"/>
          <w:highlight w:val="none"/>
        </w:rPr>
        <w:t>地下水环境影响评价结论</w:t>
      </w:r>
      <w:bookmarkEnd w:id="1339"/>
      <w:bookmarkEnd w:id="1340"/>
      <w:bookmarkEnd w:id="1341"/>
      <w:bookmarkEnd w:id="1342"/>
      <w:bookmarkEnd w:id="1343"/>
      <w:bookmarkEnd w:id="1344"/>
      <w:bookmarkEnd w:id="1345"/>
      <w:bookmarkEnd w:id="1346"/>
      <w:bookmarkEnd w:id="1347"/>
    </w:p>
    <w:p w14:paraId="26B79E02">
      <w:pPr>
        <w:bidi w:val="0"/>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地下水环境质量现状</w:t>
      </w:r>
    </w:p>
    <w:p w14:paraId="44E2160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根据监测结果，各地下水监测点的pH、氨氮、硝酸盐、亚硝酸盐、挥发性酚类、氰化物、砷、汞、铬（六价）、总硬度、铅、氟、镉、铁、锰、溶解性固体、硫酸盐、氯化物、大肠菌群、K</w:t>
      </w:r>
      <w:r>
        <w:rPr>
          <w:rFonts w:hint="default" w:ascii="Times New Roman" w:hAnsi="Times New Roman" w:cs="Times New Roman"/>
          <w:color w:val="auto"/>
          <w:highlight w:val="none"/>
          <w:vertAlign w:val="superscript"/>
          <w:lang w:eastAsia="zh-CN"/>
        </w:rPr>
        <w:t>+</w:t>
      </w:r>
      <w:r>
        <w:rPr>
          <w:rFonts w:hint="default" w:ascii="Times New Roman" w:hAnsi="Times New Roman" w:cs="Times New Roman"/>
          <w:color w:val="auto"/>
          <w:highlight w:val="none"/>
          <w:lang w:eastAsia="zh-CN"/>
        </w:rPr>
        <w:t>、Na</w:t>
      </w:r>
      <w:r>
        <w:rPr>
          <w:rFonts w:hint="default" w:ascii="Times New Roman" w:hAnsi="Times New Roman" w:cs="Times New Roman"/>
          <w:color w:val="auto"/>
          <w:highlight w:val="none"/>
          <w:vertAlign w:val="superscript"/>
          <w:lang w:eastAsia="zh-CN"/>
        </w:rPr>
        <w:t>+</w:t>
      </w:r>
      <w:r>
        <w:rPr>
          <w:rFonts w:hint="default" w:ascii="Times New Roman" w:hAnsi="Times New Roman" w:cs="Times New Roman"/>
          <w:color w:val="auto"/>
          <w:highlight w:val="none"/>
          <w:lang w:eastAsia="zh-CN"/>
        </w:rPr>
        <w:t>、Ca</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、Mg</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、CO</w:t>
      </w:r>
      <w:r>
        <w:rPr>
          <w:rFonts w:hint="default" w:ascii="Times New Roman" w:hAnsi="Times New Roman" w:cs="Times New Roman"/>
          <w:color w:val="auto"/>
          <w:highlight w:val="none"/>
          <w:vertAlign w:val="subscript"/>
          <w:lang w:eastAsia="zh-CN"/>
        </w:rPr>
        <w:t>3</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、HCO</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、C</w:t>
      </w:r>
      <w:r>
        <w:rPr>
          <w:rFonts w:hint="default" w:ascii="Times New Roman" w:hAnsi="Times New Roman" w:cs="Times New Roman"/>
          <w:color w:val="auto"/>
          <w:highlight w:val="none"/>
          <w:vertAlign w:val="superscript"/>
          <w:lang w:eastAsia="zh-CN"/>
        </w:rPr>
        <w:t>l-</w:t>
      </w:r>
      <w:r>
        <w:rPr>
          <w:rFonts w:hint="default" w:ascii="Times New Roman" w:hAnsi="Times New Roman" w:cs="Times New Roman"/>
          <w:color w:val="auto"/>
          <w:highlight w:val="none"/>
          <w:lang w:eastAsia="zh-CN"/>
        </w:rPr>
        <w:t>、SO</w:t>
      </w:r>
      <w:r>
        <w:rPr>
          <w:rFonts w:hint="default" w:ascii="Times New Roman" w:hAnsi="Times New Roman" w:cs="Times New Roman"/>
          <w:color w:val="auto"/>
          <w:highlight w:val="none"/>
          <w:vertAlign w:val="subscript"/>
          <w:lang w:eastAsia="zh-CN"/>
        </w:rPr>
        <w:t>4</w:t>
      </w:r>
      <w:r>
        <w:rPr>
          <w:rFonts w:hint="default" w:ascii="Times New Roman" w:hAnsi="Times New Roman" w:cs="Times New Roman"/>
          <w:color w:val="auto"/>
          <w:highlight w:val="none"/>
          <w:vertAlign w:val="superscript"/>
          <w:lang w:eastAsia="zh-CN"/>
        </w:rPr>
        <w:t>2-</w:t>
      </w:r>
      <w:r>
        <w:rPr>
          <w:rFonts w:hint="eastAsia" w:cs="Times New Roman"/>
          <w:color w:val="auto"/>
          <w:highlight w:val="none"/>
          <w:vertAlign w:val="baseline"/>
          <w:lang w:eastAsia="zh-CN"/>
        </w:rPr>
        <w:t>、</w:t>
      </w:r>
      <w:r>
        <w:rPr>
          <w:rFonts w:hint="eastAsia" w:cs="Times New Roman"/>
          <w:color w:val="auto"/>
          <w:highlight w:val="none"/>
          <w:vertAlign w:val="baseline"/>
          <w:lang w:val="en-US" w:eastAsia="zh-CN"/>
        </w:rPr>
        <w:t>二甲苯、石油烃（C</w:t>
      </w:r>
      <w:r>
        <w:rPr>
          <w:rFonts w:hint="eastAsia" w:cs="Times New Roman"/>
          <w:color w:val="auto"/>
          <w:highlight w:val="none"/>
          <w:vertAlign w:val="subscript"/>
          <w:lang w:val="en-US" w:eastAsia="zh-CN"/>
        </w:rPr>
        <w:t>6</w:t>
      </w:r>
      <w:r>
        <w:rPr>
          <w:rFonts w:hint="eastAsia" w:cs="Times New Roman"/>
          <w:color w:val="auto"/>
          <w:highlight w:val="none"/>
          <w:vertAlign w:val="baseline"/>
          <w:lang w:val="en-US" w:eastAsia="zh-CN"/>
        </w:rPr>
        <w:t>-C</w:t>
      </w:r>
      <w:r>
        <w:rPr>
          <w:rFonts w:hint="eastAsia" w:cs="Times New Roman"/>
          <w:color w:val="auto"/>
          <w:highlight w:val="none"/>
          <w:vertAlign w:val="subscript"/>
          <w:lang w:val="en-US" w:eastAsia="zh-CN"/>
        </w:rPr>
        <w:t>9</w:t>
      </w:r>
      <w:r>
        <w:rPr>
          <w:rFonts w:hint="eastAsia" w:cs="Times New Roman"/>
          <w:color w:val="auto"/>
          <w:highlight w:val="none"/>
          <w:vertAlign w:val="baseline"/>
          <w:lang w:val="en-US" w:eastAsia="zh-CN"/>
        </w:rPr>
        <w:t>、C</w:t>
      </w:r>
      <w:r>
        <w:rPr>
          <w:rFonts w:hint="eastAsia" w:cs="Times New Roman"/>
          <w:color w:val="auto"/>
          <w:highlight w:val="none"/>
          <w:vertAlign w:val="subscript"/>
          <w:lang w:val="en-US" w:eastAsia="zh-CN"/>
        </w:rPr>
        <w:t>10</w:t>
      </w:r>
      <w:r>
        <w:rPr>
          <w:rFonts w:hint="eastAsia" w:cs="Times New Roman"/>
          <w:color w:val="auto"/>
          <w:highlight w:val="none"/>
          <w:vertAlign w:val="baseline"/>
          <w:lang w:val="en-US" w:eastAsia="zh-CN"/>
        </w:rPr>
        <w:t>-C</w:t>
      </w:r>
      <w:r>
        <w:rPr>
          <w:rFonts w:hint="eastAsia" w:cs="Times New Roman"/>
          <w:color w:val="auto"/>
          <w:highlight w:val="none"/>
          <w:vertAlign w:val="subscript"/>
          <w:lang w:val="en-US" w:eastAsia="zh-CN"/>
        </w:rPr>
        <w:t>40</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eastAsia="zh-CN"/>
        </w:rPr>
        <w:t>等各项指标的监测值均满足《地下水质量标准》（GB/T14848-201</w:t>
      </w:r>
      <w:r>
        <w:rPr>
          <w:rFonts w:hint="eastAsia" w:ascii="Times New Roman" w:hAnsi="Times New Roman" w:cs="Times New Roman"/>
          <w:color w:val="auto"/>
          <w:highlight w:val="none"/>
          <w:vertAlign w:val="baseline"/>
          <w:lang w:val="en-US" w:eastAsia="zh-CN"/>
        </w:rPr>
        <w:t>7</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highlight w:val="none"/>
          <w:vertAlign w:val="baseline"/>
          <w:lang w:val="en-US" w:eastAsia="zh-CN"/>
        </w:rPr>
        <w:t>Ⅳ</w:t>
      </w:r>
      <w:r>
        <w:rPr>
          <w:rFonts w:hint="eastAsia"/>
          <w:color w:val="auto"/>
          <w:highlight w:val="none"/>
        </w:rPr>
        <w:t>类</w:t>
      </w:r>
      <w:r>
        <w:rPr>
          <w:rFonts w:hint="default" w:ascii="Times New Roman" w:hAnsi="Times New Roman" w:cs="Times New Roman"/>
          <w:color w:val="auto"/>
          <w:highlight w:val="none"/>
          <w:vertAlign w:val="baseline"/>
          <w:lang w:eastAsia="zh-CN"/>
        </w:rPr>
        <w:t>标准要求。</w:t>
      </w:r>
    </w:p>
    <w:p w14:paraId="2BA95C5A">
      <w:pPr>
        <w:bidi w:val="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地下水环境影响</w:t>
      </w:r>
    </w:p>
    <w:p w14:paraId="30AC5162">
      <w:pPr>
        <w:bidi w:val="0"/>
        <w:rPr>
          <w:color w:val="auto"/>
          <w:highlight w:val="none"/>
        </w:rPr>
      </w:pPr>
      <w:r>
        <w:rPr>
          <w:rFonts w:hint="default" w:ascii="Times New Roman" w:hAnsi="Times New Roman" w:cs="Times New Roman"/>
          <w:color w:val="auto"/>
          <w:highlight w:val="none"/>
          <w:lang w:eastAsia="zh-CN"/>
        </w:rPr>
        <w:t>项目</w:t>
      </w:r>
      <w:r>
        <w:rPr>
          <w:rFonts w:hint="eastAsia"/>
          <w:color w:val="auto"/>
          <w:highlight w:val="none"/>
        </w:rPr>
        <w:t>地下水评价等级</w:t>
      </w:r>
      <w:r>
        <w:rPr>
          <w:rFonts w:hint="eastAsia"/>
          <w:color w:val="auto"/>
          <w:highlight w:val="none"/>
          <w:lang w:val="en-US" w:eastAsia="zh-CN"/>
        </w:rPr>
        <w:t>为</w:t>
      </w:r>
      <w:r>
        <w:rPr>
          <w:rFonts w:hint="eastAsia"/>
          <w:color w:val="auto"/>
          <w:highlight w:val="none"/>
        </w:rPr>
        <w:t>三级，区域无集中式、分散式饮用水源保护区和涉及地下水的环境敏感区。项目地下水保护目标为评价区内潜水含水层，使其符合</w:t>
      </w:r>
      <w:r>
        <w:rPr>
          <w:rFonts w:hint="default" w:ascii="Times New Roman" w:hAnsi="Times New Roman" w:cs="Times New Roman"/>
          <w:color w:val="auto"/>
          <w:highlight w:val="none"/>
          <w:vertAlign w:val="baseline"/>
          <w:lang w:eastAsia="zh-CN"/>
        </w:rPr>
        <w:t>《地下水质量标准》（GB/T14848-201</w:t>
      </w:r>
      <w:r>
        <w:rPr>
          <w:rFonts w:hint="eastAsia" w:ascii="Times New Roman" w:hAnsi="Times New Roman" w:cs="Times New Roman"/>
          <w:color w:val="auto"/>
          <w:highlight w:val="none"/>
          <w:vertAlign w:val="baseline"/>
          <w:lang w:val="en-US" w:eastAsia="zh-CN"/>
        </w:rPr>
        <w:t>7</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highlight w:val="none"/>
          <w:vertAlign w:val="baseline"/>
          <w:lang w:val="en-US" w:eastAsia="zh-CN"/>
        </w:rPr>
        <w:t>Ⅳ</w:t>
      </w:r>
      <w:r>
        <w:rPr>
          <w:rFonts w:hint="eastAsia"/>
          <w:color w:val="auto"/>
          <w:highlight w:val="none"/>
        </w:rPr>
        <w:t>类标准。</w:t>
      </w:r>
      <w:r>
        <w:rPr>
          <w:color w:val="auto"/>
          <w:highlight w:val="none"/>
        </w:rPr>
        <w:t>项目所在区域不属于地下水环境敏感区，项目不取用地下水，不会对区域地下水的水位、水量产生影响；在落实本环评提出的分区防渗措施基本不会对区域地下水环境影响小。</w:t>
      </w:r>
    </w:p>
    <w:p w14:paraId="315AB29D">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地下水污染防治措施</w:t>
      </w:r>
    </w:p>
    <w:p w14:paraId="38A111B0">
      <w:pPr>
        <w:bidi w:val="0"/>
        <w:rPr>
          <w:color w:val="auto"/>
          <w:highlight w:val="none"/>
        </w:rPr>
      </w:pPr>
      <w:r>
        <w:rPr>
          <w:rFonts w:hint="eastAsia"/>
          <w:color w:val="auto"/>
          <w:highlight w:val="none"/>
        </w:rPr>
        <w:t>本项目地下水污染防治措施按照</w:t>
      </w:r>
      <w:r>
        <w:rPr>
          <w:rFonts w:hint="eastAsia"/>
          <w:color w:val="auto"/>
          <w:highlight w:val="none"/>
          <w:lang w:eastAsia="zh-CN"/>
        </w:rPr>
        <w:t>“</w:t>
      </w:r>
      <w:r>
        <w:rPr>
          <w:rFonts w:hint="eastAsia"/>
          <w:color w:val="auto"/>
          <w:highlight w:val="none"/>
        </w:rPr>
        <w:t>源头控制、分区设防、污染监控、应急响应</w:t>
      </w:r>
      <w:r>
        <w:rPr>
          <w:rFonts w:hint="eastAsia"/>
          <w:color w:val="auto"/>
          <w:highlight w:val="none"/>
          <w:lang w:eastAsia="zh-CN"/>
        </w:rPr>
        <w:t>”</w:t>
      </w:r>
      <w:r>
        <w:rPr>
          <w:rFonts w:hint="eastAsia"/>
          <w:color w:val="auto"/>
          <w:highlight w:val="none"/>
        </w:rPr>
        <w:t>相结合的原则，从污染物产生、入渗、扩散、应急响应全阶段进行控制。</w:t>
      </w:r>
    </w:p>
    <w:p w14:paraId="3BE566AB">
      <w:pPr>
        <w:pStyle w:val="4"/>
        <w:numPr>
          <w:ilvl w:val="0"/>
          <w:numId w:val="0"/>
        </w:numPr>
        <w:tabs>
          <w:tab w:val="clear" w:pos="720"/>
        </w:tabs>
        <w:bidi w:val="0"/>
        <w:rPr>
          <w:color w:val="auto"/>
          <w:highlight w:val="none"/>
        </w:rPr>
      </w:pPr>
      <w:bookmarkStart w:id="1351" w:name="_Toc12560"/>
      <w:bookmarkStart w:id="1352" w:name="_Toc31495"/>
      <w:bookmarkStart w:id="1353" w:name="_Toc21279"/>
      <w:bookmarkStart w:id="1354" w:name="_Toc6674"/>
      <w:bookmarkStart w:id="1355" w:name="_Toc1578"/>
      <w:bookmarkStart w:id="1356" w:name="_Toc27591"/>
      <w:bookmarkStart w:id="1357" w:name="_Toc10965"/>
      <w:bookmarkStart w:id="1358" w:name="_Toc7412"/>
      <w:bookmarkStart w:id="1359" w:name="_Toc6449"/>
      <w:r>
        <w:rPr>
          <w:color w:val="auto"/>
          <w:highlight w:val="none"/>
        </w:rPr>
        <w:t>10.2.6土壤环境影响评价结论</w:t>
      </w:r>
      <w:bookmarkEnd w:id="1351"/>
      <w:bookmarkEnd w:id="1352"/>
      <w:bookmarkEnd w:id="1353"/>
      <w:bookmarkEnd w:id="1354"/>
      <w:bookmarkEnd w:id="1355"/>
      <w:bookmarkEnd w:id="1356"/>
      <w:bookmarkEnd w:id="1357"/>
      <w:bookmarkEnd w:id="1358"/>
      <w:bookmarkEnd w:id="1359"/>
    </w:p>
    <w:p w14:paraId="4BB3F0AF">
      <w:pPr>
        <w:bidi w:val="0"/>
        <w:rPr>
          <w:rFonts w:hint="eastAsia"/>
          <w:color w:val="auto"/>
          <w:highlight w:val="none"/>
        </w:rPr>
      </w:pPr>
      <w:r>
        <w:rPr>
          <w:rFonts w:hint="eastAsia"/>
          <w:color w:val="auto"/>
          <w:highlight w:val="none"/>
        </w:rPr>
        <w:t>本项目对土壤环境的影响主要来自液态原辅材料及危险废物的暂存和使用过程，废水正常工况下基本不构成土壤污染途径。</w:t>
      </w:r>
    </w:p>
    <w:p w14:paraId="23E06944">
      <w:pPr>
        <w:bidi w:val="0"/>
        <w:rPr>
          <w:rFonts w:hint="eastAsia"/>
          <w:color w:val="auto"/>
          <w:highlight w:val="none"/>
        </w:rPr>
      </w:pPr>
      <w:r>
        <w:rPr>
          <w:rFonts w:hint="eastAsia"/>
          <w:color w:val="auto"/>
          <w:highlight w:val="none"/>
        </w:rPr>
        <w:t>正常工况下，项目液体物料均采用密闭桶装，存放于专用区域，下方设置托盘或防渗垫层；危险废物分类收集、密闭包装，暂存于符合规范的危险废物暂存间，地面及裙角采取防渗、防腐处理。厂区地面均进行水泥硬化，液态物料及危险废物在正常工况下不会直接接触土壤，对周围土壤环境影响较小。</w:t>
      </w:r>
    </w:p>
    <w:p w14:paraId="68E51A7D">
      <w:pPr>
        <w:bidi w:val="0"/>
        <w:rPr>
          <w:rFonts w:hint="eastAsia"/>
          <w:color w:val="auto"/>
          <w:highlight w:val="none"/>
        </w:rPr>
      </w:pPr>
      <w:r>
        <w:rPr>
          <w:rFonts w:hint="eastAsia"/>
          <w:color w:val="auto"/>
          <w:highlight w:val="none"/>
        </w:rPr>
        <w:t>非正常工况下，若液态原辅材料包装桶破损或危险废物包装容器泄漏，少量物料可能以地面漫流或垂直下渗形式进入周边土壤。建设单位应加强日常巡查，一旦发现泄漏，立即切断污染源，采用吸附材料、围堰或临时收集设施进行收集，并及时清理受污染区域。项目液态物料和危险废物泄漏总量较小，且属短期事故，在及时采取收集和清理措施的前提下，对土壤环境影响较小。</w:t>
      </w:r>
    </w:p>
    <w:p w14:paraId="7333BC20">
      <w:pPr>
        <w:bidi w:val="0"/>
        <w:rPr>
          <w:rFonts w:hint="eastAsia"/>
          <w:color w:val="auto"/>
          <w:highlight w:val="none"/>
        </w:rPr>
      </w:pPr>
      <w:r>
        <w:rPr>
          <w:rFonts w:hint="eastAsia"/>
          <w:color w:val="auto"/>
          <w:highlight w:val="none"/>
        </w:rPr>
        <w:t>生活污水经出租方已建化粪池处理后纳入市政污水管网；注塑冷却水、</w:t>
      </w:r>
      <w:r>
        <w:rPr>
          <w:rFonts w:hint="eastAsia"/>
          <w:color w:val="auto"/>
          <w:highlight w:val="none"/>
          <w:lang w:val="en-US" w:eastAsia="zh-CN"/>
        </w:rPr>
        <w:t>冷水机</w:t>
      </w:r>
      <w:r>
        <w:rPr>
          <w:rFonts w:hint="eastAsia"/>
          <w:color w:val="auto"/>
          <w:highlight w:val="none"/>
        </w:rPr>
        <w:t>冷却水</w:t>
      </w:r>
      <w:r>
        <w:rPr>
          <w:rFonts w:hint="eastAsia"/>
          <w:color w:val="auto"/>
          <w:highlight w:val="none"/>
          <w:lang w:val="en-US" w:eastAsia="zh-CN"/>
        </w:rPr>
        <w:t>与热洁炉换热器冷却水</w:t>
      </w:r>
      <w:r>
        <w:rPr>
          <w:rFonts w:hint="eastAsia"/>
          <w:color w:val="auto"/>
          <w:highlight w:val="none"/>
        </w:rPr>
        <w:t>均为间接冷却水，经冷却塔降温后全部循环使用，不外排；锅炉排污水和纯水制备反渗透浓水水质简单，不含重金属及有毒有害物质，经厂区污水总排口接入市政污水管网。正常工况下，废水不会进入土壤环境。</w:t>
      </w:r>
    </w:p>
    <w:p w14:paraId="21358972">
      <w:pPr>
        <w:bidi w:val="0"/>
        <w:rPr>
          <w:rFonts w:hint="eastAsia"/>
          <w:color w:val="auto"/>
          <w:highlight w:val="none"/>
        </w:rPr>
      </w:pPr>
      <w:r>
        <w:rPr>
          <w:rFonts w:hint="eastAsia"/>
          <w:color w:val="auto"/>
          <w:highlight w:val="none"/>
        </w:rPr>
        <w:t>综上，在落实液态物料密闭桶装、危险废物规范暂存、重点区域防渗及事故应急收集等措施的前提下，本项目对土壤环境的影响可接受。</w:t>
      </w:r>
    </w:p>
    <w:p w14:paraId="64A4E227">
      <w:pPr>
        <w:pStyle w:val="4"/>
        <w:numPr>
          <w:ilvl w:val="0"/>
          <w:numId w:val="0"/>
        </w:numPr>
        <w:tabs>
          <w:tab w:val="clear" w:pos="720"/>
        </w:tabs>
        <w:bidi w:val="0"/>
        <w:rPr>
          <w:color w:val="auto"/>
          <w:highlight w:val="none"/>
        </w:rPr>
      </w:pPr>
      <w:bookmarkStart w:id="1360" w:name="_Toc9872"/>
      <w:bookmarkStart w:id="1361" w:name="_Toc29115"/>
      <w:bookmarkStart w:id="1362" w:name="_Toc4879"/>
      <w:bookmarkStart w:id="1363" w:name="_Toc31205"/>
      <w:bookmarkStart w:id="1364" w:name="_Toc22876"/>
      <w:bookmarkStart w:id="1365" w:name="_Toc23651"/>
      <w:bookmarkStart w:id="1366" w:name="_Toc6282"/>
      <w:bookmarkStart w:id="1367" w:name="_Toc8840"/>
      <w:bookmarkStart w:id="1368" w:name="_Toc25646"/>
      <w:r>
        <w:rPr>
          <w:color w:val="auto"/>
          <w:highlight w:val="none"/>
        </w:rPr>
        <w:t>10.2.7</w:t>
      </w:r>
      <w:r>
        <w:rPr>
          <w:rFonts w:hint="eastAsia"/>
          <w:color w:val="auto"/>
          <w:highlight w:val="none"/>
          <w:lang w:val="en-US" w:eastAsia="zh-CN"/>
        </w:rPr>
        <w:t xml:space="preserve"> </w:t>
      </w:r>
      <w:r>
        <w:rPr>
          <w:color w:val="auto"/>
          <w:highlight w:val="none"/>
        </w:rPr>
        <w:t>环境风险评价结论</w:t>
      </w:r>
      <w:bookmarkEnd w:id="1348"/>
      <w:bookmarkEnd w:id="1349"/>
      <w:bookmarkEnd w:id="1350"/>
      <w:bookmarkEnd w:id="1360"/>
      <w:bookmarkEnd w:id="1361"/>
      <w:bookmarkEnd w:id="1362"/>
      <w:bookmarkEnd w:id="1363"/>
      <w:bookmarkEnd w:id="1364"/>
      <w:bookmarkEnd w:id="1365"/>
      <w:bookmarkEnd w:id="1366"/>
      <w:bookmarkEnd w:id="1367"/>
      <w:bookmarkEnd w:id="1368"/>
    </w:p>
    <w:p w14:paraId="38CEC77C">
      <w:pPr>
        <w:bidi w:val="0"/>
        <w:rPr>
          <w:color w:val="auto"/>
          <w:highlight w:val="none"/>
        </w:rPr>
      </w:pPr>
      <w:r>
        <w:rPr>
          <w:color w:val="auto"/>
          <w:highlight w:val="none"/>
        </w:rPr>
        <w:t>根据《建设项目环境风险评价技术导则》（</w:t>
      </w:r>
      <w:r>
        <w:rPr>
          <w:rFonts w:hint="eastAsia"/>
          <w:color w:val="auto"/>
          <w:highlight w:val="none"/>
          <w:lang w:eastAsia="zh-CN"/>
        </w:rPr>
        <w:t>HJ 169-2018</w:t>
      </w:r>
      <w:r>
        <w:rPr>
          <w:color w:val="auto"/>
          <w:highlight w:val="none"/>
        </w:rPr>
        <w:t>）评价工作等级划分，本项目环境风险潜势为Ⅰ，进行简单分析。</w:t>
      </w:r>
    </w:p>
    <w:p w14:paraId="214F632F">
      <w:pPr>
        <w:bidi w:val="0"/>
        <w:rPr>
          <w:rFonts w:hint="default"/>
          <w:color w:val="auto"/>
          <w:highlight w:val="none"/>
        </w:rPr>
      </w:pPr>
      <w:r>
        <w:rPr>
          <w:rFonts w:hint="default"/>
          <w:color w:val="auto"/>
          <w:highlight w:val="none"/>
        </w:rPr>
        <w:t>本项目主要危险单元为涂料及配套稀释剂、固化剂、清洗剂储存区，危废贮存库，以及天然气使用区域等，涉及的主要危险物质为二甲苯、乙酸丁酯、废润滑油及天然气。本项目危险因素主要考虑各危险物质泄漏及火灾引发的次生污染事故。</w:t>
      </w:r>
    </w:p>
    <w:p w14:paraId="7FB3CC2F">
      <w:pPr>
        <w:bidi w:val="0"/>
        <w:rPr>
          <w:rFonts w:hint="default"/>
          <w:color w:val="auto"/>
          <w:highlight w:val="none"/>
        </w:rPr>
      </w:pPr>
      <w:r>
        <w:rPr>
          <w:rFonts w:hint="default"/>
          <w:color w:val="auto"/>
          <w:highlight w:val="none"/>
        </w:rPr>
        <w:t>涂料及配套稀释剂、固化剂、清洗剂采用密闭桶装，存放于专用储存区，在线量较小；废润滑油分类收集后暂存于危废贮存库内；天然气由管道接入</w:t>
      </w:r>
      <w:r>
        <w:rPr>
          <w:rFonts w:hint="eastAsia"/>
          <w:color w:val="auto"/>
          <w:highlight w:val="none"/>
          <w:lang w:eastAsia="zh-CN"/>
        </w:rPr>
        <w:t>，</w:t>
      </w:r>
      <w:r>
        <w:rPr>
          <w:rFonts w:hint="eastAsia"/>
          <w:color w:val="auto"/>
          <w:highlight w:val="none"/>
          <w:lang w:val="en-US" w:eastAsia="zh-CN"/>
        </w:rPr>
        <w:t>无储罐</w:t>
      </w:r>
      <w:r>
        <w:rPr>
          <w:rFonts w:hint="default"/>
          <w:color w:val="auto"/>
          <w:highlight w:val="none"/>
        </w:rPr>
        <w:t>。各储存区域均按规范设置防泄漏托盘或围堰，地面采取防渗处理。当发生泄漏事故时，泄漏液可有效控制在储存区内，基本不会流入外环境；天然气若发生泄漏，可通过切断气源、加强通风等措施及时处置。在落实上述风险防范措施的前提下，本项目环境风险可控，对地表水、地下水及土壤环境影响较小。</w:t>
      </w:r>
    </w:p>
    <w:p w14:paraId="73D75879">
      <w:pPr>
        <w:pStyle w:val="3"/>
        <w:numPr>
          <w:ilvl w:val="0"/>
          <w:numId w:val="0"/>
        </w:numPr>
        <w:bidi w:val="0"/>
        <w:rPr>
          <w:color w:val="auto"/>
          <w:highlight w:val="none"/>
        </w:rPr>
      </w:pPr>
      <w:bookmarkStart w:id="1369" w:name="_Toc23438"/>
      <w:bookmarkStart w:id="1370" w:name="_Toc9060"/>
      <w:bookmarkStart w:id="1371" w:name="_Toc26140"/>
      <w:bookmarkStart w:id="1372" w:name="_Toc20890"/>
      <w:bookmarkStart w:id="1373" w:name="_Toc15335"/>
      <w:bookmarkStart w:id="1374" w:name="_Toc13648"/>
      <w:bookmarkStart w:id="1375" w:name="_Toc31702"/>
      <w:bookmarkStart w:id="1376" w:name="_Toc24395"/>
      <w:bookmarkStart w:id="1377" w:name="_Toc29997"/>
      <w:bookmarkStart w:id="1378" w:name="_Toc6591"/>
      <w:r>
        <w:rPr>
          <w:color w:val="auto"/>
          <w:highlight w:val="none"/>
        </w:rPr>
        <w:t>10.3</w:t>
      </w:r>
      <w:r>
        <w:rPr>
          <w:rFonts w:hint="eastAsia"/>
          <w:color w:val="auto"/>
          <w:highlight w:val="none"/>
          <w:lang w:val="en-US" w:eastAsia="zh-CN"/>
        </w:rPr>
        <w:t xml:space="preserve"> </w:t>
      </w:r>
      <w:r>
        <w:rPr>
          <w:color w:val="auto"/>
          <w:highlight w:val="none"/>
        </w:rPr>
        <w:t>工程环境可行性分析结论</w:t>
      </w:r>
      <w:bookmarkEnd w:id="1369"/>
      <w:bookmarkEnd w:id="1370"/>
      <w:bookmarkEnd w:id="1371"/>
      <w:bookmarkEnd w:id="1372"/>
      <w:bookmarkEnd w:id="1373"/>
      <w:bookmarkEnd w:id="1374"/>
      <w:bookmarkEnd w:id="1375"/>
      <w:bookmarkEnd w:id="1376"/>
      <w:bookmarkEnd w:id="1377"/>
      <w:bookmarkEnd w:id="1378"/>
    </w:p>
    <w:p w14:paraId="6A4D2A86">
      <w:pPr>
        <w:pStyle w:val="4"/>
        <w:numPr>
          <w:ilvl w:val="0"/>
          <w:numId w:val="0"/>
        </w:numPr>
        <w:tabs>
          <w:tab w:val="clear" w:pos="720"/>
        </w:tabs>
        <w:bidi w:val="0"/>
        <w:rPr>
          <w:color w:val="auto"/>
          <w:highlight w:val="none"/>
        </w:rPr>
      </w:pPr>
      <w:bookmarkStart w:id="1379" w:name="_Toc21397"/>
      <w:bookmarkStart w:id="1380" w:name="_Toc4662"/>
      <w:bookmarkStart w:id="1381" w:name="_Toc22194"/>
      <w:bookmarkStart w:id="1382" w:name="_Toc18818"/>
      <w:bookmarkStart w:id="1383" w:name="_Toc3771"/>
      <w:bookmarkStart w:id="1384" w:name="_Toc17488"/>
      <w:bookmarkStart w:id="1385" w:name="_Toc4885"/>
      <w:bookmarkStart w:id="1386" w:name="_Toc17808"/>
      <w:bookmarkStart w:id="1387" w:name="_Toc20158"/>
      <w:r>
        <w:rPr>
          <w:color w:val="auto"/>
          <w:highlight w:val="none"/>
        </w:rPr>
        <w:t>10.3.1</w:t>
      </w:r>
      <w:r>
        <w:rPr>
          <w:rFonts w:hint="eastAsia"/>
          <w:color w:val="auto"/>
          <w:highlight w:val="none"/>
          <w:lang w:val="en-US" w:eastAsia="zh-CN"/>
        </w:rPr>
        <w:t xml:space="preserve"> </w:t>
      </w:r>
      <w:r>
        <w:rPr>
          <w:color w:val="auto"/>
          <w:highlight w:val="none"/>
        </w:rPr>
        <w:t>产业政策符合性分析结论</w:t>
      </w:r>
      <w:bookmarkEnd w:id="1379"/>
      <w:bookmarkEnd w:id="1380"/>
      <w:bookmarkEnd w:id="1381"/>
      <w:bookmarkEnd w:id="1382"/>
      <w:bookmarkEnd w:id="1383"/>
      <w:bookmarkEnd w:id="1384"/>
      <w:bookmarkEnd w:id="1385"/>
      <w:bookmarkEnd w:id="1386"/>
      <w:bookmarkEnd w:id="1387"/>
    </w:p>
    <w:p w14:paraId="4B53E208">
      <w:pPr>
        <w:bidi w:val="0"/>
        <w:rPr>
          <w:color w:val="auto"/>
          <w:highlight w:val="none"/>
        </w:rPr>
      </w:pPr>
      <w:r>
        <w:rPr>
          <w:rFonts w:hint="eastAsia" w:ascii="Times New Roman" w:hAnsi="Times New Roman" w:eastAsia="宋体" w:cs="Times New Roman"/>
          <w:bCs/>
          <w:color w:val="auto"/>
          <w:highlight w:val="none"/>
        </w:rPr>
        <w:t>本项目依托现有</w:t>
      </w:r>
      <w:r>
        <w:rPr>
          <w:rFonts w:hint="eastAsia" w:ascii="Times New Roman" w:hAnsi="Times New Roman" w:eastAsia="宋体" w:cs="Times New Roman"/>
          <w:bCs/>
          <w:color w:val="auto"/>
          <w:highlight w:val="none"/>
          <w:lang w:val="en-US" w:eastAsia="zh-CN"/>
        </w:rPr>
        <w:t>已租赁</w:t>
      </w:r>
      <w:r>
        <w:rPr>
          <w:rFonts w:hint="eastAsia" w:ascii="Times New Roman" w:hAnsi="Times New Roman" w:eastAsia="宋体" w:cs="Times New Roman"/>
          <w:bCs/>
          <w:color w:val="auto"/>
          <w:highlight w:val="none"/>
        </w:rPr>
        <w:t>厂房，建设</w:t>
      </w:r>
      <w:r>
        <w:rPr>
          <w:rFonts w:hint="eastAsia" w:cs="Times New Roman"/>
          <w:color w:val="auto"/>
          <w:highlight w:val="none"/>
          <w:lang w:eastAsia="zh-CN"/>
        </w:rPr>
        <w:t>汽车零部件加工生产项目</w:t>
      </w:r>
      <w:r>
        <w:rPr>
          <w:rFonts w:hint="eastAsia"/>
          <w:color w:val="auto"/>
          <w:highlight w:val="none"/>
          <w:lang w:eastAsia="zh-CN"/>
        </w:rPr>
        <w:t>，</w:t>
      </w:r>
      <w:r>
        <w:rPr>
          <w:rFonts w:hint="eastAsia"/>
          <w:color w:val="auto"/>
          <w:highlight w:val="none"/>
          <w:lang w:val="en-US" w:eastAsia="zh-CN"/>
        </w:rPr>
        <w:t>检索</w:t>
      </w:r>
      <w:r>
        <w:rPr>
          <w:rFonts w:hint="eastAsia"/>
          <w:color w:val="auto"/>
          <w:highlight w:val="none"/>
          <w:lang w:eastAsia="zh-CN"/>
        </w:rPr>
        <w:t>《产业结构调整指导目录（2024年本）》</w:t>
      </w:r>
      <w:r>
        <w:rPr>
          <w:color w:val="auto"/>
          <w:highlight w:val="none"/>
        </w:rPr>
        <w:t>，</w:t>
      </w:r>
      <w:r>
        <w:rPr>
          <w:rFonts w:hint="eastAsia"/>
          <w:color w:val="auto"/>
          <w:highlight w:val="none"/>
          <w:lang w:eastAsia="zh-CN"/>
        </w:rPr>
        <w:t>生产过程所采用的工艺、设备及产品均不属于鼓励类、限制类及淘汰类之列，</w:t>
      </w:r>
      <w:r>
        <w:rPr>
          <w:rFonts w:hint="eastAsia"/>
          <w:color w:val="auto"/>
          <w:highlight w:val="none"/>
          <w:lang w:val="en-US" w:eastAsia="zh-CN"/>
        </w:rPr>
        <w:t>也不属于</w:t>
      </w:r>
      <w:r>
        <w:rPr>
          <w:rFonts w:hint="eastAsia"/>
          <w:color w:val="auto"/>
          <w:highlight w:val="none"/>
        </w:rPr>
        <w:t>《市场准入负面清单</w:t>
      </w:r>
      <w:r>
        <w:rPr>
          <w:rFonts w:hint="eastAsia"/>
          <w:color w:val="auto"/>
          <w:highlight w:val="none"/>
          <w:lang w:eastAsia="zh-CN"/>
        </w:rPr>
        <w:t>（</w:t>
      </w:r>
      <w:r>
        <w:rPr>
          <w:rFonts w:hint="eastAsia"/>
          <w:color w:val="auto"/>
          <w:highlight w:val="none"/>
        </w:rPr>
        <w:t>2025年版</w:t>
      </w:r>
      <w:r>
        <w:rPr>
          <w:rFonts w:hint="eastAsia"/>
          <w:color w:val="auto"/>
          <w:highlight w:val="none"/>
          <w:lang w:eastAsia="zh-CN"/>
        </w:rPr>
        <w:t>）</w:t>
      </w:r>
      <w:r>
        <w:rPr>
          <w:rFonts w:hint="eastAsia"/>
          <w:color w:val="auto"/>
          <w:highlight w:val="none"/>
        </w:rPr>
        <w:t>》</w:t>
      </w:r>
      <w:r>
        <w:rPr>
          <w:rFonts w:hint="eastAsia"/>
          <w:color w:val="auto"/>
          <w:highlight w:val="none"/>
          <w:lang w:val="en-US" w:eastAsia="zh-CN"/>
        </w:rPr>
        <w:t>禁止准入类事项</w:t>
      </w:r>
      <w:r>
        <w:rPr>
          <w:color w:val="auto"/>
          <w:highlight w:val="none"/>
        </w:rPr>
        <w:t>。根据《促进产业结构调整暂行规定</w:t>
      </w:r>
      <w:r>
        <w:rPr>
          <w:rFonts w:hint="eastAsia"/>
          <w:color w:val="auto"/>
          <w:highlight w:val="none"/>
          <w:lang w:eastAsia="zh-CN"/>
        </w:rPr>
        <w:t>》</w:t>
      </w:r>
      <w:r>
        <w:rPr>
          <w:color w:val="auto"/>
          <w:highlight w:val="none"/>
        </w:rPr>
        <w:t>第十三条</w:t>
      </w:r>
      <w:r>
        <w:rPr>
          <w:rFonts w:hint="eastAsia"/>
          <w:color w:val="auto"/>
          <w:highlight w:val="none"/>
          <w:lang w:eastAsia="zh-CN"/>
        </w:rPr>
        <w:t>“</w:t>
      </w:r>
      <w:r>
        <w:rPr>
          <w:color w:val="auto"/>
          <w:highlight w:val="none"/>
        </w:rPr>
        <w:t>不属于鼓励类、限制类和淘汰类，且符合国家有关</w:t>
      </w:r>
      <w:r>
        <w:rPr>
          <w:rFonts w:hint="eastAsia"/>
          <w:color w:val="auto"/>
          <w:highlight w:val="none"/>
          <w:lang w:eastAsia="zh-CN"/>
        </w:rPr>
        <w:t>法律法规</w:t>
      </w:r>
      <w:r>
        <w:rPr>
          <w:color w:val="auto"/>
          <w:highlight w:val="none"/>
        </w:rPr>
        <w:t>规定的，为允许类</w:t>
      </w:r>
      <w:r>
        <w:rPr>
          <w:rFonts w:hint="eastAsia"/>
          <w:color w:val="auto"/>
          <w:highlight w:val="none"/>
          <w:lang w:eastAsia="zh-CN"/>
        </w:rPr>
        <w:t>”</w:t>
      </w:r>
      <w:r>
        <w:rPr>
          <w:color w:val="auto"/>
          <w:highlight w:val="none"/>
        </w:rPr>
        <w:t>的规定。</w:t>
      </w:r>
    </w:p>
    <w:p w14:paraId="70E9B327">
      <w:pPr>
        <w:bidi w:val="0"/>
        <w:rPr>
          <w:rFonts w:hint="eastAsia"/>
          <w:color w:val="auto"/>
          <w:highlight w:val="none"/>
          <w:lang w:eastAsia="zh-CN"/>
        </w:rPr>
      </w:pPr>
      <w:r>
        <w:rPr>
          <w:rFonts w:hint="eastAsia"/>
          <w:color w:val="auto"/>
          <w:highlight w:val="none"/>
          <w:lang w:eastAsia="zh-CN"/>
        </w:rPr>
        <w:t>本项目不涉及《重点管控新污染物清单（2023年版）》中明确的持久性有机污染物、内分泌干扰物、抗生素等新污染物，不使用列入清单的化学物质，生产过程不产生或排放新污染物，符合新污染物管控相关要求。</w:t>
      </w:r>
    </w:p>
    <w:p w14:paraId="69DDEE29">
      <w:pPr>
        <w:bidi w:val="0"/>
        <w:rPr>
          <w:rFonts w:hint="eastAsia"/>
          <w:color w:val="auto"/>
          <w:highlight w:val="none"/>
          <w:lang w:eastAsia="zh-CN"/>
        </w:rPr>
      </w:pPr>
      <w:r>
        <w:rPr>
          <w:rFonts w:hint="default"/>
          <w:color w:val="auto"/>
          <w:highlight w:val="none"/>
        </w:rPr>
        <w:t>本项目于202</w:t>
      </w:r>
      <w:r>
        <w:rPr>
          <w:rFonts w:hint="eastAsia"/>
          <w:color w:val="auto"/>
          <w:highlight w:val="none"/>
          <w:lang w:val="en-US" w:eastAsia="zh-CN"/>
        </w:rPr>
        <w:t>6</w:t>
      </w:r>
      <w:r>
        <w:rPr>
          <w:rFonts w:hint="default"/>
          <w:color w:val="auto"/>
          <w:highlight w:val="none"/>
        </w:rPr>
        <w:t>年</w:t>
      </w:r>
      <w:r>
        <w:rPr>
          <w:rFonts w:hint="eastAsia"/>
          <w:color w:val="auto"/>
          <w:highlight w:val="none"/>
          <w:lang w:val="en-US" w:eastAsia="zh-CN"/>
        </w:rPr>
        <w:t>10</w:t>
      </w:r>
      <w:r>
        <w:rPr>
          <w:rFonts w:hint="default"/>
          <w:color w:val="auto"/>
          <w:highlight w:val="none"/>
        </w:rPr>
        <w:t>月</w:t>
      </w:r>
      <w:r>
        <w:rPr>
          <w:rFonts w:hint="eastAsia"/>
          <w:color w:val="auto"/>
          <w:highlight w:val="none"/>
          <w:lang w:val="en-US" w:eastAsia="zh-CN"/>
        </w:rPr>
        <w:t>12</w:t>
      </w:r>
      <w:r>
        <w:rPr>
          <w:rFonts w:hint="default"/>
          <w:color w:val="auto"/>
          <w:highlight w:val="none"/>
        </w:rPr>
        <w:t>日取得</w:t>
      </w:r>
      <w:r>
        <w:rPr>
          <w:rFonts w:hint="eastAsia"/>
          <w:color w:val="auto"/>
          <w:highlight w:val="none"/>
          <w:lang w:eastAsia="zh-CN"/>
        </w:rPr>
        <w:t>闽侯县发展和改革局</w:t>
      </w:r>
      <w:r>
        <w:rPr>
          <w:rFonts w:hint="default"/>
          <w:color w:val="auto"/>
          <w:highlight w:val="none"/>
        </w:rPr>
        <w:t>出具的《福建省投资项目备案证明（内资）》（闽发改备[2026]A080808号），备案证明见附件3。</w:t>
      </w:r>
    </w:p>
    <w:p w14:paraId="218E9FFD">
      <w:pPr>
        <w:bidi w:val="0"/>
        <w:rPr>
          <w:color w:val="auto"/>
          <w:highlight w:val="none"/>
        </w:rPr>
      </w:pPr>
      <w:r>
        <w:rPr>
          <w:color w:val="auto"/>
          <w:highlight w:val="none"/>
        </w:rPr>
        <w:t>综上所述，项目建设是符合国家和地方产业政策的。</w:t>
      </w:r>
    </w:p>
    <w:p w14:paraId="7AA62A56">
      <w:pPr>
        <w:pStyle w:val="4"/>
        <w:numPr>
          <w:ilvl w:val="0"/>
          <w:numId w:val="0"/>
        </w:numPr>
        <w:tabs>
          <w:tab w:val="clear" w:pos="720"/>
        </w:tabs>
        <w:bidi w:val="0"/>
        <w:rPr>
          <w:color w:val="auto"/>
          <w:highlight w:val="none"/>
        </w:rPr>
      </w:pPr>
      <w:bookmarkStart w:id="1388" w:name="_Toc11125"/>
      <w:bookmarkStart w:id="1389" w:name="_Toc13583"/>
      <w:bookmarkStart w:id="1390" w:name="_Toc26629"/>
      <w:bookmarkStart w:id="1391" w:name="_Toc1186"/>
      <w:bookmarkStart w:id="1392" w:name="_Toc27465"/>
      <w:bookmarkStart w:id="1393" w:name="_Toc2236"/>
      <w:bookmarkStart w:id="1394" w:name="_Toc19946"/>
      <w:bookmarkStart w:id="1395" w:name="_Toc23246"/>
      <w:bookmarkStart w:id="1396" w:name="_Toc10237"/>
      <w:r>
        <w:rPr>
          <w:color w:val="auto"/>
          <w:highlight w:val="none"/>
        </w:rPr>
        <w:t>10.3.2</w:t>
      </w:r>
      <w:r>
        <w:rPr>
          <w:rFonts w:hint="eastAsia"/>
          <w:color w:val="auto"/>
          <w:highlight w:val="none"/>
          <w:lang w:val="en-US" w:eastAsia="zh-CN"/>
        </w:rPr>
        <w:t xml:space="preserve"> </w:t>
      </w:r>
      <w:r>
        <w:rPr>
          <w:color w:val="auto"/>
          <w:highlight w:val="none"/>
        </w:rPr>
        <w:t>选址规划符合性判定</w:t>
      </w:r>
      <w:bookmarkEnd w:id="1388"/>
      <w:bookmarkEnd w:id="1389"/>
      <w:bookmarkEnd w:id="1390"/>
      <w:bookmarkEnd w:id="1391"/>
      <w:bookmarkEnd w:id="1392"/>
      <w:bookmarkEnd w:id="1393"/>
      <w:bookmarkEnd w:id="1394"/>
      <w:bookmarkEnd w:id="1395"/>
      <w:bookmarkEnd w:id="1396"/>
    </w:p>
    <w:p w14:paraId="0B54E73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选址于</w:t>
      </w:r>
      <w:r>
        <w:rPr>
          <w:rFonts w:hint="eastAsia" w:cs="Times New Roman"/>
          <w:color w:val="auto"/>
          <w:highlight w:val="none"/>
          <w:lang w:val="en-US" w:eastAsia="zh-CN"/>
        </w:rPr>
        <w:t>福建省福州市闽侯县青口镇祥宏南路1366号办公楼、A库厂房、B库厂房</w:t>
      </w:r>
      <w:r>
        <w:rPr>
          <w:rFonts w:hint="default" w:ascii="Times New Roman" w:hAnsi="Times New Roman" w:cs="Times New Roman"/>
          <w:color w:val="auto"/>
          <w:highlight w:val="none"/>
        </w:rPr>
        <w:t>建设</w:t>
      </w:r>
      <w:r>
        <w:rPr>
          <w:rFonts w:hint="eastAsia" w:cs="Times New Roman"/>
          <w:color w:val="auto"/>
          <w:highlight w:val="none"/>
          <w:lang w:eastAsia="zh-CN"/>
        </w:rPr>
        <w:t>福州日源汽车零部件加工生产项目</w:t>
      </w:r>
      <w:r>
        <w:rPr>
          <w:rFonts w:hint="default" w:ascii="Times New Roman" w:hAnsi="Times New Roman" w:cs="Times New Roman"/>
          <w:color w:val="auto"/>
          <w:highlight w:val="none"/>
        </w:rPr>
        <w:t>，根据</w:t>
      </w:r>
      <w:r>
        <w:rPr>
          <w:rFonts w:hint="eastAsia" w:cs="Times New Roman"/>
          <w:color w:val="auto"/>
          <w:highlight w:val="none"/>
          <w:lang w:val="en-US" w:eastAsia="zh-CN"/>
        </w:rPr>
        <w:t>建设单位提供</w:t>
      </w:r>
      <w:r>
        <w:rPr>
          <w:rFonts w:hint="default" w:ascii="Times New Roman" w:hAnsi="Times New Roman" w:cs="Times New Roman"/>
          <w:color w:val="auto"/>
          <w:highlight w:val="none"/>
        </w:rPr>
        <w:t>产权证</w:t>
      </w:r>
      <w:r>
        <w:rPr>
          <w:rFonts w:hint="default" w:ascii="Times New Roman" w:hAnsi="Times New Roman" w:cs="Times New Roman"/>
          <w:color w:val="auto"/>
          <w:highlight w:val="none"/>
          <w:lang w:eastAsia="zh-CN"/>
        </w:rPr>
        <w:t>（</w:t>
      </w:r>
      <w:r>
        <w:rPr>
          <w:rFonts w:hint="eastAsia"/>
          <w:color w:val="auto"/>
          <w:highlight w:val="none"/>
          <w:lang w:val="en-US" w:eastAsia="zh-CN"/>
        </w:rPr>
        <w:t>闽（2025）闽侯县不动产权第9024898号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项目用地为工业用地</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产权证</w:t>
      </w:r>
      <w:r>
        <w:rPr>
          <w:rFonts w:hint="default" w:ascii="Times New Roman" w:hAnsi="Times New Roman" w:cs="Times New Roman"/>
          <w:color w:val="auto"/>
          <w:highlight w:val="none"/>
        </w:rPr>
        <w:t>详见附件</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项目的建设符合用地性质。</w:t>
      </w:r>
    </w:p>
    <w:p w14:paraId="4FDC61B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项目运营期产生的废气经过废气处理设施处理后污染物能够达标排放，对周围环境空气不会产生显著影响；</w:t>
      </w:r>
      <w:r>
        <w:rPr>
          <w:rFonts w:hint="default" w:ascii="Times New Roman" w:hAnsi="Times New Roman" w:cs="Times New Roman"/>
          <w:color w:val="auto"/>
          <w:highlight w:val="none"/>
          <w:lang w:val="en-US" w:eastAsia="zh-CN"/>
        </w:rPr>
        <w:t>生活污水</w:t>
      </w:r>
      <w:r>
        <w:rPr>
          <w:rFonts w:hint="default" w:ascii="Times New Roman" w:hAnsi="Times New Roman" w:cs="Times New Roman"/>
          <w:color w:val="auto"/>
          <w:highlight w:val="none"/>
        </w:rPr>
        <w:t>经处理达标后排入市政污水管网，纳入</w:t>
      </w:r>
      <w:r>
        <w:rPr>
          <w:rFonts w:hint="default" w:ascii="Times New Roman" w:hAnsi="Times New Roman" w:cs="Times New Roman"/>
          <w:color w:val="auto"/>
          <w:highlight w:val="none"/>
          <w:lang w:eastAsia="zh-CN"/>
        </w:rPr>
        <w:t>青口汽车工业开发区污水处理厂</w:t>
      </w:r>
      <w:r>
        <w:rPr>
          <w:rFonts w:hint="default" w:ascii="Times New Roman" w:hAnsi="Times New Roman" w:cs="Times New Roman"/>
          <w:color w:val="auto"/>
          <w:highlight w:val="none"/>
        </w:rPr>
        <w:t>统一处理，不直接排入地表水体，</w:t>
      </w:r>
      <w:r>
        <w:rPr>
          <w:rFonts w:hint="default" w:ascii="Times New Roman" w:hAnsi="Times New Roman" w:cs="Times New Roman"/>
          <w:color w:val="auto"/>
          <w:highlight w:val="none"/>
          <w:lang w:eastAsia="zh-CN"/>
        </w:rPr>
        <w:t>青口汽车工业开发区污水处理厂</w:t>
      </w:r>
      <w:r>
        <w:rPr>
          <w:rFonts w:hint="default" w:ascii="Times New Roman" w:hAnsi="Times New Roman" w:cs="Times New Roman"/>
          <w:color w:val="auto"/>
          <w:highlight w:val="none"/>
        </w:rPr>
        <w:t>深度处理达标后排入</w:t>
      </w:r>
      <w:r>
        <w:rPr>
          <w:rFonts w:hint="default" w:ascii="Times New Roman" w:hAnsi="Times New Roman" w:cs="Times New Roman"/>
          <w:color w:val="auto"/>
          <w:highlight w:val="none"/>
          <w:lang w:val="en-US" w:eastAsia="zh-CN"/>
        </w:rPr>
        <w:t>陶江</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陶</w:t>
      </w:r>
      <w:r>
        <w:rPr>
          <w:rFonts w:hint="default" w:ascii="Times New Roman" w:hAnsi="Times New Roman" w:cs="Times New Roman"/>
          <w:color w:val="auto"/>
          <w:highlight w:val="none"/>
        </w:rPr>
        <w:t>江水质符合《地表水环境质量标准》（GB3838-2002）中</w:t>
      </w:r>
      <w:r>
        <w:rPr>
          <w:rFonts w:hint="default" w:ascii="Times New Roman" w:hAnsi="Times New Roman" w:cs="Times New Roman"/>
          <w:color w:val="auto"/>
          <w:highlight w:val="none"/>
          <w:lang w:eastAsia="zh-CN"/>
        </w:rPr>
        <w:t>Ⅲ类</w:t>
      </w:r>
      <w:r>
        <w:rPr>
          <w:rFonts w:hint="default" w:ascii="Times New Roman" w:hAnsi="Times New Roman" w:cs="Times New Roman"/>
          <w:color w:val="auto"/>
          <w:highlight w:val="none"/>
        </w:rPr>
        <w:t>水质标准；项目在采取隔声、减振的噪声污染防治措施后，产生的噪声不会对周围环境产生显著影响，项目所在区域的环境噪声符合《声环境质量标准》（GB3096-2008）的3类标准。</w:t>
      </w:r>
    </w:p>
    <w:p w14:paraId="1E7186C3">
      <w:pPr>
        <w:bidi w:val="0"/>
        <w:rPr>
          <w:color w:val="auto"/>
          <w:highlight w:val="none"/>
        </w:rPr>
      </w:pPr>
      <w:r>
        <w:rPr>
          <w:color w:val="auto"/>
          <w:highlight w:val="none"/>
        </w:rPr>
        <w:t>根据现场踏勘可知，项目</w:t>
      </w:r>
      <w:r>
        <w:rPr>
          <w:rFonts w:hint="eastAsia"/>
          <w:color w:val="auto"/>
          <w:highlight w:val="none"/>
          <w:lang w:val="en-US" w:eastAsia="zh-CN"/>
        </w:rPr>
        <w:t>周边均为工业型企业</w:t>
      </w:r>
      <w:r>
        <w:rPr>
          <w:color w:val="auto"/>
          <w:highlight w:val="none"/>
        </w:rPr>
        <w:t>，项目在生产过程中需严格落实本环评提出的各项环保措施</w:t>
      </w:r>
      <w:r>
        <w:rPr>
          <w:rFonts w:hint="eastAsia"/>
          <w:color w:val="auto"/>
          <w:highlight w:val="none"/>
          <w:lang w:eastAsia="zh-CN"/>
        </w:rPr>
        <w:t>，在</w:t>
      </w:r>
      <w:r>
        <w:rPr>
          <w:color w:val="auto"/>
          <w:highlight w:val="none"/>
        </w:rPr>
        <w:t>确保各项污染物达标排放的情况下，其正常建设运营不会对周边敏感目标产生较大影响，项目所在地区位合理，与周边环境可相容。</w:t>
      </w:r>
    </w:p>
    <w:p w14:paraId="437F8D5A">
      <w:pPr>
        <w:bidi w:val="0"/>
        <w:rPr>
          <w:color w:val="auto"/>
          <w:highlight w:val="none"/>
        </w:rPr>
      </w:pPr>
      <w:r>
        <w:rPr>
          <w:color w:val="auto"/>
          <w:highlight w:val="none"/>
        </w:rPr>
        <w:t>综上分析可知，项目选址合理可行。</w:t>
      </w:r>
    </w:p>
    <w:p w14:paraId="30594CB3">
      <w:pPr>
        <w:pStyle w:val="4"/>
        <w:numPr>
          <w:ilvl w:val="0"/>
          <w:numId w:val="0"/>
        </w:numPr>
        <w:tabs>
          <w:tab w:val="clear" w:pos="720"/>
        </w:tabs>
        <w:bidi w:val="0"/>
        <w:rPr>
          <w:rFonts w:hint="eastAsia" w:ascii="Times New Roman" w:hAnsi="Times New Roman" w:cs="Times New Roman"/>
          <w:b w:val="0"/>
          <w:bCs w:val="0"/>
          <w:color w:val="auto"/>
          <w:highlight w:val="none"/>
          <w:lang w:bidi="he-IL"/>
        </w:rPr>
      </w:pPr>
      <w:bookmarkStart w:id="1397" w:name="_Toc24033"/>
      <w:bookmarkStart w:id="1398" w:name="_Toc7945"/>
      <w:bookmarkStart w:id="1399" w:name="_Toc14275"/>
      <w:bookmarkStart w:id="1400" w:name="_Toc6491"/>
      <w:bookmarkStart w:id="1401" w:name="_Toc21746"/>
      <w:bookmarkStart w:id="1402" w:name="_Toc7199"/>
      <w:bookmarkStart w:id="1403" w:name="_Toc16961"/>
      <w:bookmarkStart w:id="1404" w:name="_Toc7933"/>
      <w:bookmarkStart w:id="1405" w:name="_Toc16460"/>
      <w:r>
        <w:rPr>
          <w:rFonts w:hint="eastAsia"/>
          <w:color w:val="auto"/>
          <w:highlight w:val="none"/>
        </w:rPr>
        <w:t>10.</w:t>
      </w:r>
      <w:r>
        <w:rPr>
          <w:rFonts w:hint="eastAsia"/>
          <w:color w:val="auto"/>
          <w:highlight w:val="none"/>
          <w:lang w:val="en-US" w:eastAsia="zh-CN"/>
        </w:rPr>
        <w:t xml:space="preserve">3.3 </w:t>
      </w:r>
      <w:r>
        <w:rPr>
          <w:rFonts w:hint="eastAsia"/>
          <w:color w:val="auto"/>
          <w:highlight w:val="none"/>
        </w:rPr>
        <w:t>相关规划及规范符合性</w:t>
      </w:r>
      <w:bookmarkEnd w:id="1397"/>
      <w:bookmarkEnd w:id="1398"/>
      <w:bookmarkEnd w:id="1399"/>
      <w:bookmarkEnd w:id="1400"/>
      <w:bookmarkEnd w:id="1401"/>
      <w:bookmarkEnd w:id="1402"/>
      <w:bookmarkEnd w:id="1403"/>
      <w:bookmarkEnd w:id="1404"/>
      <w:bookmarkEnd w:id="1405"/>
    </w:p>
    <w:p w14:paraId="481DAF86">
      <w:pPr>
        <w:bidi w:val="0"/>
        <w:rPr>
          <w:rFonts w:hint="eastAsia" w:ascii="Times New Roman" w:hAnsi="Times New Roman" w:eastAsia="宋体" w:cs="Times New Roman"/>
          <w:bCs/>
          <w:color w:val="auto"/>
          <w:highlight w:val="none"/>
        </w:rPr>
      </w:pPr>
      <w:r>
        <w:rPr>
          <w:rFonts w:hint="eastAsia"/>
          <w:color w:val="auto"/>
          <w:highlight w:val="none"/>
        </w:rPr>
        <w:t>本项目</w:t>
      </w:r>
      <w:r>
        <w:rPr>
          <w:rFonts w:hint="eastAsia"/>
          <w:color w:val="auto"/>
          <w:highlight w:val="none"/>
          <w:lang w:val="en-US" w:eastAsia="zh-CN"/>
        </w:rPr>
        <w:t>选址于福建省福州市闽侯县青口镇祥宏南路1366号办公楼、A库厂房、B库厂房</w:t>
      </w:r>
      <w:r>
        <w:rPr>
          <w:rFonts w:hint="eastAsia"/>
          <w:color w:val="auto"/>
          <w:highlight w:val="none"/>
        </w:rPr>
        <w:t>建设</w:t>
      </w:r>
      <w:r>
        <w:rPr>
          <w:rFonts w:hint="eastAsia"/>
          <w:color w:val="auto"/>
          <w:highlight w:val="none"/>
          <w:lang w:eastAsia="zh-CN"/>
        </w:rPr>
        <w:t>福州日源汽车零部件加工生产项目，</w:t>
      </w:r>
      <w:r>
        <w:rPr>
          <w:rFonts w:hint="eastAsia" w:ascii="Times New Roman" w:hAnsi="Times New Roman" w:eastAsia="宋体" w:cs="Times New Roman"/>
          <w:bCs/>
          <w:color w:val="auto"/>
          <w:highlight w:val="none"/>
        </w:rPr>
        <w:t>符合</w:t>
      </w:r>
      <w:r>
        <w:rPr>
          <w:rFonts w:hint="eastAsia"/>
          <w:color w:val="auto"/>
          <w:highlight w:val="none"/>
          <w:lang w:eastAsia="zh-CN"/>
        </w:rPr>
        <w:t>《福州青口投资区环境影响报告书》《福州青口投资区环境影响跟踪评价报告》</w:t>
      </w:r>
      <w:r>
        <w:rPr>
          <w:rFonts w:hint="eastAsia" w:ascii="Times New Roman" w:hAnsi="Times New Roman" w:cs="Times New Roman"/>
          <w:b w:val="0"/>
          <w:bCs w:val="0"/>
          <w:color w:val="auto"/>
          <w:highlight w:val="none"/>
          <w:lang w:val="en-US" w:eastAsia="zh-CN"/>
        </w:rPr>
        <w:t>《闽侯县国土空间总体规划（</w:t>
      </w:r>
      <w:r>
        <w:rPr>
          <w:rFonts w:hint="default" w:ascii="Times New Roman" w:hAnsi="Times New Roman" w:cs="Times New Roman"/>
          <w:b w:val="0"/>
          <w:bCs w:val="0"/>
          <w:color w:val="auto"/>
          <w:highlight w:val="none"/>
          <w:lang w:val="en-US" w:eastAsia="zh-CN"/>
        </w:rPr>
        <w:t>2021-2035</w:t>
      </w:r>
      <w:r>
        <w:rPr>
          <w:rFonts w:hint="eastAsia" w:ascii="Times New Roman" w:hAnsi="Times New Roman" w:cs="Times New Roman"/>
          <w:b w:val="0"/>
          <w:bCs w:val="0"/>
          <w:color w:val="auto"/>
          <w:highlight w:val="none"/>
          <w:lang w:val="en-US" w:eastAsia="zh-CN"/>
        </w:rPr>
        <w:t>年）》</w:t>
      </w:r>
      <w:r>
        <w:rPr>
          <w:rFonts w:hint="eastAsia"/>
          <w:color w:val="auto"/>
          <w:highlight w:val="none"/>
          <w:lang w:val="en-US" w:eastAsia="zh-CN"/>
        </w:rPr>
        <w:t>《福州市人民政府办公厅关于印发〈福州市生态环境分区管控方案（2023年更新）〉的通知》（榕政办规〔2024〕20号）和《福州市生态环境局关于发布福州市2024年生态环境分区管控动态更新成果的通知》（榕环保综〔2025〕1号）</w:t>
      </w:r>
      <w:r>
        <w:rPr>
          <w:rFonts w:hint="eastAsia" w:ascii="Times New Roman" w:hAnsi="Times New Roman" w:eastAsia="宋体" w:cs="Times New Roman"/>
          <w:bCs/>
          <w:color w:val="auto"/>
          <w:highlight w:val="none"/>
        </w:rPr>
        <w:t>等相关规划的要求。</w:t>
      </w:r>
    </w:p>
    <w:p w14:paraId="6EB45F95">
      <w:pPr>
        <w:pStyle w:val="4"/>
        <w:numPr>
          <w:ilvl w:val="0"/>
          <w:numId w:val="0"/>
        </w:numPr>
        <w:tabs>
          <w:tab w:val="clear" w:pos="720"/>
        </w:tabs>
        <w:bidi w:val="0"/>
        <w:rPr>
          <w:color w:val="auto"/>
          <w:highlight w:val="none"/>
        </w:rPr>
      </w:pPr>
      <w:bookmarkStart w:id="1406" w:name="_Toc4632"/>
      <w:bookmarkStart w:id="1407" w:name="_Toc26814"/>
      <w:bookmarkStart w:id="1408" w:name="_Toc14201"/>
      <w:bookmarkStart w:id="1409" w:name="_Toc21851"/>
      <w:bookmarkStart w:id="1410" w:name="_Toc5583"/>
      <w:bookmarkStart w:id="1411" w:name="_Toc4545"/>
      <w:bookmarkStart w:id="1412" w:name="_Toc14427"/>
      <w:bookmarkStart w:id="1413" w:name="_Toc2404"/>
      <w:bookmarkStart w:id="1414" w:name="_Toc4152"/>
      <w:r>
        <w:rPr>
          <w:color w:val="auto"/>
          <w:highlight w:val="none"/>
        </w:rPr>
        <w:t>10.3.</w:t>
      </w:r>
      <w:r>
        <w:rPr>
          <w:rFonts w:hint="eastAsia"/>
          <w:color w:val="auto"/>
          <w:highlight w:val="none"/>
          <w:lang w:val="en-US" w:eastAsia="zh-CN"/>
        </w:rPr>
        <w:t xml:space="preserve">4 </w:t>
      </w:r>
      <w:r>
        <w:rPr>
          <w:color w:val="auto"/>
          <w:highlight w:val="none"/>
        </w:rPr>
        <w:t>公众参与结论</w:t>
      </w:r>
      <w:bookmarkEnd w:id="1406"/>
      <w:bookmarkEnd w:id="1407"/>
      <w:bookmarkEnd w:id="1408"/>
      <w:bookmarkEnd w:id="1409"/>
      <w:bookmarkEnd w:id="1410"/>
      <w:bookmarkEnd w:id="1411"/>
      <w:bookmarkEnd w:id="1412"/>
      <w:bookmarkEnd w:id="1413"/>
      <w:bookmarkEnd w:id="1414"/>
    </w:p>
    <w:p w14:paraId="7AB46099">
      <w:pPr>
        <w:bidi w:val="0"/>
        <w:rPr>
          <w:color w:val="auto"/>
          <w:highlight w:val="none"/>
        </w:rPr>
      </w:pPr>
      <w:r>
        <w:rPr>
          <w:color w:val="auto"/>
          <w:highlight w:val="none"/>
        </w:rPr>
        <w:t>建设单位在确定</w:t>
      </w:r>
      <w:r>
        <w:rPr>
          <w:rFonts w:hint="eastAsia"/>
          <w:color w:val="auto"/>
          <w:highlight w:val="none"/>
          <w:lang w:val="en-US" w:eastAsia="zh-CN"/>
        </w:rPr>
        <w:t>生态</w:t>
      </w:r>
      <w:r>
        <w:rPr>
          <w:color w:val="auto"/>
          <w:highlight w:val="none"/>
        </w:rPr>
        <w:t>环境影响报告书编制单位后7个工作日内通过网络进行了第一次公示（十个工作日）；</w:t>
      </w:r>
      <w:r>
        <w:rPr>
          <w:rFonts w:hint="eastAsia"/>
          <w:color w:val="auto"/>
          <w:highlight w:val="none"/>
          <w:lang w:val="en-US" w:eastAsia="zh-CN"/>
        </w:rPr>
        <w:t>生态</w:t>
      </w:r>
      <w:r>
        <w:rPr>
          <w:color w:val="auto"/>
          <w:highlight w:val="none"/>
        </w:rPr>
        <w:t>环境影响报告书征求意见稿形成后，建设单位通过网络、报刊、现场张贴进行了第二次公示（十个工作日）。</w:t>
      </w:r>
    </w:p>
    <w:p w14:paraId="1149246A">
      <w:pPr>
        <w:bidi w:val="0"/>
        <w:rPr>
          <w:color w:val="auto"/>
          <w:highlight w:val="none"/>
        </w:rPr>
      </w:pPr>
      <w:r>
        <w:rPr>
          <w:color w:val="auto"/>
          <w:highlight w:val="none"/>
        </w:rPr>
        <w:t>在两次公示期间，建设单位均未收到公众意见。</w:t>
      </w:r>
    </w:p>
    <w:p w14:paraId="173C473F">
      <w:pPr>
        <w:pStyle w:val="4"/>
        <w:numPr>
          <w:ilvl w:val="0"/>
          <w:numId w:val="0"/>
        </w:numPr>
        <w:tabs>
          <w:tab w:val="clear" w:pos="720"/>
        </w:tabs>
        <w:bidi w:val="0"/>
        <w:rPr>
          <w:color w:val="auto"/>
          <w:highlight w:val="none"/>
        </w:rPr>
      </w:pPr>
      <w:bookmarkStart w:id="1415" w:name="_Toc6731"/>
      <w:bookmarkStart w:id="1416" w:name="_Toc29988"/>
      <w:bookmarkStart w:id="1417" w:name="_Toc20795"/>
      <w:bookmarkStart w:id="1418" w:name="_Toc23766"/>
      <w:bookmarkStart w:id="1419" w:name="_Toc25191"/>
      <w:bookmarkStart w:id="1420" w:name="_Toc26934"/>
      <w:bookmarkStart w:id="1421" w:name="_Toc16721"/>
      <w:bookmarkStart w:id="1422" w:name="_Toc3224"/>
      <w:bookmarkStart w:id="1423" w:name="_Toc8916"/>
      <w:r>
        <w:rPr>
          <w:color w:val="auto"/>
          <w:highlight w:val="none"/>
        </w:rPr>
        <w:t>10.3.</w:t>
      </w:r>
      <w:r>
        <w:rPr>
          <w:rFonts w:hint="eastAsia"/>
          <w:color w:val="auto"/>
          <w:highlight w:val="none"/>
          <w:lang w:val="en-US" w:eastAsia="zh-CN"/>
        </w:rPr>
        <w:t xml:space="preserve">5 </w:t>
      </w:r>
      <w:r>
        <w:rPr>
          <w:color w:val="auto"/>
          <w:highlight w:val="none"/>
        </w:rPr>
        <w:t>清洁生产分析结论</w:t>
      </w:r>
      <w:bookmarkEnd w:id="1415"/>
      <w:bookmarkEnd w:id="1416"/>
      <w:bookmarkEnd w:id="1417"/>
      <w:bookmarkEnd w:id="1418"/>
      <w:bookmarkEnd w:id="1419"/>
      <w:bookmarkEnd w:id="1420"/>
      <w:bookmarkEnd w:id="1421"/>
      <w:bookmarkEnd w:id="1422"/>
      <w:bookmarkEnd w:id="1423"/>
    </w:p>
    <w:p w14:paraId="3E2C1ACD">
      <w:pPr>
        <w:bidi w:val="0"/>
        <w:rPr>
          <w:color w:val="auto"/>
          <w:highlight w:val="none"/>
        </w:rPr>
      </w:pPr>
      <w:r>
        <w:rPr>
          <w:rFonts w:hint="default"/>
          <w:color w:val="auto"/>
          <w:highlight w:val="none"/>
        </w:rPr>
        <w:t>本项目从生产工艺与装备、产品、原辅材料消耗、污染物产生与排放、资源能源利用及环境管理要求等方面进行分析：</w:t>
      </w:r>
    </w:p>
    <w:p w14:paraId="3228A352">
      <w:pPr>
        <w:bidi w:val="0"/>
        <w:rPr>
          <w:rFonts w:hint="default"/>
          <w:color w:val="auto"/>
          <w:highlight w:val="none"/>
        </w:rPr>
      </w:pPr>
      <w:r>
        <w:rPr>
          <w:rFonts w:hint="default"/>
          <w:color w:val="auto"/>
          <w:highlight w:val="none"/>
        </w:rPr>
        <w:t>本项目拟选用的生产设备较为先进，自动化程度设计较高。根据项目设计及污染源源强核算结果，对照</w:t>
      </w:r>
      <w:r>
        <w:rPr>
          <w:rFonts w:hint="default"/>
          <w:color w:val="auto"/>
          <w:highlight w:val="none"/>
          <w:lang w:val="en-US" w:eastAsia="zh-CN"/>
        </w:rPr>
        <w:t>《涂装行业清洁生产评价指标体系》</w:t>
      </w:r>
      <w:r>
        <w:rPr>
          <w:rFonts w:hint="default"/>
          <w:color w:val="auto"/>
          <w:highlight w:val="none"/>
        </w:rPr>
        <w:t>，本项目各项设计指标均满足或优于Ⅱ级基准值要求，综合评价指数YⅡ=</w:t>
      </w:r>
      <w:r>
        <w:rPr>
          <w:rFonts w:hint="eastAsia" w:ascii="Times New Roman" w:hAnsi="Times New Roman" w:eastAsia="宋体" w:cs="Times New Roman"/>
          <w:color w:val="auto"/>
          <w:highlight w:val="none"/>
          <w:lang w:val="en-US" w:eastAsia="zh-CN"/>
        </w:rPr>
        <w:t>9</w:t>
      </w:r>
      <w:r>
        <w:rPr>
          <w:rFonts w:hint="eastAsia" w:cs="Times New Roman"/>
          <w:color w:val="auto"/>
          <w:highlight w:val="none"/>
          <w:lang w:val="en-US" w:eastAsia="zh-CN"/>
        </w:rPr>
        <w:t>3.2</w:t>
      </w:r>
      <w:r>
        <w:rPr>
          <w:rFonts w:hint="eastAsia"/>
          <w:color w:val="auto"/>
          <w:highlight w:val="none"/>
          <w:lang w:eastAsia="zh-CN"/>
        </w:rPr>
        <w:t>，</w:t>
      </w:r>
      <w:r>
        <w:rPr>
          <w:rFonts w:hint="default"/>
          <w:color w:val="auto"/>
          <w:highlight w:val="none"/>
        </w:rPr>
        <w:t>清洁生产水平可达到国内清洁生产先进水平（Ⅱ级）。</w:t>
      </w:r>
    </w:p>
    <w:p w14:paraId="2B7133C9">
      <w:pPr>
        <w:bidi w:val="0"/>
        <w:rPr>
          <w:color w:val="auto"/>
          <w:highlight w:val="none"/>
        </w:rPr>
      </w:pPr>
      <w:r>
        <w:rPr>
          <w:rFonts w:hint="default"/>
          <w:color w:val="auto"/>
          <w:highlight w:val="none"/>
        </w:rPr>
        <w:t>建设单位承诺在后续设备选型及建设中，严格按照设计方案选用先进设备，并在项目投产后按规定开展清洁生产审核，确保实际运营持续达到国内先进水平。从清洁生产角度而言，本工程是可行的。</w:t>
      </w:r>
    </w:p>
    <w:p w14:paraId="5B78D578">
      <w:pPr>
        <w:pStyle w:val="4"/>
        <w:numPr>
          <w:ilvl w:val="0"/>
          <w:numId w:val="0"/>
        </w:numPr>
        <w:tabs>
          <w:tab w:val="clear" w:pos="720"/>
        </w:tabs>
        <w:bidi w:val="0"/>
        <w:rPr>
          <w:color w:val="auto"/>
          <w:highlight w:val="none"/>
        </w:rPr>
      </w:pPr>
      <w:bookmarkStart w:id="1424" w:name="_Toc10469"/>
      <w:bookmarkStart w:id="1425" w:name="_Toc15038"/>
      <w:bookmarkStart w:id="1426" w:name="_Toc14327"/>
      <w:bookmarkStart w:id="1427" w:name="_Toc6335"/>
      <w:bookmarkStart w:id="1428" w:name="_Toc16667"/>
      <w:bookmarkStart w:id="1429" w:name="_Toc27514"/>
      <w:bookmarkStart w:id="1430" w:name="_Toc27827"/>
      <w:bookmarkStart w:id="1431" w:name="_Toc23528"/>
      <w:bookmarkStart w:id="1432" w:name="_Toc5439"/>
      <w:r>
        <w:rPr>
          <w:color w:val="auto"/>
          <w:highlight w:val="none"/>
        </w:rPr>
        <w:t>10.3.</w:t>
      </w:r>
      <w:r>
        <w:rPr>
          <w:rFonts w:hint="eastAsia"/>
          <w:color w:val="auto"/>
          <w:highlight w:val="none"/>
          <w:lang w:val="en-US" w:eastAsia="zh-CN"/>
        </w:rPr>
        <w:t xml:space="preserve">6 </w:t>
      </w:r>
      <w:r>
        <w:rPr>
          <w:color w:val="auto"/>
          <w:highlight w:val="none"/>
        </w:rPr>
        <w:t>总量控制分析结论</w:t>
      </w:r>
      <w:bookmarkEnd w:id="1424"/>
      <w:bookmarkEnd w:id="1425"/>
      <w:bookmarkEnd w:id="1426"/>
      <w:bookmarkEnd w:id="1427"/>
      <w:bookmarkEnd w:id="1428"/>
      <w:bookmarkEnd w:id="1429"/>
      <w:bookmarkEnd w:id="1430"/>
      <w:bookmarkEnd w:id="1431"/>
      <w:bookmarkEnd w:id="1432"/>
    </w:p>
    <w:p w14:paraId="60EA966A">
      <w:pPr>
        <w:rPr>
          <w:rFonts w:hint="eastAsia"/>
          <w:color w:val="auto"/>
          <w:highlight w:val="none"/>
          <w:lang w:val="en-US" w:eastAsia="zh-CN"/>
        </w:rPr>
      </w:pPr>
      <w:bookmarkStart w:id="1433" w:name="_Toc25672"/>
      <w:bookmarkStart w:id="1434" w:name="_Toc6218"/>
      <w:bookmarkStart w:id="1435" w:name="_Toc5340"/>
      <w:bookmarkStart w:id="1436" w:name="_Toc25233"/>
      <w:bookmarkStart w:id="1437" w:name="_Toc1195"/>
      <w:bookmarkStart w:id="1438" w:name="_Toc15735"/>
      <w:bookmarkStart w:id="1439" w:name="_Toc23747"/>
      <w:bookmarkStart w:id="1440" w:name="_Toc3670"/>
      <w:r>
        <w:rPr>
          <w:rFonts w:hint="eastAsia"/>
          <w:color w:val="auto"/>
          <w:highlight w:val="none"/>
          <w:lang w:val="en-US" w:eastAsia="zh-CN"/>
        </w:rPr>
        <w:t>本项目核算的污染物排放总量见表10.3-1所示。</w:t>
      </w:r>
    </w:p>
    <w:p w14:paraId="5841CEA9">
      <w:pPr>
        <w:pStyle w:val="8"/>
        <w:bidi w:val="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10.3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eastAsia="宋体" w:cs="Times New Roman"/>
          <w:b/>
          <w:bCs/>
          <w:color w:val="auto"/>
          <w:kern w:val="2"/>
          <w:sz w:val="24"/>
          <w:szCs w:val="24"/>
          <w:highlight w:val="none"/>
          <w:lang w:val="en-US" w:eastAsia="zh-CN" w:bidi="ar-SA"/>
        </w:rPr>
        <w:t>本项目水污染物排放总量指标</w:t>
      </w:r>
    </w:p>
    <w:tbl>
      <w:tblPr>
        <w:tblStyle w:val="80"/>
        <w:tblW w:w="8945"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1767"/>
        <w:gridCol w:w="1531"/>
        <w:gridCol w:w="2004"/>
        <w:gridCol w:w="1890"/>
      </w:tblGrid>
      <w:tr w14:paraId="0AC5093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753" w:type="dxa"/>
            <w:tcBorders>
              <w:top w:val="single" w:color="auto" w:sz="12" w:space="0"/>
              <w:left w:val="nil"/>
              <w:bottom w:val="single" w:color="auto" w:sz="4" w:space="0"/>
              <w:right w:val="single" w:color="auto" w:sz="4" w:space="0"/>
            </w:tcBorders>
            <w:noWrap w:val="0"/>
            <w:vAlign w:val="center"/>
          </w:tcPr>
          <w:p w14:paraId="633A2926">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项目</w:t>
            </w:r>
          </w:p>
        </w:tc>
        <w:tc>
          <w:tcPr>
            <w:tcW w:w="7192" w:type="dxa"/>
            <w:gridSpan w:val="4"/>
            <w:tcBorders>
              <w:top w:val="single" w:color="auto" w:sz="12" w:space="0"/>
              <w:left w:val="single" w:color="auto" w:sz="4" w:space="0"/>
              <w:bottom w:val="single" w:color="auto" w:sz="4" w:space="0"/>
              <w:right w:val="nil"/>
            </w:tcBorders>
            <w:noWrap w:val="0"/>
            <w:vAlign w:val="center"/>
          </w:tcPr>
          <w:p w14:paraId="2A31ED53">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建议最终排入环境控制指标</w:t>
            </w:r>
          </w:p>
        </w:tc>
      </w:tr>
      <w:tr w14:paraId="7E6AE9B8">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753" w:type="dxa"/>
            <w:tcBorders>
              <w:top w:val="single" w:color="auto" w:sz="4" w:space="0"/>
              <w:left w:val="nil"/>
              <w:bottom w:val="single" w:color="auto" w:sz="4" w:space="0"/>
              <w:right w:val="single" w:color="auto" w:sz="4" w:space="0"/>
            </w:tcBorders>
            <w:noWrap w:val="0"/>
            <w:vAlign w:val="center"/>
          </w:tcPr>
          <w:p w14:paraId="0C9F3285">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污染物名称</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23DA58DF">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排放浓度mg/L</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00388E3A">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总排放量</w:t>
            </w:r>
            <w:r>
              <w:rPr>
                <w:rFonts w:hint="default" w:ascii="Times New Roman" w:hAnsi="Times New Roman" w:eastAsia="宋体" w:cs="Times New Roman"/>
                <w:color w:val="auto"/>
                <w:kern w:val="2"/>
                <w:sz w:val="21"/>
                <w:szCs w:val="24"/>
                <w:highlight w:val="none"/>
                <w:lang w:val="en-US" w:eastAsia="zh-CN" w:bidi="ar-SA"/>
              </w:rPr>
              <w:t>t/a</w:t>
            </w:r>
          </w:p>
        </w:tc>
        <w:tc>
          <w:tcPr>
            <w:tcW w:w="2004" w:type="dxa"/>
            <w:tcBorders>
              <w:top w:val="single" w:color="auto" w:sz="4" w:space="0"/>
              <w:left w:val="single" w:color="auto" w:sz="4" w:space="0"/>
              <w:bottom w:val="single" w:color="auto" w:sz="4" w:space="0"/>
              <w:right w:val="single" w:color="auto" w:sz="4" w:space="0"/>
            </w:tcBorders>
            <w:noWrap w:val="0"/>
            <w:vAlign w:val="center"/>
          </w:tcPr>
          <w:p w14:paraId="171ED2E2">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生产废水</w:t>
            </w:r>
            <w:r>
              <w:rPr>
                <w:rFonts w:hint="eastAsia" w:ascii="Times New Roman" w:hAnsi="Times New Roman" w:eastAsia="宋体" w:cs="Times New Roman"/>
                <w:color w:val="auto"/>
                <w:kern w:val="2"/>
                <w:sz w:val="21"/>
                <w:szCs w:val="24"/>
                <w:highlight w:val="none"/>
                <w:lang w:val="en-US" w:eastAsia="zh-CN" w:bidi="ar-SA"/>
              </w:rPr>
              <w:t>排放量</w:t>
            </w:r>
            <w:r>
              <w:rPr>
                <w:rFonts w:hint="default" w:ascii="Times New Roman" w:hAnsi="Times New Roman" w:eastAsia="宋体" w:cs="Times New Roman"/>
                <w:color w:val="auto"/>
                <w:kern w:val="2"/>
                <w:sz w:val="21"/>
                <w:szCs w:val="24"/>
                <w:highlight w:val="none"/>
                <w:lang w:val="en-US" w:eastAsia="zh-CN" w:bidi="ar-SA"/>
              </w:rPr>
              <w:t>t/a</w:t>
            </w:r>
          </w:p>
        </w:tc>
        <w:tc>
          <w:tcPr>
            <w:tcW w:w="1890" w:type="dxa"/>
            <w:tcBorders>
              <w:top w:val="single" w:color="auto" w:sz="4" w:space="0"/>
              <w:left w:val="single" w:color="auto" w:sz="4" w:space="0"/>
              <w:bottom w:val="single" w:color="auto" w:sz="4" w:space="0"/>
              <w:right w:val="nil"/>
            </w:tcBorders>
            <w:noWrap w:val="0"/>
            <w:vAlign w:val="center"/>
          </w:tcPr>
          <w:p w14:paraId="6360EE66">
            <w:pPr>
              <w:widowControl/>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生活污水排放量</w:t>
            </w:r>
            <w:r>
              <w:rPr>
                <w:rFonts w:hint="default" w:ascii="Times New Roman" w:hAnsi="Times New Roman" w:eastAsia="宋体" w:cs="Times New Roman"/>
                <w:color w:val="auto"/>
                <w:kern w:val="2"/>
                <w:sz w:val="21"/>
                <w:szCs w:val="24"/>
                <w:highlight w:val="none"/>
                <w:lang w:val="en-US" w:eastAsia="zh-CN" w:bidi="ar-SA"/>
              </w:rPr>
              <w:t>t/a</w:t>
            </w:r>
          </w:p>
        </w:tc>
      </w:tr>
      <w:tr w14:paraId="4FC3711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753" w:type="dxa"/>
            <w:tcBorders>
              <w:top w:val="single" w:color="auto" w:sz="4" w:space="0"/>
              <w:left w:val="nil"/>
              <w:bottom w:val="single" w:color="auto" w:sz="4" w:space="0"/>
              <w:right w:val="single" w:color="auto" w:sz="4" w:space="0"/>
            </w:tcBorders>
            <w:noWrap w:val="0"/>
            <w:vAlign w:val="center"/>
          </w:tcPr>
          <w:p w14:paraId="260DA9E5">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废水量</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06670306">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51F9C27">
            <w:pPr>
              <w:pStyle w:val="1405"/>
              <w:bidi w:val="0"/>
              <w:rPr>
                <w:rFonts w:hint="default"/>
                <w:color w:val="auto"/>
                <w:highlight w:val="none"/>
                <w:lang w:val="en-US" w:eastAsia="zh-CN"/>
              </w:rPr>
            </w:pPr>
            <w:r>
              <w:rPr>
                <w:rFonts w:hint="default"/>
                <w:color w:val="auto"/>
                <w:highlight w:val="none"/>
                <w:lang w:val="en-US" w:eastAsia="zh-CN"/>
              </w:rPr>
              <w:t>757.8</w:t>
            </w:r>
          </w:p>
        </w:tc>
        <w:tc>
          <w:tcPr>
            <w:tcW w:w="20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E8505">
            <w:pPr>
              <w:pStyle w:val="1405"/>
              <w:bidi w:val="0"/>
              <w:rPr>
                <w:rFonts w:hint="default"/>
                <w:color w:val="auto"/>
                <w:highlight w:val="none"/>
                <w:lang w:val="en-US" w:eastAsia="zh-CN"/>
              </w:rPr>
            </w:pPr>
            <w:r>
              <w:rPr>
                <w:rFonts w:hint="default"/>
                <w:color w:val="auto"/>
                <w:highlight w:val="none"/>
                <w:lang w:val="en-US" w:eastAsia="zh-CN"/>
              </w:rPr>
              <w:t>157.8</w:t>
            </w:r>
          </w:p>
        </w:tc>
        <w:tc>
          <w:tcPr>
            <w:tcW w:w="1890" w:type="dxa"/>
            <w:tcBorders>
              <w:top w:val="single" w:color="auto" w:sz="4" w:space="0"/>
              <w:left w:val="single" w:color="auto" w:sz="4" w:space="0"/>
              <w:bottom w:val="single" w:color="auto" w:sz="4" w:space="0"/>
              <w:right w:val="nil"/>
            </w:tcBorders>
            <w:shd w:val="clear" w:color="auto" w:fill="auto"/>
            <w:noWrap w:val="0"/>
            <w:vAlign w:val="center"/>
          </w:tcPr>
          <w:p w14:paraId="047670AD">
            <w:pPr>
              <w:pStyle w:val="1405"/>
              <w:bidi w:val="0"/>
              <w:jc w:val="center"/>
              <w:rPr>
                <w:rFonts w:hint="default"/>
                <w:color w:val="auto"/>
                <w:highlight w:val="none"/>
                <w:lang w:val="en-US" w:eastAsia="zh-CN"/>
              </w:rPr>
            </w:pPr>
            <w:r>
              <w:rPr>
                <w:rFonts w:hint="default"/>
                <w:color w:val="auto"/>
                <w:highlight w:val="none"/>
                <w:lang w:val="en-US" w:eastAsia="zh-CN"/>
              </w:rPr>
              <w:t>600</w:t>
            </w:r>
          </w:p>
        </w:tc>
      </w:tr>
      <w:tr w14:paraId="26EE390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753" w:type="dxa"/>
            <w:tcBorders>
              <w:top w:val="single" w:color="auto" w:sz="4" w:space="0"/>
              <w:left w:val="nil"/>
              <w:bottom w:val="single" w:color="auto" w:sz="4" w:space="0"/>
              <w:right w:val="single" w:color="auto" w:sz="4" w:space="0"/>
            </w:tcBorders>
            <w:noWrap w:val="0"/>
            <w:vAlign w:val="center"/>
          </w:tcPr>
          <w:p w14:paraId="673A43FF">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COD</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4ECC938A">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50</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47001C34">
            <w:pPr>
              <w:pStyle w:val="1405"/>
              <w:bidi w:val="0"/>
              <w:rPr>
                <w:rFonts w:hint="default"/>
                <w:color w:val="auto"/>
                <w:highlight w:val="none"/>
                <w:lang w:val="en-US" w:eastAsia="zh-CN"/>
              </w:rPr>
            </w:pPr>
            <w:r>
              <w:rPr>
                <w:rFonts w:hint="default"/>
                <w:color w:val="auto"/>
                <w:highlight w:val="none"/>
                <w:lang w:val="en-US" w:eastAsia="zh-CN"/>
              </w:rPr>
              <w:t>0.3789</w:t>
            </w:r>
          </w:p>
        </w:tc>
        <w:tc>
          <w:tcPr>
            <w:tcW w:w="20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BF3FE3">
            <w:pPr>
              <w:pStyle w:val="1405"/>
              <w:bidi w:val="0"/>
              <w:rPr>
                <w:rFonts w:hint="default"/>
                <w:color w:val="auto"/>
                <w:highlight w:val="none"/>
                <w:lang w:val="en-US" w:eastAsia="zh-CN"/>
              </w:rPr>
            </w:pPr>
            <w:r>
              <w:rPr>
                <w:rFonts w:hint="default"/>
                <w:color w:val="auto"/>
                <w:highlight w:val="none"/>
                <w:lang w:val="en-US" w:eastAsia="zh-CN"/>
              </w:rPr>
              <w:t>0.0789</w:t>
            </w:r>
          </w:p>
        </w:tc>
        <w:tc>
          <w:tcPr>
            <w:tcW w:w="1890" w:type="dxa"/>
            <w:tcBorders>
              <w:top w:val="single" w:color="auto" w:sz="4" w:space="0"/>
              <w:left w:val="single" w:color="auto" w:sz="4" w:space="0"/>
              <w:bottom w:val="single" w:color="auto" w:sz="4" w:space="0"/>
              <w:right w:val="nil"/>
            </w:tcBorders>
            <w:shd w:val="clear" w:color="auto" w:fill="auto"/>
            <w:noWrap w:val="0"/>
            <w:vAlign w:val="center"/>
          </w:tcPr>
          <w:p w14:paraId="2EA1ACB8">
            <w:pPr>
              <w:pStyle w:val="1405"/>
              <w:bidi w:val="0"/>
              <w:jc w:val="center"/>
              <w:rPr>
                <w:rFonts w:hint="default"/>
                <w:color w:val="auto"/>
                <w:highlight w:val="none"/>
                <w:lang w:val="en-US" w:eastAsia="zh-CN"/>
              </w:rPr>
            </w:pPr>
            <w:r>
              <w:rPr>
                <w:rFonts w:hint="default"/>
                <w:color w:val="auto"/>
                <w:highlight w:val="none"/>
                <w:lang w:val="en-US" w:eastAsia="zh-CN"/>
              </w:rPr>
              <w:t>0.30</w:t>
            </w:r>
          </w:p>
        </w:tc>
      </w:tr>
      <w:tr w14:paraId="7E19C37B">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753" w:type="dxa"/>
            <w:tcBorders>
              <w:top w:val="single" w:color="auto" w:sz="4" w:space="0"/>
              <w:left w:val="nil"/>
              <w:bottom w:val="single" w:color="auto" w:sz="4" w:space="0"/>
              <w:right w:val="single" w:color="auto" w:sz="4" w:space="0"/>
            </w:tcBorders>
            <w:noWrap w:val="0"/>
            <w:vAlign w:val="center"/>
          </w:tcPr>
          <w:p w14:paraId="2BD721EF">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NH</w:t>
            </w:r>
            <w:r>
              <w:rPr>
                <w:rFonts w:hint="default" w:ascii="Times New Roman" w:hAnsi="Times New Roman" w:eastAsia="宋体" w:cs="Times New Roman"/>
                <w:color w:val="auto"/>
                <w:kern w:val="2"/>
                <w:sz w:val="21"/>
                <w:szCs w:val="24"/>
                <w:highlight w:val="none"/>
                <w:vertAlign w:val="subscript"/>
                <w:lang w:val="en-US" w:eastAsia="zh-CN" w:bidi="ar-SA"/>
              </w:rPr>
              <w:t>3</w:t>
            </w:r>
            <w:r>
              <w:rPr>
                <w:rFonts w:hint="default" w:ascii="Times New Roman" w:hAnsi="Times New Roman" w:eastAsia="宋体" w:cs="Times New Roman"/>
                <w:color w:val="auto"/>
                <w:kern w:val="2"/>
                <w:sz w:val="21"/>
                <w:szCs w:val="24"/>
                <w:highlight w:val="none"/>
                <w:lang w:val="en-US" w:eastAsia="zh-CN" w:bidi="ar-SA"/>
              </w:rPr>
              <w:t>-N</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0898BC85">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5</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5868039">
            <w:pPr>
              <w:pStyle w:val="1405"/>
              <w:bidi w:val="0"/>
              <w:rPr>
                <w:rFonts w:hint="default"/>
                <w:color w:val="auto"/>
                <w:highlight w:val="none"/>
                <w:lang w:val="en-US" w:eastAsia="zh-CN"/>
              </w:rPr>
            </w:pPr>
            <w:r>
              <w:rPr>
                <w:rFonts w:hint="default"/>
                <w:color w:val="auto"/>
                <w:highlight w:val="none"/>
                <w:lang w:val="en-US" w:eastAsia="zh-CN"/>
              </w:rPr>
              <w:t>0.03789</w:t>
            </w:r>
          </w:p>
        </w:tc>
        <w:tc>
          <w:tcPr>
            <w:tcW w:w="20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5689">
            <w:pPr>
              <w:pStyle w:val="1405"/>
              <w:bidi w:val="0"/>
              <w:rPr>
                <w:rFonts w:hint="default"/>
                <w:color w:val="auto"/>
                <w:highlight w:val="none"/>
                <w:lang w:val="en-US" w:eastAsia="zh-CN"/>
              </w:rPr>
            </w:pPr>
            <w:r>
              <w:rPr>
                <w:rFonts w:hint="default"/>
                <w:color w:val="auto"/>
                <w:highlight w:val="none"/>
                <w:lang w:val="en-US" w:eastAsia="zh-CN"/>
              </w:rPr>
              <w:t>0.00789</w:t>
            </w:r>
          </w:p>
        </w:tc>
        <w:tc>
          <w:tcPr>
            <w:tcW w:w="1890" w:type="dxa"/>
            <w:tcBorders>
              <w:top w:val="single" w:color="auto" w:sz="4" w:space="0"/>
              <w:left w:val="single" w:color="auto" w:sz="4" w:space="0"/>
              <w:bottom w:val="single" w:color="auto" w:sz="4" w:space="0"/>
              <w:right w:val="nil"/>
            </w:tcBorders>
            <w:shd w:val="clear" w:color="auto" w:fill="auto"/>
            <w:noWrap w:val="0"/>
            <w:vAlign w:val="center"/>
          </w:tcPr>
          <w:p w14:paraId="70D37330">
            <w:pPr>
              <w:pStyle w:val="1405"/>
              <w:bidi w:val="0"/>
              <w:jc w:val="center"/>
              <w:rPr>
                <w:rFonts w:hint="default"/>
                <w:color w:val="auto"/>
                <w:highlight w:val="none"/>
                <w:lang w:val="en-US" w:eastAsia="zh-CN"/>
              </w:rPr>
            </w:pPr>
            <w:r>
              <w:rPr>
                <w:rFonts w:hint="default"/>
                <w:color w:val="auto"/>
                <w:highlight w:val="none"/>
                <w:lang w:val="en-US" w:eastAsia="zh-CN"/>
              </w:rPr>
              <w:t>0.03</w:t>
            </w:r>
          </w:p>
        </w:tc>
      </w:tr>
      <w:tr w14:paraId="0335EB2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45" w:type="dxa"/>
            <w:gridSpan w:val="5"/>
            <w:tcBorders>
              <w:top w:val="single" w:color="auto" w:sz="4" w:space="0"/>
              <w:left w:val="nil"/>
              <w:bottom w:val="single" w:color="auto" w:sz="12" w:space="0"/>
              <w:right w:val="nil"/>
            </w:tcBorders>
            <w:noWrap w:val="0"/>
            <w:vAlign w:val="center"/>
          </w:tcPr>
          <w:p w14:paraId="5B54FBDA">
            <w:pPr>
              <w:pStyle w:val="1405"/>
              <w:bidi w:val="0"/>
              <w:jc w:val="left"/>
              <w:rPr>
                <w:rFonts w:hint="default"/>
                <w:color w:val="auto"/>
                <w:highlight w:val="none"/>
                <w:lang w:val="en-US" w:eastAsia="zh-CN"/>
              </w:rPr>
            </w:pPr>
            <w:r>
              <w:rPr>
                <w:rFonts w:hint="eastAsia"/>
                <w:color w:val="auto"/>
                <w:highlight w:val="none"/>
                <w:lang w:val="en-US" w:eastAsia="zh-CN"/>
              </w:rPr>
              <w:t>生产废水：锅炉排污水、反渗透浓水</w:t>
            </w:r>
          </w:p>
        </w:tc>
      </w:tr>
    </w:tbl>
    <w:p w14:paraId="18C68787">
      <w:pPr>
        <w:bidi w:val="0"/>
        <w:rPr>
          <w:rFonts w:hint="eastAsia"/>
          <w:color w:val="auto"/>
          <w:highlight w:val="none"/>
          <w:lang w:val="en-US" w:eastAsia="zh-CN"/>
        </w:rPr>
      </w:pPr>
      <w:r>
        <w:rPr>
          <w:rFonts w:hint="eastAsia"/>
          <w:color w:val="auto"/>
          <w:highlight w:val="none"/>
          <w:lang w:val="en-US" w:eastAsia="zh-CN"/>
        </w:rPr>
        <w:t>本项目生产废水主要为锅炉排污水和纯水制备反渗透浓水，上述废水水质简单、仅含少量浓缩的无机盐分，不含有机污染物及有毒有害物质，故本项目无需购买对应的排污权交易指标。</w:t>
      </w:r>
    </w:p>
    <w:p w14:paraId="7E90EDA9">
      <w:pPr>
        <w:pStyle w:val="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表10.3-2  本项目废气污染物建议性控制指标总量一览表</w:t>
      </w:r>
    </w:p>
    <w:tbl>
      <w:tblPr>
        <w:tblStyle w:val="80"/>
        <w:tblW w:w="8925" w:type="dxa"/>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3854"/>
        <w:gridCol w:w="5071"/>
      </w:tblGrid>
      <w:tr w14:paraId="28F085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7" w:hRule="atLeast"/>
        </w:trPr>
        <w:tc>
          <w:tcPr>
            <w:tcW w:w="3854" w:type="dxa"/>
            <w:tcBorders>
              <w:tl2br w:val="nil"/>
              <w:tr2bl w:val="nil"/>
            </w:tcBorders>
            <w:shd w:val="clear" w:color="auto" w:fill="auto"/>
            <w:noWrap/>
            <w:vAlign w:val="center"/>
          </w:tcPr>
          <w:p w14:paraId="56DF6440">
            <w:pPr>
              <w:widowControl/>
              <w:bidi w:val="0"/>
              <w:spacing w:line="240" w:lineRule="auto"/>
              <w:ind w:left="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污染物</w:t>
            </w:r>
          </w:p>
        </w:tc>
        <w:tc>
          <w:tcPr>
            <w:tcW w:w="5071" w:type="dxa"/>
            <w:tcBorders>
              <w:tl2br w:val="nil"/>
              <w:tr2bl w:val="nil"/>
            </w:tcBorders>
            <w:shd w:val="clear" w:color="auto" w:fill="auto"/>
            <w:vAlign w:val="center"/>
          </w:tcPr>
          <w:p w14:paraId="6686C7E6">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排放量（</w:t>
            </w:r>
            <w:r>
              <w:rPr>
                <w:rFonts w:hint="default" w:ascii="Times New Roman" w:hAnsi="Times New Roman" w:eastAsia="宋体" w:cs="Times New Roman"/>
                <w:color w:val="auto"/>
                <w:kern w:val="2"/>
                <w:sz w:val="21"/>
                <w:szCs w:val="24"/>
                <w:highlight w:val="none"/>
                <w:lang w:val="en-US" w:eastAsia="zh-CN" w:bidi="ar-SA"/>
              </w:rPr>
              <w:t>t/a</w:t>
            </w:r>
            <w:r>
              <w:rPr>
                <w:rFonts w:hint="eastAsia" w:ascii="Times New Roman" w:hAnsi="Times New Roman" w:eastAsia="宋体" w:cs="Times New Roman"/>
                <w:color w:val="auto"/>
                <w:kern w:val="2"/>
                <w:sz w:val="21"/>
                <w:szCs w:val="24"/>
                <w:highlight w:val="none"/>
                <w:lang w:val="en-US" w:eastAsia="zh-CN" w:bidi="ar-SA"/>
              </w:rPr>
              <w:t>）</w:t>
            </w:r>
          </w:p>
        </w:tc>
      </w:tr>
      <w:tr w14:paraId="606993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0" w:hRule="atLeast"/>
        </w:trPr>
        <w:tc>
          <w:tcPr>
            <w:tcW w:w="3854" w:type="dxa"/>
            <w:tcBorders>
              <w:tl2br w:val="nil"/>
              <w:tr2bl w:val="nil"/>
            </w:tcBorders>
            <w:shd w:val="clear" w:color="auto" w:fill="auto"/>
            <w:vAlign w:val="center"/>
          </w:tcPr>
          <w:p w14:paraId="5E256F83">
            <w:pPr>
              <w:widowControl/>
              <w:bidi w:val="0"/>
              <w:spacing w:line="240" w:lineRule="auto"/>
              <w:ind w:left="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二氧化硫</w:t>
            </w:r>
          </w:p>
        </w:tc>
        <w:tc>
          <w:tcPr>
            <w:tcW w:w="5071" w:type="dxa"/>
            <w:tcBorders>
              <w:tl2br w:val="nil"/>
              <w:tr2bl w:val="nil"/>
            </w:tcBorders>
            <w:shd w:val="clear" w:color="auto" w:fill="auto"/>
            <w:noWrap/>
            <w:vAlign w:val="center"/>
          </w:tcPr>
          <w:p w14:paraId="03FE27EA">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0.0668</w:t>
            </w:r>
          </w:p>
        </w:tc>
      </w:tr>
      <w:tr w14:paraId="0B6A30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0" w:hRule="atLeast"/>
        </w:trPr>
        <w:tc>
          <w:tcPr>
            <w:tcW w:w="3854" w:type="dxa"/>
            <w:tcBorders>
              <w:tl2br w:val="nil"/>
              <w:tr2bl w:val="nil"/>
            </w:tcBorders>
            <w:shd w:val="clear" w:color="auto" w:fill="auto"/>
            <w:vAlign w:val="center"/>
          </w:tcPr>
          <w:p w14:paraId="52370257">
            <w:pPr>
              <w:widowControl/>
              <w:bidi w:val="0"/>
              <w:spacing w:line="240" w:lineRule="auto"/>
              <w:ind w:left="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氮氧化物</w:t>
            </w:r>
          </w:p>
        </w:tc>
        <w:tc>
          <w:tcPr>
            <w:tcW w:w="5071" w:type="dxa"/>
            <w:tcBorders>
              <w:tl2br w:val="nil"/>
              <w:tr2bl w:val="nil"/>
            </w:tcBorders>
            <w:shd w:val="clear" w:color="auto" w:fill="auto"/>
            <w:noWrap/>
            <w:vAlign w:val="center"/>
          </w:tcPr>
          <w:p w14:paraId="7EB6239E">
            <w:pPr>
              <w:widowControl/>
              <w:bidi w:val="0"/>
              <w:spacing w:line="240" w:lineRule="auto"/>
              <w:ind w:left="0" w:leftChars="0" w:firstLine="0" w:firstLineChars="0"/>
              <w:contextualSpacing/>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0.5825</w:t>
            </w:r>
          </w:p>
        </w:tc>
      </w:tr>
      <w:tr w14:paraId="67B714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0" w:hRule="atLeast"/>
        </w:trPr>
        <w:tc>
          <w:tcPr>
            <w:tcW w:w="3854" w:type="dxa"/>
            <w:tcBorders>
              <w:tl2br w:val="nil"/>
              <w:tr2bl w:val="nil"/>
            </w:tcBorders>
            <w:shd w:val="clear" w:color="auto" w:fill="auto"/>
            <w:vAlign w:val="center"/>
          </w:tcPr>
          <w:p w14:paraId="5D230A69">
            <w:pPr>
              <w:widowControl/>
              <w:bidi w:val="0"/>
              <w:spacing w:line="240" w:lineRule="auto"/>
              <w:ind w:left="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VOCs</w:t>
            </w:r>
          </w:p>
        </w:tc>
        <w:tc>
          <w:tcPr>
            <w:tcW w:w="5071" w:type="dxa"/>
            <w:tcBorders>
              <w:tl2br w:val="nil"/>
              <w:tr2bl w:val="nil"/>
            </w:tcBorders>
            <w:shd w:val="clear" w:color="auto" w:fill="auto"/>
            <w:noWrap/>
            <w:vAlign w:val="center"/>
          </w:tcPr>
          <w:p w14:paraId="47618D5D">
            <w:pPr>
              <w:widowControl/>
              <w:bidi w:val="0"/>
              <w:spacing w:line="240" w:lineRule="auto"/>
              <w:ind w:left="0" w:leftChars="0" w:firstLine="0" w:firstLineChars="0"/>
              <w:contextualSpacing/>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6.16</w:t>
            </w:r>
          </w:p>
        </w:tc>
      </w:tr>
    </w:tbl>
    <w:p w14:paraId="1B499198">
      <w:pPr>
        <w:bidi w:val="0"/>
        <w:rPr>
          <w:rFonts w:hint="eastAsia"/>
          <w:color w:val="auto"/>
          <w:highlight w:val="none"/>
        </w:rPr>
      </w:pPr>
      <w:r>
        <w:rPr>
          <w:rFonts w:hint="eastAsia"/>
          <w:color w:val="auto"/>
          <w:highlight w:val="none"/>
        </w:rPr>
        <w:t>根据《福建省人民政府关于推进排污权有偿使用和交易工作的意见（试行）》（闽政〔2014〕24号）及《福州市排污权储备和出让工作实施意见》等相关规定，新建项目新增主要污染物排放总量指标需作为环境影响评价审批的前置条件，通过排污权交易或有偿获取。本项目废气污染物（二氧化硫、氮氧化物）排放量达到购买排污权交易指标的要求，需在环评审批前向福州市生态环境局提交总量来源说明，并依规通过海峡股权交易中心购买所需的排污权指标。</w:t>
      </w:r>
    </w:p>
    <w:p w14:paraId="148FB592">
      <w:pPr>
        <w:bidi w:val="0"/>
        <w:rPr>
          <w:rFonts w:hint="eastAsia"/>
          <w:color w:val="auto"/>
          <w:highlight w:val="none"/>
        </w:rPr>
      </w:pPr>
      <w:r>
        <w:rPr>
          <w:rFonts w:hint="eastAsia"/>
          <w:color w:val="auto"/>
          <w:highlight w:val="none"/>
        </w:rPr>
        <w:t>根据《福州市环境保护局关于印发福州市大气污染联防控联治工作方案的通知》（榕环保综〔2018〕386号），VOCs排放实行区域内倍量替代，新、改扩建涉VOCs排放项目应从源头加强控制，使用低（无）VOCs含量的原辅材料，加强废气收集，安装高效治理设施。本项目VOCs（非甲烷总烃）总量需通过区域调剂获得。</w:t>
      </w:r>
    </w:p>
    <w:p w14:paraId="38AE8D09">
      <w:pPr>
        <w:bidi w:val="0"/>
        <w:rPr>
          <w:rFonts w:hint="eastAsia"/>
          <w:color w:val="auto"/>
          <w:highlight w:val="none"/>
        </w:rPr>
        <w:sectPr>
          <w:pgSz w:w="11906" w:h="16838"/>
          <w:pgMar w:top="1588" w:right="141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r>
        <w:rPr>
          <w:rFonts w:hint="eastAsia"/>
          <w:color w:val="auto"/>
          <w:highlight w:val="none"/>
        </w:rPr>
        <w:t>最终的总量控制指标以本报告书报批生态环境主管部门后核定的总量为准（总量承诺函见附件1</w:t>
      </w:r>
      <w:r>
        <w:rPr>
          <w:rFonts w:hint="eastAsia"/>
          <w:color w:val="auto"/>
          <w:highlight w:val="none"/>
          <w:lang w:val="en-US" w:eastAsia="zh-CN"/>
        </w:rPr>
        <w:t>0</w:t>
      </w:r>
      <w:r>
        <w:rPr>
          <w:rFonts w:hint="eastAsia"/>
          <w:color w:val="auto"/>
          <w:highlight w:val="none"/>
        </w:rPr>
        <w:t>）。</w:t>
      </w:r>
    </w:p>
    <w:p w14:paraId="7B0048BB">
      <w:pPr>
        <w:pStyle w:val="3"/>
        <w:numPr>
          <w:ilvl w:val="0"/>
          <w:numId w:val="0"/>
        </w:numPr>
        <w:bidi w:val="0"/>
        <w:rPr>
          <w:color w:val="auto"/>
          <w:highlight w:val="none"/>
        </w:rPr>
      </w:pPr>
      <w:bookmarkStart w:id="1441" w:name="_Toc5173"/>
      <w:bookmarkStart w:id="1442" w:name="_Toc18652"/>
      <w:r>
        <w:rPr>
          <w:color w:val="auto"/>
          <w:highlight w:val="none"/>
        </w:rPr>
        <w:t>10.4</w:t>
      </w:r>
      <w:r>
        <w:rPr>
          <w:rFonts w:hint="eastAsia"/>
          <w:color w:val="auto"/>
          <w:highlight w:val="none"/>
          <w:lang w:val="en-US" w:eastAsia="zh-CN"/>
        </w:rPr>
        <w:t xml:space="preserve"> </w:t>
      </w:r>
      <w:r>
        <w:rPr>
          <w:color w:val="auto"/>
          <w:highlight w:val="none"/>
        </w:rPr>
        <w:t>项目竣工环境保护验收要求</w:t>
      </w:r>
      <w:bookmarkEnd w:id="1433"/>
      <w:bookmarkEnd w:id="1434"/>
      <w:bookmarkEnd w:id="1435"/>
      <w:bookmarkEnd w:id="1436"/>
      <w:bookmarkEnd w:id="1437"/>
      <w:bookmarkEnd w:id="1438"/>
      <w:bookmarkEnd w:id="1439"/>
      <w:bookmarkEnd w:id="1440"/>
      <w:bookmarkEnd w:id="1441"/>
      <w:bookmarkEnd w:id="1442"/>
    </w:p>
    <w:p w14:paraId="06ED0D63">
      <w:pPr>
        <w:pStyle w:val="1319"/>
        <w:ind w:firstLine="480"/>
        <w:rPr>
          <w:color w:val="auto"/>
          <w:highlight w:val="none"/>
          <w:lang w:bidi="he-IL"/>
        </w:rPr>
      </w:pPr>
      <w:r>
        <w:rPr>
          <w:color w:val="auto"/>
          <w:highlight w:val="none"/>
          <w:lang w:bidi="he-IL"/>
        </w:rPr>
        <w:t>项目环保竣工验收内容见表10.4-1。</w:t>
      </w:r>
    </w:p>
    <w:p w14:paraId="59D3B0C0">
      <w:pPr>
        <w:pStyle w:val="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表10.4-1  工程竣工环保设施验收内容一览表</w:t>
      </w:r>
    </w:p>
    <w:tbl>
      <w:tblPr>
        <w:tblStyle w:val="80"/>
        <w:tblW w:w="508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0"/>
        <w:gridCol w:w="677"/>
        <w:gridCol w:w="1600"/>
        <w:gridCol w:w="719"/>
        <w:gridCol w:w="945"/>
        <w:gridCol w:w="1377"/>
        <w:gridCol w:w="2323"/>
        <w:gridCol w:w="6002"/>
      </w:tblGrid>
      <w:tr w14:paraId="2C9D2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blHeader/>
          <w:jc w:val="center"/>
        </w:trPr>
        <w:tc>
          <w:tcPr>
            <w:tcW w:w="220" w:type="pct"/>
            <w:noWrap w:val="0"/>
            <w:vAlign w:val="center"/>
          </w:tcPr>
          <w:p w14:paraId="2C620484">
            <w:pPr>
              <w:pStyle w:val="1405"/>
              <w:bidi w:val="0"/>
              <w:rPr>
                <w:color w:val="auto"/>
                <w:highlight w:val="none"/>
              </w:rPr>
            </w:pPr>
            <w:r>
              <w:rPr>
                <w:color w:val="auto"/>
                <w:highlight w:val="none"/>
              </w:rPr>
              <w:t>序号</w:t>
            </w:r>
          </w:p>
        </w:tc>
        <w:tc>
          <w:tcPr>
            <w:tcW w:w="237" w:type="pct"/>
            <w:noWrap w:val="0"/>
            <w:vAlign w:val="center"/>
          </w:tcPr>
          <w:p w14:paraId="7BE3C589">
            <w:pPr>
              <w:pStyle w:val="1405"/>
              <w:bidi w:val="0"/>
              <w:rPr>
                <w:color w:val="auto"/>
                <w:highlight w:val="none"/>
              </w:rPr>
            </w:pPr>
            <w:r>
              <w:rPr>
                <w:color w:val="auto"/>
                <w:highlight w:val="none"/>
              </w:rPr>
              <w:t>项目名称</w:t>
            </w:r>
          </w:p>
        </w:tc>
        <w:tc>
          <w:tcPr>
            <w:tcW w:w="2439" w:type="pct"/>
            <w:gridSpan w:val="5"/>
            <w:noWrap w:val="0"/>
            <w:vAlign w:val="center"/>
          </w:tcPr>
          <w:p w14:paraId="377187D1">
            <w:pPr>
              <w:pStyle w:val="1405"/>
              <w:bidi w:val="0"/>
              <w:rPr>
                <w:color w:val="auto"/>
                <w:highlight w:val="none"/>
              </w:rPr>
            </w:pPr>
            <w:r>
              <w:rPr>
                <w:color w:val="auto"/>
                <w:highlight w:val="none"/>
              </w:rPr>
              <w:t>环境治理及防治措施</w:t>
            </w:r>
          </w:p>
        </w:tc>
        <w:tc>
          <w:tcPr>
            <w:tcW w:w="2102" w:type="pct"/>
            <w:noWrap w:val="0"/>
            <w:vAlign w:val="center"/>
          </w:tcPr>
          <w:p w14:paraId="2FA96D45">
            <w:pPr>
              <w:pStyle w:val="1405"/>
              <w:bidi w:val="0"/>
              <w:rPr>
                <w:color w:val="auto"/>
                <w:highlight w:val="none"/>
              </w:rPr>
            </w:pPr>
            <w:r>
              <w:rPr>
                <w:color w:val="auto"/>
                <w:highlight w:val="none"/>
              </w:rPr>
              <w:t>验收指标与要求</w:t>
            </w:r>
          </w:p>
        </w:tc>
      </w:tr>
      <w:tr w14:paraId="564CB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9" w:hRule="atLeast"/>
          <w:jc w:val="center"/>
        </w:trPr>
        <w:tc>
          <w:tcPr>
            <w:tcW w:w="220" w:type="pct"/>
            <w:vMerge w:val="restart"/>
            <w:noWrap w:val="0"/>
            <w:vAlign w:val="center"/>
          </w:tcPr>
          <w:p w14:paraId="2008D983">
            <w:pPr>
              <w:pStyle w:val="1405"/>
              <w:bidi w:val="0"/>
              <w:rPr>
                <w:color w:val="auto"/>
                <w:highlight w:val="none"/>
              </w:rPr>
            </w:pPr>
            <w:r>
              <w:rPr>
                <w:color w:val="auto"/>
                <w:highlight w:val="none"/>
              </w:rPr>
              <w:t>1</w:t>
            </w:r>
          </w:p>
        </w:tc>
        <w:tc>
          <w:tcPr>
            <w:tcW w:w="237" w:type="pct"/>
            <w:vMerge w:val="restart"/>
            <w:noWrap w:val="0"/>
            <w:vAlign w:val="center"/>
          </w:tcPr>
          <w:p w14:paraId="5DE391B8">
            <w:pPr>
              <w:pStyle w:val="1405"/>
              <w:bidi w:val="0"/>
              <w:rPr>
                <w:color w:val="auto"/>
                <w:highlight w:val="none"/>
              </w:rPr>
            </w:pPr>
            <w:r>
              <w:rPr>
                <w:color w:val="auto"/>
                <w:highlight w:val="none"/>
              </w:rPr>
              <w:t>废气污染措施</w:t>
            </w:r>
          </w:p>
        </w:tc>
        <w:tc>
          <w:tcPr>
            <w:tcW w:w="560" w:type="pct"/>
            <w:noWrap w:val="0"/>
            <w:vAlign w:val="center"/>
          </w:tcPr>
          <w:p w14:paraId="5E6E727C">
            <w:pPr>
              <w:pStyle w:val="1321"/>
              <w:rPr>
                <w:rFonts w:hint="default" w:eastAsia="宋体"/>
                <w:color w:val="auto"/>
                <w:highlight w:val="none"/>
                <w:lang w:val="en-US" w:eastAsia="zh-CN"/>
              </w:rPr>
            </w:pPr>
            <w:r>
              <w:rPr>
                <w:rFonts w:hint="eastAsia"/>
                <w:color w:val="auto"/>
                <w:highlight w:val="none"/>
                <w:lang w:val="en-US" w:eastAsia="zh-CN"/>
              </w:rPr>
              <w:t>喷漆、流平、烘干及喷枪清洗</w:t>
            </w:r>
            <w:r>
              <w:rPr>
                <w:color w:val="auto"/>
                <w:highlight w:val="none"/>
              </w:rPr>
              <w:t>工序废气</w:t>
            </w:r>
            <w:r>
              <w:rPr>
                <w:rFonts w:hint="eastAsia"/>
                <w:color w:val="auto"/>
                <w:highlight w:val="none"/>
                <w:lang w:eastAsia="zh-CN"/>
              </w:rPr>
              <w:t>，</w:t>
            </w:r>
            <w:r>
              <w:rPr>
                <w:rFonts w:hint="eastAsia"/>
                <w:color w:val="auto"/>
                <w:highlight w:val="none"/>
                <w:lang w:val="en-US" w:eastAsia="zh-CN"/>
              </w:rPr>
              <w:t>RTO焚烧炉、固化炉天然气燃烧废气</w:t>
            </w:r>
          </w:p>
        </w:tc>
        <w:tc>
          <w:tcPr>
            <w:tcW w:w="251" w:type="pct"/>
            <w:vMerge w:val="restart"/>
            <w:noWrap w:val="0"/>
            <w:vAlign w:val="center"/>
          </w:tcPr>
          <w:p w14:paraId="493E8C7F">
            <w:pPr>
              <w:pStyle w:val="1321"/>
              <w:rPr>
                <w:rFonts w:hint="eastAsia"/>
                <w:color w:val="auto"/>
                <w:highlight w:val="none"/>
                <w:lang w:val="en-US" w:eastAsia="zh-CN"/>
              </w:rPr>
            </w:pPr>
            <w:r>
              <w:rPr>
                <w:rFonts w:hint="eastAsia"/>
                <w:color w:val="auto"/>
                <w:highlight w:val="none"/>
                <w:lang w:val="en-US" w:eastAsia="zh-CN"/>
              </w:rPr>
              <w:t>有组织</w:t>
            </w:r>
          </w:p>
        </w:tc>
        <w:tc>
          <w:tcPr>
            <w:tcW w:w="331" w:type="pct"/>
            <w:noWrap w:val="0"/>
            <w:vAlign w:val="center"/>
          </w:tcPr>
          <w:p w14:paraId="35C04AE3">
            <w:pPr>
              <w:pStyle w:val="1358"/>
              <w:rPr>
                <w:rFonts w:hint="default" w:eastAsia="宋体"/>
                <w:color w:val="auto"/>
                <w:highlight w:val="none"/>
                <w:lang w:val="en-US" w:eastAsia="zh-CN"/>
              </w:rPr>
            </w:pPr>
            <w:r>
              <w:rPr>
                <w:rFonts w:hint="eastAsia"/>
                <w:color w:val="auto"/>
                <w:highlight w:val="none"/>
                <w:lang w:val="en-US" w:eastAsia="zh-CN"/>
              </w:rPr>
              <w:t>DA001</w:t>
            </w:r>
          </w:p>
        </w:tc>
        <w:tc>
          <w:tcPr>
            <w:tcW w:w="482" w:type="pct"/>
            <w:noWrap w:val="0"/>
            <w:vAlign w:val="center"/>
          </w:tcPr>
          <w:p w14:paraId="15AA6D57">
            <w:pPr>
              <w:pStyle w:val="1358"/>
              <w:rPr>
                <w:rFonts w:hint="default" w:eastAsia="宋体"/>
                <w:color w:val="auto"/>
                <w:highlight w:val="none"/>
                <w:lang w:val="en-US" w:eastAsia="zh-CN"/>
              </w:rPr>
            </w:pPr>
            <w:r>
              <w:rPr>
                <w:rFonts w:hint="eastAsia"/>
                <w:color w:val="auto"/>
                <w:highlight w:val="none"/>
              </w:rPr>
              <w:t>非甲烷总烃、二甲苯、</w:t>
            </w:r>
            <w:r>
              <w:rPr>
                <w:rFonts w:hint="eastAsia"/>
                <w:color w:val="auto"/>
                <w:highlight w:val="none"/>
                <w:lang w:eastAsia="zh-CN"/>
              </w:rPr>
              <w:t>乙酸乙酯与乙酸丁酯合计、</w:t>
            </w:r>
            <w:r>
              <w:rPr>
                <w:rFonts w:hint="eastAsia"/>
                <w:color w:val="auto"/>
                <w:highlight w:val="none"/>
              </w:rPr>
              <w:t>颗粒物</w:t>
            </w:r>
            <w:r>
              <w:rPr>
                <w:rFonts w:hint="eastAsia"/>
                <w:color w:val="auto"/>
                <w:highlight w:val="none"/>
                <w:lang w:eastAsia="zh-CN"/>
              </w:rPr>
              <w:t>、</w:t>
            </w:r>
            <w:r>
              <w:rPr>
                <w:rFonts w:hint="eastAsia"/>
                <w:color w:val="auto"/>
                <w:highlight w:val="none"/>
              </w:rPr>
              <w:t>二氧化硫、氮氧化物</w:t>
            </w:r>
            <w:r>
              <w:rPr>
                <w:rFonts w:hint="eastAsia"/>
                <w:color w:val="auto"/>
                <w:highlight w:val="none"/>
                <w:lang w:eastAsia="zh-CN"/>
              </w:rPr>
              <w:t>、</w:t>
            </w:r>
            <w:r>
              <w:rPr>
                <w:rFonts w:hint="eastAsia"/>
                <w:color w:val="auto"/>
                <w:highlight w:val="none"/>
                <w:lang w:val="en-US" w:eastAsia="zh-CN"/>
              </w:rPr>
              <w:t>烟气黑度</w:t>
            </w:r>
          </w:p>
        </w:tc>
        <w:tc>
          <w:tcPr>
            <w:tcW w:w="813" w:type="pct"/>
            <w:noWrap w:val="0"/>
            <w:vAlign w:val="center"/>
          </w:tcPr>
          <w:p w14:paraId="1DA9D486">
            <w:pPr>
              <w:pStyle w:val="1358"/>
              <w:rPr>
                <w:rFonts w:hint="default"/>
                <w:color w:val="auto"/>
                <w:highlight w:val="none"/>
                <w:lang w:val="en-US" w:eastAsia="zh-CN"/>
              </w:rPr>
            </w:pPr>
            <w:r>
              <w:rPr>
                <w:rFonts w:hint="eastAsia"/>
                <w:color w:val="auto"/>
                <w:highlight w:val="none"/>
                <w:lang w:val="en-US" w:eastAsia="zh-CN"/>
              </w:rPr>
              <w:t>负压收集+干式纸盒+过滤棉过滤+RTO蓄热式焚烧炉+20m排气筒</w:t>
            </w:r>
          </w:p>
        </w:tc>
        <w:tc>
          <w:tcPr>
            <w:tcW w:w="2102" w:type="pct"/>
            <w:vMerge w:val="restart"/>
            <w:noWrap w:val="0"/>
            <w:vAlign w:val="center"/>
          </w:tcPr>
          <w:p w14:paraId="45F3CBFF">
            <w:pPr>
              <w:pStyle w:val="1358"/>
              <w:rPr>
                <w:rFonts w:hint="eastAsia" w:eastAsia="宋体"/>
                <w:color w:val="auto"/>
                <w:highlight w:val="none"/>
                <w:lang w:eastAsia="zh-CN"/>
              </w:rPr>
            </w:pPr>
            <w:r>
              <w:rPr>
                <w:rFonts w:hint="eastAsia"/>
                <w:color w:val="auto"/>
                <w:highlight w:val="none"/>
              </w:rPr>
              <w:t>非甲烷总烃、二甲苯、</w:t>
            </w:r>
            <w:r>
              <w:rPr>
                <w:rFonts w:hint="eastAsia"/>
                <w:color w:val="auto"/>
                <w:highlight w:val="none"/>
                <w:lang w:eastAsia="zh-CN"/>
              </w:rPr>
              <w:t>乙酸乙酯与乙酸丁酯合计</w:t>
            </w:r>
            <w:r>
              <w:rPr>
                <w:rFonts w:hint="eastAsia"/>
                <w:color w:val="auto"/>
                <w:highlight w:val="none"/>
              </w:rPr>
              <w:t>有组织排放</w:t>
            </w:r>
            <w:r>
              <w:rPr>
                <w:rFonts w:hint="eastAsia"/>
                <w:color w:val="auto"/>
                <w:highlight w:val="none"/>
                <w:lang w:val="en-US" w:eastAsia="zh-CN"/>
              </w:rPr>
              <w:t>执行</w:t>
            </w:r>
            <w:r>
              <w:rPr>
                <w:rFonts w:hint="eastAsia"/>
                <w:color w:val="auto"/>
                <w:highlight w:val="none"/>
              </w:rPr>
              <w:t>《工业涂装工序挥发性有机物排放标准》（DB35/1783-2018）表1中</w:t>
            </w:r>
            <w:r>
              <w:rPr>
                <w:rFonts w:hint="eastAsia"/>
                <w:color w:val="auto"/>
                <w:highlight w:val="none"/>
                <w:lang w:eastAsia="zh-CN"/>
              </w:rPr>
              <w:t>“</w:t>
            </w:r>
            <w:r>
              <w:rPr>
                <w:rFonts w:hint="eastAsia"/>
                <w:color w:val="auto"/>
                <w:highlight w:val="none"/>
              </w:rPr>
              <w:t>汽车整车制造</w:t>
            </w:r>
            <w:r>
              <w:rPr>
                <w:rFonts w:hint="eastAsia"/>
                <w:color w:val="auto"/>
                <w:highlight w:val="none"/>
                <w:lang w:eastAsia="zh-CN"/>
              </w:rPr>
              <w:t>”</w:t>
            </w:r>
            <w:r>
              <w:rPr>
                <w:rFonts w:hint="eastAsia"/>
                <w:color w:val="auto"/>
                <w:highlight w:val="none"/>
              </w:rPr>
              <w:t>限值要求（非甲烷总烃≤50mg/m</w:t>
            </w:r>
            <w:r>
              <w:rPr>
                <w:rFonts w:hint="eastAsia"/>
                <w:color w:val="auto"/>
                <w:highlight w:val="none"/>
                <w:vertAlign w:val="superscript"/>
              </w:rPr>
              <w:t>3</w:t>
            </w:r>
            <w:r>
              <w:rPr>
                <w:rFonts w:hint="eastAsia"/>
                <w:color w:val="auto"/>
                <w:highlight w:val="none"/>
              </w:rPr>
              <w:t>（4.0kg/h）、二甲苯≤15mg/m</w:t>
            </w:r>
            <w:r>
              <w:rPr>
                <w:rFonts w:hint="eastAsia"/>
                <w:color w:val="auto"/>
                <w:highlight w:val="none"/>
                <w:vertAlign w:val="superscript"/>
              </w:rPr>
              <w:t>3</w:t>
            </w:r>
            <w:r>
              <w:rPr>
                <w:rFonts w:hint="eastAsia"/>
                <w:color w:val="auto"/>
                <w:highlight w:val="none"/>
              </w:rPr>
              <w:t>（1.4kg/h）、</w:t>
            </w:r>
            <w:r>
              <w:rPr>
                <w:rFonts w:hint="eastAsia"/>
                <w:color w:val="auto"/>
                <w:highlight w:val="none"/>
                <w:lang w:eastAsia="zh-CN"/>
              </w:rPr>
              <w:t>乙酸乙酯与乙酸丁酯合计</w:t>
            </w:r>
            <w:r>
              <w:rPr>
                <w:rFonts w:hint="eastAsia"/>
                <w:color w:val="auto"/>
                <w:highlight w:val="none"/>
              </w:rPr>
              <w:t>≤40mg/m</w:t>
            </w:r>
            <w:r>
              <w:rPr>
                <w:rFonts w:hint="eastAsia"/>
                <w:color w:val="auto"/>
                <w:highlight w:val="none"/>
                <w:vertAlign w:val="superscript"/>
              </w:rPr>
              <w:t>3</w:t>
            </w:r>
            <w:r>
              <w:rPr>
                <w:rFonts w:hint="eastAsia"/>
                <w:color w:val="auto"/>
                <w:highlight w:val="none"/>
              </w:rPr>
              <w:t>（2.0kg/h））</w:t>
            </w:r>
            <w:r>
              <w:rPr>
                <w:rFonts w:hint="eastAsia"/>
                <w:color w:val="auto"/>
                <w:highlight w:val="none"/>
                <w:lang w:eastAsia="zh-CN"/>
              </w:rPr>
              <w:t>；</w:t>
            </w:r>
            <w:r>
              <w:rPr>
                <w:rFonts w:hint="default"/>
                <w:color w:val="auto"/>
                <w:highlight w:val="none"/>
                <w:lang w:eastAsia="zh-CN"/>
              </w:rPr>
              <w:t>颗粒物有组织浓度</w:t>
            </w:r>
            <w:r>
              <w:rPr>
                <w:rFonts w:hint="eastAsia"/>
                <w:color w:val="auto"/>
                <w:highlight w:val="none"/>
                <w:lang w:val="en-US" w:eastAsia="zh-CN"/>
              </w:rPr>
              <w:t>执行</w:t>
            </w:r>
            <w:r>
              <w:rPr>
                <w:rFonts w:hint="default"/>
                <w:color w:val="auto"/>
                <w:highlight w:val="none"/>
                <w:lang w:eastAsia="zh-CN"/>
              </w:rPr>
              <w:t>《大气污染物综合排放标准》（GB 16297-1996）表2二级标准（颗粒物≤120mg/m</w:t>
            </w:r>
            <w:r>
              <w:rPr>
                <w:rFonts w:hint="eastAsia"/>
                <w:color w:val="auto"/>
                <w:highlight w:val="none"/>
                <w:vertAlign w:val="superscript"/>
                <w:lang w:val="en-US" w:eastAsia="zh-CN"/>
              </w:rPr>
              <w:t>3</w:t>
            </w:r>
            <w:r>
              <w:rPr>
                <w:rFonts w:hint="eastAsia"/>
                <w:color w:val="auto"/>
                <w:highlight w:val="none"/>
                <w:vertAlign w:val="baseline"/>
                <w:lang w:val="en-US" w:eastAsia="zh-CN"/>
              </w:rPr>
              <w:t>（2.95kg/h）</w:t>
            </w:r>
            <w:r>
              <w:rPr>
                <w:rFonts w:hint="default"/>
                <w:color w:val="auto"/>
                <w:highlight w:val="none"/>
                <w:lang w:eastAsia="zh-CN"/>
              </w:rPr>
              <w:t>）</w:t>
            </w:r>
            <w:r>
              <w:rPr>
                <w:rFonts w:hint="eastAsia"/>
                <w:color w:val="auto"/>
                <w:highlight w:val="none"/>
                <w:lang w:eastAsia="zh-CN"/>
              </w:rPr>
              <w:t>；其中，颗粒物根据从严执行原则，颗粒物、二氧化硫、氮氧化物排放浓度</w:t>
            </w:r>
            <w:r>
              <w:rPr>
                <w:rFonts w:hint="eastAsia"/>
                <w:color w:val="auto"/>
                <w:highlight w:val="none"/>
                <w:lang w:val="en-US" w:eastAsia="zh-CN"/>
              </w:rPr>
              <w:t>执行</w:t>
            </w:r>
            <w:r>
              <w:rPr>
                <w:rFonts w:hint="eastAsia"/>
                <w:color w:val="auto"/>
                <w:highlight w:val="none"/>
                <w:lang w:eastAsia="zh-CN"/>
              </w:rPr>
              <w:t>《福建省工业炉窑大气污染综合治理方案》（闽环保大气〔2019〕10号）鼓励排放限值（颗粒物≤30mg/m³、SO</w:t>
            </w:r>
            <w:r>
              <w:rPr>
                <w:rFonts w:hint="eastAsia"/>
                <w:color w:val="auto"/>
                <w:highlight w:val="none"/>
                <w:vertAlign w:val="subscript"/>
                <w:lang w:eastAsia="zh-CN"/>
              </w:rPr>
              <w:t>2</w:t>
            </w:r>
            <w:r>
              <w:rPr>
                <w:rFonts w:hint="eastAsia"/>
                <w:color w:val="auto"/>
                <w:highlight w:val="none"/>
                <w:lang w:eastAsia="zh-CN"/>
              </w:rPr>
              <w:t>≤200mg/m³、NOx≤300mg/m³）；烟气黑度执行《工业炉窑大气污染物排放标准》（GB9078-1996）表2限值（烟气黑度≤1级）</w:t>
            </w:r>
          </w:p>
        </w:tc>
      </w:tr>
      <w:tr w14:paraId="695C53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2" w:hRule="atLeast"/>
          <w:jc w:val="center"/>
        </w:trPr>
        <w:tc>
          <w:tcPr>
            <w:tcW w:w="220" w:type="pct"/>
            <w:vMerge w:val="continue"/>
            <w:noWrap w:val="0"/>
            <w:vAlign w:val="center"/>
          </w:tcPr>
          <w:p w14:paraId="56B307BC">
            <w:pPr>
              <w:pStyle w:val="1405"/>
              <w:bidi w:val="0"/>
              <w:rPr>
                <w:color w:val="auto"/>
                <w:highlight w:val="none"/>
              </w:rPr>
            </w:pPr>
          </w:p>
        </w:tc>
        <w:tc>
          <w:tcPr>
            <w:tcW w:w="237" w:type="pct"/>
            <w:vMerge w:val="continue"/>
            <w:noWrap w:val="0"/>
            <w:vAlign w:val="center"/>
          </w:tcPr>
          <w:p w14:paraId="5BCC94BF">
            <w:pPr>
              <w:pStyle w:val="1405"/>
              <w:bidi w:val="0"/>
              <w:rPr>
                <w:color w:val="auto"/>
                <w:highlight w:val="none"/>
              </w:rPr>
            </w:pPr>
          </w:p>
        </w:tc>
        <w:tc>
          <w:tcPr>
            <w:tcW w:w="560" w:type="pct"/>
            <w:noWrap w:val="0"/>
            <w:vAlign w:val="center"/>
          </w:tcPr>
          <w:p w14:paraId="71C9FA1D">
            <w:pPr>
              <w:pStyle w:val="1321"/>
              <w:rPr>
                <w:rFonts w:hint="default"/>
                <w:color w:val="auto"/>
                <w:highlight w:val="none"/>
                <w:lang w:val="en-US" w:eastAsia="zh-CN"/>
              </w:rPr>
            </w:pPr>
            <w:r>
              <w:rPr>
                <w:rFonts w:hint="eastAsia"/>
                <w:color w:val="auto"/>
                <w:highlight w:val="none"/>
                <w:lang w:val="en-US" w:eastAsia="zh-CN"/>
              </w:rPr>
              <w:t>调漆工序废气</w:t>
            </w:r>
          </w:p>
        </w:tc>
        <w:tc>
          <w:tcPr>
            <w:tcW w:w="251" w:type="pct"/>
            <w:vMerge w:val="continue"/>
            <w:noWrap w:val="0"/>
            <w:vAlign w:val="center"/>
          </w:tcPr>
          <w:p w14:paraId="51C6C21C">
            <w:pPr>
              <w:pStyle w:val="1321"/>
              <w:rPr>
                <w:rFonts w:hint="eastAsia"/>
                <w:color w:val="auto"/>
                <w:highlight w:val="none"/>
                <w:lang w:val="en-US" w:eastAsia="zh-CN"/>
              </w:rPr>
            </w:pPr>
          </w:p>
        </w:tc>
        <w:tc>
          <w:tcPr>
            <w:tcW w:w="331" w:type="pct"/>
            <w:noWrap w:val="0"/>
            <w:vAlign w:val="center"/>
          </w:tcPr>
          <w:p w14:paraId="1BAB4AAA">
            <w:pPr>
              <w:pStyle w:val="1358"/>
              <w:rPr>
                <w:rFonts w:hint="eastAsia"/>
                <w:color w:val="auto"/>
                <w:highlight w:val="none"/>
                <w:lang w:val="en-US" w:eastAsia="zh-CN"/>
              </w:rPr>
            </w:pPr>
            <w:r>
              <w:rPr>
                <w:rFonts w:hint="eastAsia"/>
                <w:color w:val="auto"/>
                <w:highlight w:val="none"/>
                <w:lang w:val="en-US" w:eastAsia="zh-CN"/>
              </w:rPr>
              <w:t>DA002</w:t>
            </w:r>
          </w:p>
        </w:tc>
        <w:tc>
          <w:tcPr>
            <w:tcW w:w="482" w:type="pct"/>
            <w:noWrap w:val="0"/>
            <w:vAlign w:val="center"/>
          </w:tcPr>
          <w:p w14:paraId="538A511C">
            <w:pPr>
              <w:pStyle w:val="1358"/>
              <w:rPr>
                <w:rFonts w:hint="eastAsia"/>
                <w:color w:val="auto"/>
                <w:highlight w:val="none"/>
                <w:lang w:val="en-US" w:eastAsia="zh-CN"/>
              </w:rPr>
            </w:pPr>
            <w:r>
              <w:rPr>
                <w:rFonts w:hint="eastAsia"/>
                <w:color w:val="auto"/>
                <w:highlight w:val="none"/>
              </w:rPr>
              <w:t>非甲烷总烃、二甲苯、</w:t>
            </w:r>
            <w:r>
              <w:rPr>
                <w:rFonts w:hint="eastAsia"/>
                <w:color w:val="auto"/>
                <w:highlight w:val="none"/>
                <w:lang w:eastAsia="zh-CN"/>
              </w:rPr>
              <w:t>乙酸乙酯与乙酸丁酯合计</w:t>
            </w:r>
          </w:p>
        </w:tc>
        <w:tc>
          <w:tcPr>
            <w:tcW w:w="813" w:type="pct"/>
            <w:noWrap w:val="0"/>
            <w:vAlign w:val="center"/>
          </w:tcPr>
          <w:p w14:paraId="5F517930">
            <w:pPr>
              <w:pStyle w:val="1358"/>
              <w:rPr>
                <w:rFonts w:hint="default"/>
                <w:color w:val="auto"/>
                <w:highlight w:val="none"/>
                <w:lang w:val="en-US" w:eastAsia="zh-CN"/>
              </w:rPr>
            </w:pPr>
            <w:r>
              <w:rPr>
                <w:rFonts w:hint="eastAsia"/>
                <w:color w:val="auto"/>
                <w:highlight w:val="none"/>
                <w:lang w:val="en-US" w:eastAsia="zh-CN"/>
              </w:rPr>
              <w:t>负压收集+二级活性炭吸附装置+20m排气筒</w:t>
            </w:r>
          </w:p>
        </w:tc>
        <w:tc>
          <w:tcPr>
            <w:tcW w:w="2102" w:type="pct"/>
            <w:vMerge w:val="continue"/>
            <w:noWrap w:val="0"/>
            <w:vAlign w:val="center"/>
          </w:tcPr>
          <w:p w14:paraId="54A536E3">
            <w:pPr>
              <w:pStyle w:val="1358"/>
              <w:rPr>
                <w:rFonts w:hint="eastAsia"/>
                <w:color w:val="auto"/>
                <w:highlight w:val="none"/>
              </w:rPr>
            </w:pPr>
          </w:p>
        </w:tc>
      </w:tr>
      <w:tr w14:paraId="4DC50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74" w:hRule="atLeast"/>
          <w:jc w:val="center"/>
        </w:trPr>
        <w:tc>
          <w:tcPr>
            <w:tcW w:w="220" w:type="pct"/>
            <w:vMerge w:val="continue"/>
            <w:noWrap w:val="0"/>
            <w:vAlign w:val="center"/>
          </w:tcPr>
          <w:p w14:paraId="0002DFB6">
            <w:pPr>
              <w:pStyle w:val="1405"/>
              <w:bidi w:val="0"/>
              <w:rPr>
                <w:color w:val="auto"/>
                <w:highlight w:val="none"/>
              </w:rPr>
            </w:pPr>
          </w:p>
        </w:tc>
        <w:tc>
          <w:tcPr>
            <w:tcW w:w="237" w:type="pct"/>
            <w:vMerge w:val="continue"/>
            <w:noWrap w:val="0"/>
            <w:vAlign w:val="center"/>
          </w:tcPr>
          <w:p w14:paraId="2E3F964D">
            <w:pPr>
              <w:pStyle w:val="1405"/>
              <w:bidi w:val="0"/>
              <w:rPr>
                <w:color w:val="auto"/>
                <w:highlight w:val="none"/>
              </w:rPr>
            </w:pPr>
          </w:p>
        </w:tc>
        <w:tc>
          <w:tcPr>
            <w:tcW w:w="560" w:type="pct"/>
            <w:noWrap w:val="0"/>
            <w:vAlign w:val="center"/>
          </w:tcPr>
          <w:p w14:paraId="332272C4">
            <w:pPr>
              <w:pStyle w:val="1321"/>
              <w:rPr>
                <w:rFonts w:hint="default"/>
                <w:color w:val="auto"/>
                <w:highlight w:val="none"/>
                <w:lang w:val="en-US" w:eastAsia="zh-CN"/>
              </w:rPr>
            </w:pPr>
            <w:r>
              <w:rPr>
                <w:rFonts w:hint="eastAsia"/>
                <w:color w:val="auto"/>
                <w:highlight w:val="none"/>
                <w:lang w:val="en-US" w:eastAsia="zh-CN"/>
              </w:rPr>
              <w:t>点补工序废气</w:t>
            </w:r>
          </w:p>
        </w:tc>
        <w:tc>
          <w:tcPr>
            <w:tcW w:w="251" w:type="pct"/>
            <w:vMerge w:val="continue"/>
            <w:noWrap w:val="0"/>
            <w:vAlign w:val="center"/>
          </w:tcPr>
          <w:p w14:paraId="38DB4162">
            <w:pPr>
              <w:pStyle w:val="1321"/>
              <w:rPr>
                <w:rFonts w:hint="eastAsia"/>
                <w:color w:val="auto"/>
                <w:highlight w:val="none"/>
                <w:lang w:val="en-US" w:eastAsia="zh-CN"/>
              </w:rPr>
            </w:pPr>
          </w:p>
        </w:tc>
        <w:tc>
          <w:tcPr>
            <w:tcW w:w="331" w:type="pct"/>
            <w:noWrap w:val="0"/>
            <w:vAlign w:val="center"/>
          </w:tcPr>
          <w:p w14:paraId="5968B831">
            <w:pPr>
              <w:pStyle w:val="1358"/>
              <w:rPr>
                <w:rFonts w:hint="eastAsia"/>
                <w:color w:val="auto"/>
                <w:highlight w:val="none"/>
                <w:lang w:val="en-US" w:eastAsia="zh-CN"/>
              </w:rPr>
            </w:pPr>
            <w:r>
              <w:rPr>
                <w:rFonts w:hint="eastAsia"/>
                <w:color w:val="auto"/>
                <w:highlight w:val="none"/>
                <w:lang w:val="en-US" w:eastAsia="zh-CN"/>
              </w:rPr>
              <w:t>DA003</w:t>
            </w:r>
          </w:p>
        </w:tc>
        <w:tc>
          <w:tcPr>
            <w:tcW w:w="482" w:type="pct"/>
            <w:noWrap w:val="0"/>
            <w:vAlign w:val="center"/>
          </w:tcPr>
          <w:p w14:paraId="4710CDD7">
            <w:pPr>
              <w:pStyle w:val="1358"/>
              <w:rPr>
                <w:rFonts w:hint="eastAsia"/>
                <w:color w:val="auto"/>
                <w:highlight w:val="none"/>
                <w:lang w:val="en-US" w:eastAsia="zh-CN"/>
              </w:rPr>
            </w:pPr>
            <w:r>
              <w:rPr>
                <w:rFonts w:hint="eastAsia"/>
                <w:color w:val="auto"/>
                <w:highlight w:val="none"/>
              </w:rPr>
              <w:t>非甲烷总烃、二甲苯、</w:t>
            </w:r>
            <w:r>
              <w:rPr>
                <w:rFonts w:hint="eastAsia"/>
                <w:color w:val="auto"/>
                <w:highlight w:val="none"/>
                <w:lang w:eastAsia="zh-CN"/>
              </w:rPr>
              <w:t>乙酸乙酯与乙酸丁酯合计、</w:t>
            </w:r>
            <w:r>
              <w:rPr>
                <w:rFonts w:hint="eastAsia"/>
                <w:color w:val="auto"/>
                <w:highlight w:val="none"/>
              </w:rPr>
              <w:t>颗粒物</w:t>
            </w:r>
          </w:p>
        </w:tc>
        <w:tc>
          <w:tcPr>
            <w:tcW w:w="813" w:type="pct"/>
            <w:noWrap w:val="0"/>
            <w:vAlign w:val="center"/>
          </w:tcPr>
          <w:p w14:paraId="187B7BB3">
            <w:pPr>
              <w:pStyle w:val="1358"/>
              <w:rPr>
                <w:rFonts w:hint="default"/>
                <w:color w:val="auto"/>
                <w:highlight w:val="none"/>
                <w:lang w:val="en-US" w:eastAsia="zh-CN"/>
              </w:rPr>
            </w:pPr>
            <w:r>
              <w:rPr>
                <w:rFonts w:hint="eastAsia"/>
                <w:color w:val="auto"/>
                <w:highlight w:val="none"/>
                <w:lang w:val="en-US" w:eastAsia="zh-CN"/>
              </w:rPr>
              <w:t>负压收集+过滤棉过滤+二级活性炭吸附装置+20m排气筒</w:t>
            </w:r>
          </w:p>
        </w:tc>
        <w:tc>
          <w:tcPr>
            <w:tcW w:w="2102" w:type="pct"/>
            <w:vMerge w:val="continue"/>
            <w:noWrap w:val="0"/>
            <w:vAlign w:val="center"/>
          </w:tcPr>
          <w:p w14:paraId="2D9404F7">
            <w:pPr>
              <w:pStyle w:val="1358"/>
              <w:rPr>
                <w:rFonts w:hint="eastAsia"/>
                <w:color w:val="auto"/>
                <w:highlight w:val="none"/>
              </w:rPr>
            </w:pPr>
          </w:p>
        </w:tc>
      </w:tr>
      <w:tr w14:paraId="7EFDA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64" w:hRule="atLeast"/>
          <w:jc w:val="center"/>
        </w:trPr>
        <w:tc>
          <w:tcPr>
            <w:tcW w:w="220" w:type="pct"/>
            <w:vMerge w:val="continue"/>
            <w:noWrap w:val="0"/>
            <w:vAlign w:val="center"/>
          </w:tcPr>
          <w:p w14:paraId="400CC2EA">
            <w:pPr>
              <w:pStyle w:val="1405"/>
              <w:bidi w:val="0"/>
              <w:rPr>
                <w:color w:val="auto"/>
                <w:highlight w:val="none"/>
              </w:rPr>
            </w:pPr>
          </w:p>
        </w:tc>
        <w:tc>
          <w:tcPr>
            <w:tcW w:w="237" w:type="pct"/>
            <w:vMerge w:val="continue"/>
            <w:noWrap w:val="0"/>
            <w:vAlign w:val="center"/>
          </w:tcPr>
          <w:p w14:paraId="4751BA8E">
            <w:pPr>
              <w:pStyle w:val="1405"/>
              <w:bidi w:val="0"/>
              <w:rPr>
                <w:color w:val="auto"/>
                <w:highlight w:val="none"/>
              </w:rPr>
            </w:pPr>
          </w:p>
        </w:tc>
        <w:tc>
          <w:tcPr>
            <w:tcW w:w="560" w:type="pct"/>
            <w:noWrap w:val="0"/>
            <w:vAlign w:val="center"/>
          </w:tcPr>
          <w:p w14:paraId="72C5DF67">
            <w:pPr>
              <w:pStyle w:val="1321"/>
              <w:rPr>
                <w:rFonts w:hint="default"/>
                <w:color w:val="auto"/>
                <w:highlight w:val="none"/>
                <w:lang w:val="en-US" w:eastAsia="zh-CN"/>
              </w:rPr>
            </w:pPr>
            <w:r>
              <w:rPr>
                <w:rFonts w:hint="eastAsia"/>
                <w:color w:val="auto"/>
                <w:highlight w:val="none"/>
                <w:lang w:val="en-US" w:eastAsia="zh-CN"/>
              </w:rPr>
              <w:t>注塑工序废气</w:t>
            </w:r>
          </w:p>
        </w:tc>
        <w:tc>
          <w:tcPr>
            <w:tcW w:w="251" w:type="pct"/>
            <w:vMerge w:val="continue"/>
            <w:noWrap w:val="0"/>
            <w:vAlign w:val="center"/>
          </w:tcPr>
          <w:p w14:paraId="2D650134">
            <w:pPr>
              <w:pStyle w:val="1321"/>
              <w:rPr>
                <w:rFonts w:hint="eastAsia"/>
                <w:color w:val="auto"/>
                <w:highlight w:val="none"/>
                <w:lang w:val="en-US" w:eastAsia="zh-CN"/>
              </w:rPr>
            </w:pPr>
          </w:p>
        </w:tc>
        <w:tc>
          <w:tcPr>
            <w:tcW w:w="331" w:type="pct"/>
            <w:noWrap w:val="0"/>
            <w:vAlign w:val="center"/>
          </w:tcPr>
          <w:p w14:paraId="0077FFB9">
            <w:pPr>
              <w:pStyle w:val="1358"/>
              <w:rPr>
                <w:rFonts w:hint="default"/>
                <w:color w:val="auto"/>
                <w:highlight w:val="none"/>
                <w:lang w:val="en-US" w:eastAsia="zh-CN"/>
              </w:rPr>
            </w:pPr>
            <w:r>
              <w:rPr>
                <w:rFonts w:hint="eastAsia"/>
                <w:color w:val="auto"/>
                <w:highlight w:val="none"/>
                <w:lang w:val="en-US" w:eastAsia="zh-CN"/>
              </w:rPr>
              <w:t>DA004</w:t>
            </w:r>
          </w:p>
        </w:tc>
        <w:tc>
          <w:tcPr>
            <w:tcW w:w="482" w:type="pct"/>
            <w:noWrap w:val="0"/>
            <w:vAlign w:val="center"/>
          </w:tcPr>
          <w:p w14:paraId="74507160">
            <w:pPr>
              <w:pStyle w:val="1358"/>
              <w:rPr>
                <w:rFonts w:hint="eastAsia" w:eastAsia="宋体"/>
                <w:color w:val="auto"/>
                <w:highlight w:val="none"/>
                <w:lang w:val="en-US" w:eastAsia="zh-CN"/>
              </w:rPr>
            </w:pPr>
            <w:r>
              <w:rPr>
                <w:rFonts w:hint="eastAsia"/>
                <w:color w:val="auto"/>
                <w:highlight w:val="none"/>
              </w:rPr>
              <w:t>非甲烷总烃</w:t>
            </w:r>
            <w:r>
              <w:rPr>
                <w:rFonts w:hint="eastAsia"/>
                <w:color w:val="auto"/>
                <w:highlight w:val="none"/>
                <w:lang w:eastAsia="zh-CN"/>
              </w:rPr>
              <w:t>、</w:t>
            </w:r>
            <w:r>
              <w:rPr>
                <w:rFonts w:hint="eastAsia"/>
                <w:color w:val="auto"/>
                <w:highlight w:val="none"/>
              </w:rPr>
              <w:t>臭气浓度</w:t>
            </w:r>
          </w:p>
        </w:tc>
        <w:tc>
          <w:tcPr>
            <w:tcW w:w="813" w:type="pct"/>
            <w:noWrap w:val="0"/>
            <w:vAlign w:val="center"/>
          </w:tcPr>
          <w:p w14:paraId="105F680C">
            <w:pPr>
              <w:pStyle w:val="1358"/>
              <w:rPr>
                <w:rFonts w:hint="default"/>
                <w:color w:val="auto"/>
                <w:highlight w:val="none"/>
                <w:lang w:val="en-US" w:eastAsia="zh-CN"/>
              </w:rPr>
            </w:pPr>
            <w:r>
              <w:rPr>
                <w:rFonts w:hint="eastAsia"/>
                <w:color w:val="auto"/>
                <w:highlight w:val="none"/>
                <w:lang w:val="en-US" w:eastAsia="zh-CN"/>
              </w:rPr>
              <w:t>设备直连管道收集+二级活性炭吸附装置+20m排气筒</w:t>
            </w:r>
          </w:p>
        </w:tc>
        <w:tc>
          <w:tcPr>
            <w:tcW w:w="2102" w:type="pct"/>
            <w:noWrap w:val="0"/>
            <w:vAlign w:val="center"/>
          </w:tcPr>
          <w:p w14:paraId="2554AB40">
            <w:pPr>
              <w:pStyle w:val="1358"/>
              <w:rPr>
                <w:rFonts w:hint="eastAsia"/>
                <w:color w:val="auto"/>
                <w:highlight w:val="none"/>
              </w:rPr>
            </w:pPr>
            <w:r>
              <w:rPr>
                <w:rFonts w:hint="eastAsia"/>
                <w:color w:val="auto"/>
                <w:highlight w:val="none"/>
              </w:rPr>
              <w:t>非甲烷总烃有组织排放</w:t>
            </w:r>
            <w:r>
              <w:rPr>
                <w:rFonts w:hint="eastAsia"/>
                <w:color w:val="auto"/>
                <w:highlight w:val="none"/>
                <w:lang w:val="en-US" w:eastAsia="zh-CN"/>
              </w:rPr>
              <w:t>执行</w:t>
            </w:r>
            <w:r>
              <w:rPr>
                <w:rFonts w:hint="eastAsia"/>
                <w:color w:val="auto"/>
                <w:highlight w:val="none"/>
              </w:rPr>
              <w:t>《合成树脂工业污染物排放标准》（GB31572-2015）</w:t>
            </w:r>
            <w:r>
              <w:rPr>
                <w:rFonts w:hint="eastAsia"/>
                <w:color w:val="auto"/>
                <w:highlight w:val="none"/>
                <w:lang w:val="en-US" w:eastAsia="zh-CN"/>
              </w:rPr>
              <w:t>及</w:t>
            </w:r>
            <w:r>
              <w:rPr>
                <w:rFonts w:hint="eastAsia"/>
                <w:color w:val="auto"/>
                <w:highlight w:val="none"/>
              </w:rPr>
              <w:t>2024年修改单要求中表</w:t>
            </w:r>
            <w:r>
              <w:rPr>
                <w:rFonts w:hint="eastAsia"/>
                <w:color w:val="auto"/>
                <w:highlight w:val="none"/>
                <w:lang w:val="en-US" w:eastAsia="zh-CN"/>
              </w:rPr>
              <w:t>4</w:t>
            </w:r>
            <w:r>
              <w:rPr>
                <w:rFonts w:hint="eastAsia"/>
                <w:color w:val="auto"/>
                <w:highlight w:val="none"/>
              </w:rPr>
              <w:t>排放限值（非甲烷总烃≤</w:t>
            </w:r>
            <w:r>
              <w:rPr>
                <w:rFonts w:hint="eastAsia"/>
                <w:color w:val="auto"/>
                <w:highlight w:val="none"/>
                <w:lang w:val="en-US" w:eastAsia="zh-CN"/>
              </w:rPr>
              <w:t>100</w:t>
            </w:r>
            <w:r>
              <w:rPr>
                <w:rFonts w:hint="eastAsia"/>
                <w:color w:val="auto"/>
                <w:highlight w:val="none"/>
              </w:rPr>
              <w:t>mg/m³），臭气浓度有组织排放</w:t>
            </w:r>
            <w:r>
              <w:rPr>
                <w:rFonts w:hint="eastAsia"/>
                <w:color w:val="auto"/>
                <w:highlight w:val="none"/>
                <w:lang w:val="en-US" w:eastAsia="zh-CN"/>
              </w:rPr>
              <w:t>执行</w:t>
            </w:r>
            <w:r>
              <w:rPr>
                <w:rFonts w:hint="eastAsia"/>
                <w:color w:val="auto"/>
                <w:highlight w:val="none"/>
              </w:rPr>
              <w:t>《恶臭污染物排放标准》（GB14554-93）表2排放标准（臭气浓度≤6000（无量纲））</w:t>
            </w:r>
          </w:p>
        </w:tc>
      </w:tr>
      <w:tr w14:paraId="51E60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64" w:hRule="atLeast"/>
          <w:jc w:val="center"/>
        </w:trPr>
        <w:tc>
          <w:tcPr>
            <w:tcW w:w="220" w:type="pct"/>
            <w:vMerge w:val="continue"/>
            <w:noWrap w:val="0"/>
            <w:vAlign w:val="center"/>
          </w:tcPr>
          <w:p w14:paraId="336AF55B">
            <w:pPr>
              <w:pStyle w:val="1405"/>
              <w:bidi w:val="0"/>
              <w:rPr>
                <w:color w:val="auto"/>
                <w:highlight w:val="none"/>
              </w:rPr>
            </w:pPr>
          </w:p>
        </w:tc>
        <w:tc>
          <w:tcPr>
            <w:tcW w:w="237" w:type="pct"/>
            <w:vMerge w:val="continue"/>
            <w:noWrap w:val="0"/>
            <w:vAlign w:val="center"/>
          </w:tcPr>
          <w:p w14:paraId="2D8253FA">
            <w:pPr>
              <w:pStyle w:val="1405"/>
              <w:bidi w:val="0"/>
              <w:rPr>
                <w:color w:val="auto"/>
                <w:highlight w:val="none"/>
              </w:rPr>
            </w:pPr>
          </w:p>
        </w:tc>
        <w:tc>
          <w:tcPr>
            <w:tcW w:w="560" w:type="pct"/>
            <w:noWrap w:val="0"/>
            <w:vAlign w:val="center"/>
          </w:tcPr>
          <w:p w14:paraId="3D18E7E2">
            <w:pPr>
              <w:pStyle w:val="1321"/>
              <w:rPr>
                <w:rFonts w:hint="default"/>
                <w:color w:val="auto"/>
                <w:highlight w:val="none"/>
                <w:lang w:val="en-US" w:eastAsia="zh-CN"/>
              </w:rPr>
            </w:pPr>
            <w:r>
              <w:rPr>
                <w:rFonts w:hint="eastAsia"/>
                <w:color w:val="auto"/>
                <w:highlight w:val="none"/>
                <w:lang w:val="en-US" w:eastAsia="zh-CN"/>
              </w:rPr>
              <w:t>热水炉天然气燃烧废气</w:t>
            </w:r>
          </w:p>
        </w:tc>
        <w:tc>
          <w:tcPr>
            <w:tcW w:w="251" w:type="pct"/>
            <w:vMerge w:val="continue"/>
            <w:noWrap w:val="0"/>
            <w:vAlign w:val="center"/>
          </w:tcPr>
          <w:p w14:paraId="1F1FB3C4">
            <w:pPr>
              <w:pStyle w:val="1321"/>
              <w:rPr>
                <w:rFonts w:hint="eastAsia"/>
                <w:color w:val="auto"/>
                <w:highlight w:val="none"/>
                <w:lang w:val="en-US" w:eastAsia="zh-CN"/>
              </w:rPr>
            </w:pPr>
          </w:p>
        </w:tc>
        <w:tc>
          <w:tcPr>
            <w:tcW w:w="331" w:type="pct"/>
            <w:noWrap w:val="0"/>
            <w:vAlign w:val="center"/>
          </w:tcPr>
          <w:p w14:paraId="5B727D83">
            <w:pPr>
              <w:pStyle w:val="1358"/>
              <w:rPr>
                <w:rFonts w:hint="default"/>
                <w:color w:val="auto"/>
                <w:highlight w:val="none"/>
                <w:lang w:val="en-US" w:eastAsia="zh-CN"/>
              </w:rPr>
            </w:pPr>
            <w:r>
              <w:rPr>
                <w:rFonts w:hint="eastAsia"/>
                <w:color w:val="auto"/>
                <w:highlight w:val="none"/>
                <w:lang w:val="en-US" w:eastAsia="zh-CN"/>
              </w:rPr>
              <w:t>DA005</w:t>
            </w:r>
          </w:p>
        </w:tc>
        <w:tc>
          <w:tcPr>
            <w:tcW w:w="482" w:type="pct"/>
            <w:noWrap w:val="0"/>
            <w:vAlign w:val="center"/>
          </w:tcPr>
          <w:p w14:paraId="1589053B">
            <w:pPr>
              <w:pStyle w:val="1358"/>
              <w:rPr>
                <w:rFonts w:hint="default" w:eastAsia="宋体"/>
                <w:color w:val="auto"/>
                <w:highlight w:val="none"/>
                <w:lang w:val="en-US" w:eastAsia="zh-CN"/>
              </w:rPr>
            </w:pPr>
            <w:r>
              <w:rPr>
                <w:rFonts w:hint="eastAsia"/>
                <w:color w:val="auto"/>
                <w:highlight w:val="none"/>
              </w:rPr>
              <w:t>颗粒物、二氧化硫、氮氧化物</w:t>
            </w:r>
            <w:r>
              <w:rPr>
                <w:rFonts w:hint="eastAsia"/>
                <w:color w:val="auto"/>
                <w:highlight w:val="none"/>
                <w:lang w:eastAsia="zh-CN"/>
              </w:rPr>
              <w:t>、</w:t>
            </w:r>
            <w:r>
              <w:rPr>
                <w:rFonts w:hint="eastAsia"/>
                <w:color w:val="auto"/>
                <w:highlight w:val="none"/>
                <w:lang w:val="en-US" w:eastAsia="zh-CN"/>
              </w:rPr>
              <w:t>烟气黑度</w:t>
            </w:r>
          </w:p>
        </w:tc>
        <w:tc>
          <w:tcPr>
            <w:tcW w:w="813" w:type="pct"/>
            <w:noWrap w:val="0"/>
            <w:vAlign w:val="center"/>
          </w:tcPr>
          <w:p w14:paraId="79B56BA1">
            <w:pPr>
              <w:pStyle w:val="1358"/>
              <w:rPr>
                <w:rFonts w:hint="eastAsia"/>
                <w:color w:val="auto"/>
                <w:highlight w:val="none"/>
                <w:lang w:val="en-US" w:eastAsia="zh-CN"/>
              </w:rPr>
            </w:pPr>
            <w:r>
              <w:rPr>
                <w:rFonts w:hint="eastAsia"/>
                <w:color w:val="auto"/>
                <w:highlight w:val="none"/>
                <w:lang w:val="en-US" w:eastAsia="zh-CN"/>
              </w:rPr>
              <w:t>低氮燃烧+不低于8m高排气筒</w:t>
            </w:r>
          </w:p>
        </w:tc>
        <w:tc>
          <w:tcPr>
            <w:tcW w:w="2102" w:type="pct"/>
            <w:noWrap w:val="0"/>
            <w:vAlign w:val="center"/>
          </w:tcPr>
          <w:p w14:paraId="764110AB">
            <w:pPr>
              <w:pStyle w:val="1358"/>
              <w:rPr>
                <w:rFonts w:hint="eastAsia"/>
                <w:color w:val="auto"/>
                <w:highlight w:val="none"/>
              </w:rPr>
            </w:pPr>
            <w:r>
              <w:rPr>
                <w:rFonts w:hint="eastAsia"/>
                <w:color w:val="auto"/>
                <w:highlight w:val="none"/>
              </w:rPr>
              <w:t>颗粒物、二氧化硫、氮氧化物有组织排放</w:t>
            </w:r>
            <w:r>
              <w:rPr>
                <w:rFonts w:hint="eastAsia"/>
                <w:color w:val="auto"/>
                <w:highlight w:val="none"/>
                <w:lang w:val="en-US" w:eastAsia="zh-CN"/>
              </w:rPr>
              <w:t>执行</w:t>
            </w:r>
            <w:r>
              <w:rPr>
                <w:rFonts w:hint="eastAsia"/>
                <w:color w:val="auto"/>
                <w:highlight w:val="none"/>
              </w:rPr>
              <w:t>《锅炉大气污染物排放标准》（GB13271-2014）表2燃气锅炉排放限值（颗粒物≤20mg/m</w:t>
            </w:r>
            <w:r>
              <w:rPr>
                <w:rFonts w:hint="eastAsia"/>
                <w:color w:val="auto"/>
                <w:highlight w:val="none"/>
                <w:vertAlign w:val="superscript"/>
              </w:rPr>
              <w:t>3</w:t>
            </w:r>
            <w:r>
              <w:rPr>
                <w:rFonts w:hint="eastAsia"/>
                <w:color w:val="auto"/>
                <w:highlight w:val="none"/>
              </w:rPr>
              <w:t>、二氧化硫≤50mg/m</w:t>
            </w:r>
            <w:r>
              <w:rPr>
                <w:rFonts w:hint="eastAsia"/>
                <w:color w:val="auto"/>
                <w:highlight w:val="none"/>
                <w:vertAlign w:val="superscript"/>
              </w:rPr>
              <w:t>3</w:t>
            </w:r>
            <w:r>
              <w:rPr>
                <w:rFonts w:hint="eastAsia"/>
                <w:color w:val="auto"/>
                <w:highlight w:val="none"/>
              </w:rPr>
              <w:t>、氮氧化物≤200mg/m</w:t>
            </w:r>
            <w:r>
              <w:rPr>
                <w:rFonts w:hint="eastAsia"/>
                <w:color w:val="auto"/>
                <w:highlight w:val="none"/>
                <w:vertAlign w:val="superscript"/>
              </w:rPr>
              <w:t>3</w:t>
            </w:r>
            <w:r>
              <w:rPr>
                <w:rFonts w:hint="eastAsia"/>
                <w:color w:val="auto"/>
                <w:highlight w:val="none"/>
              </w:rPr>
              <w:t>、烟气黑度≤1级）</w:t>
            </w:r>
          </w:p>
        </w:tc>
      </w:tr>
      <w:tr w14:paraId="26AC75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64" w:hRule="atLeast"/>
          <w:jc w:val="center"/>
        </w:trPr>
        <w:tc>
          <w:tcPr>
            <w:tcW w:w="220" w:type="pct"/>
            <w:vMerge w:val="continue"/>
            <w:noWrap w:val="0"/>
            <w:vAlign w:val="center"/>
          </w:tcPr>
          <w:p w14:paraId="792C5FE3">
            <w:pPr>
              <w:pStyle w:val="1405"/>
              <w:bidi w:val="0"/>
              <w:rPr>
                <w:color w:val="auto"/>
                <w:highlight w:val="none"/>
              </w:rPr>
            </w:pPr>
          </w:p>
        </w:tc>
        <w:tc>
          <w:tcPr>
            <w:tcW w:w="237" w:type="pct"/>
            <w:vMerge w:val="continue"/>
            <w:noWrap w:val="0"/>
            <w:vAlign w:val="center"/>
          </w:tcPr>
          <w:p w14:paraId="6145D762">
            <w:pPr>
              <w:pStyle w:val="1405"/>
              <w:bidi w:val="0"/>
              <w:rPr>
                <w:color w:val="auto"/>
                <w:highlight w:val="none"/>
              </w:rPr>
            </w:pPr>
          </w:p>
        </w:tc>
        <w:tc>
          <w:tcPr>
            <w:tcW w:w="560" w:type="pct"/>
            <w:noWrap w:val="0"/>
            <w:vAlign w:val="center"/>
          </w:tcPr>
          <w:p w14:paraId="666B13BA">
            <w:pPr>
              <w:pStyle w:val="1321"/>
              <w:rPr>
                <w:rFonts w:hint="default"/>
                <w:color w:val="auto"/>
                <w:highlight w:val="none"/>
                <w:lang w:val="en-US" w:eastAsia="zh-CN"/>
              </w:rPr>
            </w:pPr>
            <w:r>
              <w:rPr>
                <w:rFonts w:hint="eastAsia"/>
                <w:color w:val="auto"/>
                <w:highlight w:val="none"/>
                <w:lang w:val="en-US" w:eastAsia="zh-CN"/>
              </w:rPr>
              <w:t>热洁炉废气</w:t>
            </w:r>
          </w:p>
        </w:tc>
        <w:tc>
          <w:tcPr>
            <w:tcW w:w="251" w:type="pct"/>
            <w:vMerge w:val="continue"/>
            <w:noWrap w:val="0"/>
            <w:vAlign w:val="center"/>
          </w:tcPr>
          <w:p w14:paraId="731CAD1E">
            <w:pPr>
              <w:pStyle w:val="1321"/>
              <w:rPr>
                <w:rFonts w:hint="eastAsia"/>
                <w:color w:val="auto"/>
                <w:highlight w:val="none"/>
                <w:lang w:val="en-US" w:eastAsia="zh-CN"/>
              </w:rPr>
            </w:pPr>
          </w:p>
        </w:tc>
        <w:tc>
          <w:tcPr>
            <w:tcW w:w="331" w:type="pct"/>
            <w:noWrap w:val="0"/>
            <w:vAlign w:val="center"/>
          </w:tcPr>
          <w:p w14:paraId="77C78208">
            <w:pPr>
              <w:pStyle w:val="1358"/>
              <w:rPr>
                <w:rFonts w:hint="default"/>
                <w:color w:val="auto"/>
                <w:highlight w:val="none"/>
                <w:lang w:val="en-US" w:eastAsia="zh-CN"/>
              </w:rPr>
            </w:pPr>
            <w:r>
              <w:rPr>
                <w:rFonts w:hint="eastAsia"/>
                <w:color w:val="auto"/>
                <w:highlight w:val="none"/>
                <w:lang w:val="en-US" w:eastAsia="zh-CN"/>
              </w:rPr>
              <w:t>DA006</w:t>
            </w:r>
          </w:p>
        </w:tc>
        <w:tc>
          <w:tcPr>
            <w:tcW w:w="482" w:type="pct"/>
            <w:noWrap w:val="0"/>
            <w:vAlign w:val="center"/>
          </w:tcPr>
          <w:p w14:paraId="6C091EF4">
            <w:pPr>
              <w:pStyle w:val="1358"/>
              <w:rPr>
                <w:rFonts w:hint="default" w:eastAsia="宋体"/>
                <w:color w:val="auto"/>
                <w:highlight w:val="none"/>
                <w:lang w:val="en-US" w:eastAsia="zh-CN"/>
              </w:rPr>
            </w:pPr>
            <w:r>
              <w:rPr>
                <w:rFonts w:hint="eastAsia"/>
                <w:color w:val="auto"/>
                <w:highlight w:val="none"/>
              </w:rPr>
              <w:t>非甲烷总烃</w:t>
            </w:r>
            <w:r>
              <w:rPr>
                <w:rFonts w:hint="eastAsia"/>
                <w:color w:val="auto"/>
                <w:highlight w:val="none"/>
                <w:lang w:eastAsia="zh-CN"/>
              </w:rPr>
              <w:t>、</w:t>
            </w:r>
            <w:r>
              <w:rPr>
                <w:rFonts w:hint="eastAsia"/>
                <w:color w:val="auto"/>
                <w:highlight w:val="none"/>
              </w:rPr>
              <w:t>颗粒物、二氧化硫、氮氧化物</w:t>
            </w:r>
            <w:r>
              <w:rPr>
                <w:rFonts w:hint="eastAsia"/>
                <w:color w:val="auto"/>
                <w:highlight w:val="none"/>
                <w:lang w:eastAsia="zh-CN"/>
              </w:rPr>
              <w:t>、</w:t>
            </w:r>
            <w:r>
              <w:rPr>
                <w:rFonts w:hint="eastAsia"/>
                <w:color w:val="auto"/>
                <w:highlight w:val="none"/>
                <w:lang w:val="en-US" w:eastAsia="zh-CN"/>
              </w:rPr>
              <w:t>烟气黑度、臭气浓度</w:t>
            </w:r>
          </w:p>
        </w:tc>
        <w:tc>
          <w:tcPr>
            <w:tcW w:w="813" w:type="pct"/>
            <w:noWrap w:val="0"/>
            <w:vAlign w:val="center"/>
          </w:tcPr>
          <w:p w14:paraId="27647FB7">
            <w:pPr>
              <w:pStyle w:val="1358"/>
              <w:rPr>
                <w:rFonts w:hint="default"/>
                <w:color w:val="auto"/>
                <w:highlight w:val="none"/>
                <w:lang w:val="en-US" w:eastAsia="zh-CN"/>
              </w:rPr>
            </w:pPr>
            <w:r>
              <w:rPr>
                <w:rFonts w:hint="eastAsia"/>
                <w:color w:val="auto"/>
                <w:highlight w:val="none"/>
                <w:lang w:val="en-US" w:eastAsia="zh-CN"/>
              </w:rPr>
              <w:t>二燃室+换热器+20m排气筒</w:t>
            </w:r>
          </w:p>
        </w:tc>
        <w:tc>
          <w:tcPr>
            <w:tcW w:w="2102" w:type="pct"/>
            <w:noWrap w:val="0"/>
            <w:vAlign w:val="center"/>
          </w:tcPr>
          <w:p w14:paraId="3FAEBD59">
            <w:pPr>
              <w:pStyle w:val="1358"/>
              <w:rPr>
                <w:rFonts w:hint="default"/>
                <w:color w:val="auto"/>
                <w:highlight w:val="none"/>
                <w:lang w:val="en-US"/>
              </w:rPr>
            </w:pPr>
            <w:r>
              <w:rPr>
                <w:rFonts w:hint="eastAsia"/>
                <w:color w:val="auto"/>
                <w:highlight w:val="none"/>
              </w:rPr>
              <w:t>非甲烷总烃有组织排放</w:t>
            </w:r>
            <w:r>
              <w:rPr>
                <w:rFonts w:hint="eastAsia"/>
                <w:color w:val="auto"/>
                <w:highlight w:val="none"/>
                <w:lang w:val="en-US" w:eastAsia="zh-CN"/>
              </w:rPr>
              <w:t>执行</w:t>
            </w:r>
            <w:r>
              <w:rPr>
                <w:rFonts w:hint="eastAsia"/>
                <w:color w:val="auto"/>
                <w:highlight w:val="none"/>
              </w:rPr>
              <w:t>《工业涂装工序挥发性有机物排放标准》（DB35/1783-2018）表1中</w:t>
            </w:r>
            <w:r>
              <w:rPr>
                <w:rFonts w:hint="eastAsia"/>
                <w:color w:val="auto"/>
                <w:highlight w:val="none"/>
                <w:lang w:eastAsia="zh-CN"/>
              </w:rPr>
              <w:t>“</w:t>
            </w:r>
            <w:r>
              <w:rPr>
                <w:rFonts w:hint="eastAsia"/>
                <w:color w:val="auto"/>
                <w:highlight w:val="none"/>
              </w:rPr>
              <w:t>汽车整车制造</w:t>
            </w:r>
            <w:r>
              <w:rPr>
                <w:rFonts w:hint="eastAsia"/>
                <w:color w:val="auto"/>
                <w:highlight w:val="none"/>
                <w:lang w:eastAsia="zh-CN"/>
              </w:rPr>
              <w:t>”</w:t>
            </w:r>
            <w:r>
              <w:rPr>
                <w:rFonts w:hint="eastAsia"/>
                <w:color w:val="auto"/>
                <w:highlight w:val="none"/>
              </w:rPr>
              <w:t>限值要求（非甲烷总烃≤50mg/m</w:t>
            </w:r>
            <w:r>
              <w:rPr>
                <w:rFonts w:hint="eastAsia"/>
                <w:color w:val="auto"/>
                <w:highlight w:val="none"/>
                <w:vertAlign w:val="superscript"/>
              </w:rPr>
              <w:t>3</w:t>
            </w:r>
            <w:r>
              <w:rPr>
                <w:rFonts w:hint="eastAsia"/>
                <w:color w:val="auto"/>
                <w:highlight w:val="none"/>
              </w:rPr>
              <w:t>（4.0kg/h））</w:t>
            </w:r>
            <w:r>
              <w:rPr>
                <w:rFonts w:hint="eastAsia"/>
                <w:color w:val="auto"/>
                <w:highlight w:val="none"/>
                <w:lang w:eastAsia="zh-CN"/>
              </w:rPr>
              <w:t>；颗粒物、二氧化硫、氮氧化物排放浓度</w:t>
            </w:r>
            <w:r>
              <w:rPr>
                <w:rFonts w:hint="eastAsia"/>
                <w:color w:val="auto"/>
                <w:highlight w:val="none"/>
                <w:lang w:val="en-US" w:eastAsia="zh-CN"/>
              </w:rPr>
              <w:t>执行</w:t>
            </w:r>
            <w:r>
              <w:rPr>
                <w:rFonts w:hint="eastAsia"/>
                <w:color w:val="auto"/>
                <w:highlight w:val="none"/>
                <w:lang w:eastAsia="zh-CN"/>
              </w:rPr>
              <w:t>《福建省工业炉窑大气污染综合治理方案》（闽环保大气〔2019〕10号）鼓励排放限值（颗粒物≤30mg/m³、SO</w:t>
            </w:r>
            <w:r>
              <w:rPr>
                <w:rFonts w:hint="eastAsia"/>
                <w:color w:val="auto"/>
                <w:highlight w:val="none"/>
                <w:vertAlign w:val="subscript"/>
                <w:lang w:eastAsia="zh-CN"/>
              </w:rPr>
              <w:t>2</w:t>
            </w:r>
            <w:r>
              <w:rPr>
                <w:rFonts w:hint="eastAsia"/>
                <w:color w:val="auto"/>
                <w:highlight w:val="none"/>
                <w:lang w:eastAsia="zh-CN"/>
              </w:rPr>
              <w:t>≤200mg/m³、NOx≤300mg/m³）；烟气黑度执行《工业炉窑大气污染物排放标准》（GB9078-1996）表2限值（烟气黑度≤1级）；</w:t>
            </w:r>
            <w:r>
              <w:rPr>
                <w:rFonts w:hint="eastAsia"/>
                <w:color w:val="auto"/>
                <w:highlight w:val="none"/>
                <w:lang w:val="en-US" w:eastAsia="zh-CN"/>
              </w:rPr>
              <w:t>臭气浓度有组织排放执行</w:t>
            </w:r>
            <w:r>
              <w:rPr>
                <w:rFonts w:hint="eastAsia"/>
                <w:color w:val="auto"/>
                <w:highlight w:val="none"/>
              </w:rPr>
              <w:t>《恶臭污染物排放标准》（GB14554-93）表2排放标准（臭气浓度≤6000（无量纲））</w:t>
            </w:r>
          </w:p>
        </w:tc>
      </w:tr>
      <w:tr w14:paraId="36113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jc w:val="center"/>
        </w:trPr>
        <w:tc>
          <w:tcPr>
            <w:tcW w:w="220" w:type="pct"/>
            <w:vMerge w:val="continue"/>
            <w:noWrap w:val="0"/>
            <w:vAlign w:val="center"/>
          </w:tcPr>
          <w:p w14:paraId="4CCEA4EF">
            <w:pPr>
              <w:pStyle w:val="1405"/>
              <w:bidi w:val="0"/>
              <w:rPr>
                <w:color w:val="auto"/>
                <w:highlight w:val="none"/>
              </w:rPr>
            </w:pPr>
          </w:p>
        </w:tc>
        <w:tc>
          <w:tcPr>
            <w:tcW w:w="237" w:type="pct"/>
            <w:vMerge w:val="continue"/>
            <w:noWrap w:val="0"/>
            <w:vAlign w:val="center"/>
          </w:tcPr>
          <w:p w14:paraId="2A914B17">
            <w:pPr>
              <w:pStyle w:val="1405"/>
              <w:bidi w:val="0"/>
              <w:rPr>
                <w:color w:val="auto"/>
                <w:highlight w:val="none"/>
              </w:rPr>
            </w:pPr>
          </w:p>
        </w:tc>
        <w:tc>
          <w:tcPr>
            <w:tcW w:w="560" w:type="pct"/>
            <w:noWrap w:val="0"/>
            <w:vAlign w:val="center"/>
          </w:tcPr>
          <w:p w14:paraId="754D118A">
            <w:pPr>
              <w:pStyle w:val="1321"/>
              <w:rPr>
                <w:color w:val="auto"/>
                <w:highlight w:val="none"/>
              </w:rPr>
            </w:pPr>
            <w:r>
              <w:rPr>
                <w:color w:val="auto"/>
                <w:highlight w:val="none"/>
              </w:rPr>
              <w:t>厂界</w:t>
            </w:r>
          </w:p>
        </w:tc>
        <w:tc>
          <w:tcPr>
            <w:tcW w:w="251" w:type="pct"/>
            <w:vMerge w:val="restart"/>
            <w:noWrap w:val="0"/>
            <w:vAlign w:val="center"/>
          </w:tcPr>
          <w:p w14:paraId="216B62AB">
            <w:pPr>
              <w:pStyle w:val="1321"/>
              <w:rPr>
                <w:rFonts w:hint="default" w:eastAsia="宋体"/>
                <w:color w:val="auto"/>
                <w:highlight w:val="none"/>
                <w:lang w:val="en-US" w:eastAsia="zh-CN"/>
              </w:rPr>
            </w:pPr>
            <w:r>
              <w:rPr>
                <w:rFonts w:hint="eastAsia"/>
                <w:color w:val="auto"/>
                <w:highlight w:val="none"/>
                <w:lang w:val="en-US" w:eastAsia="zh-CN"/>
              </w:rPr>
              <w:t>无组织</w:t>
            </w:r>
          </w:p>
        </w:tc>
        <w:tc>
          <w:tcPr>
            <w:tcW w:w="813" w:type="pct"/>
            <w:gridSpan w:val="2"/>
            <w:vMerge w:val="restart"/>
            <w:noWrap w:val="0"/>
            <w:vAlign w:val="center"/>
          </w:tcPr>
          <w:p w14:paraId="6BB2C9F1">
            <w:pPr>
              <w:pStyle w:val="1358"/>
              <w:rPr>
                <w:rFonts w:hint="eastAsia"/>
                <w:color w:val="auto"/>
                <w:highlight w:val="none"/>
                <w:lang w:val="en-US" w:eastAsia="zh-CN"/>
              </w:rPr>
            </w:pPr>
            <w:r>
              <w:rPr>
                <w:rFonts w:hint="eastAsia" w:eastAsia="宋体"/>
                <w:color w:val="auto"/>
                <w:highlight w:val="none"/>
                <w:lang w:eastAsia="zh-CN"/>
              </w:rPr>
              <w:t>非甲烷总烃、二甲苯、乙酸乙酯、</w:t>
            </w:r>
            <w:r>
              <w:rPr>
                <w:rFonts w:hint="eastAsia"/>
                <w:color w:val="auto"/>
                <w:highlight w:val="none"/>
                <w:lang w:val="en-US" w:eastAsia="zh-CN"/>
              </w:rPr>
              <w:t>臭气浓度、</w:t>
            </w:r>
            <w:r>
              <w:rPr>
                <w:rFonts w:hint="eastAsia" w:cs="Times New Roman"/>
                <w:color w:val="auto"/>
                <w:highlight w:val="none"/>
                <w:lang w:val="en-US" w:eastAsia="zh-CN"/>
              </w:rPr>
              <w:t>颗粒物</w:t>
            </w:r>
          </w:p>
        </w:tc>
        <w:tc>
          <w:tcPr>
            <w:tcW w:w="813" w:type="pct"/>
            <w:vMerge w:val="restart"/>
            <w:noWrap w:val="0"/>
            <w:vAlign w:val="center"/>
          </w:tcPr>
          <w:p w14:paraId="1F48200D">
            <w:pPr>
              <w:pStyle w:val="1358"/>
              <w:rPr>
                <w:color w:val="auto"/>
                <w:highlight w:val="none"/>
              </w:rPr>
            </w:pPr>
            <w:r>
              <w:rPr>
                <w:color w:val="auto"/>
                <w:highlight w:val="none"/>
              </w:rPr>
              <w:t>加强集气效率；定期更换活性炭并加强废气治理设施的管理与维护</w:t>
            </w:r>
          </w:p>
        </w:tc>
        <w:tc>
          <w:tcPr>
            <w:tcW w:w="2102" w:type="pct"/>
            <w:noWrap w:val="0"/>
            <w:vAlign w:val="center"/>
          </w:tcPr>
          <w:p w14:paraId="342ED976">
            <w:pPr>
              <w:pStyle w:val="1358"/>
              <w:rPr>
                <w:rFonts w:hint="eastAsia" w:eastAsia="宋体"/>
                <w:color w:val="auto"/>
                <w:highlight w:val="none"/>
                <w:lang w:eastAsia="zh-CN"/>
              </w:rPr>
            </w:pPr>
            <w:r>
              <w:rPr>
                <w:rFonts w:hint="eastAsia" w:eastAsia="宋体"/>
                <w:color w:val="auto"/>
                <w:highlight w:val="none"/>
                <w:lang w:eastAsia="zh-CN"/>
              </w:rPr>
              <w:t>非甲烷总烃、二甲苯、乙酸乙酯无组织排放</w:t>
            </w:r>
            <w:r>
              <w:rPr>
                <w:rFonts w:hint="eastAsia"/>
                <w:color w:val="auto"/>
                <w:highlight w:val="none"/>
                <w:lang w:val="en-US" w:eastAsia="zh-CN"/>
              </w:rPr>
              <w:t>执行</w:t>
            </w:r>
            <w:r>
              <w:rPr>
                <w:rFonts w:hint="eastAsia" w:eastAsia="宋体"/>
                <w:color w:val="auto"/>
                <w:highlight w:val="none"/>
                <w:lang w:eastAsia="zh-CN"/>
              </w:rPr>
              <w:t>《工业涂装工序挥发性有机物排放标准》（DB35/1783-2018）表4企业边界监控点浓度限值（非甲烷总烃≤2.0mg/m³、二甲苯≤0.2mg/m³、乙酸乙酯≤1.0mg/m³）</w:t>
            </w:r>
            <w:r>
              <w:rPr>
                <w:rFonts w:hint="eastAsia"/>
                <w:color w:val="auto"/>
                <w:highlight w:val="none"/>
                <w:lang w:eastAsia="zh-CN"/>
              </w:rPr>
              <w:t>；</w:t>
            </w:r>
            <w:r>
              <w:rPr>
                <w:rFonts w:hint="eastAsia" w:eastAsia="宋体"/>
                <w:color w:val="auto"/>
                <w:highlight w:val="none"/>
                <w:lang w:eastAsia="zh-CN"/>
              </w:rPr>
              <w:t>颗粒物无组织排放</w:t>
            </w:r>
            <w:r>
              <w:rPr>
                <w:rFonts w:hint="eastAsia"/>
                <w:color w:val="auto"/>
                <w:highlight w:val="none"/>
                <w:lang w:val="en-US" w:eastAsia="zh-CN"/>
              </w:rPr>
              <w:t>执行</w:t>
            </w:r>
            <w:r>
              <w:rPr>
                <w:rFonts w:hint="eastAsia" w:eastAsia="宋体"/>
                <w:color w:val="auto"/>
                <w:highlight w:val="none"/>
                <w:lang w:eastAsia="zh-CN"/>
              </w:rPr>
              <w:t>《大气污染物综合排放标准》（GB 16297-1996）表2（颗粒物≤1.0mg/m</w:t>
            </w:r>
            <w:r>
              <w:rPr>
                <w:rFonts w:hint="eastAsia" w:eastAsia="宋体"/>
                <w:color w:val="auto"/>
                <w:highlight w:val="none"/>
                <w:vertAlign w:val="superscript"/>
                <w:lang w:eastAsia="zh-CN"/>
              </w:rPr>
              <w:t>3</w:t>
            </w:r>
            <w:r>
              <w:rPr>
                <w:rFonts w:hint="eastAsia" w:eastAsia="宋体"/>
                <w:color w:val="auto"/>
                <w:highlight w:val="none"/>
                <w:lang w:eastAsia="zh-CN"/>
              </w:rPr>
              <w:t>）</w:t>
            </w:r>
            <w:r>
              <w:rPr>
                <w:rFonts w:hint="eastAsia"/>
                <w:color w:val="auto"/>
                <w:highlight w:val="none"/>
                <w:lang w:eastAsia="zh-CN"/>
              </w:rPr>
              <w:t>；</w:t>
            </w:r>
            <w:r>
              <w:rPr>
                <w:rFonts w:hint="eastAsia"/>
                <w:color w:val="auto"/>
                <w:highlight w:val="none"/>
                <w:lang w:val="en-US" w:eastAsia="zh-CN"/>
              </w:rPr>
              <w:t>臭气浓度无组织排放执行</w:t>
            </w:r>
            <w:r>
              <w:rPr>
                <w:rFonts w:hint="eastAsia"/>
                <w:color w:val="auto"/>
                <w:highlight w:val="none"/>
              </w:rPr>
              <w:t>《恶臭污染物排放标准》（GB14554-93）</w:t>
            </w:r>
            <w:r>
              <w:rPr>
                <w:rFonts w:hint="eastAsia"/>
                <w:color w:val="auto"/>
                <w:highlight w:val="none"/>
                <w:lang w:val="en-US" w:eastAsia="zh-CN"/>
              </w:rPr>
              <w:t>表1</w:t>
            </w:r>
            <w:r>
              <w:rPr>
                <w:rFonts w:hint="eastAsia"/>
                <w:color w:val="auto"/>
                <w:highlight w:val="none"/>
              </w:rPr>
              <w:t>中二级</w:t>
            </w:r>
            <w:r>
              <w:rPr>
                <w:rFonts w:hint="eastAsia"/>
                <w:color w:val="auto"/>
                <w:highlight w:val="none"/>
                <w:lang w:val="en-US" w:eastAsia="zh-CN"/>
              </w:rPr>
              <w:t>新扩改建</w:t>
            </w:r>
            <w:r>
              <w:rPr>
                <w:rFonts w:hint="eastAsia"/>
                <w:color w:val="auto"/>
                <w:highlight w:val="none"/>
              </w:rPr>
              <w:t>标准</w:t>
            </w:r>
            <w:r>
              <w:rPr>
                <w:rFonts w:hint="eastAsia"/>
                <w:color w:val="auto"/>
                <w:highlight w:val="none"/>
                <w:lang w:eastAsia="zh-CN"/>
              </w:rPr>
              <w:t>（</w:t>
            </w:r>
            <w:r>
              <w:rPr>
                <w:rFonts w:hint="eastAsia"/>
                <w:color w:val="auto"/>
                <w:highlight w:val="none"/>
                <w:vertAlign w:val="baseline"/>
                <w:lang w:val="en-US" w:eastAsia="zh-CN"/>
              </w:rPr>
              <w:t>臭气浓</w:t>
            </w:r>
            <w:r>
              <w:rPr>
                <w:rFonts w:hint="default" w:ascii="Times New Roman" w:hAnsi="Times New Roman" w:cs="Times New Roman"/>
                <w:color w:val="auto"/>
                <w:highlight w:val="none"/>
                <w:vertAlign w:val="baseline"/>
                <w:lang w:val="en-US" w:eastAsia="zh-CN"/>
              </w:rPr>
              <w:t>度</w:t>
            </w:r>
            <w:r>
              <w:rPr>
                <w:rFonts w:hint="default" w:ascii="Arial" w:hAnsi="Arial" w:cs="Arial"/>
                <w:color w:val="auto"/>
                <w:highlight w:val="none"/>
                <w:lang w:val="en-US" w:eastAsia="zh-CN"/>
              </w:rPr>
              <w:t>≤</w:t>
            </w:r>
            <w:r>
              <w:rPr>
                <w:rFonts w:hint="default" w:ascii="Times New Roman" w:hAnsi="Times New Roman" w:cs="Times New Roman"/>
                <w:color w:val="auto"/>
                <w:highlight w:val="none"/>
                <w:lang w:val="en-US" w:eastAsia="zh-CN"/>
              </w:rPr>
              <w:t>20（无量纲）</w:t>
            </w:r>
            <w:r>
              <w:rPr>
                <w:rFonts w:hint="default" w:ascii="Times New Roman" w:hAnsi="Times New Roman" w:cs="Times New Roman"/>
                <w:color w:val="auto"/>
                <w:highlight w:val="none"/>
                <w:lang w:eastAsia="zh-CN"/>
              </w:rPr>
              <w:t>）</w:t>
            </w:r>
            <w:r>
              <w:rPr>
                <w:rFonts w:hint="eastAsia" w:cs="Times New Roman"/>
                <w:color w:val="auto"/>
                <w:highlight w:val="none"/>
                <w:lang w:eastAsia="zh-CN"/>
              </w:rPr>
              <w:t>；</w:t>
            </w:r>
            <w:r>
              <w:rPr>
                <w:rFonts w:hint="eastAsia" w:cs="Times New Roman"/>
                <w:color w:val="auto"/>
                <w:highlight w:val="none"/>
                <w:lang w:val="en-US" w:eastAsia="zh-CN"/>
              </w:rPr>
              <w:t>颗粒物无组织排放执行《</w:t>
            </w:r>
            <w:r>
              <w:rPr>
                <w:rFonts w:hint="eastAsia" w:cs="Times New Roman"/>
                <w:color w:val="auto"/>
                <w:highlight w:val="none"/>
                <w:lang w:eastAsia="zh-CN"/>
              </w:rPr>
              <w:t>合成树脂工业污染物排放标准》（GB31572-2015）表9企业边界大气污染物浓度限值要求（颗粒物≤1.0mg/m³）</w:t>
            </w:r>
          </w:p>
        </w:tc>
      </w:tr>
      <w:tr w14:paraId="0E9BA7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4" w:hRule="atLeast"/>
          <w:jc w:val="center"/>
        </w:trPr>
        <w:tc>
          <w:tcPr>
            <w:tcW w:w="220" w:type="pct"/>
            <w:vMerge w:val="continue"/>
            <w:noWrap w:val="0"/>
            <w:vAlign w:val="center"/>
          </w:tcPr>
          <w:p w14:paraId="2294AC74">
            <w:pPr>
              <w:pStyle w:val="1405"/>
              <w:bidi w:val="0"/>
              <w:rPr>
                <w:color w:val="auto"/>
                <w:highlight w:val="none"/>
              </w:rPr>
            </w:pPr>
          </w:p>
        </w:tc>
        <w:tc>
          <w:tcPr>
            <w:tcW w:w="237" w:type="pct"/>
            <w:vMerge w:val="continue"/>
            <w:noWrap w:val="0"/>
            <w:vAlign w:val="center"/>
          </w:tcPr>
          <w:p w14:paraId="1E2DC269">
            <w:pPr>
              <w:pStyle w:val="1405"/>
              <w:bidi w:val="0"/>
              <w:rPr>
                <w:color w:val="auto"/>
                <w:highlight w:val="none"/>
              </w:rPr>
            </w:pPr>
          </w:p>
        </w:tc>
        <w:tc>
          <w:tcPr>
            <w:tcW w:w="560" w:type="pct"/>
            <w:noWrap w:val="0"/>
            <w:vAlign w:val="center"/>
          </w:tcPr>
          <w:p w14:paraId="2B90899A">
            <w:pPr>
              <w:pStyle w:val="1321"/>
              <w:rPr>
                <w:rFonts w:hint="eastAsia"/>
                <w:color w:val="auto"/>
                <w:highlight w:val="none"/>
                <w:lang w:val="en-US" w:eastAsia="zh-CN"/>
              </w:rPr>
            </w:pPr>
            <w:r>
              <w:rPr>
                <w:rFonts w:hint="eastAsia"/>
                <w:color w:val="auto"/>
                <w:highlight w:val="none"/>
                <w:lang w:val="en-US" w:eastAsia="zh-CN"/>
              </w:rPr>
              <w:t>厂区内</w:t>
            </w:r>
          </w:p>
        </w:tc>
        <w:tc>
          <w:tcPr>
            <w:tcW w:w="251" w:type="pct"/>
            <w:vMerge w:val="continue"/>
            <w:noWrap w:val="0"/>
            <w:vAlign w:val="center"/>
          </w:tcPr>
          <w:p w14:paraId="297589AF">
            <w:pPr>
              <w:pStyle w:val="1321"/>
              <w:rPr>
                <w:rFonts w:hint="eastAsia"/>
                <w:color w:val="auto"/>
                <w:highlight w:val="none"/>
                <w:lang w:val="en-US" w:eastAsia="zh-CN"/>
              </w:rPr>
            </w:pPr>
          </w:p>
        </w:tc>
        <w:tc>
          <w:tcPr>
            <w:tcW w:w="813" w:type="pct"/>
            <w:gridSpan w:val="2"/>
            <w:vMerge w:val="continue"/>
            <w:noWrap w:val="0"/>
            <w:vAlign w:val="center"/>
          </w:tcPr>
          <w:p w14:paraId="3021201F">
            <w:pPr>
              <w:pStyle w:val="1358"/>
              <w:rPr>
                <w:color w:val="auto"/>
                <w:highlight w:val="none"/>
              </w:rPr>
            </w:pPr>
          </w:p>
        </w:tc>
        <w:tc>
          <w:tcPr>
            <w:tcW w:w="813" w:type="pct"/>
            <w:vMerge w:val="continue"/>
            <w:noWrap w:val="0"/>
            <w:vAlign w:val="center"/>
          </w:tcPr>
          <w:p w14:paraId="1FF0C4BD">
            <w:pPr>
              <w:pStyle w:val="1358"/>
              <w:rPr>
                <w:color w:val="auto"/>
                <w:highlight w:val="none"/>
              </w:rPr>
            </w:pPr>
          </w:p>
        </w:tc>
        <w:tc>
          <w:tcPr>
            <w:tcW w:w="2102" w:type="pct"/>
            <w:noWrap w:val="0"/>
            <w:vAlign w:val="center"/>
          </w:tcPr>
          <w:p w14:paraId="72CA0B8B">
            <w:pPr>
              <w:pStyle w:val="1358"/>
              <w:rPr>
                <w:rFonts w:hint="eastAsia"/>
                <w:color w:val="auto"/>
                <w:highlight w:val="none"/>
              </w:rPr>
            </w:pPr>
            <w:r>
              <w:rPr>
                <w:rFonts w:hint="eastAsia" w:eastAsia="宋体"/>
                <w:color w:val="auto"/>
                <w:highlight w:val="none"/>
                <w:lang w:eastAsia="zh-CN"/>
              </w:rPr>
              <w:t>非甲烷总烃无组织排放</w:t>
            </w:r>
            <w:r>
              <w:rPr>
                <w:rFonts w:hint="eastAsia"/>
                <w:color w:val="auto"/>
                <w:highlight w:val="none"/>
                <w:lang w:val="en-US" w:eastAsia="zh-CN"/>
              </w:rPr>
              <w:t>执行</w:t>
            </w:r>
            <w:r>
              <w:rPr>
                <w:rFonts w:hint="eastAsia" w:eastAsia="宋体"/>
                <w:color w:val="auto"/>
                <w:highlight w:val="none"/>
                <w:lang w:eastAsia="zh-CN"/>
              </w:rPr>
              <w:t>《工业涂装工序挥发性有机物排放标准》（DB35/1783-2018）</w:t>
            </w:r>
            <w:r>
              <w:rPr>
                <w:rFonts w:hint="eastAsia"/>
                <w:color w:val="auto"/>
                <w:highlight w:val="none"/>
                <w:lang w:val="en-US" w:eastAsia="zh-CN"/>
              </w:rPr>
              <w:t>表3厂区内监控点浓度限值（</w:t>
            </w:r>
            <w:r>
              <w:rPr>
                <w:rFonts w:hint="eastAsia" w:cs="Times New Roman"/>
                <w:color w:val="auto"/>
                <w:highlight w:val="none"/>
                <w:lang w:val="en-US" w:eastAsia="zh-CN"/>
              </w:rPr>
              <w:t>监控点处1h平均浓度值≤10mg/m</w:t>
            </w:r>
            <w:r>
              <w:rPr>
                <w:rFonts w:hint="eastAsia" w:cs="Times New Roman"/>
                <w:color w:val="auto"/>
                <w:highlight w:val="none"/>
                <w:vertAlign w:val="superscript"/>
                <w:lang w:val="en-US" w:eastAsia="zh-CN"/>
              </w:rPr>
              <w:t>3</w:t>
            </w:r>
            <w:r>
              <w:rPr>
                <w:rFonts w:hint="eastAsia"/>
                <w:color w:val="auto"/>
                <w:highlight w:val="none"/>
                <w:lang w:val="en-US" w:eastAsia="zh-CN"/>
              </w:rPr>
              <w:t>）及</w:t>
            </w:r>
            <w:r>
              <w:rPr>
                <w:rFonts w:hint="eastAsia" w:cs="Times New Roman"/>
                <w:color w:val="auto"/>
                <w:highlight w:val="none"/>
                <w:lang w:val="en-US" w:eastAsia="zh-CN"/>
              </w:rPr>
              <w:t>《挥发性有机物无组织排放控制标准》（GB37822-2019）附录A中表A.1排放限值要求（任意一次浓度值≤30mg/m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w:t>
            </w:r>
          </w:p>
        </w:tc>
      </w:tr>
      <w:tr w14:paraId="2774A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220" w:type="pct"/>
            <w:noWrap w:val="0"/>
            <w:vAlign w:val="center"/>
          </w:tcPr>
          <w:p w14:paraId="34BDC82C">
            <w:pPr>
              <w:pStyle w:val="1405"/>
              <w:bidi w:val="0"/>
              <w:rPr>
                <w:color w:val="auto"/>
                <w:highlight w:val="none"/>
              </w:rPr>
            </w:pPr>
            <w:r>
              <w:rPr>
                <w:color w:val="auto"/>
                <w:highlight w:val="none"/>
              </w:rPr>
              <w:t>2</w:t>
            </w:r>
          </w:p>
        </w:tc>
        <w:tc>
          <w:tcPr>
            <w:tcW w:w="237" w:type="pct"/>
            <w:noWrap w:val="0"/>
            <w:vAlign w:val="center"/>
          </w:tcPr>
          <w:p w14:paraId="0EB62465">
            <w:pPr>
              <w:pStyle w:val="1405"/>
              <w:bidi w:val="0"/>
              <w:rPr>
                <w:color w:val="auto"/>
                <w:highlight w:val="none"/>
              </w:rPr>
            </w:pPr>
            <w:r>
              <w:rPr>
                <w:color w:val="auto"/>
                <w:highlight w:val="none"/>
              </w:rPr>
              <w:t>废水污染措施</w:t>
            </w:r>
          </w:p>
        </w:tc>
        <w:tc>
          <w:tcPr>
            <w:tcW w:w="812" w:type="pct"/>
            <w:gridSpan w:val="2"/>
            <w:noWrap w:val="0"/>
            <w:vAlign w:val="center"/>
          </w:tcPr>
          <w:p w14:paraId="3CC3B4C7">
            <w:pPr>
              <w:pStyle w:val="1358"/>
              <w:ind w:firstLine="0" w:firstLineChars="0"/>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生活污水</w:t>
            </w:r>
            <w:r>
              <w:rPr>
                <w:rFonts w:hint="eastAsia" w:ascii="Times New Roman" w:hAnsi="Times New Roman" w:eastAsia="宋体" w:cs="Times New Roman"/>
                <w:color w:val="auto"/>
                <w:highlight w:val="none"/>
                <w:lang w:val="en-US" w:eastAsia="zh-CN"/>
              </w:rPr>
              <w:t>DW001</w:t>
            </w:r>
          </w:p>
        </w:tc>
        <w:tc>
          <w:tcPr>
            <w:tcW w:w="1627" w:type="pct"/>
            <w:gridSpan w:val="3"/>
            <w:noWrap w:val="0"/>
            <w:vAlign w:val="center"/>
          </w:tcPr>
          <w:p w14:paraId="187BBF36">
            <w:pPr>
              <w:pStyle w:val="1358"/>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生活污水经出租方已建化粪池预处理后纳入市政污水管网，排入青口汽车工业开发区污水处理厂进一步处理</w:t>
            </w:r>
          </w:p>
        </w:tc>
        <w:tc>
          <w:tcPr>
            <w:tcW w:w="2102" w:type="pct"/>
            <w:noWrap w:val="0"/>
            <w:vAlign w:val="center"/>
          </w:tcPr>
          <w:p w14:paraId="46D63FA4">
            <w:pPr>
              <w:pStyle w:val="448"/>
              <w:ind w:firstLine="0" w:firstLineChars="0"/>
              <w:rPr>
                <w:rFonts w:hint="eastAsia" w:ascii="Times New Roman" w:hAnsi="Times New Roman" w:eastAsia="宋体"/>
                <w:color w:val="auto"/>
                <w:highlight w:val="none"/>
                <w:lang w:val="en-US" w:eastAsia="zh-CN"/>
              </w:rPr>
            </w:pPr>
            <w:r>
              <w:rPr>
                <w:rFonts w:ascii="Times New Roman" w:hAnsi="Times New Roman"/>
                <w:color w:val="auto"/>
                <w:highlight w:val="none"/>
              </w:rPr>
              <w:t>《污水综合排放标准》（GB8978-1996）表4中三级标准（氨氮参照《污水排入</w:t>
            </w:r>
            <w:r>
              <w:rPr>
                <w:rFonts w:hint="eastAsia" w:ascii="Times New Roman" w:hAnsi="Times New Roman"/>
                <w:color w:val="auto"/>
                <w:highlight w:val="none"/>
              </w:rPr>
              <w:t>城镇</w:t>
            </w:r>
            <w:r>
              <w:rPr>
                <w:rFonts w:ascii="Times New Roman" w:hAnsi="Times New Roman"/>
                <w:color w:val="auto"/>
                <w:highlight w:val="none"/>
              </w:rPr>
              <w:t>下水道水质标准》</w:t>
            </w:r>
            <w:r>
              <w:rPr>
                <w:rFonts w:hint="eastAsia" w:ascii="Times New Roman" w:hAnsi="Times New Roman"/>
                <w:color w:val="auto"/>
                <w:highlight w:val="none"/>
                <w:lang w:eastAsia="zh-CN"/>
              </w:rPr>
              <w:t>（</w:t>
            </w:r>
            <w:r>
              <w:rPr>
                <w:rFonts w:ascii="Times New Roman" w:hAnsi="Times New Roman" w:eastAsia="TimesNewRomanPSMT"/>
                <w:color w:val="auto"/>
                <w:highlight w:val="none"/>
              </w:rPr>
              <w:t>GB/T31962-2015</w:t>
            </w:r>
            <w:r>
              <w:rPr>
                <w:rFonts w:hint="eastAsia" w:ascii="Times New Roman" w:hAnsi="Times New Roman" w:eastAsia="宋体"/>
                <w:color w:val="auto"/>
                <w:highlight w:val="none"/>
                <w:lang w:eastAsia="zh-CN"/>
              </w:rPr>
              <w:t>）</w:t>
            </w:r>
            <w:r>
              <w:rPr>
                <w:rFonts w:ascii="Times New Roman" w:hAnsi="Times New Roman"/>
                <w:color w:val="auto"/>
                <w:highlight w:val="none"/>
              </w:rPr>
              <w:t>B级标准）</w:t>
            </w:r>
            <w:r>
              <w:rPr>
                <w:rFonts w:hint="eastAsia" w:ascii="Times New Roman" w:hAnsi="Times New Roman"/>
                <w:color w:val="auto"/>
                <w:highlight w:val="none"/>
                <w:lang w:eastAsia="zh-CN"/>
              </w:rPr>
              <w:t>（</w:t>
            </w:r>
            <w:r>
              <w:rPr>
                <w:rFonts w:hint="eastAsia" w:ascii="Times New Roman" w:hAnsi="Times New Roman" w:eastAsia="宋体"/>
                <w:color w:val="auto"/>
                <w:highlight w:val="none"/>
                <w:lang w:val="en-US" w:eastAsia="zh-CN"/>
              </w:rPr>
              <w:t>pH6~9（无量纲）</w:t>
            </w:r>
            <w:r>
              <w:rPr>
                <w:rFonts w:hint="default" w:ascii="Times New Roman" w:hAnsi="Times New Roman" w:eastAsia="宋体" w:cs="Times New Roman"/>
                <w:color w:val="auto"/>
                <w:highlight w:val="none"/>
                <w:lang w:val="en-US" w:eastAsia="zh-CN"/>
              </w:rPr>
              <w:t>，COD</w:t>
            </w:r>
            <w:r>
              <w:rPr>
                <w:rStyle w:val="1359"/>
                <w:rFonts w:hint="default" w:ascii="Times New Roman" w:hAnsi="Times New Roman" w:cs="Times New Roman"/>
                <w:color w:val="auto"/>
                <w:highlight w:val="none"/>
                <w:lang w:val="en-US" w:eastAsia="zh-CN"/>
              </w:rPr>
              <w:t>≤</w:t>
            </w:r>
            <w:r>
              <w:rPr>
                <w:rStyle w:val="1359"/>
                <w:rFonts w:hint="eastAsia" w:ascii="Times New Roman" w:hAnsi="Times New Roman" w:cs="Times New Roman"/>
                <w:color w:val="auto"/>
                <w:highlight w:val="none"/>
                <w:lang w:val="en-US" w:eastAsia="zh-CN"/>
              </w:rPr>
              <w:t>50</w:t>
            </w:r>
            <w:r>
              <w:rPr>
                <w:rStyle w:val="1359"/>
                <w:rFonts w:hint="default" w:ascii="Times New Roman" w:hAnsi="Times New Roman" w:cs="Times New Roman"/>
                <w:color w:val="auto"/>
                <w:highlight w:val="none"/>
                <w:lang w:val="en-US" w:eastAsia="zh-CN"/>
              </w:rPr>
              <w:t>0mg/L，</w:t>
            </w:r>
            <w:r>
              <w:rPr>
                <w:rStyle w:val="1359"/>
                <w:rFonts w:hint="eastAsia" w:ascii="Times New Roman" w:hAnsi="Times New Roman" w:cs="Times New Roman"/>
                <w:color w:val="auto"/>
                <w:highlight w:val="none"/>
                <w:lang w:val="en-US" w:eastAsia="zh-CN"/>
              </w:rPr>
              <w:t>BOD</w:t>
            </w:r>
            <w:r>
              <w:rPr>
                <w:rStyle w:val="1359"/>
                <w:rFonts w:hint="eastAsia" w:ascii="Times New Roman" w:hAnsi="Times New Roman" w:cs="Times New Roman"/>
                <w:color w:val="auto"/>
                <w:highlight w:val="none"/>
                <w:vertAlign w:val="subscript"/>
                <w:lang w:val="en-US" w:eastAsia="zh-CN"/>
              </w:rPr>
              <w:t>5</w:t>
            </w:r>
            <w:r>
              <w:rPr>
                <w:rStyle w:val="1359"/>
                <w:rFonts w:hint="default" w:ascii="Times New Roman" w:hAnsi="Times New Roman" w:cs="Times New Roman"/>
                <w:color w:val="auto"/>
                <w:highlight w:val="none"/>
                <w:lang w:val="en-US" w:eastAsia="zh-CN"/>
              </w:rPr>
              <w:t>≤</w:t>
            </w:r>
            <w:r>
              <w:rPr>
                <w:rStyle w:val="1359"/>
                <w:rFonts w:hint="eastAsia" w:ascii="Times New Roman" w:hAnsi="Times New Roman" w:cs="Times New Roman"/>
                <w:color w:val="auto"/>
                <w:highlight w:val="none"/>
                <w:lang w:val="en-US" w:eastAsia="zh-CN"/>
              </w:rPr>
              <w:t>300</w:t>
            </w:r>
            <w:r>
              <w:rPr>
                <w:rStyle w:val="1359"/>
                <w:rFonts w:hint="default" w:ascii="Times New Roman" w:hAnsi="Times New Roman" w:cs="Times New Roman"/>
                <w:color w:val="auto"/>
                <w:highlight w:val="none"/>
                <w:lang w:val="en-US" w:eastAsia="zh-CN"/>
              </w:rPr>
              <w:t>mg/L，</w:t>
            </w:r>
            <w:r>
              <w:rPr>
                <w:rStyle w:val="1359"/>
                <w:rFonts w:hint="eastAsia" w:ascii="Times New Roman" w:hAnsi="Times New Roman" w:cs="Times New Roman"/>
                <w:color w:val="auto"/>
                <w:highlight w:val="none"/>
                <w:lang w:val="en-US" w:eastAsia="zh-CN"/>
              </w:rPr>
              <w:t>SS</w:t>
            </w:r>
            <w:r>
              <w:rPr>
                <w:rStyle w:val="1359"/>
                <w:rFonts w:hint="default" w:ascii="Times New Roman" w:hAnsi="Times New Roman" w:cs="Times New Roman"/>
                <w:color w:val="auto"/>
                <w:highlight w:val="none"/>
                <w:lang w:val="en-US" w:eastAsia="zh-CN"/>
              </w:rPr>
              <w:t>≤</w:t>
            </w:r>
            <w:r>
              <w:rPr>
                <w:rStyle w:val="1359"/>
                <w:rFonts w:hint="eastAsia" w:ascii="Times New Roman" w:hAnsi="Times New Roman" w:cs="Times New Roman"/>
                <w:color w:val="auto"/>
                <w:highlight w:val="none"/>
                <w:lang w:val="en-US" w:eastAsia="zh-CN"/>
              </w:rPr>
              <w:t>400</w:t>
            </w:r>
            <w:r>
              <w:rPr>
                <w:rStyle w:val="1359"/>
                <w:rFonts w:hint="default" w:ascii="Times New Roman" w:hAnsi="Times New Roman" w:cs="Times New Roman"/>
                <w:color w:val="auto"/>
                <w:highlight w:val="none"/>
                <w:lang w:val="en-US" w:eastAsia="zh-CN"/>
              </w:rPr>
              <w:t>mg/L</w:t>
            </w:r>
            <w:r>
              <w:rPr>
                <w:rStyle w:val="1359"/>
                <w:rFonts w:hint="eastAsia" w:ascii="Times New Roman" w:hAnsi="Times New Roman" w:cs="Times New Roman"/>
                <w:color w:val="auto"/>
                <w:highlight w:val="none"/>
                <w:lang w:val="en-US" w:eastAsia="zh-CN"/>
              </w:rPr>
              <w:t>，NH</w:t>
            </w:r>
            <w:r>
              <w:rPr>
                <w:rStyle w:val="1359"/>
                <w:rFonts w:hint="eastAsia" w:ascii="Times New Roman" w:hAnsi="Times New Roman" w:cs="Times New Roman"/>
                <w:color w:val="auto"/>
                <w:highlight w:val="none"/>
                <w:vertAlign w:val="subscript"/>
                <w:lang w:val="en-US" w:eastAsia="zh-CN"/>
              </w:rPr>
              <w:t>3</w:t>
            </w:r>
            <w:r>
              <w:rPr>
                <w:rStyle w:val="1359"/>
                <w:rFonts w:hint="eastAsia" w:ascii="Times New Roman" w:hAnsi="Times New Roman" w:cs="Times New Roman"/>
                <w:color w:val="auto"/>
                <w:highlight w:val="none"/>
                <w:lang w:val="en-US" w:eastAsia="zh-CN"/>
              </w:rPr>
              <w:t>-N</w:t>
            </w:r>
            <w:r>
              <w:rPr>
                <w:rStyle w:val="1359"/>
                <w:rFonts w:hint="default" w:ascii="Times New Roman" w:hAnsi="Times New Roman" w:cs="Times New Roman"/>
                <w:color w:val="auto"/>
                <w:highlight w:val="none"/>
                <w:lang w:val="en-US" w:eastAsia="zh-CN"/>
              </w:rPr>
              <w:t>≤</w:t>
            </w:r>
            <w:r>
              <w:rPr>
                <w:rStyle w:val="1359"/>
                <w:rFonts w:hint="eastAsia" w:ascii="Times New Roman" w:hAnsi="Times New Roman" w:cs="Times New Roman"/>
                <w:color w:val="auto"/>
                <w:highlight w:val="none"/>
                <w:lang w:val="en-US" w:eastAsia="zh-CN"/>
              </w:rPr>
              <w:t>45</w:t>
            </w:r>
            <w:r>
              <w:rPr>
                <w:rStyle w:val="1359"/>
                <w:rFonts w:hint="default" w:ascii="Times New Roman" w:hAnsi="Times New Roman" w:cs="Times New Roman"/>
                <w:color w:val="auto"/>
                <w:highlight w:val="none"/>
                <w:lang w:val="en-US" w:eastAsia="zh-CN"/>
              </w:rPr>
              <w:t>mg/L</w:t>
            </w:r>
            <w:r>
              <w:rPr>
                <w:rFonts w:hint="eastAsia" w:ascii="Times New Roman" w:hAnsi="Times New Roman"/>
                <w:color w:val="auto"/>
                <w:highlight w:val="none"/>
                <w:lang w:eastAsia="zh-CN"/>
              </w:rPr>
              <w:t>）</w:t>
            </w:r>
          </w:p>
        </w:tc>
      </w:tr>
      <w:tr w14:paraId="5E1A13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220" w:type="pct"/>
            <w:noWrap w:val="0"/>
            <w:vAlign w:val="center"/>
          </w:tcPr>
          <w:p w14:paraId="09150EB6">
            <w:pPr>
              <w:pStyle w:val="1405"/>
              <w:bidi w:val="0"/>
              <w:rPr>
                <w:color w:val="auto"/>
                <w:highlight w:val="none"/>
              </w:rPr>
            </w:pPr>
          </w:p>
        </w:tc>
        <w:tc>
          <w:tcPr>
            <w:tcW w:w="237" w:type="pct"/>
            <w:noWrap w:val="0"/>
            <w:vAlign w:val="center"/>
          </w:tcPr>
          <w:p w14:paraId="02C66A41">
            <w:pPr>
              <w:pStyle w:val="1405"/>
              <w:bidi w:val="0"/>
              <w:rPr>
                <w:color w:val="auto"/>
                <w:highlight w:val="none"/>
              </w:rPr>
            </w:pPr>
          </w:p>
        </w:tc>
        <w:tc>
          <w:tcPr>
            <w:tcW w:w="812" w:type="pct"/>
            <w:gridSpan w:val="2"/>
            <w:noWrap w:val="0"/>
            <w:vAlign w:val="center"/>
          </w:tcPr>
          <w:p w14:paraId="01F1B08B">
            <w:pPr>
              <w:pStyle w:val="1358"/>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生产废水</w:t>
            </w:r>
          </w:p>
        </w:tc>
        <w:tc>
          <w:tcPr>
            <w:tcW w:w="1627" w:type="pct"/>
            <w:gridSpan w:val="3"/>
            <w:noWrap w:val="0"/>
            <w:vAlign w:val="center"/>
          </w:tcPr>
          <w:p w14:paraId="07CFC68A">
            <w:pPr>
              <w:pStyle w:val="1358"/>
              <w:ind w:firstLine="0" w:firstLineChars="0"/>
              <w:rPr>
                <w:rFonts w:hint="eastAsia" w:ascii="Times New Roman" w:hAnsi="Times New Roman" w:eastAsia="宋体" w:cs="Times New Roman"/>
                <w:color w:val="auto"/>
                <w:highlight w:val="none"/>
                <w:lang w:val="en-US" w:eastAsia="zh-CN"/>
              </w:rPr>
            </w:pPr>
            <w:r>
              <w:rPr>
                <w:rFonts w:hint="eastAsia"/>
                <w:color w:val="auto"/>
                <w:highlight w:val="none"/>
              </w:rPr>
              <w:t>注塑冷却水、</w:t>
            </w:r>
            <w:r>
              <w:rPr>
                <w:rFonts w:hint="eastAsia"/>
                <w:color w:val="auto"/>
                <w:highlight w:val="none"/>
                <w:lang w:val="en-US" w:eastAsia="zh-CN"/>
              </w:rPr>
              <w:t>冰水机配套冷却水、热洁炉换热器冷却水</w:t>
            </w:r>
            <w:r>
              <w:rPr>
                <w:rFonts w:hint="eastAsia"/>
                <w:color w:val="auto"/>
                <w:highlight w:val="none"/>
              </w:rPr>
              <w:t>均为间接冷却水，经冷却塔降温后全部循环使用，不外排；锅炉排污水和纯水制备反渗透浓水水质简单，不含重金属及有毒有害物质，经厂区污水总排口接入市政污水管网</w:t>
            </w:r>
          </w:p>
        </w:tc>
        <w:tc>
          <w:tcPr>
            <w:tcW w:w="2102" w:type="pct"/>
            <w:noWrap w:val="0"/>
            <w:vAlign w:val="center"/>
          </w:tcPr>
          <w:p w14:paraId="1F8FC3FF">
            <w:pPr>
              <w:pStyle w:val="448"/>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验收落实情况</w:t>
            </w:r>
          </w:p>
        </w:tc>
      </w:tr>
      <w:tr w14:paraId="7FD9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220" w:type="pct"/>
            <w:noWrap w:val="0"/>
            <w:vAlign w:val="center"/>
          </w:tcPr>
          <w:p w14:paraId="0C5B3234">
            <w:pPr>
              <w:pStyle w:val="1405"/>
              <w:bidi w:val="0"/>
              <w:rPr>
                <w:color w:val="auto"/>
                <w:highlight w:val="none"/>
              </w:rPr>
            </w:pPr>
            <w:r>
              <w:rPr>
                <w:color w:val="auto"/>
                <w:highlight w:val="none"/>
              </w:rPr>
              <w:t>3</w:t>
            </w:r>
          </w:p>
        </w:tc>
        <w:tc>
          <w:tcPr>
            <w:tcW w:w="237" w:type="pct"/>
            <w:noWrap w:val="0"/>
            <w:vAlign w:val="center"/>
          </w:tcPr>
          <w:p w14:paraId="306E3DA6">
            <w:pPr>
              <w:pStyle w:val="1405"/>
              <w:bidi w:val="0"/>
              <w:rPr>
                <w:color w:val="auto"/>
                <w:highlight w:val="none"/>
              </w:rPr>
            </w:pPr>
            <w:r>
              <w:rPr>
                <w:color w:val="auto"/>
                <w:highlight w:val="none"/>
              </w:rPr>
              <w:t>噪声污染防范</w:t>
            </w:r>
          </w:p>
        </w:tc>
        <w:tc>
          <w:tcPr>
            <w:tcW w:w="2439" w:type="pct"/>
            <w:gridSpan w:val="5"/>
            <w:noWrap w:val="0"/>
            <w:vAlign w:val="center"/>
          </w:tcPr>
          <w:p w14:paraId="78ABA94C">
            <w:pPr>
              <w:pStyle w:val="1405"/>
              <w:bidi w:val="0"/>
              <w:rPr>
                <w:color w:val="auto"/>
                <w:highlight w:val="none"/>
              </w:rPr>
            </w:pPr>
            <w:r>
              <w:rPr>
                <w:color w:val="auto"/>
                <w:highlight w:val="none"/>
              </w:rPr>
              <w:t>（1）总图布置上：合理布局，尽量将噪声大的设备布置在车间中央，以减轻噪声对厂界的影响。</w:t>
            </w:r>
          </w:p>
          <w:p w14:paraId="0E0E2702">
            <w:pPr>
              <w:pStyle w:val="1405"/>
              <w:bidi w:val="0"/>
              <w:rPr>
                <w:rFonts w:hint="eastAsia"/>
                <w:color w:val="auto"/>
                <w:highlight w:val="none"/>
              </w:rPr>
            </w:pPr>
            <w:r>
              <w:rPr>
                <w:color w:val="auto"/>
                <w:highlight w:val="none"/>
              </w:rPr>
              <w:t>（2）对</w:t>
            </w:r>
            <w:r>
              <w:rPr>
                <w:rFonts w:hint="eastAsia"/>
                <w:color w:val="auto"/>
                <w:highlight w:val="none"/>
                <w:lang w:val="en-US" w:eastAsia="zh-CN"/>
              </w:rPr>
              <w:t>风机</w:t>
            </w:r>
            <w:r>
              <w:rPr>
                <w:color w:val="auto"/>
                <w:highlight w:val="none"/>
              </w:rPr>
              <w:t>等高噪声设备基础安装减震器。为</w:t>
            </w:r>
            <w:r>
              <w:rPr>
                <w:rFonts w:hint="eastAsia"/>
                <w:color w:val="auto"/>
                <w:highlight w:val="none"/>
                <w:lang w:eastAsia="zh-CN"/>
              </w:rPr>
              <w:t>防止</w:t>
            </w:r>
            <w:r>
              <w:rPr>
                <w:color w:val="auto"/>
                <w:highlight w:val="none"/>
              </w:rPr>
              <w:t>与转动设备连接管道因</w:t>
            </w:r>
            <w:r>
              <w:rPr>
                <w:rFonts w:hint="eastAsia"/>
                <w:color w:val="auto"/>
                <w:highlight w:val="none"/>
                <w:lang w:eastAsia="zh-CN"/>
              </w:rPr>
              <w:t>振动</w:t>
            </w:r>
            <w:r>
              <w:rPr>
                <w:color w:val="auto"/>
                <w:highlight w:val="none"/>
              </w:rPr>
              <w:t>产生的噪声，采用柔性橡胶接头连接，以降低噪声，减少振动。</w:t>
            </w:r>
          </w:p>
        </w:tc>
        <w:tc>
          <w:tcPr>
            <w:tcW w:w="2102" w:type="pct"/>
            <w:noWrap w:val="0"/>
            <w:vAlign w:val="center"/>
          </w:tcPr>
          <w:p w14:paraId="6808D535">
            <w:pPr>
              <w:pStyle w:val="1405"/>
              <w:bidi w:val="0"/>
              <w:rPr>
                <w:rFonts w:hint="default"/>
                <w:color w:val="auto"/>
                <w:highlight w:val="none"/>
                <w:lang w:val="en-US" w:eastAsia="zh-CN"/>
              </w:rPr>
            </w:pPr>
            <w:r>
              <w:rPr>
                <w:color w:val="auto"/>
                <w:highlight w:val="none"/>
              </w:rPr>
              <w:t>《工业企业厂界环境噪声排放标准》（GB12348-2008）3类标准</w:t>
            </w:r>
            <w:r>
              <w:rPr>
                <w:rFonts w:hint="eastAsia"/>
                <w:color w:val="auto"/>
                <w:highlight w:val="none"/>
                <w:lang w:eastAsia="zh-CN"/>
              </w:rPr>
              <w:t>（</w:t>
            </w:r>
            <w:r>
              <w:rPr>
                <w:rFonts w:hint="eastAsia"/>
                <w:color w:val="auto"/>
                <w:highlight w:val="none"/>
                <w:lang w:val="en-US" w:eastAsia="zh-CN"/>
              </w:rPr>
              <w:t>昼间65dB（A），夜间55dB（A）</w:t>
            </w:r>
            <w:r>
              <w:rPr>
                <w:rFonts w:hint="eastAsia"/>
                <w:color w:val="auto"/>
                <w:highlight w:val="none"/>
                <w:lang w:eastAsia="zh-CN"/>
              </w:rPr>
              <w:t>），</w:t>
            </w:r>
            <w:r>
              <w:rPr>
                <w:rFonts w:hint="eastAsia"/>
                <w:color w:val="auto"/>
                <w:highlight w:val="none"/>
                <w:lang w:val="en-US" w:eastAsia="zh-CN"/>
              </w:rPr>
              <w:t>靠近祥宏南路一侧执行4类标准（昼间70dB（A），夜间55dB（A））</w:t>
            </w:r>
          </w:p>
        </w:tc>
      </w:tr>
      <w:tr w14:paraId="4D6E3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6" w:hRule="atLeast"/>
          <w:jc w:val="center"/>
        </w:trPr>
        <w:tc>
          <w:tcPr>
            <w:tcW w:w="220" w:type="pct"/>
            <w:vMerge w:val="restart"/>
            <w:noWrap w:val="0"/>
            <w:vAlign w:val="center"/>
          </w:tcPr>
          <w:p w14:paraId="0F486474">
            <w:pPr>
              <w:pStyle w:val="1358"/>
              <w:bidi w:val="0"/>
              <w:rPr>
                <w:color w:val="auto"/>
                <w:highlight w:val="none"/>
              </w:rPr>
            </w:pPr>
            <w:r>
              <w:rPr>
                <w:color w:val="auto"/>
                <w:highlight w:val="none"/>
              </w:rPr>
              <w:t>4</w:t>
            </w:r>
          </w:p>
        </w:tc>
        <w:tc>
          <w:tcPr>
            <w:tcW w:w="237" w:type="pct"/>
            <w:vMerge w:val="restart"/>
            <w:noWrap w:val="0"/>
            <w:vAlign w:val="center"/>
          </w:tcPr>
          <w:p w14:paraId="7AAEE637">
            <w:pPr>
              <w:pStyle w:val="1358"/>
              <w:bidi w:val="0"/>
              <w:rPr>
                <w:color w:val="auto"/>
                <w:highlight w:val="none"/>
              </w:rPr>
            </w:pPr>
            <w:r>
              <w:rPr>
                <w:color w:val="auto"/>
                <w:highlight w:val="none"/>
              </w:rPr>
              <w:t>固废处置</w:t>
            </w:r>
          </w:p>
        </w:tc>
        <w:tc>
          <w:tcPr>
            <w:tcW w:w="812" w:type="pct"/>
            <w:gridSpan w:val="2"/>
            <w:noWrap w:val="0"/>
            <w:vAlign w:val="center"/>
          </w:tcPr>
          <w:p w14:paraId="28193B77">
            <w:pPr>
              <w:pStyle w:val="1358"/>
              <w:bidi w:val="0"/>
              <w:rPr>
                <w:color w:val="auto"/>
                <w:highlight w:val="none"/>
              </w:rPr>
            </w:pPr>
            <w:r>
              <w:rPr>
                <w:color w:val="auto"/>
                <w:highlight w:val="none"/>
              </w:rPr>
              <w:t>生活垃圾</w:t>
            </w:r>
          </w:p>
        </w:tc>
        <w:tc>
          <w:tcPr>
            <w:tcW w:w="1627" w:type="pct"/>
            <w:gridSpan w:val="3"/>
            <w:noWrap w:val="0"/>
            <w:vAlign w:val="center"/>
          </w:tcPr>
          <w:p w14:paraId="6EE40DEC">
            <w:pPr>
              <w:pStyle w:val="278"/>
              <w:rPr>
                <w:color w:val="auto"/>
                <w:highlight w:val="none"/>
              </w:rPr>
            </w:pPr>
            <w:r>
              <w:rPr>
                <w:color w:val="auto"/>
                <w:highlight w:val="none"/>
              </w:rPr>
              <w:t>生活垃圾收集桶收集后委托当地环卫部门统一清运处理</w:t>
            </w:r>
          </w:p>
        </w:tc>
        <w:tc>
          <w:tcPr>
            <w:tcW w:w="2102" w:type="pct"/>
            <w:noWrap w:val="0"/>
            <w:vAlign w:val="center"/>
          </w:tcPr>
          <w:p w14:paraId="4438F197">
            <w:pPr>
              <w:pStyle w:val="1358"/>
              <w:bidi w:val="0"/>
              <w:rPr>
                <w:color w:val="auto"/>
                <w:highlight w:val="none"/>
              </w:rPr>
            </w:pPr>
            <w:r>
              <w:rPr>
                <w:rFonts w:ascii="Times New Roman" w:hAnsi="Times New Roman" w:eastAsia="宋体" w:cs="Times New Roman"/>
                <w:color w:val="auto"/>
                <w:highlight w:val="none"/>
              </w:rPr>
              <w:t>《</w:t>
            </w:r>
            <w:r>
              <w:rPr>
                <w:rFonts w:hint="eastAsia" w:cs="Times New Roman"/>
                <w:color w:val="auto"/>
                <w:highlight w:val="none"/>
                <w:lang w:eastAsia="zh-CN"/>
              </w:rPr>
              <w:t>城市环境卫生设施规划标准</w:t>
            </w:r>
            <w:r>
              <w:rPr>
                <w:rFonts w:ascii="Times New Roman" w:hAnsi="Times New Roman" w:eastAsia="宋体" w:cs="Times New Roman"/>
                <w:color w:val="auto"/>
                <w:highlight w:val="none"/>
              </w:rPr>
              <w:t>》（</w:t>
            </w:r>
            <w:r>
              <w:rPr>
                <w:rFonts w:hint="eastAsia" w:cs="Times New Roman"/>
                <w:color w:val="auto"/>
                <w:highlight w:val="none"/>
                <w:lang w:eastAsia="zh-CN"/>
              </w:rPr>
              <w:t>GB/T 50337-2018</w:t>
            </w:r>
            <w:r>
              <w:rPr>
                <w:rFonts w:ascii="Times New Roman" w:hAnsi="Times New Roman" w:eastAsia="宋体" w:cs="Times New Roman"/>
                <w:color w:val="auto"/>
                <w:highlight w:val="none"/>
              </w:rPr>
              <w:t>）</w:t>
            </w:r>
          </w:p>
        </w:tc>
      </w:tr>
      <w:tr w14:paraId="5D019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5" w:hRule="atLeast"/>
          <w:jc w:val="center"/>
        </w:trPr>
        <w:tc>
          <w:tcPr>
            <w:tcW w:w="220" w:type="pct"/>
            <w:vMerge w:val="continue"/>
            <w:noWrap w:val="0"/>
            <w:vAlign w:val="center"/>
          </w:tcPr>
          <w:p w14:paraId="588908D0">
            <w:pPr>
              <w:pStyle w:val="1358"/>
              <w:bidi w:val="0"/>
              <w:rPr>
                <w:color w:val="auto"/>
                <w:highlight w:val="none"/>
              </w:rPr>
            </w:pPr>
          </w:p>
        </w:tc>
        <w:tc>
          <w:tcPr>
            <w:tcW w:w="237" w:type="pct"/>
            <w:vMerge w:val="continue"/>
            <w:noWrap w:val="0"/>
            <w:vAlign w:val="center"/>
          </w:tcPr>
          <w:p w14:paraId="60B8771F">
            <w:pPr>
              <w:pStyle w:val="1358"/>
              <w:bidi w:val="0"/>
              <w:rPr>
                <w:color w:val="auto"/>
                <w:highlight w:val="none"/>
              </w:rPr>
            </w:pPr>
          </w:p>
        </w:tc>
        <w:tc>
          <w:tcPr>
            <w:tcW w:w="812" w:type="pct"/>
            <w:gridSpan w:val="2"/>
            <w:noWrap w:val="0"/>
            <w:vAlign w:val="center"/>
          </w:tcPr>
          <w:p w14:paraId="02D49645">
            <w:pPr>
              <w:pStyle w:val="1358"/>
              <w:bidi w:val="0"/>
              <w:rPr>
                <w:rFonts w:hint="eastAsia"/>
                <w:color w:val="auto"/>
                <w:highlight w:val="none"/>
              </w:rPr>
            </w:pPr>
            <w:r>
              <w:rPr>
                <w:color w:val="auto"/>
                <w:highlight w:val="none"/>
              </w:rPr>
              <w:t>一般工业固体废物</w:t>
            </w:r>
          </w:p>
        </w:tc>
        <w:tc>
          <w:tcPr>
            <w:tcW w:w="1627" w:type="pct"/>
            <w:gridSpan w:val="3"/>
            <w:noWrap w:val="0"/>
            <w:vAlign w:val="center"/>
          </w:tcPr>
          <w:p w14:paraId="3544B440">
            <w:pPr>
              <w:pStyle w:val="278"/>
              <w:ind w:firstLine="0" w:firstLineChars="0"/>
              <w:rPr>
                <w:rFonts w:hint="eastAsia" w:eastAsia="宋体"/>
                <w:color w:val="auto"/>
                <w:highlight w:val="none"/>
                <w:lang w:eastAsia="zh-CN"/>
              </w:rPr>
            </w:pPr>
            <w:r>
              <w:rPr>
                <w:rFonts w:hint="eastAsia"/>
                <w:color w:val="auto"/>
                <w:highlight w:val="none"/>
                <w:lang w:val="en-US" w:eastAsia="zh-CN"/>
              </w:rPr>
              <w:t>一般工业固体废物</w:t>
            </w:r>
            <w:r>
              <w:rPr>
                <w:color w:val="auto"/>
                <w:highlight w:val="none"/>
              </w:rPr>
              <w:t>暂存于</w:t>
            </w:r>
            <w:r>
              <w:rPr>
                <w:rFonts w:hint="eastAsia"/>
                <w:color w:val="auto"/>
                <w:highlight w:val="none"/>
                <w:lang w:val="en-US" w:eastAsia="zh-CN"/>
              </w:rPr>
              <w:t>一座约</w:t>
            </w:r>
            <w:r>
              <w:rPr>
                <w:rFonts w:hint="eastAsia"/>
                <w:color w:val="auto"/>
                <w:highlight w:val="none"/>
                <w:lang w:eastAsia="zh-CN"/>
              </w:rPr>
              <w:t>（</w:t>
            </w:r>
            <w:r>
              <w:rPr>
                <w:rFonts w:hint="eastAsia" w:cs="Times New Roman"/>
                <w:color w:val="auto"/>
                <w:highlight w:val="none"/>
                <w:lang w:val="en-US" w:eastAsia="zh-CN"/>
              </w:rPr>
              <w:t>8</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2</w:t>
            </w:r>
            <w:r>
              <w:rPr>
                <w:rFonts w:hint="eastAsia"/>
                <w:color w:val="auto"/>
                <w:highlight w:val="none"/>
                <w:lang w:eastAsia="zh-CN"/>
              </w:rPr>
              <w:t>）</w:t>
            </w:r>
            <w:r>
              <w:rPr>
                <w:rFonts w:hint="eastAsia"/>
                <w:color w:val="auto"/>
                <w:highlight w:val="none"/>
                <w:vertAlign w:val="baseline"/>
                <w:lang w:val="en-US" w:eastAsia="zh-CN"/>
              </w:rPr>
              <w:t>的</w:t>
            </w:r>
            <w:r>
              <w:rPr>
                <w:color w:val="auto"/>
                <w:highlight w:val="none"/>
              </w:rPr>
              <w:t>一般固体废物暂存间</w:t>
            </w:r>
            <w:r>
              <w:rPr>
                <w:rFonts w:hint="eastAsia"/>
                <w:color w:val="auto"/>
                <w:highlight w:val="none"/>
                <w:lang w:eastAsia="zh-CN"/>
              </w:rPr>
              <w:t>，由合规回收单位回收综合利用</w:t>
            </w:r>
          </w:p>
        </w:tc>
        <w:tc>
          <w:tcPr>
            <w:tcW w:w="2102" w:type="pct"/>
            <w:noWrap w:val="0"/>
            <w:vAlign w:val="center"/>
          </w:tcPr>
          <w:p w14:paraId="43DBE1E5">
            <w:pPr>
              <w:pStyle w:val="1358"/>
              <w:bidi w:val="0"/>
              <w:rPr>
                <w:color w:val="auto"/>
                <w:highlight w:val="none"/>
              </w:rPr>
            </w:pPr>
            <w:r>
              <w:rPr>
                <w:color w:val="auto"/>
                <w:highlight w:val="none"/>
              </w:rPr>
              <w:t>《一般工业固体废物贮存和填埋污染控制标准》（GB18599-2020）</w:t>
            </w:r>
          </w:p>
        </w:tc>
      </w:tr>
      <w:tr w14:paraId="0E56C2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jc w:val="center"/>
        </w:trPr>
        <w:tc>
          <w:tcPr>
            <w:tcW w:w="220" w:type="pct"/>
            <w:vMerge w:val="continue"/>
            <w:noWrap w:val="0"/>
            <w:vAlign w:val="center"/>
          </w:tcPr>
          <w:p w14:paraId="3DE20B84">
            <w:pPr>
              <w:pStyle w:val="1358"/>
              <w:bidi w:val="0"/>
              <w:rPr>
                <w:color w:val="auto"/>
                <w:highlight w:val="none"/>
              </w:rPr>
            </w:pPr>
          </w:p>
        </w:tc>
        <w:tc>
          <w:tcPr>
            <w:tcW w:w="237" w:type="pct"/>
            <w:vMerge w:val="continue"/>
            <w:noWrap w:val="0"/>
            <w:vAlign w:val="center"/>
          </w:tcPr>
          <w:p w14:paraId="76092427">
            <w:pPr>
              <w:pStyle w:val="1358"/>
              <w:bidi w:val="0"/>
              <w:rPr>
                <w:color w:val="auto"/>
                <w:highlight w:val="none"/>
              </w:rPr>
            </w:pPr>
          </w:p>
        </w:tc>
        <w:tc>
          <w:tcPr>
            <w:tcW w:w="812" w:type="pct"/>
            <w:gridSpan w:val="2"/>
            <w:noWrap w:val="0"/>
            <w:vAlign w:val="center"/>
          </w:tcPr>
          <w:p w14:paraId="2BC72273">
            <w:pPr>
              <w:pStyle w:val="1358"/>
              <w:bidi w:val="0"/>
              <w:rPr>
                <w:color w:val="auto"/>
                <w:highlight w:val="none"/>
              </w:rPr>
            </w:pPr>
            <w:r>
              <w:rPr>
                <w:color w:val="auto"/>
                <w:highlight w:val="none"/>
              </w:rPr>
              <w:t>危险废物</w:t>
            </w:r>
          </w:p>
        </w:tc>
        <w:tc>
          <w:tcPr>
            <w:tcW w:w="1627" w:type="pct"/>
            <w:gridSpan w:val="3"/>
            <w:noWrap w:val="0"/>
            <w:vAlign w:val="center"/>
          </w:tcPr>
          <w:p w14:paraId="1B6A4C00">
            <w:pPr>
              <w:pStyle w:val="278"/>
              <w:ind w:firstLine="0" w:firstLineChars="0"/>
              <w:rPr>
                <w:color w:val="auto"/>
                <w:highlight w:val="none"/>
              </w:rPr>
            </w:pPr>
            <w:r>
              <w:rPr>
                <w:rFonts w:hint="eastAsia"/>
                <w:color w:val="auto"/>
                <w:highlight w:val="none"/>
                <w:lang w:val="en-US" w:eastAsia="zh-CN"/>
              </w:rPr>
              <w:t>废润滑油、含油抹布及手套等危险废物经收集后</w:t>
            </w:r>
            <w:r>
              <w:rPr>
                <w:color w:val="auto"/>
                <w:highlight w:val="none"/>
              </w:rPr>
              <w:t>暂存于</w:t>
            </w:r>
            <w:r>
              <w:rPr>
                <w:rFonts w:hint="eastAsia"/>
                <w:color w:val="auto"/>
                <w:highlight w:val="none"/>
                <w:lang w:eastAsia="zh-CN"/>
              </w:rPr>
              <w:t>危废贮存库（</w:t>
            </w:r>
            <w:r>
              <w:rPr>
                <w:rFonts w:hint="eastAsia" w:cs="Times New Roman"/>
                <w:color w:val="auto"/>
                <w:highlight w:val="none"/>
                <w:lang w:val="en-US" w:eastAsia="zh-CN"/>
              </w:rPr>
              <w:t>30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2</w:t>
            </w:r>
            <w:r>
              <w:rPr>
                <w:rFonts w:hint="eastAsia"/>
                <w:color w:val="auto"/>
                <w:highlight w:val="none"/>
                <w:lang w:eastAsia="zh-CN"/>
              </w:rPr>
              <w:t>）</w:t>
            </w:r>
            <w:r>
              <w:rPr>
                <w:rFonts w:hint="default" w:ascii="Times New Roman" w:hAnsi="Times New Roman" w:cs="Times New Roman"/>
                <w:color w:val="auto"/>
                <w:highlight w:val="none"/>
                <w:vertAlign w:val="baseline"/>
                <w:lang w:val="en-US" w:eastAsia="zh-CN"/>
              </w:rPr>
              <w:t>的</w:t>
            </w:r>
            <w:r>
              <w:rPr>
                <w:rFonts w:hint="default" w:ascii="Times New Roman" w:hAnsi="Times New Roman" w:cs="Times New Roman"/>
                <w:color w:val="auto"/>
                <w:highlight w:val="none"/>
              </w:rPr>
              <w:t>危废贮存</w:t>
            </w:r>
            <w:r>
              <w:rPr>
                <w:rFonts w:hint="default" w:ascii="Times New Roman" w:hAnsi="Times New Roman" w:eastAsia="宋体" w:cs="Times New Roman"/>
                <w:color w:val="auto"/>
                <w:highlight w:val="none"/>
              </w:rPr>
              <w:t>库</w:t>
            </w:r>
            <w:r>
              <w:rPr>
                <w:color w:val="auto"/>
                <w:highlight w:val="none"/>
              </w:rPr>
              <w:t>，定期委托有资质单位清运处置</w:t>
            </w:r>
          </w:p>
        </w:tc>
        <w:tc>
          <w:tcPr>
            <w:tcW w:w="2102" w:type="pct"/>
            <w:noWrap w:val="0"/>
            <w:vAlign w:val="center"/>
          </w:tcPr>
          <w:p w14:paraId="132BD2F4">
            <w:pPr>
              <w:pStyle w:val="1358"/>
              <w:bidi w:val="0"/>
              <w:rPr>
                <w:color w:val="auto"/>
                <w:highlight w:val="none"/>
              </w:rPr>
            </w:pPr>
            <w:r>
              <w:rPr>
                <w:rFonts w:hint="eastAsia"/>
                <w:color w:val="auto"/>
                <w:highlight w:val="none"/>
                <w:lang w:val="en-US" w:eastAsia="zh-CN"/>
              </w:rPr>
              <w:t>《危险废物贮存污染控制标准》（GB18597-2023）</w:t>
            </w:r>
          </w:p>
        </w:tc>
      </w:tr>
      <w:tr w14:paraId="181BC7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220" w:type="pct"/>
            <w:noWrap w:val="0"/>
            <w:vAlign w:val="center"/>
          </w:tcPr>
          <w:p w14:paraId="3153B649">
            <w:pPr>
              <w:pStyle w:val="1405"/>
              <w:bidi w:val="0"/>
              <w:rPr>
                <w:color w:val="auto"/>
                <w:highlight w:val="none"/>
              </w:rPr>
            </w:pPr>
            <w:r>
              <w:rPr>
                <w:color w:val="auto"/>
                <w:highlight w:val="none"/>
              </w:rPr>
              <w:t>5</w:t>
            </w:r>
          </w:p>
        </w:tc>
        <w:tc>
          <w:tcPr>
            <w:tcW w:w="237" w:type="pct"/>
            <w:noWrap w:val="0"/>
            <w:vAlign w:val="center"/>
          </w:tcPr>
          <w:p w14:paraId="2F0EAE81">
            <w:pPr>
              <w:pStyle w:val="1405"/>
              <w:bidi w:val="0"/>
              <w:rPr>
                <w:color w:val="auto"/>
                <w:highlight w:val="none"/>
              </w:rPr>
            </w:pPr>
            <w:r>
              <w:rPr>
                <w:color w:val="auto"/>
                <w:highlight w:val="none"/>
              </w:rPr>
              <w:t>地下水与土壤污染防治措施</w:t>
            </w:r>
          </w:p>
        </w:tc>
        <w:tc>
          <w:tcPr>
            <w:tcW w:w="2439" w:type="pct"/>
            <w:gridSpan w:val="5"/>
            <w:noWrap w:val="0"/>
            <w:vAlign w:val="center"/>
          </w:tcPr>
          <w:p w14:paraId="27A9F674">
            <w:pPr>
              <w:pStyle w:val="1405"/>
              <w:bidi w:val="0"/>
              <w:rPr>
                <w:color w:val="auto"/>
                <w:highlight w:val="none"/>
              </w:rPr>
            </w:pPr>
            <w:r>
              <w:rPr>
                <w:rFonts w:hint="eastAsia"/>
                <w:color w:val="auto"/>
                <w:highlight w:val="none"/>
                <w:lang w:eastAsia="zh-CN"/>
              </w:rPr>
              <w:t>辅料仓库</w:t>
            </w:r>
            <w:r>
              <w:rPr>
                <w:rFonts w:hint="default"/>
                <w:color w:val="auto"/>
                <w:highlight w:val="none"/>
              </w:rPr>
              <w:t>、危废贮存库等重点区域进行重点防渗处理。在全面落实分区防渗措施的前提下，正常工况下不存在废水或物料渗漏污染土壤及地下水的途径。项目生产</w:t>
            </w:r>
            <w:r>
              <w:rPr>
                <w:rFonts w:hint="eastAsia"/>
                <w:color w:val="auto"/>
                <w:highlight w:val="none"/>
                <w:lang w:val="en-US" w:eastAsia="zh-CN"/>
              </w:rPr>
              <w:t>用水、</w:t>
            </w:r>
            <w:r>
              <w:rPr>
                <w:rFonts w:hint="default"/>
                <w:color w:val="auto"/>
                <w:highlight w:val="none"/>
              </w:rPr>
              <w:t>生活用水由园区供水系统统一供给，不开采、不使用地下水。为进一步防范非正常状况下的泄漏风险，企业应建立土壤和地下水污染隐患定期排查制度，对重点防渗区及管道接口进行定期巡检，发现问题及时修复。一旦发现地面破损、渗漏等异常情况，应立即启动应急预案，采取隔离、堵漏、收集等措施，防止污染物进一步扩散，最大限度减少对土壤及地下水环境的不利影响。</w:t>
            </w:r>
          </w:p>
        </w:tc>
        <w:tc>
          <w:tcPr>
            <w:tcW w:w="2102" w:type="pct"/>
            <w:noWrap w:val="0"/>
            <w:vAlign w:val="center"/>
          </w:tcPr>
          <w:p w14:paraId="7D2B7A10">
            <w:pPr>
              <w:pStyle w:val="1405"/>
              <w:bidi w:val="0"/>
              <w:rPr>
                <w:color w:val="auto"/>
                <w:highlight w:val="none"/>
              </w:rPr>
            </w:pPr>
            <w:r>
              <w:rPr>
                <w:color w:val="auto"/>
                <w:highlight w:val="none"/>
              </w:rPr>
              <w:t>参照执行HJ610-2016《环境影响评价技术导则 地下水环境》分区防渗要求；提供隐患排查制度文件及巡检记录；应急预案中应包含土壤/地下水污染应急措施</w:t>
            </w:r>
          </w:p>
        </w:tc>
      </w:tr>
      <w:tr w14:paraId="2A12D9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220" w:type="pct"/>
            <w:noWrap w:val="0"/>
            <w:vAlign w:val="center"/>
          </w:tcPr>
          <w:p w14:paraId="042B17F4">
            <w:pPr>
              <w:pStyle w:val="1405"/>
              <w:bidi w:val="0"/>
              <w:rPr>
                <w:color w:val="auto"/>
                <w:highlight w:val="none"/>
              </w:rPr>
            </w:pPr>
            <w:r>
              <w:rPr>
                <w:color w:val="auto"/>
                <w:highlight w:val="none"/>
              </w:rPr>
              <w:t>6</w:t>
            </w:r>
          </w:p>
        </w:tc>
        <w:tc>
          <w:tcPr>
            <w:tcW w:w="237" w:type="pct"/>
            <w:noWrap w:val="0"/>
            <w:vAlign w:val="center"/>
          </w:tcPr>
          <w:p w14:paraId="0379EB85">
            <w:pPr>
              <w:pStyle w:val="1405"/>
              <w:bidi w:val="0"/>
              <w:rPr>
                <w:color w:val="auto"/>
                <w:highlight w:val="none"/>
              </w:rPr>
            </w:pPr>
            <w:r>
              <w:rPr>
                <w:color w:val="auto"/>
                <w:highlight w:val="none"/>
              </w:rPr>
              <w:t>环境风险</w:t>
            </w:r>
          </w:p>
        </w:tc>
        <w:tc>
          <w:tcPr>
            <w:tcW w:w="2439" w:type="pct"/>
            <w:gridSpan w:val="5"/>
            <w:noWrap w:val="0"/>
            <w:vAlign w:val="center"/>
          </w:tcPr>
          <w:p w14:paraId="75C6C352">
            <w:pPr>
              <w:pStyle w:val="1405"/>
              <w:bidi w:val="0"/>
              <w:rPr>
                <w:color w:val="auto"/>
                <w:highlight w:val="none"/>
              </w:rPr>
            </w:pPr>
            <w:r>
              <w:rPr>
                <w:color w:val="auto"/>
                <w:highlight w:val="none"/>
              </w:rPr>
              <w:t>本项目应严格落实各项环境风险防范措施。一是规范预案管理。在建设项目投入试生产或者正式使用前，须按相关规定编制《突发环境事件应急预案》，并报当地生态环境主管部门备案。二是完善应急设施依托。本项目依托租赁方已建事故应急池（厂区北侧</w:t>
            </w:r>
            <w:r>
              <w:rPr>
                <w:rFonts w:hint="eastAsia"/>
                <w:color w:val="auto"/>
                <w:highlight w:val="none"/>
                <w:lang w:val="en-US" w:eastAsia="zh-CN"/>
              </w:rPr>
              <w:t>约70m</w:t>
            </w:r>
            <w:r>
              <w:rPr>
                <w:color w:val="auto"/>
                <w:highlight w:val="none"/>
              </w:rPr>
              <w:t>，79m</w:t>
            </w:r>
            <w:r>
              <w:rPr>
                <w:rFonts w:hint="eastAsia"/>
                <w:color w:val="auto"/>
                <w:highlight w:val="none"/>
                <w:vertAlign w:val="superscript"/>
                <w:lang w:val="en-US" w:eastAsia="zh-CN"/>
              </w:rPr>
              <w:t>3</w:t>
            </w:r>
            <w:r>
              <w:rPr>
                <w:color w:val="auto"/>
                <w:highlight w:val="none"/>
              </w:rPr>
              <w:t>）及厂区配套专用导流管线、切换阀门、提升水泵等收集输送设施；事故废水经水泵提升输送至应急池，</w:t>
            </w:r>
            <w:r>
              <w:rPr>
                <w:rFonts w:hint="eastAsia"/>
                <w:color w:val="auto"/>
                <w:highlight w:val="none"/>
                <w:lang w:val="en-US" w:eastAsia="zh-CN"/>
              </w:rPr>
              <w:t>建设单位拟补充</w:t>
            </w:r>
            <w:r>
              <w:rPr>
                <w:color w:val="auto"/>
                <w:highlight w:val="none"/>
              </w:rPr>
              <w:t>不小于40m³应急水袋，</w:t>
            </w:r>
            <w:r>
              <w:rPr>
                <w:rFonts w:hint="eastAsia"/>
                <w:color w:val="auto"/>
                <w:highlight w:val="none"/>
                <w:lang w:val="en-US" w:eastAsia="zh-CN"/>
              </w:rPr>
              <w:t>并</w:t>
            </w:r>
            <w:r>
              <w:rPr>
                <w:color w:val="auto"/>
                <w:highlight w:val="none"/>
              </w:rPr>
              <w:t>以空置调节池（约37.5m</w:t>
            </w:r>
            <w:r>
              <w:rPr>
                <w:rFonts w:hint="eastAsia"/>
                <w:color w:val="auto"/>
                <w:highlight w:val="none"/>
                <w:vertAlign w:val="superscript"/>
                <w:lang w:val="en-US" w:eastAsia="zh-CN"/>
              </w:rPr>
              <w:t>3</w:t>
            </w:r>
            <w:r>
              <w:rPr>
                <w:color w:val="auto"/>
                <w:highlight w:val="none"/>
              </w:rPr>
              <w:t>）备用补充，雨水沟设截断阀门控制，确保事故废水完全收集、安全暂存、不外排，依托措施切实可行。三是强化日常运维。加强环境保护设施的日常维护与管理，确保其稳定运行；按规定定期开展突发环境事件应急演练与人员培训，并及时向社会公开应急培训和演练情况。</w:t>
            </w:r>
          </w:p>
        </w:tc>
        <w:tc>
          <w:tcPr>
            <w:tcW w:w="2102" w:type="pct"/>
            <w:noWrap w:val="0"/>
            <w:vAlign w:val="center"/>
          </w:tcPr>
          <w:p w14:paraId="01172F17">
            <w:pPr>
              <w:pStyle w:val="1405"/>
              <w:bidi w:val="0"/>
              <w:rPr>
                <w:color w:val="auto"/>
                <w:highlight w:val="none"/>
              </w:rPr>
            </w:pPr>
            <w:r>
              <w:rPr>
                <w:rFonts w:hint="eastAsia"/>
                <w:color w:val="auto"/>
                <w:highlight w:val="none"/>
                <w:lang w:val="en-US" w:eastAsia="zh-CN"/>
              </w:rPr>
              <w:t>验收落实情况</w:t>
            </w:r>
          </w:p>
        </w:tc>
      </w:tr>
      <w:tr w14:paraId="70648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220" w:type="pct"/>
            <w:noWrap w:val="0"/>
            <w:vAlign w:val="center"/>
          </w:tcPr>
          <w:p w14:paraId="75876588">
            <w:pPr>
              <w:pStyle w:val="1405"/>
              <w:bidi w:val="0"/>
              <w:rPr>
                <w:color w:val="auto"/>
                <w:highlight w:val="none"/>
              </w:rPr>
            </w:pPr>
            <w:r>
              <w:rPr>
                <w:color w:val="auto"/>
                <w:highlight w:val="none"/>
              </w:rPr>
              <w:t>7</w:t>
            </w:r>
          </w:p>
        </w:tc>
        <w:tc>
          <w:tcPr>
            <w:tcW w:w="237" w:type="pct"/>
            <w:noWrap w:val="0"/>
            <w:vAlign w:val="center"/>
          </w:tcPr>
          <w:p w14:paraId="69119843">
            <w:pPr>
              <w:pStyle w:val="1405"/>
              <w:bidi w:val="0"/>
              <w:rPr>
                <w:color w:val="auto"/>
                <w:highlight w:val="none"/>
              </w:rPr>
            </w:pPr>
            <w:r>
              <w:rPr>
                <w:color w:val="auto"/>
                <w:highlight w:val="none"/>
              </w:rPr>
              <w:t>环境管理</w:t>
            </w:r>
          </w:p>
        </w:tc>
        <w:tc>
          <w:tcPr>
            <w:tcW w:w="2439" w:type="pct"/>
            <w:gridSpan w:val="5"/>
            <w:noWrap w:val="0"/>
            <w:vAlign w:val="center"/>
          </w:tcPr>
          <w:p w14:paraId="50564EAB">
            <w:pPr>
              <w:pStyle w:val="1405"/>
              <w:bidi w:val="0"/>
              <w:rPr>
                <w:color w:val="auto"/>
                <w:highlight w:val="none"/>
              </w:rPr>
            </w:pPr>
            <w:r>
              <w:rPr>
                <w:color w:val="auto"/>
                <w:highlight w:val="none"/>
              </w:rPr>
              <w:t>设置环境管理机构，建立环境管理制度、委托相关单位对项目的环保设施制定环境监测计划，完成项目的竣工验收。</w:t>
            </w:r>
          </w:p>
        </w:tc>
        <w:tc>
          <w:tcPr>
            <w:tcW w:w="2102" w:type="pct"/>
            <w:noWrap w:val="0"/>
            <w:vAlign w:val="center"/>
          </w:tcPr>
          <w:p w14:paraId="598F896A">
            <w:pPr>
              <w:pStyle w:val="1405"/>
              <w:bidi w:val="0"/>
              <w:rPr>
                <w:color w:val="auto"/>
                <w:highlight w:val="none"/>
              </w:rPr>
            </w:pPr>
            <w:r>
              <w:rPr>
                <w:rFonts w:hint="eastAsia"/>
                <w:color w:val="auto"/>
                <w:highlight w:val="none"/>
                <w:lang w:val="en-US" w:eastAsia="zh-CN"/>
              </w:rPr>
              <w:t>验收落实情况</w:t>
            </w:r>
          </w:p>
        </w:tc>
      </w:tr>
      <w:tr w14:paraId="776CA5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220" w:type="pct"/>
            <w:noWrap w:val="0"/>
            <w:vAlign w:val="center"/>
          </w:tcPr>
          <w:p w14:paraId="6D6D208A">
            <w:pPr>
              <w:pStyle w:val="1405"/>
              <w:bidi w:val="0"/>
              <w:rPr>
                <w:rFonts w:hint="eastAsia"/>
                <w:color w:val="auto"/>
                <w:highlight w:val="none"/>
                <w:lang w:val="en-US" w:eastAsia="zh-CN"/>
              </w:rPr>
            </w:pPr>
            <w:r>
              <w:rPr>
                <w:rFonts w:hint="eastAsia"/>
                <w:color w:val="auto"/>
                <w:highlight w:val="none"/>
                <w:lang w:val="en-US" w:eastAsia="zh-CN"/>
              </w:rPr>
              <w:t>8</w:t>
            </w:r>
          </w:p>
        </w:tc>
        <w:tc>
          <w:tcPr>
            <w:tcW w:w="237" w:type="pct"/>
            <w:noWrap w:val="0"/>
            <w:vAlign w:val="center"/>
          </w:tcPr>
          <w:p w14:paraId="4E7E3D1A">
            <w:pPr>
              <w:pStyle w:val="1405"/>
              <w:bidi w:val="0"/>
              <w:rPr>
                <w:rFonts w:hint="default"/>
                <w:color w:val="auto"/>
                <w:highlight w:val="none"/>
                <w:lang w:val="en-US" w:eastAsia="zh-CN"/>
              </w:rPr>
            </w:pPr>
            <w:r>
              <w:rPr>
                <w:rFonts w:hint="eastAsia"/>
                <w:color w:val="auto"/>
                <w:highlight w:val="none"/>
                <w:lang w:val="en-US" w:eastAsia="zh-CN"/>
              </w:rPr>
              <w:t>排污口规范化</w:t>
            </w:r>
          </w:p>
        </w:tc>
        <w:tc>
          <w:tcPr>
            <w:tcW w:w="2439" w:type="pct"/>
            <w:gridSpan w:val="5"/>
            <w:noWrap w:val="0"/>
            <w:vAlign w:val="center"/>
          </w:tcPr>
          <w:p w14:paraId="026A52CF">
            <w:pPr>
              <w:pStyle w:val="1405"/>
              <w:bidi w:val="0"/>
              <w:rPr>
                <w:color w:val="auto"/>
                <w:highlight w:val="none"/>
              </w:rPr>
            </w:pPr>
            <w:r>
              <w:rPr>
                <w:rFonts w:hint="eastAsia" w:ascii="Times New Roman" w:hAnsi="Times New Roman" w:eastAsia="宋体" w:cs="Times New Roman"/>
                <w:color w:val="auto"/>
                <w:highlight w:val="none"/>
                <w:lang w:val="en-US" w:eastAsia="zh-CN"/>
              </w:rPr>
              <w:t>要求废气排放筒按规范化建设、设置标志牌，设有采样平台和预留永久性采样口</w:t>
            </w:r>
          </w:p>
        </w:tc>
        <w:tc>
          <w:tcPr>
            <w:tcW w:w="2102" w:type="pct"/>
            <w:noWrap w:val="0"/>
            <w:vAlign w:val="center"/>
          </w:tcPr>
          <w:p w14:paraId="156E1B62">
            <w:pPr>
              <w:pStyle w:val="1405"/>
              <w:bidi w:val="0"/>
              <w:rPr>
                <w:color w:val="auto"/>
                <w:highlight w:val="none"/>
              </w:rPr>
            </w:pPr>
            <w:r>
              <w:rPr>
                <w:rFonts w:hint="eastAsia"/>
                <w:color w:val="auto"/>
                <w:highlight w:val="none"/>
                <w:lang w:val="en-US" w:eastAsia="zh-CN"/>
              </w:rPr>
              <w:t>验收落实情况</w:t>
            </w:r>
          </w:p>
        </w:tc>
      </w:tr>
    </w:tbl>
    <w:p w14:paraId="04B10D4B">
      <w:pPr>
        <w:pStyle w:val="1319"/>
        <w:ind w:firstLine="480"/>
        <w:rPr>
          <w:color w:val="auto"/>
          <w:highlight w:val="none"/>
          <w:lang w:bidi="he-IL"/>
        </w:rPr>
        <w:sectPr>
          <w:pgSz w:w="16838" w:h="11906" w:orient="landscape"/>
          <w:pgMar w:top="1418" w:right="1588" w:bottom="141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51823622">
      <w:pPr>
        <w:pStyle w:val="3"/>
        <w:numPr>
          <w:ilvl w:val="0"/>
          <w:numId w:val="0"/>
        </w:numPr>
        <w:bidi w:val="0"/>
        <w:rPr>
          <w:color w:val="auto"/>
          <w:highlight w:val="none"/>
        </w:rPr>
      </w:pPr>
      <w:bookmarkStart w:id="1443" w:name="_Toc5028"/>
      <w:bookmarkStart w:id="1444" w:name="_Toc10951"/>
      <w:bookmarkStart w:id="1445" w:name="_Toc21777"/>
      <w:bookmarkStart w:id="1446" w:name="_Toc16453"/>
      <w:bookmarkStart w:id="1447" w:name="_Toc13851"/>
      <w:bookmarkStart w:id="1448" w:name="_Toc19725"/>
      <w:bookmarkStart w:id="1449" w:name="_Toc10475"/>
      <w:bookmarkStart w:id="1450" w:name="_Toc29850"/>
      <w:bookmarkStart w:id="1451" w:name="_Toc18874"/>
      <w:bookmarkStart w:id="1452" w:name="_Toc25081"/>
      <w:r>
        <w:rPr>
          <w:color w:val="auto"/>
          <w:highlight w:val="none"/>
        </w:rPr>
        <w:t>10.5</w:t>
      </w:r>
      <w:r>
        <w:rPr>
          <w:rFonts w:hint="eastAsia"/>
          <w:color w:val="auto"/>
          <w:highlight w:val="none"/>
          <w:lang w:val="en-US" w:eastAsia="zh-CN"/>
        </w:rPr>
        <w:t xml:space="preserve"> </w:t>
      </w:r>
      <w:r>
        <w:rPr>
          <w:color w:val="auto"/>
          <w:highlight w:val="none"/>
        </w:rPr>
        <w:t>对策建议</w:t>
      </w:r>
      <w:bookmarkEnd w:id="1443"/>
      <w:bookmarkEnd w:id="1444"/>
      <w:bookmarkEnd w:id="1445"/>
      <w:bookmarkEnd w:id="1446"/>
      <w:bookmarkEnd w:id="1447"/>
      <w:bookmarkEnd w:id="1448"/>
      <w:bookmarkEnd w:id="1449"/>
      <w:bookmarkEnd w:id="1450"/>
      <w:bookmarkEnd w:id="1451"/>
      <w:bookmarkEnd w:id="1452"/>
    </w:p>
    <w:p w14:paraId="170CB6A8">
      <w:pPr>
        <w:bidi w:val="0"/>
        <w:rPr>
          <w:color w:val="auto"/>
          <w:highlight w:val="none"/>
        </w:rPr>
      </w:pPr>
      <w:bookmarkStart w:id="1453" w:name="_Toc335644569"/>
      <w:r>
        <w:rPr>
          <w:color w:val="auto"/>
          <w:highlight w:val="none"/>
        </w:rPr>
        <w:t>（1）拟建项目应认真执行本环评提出的各种污染防治措施，确保达标排放。</w:t>
      </w:r>
      <w:bookmarkEnd w:id="1453"/>
    </w:p>
    <w:p w14:paraId="6968EF0D">
      <w:pPr>
        <w:bidi w:val="0"/>
        <w:rPr>
          <w:color w:val="auto"/>
          <w:highlight w:val="none"/>
        </w:rPr>
      </w:pPr>
      <w:bookmarkStart w:id="1454" w:name="_Toc335644570"/>
      <w:r>
        <w:rPr>
          <w:color w:val="auto"/>
          <w:highlight w:val="none"/>
        </w:rPr>
        <w:t>（2）严格落实环保</w:t>
      </w:r>
      <w:r>
        <w:rPr>
          <w:rFonts w:hint="eastAsia"/>
          <w:color w:val="auto"/>
          <w:highlight w:val="none"/>
          <w:lang w:eastAsia="zh-CN"/>
        </w:rPr>
        <w:t>“</w:t>
      </w:r>
      <w:r>
        <w:rPr>
          <w:color w:val="auto"/>
          <w:highlight w:val="none"/>
        </w:rPr>
        <w:t>三同时</w:t>
      </w:r>
      <w:r>
        <w:rPr>
          <w:rFonts w:hint="eastAsia"/>
          <w:color w:val="auto"/>
          <w:highlight w:val="none"/>
          <w:lang w:eastAsia="zh-CN"/>
        </w:rPr>
        <w:t>”</w:t>
      </w:r>
      <w:r>
        <w:rPr>
          <w:color w:val="auto"/>
          <w:highlight w:val="none"/>
        </w:rPr>
        <w:t>制度。在工程运营期，要加强各项污染控制设施的运行管理，实行定期维护、检修和考核制度，确保设施完好率，并使其正常稳定运转发挥效用。</w:t>
      </w:r>
      <w:bookmarkEnd w:id="1454"/>
    </w:p>
    <w:p w14:paraId="79BF9E26">
      <w:pPr>
        <w:bidi w:val="0"/>
        <w:rPr>
          <w:color w:val="auto"/>
          <w:highlight w:val="none"/>
        </w:rPr>
      </w:pPr>
      <w:bookmarkStart w:id="1455" w:name="_Toc335644571"/>
      <w:r>
        <w:rPr>
          <w:color w:val="auto"/>
          <w:highlight w:val="none"/>
        </w:rPr>
        <w:t>（3）工程</w:t>
      </w:r>
      <w:r>
        <w:rPr>
          <w:rFonts w:hint="eastAsia"/>
          <w:color w:val="auto"/>
          <w:highlight w:val="none"/>
          <w:lang w:eastAsia="zh-CN"/>
        </w:rPr>
        <w:t>做好“</w:t>
      </w:r>
      <w:r>
        <w:rPr>
          <w:color w:val="auto"/>
          <w:highlight w:val="none"/>
        </w:rPr>
        <w:t>清洁生产</w:t>
      </w:r>
      <w:r>
        <w:rPr>
          <w:rFonts w:hint="eastAsia"/>
          <w:color w:val="auto"/>
          <w:highlight w:val="none"/>
          <w:lang w:eastAsia="zh-CN"/>
        </w:rPr>
        <w:t>”</w:t>
      </w:r>
      <w:r>
        <w:rPr>
          <w:color w:val="auto"/>
          <w:highlight w:val="none"/>
        </w:rPr>
        <w:t>，降低物耗、能耗，减少污染物的排放。</w:t>
      </w:r>
      <w:bookmarkEnd w:id="1455"/>
    </w:p>
    <w:p w14:paraId="1CA39C35">
      <w:pPr>
        <w:bidi w:val="0"/>
        <w:rPr>
          <w:color w:val="auto"/>
          <w:highlight w:val="none"/>
        </w:rPr>
      </w:pPr>
      <w:r>
        <w:rPr>
          <w:color w:val="auto"/>
          <w:highlight w:val="none"/>
        </w:rPr>
        <w:t>（4）鉴于项目废气处理设计的专业性，建议建设单位需委托有资质单位进行单项废气治理工程的专题设计方案的编制，并报</w:t>
      </w:r>
      <w:r>
        <w:rPr>
          <w:rFonts w:hint="eastAsia"/>
          <w:color w:val="auto"/>
          <w:highlight w:val="none"/>
          <w:lang w:val="en-US" w:eastAsia="zh-CN"/>
        </w:rPr>
        <w:t>当地生态环境</w:t>
      </w:r>
      <w:r>
        <w:rPr>
          <w:color w:val="auto"/>
          <w:highlight w:val="none"/>
        </w:rPr>
        <w:t>局备案，建设过程严格落实，确保废气达标排放。</w:t>
      </w:r>
    </w:p>
    <w:p w14:paraId="1776C230">
      <w:pPr>
        <w:pStyle w:val="3"/>
        <w:numPr>
          <w:ilvl w:val="0"/>
          <w:numId w:val="0"/>
        </w:numPr>
        <w:bidi w:val="0"/>
        <w:rPr>
          <w:color w:val="auto"/>
          <w:highlight w:val="none"/>
        </w:rPr>
      </w:pPr>
      <w:bookmarkStart w:id="1456" w:name="_Toc20742"/>
      <w:bookmarkStart w:id="1457" w:name="_Toc2939"/>
      <w:bookmarkStart w:id="1458" w:name="_Toc362276210"/>
      <w:bookmarkStart w:id="1459" w:name="_Toc29687"/>
      <w:bookmarkStart w:id="1460" w:name="_Toc366255042"/>
      <w:bookmarkStart w:id="1461" w:name="_Toc11010"/>
      <w:bookmarkStart w:id="1462" w:name="_Toc30803"/>
      <w:bookmarkStart w:id="1463" w:name="_Toc15717"/>
      <w:bookmarkStart w:id="1464" w:name="_Toc17045"/>
      <w:bookmarkStart w:id="1465" w:name="_Toc27299"/>
      <w:bookmarkStart w:id="1466" w:name="_Toc9774"/>
      <w:bookmarkStart w:id="1467" w:name="_Toc15743"/>
      <w:bookmarkStart w:id="1468" w:name="_Toc373835761"/>
      <w:r>
        <w:rPr>
          <w:color w:val="auto"/>
          <w:highlight w:val="none"/>
        </w:rPr>
        <w:t>10.6</w:t>
      </w:r>
      <w:r>
        <w:rPr>
          <w:rFonts w:hint="eastAsia"/>
          <w:color w:val="auto"/>
          <w:highlight w:val="none"/>
          <w:lang w:val="en-US" w:eastAsia="zh-CN"/>
        </w:rPr>
        <w:t xml:space="preserve"> </w:t>
      </w:r>
      <w:r>
        <w:rPr>
          <w:color w:val="auto"/>
          <w:highlight w:val="none"/>
        </w:rPr>
        <w:t>评价总结论</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14:paraId="01DEE0E0">
      <w:pPr>
        <w:pStyle w:val="1336"/>
        <w:ind w:firstLine="480"/>
        <w:rPr>
          <w:color w:val="auto"/>
          <w:highlight w:val="none"/>
        </w:rPr>
      </w:pPr>
      <w:r>
        <w:rPr>
          <w:rFonts w:hint="eastAsia"/>
          <w:color w:val="auto"/>
          <w:highlight w:val="none"/>
          <w:lang w:eastAsia="zh-CN"/>
        </w:rPr>
        <w:t>福州日源汽车零部件加工生产项目</w:t>
      </w:r>
      <w:r>
        <w:rPr>
          <w:color w:val="auto"/>
          <w:highlight w:val="none"/>
        </w:rPr>
        <w:t>位于</w:t>
      </w:r>
      <w:r>
        <w:rPr>
          <w:rFonts w:hint="eastAsia"/>
          <w:color w:val="auto"/>
          <w:highlight w:val="none"/>
          <w:lang w:eastAsia="zh-CN" w:bidi="he-IL"/>
        </w:rPr>
        <w:t>福建省福州市闽侯县青口镇祥宏南路1366号办公楼、A库厂房、B库厂房</w:t>
      </w:r>
      <w:r>
        <w:rPr>
          <w:color w:val="auto"/>
          <w:highlight w:val="none"/>
          <w:lang w:bidi="he-IL"/>
        </w:rPr>
        <w:t>，</w:t>
      </w:r>
      <w:r>
        <w:rPr>
          <w:color w:val="auto"/>
          <w:highlight w:val="none"/>
        </w:rPr>
        <w:t>项目符合国家和地方产业政策；选址符合</w:t>
      </w:r>
      <w:r>
        <w:rPr>
          <w:rFonts w:hint="eastAsia"/>
          <w:color w:val="auto"/>
          <w:highlight w:val="none"/>
          <w:lang w:eastAsia="zh-CN"/>
        </w:rPr>
        <w:t>《福州青口投资区环境影响报告书》《福州青口投资区环境影响跟踪评价报告》</w:t>
      </w:r>
      <w:r>
        <w:rPr>
          <w:rFonts w:hint="eastAsia" w:ascii="Times New Roman" w:hAnsi="Times New Roman" w:cs="Times New Roman"/>
          <w:b w:val="0"/>
          <w:bCs w:val="0"/>
          <w:color w:val="auto"/>
          <w:highlight w:val="none"/>
          <w:lang w:val="en-US" w:eastAsia="zh-CN"/>
        </w:rPr>
        <w:t>《闽侯县国土空间总体规划（</w:t>
      </w:r>
      <w:r>
        <w:rPr>
          <w:rFonts w:hint="default" w:ascii="Times New Roman" w:hAnsi="Times New Roman" w:cs="Times New Roman"/>
          <w:b w:val="0"/>
          <w:bCs w:val="0"/>
          <w:color w:val="auto"/>
          <w:highlight w:val="none"/>
          <w:lang w:val="en-US" w:eastAsia="zh-CN"/>
        </w:rPr>
        <w:t>2021-2035</w:t>
      </w:r>
      <w:r>
        <w:rPr>
          <w:rFonts w:hint="eastAsia" w:ascii="Times New Roman" w:hAnsi="Times New Roman" w:cs="Times New Roman"/>
          <w:b w:val="0"/>
          <w:bCs w:val="0"/>
          <w:color w:val="auto"/>
          <w:highlight w:val="none"/>
          <w:lang w:val="en-US" w:eastAsia="zh-CN"/>
        </w:rPr>
        <w:t>年）》</w:t>
      </w:r>
      <w:r>
        <w:rPr>
          <w:rFonts w:hint="eastAsia"/>
          <w:color w:val="auto"/>
          <w:highlight w:val="none"/>
          <w:lang w:val="en-US" w:eastAsia="zh-CN"/>
        </w:rPr>
        <w:t>《福州市人民政府办公厅关于印发〈福州市生态环境分区管控方案（2023年更新）〉的通知》（榕政办规〔2024〕20号）和《福州市生态环境局关于发布福州市2024年生态环境分区管控动态更新成果的通知》（榕环保综〔2025〕1号）</w:t>
      </w:r>
      <w:r>
        <w:rPr>
          <w:rFonts w:hint="eastAsia"/>
          <w:color w:val="auto"/>
          <w:highlight w:val="none"/>
          <w:lang w:eastAsia="zh-CN"/>
        </w:rPr>
        <w:t>等相关规划</w:t>
      </w:r>
      <w:r>
        <w:rPr>
          <w:color w:val="auto"/>
          <w:highlight w:val="none"/>
        </w:rPr>
        <w:t>及审查意见的要求；在落实各项污染治理措施后，可实现污染物达标排放；污染物排放总量符合总量控制要求，污水水质、水量可以满足</w:t>
      </w:r>
      <w:r>
        <w:rPr>
          <w:rFonts w:hint="eastAsia"/>
          <w:color w:val="auto"/>
          <w:highlight w:val="none"/>
          <w:lang w:eastAsia="zh-CN"/>
        </w:rPr>
        <w:t>青口汽车工业开发区污水处理厂</w:t>
      </w:r>
      <w:r>
        <w:rPr>
          <w:color w:val="auto"/>
          <w:highlight w:val="none"/>
        </w:rPr>
        <w:t>接管要求；项目环境风险能够有效控制。项目建设具有一定的环境经济效益，从环境保护角度考虑，该项目建设可行。</w:t>
      </w:r>
    </w:p>
    <w:p w14:paraId="72B3C8EC">
      <w:pPr>
        <w:pStyle w:val="1336"/>
        <w:ind w:firstLine="480"/>
        <w:rPr>
          <w:color w:val="auto"/>
          <w:highlight w:val="none"/>
        </w:rPr>
        <w:sectPr>
          <w:pgSz w:w="11906" w:h="16838"/>
          <w:pgMar w:top="1418" w:right="1701" w:bottom="158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pPr>
    </w:p>
    <w:p w14:paraId="5D97BCB6">
      <w:pPr>
        <w:pStyle w:val="2"/>
        <w:numPr>
          <w:ilvl w:val="0"/>
          <w:numId w:val="0"/>
        </w:numPr>
        <w:bidi w:val="0"/>
        <w:ind w:leftChars="0"/>
        <w:rPr>
          <w:rFonts w:hint="eastAsia"/>
          <w:color w:val="auto"/>
          <w:highlight w:val="none"/>
        </w:rPr>
      </w:pPr>
      <w:bookmarkStart w:id="1469" w:name="_Toc31080"/>
      <w:bookmarkStart w:id="1470" w:name="_Toc5560"/>
      <w:bookmarkStart w:id="1471" w:name="_Toc26702"/>
      <w:bookmarkStart w:id="1472" w:name="_Toc23078"/>
      <w:bookmarkStart w:id="1473" w:name="_Toc10780"/>
      <w:bookmarkStart w:id="1474" w:name="_Toc17141"/>
      <w:bookmarkStart w:id="1475" w:name="_Toc3527"/>
      <w:bookmarkStart w:id="1476" w:name="_Toc6658"/>
      <w:bookmarkStart w:id="1477" w:name="_Toc2335"/>
      <w:bookmarkStart w:id="1478" w:name="_Toc2730"/>
      <w:r>
        <w:rPr>
          <w:rFonts w:hint="eastAsia" w:eastAsia="宋体"/>
          <w:b/>
          <w:bCs/>
          <w:color w:val="auto"/>
          <w:highlight w:val="none"/>
          <w:lang w:eastAsia="zh-CN"/>
        </w:rPr>
        <w:drawing>
          <wp:anchor distT="0" distB="0" distL="114300" distR="114300" simplePos="0" relativeHeight="251695104" behindDoc="0" locked="0" layoutInCell="1" allowOverlap="1">
            <wp:simplePos x="0" y="0"/>
            <wp:positionH relativeFrom="column">
              <wp:posOffset>-19050</wp:posOffset>
            </wp:positionH>
            <wp:positionV relativeFrom="paragraph">
              <wp:posOffset>342900</wp:posOffset>
            </wp:positionV>
            <wp:extent cx="5600700" cy="7921625"/>
            <wp:effectExtent l="0" t="0" r="0" b="3175"/>
            <wp:wrapNone/>
            <wp:docPr id="369" name="图片 369" descr="附件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附件_07"/>
                    <pic:cNvPicPr>
                      <a:picLocks noChangeAspect="1"/>
                    </pic:cNvPicPr>
                  </pic:nvPicPr>
                  <pic:blipFill>
                    <a:blip r:embed="rId108"/>
                    <a:stretch>
                      <a:fillRect/>
                    </a:stretch>
                  </pic:blipFill>
                  <pic:spPr>
                    <a:xfrm>
                      <a:off x="0" y="0"/>
                      <a:ext cx="5600700" cy="7921625"/>
                    </a:xfrm>
                    <a:prstGeom prst="rect">
                      <a:avLst/>
                    </a:prstGeom>
                  </pic:spPr>
                </pic:pic>
              </a:graphicData>
            </a:graphic>
          </wp:anchor>
        </w:drawing>
      </w:r>
      <w:r>
        <w:rPr>
          <w:rFonts w:hint="eastAsia"/>
          <w:color w:val="auto"/>
          <w:highlight w:val="none"/>
          <w:lang w:val="en-US" w:eastAsia="zh-CN"/>
        </w:rPr>
        <w:t>附件11：</w:t>
      </w:r>
      <w:r>
        <w:rPr>
          <w:rFonts w:hint="eastAsia"/>
          <w:color w:val="auto"/>
          <w:highlight w:val="none"/>
        </w:rPr>
        <w:t>报件材料</w:t>
      </w:r>
      <w:bookmarkEnd w:id="1469"/>
      <w:bookmarkEnd w:id="1470"/>
      <w:bookmarkEnd w:id="1471"/>
      <w:bookmarkEnd w:id="1472"/>
      <w:bookmarkEnd w:id="1473"/>
      <w:bookmarkEnd w:id="1474"/>
      <w:bookmarkEnd w:id="1475"/>
      <w:bookmarkEnd w:id="1476"/>
      <w:bookmarkEnd w:id="1477"/>
      <w:bookmarkEnd w:id="1478"/>
    </w:p>
    <w:p w14:paraId="42510761">
      <w:pPr>
        <w:pStyle w:val="1453"/>
        <w:ind w:left="0" w:leftChars="0"/>
        <w:outlineLvl w:val="9"/>
        <w:rPr>
          <w:rFonts w:hint="eastAsia" w:eastAsia="宋体"/>
          <w:b/>
          <w:bCs/>
          <w:color w:val="auto"/>
          <w:highlight w:val="none"/>
          <w:lang w:eastAsia="zh-CN"/>
        </w:rPr>
      </w:pPr>
    </w:p>
    <w:p w14:paraId="47FA91D8">
      <w:pPr>
        <w:pStyle w:val="1453"/>
        <w:ind w:left="0" w:leftChars="0" w:firstLine="0" w:firstLineChars="0"/>
        <w:jc w:val="center"/>
        <w:outlineLvl w:val="9"/>
        <w:rPr>
          <w:rFonts w:hint="eastAsia" w:eastAsia="宋体"/>
          <w:b/>
          <w:bCs/>
          <w:color w:val="auto"/>
          <w:sz w:val="40"/>
          <w:szCs w:val="40"/>
          <w:highlight w:val="none"/>
        </w:rPr>
      </w:pPr>
      <w:r>
        <w:rPr>
          <w:rFonts w:hint="eastAsia" w:eastAsia="宋体"/>
          <w:b/>
          <w:bCs/>
          <w:color w:val="auto"/>
          <w:sz w:val="40"/>
          <w:szCs w:val="40"/>
          <w:highlight w:val="none"/>
        </w:rPr>
        <w:t>关于环评文件公开文本删除的涉及国家秘密、商业秘密等内容的删除依据和理由说明</w:t>
      </w:r>
    </w:p>
    <w:p w14:paraId="33A13CE8">
      <w:pPr>
        <w:pStyle w:val="1453"/>
        <w:ind w:left="0" w:leftChars="0"/>
        <w:jc w:val="center"/>
        <w:outlineLvl w:val="9"/>
        <w:rPr>
          <w:rFonts w:hint="eastAsia" w:eastAsia="宋体"/>
          <w:b/>
          <w:bCs/>
          <w:color w:val="auto"/>
          <w:sz w:val="40"/>
          <w:szCs w:val="40"/>
          <w:highlight w:val="none"/>
        </w:rPr>
      </w:pPr>
    </w:p>
    <w:p w14:paraId="33D1A757">
      <w:pPr>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color w:val="auto"/>
          <w:highlight w:val="none"/>
        </w:rPr>
      </w:pPr>
      <w:r>
        <w:rPr>
          <w:rFonts w:hint="eastAsia"/>
          <w:color w:val="auto"/>
          <w:highlight w:val="none"/>
          <w:lang w:eastAsia="zh-CN"/>
        </w:rPr>
        <w:t>福州市生态环境局</w:t>
      </w:r>
      <w:r>
        <w:rPr>
          <w:rFonts w:hint="eastAsia"/>
          <w:color w:val="auto"/>
          <w:highlight w:val="none"/>
        </w:rPr>
        <w:t>：</w:t>
      </w:r>
    </w:p>
    <w:p w14:paraId="6C4B94A8">
      <w:pPr>
        <w:keepNext w:val="0"/>
        <w:keepLines w:val="0"/>
        <w:pageBreakBefore w:val="0"/>
        <w:widowControl w:val="0"/>
        <w:kinsoku/>
        <w:wordWrap/>
        <w:overflowPunct/>
        <w:topLinePunct w:val="0"/>
        <w:autoSpaceDE/>
        <w:autoSpaceDN/>
        <w:bidi w:val="0"/>
        <w:adjustRightInd/>
        <w:snapToGrid/>
        <w:spacing w:line="480" w:lineRule="auto"/>
        <w:textAlignment w:val="auto"/>
        <w:rPr>
          <w:color w:val="auto"/>
          <w:highlight w:val="none"/>
        </w:rPr>
      </w:pPr>
      <w:r>
        <w:rPr>
          <w:rFonts w:hint="eastAsia"/>
          <w:color w:val="auto"/>
          <w:highlight w:val="none"/>
        </w:rPr>
        <w:t>我司</w:t>
      </w:r>
      <w:r>
        <w:rPr>
          <w:rFonts w:hint="eastAsia"/>
          <w:color w:val="auto"/>
          <w:highlight w:val="none"/>
          <w:lang w:eastAsia="zh-CN"/>
        </w:rPr>
        <w:t>福州日源汽车零部件加工生产项目</w:t>
      </w:r>
      <w:r>
        <w:rPr>
          <w:rFonts w:hint="eastAsia"/>
          <w:color w:val="auto"/>
          <w:highlight w:val="none"/>
        </w:rPr>
        <w:t>已完成</w:t>
      </w:r>
      <w:r>
        <w:rPr>
          <w:rFonts w:hint="eastAsia"/>
          <w:color w:val="auto"/>
          <w:highlight w:val="none"/>
          <w:lang w:val="en-US" w:eastAsia="zh-CN"/>
        </w:rPr>
        <w:t>生态</w:t>
      </w:r>
      <w:r>
        <w:rPr>
          <w:rFonts w:hint="eastAsia"/>
          <w:color w:val="auto"/>
          <w:highlight w:val="none"/>
          <w:lang w:eastAsia="zh-CN"/>
        </w:rPr>
        <w:t>环境影响报告书</w:t>
      </w:r>
      <w:r>
        <w:rPr>
          <w:rFonts w:hint="eastAsia"/>
          <w:color w:val="auto"/>
          <w:highlight w:val="none"/>
        </w:rPr>
        <w:t>编制，现报送贵局审批。我司已删除涉及国家秘密、商业秘密、个人隐私等内容（具体删除内容、删除依据详见附件）。报送贵局的</w:t>
      </w:r>
      <w:r>
        <w:rPr>
          <w:rFonts w:hint="eastAsia"/>
          <w:color w:val="auto"/>
          <w:highlight w:val="none"/>
          <w:lang w:eastAsia="zh-CN"/>
        </w:rPr>
        <w:t>环境影响评价报告书</w:t>
      </w:r>
      <w:r>
        <w:rPr>
          <w:rFonts w:hint="eastAsia"/>
          <w:color w:val="auto"/>
          <w:highlight w:val="none"/>
        </w:rPr>
        <w:t>公开文本已经我司审核，我司同意对《</w:t>
      </w:r>
      <w:r>
        <w:rPr>
          <w:rFonts w:hint="eastAsia"/>
          <w:color w:val="auto"/>
          <w:highlight w:val="none"/>
          <w:lang w:eastAsia="zh-CN"/>
        </w:rPr>
        <w:t>福州日源汽车零部件加工生产项目</w:t>
      </w:r>
      <w:r>
        <w:rPr>
          <w:rFonts w:hint="eastAsia"/>
          <w:color w:val="auto"/>
          <w:highlight w:val="none"/>
          <w:lang w:val="en-US" w:eastAsia="zh-CN"/>
        </w:rPr>
        <w:t>生态</w:t>
      </w:r>
      <w:r>
        <w:rPr>
          <w:rFonts w:hint="eastAsia"/>
          <w:color w:val="auto"/>
          <w:highlight w:val="none"/>
          <w:lang w:eastAsia="zh-CN"/>
        </w:rPr>
        <w:t>环境影响报告书</w:t>
      </w:r>
      <w:r>
        <w:rPr>
          <w:rFonts w:hint="eastAsia"/>
          <w:color w:val="auto"/>
          <w:highlight w:val="none"/>
        </w:rPr>
        <w:t>》公开文本全文进行公示，特此声明。</w:t>
      </w:r>
    </w:p>
    <w:p w14:paraId="254EEC09">
      <w:pPr>
        <w:keepNext w:val="0"/>
        <w:keepLines w:val="0"/>
        <w:pageBreakBefore w:val="0"/>
        <w:widowControl w:val="0"/>
        <w:kinsoku/>
        <w:wordWrap/>
        <w:overflowPunct/>
        <w:topLinePunct w:val="0"/>
        <w:autoSpaceDE/>
        <w:autoSpaceDN/>
        <w:bidi w:val="0"/>
        <w:adjustRightInd/>
        <w:snapToGrid/>
        <w:spacing w:line="480" w:lineRule="auto"/>
        <w:textAlignment w:val="auto"/>
        <w:rPr>
          <w:color w:val="auto"/>
          <w:highlight w:val="none"/>
        </w:rPr>
      </w:pPr>
      <w:r>
        <w:rPr>
          <w:rFonts w:hint="eastAsia"/>
          <w:color w:val="auto"/>
          <w:highlight w:val="none"/>
        </w:rPr>
        <w:t>附件：关于</w:t>
      </w:r>
      <w:r>
        <w:rPr>
          <w:rFonts w:hint="eastAsia"/>
          <w:color w:val="auto"/>
          <w:highlight w:val="none"/>
          <w:lang w:eastAsia="zh-CN"/>
        </w:rPr>
        <w:t>福州日源汽车零部件加工生产项目</w:t>
      </w:r>
      <w:r>
        <w:rPr>
          <w:rFonts w:hint="eastAsia"/>
          <w:color w:val="auto"/>
          <w:highlight w:val="none"/>
          <w:lang w:val="en-US" w:eastAsia="zh-CN"/>
        </w:rPr>
        <w:t>生态</w:t>
      </w:r>
      <w:r>
        <w:rPr>
          <w:rFonts w:hint="eastAsia"/>
          <w:color w:val="auto"/>
          <w:highlight w:val="none"/>
          <w:lang w:eastAsia="zh-CN"/>
        </w:rPr>
        <w:t>环境影响报告书</w:t>
      </w:r>
      <w:r>
        <w:rPr>
          <w:rFonts w:hint="eastAsia"/>
          <w:color w:val="auto"/>
          <w:highlight w:val="none"/>
        </w:rPr>
        <w:t>公开文本删除内容、删除依据的说明</w:t>
      </w:r>
    </w:p>
    <w:p w14:paraId="2777200B">
      <w:pPr>
        <w:pStyle w:val="1453"/>
        <w:spacing w:line="480" w:lineRule="auto"/>
        <w:ind w:left="0" w:leftChars="0" w:firstLine="482" w:firstLineChars="200"/>
        <w:outlineLvl w:val="9"/>
        <w:rPr>
          <w:rFonts w:eastAsia="宋体"/>
          <w:color w:val="auto"/>
          <w:sz w:val="24"/>
          <w:szCs w:val="24"/>
          <w:highlight w:val="none"/>
        </w:rPr>
      </w:pPr>
    </w:p>
    <w:p w14:paraId="2B543A15">
      <w:pPr>
        <w:tabs>
          <w:tab w:val="left" w:pos="5920"/>
        </w:tabs>
        <w:spacing w:line="480" w:lineRule="auto"/>
        <w:jc w:val="right"/>
        <w:rPr>
          <w:color w:val="auto"/>
          <w:highlight w:val="none"/>
        </w:rPr>
      </w:pPr>
      <w:r>
        <w:rPr>
          <w:rFonts w:hint="eastAsia"/>
          <w:color w:val="auto"/>
          <w:highlight w:val="none"/>
        </w:rPr>
        <w:t>单位盖章</w:t>
      </w:r>
    </w:p>
    <w:p w14:paraId="5C62D598">
      <w:pPr>
        <w:tabs>
          <w:tab w:val="left" w:pos="5920"/>
        </w:tabs>
        <w:spacing w:line="480" w:lineRule="auto"/>
        <w:jc w:val="right"/>
        <w:rPr>
          <w:color w:val="auto"/>
          <w:highlight w:val="none"/>
        </w:rPr>
      </w:pP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25</w:t>
      </w:r>
      <w:r>
        <w:rPr>
          <w:rFonts w:hint="eastAsia"/>
          <w:color w:val="auto"/>
          <w:highlight w:val="none"/>
        </w:rPr>
        <w:t>日</w:t>
      </w:r>
    </w:p>
    <w:p w14:paraId="2C684D60">
      <w:pPr>
        <w:tabs>
          <w:tab w:val="left" w:pos="5920"/>
        </w:tabs>
        <w:jc w:val="center"/>
        <w:rPr>
          <w:b/>
          <w:bCs/>
          <w:color w:val="auto"/>
          <w:sz w:val="28"/>
          <w:szCs w:val="28"/>
          <w:highlight w:val="none"/>
        </w:rPr>
      </w:pPr>
    </w:p>
    <w:p w14:paraId="58C1318B">
      <w:pPr>
        <w:tabs>
          <w:tab w:val="left" w:pos="5920"/>
        </w:tabs>
        <w:jc w:val="center"/>
        <w:rPr>
          <w:b/>
          <w:bCs/>
          <w:color w:val="auto"/>
          <w:sz w:val="28"/>
          <w:szCs w:val="28"/>
          <w:highlight w:val="none"/>
        </w:rPr>
      </w:pPr>
    </w:p>
    <w:p w14:paraId="7ABAE9AC">
      <w:pPr>
        <w:tabs>
          <w:tab w:val="left" w:pos="5920"/>
        </w:tabs>
        <w:jc w:val="center"/>
        <w:rPr>
          <w:b/>
          <w:bCs/>
          <w:color w:val="auto"/>
          <w:sz w:val="28"/>
          <w:szCs w:val="28"/>
          <w:highlight w:val="none"/>
        </w:rPr>
      </w:pPr>
    </w:p>
    <w:p w14:paraId="3F75BAB2">
      <w:pPr>
        <w:tabs>
          <w:tab w:val="left" w:pos="5920"/>
        </w:tabs>
        <w:jc w:val="center"/>
        <w:rPr>
          <w:b/>
          <w:bCs/>
          <w:color w:val="auto"/>
          <w:sz w:val="28"/>
          <w:szCs w:val="28"/>
          <w:highlight w:val="none"/>
        </w:rPr>
      </w:pPr>
    </w:p>
    <w:p w14:paraId="17478EB9">
      <w:pPr>
        <w:tabs>
          <w:tab w:val="left" w:pos="5920"/>
        </w:tabs>
        <w:jc w:val="center"/>
        <w:rPr>
          <w:b/>
          <w:bCs/>
          <w:color w:val="auto"/>
          <w:sz w:val="28"/>
          <w:szCs w:val="28"/>
          <w:highlight w:val="none"/>
        </w:rPr>
      </w:pPr>
    </w:p>
    <w:p w14:paraId="351B0283">
      <w:pPr>
        <w:tabs>
          <w:tab w:val="left" w:pos="5920"/>
        </w:tabs>
        <w:jc w:val="center"/>
        <w:rPr>
          <w:b/>
          <w:bCs/>
          <w:color w:val="auto"/>
          <w:sz w:val="28"/>
          <w:szCs w:val="28"/>
          <w:highlight w:val="none"/>
        </w:rPr>
      </w:pPr>
    </w:p>
    <w:p w14:paraId="251FD8E5">
      <w:pPr>
        <w:tabs>
          <w:tab w:val="left" w:pos="5920"/>
        </w:tabs>
        <w:jc w:val="center"/>
        <w:rPr>
          <w:b/>
          <w:bCs/>
          <w:color w:val="auto"/>
          <w:sz w:val="28"/>
          <w:szCs w:val="28"/>
          <w:highlight w:val="none"/>
        </w:rPr>
      </w:pPr>
    </w:p>
    <w:p w14:paraId="24255385">
      <w:pPr>
        <w:tabs>
          <w:tab w:val="left" w:pos="5920"/>
        </w:tabs>
        <w:ind w:left="0" w:leftChars="0" w:firstLine="0" w:firstLineChars="0"/>
        <w:rPr>
          <w:b/>
          <w:bCs/>
          <w:color w:val="auto"/>
          <w:sz w:val="28"/>
          <w:szCs w:val="28"/>
          <w:highlight w:val="none"/>
        </w:rPr>
      </w:pPr>
      <w:r>
        <w:rPr>
          <w:rFonts w:hint="eastAsia"/>
          <w:b/>
          <w:bCs/>
          <w:color w:val="auto"/>
          <w:sz w:val="28"/>
          <w:szCs w:val="28"/>
          <w:highlight w:val="none"/>
        </w:rPr>
        <w:drawing>
          <wp:anchor distT="0" distB="0" distL="114300" distR="114300" simplePos="0" relativeHeight="251696128" behindDoc="0" locked="0" layoutInCell="1" allowOverlap="1">
            <wp:simplePos x="0" y="0"/>
            <wp:positionH relativeFrom="column">
              <wp:posOffset>0</wp:posOffset>
            </wp:positionH>
            <wp:positionV relativeFrom="paragraph">
              <wp:posOffset>635</wp:posOffset>
            </wp:positionV>
            <wp:extent cx="5601335" cy="7921625"/>
            <wp:effectExtent l="0" t="0" r="18415" b="3175"/>
            <wp:wrapNone/>
            <wp:docPr id="370" name="图片 370" descr="附件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descr="附件_05"/>
                    <pic:cNvPicPr>
                      <a:picLocks noChangeAspect="1"/>
                    </pic:cNvPicPr>
                  </pic:nvPicPr>
                  <pic:blipFill>
                    <a:blip r:embed="rId109"/>
                    <a:stretch>
                      <a:fillRect/>
                    </a:stretch>
                  </pic:blipFill>
                  <pic:spPr>
                    <a:xfrm>
                      <a:off x="0" y="0"/>
                      <a:ext cx="5601335" cy="7921625"/>
                    </a:xfrm>
                    <a:prstGeom prst="rect">
                      <a:avLst/>
                    </a:prstGeom>
                  </pic:spPr>
                </pic:pic>
              </a:graphicData>
            </a:graphic>
          </wp:anchor>
        </w:drawing>
      </w:r>
      <w:r>
        <w:rPr>
          <w:rFonts w:hint="eastAsia"/>
          <w:b/>
          <w:bCs/>
          <w:color w:val="auto"/>
          <w:sz w:val="28"/>
          <w:szCs w:val="28"/>
          <w:highlight w:val="none"/>
        </w:rPr>
        <w:t>附件：</w:t>
      </w:r>
    </w:p>
    <w:p w14:paraId="7DCFF316">
      <w:pPr>
        <w:tabs>
          <w:tab w:val="left" w:pos="5920"/>
        </w:tabs>
        <w:ind w:left="0" w:leftChars="0" w:firstLine="0" w:firstLineChars="0"/>
        <w:jc w:val="center"/>
        <w:rPr>
          <w:b/>
          <w:bCs/>
          <w:color w:val="auto"/>
          <w:sz w:val="28"/>
          <w:szCs w:val="28"/>
          <w:highlight w:val="none"/>
        </w:rPr>
      </w:pPr>
      <w:r>
        <w:rPr>
          <w:rFonts w:hint="eastAsia"/>
          <w:b/>
          <w:bCs/>
          <w:color w:val="auto"/>
          <w:sz w:val="28"/>
          <w:szCs w:val="28"/>
          <w:highlight w:val="none"/>
        </w:rPr>
        <w:t>关于</w:t>
      </w:r>
      <w:r>
        <w:rPr>
          <w:rFonts w:hint="eastAsia"/>
          <w:b/>
          <w:bCs/>
          <w:color w:val="auto"/>
          <w:sz w:val="28"/>
          <w:szCs w:val="28"/>
          <w:highlight w:val="none"/>
          <w:lang w:eastAsia="zh-CN"/>
        </w:rPr>
        <w:t>福州日源汽车零部件加工生产项目</w:t>
      </w:r>
      <w:r>
        <w:rPr>
          <w:rFonts w:hint="eastAsia"/>
          <w:b/>
          <w:bCs/>
          <w:color w:val="auto"/>
          <w:sz w:val="28"/>
          <w:szCs w:val="28"/>
          <w:highlight w:val="none"/>
          <w:lang w:val="en-US" w:eastAsia="zh-CN"/>
        </w:rPr>
        <w:t>生态</w:t>
      </w:r>
      <w:r>
        <w:rPr>
          <w:rFonts w:hint="eastAsia"/>
          <w:b/>
          <w:bCs/>
          <w:color w:val="auto"/>
          <w:sz w:val="28"/>
          <w:szCs w:val="28"/>
          <w:highlight w:val="none"/>
          <w:lang w:eastAsia="zh-CN"/>
        </w:rPr>
        <w:t>环境影响报告书</w:t>
      </w:r>
      <w:r>
        <w:rPr>
          <w:rFonts w:hint="eastAsia"/>
          <w:b/>
          <w:bCs/>
          <w:color w:val="auto"/>
          <w:sz w:val="28"/>
          <w:szCs w:val="28"/>
          <w:highlight w:val="none"/>
        </w:rPr>
        <w:t>公开文本删除内容、删除依据的说明</w:t>
      </w:r>
    </w:p>
    <w:p w14:paraId="4D5AD989">
      <w:pPr>
        <w:tabs>
          <w:tab w:val="left" w:pos="5920"/>
        </w:tabs>
        <w:spacing w:line="480" w:lineRule="auto"/>
        <w:ind w:firstLine="480" w:firstLineChars="200"/>
        <w:rPr>
          <w:color w:val="auto"/>
          <w:highlight w:val="none"/>
        </w:rPr>
      </w:pPr>
    </w:p>
    <w:p w14:paraId="4CBDCD85">
      <w:pPr>
        <w:tabs>
          <w:tab w:val="left" w:pos="5920"/>
        </w:tabs>
        <w:spacing w:line="480" w:lineRule="auto"/>
        <w:ind w:firstLine="480" w:firstLineChars="200"/>
        <w:rPr>
          <w:color w:val="auto"/>
          <w:highlight w:val="none"/>
        </w:rPr>
      </w:pPr>
      <w:r>
        <w:rPr>
          <w:rFonts w:hint="eastAsia"/>
          <w:color w:val="auto"/>
          <w:highlight w:val="none"/>
        </w:rPr>
        <w:t>我司</w:t>
      </w:r>
      <w:r>
        <w:rPr>
          <w:rFonts w:hint="eastAsia"/>
          <w:color w:val="auto"/>
          <w:highlight w:val="none"/>
          <w:lang w:eastAsia="zh-CN"/>
        </w:rPr>
        <w:t>福州日源汽车零部件加工生产项目</w:t>
      </w:r>
      <w:r>
        <w:rPr>
          <w:rFonts w:hint="eastAsia"/>
          <w:color w:val="auto"/>
          <w:highlight w:val="none"/>
          <w:lang w:val="en-US" w:eastAsia="zh-CN"/>
        </w:rPr>
        <w:t>生态</w:t>
      </w:r>
      <w:r>
        <w:rPr>
          <w:rFonts w:hint="eastAsia"/>
          <w:color w:val="auto"/>
          <w:highlight w:val="none"/>
          <w:lang w:eastAsia="zh-CN"/>
        </w:rPr>
        <w:t>环境影响报告书</w:t>
      </w:r>
      <w:r>
        <w:rPr>
          <w:rFonts w:hint="eastAsia"/>
          <w:color w:val="auto"/>
          <w:highlight w:val="none"/>
        </w:rPr>
        <w:t>部分内容涉及国家秘密、商业秘密、个人隐私等内容，我司删除了</w:t>
      </w:r>
      <w:r>
        <w:rPr>
          <w:rFonts w:hint="eastAsia"/>
          <w:color w:val="auto"/>
          <w:highlight w:val="none"/>
          <w:lang w:val="en-US" w:eastAsia="zh-CN"/>
        </w:rPr>
        <w:t>生态</w:t>
      </w:r>
      <w:r>
        <w:rPr>
          <w:rFonts w:hint="eastAsia"/>
          <w:color w:val="auto"/>
          <w:highlight w:val="none"/>
          <w:lang w:eastAsia="zh-CN"/>
        </w:rPr>
        <w:t>环境影响报告书</w:t>
      </w:r>
      <w:r>
        <w:rPr>
          <w:rFonts w:hint="eastAsia"/>
          <w:color w:val="auto"/>
          <w:highlight w:val="none"/>
        </w:rPr>
        <w:t>中相应内容具体删除内容和删除依据如下：</w:t>
      </w:r>
    </w:p>
    <w:p w14:paraId="568268FB">
      <w:pPr>
        <w:tabs>
          <w:tab w:val="left" w:pos="5920"/>
        </w:tabs>
        <w:spacing w:line="480" w:lineRule="auto"/>
        <w:ind w:firstLine="480" w:firstLineChars="200"/>
        <w:rPr>
          <w:color w:val="auto"/>
          <w:highlight w:val="none"/>
        </w:rPr>
      </w:pPr>
      <w:r>
        <w:rPr>
          <w:rFonts w:hint="eastAsia"/>
          <w:color w:val="auto"/>
          <w:highlight w:val="none"/>
        </w:rPr>
        <w:t>1、删除附图、附件部分，删除理由：涉及商业秘密及个人隐私；</w:t>
      </w:r>
    </w:p>
    <w:p w14:paraId="22E40479">
      <w:pPr>
        <w:tabs>
          <w:tab w:val="left" w:pos="5920"/>
        </w:tabs>
        <w:spacing w:line="480" w:lineRule="auto"/>
        <w:ind w:firstLine="480" w:firstLineChars="200"/>
        <w:rPr>
          <w:color w:val="auto"/>
          <w:highlight w:val="none"/>
        </w:rPr>
      </w:pPr>
      <w:r>
        <w:rPr>
          <w:rFonts w:hint="eastAsia"/>
          <w:color w:val="auto"/>
          <w:highlight w:val="none"/>
        </w:rPr>
        <w:t>2、删除建设单位联系方式，删除理由：涉及个人隐私；</w:t>
      </w:r>
    </w:p>
    <w:p w14:paraId="16F71A30">
      <w:pPr>
        <w:tabs>
          <w:tab w:val="left" w:pos="5920"/>
        </w:tabs>
        <w:spacing w:line="480" w:lineRule="auto"/>
        <w:ind w:firstLine="480" w:firstLineChars="200"/>
        <w:rPr>
          <w:color w:val="auto"/>
          <w:highlight w:val="none"/>
        </w:rPr>
      </w:pPr>
      <w:r>
        <w:rPr>
          <w:rFonts w:hint="eastAsia"/>
          <w:color w:val="auto"/>
          <w:highlight w:val="none"/>
        </w:rPr>
        <w:t>3、删除项目编制单位统一社会信用代码及编制主持人证书编号、信用编号等，删除理由：涉及商业秘密及个人隐私。</w:t>
      </w:r>
    </w:p>
    <w:p w14:paraId="74C9094A">
      <w:pPr>
        <w:tabs>
          <w:tab w:val="left" w:pos="5920"/>
        </w:tabs>
        <w:spacing w:line="480" w:lineRule="auto"/>
        <w:ind w:firstLine="480" w:firstLineChars="200"/>
        <w:rPr>
          <w:color w:val="auto"/>
          <w:highlight w:val="none"/>
        </w:rPr>
      </w:pPr>
    </w:p>
    <w:p w14:paraId="06A57AFA">
      <w:pPr>
        <w:tabs>
          <w:tab w:val="left" w:pos="5920"/>
        </w:tabs>
        <w:spacing w:line="480" w:lineRule="auto"/>
        <w:ind w:firstLine="480" w:firstLineChars="200"/>
        <w:rPr>
          <w:color w:val="auto"/>
          <w:highlight w:val="none"/>
        </w:rPr>
      </w:pPr>
    </w:p>
    <w:p w14:paraId="10FB122C">
      <w:pPr>
        <w:tabs>
          <w:tab w:val="left" w:pos="5920"/>
        </w:tabs>
        <w:spacing w:line="480" w:lineRule="auto"/>
        <w:jc w:val="right"/>
        <w:rPr>
          <w:color w:val="auto"/>
          <w:highlight w:val="none"/>
        </w:rPr>
      </w:pPr>
      <w:r>
        <w:rPr>
          <w:rFonts w:hint="eastAsia"/>
          <w:color w:val="auto"/>
          <w:highlight w:val="none"/>
        </w:rPr>
        <w:t>单位盖章</w:t>
      </w:r>
    </w:p>
    <w:p w14:paraId="2FDC8825">
      <w:pPr>
        <w:tabs>
          <w:tab w:val="left" w:pos="5920"/>
        </w:tabs>
        <w:spacing w:line="480" w:lineRule="auto"/>
        <w:jc w:val="right"/>
        <w:rPr>
          <w:color w:val="auto"/>
          <w:highlight w:val="none"/>
        </w:rPr>
      </w:pP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25</w:t>
      </w:r>
      <w:r>
        <w:rPr>
          <w:rFonts w:hint="eastAsia"/>
          <w:color w:val="auto"/>
          <w:highlight w:val="none"/>
        </w:rPr>
        <w:t>日</w:t>
      </w:r>
    </w:p>
    <w:p w14:paraId="31CAE113">
      <w:pPr>
        <w:tabs>
          <w:tab w:val="left" w:pos="5920"/>
        </w:tabs>
        <w:jc w:val="right"/>
        <w:rPr>
          <w:color w:val="auto"/>
          <w:highlight w:val="none"/>
        </w:rPr>
        <w:sectPr>
          <w:pgSz w:w="11906" w:h="16838"/>
          <w:pgMar w:top="1418" w:right="1531" w:bottom="1701" w:left="1531" w:header="851" w:footer="851" w:gutter="0"/>
          <w:pgBorders w:offsetFrom="page">
            <w:top w:val="none" w:sz="0" w:space="0"/>
            <w:left w:val="none" w:sz="0" w:space="0"/>
            <w:bottom w:val="none" w:sz="0" w:space="0"/>
            <w:right w:val="none" w:sz="0" w:space="0"/>
          </w:pgBorders>
          <w:pgNumType w:fmt="decimal"/>
          <w:cols w:space="720" w:num="1"/>
          <w:docGrid w:linePitch="312" w:charSpace="0"/>
        </w:sectPr>
      </w:pPr>
    </w:p>
    <w:p w14:paraId="1A44FC65">
      <w:pPr>
        <w:tabs>
          <w:tab w:val="left" w:pos="5920"/>
        </w:tabs>
        <w:spacing w:line="480" w:lineRule="auto"/>
        <w:ind w:left="0" w:leftChars="0" w:firstLine="0" w:firstLineChars="0"/>
        <w:jc w:val="center"/>
        <w:rPr>
          <w:b/>
          <w:bCs/>
          <w:color w:val="auto"/>
          <w:sz w:val="40"/>
          <w:szCs w:val="40"/>
          <w:highlight w:val="none"/>
        </w:rPr>
      </w:pPr>
      <w:r>
        <w:rPr>
          <w:b/>
          <w:bCs/>
          <w:color w:val="auto"/>
          <w:sz w:val="40"/>
          <w:szCs w:val="40"/>
          <w:highlight w:val="none"/>
        </w:rPr>
        <w:drawing>
          <wp:anchor distT="0" distB="0" distL="114300" distR="114300" simplePos="0" relativeHeight="251697152" behindDoc="0" locked="0" layoutInCell="1" allowOverlap="1">
            <wp:simplePos x="0" y="0"/>
            <wp:positionH relativeFrom="column">
              <wp:posOffset>0</wp:posOffset>
            </wp:positionH>
            <wp:positionV relativeFrom="paragraph">
              <wp:posOffset>635</wp:posOffset>
            </wp:positionV>
            <wp:extent cx="5601335" cy="7921625"/>
            <wp:effectExtent l="0" t="0" r="18415" b="3175"/>
            <wp:wrapNone/>
            <wp:docPr id="371" name="图片 371" descr="附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附件_02"/>
                    <pic:cNvPicPr>
                      <a:picLocks noChangeAspect="1"/>
                    </pic:cNvPicPr>
                  </pic:nvPicPr>
                  <pic:blipFill>
                    <a:blip r:embed="rId110"/>
                    <a:stretch>
                      <a:fillRect/>
                    </a:stretch>
                  </pic:blipFill>
                  <pic:spPr>
                    <a:xfrm>
                      <a:off x="0" y="0"/>
                      <a:ext cx="5601335" cy="7921625"/>
                    </a:xfrm>
                    <a:prstGeom prst="rect">
                      <a:avLst/>
                    </a:prstGeom>
                  </pic:spPr>
                </pic:pic>
              </a:graphicData>
            </a:graphic>
          </wp:anchor>
        </w:drawing>
      </w:r>
      <w:r>
        <w:rPr>
          <w:b/>
          <w:bCs/>
          <w:color w:val="auto"/>
          <w:sz w:val="40"/>
          <w:szCs w:val="40"/>
          <w:highlight w:val="none"/>
        </w:rPr>
        <w:t>申请环评批复报告</w:t>
      </w:r>
    </w:p>
    <w:p w14:paraId="533398A3">
      <w:pPr>
        <w:tabs>
          <w:tab w:val="left" w:pos="5920"/>
        </w:tabs>
        <w:spacing w:line="480" w:lineRule="auto"/>
        <w:ind w:left="0" w:leftChars="0" w:firstLine="0" w:firstLineChars="0"/>
        <w:rPr>
          <w:color w:val="auto"/>
          <w:highlight w:val="none"/>
        </w:rPr>
      </w:pPr>
      <w:r>
        <w:rPr>
          <w:rFonts w:hint="eastAsia"/>
          <w:color w:val="auto"/>
          <w:highlight w:val="none"/>
          <w:lang w:eastAsia="zh-CN"/>
        </w:rPr>
        <w:t>福州市生态环境局</w:t>
      </w:r>
      <w:r>
        <w:rPr>
          <w:rFonts w:hint="eastAsia"/>
          <w:color w:val="auto"/>
          <w:highlight w:val="none"/>
        </w:rPr>
        <w:t>：</w:t>
      </w:r>
    </w:p>
    <w:p w14:paraId="021B235D">
      <w:pPr>
        <w:tabs>
          <w:tab w:val="left" w:pos="5920"/>
        </w:tabs>
        <w:spacing w:line="480" w:lineRule="auto"/>
        <w:ind w:firstLine="480" w:firstLineChars="200"/>
        <w:rPr>
          <w:color w:val="auto"/>
          <w:highlight w:val="none"/>
        </w:rPr>
      </w:pPr>
      <w:r>
        <w:rPr>
          <w:rFonts w:hint="eastAsia"/>
          <w:color w:val="auto"/>
          <w:highlight w:val="none"/>
        </w:rPr>
        <w:t>我单位申请</w:t>
      </w:r>
      <w:r>
        <w:rPr>
          <w:rFonts w:hint="eastAsia"/>
          <w:color w:val="auto"/>
          <w:highlight w:val="none"/>
          <w:u w:val="single"/>
          <w:lang w:eastAsia="zh-CN"/>
        </w:rPr>
        <w:t>福州日源汽车零部件加工生产项目</w:t>
      </w:r>
      <w:r>
        <w:rPr>
          <w:rFonts w:hint="eastAsia"/>
          <w:color w:val="auto"/>
          <w:highlight w:val="none"/>
        </w:rPr>
        <w:t>环评文件审批，选址于</w:t>
      </w:r>
      <w:r>
        <w:rPr>
          <w:rFonts w:hint="eastAsia"/>
          <w:color w:val="auto"/>
          <w:highlight w:val="none"/>
          <w:u w:val="single"/>
          <w:lang w:eastAsia="zh-CN"/>
        </w:rPr>
        <w:t>福建省福州市闽侯县青口镇祥宏南路1366号办公楼、A库厂房、B库厂房</w:t>
      </w:r>
      <w:r>
        <w:rPr>
          <w:rFonts w:hint="eastAsia"/>
          <w:color w:val="auto"/>
          <w:highlight w:val="none"/>
          <w:u w:val="single"/>
        </w:rPr>
        <w:t>。</w:t>
      </w:r>
      <w:r>
        <w:rPr>
          <w:rFonts w:hint="eastAsia"/>
          <w:color w:val="auto"/>
          <w:highlight w:val="none"/>
        </w:rPr>
        <w:t>建设规模：</w:t>
      </w:r>
      <w:r>
        <w:rPr>
          <w:rFonts w:hint="eastAsia"/>
          <w:color w:val="auto"/>
          <w:highlight w:val="none"/>
          <w:u w:val="single"/>
        </w:rPr>
        <w:t>项目拟总投资</w:t>
      </w:r>
      <w:r>
        <w:rPr>
          <w:rFonts w:hint="eastAsia"/>
          <w:color w:val="auto"/>
          <w:highlight w:val="none"/>
          <w:u w:val="single"/>
          <w:lang w:val="en-US" w:eastAsia="zh-CN"/>
        </w:rPr>
        <w:t>1000</w:t>
      </w:r>
      <w:r>
        <w:rPr>
          <w:rFonts w:hint="eastAsia"/>
          <w:color w:val="auto"/>
          <w:highlight w:val="none"/>
          <w:u w:val="single"/>
        </w:rPr>
        <w:t>万元，</w:t>
      </w:r>
      <w:r>
        <w:rPr>
          <w:rFonts w:hint="eastAsia" w:eastAsia="宋体"/>
          <w:color w:val="auto"/>
          <w:highlight w:val="none"/>
          <w:u w:val="single"/>
          <w:lang w:val="en-US" w:eastAsia="zh-CN"/>
        </w:rPr>
        <w:t>总</w:t>
      </w:r>
      <w:r>
        <w:rPr>
          <w:rFonts w:hint="eastAsia"/>
          <w:color w:val="auto"/>
          <w:highlight w:val="none"/>
          <w:u w:val="single"/>
          <w:lang w:val="en-US" w:eastAsia="zh-CN"/>
        </w:rPr>
        <w:t>建筑</w:t>
      </w:r>
      <w:r>
        <w:rPr>
          <w:rFonts w:hint="eastAsia" w:eastAsia="宋体"/>
          <w:color w:val="auto"/>
          <w:highlight w:val="none"/>
          <w:u w:val="single"/>
          <w:lang w:val="en-US" w:eastAsia="zh-CN"/>
        </w:rPr>
        <w:t>面积</w:t>
      </w:r>
      <w:r>
        <w:rPr>
          <w:rFonts w:hint="eastAsia"/>
          <w:color w:val="auto"/>
          <w:highlight w:val="none"/>
          <w:u w:val="single"/>
          <w:lang w:val="en-US" w:eastAsia="zh-CN"/>
        </w:rPr>
        <w:t>为18377.76</w:t>
      </w:r>
      <w:r>
        <w:rPr>
          <w:rFonts w:hint="eastAsia" w:eastAsia="宋体"/>
          <w:color w:val="auto"/>
          <w:highlight w:val="none"/>
          <w:u w:val="single"/>
          <w:lang w:val="en-US" w:eastAsia="zh-CN"/>
        </w:rPr>
        <w:t>m</w:t>
      </w:r>
      <w:r>
        <w:rPr>
          <w:rFonts w:hint="eastAsia" w:eastAsia="宋体"/>
          <w:color w:val="auto"/>
          <w:highlight w:val="none"/>
          <w:u w:val="single"/>
          <w:vertAlign w:val="superscript"/>
          <w:lang w:val="en-US" w:eastAsia="zh-CN"/>
        </w:rPr>
        <w:t>2</w:t>
      </w:r>
      <w:r>
        <w:rPr>
          <w:rFonts w:hint="eastAsia"/>
          <w:color w:val="auto"/>
          <w:highlight w:val="none"/>
          <w:u w:val="single"/>
        </w:rPr>
        <w:t>，</w:t>
      </w:r>
      <w:r>
        <w:rPr>
          <w:rFonts w:hint="eastAsia"/>
          <w:color w:val="auto"/>
          <w:highlight w:val="none"/>
          <w:u w:val="single"/>
          <w:lang w:val="en-US" w:eastAsia="zh-CN"/>
        </w:rPr>
        <w:t>年产前后保险杠总成15万套、前格栅总成15万套</w:t>
      </w:r>
      <w:r>
        <w:rPr>
          <w:rFonts w:hint="eastAsia"/>
          <w:color w:val="auto"/>
          <w:highlight w:val="none"/>
          <w:u w:val="single"/>
        </w:rPr>
        <w:t>。</w:t>
      </w:r>
    </w:p>
    <w:p w14:paraId="5D23463C">
      <w:pPr>
        <w:tabs>
          <w:tab w:val="left" w:pos="5920"/>
        </w:tabs>
        <w:spacing w:line="480" w:lineRule="auto"/>
        <w:ind w:firstLine="480" w:firstLineChars="200"/>
        <w:rPr>
          <w:rFonts w:hint="eastAsia"/>
          <w:color w:val="auto"/>
          <w:highlight w:val="none"/>
        </w:rPr>
      </w:pPr>
      <w:r>
        <w:rPr>
          <w:rFonts w:hint="eastAsia"/>
          <w:color w:val="auto"/>
          <w:highlight w:val="none"/>
        </w:rPr>
        <w:t>根据《建设项目环境保护管理条例》等有关法律法规规定，</w:t>
      </w:r>
      <w:r>
        <w:rPr>
          <w:color w:val="auto"/>
          <w:highlight w:val="none"/>
        </w:rPr>
        <w:t>我单位</w:t>
      </w:r>
      <w:r>
        <w:rPr>
          <w:rFonts w:hint="eastAsia"/>
          <w:color w:val="auto"/>
          <w:highlight w:val="none"/>
        </w:rPr>
        <w:t>委托福州朴诚至信环保科技有限公司对</w:t>
      </w:r>
      <w:r>
        <w:rPr>
          <w:rFonts w:hint="eastAsia"/>
          <w:color w:val="auto"/>
          <w:highlight w:val="none"/>
          <w:lang w:eastAsia="zh-CN"/>
        </w:rPr>
        <w:t>“福州日源汽车零部件加工生产项目”</w:t>
      </w:r>
      <w:r>
        <w:rPr>
          <w:rFonts w:hint="eastAsia"/>
          <w:color w:val="auto"/>
          <w:highlight w:val="none"/>
        </w:rPr>
        <w:t>开展</w:t>
      </w:r>
      <w:r>
        <w:rPr>
          <w:rFonts w:hint="eastAsia"/>
          <w:color w:val="auto"/>
          <w:highlight w:val="none"/>
          <w:lang w:val="en-US" w:eastAsia="zh-CN"/>
        </w:rPr>
        <w:t>生态</w:t>
      </w:r>
      <w:r>
        <w:rPr>
          <w:rFonts w:hint="eastAsia"/>
          <w:color w:val="auto"/>
          <w:highlight w:val="none"/>
        </w:rPr>
        <w:t>环境影响评价工作，编制了《</w:t>
      </w:r>
      <w:r>
        <w:rPr>
          <w:rFonts w:hint="eastAsia"/>
          <w:color w:val="auto"/>
          <w:highlight w:val="none"/>
          <w:lang w:eastAsia="zh-CN"/>
        </w:rPr>
        <w:t>福州日源汽车零部件加工生产项目</w:t>
      </w:r>
      <w:r>
        <w:rPr>
          <w:rFonts w:hint="eastAsia"/>
          <w:color w:val="auto"/>
          <w:highlight w:val="none"/>
          <w:lang w:val="en-US" w:eastAsia="zh-CN"/>
        </w:rPr>
        <w:t>生态</w:t>
      </w:r>
      <w:r>
        <w:rPr>
          <w:rFonts w:hint="eastAsia"/>
          <w:color w:val="auto"/>
          <w:highlight w:val="none"/>
        </w:rPr>
        <w:t>环境影响报告</w:t>
      </w:r>
      <w:r>
        <w:rPr>
          <w:rFonts w:hint="eastAsia"/>
          <w:color w:val="auto"/>
          <w:highlight w:val="none"/>
          <w:lang w:val="en-US" w:eastAsia="zh-CN"/>
        </w:rPr>
        <w:t>书</w:t>
      </w:r>
      <w:r>
        <w:rPr>
          <w:rFonts w:hint="eastAsia"/>
          <w:color w:val="auto"/>
          <w:highlight w:val="none"/>
        </w:rPr>
        <w:t>》，</w:t>
      </w:r>
      <w:r>
        <w:rPr>
          <w:color w:val="auto"/>
          <w:highlight w:val="none"/>
        </w:rPr>
        <w:t>现已完成并呈报贵局，请及时</w:t>
      </w:r>
      <w:r>
        <w:rPr>
          <w:rFonts w:hint="eastAsia"/>
          <w:color w:val="auto"/>
          <w:highlight w:val="none"/>
        </w:rPr>
        <w:t>给予</w:t>
      </w:r>
      <w:r>
        <w:rPr>
          <w:color w:val="auto"/>
          <w:highlight w:val="none"/>
        </w:rPr>
        <w:t>批复</w:t>
      </w:r>
      <w:r>
        <w:rPr>
          <w:rFonts w:hint="eastAsia"/>
          <w:color w:val="auto"/>
          <w:highlight w:val="none"/>
        </w:rPr>
        <w:t>。</w:t>
      </w:r>
    </w:p>
    <w:p w14:paraId="1530856D">
      <w:pPr>
        <w:tabs>
          <w:tab w:val="left" w:pos="5920"/>
        </w:tabs>
        <w:spacing w:line="480" w:lineRule="auto"/>
        <w:ind w:firstLine="480" w:firstLineChars="200"/>
        <w:rPr>
          <w:color w:val="auto"/>
          <w:highlight w:val="none"/>
        </w:rPr>
      </w:pPr>
    </w:p>
    <w:p w14:paraId="1F31A3AC">
      <w:pPr>
        <w:tabs>
          <w:tab w:val="left" w:pos="5920"/>
        </w:tabs>
        <w:spacing w:line="480" w:lineRule="auto"/>
        <w:ind w:firstLine="480" w:firstLineChars="200"/>
        <w:rPr>
          <w:color w:val="auto"/>
          <w:highlight w:val="none"/>
        </w:rPr>
      </w:pPr>
    </w:p>
    <w:p w14:paraId="63717ABC">
      <w:pPr>
        <w:keepNext w:val="0"/>
        <w:keepLines w:val="0"/>
        <w:pageBreakBefore w:val="0"/>
        <w:widowControl w:val="0"/>
        <w:tabs>
          <w:tab w:val="left" w:pos="5920"/>
        </w:tabs>
        <w:kinsoku/>
        <w:wordWrap/>
        <w:overflowPunct/>
        <w:topLinePunct w:val="0"/>
        <w:autoSpaceDE/>
        <w:autoSpaceDN/>
        <w:bidi w:val="0"/>
        <w:adjustRightInd/>
        <w:snapToGrid/>
        <w:spacing w:line="480" w:lineRule="auto"/>
        <w:ind w:left="4560" w:leftChars="1900" w:firstLine="0" w:firstLineChars="0"/>
        <w:jc w:val="both"/>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申请单位（盖章）：</w:t>
      </w:r>
    </w:p>
    <w:p w14:paraId="103D6DB5">
      <w:pPr>
        <w:keepNext w:val="0"/>
        <w:keepLines w:val="0"/>
        <w:pageBreakBefore w:val="0"/>
        <w:widowControl w:val="0"/>
        <w:tabs>
          <w:tab w:val="left" w:pos="5920"/>
        </w:tabs>
        <w:kinsoku/>
        <w:wordWrap/>
        <w:overflowPunct/>
        <w:topLinePunct w:val="0"/>
        <w:autoSpaceDE/>
        <w:autoSpaceDN/>
        <w:bidi w:val="0"/>
        <w:adjustRightInd/>
        <w:snapToGrid/>
        <w:spacing w:line="480" w:lineRule="auto"/>
        <w:ind w:left="3600" w:leftChars="1500" w:firstLine="0" w:firstLineChars="0"/>
        <w:jc w:val="both"/>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法定代表人（盖章或签字）：</w:t>
      </w:r>
    </w:p>
    <w:p w14:paraId="37FED71C">
      <w:pPr>
        <w:keepNext w:val="0"/>
        <w:keepLines w:val="0"/>
        <w:pageBreakBefore w:val="0"/>
        <w:widowControl w:val="0"/>
        <w:tabs>
          <w:tab w:val="left" w:pos="5920"/>
        </w:tabs>
        <w:kinsoku/>
        <w:wordWrap/>
        <w:overflowPunct/>
        <w:topLinePunct w:val="0"/>
        <w:autoSpaceDE/>
        <w:autoSpaceDN/>
        <w:bidi w:val="0"/>
        <w:adjustRightInd/>
        <w:snapToGrid/>
        <w:spacing w:line="480" w:lineRule="auto"/>
        <w:ind w:left="3600" w:leftChars="1500" w:firstLine="0" w:firstLineChars="0"/>
        <w:jc w:val="both"/>
        <w:textAlignment w:val="auto"/>
        <w:rPr>
          <w:rFonts w:hint="default" w:cs="Times New Roman"/>
          <w:color w:val="auto"/>
          <w:sz w:val="24"/>
          <w:szCs w:val="24"/>
          <w:highlight w:val="none"/>
          <w:lang w:val="en-US" w:eastAsia="zh-CN"/>
        </w:rPr>
      </w:pPr>
    </w:p>
    <w:p w14:paraId="711E9495">
      <w:pPr>
        <w:keepNext w:val="0"/>
        <w:keepLines w:val="0"/>
        <w:pageBreakBefore w:val="0"/>
        <w:widowControl w:val="0"/>
        <w:tabs>
          <w:tab w:val="left" w:pos="5920"/>
        </w:tabs>
        <w:kinsoku/>
        <w:wordWrap/>
        <w:overflowPunct/>
        <w:topLinePunct w:val="0"/>
        <w:autoSpaceDE/>
        <w:autoSpaceDN/>
        <w:bidi w:val="0"/>
        <w:adjustRightInd/>
        <w:snapToGrid/>
        <w:spacing w:line="480" w:lineRule="auto"/>
        <w:jc w:val="right"/>
        <w:textAlignment w:val="auto"/>
        <w:rPr>
          <w:rFonts w:hint="default" w:cs="Times New Roman"/>
          <w:b w:val="0"/>
          <w:bCs w:val="0"/>
          <w:color w:val="auto"/>
          <w:sz w:val="24"/>
          <w:szCs w:val="24"/>
          <w:highlight w:val="none"/>
          <w:lang w:val="en-US" w:eastAsia="zh-CN"/>
        </w:rPr>
      </w:pPr>
      <w:r>
        <w:rPr>
          <w:rFonts w:hint="eastAsia"/>
          <w:color w:val="auto"/>
          <w:highlight w:val="none"/>
          <w:lang w:val="en-US" w:eastAsia="zh-CN"/>
        </w:rPr>
        <w:t>2026年10月26日</w:t>
      </w:r>
    </w:p>
    <w:p w14:paraId="7C303108">
      <w:pPr>
        <w:pStyle w:val="1454"/>
        <w:keepNext w:val="0"/>
        <w:keepLines w:val="0"/>
        <w:pageBreakBefore w:val="0"/>
        <w:widowControl w:val="0"/>
        <w:kinsoku/>
        <w:wordWrap w:val="0"/>
        <w:overflowPunct/>
        <w:topLinePunct w:val="0"/>
        <w:autoSpaceDE/>
        <w:autoSpaceDN/>
        <w:bidi w:val="0"/>
        <w:adjustRightInd/>
        <w:snapToGrid/>
        <w:spacing w:line="600" w:lineRule="auto"/>
        <w:ind w:right="0" w:rightChars="0" w:firstLine="0" w:firstLineChars="0"/>
        <w:jc w:val="right"/>
        <w:textAlignment w:val="auto"/>
        <w:outlineLvl w:val="9"/>
        <w:rPr>
          <w:rFonts w:hint="eastAsia"/>
          <w:b w:val="0"/>
          <w:bCs/>
          <w:color w:val="auto"/>
          <w:sz w:val="24"/>
          <w:szCs w:val="24"/>
          <w:highlight w:val="none"/>
          <w:lang w:val="en-US" w:eastAsia="zh-CN"/>
        </w:rPr>
        <w:sectPr>
          <w:pgSz w:w="11906" w:h="16838"/>
          <w:pgMar w:top="1701" w:right="1531" w:bottom="1701" w:left="1531" w:header="851" w:footer="851" w:gutter="0"/>
          <w:pgBorders w:offsetFrom="page">
            <w:top w:val="none" w:sz="0" w:space="0"/>
            <w:left w:val="none" w:sz="0" w:space="0"/>
            <w:bottom w:val="none" w:sz="0" w:space="0"/>
            <w:right w:val="none" w:sz="0" w:space="0"/>
          </w:pgBorders>
          <w:pgNumType w:fmt="decimal"/>
          <w:cols w:space="720" w:num="1"/>
          <w:docGrid w:linePitch="312" w:charSpace="0"/>
        </w:sectPr>
      </w:pPr>
      <w:r>
        <w:rPr>
          <w:rFonts w:hint="eastAsia"/>
          <w:color w:val="auto"/>
          <w:highlight w:val="none"/>
        </w:rPr>
        <w:br w:type="page"/>
      </w:r>
    </w:p>
    <w:p w14:paraId="639245F3">
      <w:pPr>
        <w:ind w:left="0" w:leftChars="0" w:firstLine="0" w:firstLineChars="0"/>
        <w:rPr>
          <w:rFonts w:hint="default"/>
          <w:color w:val="auto"/>
          <w:highlight w:val="none"/>
          <w:lang w:val="en-US" w:eastAsia="zh-CN"/>
        </w:rPr>
      </w:pPr>
    </w:p>
    <w:sectPr>
      <w:pgSz w:w="11906" w:h="16838"/>
      <w:pgMar w:top="1418" w:right="1701" w:bottom="1588" w:left="1418" w:header="1021" w:footer="907" w:gutter="0"/>
      <w:pgBorders w:offsetFrom="page">
        <w:top w:val="none" w:sz="0" w:space="0"/>
        <w:left w:val="none" w:sz="0" w:space="0"/>
        <w:bottom w:val="none" w:sz="0" w:space="0"/>
        <w:right w:val="none" w:sz="0" w:space="0"/>
      </w:pgBorders>
      <w:pgNumType w:fmt="decimal"/>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FC0AE72-9B62-4D2B-B51F-CDB10DBFBC65}"/>
  </w:font>
  <w:font w:name="黑体">
    <w:panose1 w:val="02010609060101010101"/>
    <w:charset w:val="86"/>
    <w:family w:val="auto"/>
    <w:pitch w:val="default"/>
    <w:sig w:usb0="800002BF" w:usb1="38CF7CFA" w:usb2="00000016" w:usb3="00000000" w:csb0="00040001" w:csb1="00000000"/>
    <w:embedRegular r:id="rId2" w:fontKey="{4972417E-473C-4689-B381-E0DC88F52C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Batang">
    <w:altName w:val="Malgun Gothic"/>
    <w:panose1 w:val="02030600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40001" w:csb1="00000000"/>
  </w:font>
  <w:font w:name="Arial Black">
    <w:panose1 w:val="020B0A04020102020204"/>
    <w:charset w:val="00"/>
    <w:family w:val="swiss"/>
    <w:pitch w:val="default"/>
    <w:sig w:usb0="A00002AF" w:usb1="400078FB" w:usb2="00000000" w:usb3="00000000" w:csb0="6000009F" w:csb1="DFD70000"/>
  </w:font>
  <w:font w:name="Arial Unicode MS">
    <w:panose1 w:val="020B0604020202020204"/>
    <w:charset w:val="86"/>
    <w:family w:val="swiss"/>
    <w:pitch w:val="default"/>
    <w:sig w:usb0="F7FFAEFF" w:usb1="F9DFFFFF" w:usb2="0000007F" w:usb3="00000000" w:csb0="203F01FF" w:csb1="DFFF0000"/>
  </w:font>
  <w:font w:name="Impact">
    <w:panose1 w:val="020B0806030902050204"/>
    <w:charset w:val="00"/>
    <w:family w:val="swiss"/>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仿宋体">
    <w:altName w:val="仿宋"/>
    <w:panose1 w:val="02010600030101010101"/>
    <w:charset w:val="86"/>
    <w:family w:val="roman"/>
    <w:pitch w:val="default"/>
    <w:sig w:usb0="00000000" w:usb1="00000000" w:usb2="00000010" w:usb3="00000000" w:csb0="00040000" w:csb1="00000000"/>
  </w:font>
  <w:font w:name="方正楷体简体">
    <w:panose1 w:val="02000000000000000000"/>
    <w:charset w:val="86"/>
    <w:family w:val="auto"/>
    <w:pitch w:val="default"/>
    <w:sig w:usb0="A00002BF" w:usb1="184F6CFA" w:usb2="00000012"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宋体-方正超大字符集">
    <w:altName w:val="宋体"/>
    <w:panose1 w:val="03000509000000000000"/>
    <w:charset w:val="86"/>
    <w:family w:val="script"/>
    <w:pitch w:val="default"/>
    <w:sig w:usb0="00000000" w:usb1="00000000" w:usb2="00000000" w:usb3="00000000" w:csb0="00040000" w:csb1="00000000"/>
  </w:font>
  <w:font w:name="创艺简仿宋">
    <w:altName w:val="仿宋"/>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PMingLiU">
    <w:altName w:val="PMingLiU-ExtB"/>
    <w:panose1 w:val="02020500000000000000"/>
    <w:charset w:val="88"/>
    <w:family w:val="auto"/>
    <w:pitch w:val="default"/>
    <w:sig w:usb0="00000000" w:usb1="00000000" w:usb2="00000016" w:usb3="00000000" w:csb0="00100001" w:csb1="00000000"/>
  </w:font>
  <w:font w:name="MS Gothic">
    <w:panose1 w:val="020B0609070205080204"/>
    <w:charset w:val="80"/>
    <w:family w:val="modern"/>
    <w:pitch w:val="default"/>
    <w:sig w:usb0="E00002FF" w:usb1="6AC7FDFB" w:usb2="08000012" w:usb3="00000000" w:csb0="4002009F" w:csb1="DFD70000"/>
  </w:font>
  <w:font w:name="Century">
    <w:panose1 w:val="02040604050505020304"/>
    <w:charset w:val="00"/>
    <w:family w:val="roman"/>
    <w:pitch w:val="default"/>
    <w:sig w:usb0="00000287" w:usb1="00000000" w:usb2="00000000" w:usb3="00000000" w:csb0="2000009F" w:csb1="DFD70000"/>
  </w:font>
  <w:font w:name="MS Mincho">
    <w:altName w:val="MS UI Gothic"/>
    <w:panose1 w:val="02020609040205080304"/>
    <w:charset w:val="80"/>
    <w:family w:val="roma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omic Sans MS">
    <w:panose1 w:val="030F0702030302020204"/>
    <w:charset w:val="00"/>
    <w:family w:val="script"/>
    <w:pitch w:val="default"/>
    <w:sig w:usb0="00000287" w:usb1="00000013" w:usb2="00000000" w:usb3="00000000" w:csb0="2000009F" w:csb1="00000000"/>
  </w:font>
  <w:font w:name="华文仿宋">
    <w:panose1 w:val="02010600040101010101"/>
    <w:charset w:val="86"/>
    <w:family w:val="auto"/>
    <w:pitch w:val="default"/>
    <w:sig w:usb0="00000287" w:usb1="080F0000" w:usb2="00000000" w:usb3="00000000" w:csb0="0004009F" w:csb1="DFD70000"/>
  </w:font>
  <w:font w:name="華康粗黑體">
    <w:altName w:val="Microsoft JhengHei"/>
    <w:panose1 w:val="020B0709000000000000"/>
    <w:charset w:val="88"/>
    <w:family w:val="decorative"/>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Bookman Old Style">
    <w:panose1 w:val="02050604050505020204"/>
    <w:charset w:val="00"/>
    <w:family w:val="roman"/>
    <w:pitch w:val="default"/>
    <w:sig w:usb0="00000287" w:usb1="00000000" w:usb2="00000000" w:usb3="00000000" w:csb0="2000009F" w:csb1="DFD70000"/>
  </w:font>
  <w:font w:name="DFKai-SB">
    <w:altName w:val="Microsoft JhengHei Light"/>
    <w:panose1 w:val="03000509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Plotter">
    <w:altName w:val="Segoe Print"/>
    <w:panose1 w:val="00000000000000000000"/>
    <w:charset w:val="00"/>
    <w:family w:val="modern"/>
    <w:pitch w:val="default"/>
    <w:sig w:usb0="00000000" w:usb1="00000000" w:usb2="00000000" w:usb3="00000000" w:csb0="00000001" w:csb1="00000000"/>
  </w:font>
  <w:font w:name="TimesNewRomanPSMT">
    <w:altName w:val="Times New Roman"/>
    <w:panose1 w:val="02020603050405020304"/>
    <w:charset w:val="00"/>
    <w:family w:val="roman"/>
    <w:pitch w:val="default"/>
    <w:sig w:usb0="00000000" w:usb1="00000000" w:usb2="00000009" w:usb3="00000000" w:csb0="400001FF" w:csb1="FFFF0000"/>
    <w:embedRegular r:id="rId3" w:fontKey="{49908947-02AF-46CA-AB42-A759CC2A4A1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4" w:fontKey="{68081AB6-3BC4-41AA-807D-3AA4D54F3EBF}"/>
  </w:font>
  <w:font w:name="Times New Roman Regular">
    <w:altName w:val="Times New Roman"/>
    <w:panose1 w:val="02020603050405020304"/>
    <w:charset w:val="00"/>
    <w:family w:val="auto"/>
    <w:pitch w:val="default"/>
    <w:sig w:usb0="00000000" w:usb1="00000000" w:usb2="00000009" w:usb3="00000000" w:csb0="400001FF" w:csb1="FFFF0000"/>
    <w:embedRegular r:id="rId5" w:fontKey="{7ABD1C54-849A-4D9A-BAF5-2D87B05C82C6}"/>
  </w:font>
  <w:font w:name="Cambria Math">
    <w:panose1 w:val="02040503050406030204"/>
    <w:charset w:val="00"/>
    <w:family w:val="auto"/>
    <w:pitch w:val="default"/>
    <w:sig w:usb0="E00006FF" w:usb1="420024FF" w:usb2="02000000" w:usb3="00000000" w:csb0="2000019F" w:csb1="00000000"/>
    <w:embedRegular r:id="rId6" w:fontKey="{3E5BAA85-05D8-4D2F-9C29-6569CBF3E94E}"/>
  </w:font>
  <w:font w:name="瀹嬩綋">
    <w:altName w:val="Segoe Print"/>
    <w:panose1 w:val="00000000000000000000"/>
    <w:charset w:val="00"/>
    <w:family w:val="auto"/>
    <w:pitch w:val="default"/>
    <w:sig w:usb0="00000000" w:usb1="00000000" w:usb2="00000000" w:usb3="00000000" w:csb0="00000000" w:csb1="00000000"/>
    <w:embedRegular r:id="rId7" w:fontKey="{7E1B6E20-2222-4B57-BF30-A6C0E2B5A58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35FD0">
    <w:pPr>
      <w:pStyle w:val="456"/>
      <w:jc w:val="both"/>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7D5A9">
    <w:pPr>
      <w:pStyle w:val="456"/>
      <w:jc w:val="both"/>
      <w:rPr>
        <w:rFonts w:cs="Times New Roman"/>
      </w:rPr>
    </w:pPr>
    <w:r>
      <w:rPr>
        <w:sz w:val="21"/>
      </w:rPr>
      <mc:AlternateContent>
        <mc:Choice Requires="wps">
          <w:drawing>
            <wp:anchor distT="0" distB="0" distL="114300" distR="114300" simplePos="0" relativeHeight="251659264" behindDoc="0" locked="0" layoutInCell="1" allowOverlap="1">
              <wp:simplePos x="0" y="0"/>
              <wp:positionH relativeFrom="margin">
                <wp:posOffset>2586355</wp:posOffset>
              </wp:positionH>
              <wp:positionV relativeFrom="paragraph">
                <wp:posOffset>-295275</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6FBC9">
                          <w:pPr>
                            <w:pStyle w:val="5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65pt;margin-top:-23.25pt;height:144pt;width:144pt;mso-position-horizontal-relative:margin;mso-wrap-style:none;z-index:251659264;mso-width-relative:page;mso-height-relative:page;" filled="f" stroked="f" coordsize="21600,21600" o:gfxdata="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mSIoP2QAAAAsBAAAPAAAAAAAAAAEAIAAAACIAAABkcnMvZG93bnJldi54&#10;bWxQSwECFAAUAAAACACHTuJAwMClfjICAABjBAAADgAAAAAAAAABACAAAAAoAQAAZHJzL2Uyb0Rv&#10;Yy54bWxQSwUGAAAAAAYABgBZAQAAzAUAAAAA&#10;">
              <v:fill on="f" focussize="0,0"/>
              <v:stroke on="f" weight="0.5pt"/>
              <v:imagedata o:title=""/>
              <o:lock v:ext="edit" aspectratio="f"/>
              <v:textbox inset="0mm,0mm,0mm,0mm" style="mso-fit-shape-to-text:t;">
                <w:txbxContent>
                  <w:p w14:paraId="5696FBC9">
                    <w:pPr>
                      <w:pStyle w:val="5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17637">
    <w:pPr>
      <w:pStyle w:val="51"/>
      <w:ind w:firstLine="360"/>
      <w:rPr>
        <w:rFonts w:ascii="Times New Roman" w:hAnsi="Times New Roman" w:eastAsia="宋体"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071C0">
    <w:pPr>
      <w:pStyle w:val="51"/>
      <w:ind w:firstLine="360"/>
      <w:rPr>
        <w:rFonts w:ascii="Times New Roman" w:hAnsi="Times New Roman" w:eastAsia="宋体"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B76A9">
    <w:pPr>
      <w:pStyle w:val="456"/>
      <w:jc w:val="both"/>
      <w:rPr>
        <w:rFonts w:cs="Times New Roman"/>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56EC9">
                          <w:pPr>
                            <w:pStyle w:val="51"/>
                          </w:pPr>
                          <w:r>
                            <w:fldChar w:fldCharType="begin"/>
                          </w:r>
                          <w:r>
                            <w:instrText xml:space="preserve"> PAGE  \* MERGEFORMAT </w:instrText>
                          </w:r>
                          <w:r>
                            <w:fldChar w:fldCharType="separate"/>
                          </w:r>
                          <w:r>
                            <w:t>IX</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8956EC9">
                    <w:pPr>
                      <w:pStyle w:val="51"/>
                    </w:pPr>
                    <w:r>
                      <w:fldChar w:fldCharType="begin"/>
                    </w:r>
                    <w:r>
                      <w:instrText xml:space="preserve"> PAGE  \* MERGEFORMAT </w:instrText>
                    </w:r>
                    <w:r>
                      <w:fldChar w:fldCharType="separate"/>
                    </w:r>
                    <w:r>
                      <w:t>IX</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57B5F">
    <w:pPr>
      <w:pStyle w:val="5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B925">
    <w:pPr>
      <w:pStyle w:val="51"/>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9CCD">
    <w:pPr>
      <w:spacing w:line="179" w:lineRule="auto"/>
      <w:ind w:left="43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BABCB">
                          <w:pPr>
                            <w:pStyle w:val="51"/>
                          </w:pPr>
                          <w:r>
                            <w:fldChar w:fldCharType="begin"/>
                          </w:r>
                          <w:r>
                            <w:instrText xml:space="preserve"> PAGE  \* MERGEFORMAT </w:instrText>
                          </w:r>
                          <w:r>
                            <w:fldChar w:fldCharType="separate"/>
                          </w:r>
                          <w:r>
                            <w:t>CCV</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097BABCB">
                    <w:pPr>
                      <w:pStyle w:val="51"/>
                    </w:pPr>
                    <w:r>
                      <w:fldChar w:fldCharType="begin"/>
                    </w:r>
                    <w:r>
                      <w:instrText xml:space="preserve"> PAGE  \* MERGEFORMAT </w:instrText>
                    </w:r>
                    <w:r>
                      <w:fldChar w:fldCharType="separate"/>
                    </w:r>
                    <w:r>
                      <w:t>CCV</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0BF01">
    <w:pPr>
      <w:pStyle w:val="51"/>
      <w:pBdr>
        <w:top w:val="none" w:color="auto" w:sz="0" w:space="1"/>
        <w:left w:val="none" w:color="auto" w:sz="0" w:space="0"/>
        <w:bottom w:val="none" w:color="auto" w:sz="0" w:space="0"/>
        <w:right w:val="none" w:color="auto" w:sz="0" w:space="0"/>
        <w:between w:val="none" w:color="auto" w:sz="0" w:space="0"/>
      </w:pBd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E4557">
                          <w:pPr>
                            <w:pStyle w:val="51"/>
                          </w:pPr>
                          <w:r>
                            <w:fldChar w:fldCharType="begin"/>
                          </w:r>
                          <w:r>
                            <w:instrText xml:space="preserve"> PAGE  \* MERGEFORMAT </w:instrText>
                          </w:r>
                          <w:r>
                            <w:fldChar w:fldCharType="separate"/>
                          </w:r>
                          <w:r>
                            <w:t>CCXII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20EE4557">
                    <w:pPr>
                      <w:pStyle w:val="51"/>
                    </w:pPr>
                    <w:r>
                      <w:fldChar w:fldCharType="begin"/>
                    </w:r>
                    <w:r>
                      <w:instrText xml:space="preserve"> PAGE  \* MERGEFORMAT </w:instrText>
                    </w:r>
                    <w:r>
                      <w:fldChar w:fldCharType="separate"/>
                    </w:r>
                    <w:r>
                      <w:t>CCXII</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D0FA7">
    <w:pPr>
      <w:pStyle w:val="51"/>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6D93">
    <w:pPr>
      <w:pStyle w:val="51"/>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F41D">
    <w:pPr>
      <w:pStyle w:val="51"/>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3AE54">
    <w:pPr>
      <w:pStyle w:val="51"/>
      <w:ind w:firstLine="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E0CAE">
    <w:pPr>
      <w:pStyle w:val="51"/>
      <w:ind w:firstLine="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04E85">
    <w:pPr>
      <w:pStyle w:val="5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BE96F">
    <w:pPr>
      <w:pStyle w:val="1407"/>
      <w:ind w:firstLine="480"/>
      <w:rPr>
        <w:rStyle w:val="1462"/>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BC9A5">
    <w:pPr>
      <w:pStyle w:val="1407"/>
      <w:pBdr>
        <w:bottom w:val="none" w:color="auto" w:sz="0" w:space="0"/>
      </w:pBdr>
      <w:ind w:firstLine="480"/>
      <w:rPr>
        <w:rStyle w:val="1462"/>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CCFE">
    <w:pPr>
      <w:pStyle w:val="33"/>
      <w:ind w:firstLine="360"/>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E477C">
    <w:pPr>
      <w:pStyle w:val="33"/>
      <w:ind w:firstLine="360"/>
      <w:rPr>
        <w:rFonts w:ascii="Times New Roman" w:hAnsi="Times New Roman" w:eastAsia="宋体" w:cs="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605DA">
    <w:pPr>
      <w:pStyle w:val="1407"/>
      <w:pBdr>
        <w:bottom w:val="none" w:color="auto" w:sz="0" w:space="0"/>
      </w:pBdr>
      <w:ind w:firstLine="480"/>
      <w:rPr>
        <w:rStyle w:val="1462"/>
        <w:rFonts w:ascii="Times New Roman" w:hAnsi="Times New Roman" w:eastAsia="宋体"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6B245">
    <w:pPr>
      <w:widowControl w:val="0"/>
      <w:pBdr>
        <w:bottom w:val="none" w:color="auto" w:sz="0" w:space="0"/>
      </w:pBdr>
      <w:adjustRightInd w:val="0"/>
      <w:snapToGrid w:val="0"/>
      <w:spacing w:line="240" w:lineRule="auto"/>
      <w:ind w:firstLine="0" w:firstLineChars="0"/>
      <w:jc w:val="center"/>
      <w:rPr>
        <w:rFonts w:ascii="Times New Roman" w:hAnsi="Times New Roman" w:eastAsia="宋体" w:cs="Times New Roman"/>
        <w:kern w:val="2"/>
        <w:sz w:val="21"/>
        <w:szCs w:val="24"/>
        <w:lang w:val="en-US" w:eastAsia="zh-CN" w:bidi="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DDE33">
    <w:pPr>
      <w:widowControl w:val="0"/>
      <w:pBdr>
        <w:bottom w:val="none" w:color="auto" w:sz="0" w:space="0"/>
      </w:pBdr>
      <w:adjustRightInd w:val="0"/>
      <w:snapToGrid w:val="0"/>
      <w:spacing w:line="240" w:lineRule="auto"/>
      <w:ind w:firstLine="0" w:firstLineChars="0"/>
      <w:jc w:val="center"/>
      <w:rPr>
        <w:rFonts w:ascii="Times New Roman" w:hAnsi="Times New Roman" w:eastAsia="宋体" w:cs="Times New Roman"/>
        <w:kern w:val="2"/>
        <w:sz w:val="21"/>
        <w:szCs w:val="24"/>
        <w:lang w:val="en-US" w:eastAsia="zh-CN" w:bidi="ar-S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EBE0B">
    <w:pPr>
      <w:pStyle w:val="33"/>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5D189">
    <w:pPr>
      <w:pStyle w:val="33"/>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CB1D2">
    <w:pPr>
      <w:pStyle w:val="1358"/>
      <w:pBdr>
        <w:bottom w:val="none" w:color="auto" w:sz="0" w:space="0"/>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BD17C">
    <w:pPr>
      <w:spacing w:line="47" w:lineRule="exact"/>
      <w:ind w:firstLine="12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FA87">
    <w:pPr>
      <w:pStyle w:val="33"/>
      <w:pBdr>
        <w:top w:val="none" w:color="auto" w:sz="0" w:space="0"/>
        <w:left w:val="none" w:color="auto" w:sz="0" w:space="0"/>
        <w:bottom w:val="none" w:color="auto" w:sz="0" w:space="1"/>
        <w:right w:val="none" w:color="auto" w:sz="0" w:space="0"/>
        <w:between w:val="none" w:color="auto" w:sz="0" w:space="0"/>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FEFCA">
    <w:pPr>
      <w:pStyle w:val="33"/>
      <w:ind w:firstLine="36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28574">
    <w:pPr>
      <w:pStyle w:val="33"/>
      <w:ind w:firstLine="36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7416F">
    <w:pPr>
      <w:pStyle w:val="33"/>
      <w:ind w:firstLine="36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E63BF">
    <w:pPr>
      <w:pStyle w:val="33"/>
      <w:ind w:firstLine="36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32712">
    <w:pPr>
      <w:pStyle w:val="33"/>
      <w:ind w:firstLine="36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5011B">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14FAA"/>
    <w:multiLevelType w:val="singleLevel"/>
    <w:tmpl w:val="8F114FAA"/>
    <w:lvl w:ilvl="0" w:tentative="0">
      <w:start w:val="1"/>
      <w:numFmt w:val="decimal"/>
      <w:suff w:val="nothing"/>
      <w:lvlText w:val="（%1）"/>
      <w:lvlJc w:val="left"/>
    </w:lvl>
  </w:abstractNum>
  <w:abstractNum w:abstractNumId="1">
    <w:nsid w:val="AE6C4C72"/>
    <w:multiLevelType w:val="singleLevel"/>
    <w:tmpl w:val="AE6C4C72"/>
    <w:lvl w:ilvl="0" w:tentative="0">
      <w:start w:val="1"/>
      <w:numFmt w:val="decimal"/>
      <w:suff w:val="nothing"/>
      <w:lvlText w:val="（%1）"/>
      <w:lvlJc w:val="left"/>
    </w:lvl>
  </w:abstractNum>
  <w:abstractNum w:abstractNumId="2">
    <w:nsid w:val="FFFFFF7E"/>
    <w:multiLevelType w:val="singleLevel"/>
    <w:tmpl w:val="FFFFFF7E"/>
    <w:lvl w:ilvl="0" w:tentative="0">
      <w:start w:val="1"/>
      <w:numFmt w:val="decimal"/>
      <w:pStyle w:val="34"/>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4">
    <w:nsid w:val="00000007"/>
    <w:multiLevelType w:val="multilevel"/>
    <w:tmpl w:val="00000007"/>
    <w:lvl w:ilvl="0" w:tentative="0">
      <w:start w:val="1"/>
      <w:numFmt w:val="chineseCountingThousand"/>
      <w:lvlText w:val="第%1章"/>
      <w:lvlJc w:val="left"/>
      <w:pPr>
        <w:tabs>
          <w:tab w:val="left" w:pos="57"/>
        </w:tabs>
        <w:ind w:left="0" w:firstLine="0"/>
      </w:pPr>
      <w:rPr>
        <w:rFonts w:hint="eastAsia"/>
        <w:color w:val="auto"/>
      </w:rPr>
    </w:lvl>
    <w:lvl w:ilvl="1" w:tentative="0">
      <w:start w:val="1"/>
      <w:numFmt w:val="decimal"/>
      <w:isLgl/>
      <w:suff w:val="space"/>
      <w:lvlText w:val="%1.%2"/>
      <w:lvlJc w:val="left"/>
      <w:pPr>
        <w:ind w:left="0" w:firstLine="0"/>
      </w:pPr>
      <w:rPr>
        <w:rFonts w:hint="eastAsia"/>
        <w:color w:val="auto"/>
      </w:rPr>
    </w:lvl>
    <w:lvl w:ilvl="2" w:tentative="0">
      <w:start w:val="1"/>
      <w:numFmt w:val="decimal"/>
      <w:isLgl/>
      <w:suff w:val="space"/>
      <w:lvlText w:val="%1.%2.%3"/>
      <w:lvlJc w:val="left"/>
      <w:pPr>
        <w:ind w:left="0" w:firstLine="0"/>
      </w:pPr>
    </w:lvl>
    <w:lvl w:ilvl="3" w:tentative="0">
      <w:start w:val="1"/>
      <w:numFmt w:val="decimal"/>
      <w:isLgl/>
      <w:lvlText w:val="%1.%2.%3.%4"/>
      <w:lvlJc w:val="left"/>
      <w:pPr>
        <w:tabs>
          <w:tab w:val="left" w:pos="1702"/>
        </w:tabs>
        <w:ind w:left="0" w:firstLine="0"/>
      </w:pPr>
      <w:rPr>
        <w:rFonts w:hint="eastAsia" w:ascii="Times New Roman" w:hAnsi="Times New Roman" w:cs="Times New Roman"/>
        <w:bCs w:val="0"/>
        <w:i w:val="0"/>
        <w:iCs w:val="0"/>
        <w:caps w:val="0"/>
        <w:smallCaps w:val="0"/>
        <w:strike w:val="0"/>
        <w:dstrike w:val="0"/>
        <w:outline w:val="0"/>
        <w:shadow w:val="0"/>
        <w:emboss w:val="0"/>
        <w:imprint w:val="0"/>
        <w:vanish w:val="0"/>
        <w:spacing w:val="0"/>
        <w:position w:val="0"/>
        <w:u w:val="none"/>
        <w:vertAlign w:val="baseline"/>
        <w:lang w:val="en-US"/>
      </w:rPr>
    </w:lvl>
    <w:lvl w:ilvl="4" w:tentative="0">
      <w:start w:val="1"/>
      <w:numFmt w:val="decimal"/>
      <w:lvlText w:val="%1.%2.%3.%4.%5."/>
      <w:lvlJc w:val="left"/>
      <w:pPr>
        <w:tabs>
          <w:tab w:val="left" w:pos="992"/>
        </w:tabs>
        <w:ind w:left="992" w:hanging="992"/>
      </w:pPr>
      <w:rPr>
        <w:rFonts w:hint="eastAsia"/>
      </w:rPr>
    </w:lvl>
    <w:lvl w:ilvl="5" w:tentative="0">
      <w:start w:val="1"/>
      <w:numFmt w:val="decimal"/>
      <w:lvlRestart w:val="1"/>
      <w:pStyle w:val="1441"/>
      <w:isLgl/>
      <w:lvlText w:val="表%1-%6"/>
      <w:lvlJc w:val="left"/>
      <w:pPr>
        <w:ind w:left="0" w:firstLine="0"/>
      </w:pPr>
      <w:rPr>
        <w:rFonts w:hint="eastAsia" w:ascii="Times New Roman" w:hAnsi="Times New Roman"/>
        <w:bCs w:val="0"/>
        <w:i w:val="0"/>
        <w:iCs w:val="0"/>
        <w:caps w:val="0"/>
        <w:smallCaps w:val="0"/>
        <w:strike w:val="0"/>
        <w:dstrike w:val="0"/>
        <w:outline w:val="0"/>
        <w:shadow w:val="0"/>
        <w:emboss w:val="0"/>
        <w:imprint w:val="0"/>
        <w:vanish w:val="0"/>
        <w:color w:val="auto"/>
        <w:spacing w:val="0"/>
        <w:position w:val="0"/>
        <w:u w:val="none"/>
        <w:vertAlign w:val="baseline"/>
      </w:rPr>
    </w:lvl>
    <w:lvl w:ilvl="6" w:tentative="0">
      <w:start w:val="1"/>
      <w:numFmt w:val="decimal"/>
      <w:lvlRestart w:val="2"/>
      <w:isLgl/>
      <w:lvlText w:val="图%1.%2-%7"/>
      <w:lvlJc w:val="left"/>
      <w:pPr>
        <w:ind w:left="1276" w:hanging="1276"/>
      </w:pPr>
      <w:rPr>
        <w:rFonts w:hint="eastAsia" w:ascii="Times New Roman" w:hAnsi="Times New Roman" w:cs="Times New Roman"/>
        <w:bCs w:val="0"/>
        <w:i w:val="0"/>
        <w:iCs w:val="0"/>
        <w:caps w:val="0"/>
        <w:smallCaps w:val="0"/>
        <w:strike w:val="0"/>
        <w:dstrike w:val="0"/>
        <w:outline w:val="0"/>
        <w:shadow w:val="0"/>
        <w:emboss w:val="0"/>
        <w:imprint w:val="0"/>
        <w:vanish w:val="0"/>
        <w:spacing w:val="0"/>
        <w:position w:val="0"/>
        <w:u w:val="none"/>
        <w:vertAlign w:val="baseline"/>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0000024"/>
    <w:multiLevelType w:val="multilevel"/>
    <w:tmpl w:val="00000024"/>
    <w:lvl w:ilvl="0" w:tentative="0">
      <w:start w:val="1"/>
      <w:numFmt w:val="decimal"/>
      <w:pStyle w:val="468"/>
      <w:lvlText w:val="%1. "/>
      <w:lvlJc w:val="center"/>
      <w:pPr>
        <w:tabs>
          <w:tab w:val="left" w:pos="630"/>
        </w:tabs>
        <w:ind w:left="630" w:hanging="342"/>
      </w:pPr>
      <w:rPr>
        <w:rFonts w:hint="default"/>
      </w:rPr>
    </w:lvl>
    <w:lvl w:ilvl="1" w:tentative="0">
      <w:start w:val="1"/>
      <w:numFmt w:val="decimal"/>
      <w:isLgl/>
      <w:lvlText w:val="%1.%2"/>
      <w:lvlJc w:val="left"/>
      <w:pPr>
        <w:tabs>
          <w:tab w:val="left" w:pos="630"/>
        </w:tabs>
        <w:ind w:left="630" w:hanging="630"/>
      </w:pPr>
      <w:rPr>
        <w:rFonts w:hint="default"/>
      </w:rPr>
    </w:lvl>
    <w:lvl w:ilvl="2" w:tentative="0">
      <w:start w:val="1"/>
      <w:numFmt w:val="decimal"/>
      <w:isLgl/>
      <w:lvlText w:val="%1.%2.%3"/>
      <w:lvlJc w:val="left"/>
      <w:pPr>
        <w:tabs>
          <w:tab w:val="left" w:pos="990"/>
        </w:tabs>
        <w:ind w:left="990" w:hanging="630"/>
      </w:pPr>
      <w:rPr>
        <w:rFonts w:hint="default"/>
      </w:rPr>
    </w:lvl>
    <w:lvl w:ilvl="3" w:tentative="0">
      <w:start w:val="1"/>
      <w:numFmt w:val="decimal"/>
      <w:lvlText w:val="8.%2.%3.%4"/>
      <w:lvlJc w:val="left"/>
      <w:pPr>
        <w:tabs>
          <w:tab w:val="left" w:pos="630"/>
        </w:tabs>
        <w:ind w:left="630" w:hanging="630"/>
      </w:pPr>
      <w:rPr>
        <w:rFonts w:hint="default"/>
      </w:rPr>
    </w:lvl>
    <w:lvl w:ilvl="4" w:tentative="0">
      <w:start w:val="1"/>
      <w:numFmt w:val="decimal"/>
      <w:lvlText w:val="%1.%2.%3.%4.%5"/>
      <w:lvlJc w:val="left"/>
      <w:pPr>
        <w:tabs>
          <w:tab w:val="left" w:pos="630"/>
        </w:tabs>
        <w:ind w:left="630" w:hanging="630"/>
      </w:pPr>
      <w:rPr>
        <w:rFonts w:hint="default"/>
      </w:rPr>
    </w:lvl>
    <w:lvl w:ilvl="5" w:tentative="0">
      <w:start w:val="1"/>
      <w:numFmt w:val="decimal"/>
      <w:lvlText w:val="%1.%2.%3.%4.%5.%6"/>
      <w:lvlJc w:val="left"/>
      <w:pPr>
        <w:tabs>
          <w:tab w:val="left" w:pos="630"/>
        </w:tabs>
        <w:ind w:left="630" w:hanging="630"/>
      </w:pPr>
      <w:rPr>
        <w:rFonts w:hint="default"/>
      </w:rPr>
    </w:lvl>
    <w:lvl w:ilvl="6" w:tentative="0">
      <w:start w:val="1"/>
      <w:numFmt w:val="decimal"/>
      <w:lvlText w:val="%1.%2.%3.%4.%5.%6.%7"/>
      <w:lvlJc w:val="left"/>
      <w:pPr>
        <w:tabs>
          <w:tab w:val="left" w:pos="630"/>
        </w:tabs>
        <w:ind w:left="630" w:hanging="630"/>
      </w:pPr>
      <w:rPr>
        <w:rFonts w:hint="default"/>
      </w:rPr>
    </w:lvl>
    <w:lvl w:ilvl="7" w:tentative="0">
      <w:start w:val="1"/>
      <w:numFmt w:val="decimal"/>
      <w:lvlText w:val="%1.%2.%3.%4.%5.%6.%7.%8"/>
      <w:lvlJc w:val="left"/>
      <w:pPr>
        <w:tabs>
          <w:tab w:val="left" w:pos="630"/>
        </w:tabs>
        <w:ind w:left="630" w:hanging="630"/>
      </w:pPr>
      <w:rPr>
        <w:rFonts w:hint="default"/>
      </w:rPr>
    </w:lvl>
    <w:lvl w:ilvl="8" w:tentative="0">
      <w:start w:val="1"/>
      <w:numFmt w:val="decimal"/>
      <w:lvlText w:val="%1.%2.%3.%4.%5.%6.%7.%8.%9"/>
      <w:lvlJc w:val="left"/>
      <w:pPr>
        <w:tabs>
          <w:tab w:val="left" w:pos="630"/>
        </w:tabs>
        <w:ind w:left="630" w:hanging="630"/>
      </w:pPr>
      <w:rPr>
        <w:rFonts w:hint="default"/>
      </w:rPr>
    </w:lvl>
  </w:abstractNum>
  <w:abstractNum w:abstractNumId="6">
    <w:nsid w:val="1A973CAD"/>
    <w:multiLevelType w:val="singleLevel"/>
    <w:tmpl w:val="1A973CAD"/>
    <w:lvl w:ilvl="0" w:tentative="0">
      <w:start w:val="1"/>
      <w:numFmt w:val="decimal"/>
      <w:pStyle w:val="1050"/>
      <w:lvlText w:val="%1、"/>
      <w:lvlJc w:val="left"/>
      <w:pPr>
        <w:tabs>
          <w:tab w:val="left" w:pos="720"/>
        </w:tabs>
      </w:pPr>
      <w:rPr>
        <w:rFonts w:hint="eastAsia"/>
      </w:rPr>
    </w:lvl>
  </w:abstractNum>
  <w:abstractNum w:abstractNumId="7">
    <w:nsid w:val="2AF816AC"/>
    <w:multiLevelType w:val="multilevel"/>
    <w:tmpl w:val="2AF816AC"/>
    <w:lvl w:ilvl="0" w:tentative="0">
      <w:start w:val="1"/>
      <w:numFmt w:val="chineseCountingThousand"/>
      <w:pStyle w:val="347"/>
      <w:suff w:val="nothing"/>
      <w:lvlText w:val="%1、"/>
      <w:lvlJc w:val="left"/>
      <w:pPr>
        <w:ind w:left="0" w:firstLine="0"/>
      </w:pPr>
      <w:rPr>
        <w:rFonts w:hint="default" w:ascii="Times New Roman" w:hAnsi="Times New Roman" w:eastAsia="黑体"/>
        <w:b/>
        <w:i w:val="0"/>
        <w:sz w:val="32"/>
        <w:szCs w:val="32"/>
      </w:rPr>
    </w:lvl>
    <w:lvl w:ilvl="1" w:tentative="0">
      <w:start w:val="1"/>
      <w:numFmt w:val="decimal"/>
      <w:pStyle w:val="388"/>
      <w:isLgl/>
      <w:suff w:val="space"/>
      <w:lvlText w:val="%1.%2"/>
      <w:lvlJc w:val="left"/>
      <w:pPr>
        <w:ind w:left="0" w:firstLine="0"/>
      </w:pPr>
      <w:rPr>
        <w:rFonts w:hint="eastAsia"/>
        <w:color w:val="auto"/>
      </w:rPr>
    </w:lvl>
    <w:lvl w:ilvl="2" w:tentative="0">
      <w:start w:val="1"/>
      <w:numFmt w:val="decimal"/>
      <w:pStyle w:val="372"/>
      <w:isLgl/>
      <w:suff w:val="space"/>
      <w:lvlText w:val="%1.%2.%3"/>
      <w:lvlJc w:val="left"/>
      <w:pPr>
        <w:ind w:left="0" w:firstLine="0"/>
      </w:pPr>
      <w:rPr>
        <w:rFonts w:hint="default" w:ascii="Times New Roman" w:hAnsi="Times New Roman" w:eastAsia="宋体"/>
        <w:b/>
        <w:i w:val="0"/>
        <w:sz w:val="24"/>
        <w:szCs w:val="24"/>
      </w:rPr>
    </w:lvl>
    <w:lvl w:ilvl="3" w:tentative="0">
      <w:start w:val="1"/>
      <w:numFmt w:val="decimal"/>
      <w:pStyle w:val="329"/>
      <w:isLgl/>
      <w:suff w:val="space"/>
      <w:lvlText w:val="%1.%2.%3.%4"/>
      <w:lvlJc w:val="left"/>
      <w:pPr>
        <w:ind w:left="560" w:firstLine="0"/>
      </w:pPr>
      <w:rPr>
        <w:rFonts w:ascii="Times New Roman" w:hAnsi="Times New Roman" w:cs="Times New Roman"/>
        <w:b/>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4" w:tentative="0">
      <w:start w:val="1"/>
      <w:numFmt w:val="decimal"/>
      <w:lvlRestart w:val="1"/>
      <w:isLgl/>
      <w:lvlText w:val="表%1%2%3%4-%5"/>
      <w:lvlJc w:val="center"/>
      <w:pPr>
        <w:tabs>
          <w:tab w:val="left" w:pos="0"/>
        </w:tabs>
        <w:ind w:left="0" w:firstLine="0"/>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416E9FFA"/>
    <w:multiLevelType w:val="singleLevel"/>
    <w:tmpl w:val="416E9FFA"/>
    <w:lvl w:ilvl="0" w:tentative="0">
      <w:start w:val="1"/>
      <w:numFmt w:val="decimal"/>
      <w:suff w:val="nothing"/>
      <w:lvlText w:val="（%1）"/>
      <w:lvlJc w:val="left"/>
    </w:lvl>
  </w:abstractNum>
  <w:abstractNum w:abstractNumId="9">
    <w:nsid w:val="46806F7D"/>
    <w:multiLevelType w:val="multilevel"/>
    <w:tmpl w:val="46806F7D"/>
    <w:lvl w:ilvl="0" w:tentative="0">
      <w:start w:val="1"/>
      <w:numFmt w:val="none"/>
      <w:pStyle w:val="1112"/>
      <w:lvlText w:val="图"/>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C36703"/>
    <w:multiLevelType w:val="multilevel"/>
    <w:tmpl w:val="4EC36703"/>
    <w:lvl w:ilvl="0" w:tentative="0">
      <w:start w:val="1"/>
      <w:numFmt w:val="decimal"/>
      <w:suff w:val="space"/>
      <w:lvlText w:val="%1"/>
      <w:lvlJc w:val="left"/>
      <w:pPr>
        <w:ind w:left="0" w:firstLine="0"/>
      </w:pPr>
      <w:rPr>
        <w:rFonts w:hint="eastAsia" w:ascii="黑体" w:eastAsia="黑体"/>
        <w:b w:val="0"/>
        <w:i w:val="0"/>
        <w:sz w:val="32"/>
      </w:rPr>
    </w:lvl>
    <w:lvl w:ilvl="1" w:tentative="0">
      <w:start w:val="1"/>
      <w:numFmt w:val="decimal"/>
      <w:suff w:val="space"/>
      <w:lvlText w:val="%1.%2"/>
      <w:lvlJc w:val="left"/>
      <w:pPr>
        <w:ind w:left="0" w:firstLine="0"/>
      </w:pPr>
      <w:rPr>
        <w:rFonts w:hint="eastAsia" w:ascii="宋体" w:eastAsia="宋体"/>
        <w:b w:val="0"/>
        <w:i w:val="0"/>
        <w:sz w:val="28"/>
      </w:rPr>
    </w:lvl>
    <w:lvl w:ilvl="2" w:tentative="0">
      <w:start w:val="1"/>
      <w:numFmt w:val="decimal"/>
      <w:suff w:val="space"/>
      <w:lvlText w:val="%1.%2.%3"/>
      <w:lvlJc w:val="left"/>
      <w:pPr>
        <w:ind w:left="0" w:firstLine="0"/>
      </w:pPr>
      <w:rPr>
        <w:rFonts w:hint="eastAsia" w:ascii="宋体" w:eastAsia="宋体"/>
        <w:b w:val="0"/>
        <w:i w:val="0"/>
        <w:sz w:val="28"/>
      </w:rPr>
    </w:lvl>
    <w:lvl w:ilvl="3" w:tentative="0">
      <w:start w:val="1"/>
      <w:numFmt w:val="decimal"/>
      <w:suff w:val="space"/>
      <w:lvlText w:val="%1.%2.%3.%4"/>
      <w:lvlJc w:val="left"/>
      <w:pPr>
        <w:ind w:left="0" w:firstLine="0"/>
      </w:pPr>
      <w:rPr>
        <w:rFonts w:hint="eastAsia" w:ascii="宋体" w:eastAsia="宋体"/>
        <w:b w:val="0"/>
        <w:i w:val="0"/>
        <w:sz w:val="28"/>
      </w:rPr>
    </w:lvl>
    <w:lvl w:ilvl="4" w:tentative="0">
      <w:start w:val="1"/>
      <w:numFmt w:val="decimal"/>
      <w:lvlText w:val="%1.%2.%3.%4.%5."/>
      <w:lvlJc w:val="left"/>
      <w:pPr>
        <w:tabs>
          <w:tab w:val="left" w:pos="1800"/>
        </w:tabs>
        <w:ind w:left="992" w:hanging="992"/>
      </w:pPr>
      <w:rPr>
        <w:rFonts w:hint="eastAsia"/>
      </w:rPr>
    </w:lvl>
    <w:lvl w:ilvl="5" w:tentative="0">
      <w:start w:val="1"/>
      <w:numFmt w:val="decimal"/>
      <w:pStyle w:val="1062"/>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5982CBC0"/>
    <w:multiLevelType w:val="multilevel"/>
    <w:tmpl w:val="5982CBC0"/>
    <w:lvl w:ilvl="0" w:tentative="0">
      <w:start w:val="1"/>
      <w:numFmt w:val="decimal"/>
      <w:pStyle w:val="1451"/>
      <w:suff w:val="nothing"/>
      <w:lvlText w:val="表7-%1"/>
      <w:lvlJc w:val="left"/>
      <w:pPr>
        <w:tabs>
          <w:tab w:val="left" w:pos="0"/>
        </w:tabs>
        <w:ind w:left="0" w:firstLine="420"/>
      </w:pPr>
      <w:rPr>
        <w:rFonts w:hint="default" w:ascii="Times New Roman" w:hAnsi="Times New Roman" w:eastAsia="宋体" w:cs="宋体"/>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2">
    <w:nsid w:val="59843C17"/>
    <w:multiLevelType w:val="multilevel"/>
    <w:tmpl w:val="59843C17"/>
    <w:lvl w:ilvl="0" w:tentative="0">
      <w:start w:val="1"/>
      <w:numFmt w:val="decimal"/>
      <w:pStyle w:val="1450"/>
      <w:suff w:val="nothing"/>
      <w:lvlText w:val="表1-%1"/>
      <w:lvlJc w:val="left"/>
      <w:pPr>
        <w:tabs>
          <w:tab w:val="left" w:pos="0"/>
        </w:tabs>
        <w:ind w:left="0" w:firstLine="420"/>
      </w:pPr>
      <w:rPr>
        <w:rFonts w:hint="default" w:ascii="Times New Roman" w:hAnsi="Times New Roman" w:eastAsia="宋体" w:cs="宋体"/>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3">
    <w:nsid w:val="59843C3D"/>
    <w:multiLevelType w:val="multilevel"/>
    <w:tmpl w:val="59843C3D"/>
    <w:lvl w:ilvl="0" w:tentative="0">
      <w:start w:val="1"/>
      <w:numFmt w:val="decimal"/>
      <w:pStyle w:val="1452"/>
      <w:suff w:val="nothing"/>
      <w:lvlText w:val="表5-%1"/>
      <w:lvlJc w:val="left"/>
      <w:pPr>
        <w:tabs>
          <w:tab w:val="left" w:pos="0"/>
        </w:tabs>
        <w:ind w:left="0" w:firstLine="420"/>
      </w:pPr>
      <w:rPr>
        <w:rFonts w:hint="default" w:ascii="Times New Roman" w:hAnsi="Times New Roman" w:eastAsia="宋体" w:cs="宋体"/>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4">
    <w:nsid w:val="598A7868"/>
    <w:multiLevelType w:val="multilevel"/>
    <w:tmpl w:val="598A7868"/>
    <w:lvl w:ilvl="0" w:tentative="0">
      <w:start w:val="1"/>
      <w:numFmt w:val="decimal"/>
      <w:pStyle w:val="1449"/>
      <w:suff w:val="nothing"/>
      <w:lvlText w:val="表2-%1"/>
      <w:lvlJc w:val="left"/>
      <w:pPr>
        <w:tabs>
          <w:tab w:val="left" w:pos="0"/>
        </w:tabs>
        <w:ind w:left="0" w:firstLine="420"/>
      </w:pPr>
      <w:rPr>
        <w:rFonts w:hint="default" w:ascii="Times New Roman" w:hAnsi="Times New Roman" w:eastAsia="宋体" w:cs="宋体"/>
        <w:b/>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5">
    <w:nsid w:val="612C2EAF"/>
    <w:multiLevelType w:val="multilevel"/>
    <w:tmpl w:val="612C2EAF"/>
    <w:lvl w:ilvl="0" w:tentative="0">
      <w:start w:val="1"/>
      <w:numFmt w:val="chineseCountingThousand"/>
      <w:suff w:val="nothing"/>
      <w:lvlText w:val="%1、"/>
      <w:lvlJc w:val="left"/>
      <w:pPr>
        <w:ind w:left="5529" w:firstLine="0"/>
      </w:pPr>
      <w:rPr>
        <w:rFonts w:hint="eastAsia"/>
      </w:rPr>
    </w:lvl>
    <w:lvl w:ilvl="1" w:tentative="0">
      <w:start w:val="1"/>
      <w:numFmt w:val="decimal"/>
      <w:isLgl/>
      <w:suff w:val="space"/>
      <w:lvlText w:val="%1.%2"/>
      <w:lvlJc w:val="left"/>
      <w:pPr>
        <w:ind w:left="0" w:firstLine="0"/>
      </w:pPr>
      <w:rPr>
        <w:rFonts w:hint="default"/>
      </w:rPr>
    </w:lvl>
    <w:lvl w:ilvl="2" w:tentative="0">
      <w:start w:val="1"/>
      <w:numFmt w:val="decimal"/>
      <w:isLgl/>
      <w:suff w:val="space"/>
      <w:lvlText w:val="%1.%2.%3"/>
      <w:lvlJc w:val="left"/>
      <w:pPr>
        <w:ind w:left="0" w:firstLine="0"/>
      </w:pPr>
      <w:rPr>
        <w:rFonts w:hint="eastAsia"/>
      </w:rPr>
    </w:lvl>
    <w:lvl w:ilvl="3" w:tentative="0">
      <w:start w:val="1"/>
      <w:numFmt w:val="decimal"/>
      <w:lvlRestart w:val="2"/>
      <w:pStyle w:val="1410"/>
      <w:isLgl/>
      <w:suff w:val="space"/>
      <w:lvlText w:val="表%1.%2-%4"/>
      <w:lvlJc w:val="left"/>
      <w:pPr>
        <w:ind w:left="0" w:firstLine="0"/>
      </w:pPr>
      <w:rPr>
        <w:rFonts w:hint="eastAsia"/>
      </w:rPr>
    </w:lvl>
    <w:lvl w:ilvl="4" w:tentative="0">
      <w:start w:val="1"/>
      <w:numFmt w:val="decimal"/>
      <w:lvlRestart w:val="2"/>
      <w:isLgl/>
      <w:suff w:val="space"/>
      <w:lvlText w:val="图%1.%2-%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6">
    <w:nsid w:val="63FE427B"/>
    <w:multiLevelType w:val="multilevel"/>
    <w:tmpl w:val="63FE427B"/>
    <w:lvl w:ilvl="0" w:tentative="0">
      <w:start w:val="1"/>
      <w:numFmt w:val="decimal"/>
      <w:pStyle w:val="2"/>
      <w:isLgl/>
      <w:lvlText w:val="%1"/>
      <w:lvlJc w:val="left"/>
      <w:pPr>
        <w:tabs>
          <w:tab w:val="left" w:pos="432"/>
        </w:tabs>
        <w:ind w:left="432" w:hanging="432"/>
      </w:pPr>
      <w:rPr>
        <w:rFonts w:ascii="Times New Roman" w:hAnsi="宋体" w:eastAsia="宋体" w:cs="Times New Roman"/>
        <w:b/>
        <w:i w:val="0"/>
        <w:color w:val="auto"/>
        <w:sz w:val="32"/>
        <w:szCs w:val="32"/>
        <w:u w:val="none"/>
      </w:r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2400" w:hanging="720"/>
      </w:pPr>
    </w:lvl>
    <w:lvl w:ilvl="3" w:tentative="0">
      <w:start w:val="1"/>
      <w:numFmt w:val="decimal"/>
      <w:pStyle w:val="5"/>
      <w:lvlText w:val="%1.%2.%3.%4"/>
      <w:lvlJc w:val="left"/>
      <w:pPr>
        <w:tabs>
          <w:tab w:val="left" w:pos="864"/>
        </w:tabs>
        <w:ind w:left="3022" w:hanging="864"/>
      </w:pPr>
    </w:lvl>
    <w:lvl w:ilvl="4" w:tentative="0">
      <w:start w:val="1"/>
      <w:numFmt w:val="decimal"/>
      <w:pStyle w:val="532"/>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7">
    <w:nsid w:val="7C506CF4"/>
    <w:multiLevelType w:val="multilevel"/>
    <w:tmpl w:val="7C506CF4"/>
    <w:lvl w:ilvl="0" w:tentative="0">
      <w:start w:val="1"/>
      <w:numFmt w:val="chineseCountingThousand"/>
      <w:pStyle w:val="288"/>
      <w:suff w:val="space"/>
      <w:lvlText w:val="第%1章  "/>
      <w:lvlJc w:val="center"/>
      <w:pPr>
        <w:ind w:left="0" w:firstLine="0"/>
      </w:pPr>
      <w:rPr>
        <w:rFonts w:hint="eastAsia" w:ascii="Times New Roman" w:hAnsi="Times New Roman" w:cs="Times New Roman"/>
        <w:bCs w:val="0"/>
        <w:i w:val="0"/>
        <w:iCs w:val="0"/>
        <w:caps w:val="0"/>
        <w:smallCaps w:val="0"/>
        <w:strike w:val="0"/>
        <w:dstrike w:val="0"/>
        <w:outline w:val="0"/>
        <w:shadow w:val="0"/>
        <w:emboss w:val="0"/>
        <w:imprint w:val="0"/>
        <w:vanish w:val="0"/>
        <w:color w:val="000000"/>
        <w:spacing w:val="0"/>
        <w:kern w:val="0"/>
        <w:position w:val="0"/>
        <w:u w:val="none"/>
        <w:vertAlign w:val="baseline"/>
      </w:rPr>
    </w:lvl>
    <w:lvl w:ilvl="1" w:tentative="0">
      <w:start w:val="1"/>
      <w:numFmt w:val="decimal"/>
      <w:pStyle w:val="249"/>
      <w:isLgl/>
      <w:lvlText w:val="%1.%2"/>
      <w:lvlJc w:val="left"/>
      <w:pPr>
        <w:ind w:left="0" w:firstLine="0"/>
      </w:pPr>
      <w:rPr>
        <w:rFonts w:hint="eastAsia"/>
      </w:rPr>
    </w:lvl>
    <w:lvl w:ilvl="2" w:tentative="0">
      <w:start w:val="1"/>
      <w:numFmt w:val="decimal"/>
      <w:pStyle w:val="192"/>
      <w:isLgl/>
      <w:lvlText w:val="%1.%2.%3"/>
      <w:lvlJc w:val="left"/>
      <w:pPr>
        <w:ind w:left="0" w:firstLine="0"/>
      </w:pPr>
      <w:rPr>
        <w:rFonts w:hint="eastAsia" w:ascii="Times New Roman" w:hAnsi="Times New Roman" w:cs="Times New Roman"/>
        <w:bCs w:val="0"/>
        <w:i w:val="0"/>
        <w:iCs w:val="0"/>
        <w:caps w:val="0"/>
        <w:smallCaps w:val="0"/>
        <w:strike w:val="0"/>
        <w:dstrike w:val="0"/>
        <w:outline w:val="0"/>
        <w:shadow w:val="0"/>
        <w:emboss w:val="0"/>
        <w:imprint w:val="0"/>
        <w:vanish w:val="0"/>
        <w:color w:val="000000"/>
        <w:spacing w:val="0"/>
        <w:kern w:val="0"/>
        <w:position w:val="0"/>
        <w:u w:val="none"/>
        <w:vertAlign w:val="baseline"/>
      </w:rPr>
    </w:lvl>
    <w:lvl w:ilvl="3" w:tentative="0">
      <w:start w:val="1"/>
      <w:numFmt w:val="decimal"/>
      <w:pStyle w:val="190"/>
      <w:isLgl/>
      <w:lvlText w:val="%1.%2.%3.%4"/>
      <w:lvlJc w:val="left"/>
      <w:pPr>
        <w:ind w:left="0" w:firstLine="0"/>
      </w:pPr>
      <w:rPr>
        <w:rFonts w:hint="eastAsia" w:ascii="Times New Roman" w:hAnsi="Times New Roman" w:cs="Times New Roman"/>
        <w:bCs w:val="0"/>
        <w:i w:val="0"/>
        <w:iCs w:val="0"/>
        <w:caps w:val="0"/>
        <w:smallCaps w:val="0"/>
        <w:strike w:val="0"/>
        <w:dstrike w:val="0"/>
        <w:outline w:val="0"/>
        <w:shadow w:val="0"/>
        <w:emboss w:val="0"/>
        <w:imprint w:val="0"/>
        <w:vanish w:val="0"/>
        <w:color w:val="000000"/>
        <w:spacing w:val="0"/>
        <w:kern w:val="0"/>
        <w:position w:val="0"/>
        <w:u w:val="none"/>
        <w:vertAlign w:val="baseline"/>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6"/>
  </w:num>
  <w:num w:numId="2">
    <w:abstractNumId w:val="3"/>
  </w:num>
  <w:num w:numId="3">
    <w:abstractNumId w:val="2"/>
  </w:num>
  <w:num w:numId="4">
    <w:abstractNumId w:val="17"/>
  </w:num>
  <w:num w:numId="5">
    <w:abstractNumId w:val="7"/>
  </w:num>
  <w:num w:numId="6">
    <w:abstractNumId w:val="5"/>
  </w:num>
  <w:num w:numId="7">
    <w:abstractNumId w:val="6"/>
  </w:num>
  <w:num w:numId="8">
    <w:abstractNumId w:val="10"/>
  </w:num>
  <w:num w:numId="9">
    <w:abstractNumId w:val="9"/>
  </w:num>
  <w:num w:numId="10">
    <w:abstractNumId w:val="15"/>
  </w:num>
  <w:num w:numId="11">
    <w:abstractNumId w:val="4"/>
  </w:num>
  <w:num w:numId="12">
    <w:abstractNumId w:val="14"/>
  </w:num>
  <w:num w:numId="13">
    <w:abstractNumId w:val="12"/>
  </w:num>
  <w:num w:numId="14">
    <w:abstractNumId w:val="11"/>
  </w:num>
  <w:num w:numId="15">
    <w:abstractNumId w:val="13"/>
  </w:num>
  <w:num w:numId="16">
    <w:abstractNumId w:val="0"/>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4M2RhOTQzZjExNThkYTFiNGJiNDcyZmM4MTE4OWEifQ=="/>
  </w:docVars>
  <w:rsids>
    <w:rsidRoot w:val="00172A27"/>
    <w:rsid w:val="000000E6"/>
    <w:rsid w:val="00000573"/>
    <w:rsid w:val="00000794"/>
    <w:rsid w:val="000007EF"/>
    <w:rsid w:val="0000082E"/>
    <w:rsid w:val="00000E1F"/>
    <w:rsid w:val="00000F33"/>
    <w:rsid w:val="00000FAB"/>
    <w:rsid w:val="00001625"/>
    <w:rsid w:val="00001A0E"/>
    <w:rsid w:val="00001FBB"/>
    <w:rsid w:val="00002014"/>
    <w:rsid w:val="000020BD"/>
    <w:rsid w:val="0000217A"/>
    <w:rsid w:val="000023E3"/>
    <w:rsid w:val="00002425"/>
    <w:rsid w:val="00002D4B"/>
    <w:rsid w:val="00003099"/>
    <w:rsid w:val="00003416"/>
    <w:rsid w:val="00003B8D"/>
    <w:rsid w:val="00003C6F"/>
    <w:rsid w:val="00003CCA"/>
    <w:rsid w:val="00003D4E"/>
    <w:rsid w:val="00003F1B"/>
    <w:rsid w:val="00004084"/>
    <w:rsid w:val="0000421A"/>
    <w:rsid w:val="0000457B"/>
    <w:rsid w:val="000045F5"/>
    <w:rsid w:val="00004693"/>
    <w:rsid w:val="000048FF"/>
    <w:rsid w:val="00004B6E"/>
    <w:rsid w:val="00004E57"/>
    <w:rsid w:val="0000585F"/>
    <w:rsid w:val="00005964"/>
    <w:rsid w:val="00005A74"/>
    <w:rsid w:val="00006018"/>
    <w:rsid w:val="00006750"/>
    <w:rsid w:val="00006A56"/>
    <w:rsid w:val="00006F2E"/>
    <w:rsid w:val="0000710E"/>
    <w:rsid w:val="000074BB"/>
    <w:rsid w:val="00007587"/>
    <w:rsid w:val="0000758F"/>
    <w:rsid w:val="000078C5"/>
    <w:rsid w:val="00007A47"/>
    <w:rsid w:val="00007B1B"/>
    <w:rsid w:val="00010228"/>
    <w:rsid w:val="000103B5"/>
    <w:rsid w:val="000105D5"/>
    <w:rsid w:val="00010758"/>
    <w:rsid w:val="00010E03"/>
    <w:rsid w:val="000112CD"/>
    <w:rsid w:val="0001138E"/>
    <w:rsid w:val="0001148C"/>
    <w:rsid w:val="00011624"/>
    <w:rsid w:val="00011EDF"/>
    <w:rsid w:val="00012188"/>
    <w:rsid w:val="000122C7"/>
    <w:rsid w:val="0001241A"/>
    <w:rsid w:val="00012463"/>
    <w:rsid w:val="00012CF9"/>
    <w:rsid w:val="00013357"/>
    <w:rsid w:val="000134CC"/>
    <w:rsid w:val="00013535"/>
    <w:rsid w:val="0001385A"/>
    <w:rsid w:val="00013A40"/>
    <w:rsid w:val="00013BAF"/>
    <w:rsid w:val="00013CC5"/>
    <w:rsid w:val="00013DF2"/>
    <w:rsid w:val="00014092"/>
    <w:rsid w:val="000140FD"/>
    <w:rsid w:val="00014657"/>
    <w:rsid w:val="0001476E"/>
    <w:rsid w:val="00014BBC"/>
    <w:rsid w:val="00014F74"/>
    <w:rsid w:val="00015318"/>
    <w:rsid w:val="000154F9"/>
    <w:rsid w:val="000156E0"/>
    <w:rsid w:val="000157C3"/>
    <w:rsid w:val="000157D7"/>
    <w:rsid w:val="00015871"/>
    <w:rsid w:val="0001591E"/>
    <w:rsid w:val="00015B0C"/>
    <w:rsid w:val="00015B98"/>
    <w:rsid w:val="00015BB9"/>
    <w:rsid w:val="000161F9"/>
    <w:rsid w:val="000163BD"/>
    <w:rsid w:val="00016426"/>
    <w:rsid w:val="000164E4"/>
    <w:rsid w:val="00016656"/>
    <w:rsid w:val="00016FDC"/>
    <w:rsid w:val="000170BC"/>
    <w:rsid w:val="000174B9"/>
    <w:rsid w:val="00017812"/>
    <w:rsid w:val="00017957"/>
    <w:rsid w:val="00020017"/>
    <w:rsid w:val="0002010D"/>
    <w:rsid w:val="000202ED"/>
    <w:rsid w:val="00020482"/>
    <w:rsid w:val="0002067E"/>
    <w:rsid w:val="00020919"/>
    <w:rsid w:val="0002192F"/>
    <w:rsid w:val="00021B57"/>
    <w:rsid w:val="000221DC"/>
    <w:rsid w:val="0002237F"/>
    <w:rsid w:val="0002240D"/>
    <w:rsid w:val="00022554"/>
    <w:rsid w:val="00022A8B"/>
    <w:rsid w:val="00022DD1"/>
    <w:rsid w:val="000233AF"/>
    <w:rsid w:val="00023835"/>
    <w:rsid w:val="00023869"/>
    <w:rsid w:val="00023AB2"/>
    <w:rsid w:val="00023AFE"/>
    <w:rsid w:val="00023B1F"/>
    <w:rsid w:val="00023C17"/>
    <w:rsid w:val="00023FE5"/>
    <w:rsid w:val="00024F01"/>
    <w:rsid w:val="000257AD"/>
    <w:rsid w:val="000259C5"/>
    <w:rsid w:val="00025D1B"/>
    <w:rsid w:val="00025E19"/>
    <w:rsid w:val="00025FC3"/>
    <w:rsid w:val="000261BD"/>
    <w:rsid w:val="0002621B"/>
    <w:rsid w:val="000262F5"/>
    <w:rsid w:val="00026431"/>
    <w:rsid w:val="00026627"/>
    <w:rsid w:val="00026AC8"/>
    <w:rsid w:val="00026D25"/>
    <w:rsid w:val="00026D60"/>
    <w:rsid w:val="00026DED"/>
    <w:rsid w:val="0002705E"/>
    <w:rsid w:val="0002713A"/>
    <w:rsid w:val="00027218"/>
    <w:rsid w:val="0002747F"/>
    <w:rsid w:val="0002753E"/>
    <w:rsid w:val="00027621"/>
    <w:rsid w:val="000278D7"/>
    <w:rsid w:val="000278E0"/>
    <w:rsid w:val="00030001"/>
    <w:rsid w:val="00030111"/>
    <w:rsid w:val="00030232"/>
    <w:rsid w:val="00030355"/>
    <w:rsid w:val="0003057B"/>
    <w:rsid w:val="000306C2"/>
    <w:rsid w:val="0003087A"/>
    <w:rsid w:val="00030C29"/>
    <w:rsid w:val="00030DA0"/>
    <w:rsid w:val="00030ECF"/>
    <w:rsid w:val="0003129D"/>
    <w:rsid w:val="000312A5"/>
    <w:rsid w:val="00031357"/>
    <w:rsid w:val="00031665"/>
    <w:rsid w:val="0003169E"/>
    <w:rsid w:val="000319AB"/>
    <w:rsid w:val="00031F3E"/>
    <w:rsid w:val="0003219E"/>
    <w:rsid w:val="0003292A"/>
    <w:rsid w:val="00032B53"/>
    <w:rsid w:val="00032E84"/>
    <w:rsid w:val="00033368"/>
    <w:rsid w:val="00033D5D"/>
    <w:rsid w:val="000345B5"/>
    <w:rsid w:val="000347EB"/>
    <w:rsid w:val="00034B10"/>
    <w:rsid w:val="00034F75"/>
    <w:rsid w:val="00035623"/>
    <w:rsid w:val="00035674"/>
    <w:rsid w:val="00035832"/>
    <w:rsid w:val="00035906"/>
    <w:rsid w:val="000359D9"/>
    <w:rsid w:val="00035DD5"/>
    <w:rsid w:val="00036031"/>
    <w:rsid w:val="0003604A"/>
    <w:rsid w:val="00036214"/>
    <w:rsid w:val="0003629C"/>
    <w:rsid w:val="00036421"/>
    <w:rsid w:val="00036479"/>
    <w:rsid w:val="000369D0"/>
    <w:rsid w:val="00036A38"/>
    <w:rsid w:val="00036E26"/>
    <w:rsid w:val="00037833"/>
    <w:rsid w:val="00037B80"/>
    <w:rsid w:val="00037ED8"/>
    <w:rsid w:val="000401FF"/>
    <w:rsid w:val="00040239"/>
    <w:rsid w:val="00040511"/>
    <w:rsid w:val="000407AF"/>
    <w:rsid w:val="000408B0"/>
    <w:rsid w:val="00040E55"/>
    <w:rsid w:val="00041251"/>
    <w:rsid w:val="00041D2C"/>
    <w:rsid w:val="00041DEC"/>
    <w:rsid w:val="00042063"/>
    <w:rsid w:val="000422E6"/>
    <w:rsid w:val="00042B14"/>
    <w:rsid w:val="00042E78"/>
    <w:rsid w:val="0004330F"/>
    <w:rsid w:val="00043760"/>
    <w:rsid w:val="00043819"/>
    <w:rsid w:val="00043BCD"/>
    <w:rsid w:val="00043D75"/>
    <w:rsid w:val="00043FD2"/>
    <w:rsid w:val="000440AF"/>
    <w:rsid w:val="000444DF"/>
    <w:rsid w:val="00044977"/>
    <w:rsid w:val="00044DD4"/>
    <w:rsid w:val="00045114"/>
    <w:rsid w:val="00045221"/>
    <w:rsid w:val="000452CA"/>
    <w:rsid w:val="000452CB"/>
    <w:rsid w:val="0004551E"/>
    <w:rsid w:val="00045640"/>
    <w:rsid w:val="00045C25"/>
    <w:rsid w:val="00045CC7"/>
    <w:rsid w:val="00045CD0"/>
    <w:rsid w:val="00045DF5"/>
    <w:rsid w:val="000461BB"/>
    <w:rsid w:val="0004639F"/>
    <w:rsid w:val="000463E9"/>
    <w:rsid w:val="00046485"/>
    <w:rsid w:val="000466FC"/>
    <w:rsid w:val="00046D27"/>
    <w:rsid w:val="00046F0D"/>
    <w:rsid w:val="00046F64"/>
    <w:rsid w:val="00047907"/>
    <w:rsid w:val="0004797B"/>
    <w:rsid w:val="00047A5B"/>
    <w:rsid w:val="00047C0D"/>
    <w:rsid w:val="00047D87"/>
    <w:rsid w:val="00047DC8"/>
    <w:rsid w:val="00047EE5"/>
    <w:rsid w:val="0005024B"/>
    <w:rsid w:val="000504E1"/>
    <w:rsid w:val="00050CA8"/>
    <w:rsid w:val="00050CF4"/>
    <w:rsid w:val="00050ECD"/>
    <w:rsid w:val="00050FF2"/>
    <w:rsid w:val="00051259"/>
    <w:rsid w:val="00051BBA"/>
    <w:rsid w:val="000520D8"/>
    <w:rsid w:val="0005237E"/>
    <w:rsid w:val="00052A25"/>
    <w:rsid w:val="00052F12"/>
    <w:rsid w:val="0005311A"/>
    <w:rsid w:val="00053878"/>
    <w:rsid w:val="000538F0"/>
    <w:rsid w:val="00053981"/>
    <w:rsid w:val="00053AA5"/>
    <w:rsid w:val="00053B99"/>
    <w:rsid w:val="00053FF2"/>
    <w:rsid w:val="000541EF"/>
    <w:rsid w:val="00054251"/>
    <w:rsid w:val="00054437"/>
    <w:rsid w:val="000545C3"/>
    <w:rsid w:val="000546E4"/>
    <w:rsid w:val="000546F9"/>
    <w:rsid w:val="00054815"/>
    <w:rsid w:val="00054B36"/>
    <w:rsid w:val="00054DA8"/>
    <w:rsid w:val="0005527E"/>
    <w:rsid w:val="00055689"/>
    <w:rsid w:val="000558FB"/>
    <w:rsid w:val="000559F9"/>
    <w:rsid w:val="00055CA5"/>
    <w:rsid w:val="00055D2E"/>
    <w:rsid w:val="00055F81"/>
    <w:rsid w:val="00056317"/>
    <w:rsid w:val="000565CE"/>
    <w:rsid w:val="00056A57"/>
    <w:rsid w:val="00056DEF"/>
    <w:rsid w:val="00056FF6"/>
    <w:rsid w:val="0005709E"/>
    <w:rsid w:val="000570AF"/>
    <w:rsid w:val="000578CC"/>
    <w:rsid w:val="00057945"/>
    <w:rsid w:val="00057988"/>
    <w:rsid w:val="00057AE5"/>
    <w:rsid w:val="00057C50"/>
    <w:rsid w:val="00060115"/>
    <w:rsid w:val="000601C4"/>
    <w:rsid w:val="000602FA"/>
    <w:rsid w:val="00060331"/>
    <w:rsid w:val="000606F8"/>
    <w:rsid w:val="00060A7B"/>
    <w:rsid w:val="00060B19"/>
    <w:rsid w:val="00060FB2"/>
    <w:rsid w:val="00061119"/>
    <w:rsid w:val="000614DB"/>
    <w:rsid w:val="00061DB7"/>
    <w:rsid w:val="00062112"/>
    <w:rsid w:val="00062357"/>
    <w:rsid w:val="00062380"/>
    <w:rsid w:val="00062977"/>
    <w:rsid w:val="00062986"/>
    <w:rsid w:val="000629BB"/>
    <w:rsid w:val="00062ADE"/>
    <w:rsid w:val="00062AE3"/>
    <w:rsid w:val="00062B67"/>
    <w:rsid w:val="00062E62"/>
    <w:rsid w:val="00062EF6"/>
    <w:rsid w:val="00062F24"/>
    <w:rsid w:val="000630ED"/>
    <w:rsid w:val="00063317"/>
    <w:rsid w:val="000636DB"/>
    <w:rsid w:val="00063C59"/>
    <w:rsid w:val="00063C7E"/>
    <w:rsid w:val="00063CFA"/>
    <w:rsid w:val="00064129"/>
    <w:rsid w:val="00064304"/>
    <w:rsid w:val="000648DB"/>
    <w:rsid w:val="00064CE3"/>
    <w:rsid w:val="00064E42"/>
    <w:rsid w:val="00064FA1"/>
    <w:rsid w:val="000653C7"/>
    <w:rsid w:val="0006549C"/>
    <w:rsid w:val="000654EF"/>
    <w:rsid w:val="000657AB"/>
    <w:rsid w:val="00065A1D"/>
    <w:rsid w:val="00065AFA"/>
    <w:rsid w:val="000660F8"/>
    <w:rsid w:val="000662C3"/>
    <w:rsid w:val="0006651D"/>
    <w:rsid w:val="00066991"/>
    <w:rsid w:val="00066A3F"/>
    <w:rsid w:val="00066A6E"/>
    <w:rsid w:val="00066B55"/>
    <w:rsid w:val="00066F65"/>
    <w:rsid w:val="0006714A"/>
    <w:rsid w:val="000677DE"/>
    <w:rsid w:val="000679C3"/>
    <w:rsid w:val="00067A94"/>
    <w:rsid w:val="00067CB1"/>
    <w:rsid w:val="000702F9"/>
    <w:rsid w:val="000703EF"/>
    <w:rsid w:val="0007067F"/>
    <w:rsid w:val="000707CD"/>
    <w:rsid w:val="00070929"/>
    <w:rsid w:val="00070CFC"/>
    <w:rsid w:val="00070E3B"/>
    <w:rsid w:val="00070E70"/>
    <w:rsid w:val="00070F5C"/>
    <w:rsid w:val="00070FBE"/>
    <w:rsid w:val="00071135"/>
    <w:rsid w:val="000715FA"/>
    <w:rsid w:val="000717EA"/>
    <w:rsid w:val="00071BEF"/>
    <w:rsid w:val="00071DC7"/>
    <w:rsid w:val="00071E79"/>
    <w:rsid w:val="00071F33"/>
    <w:rsid w:val="000724B7"/>
    <w:rsid w:val="0007295C"/>
    <w:rsid w:val="0007299E"/>
    <w:rsid w:val="00072DBF"/>
    <w:rsid w:val="0007344F"/>
    <w:rsid w:val="00073767"/>
    <w:rsid w:val="000739C7"/>
    <w:rsid w:val="00073A09"/>
    <w:rsid w:val="00073A28"/>
    <w:rsid w:val="00073AC4"/>
    <w:rsid w:val="00073BEE"/>
    <w:rsid w:val="00073F2B"/>
    <w:rsid w:val="000740A1"/>
    <w:rsid w:val="00074467"/>
    <w:rsid w:val="000746AE"/>
    <w:rsid w:val="00074BE9"/>
    <w:rsid w:val="00074C39"/>
    <w:rsid w:val="00074D14"/>
    <w:rsid w:val="00075136"/>
    <w:rsid w:val="0007516D"/>
    <w:rsid w:val="0007519E"/>
    <w:rsid w:val="00075667"/>
    <w:rsid w:val="00075808"/>
    <w:rsid w:val="0007584E"/>
    <w:rsid w:val="0007590B"/>
    <w:rsid w:val="00075BFF"/>
    <w:rsid w:val="00075DDF"/>
    <w:rsid w:val="00075F30"/>
    <w:rsid w:val="0007630D"/>
    <w:rsid w:val="00076541"/>
    <w:rsid w:val="00076673"/>
    <w:rsid w:val="000769BA"/>
    <w:rsid w:val="00076B34"/>
    <w:rsid w:val="00076DB0"/>
    <w:rsid w:val="0007700F"/>
    <w:rsid w:val="0007707C"/>
    <w:rsid w:val="000773D6"/>
    <w:rsid w:val="00077543"/>
    <w:rsid w:val="0007759A"/>
    <w:rsid w:val="00077788"/>
    <w:rsid w:val="00077790"/>
    <w:rsid w:val="00077F35"/>
    <w:rsid w:val="000800C3"/>
    <w:rsid w:val="0008102A"/>
    <w:rsid w:val="00081197"/>
    <w:rsid w:val="0008138C"/>
    <w:rsid w:val="0008178D"/>
    <w:rsid w:val="000817F7"/>
    <w:rsid w:val="00081BBB"/>
    <w:rsid w:val="00081DB0"/>
    <w:rsid w:val="00081F83"/>
    <w:rsid w:val="000829D8"/>
    <w:rsid w:val="00082A9C"/>
    <w:rsid w:val="00082B25"/>
    <w:rsid w:val="00082C07"/>
    <w:rsid w:val="00083114"/>
    <w:rsid w:val="0008313E"/>
    <w:rsid w:val="000832A3"/>
    <w:rsid w:val="000834E0"/>
    <w:rsid w:val="00083668"/>
    <w:rsid w:val="00083884"/>
    <w:rsid w:val="000839F7"/>
    <w:rsid w:val="00083A19"/>
    <w:rsid w:val="00083BCA"/>
    <w:rsid w:val="00083D59"/>
    <w:rsid w:val="00084406"/>
    <w:rsid w:val="00084690"/>
    <w:rsid w:val="000848E4"/>
    <w:rsid w:val="00084A5F"/>
    <w:rsid w:val="00084C62"/>
    <w:rsid w:val="0008521E"/>
    <w:rsid w:val="00085372"/>
    <w:rsid w:val="0008572B"/>
    <w:rsid w:val="000857AF"/>
    <w:rsid w:val="00085B62"/>
    <w:rsid w:val="00085E3C"/>
    <w:rsid w:val="00085E51"/>
    <w:rsid w:val="00085F53"/>
    <w:rsid w:val="0008601F"/>
    <w:rsid w:val="000866D8"/>
    <w:rsid w:val="00086822"/>
    <w:rsid w:val="00086BE9"/>
    <w:rsid w:val="00086D69"/>
    <w:rsid w:val="000871E0"/>
    <w:rsid w:val="000875E3"/>
    <w:rsid w:val="0008763B"/>
    <w:rsid w:val="00087A5F"/>
    <w:rsid w:val="00087C80"/>
    <w:rsid w:val="000904CC"/>
    <w:rsid w:val="00090E7F"/>
    <w:rsid w:val="00090F45"/>
    <w:rsid w:val="000911CC"/>
    <w:rsid w:val="00091B7C"/>
    <w:rsid w:val="00091D11"/>
    <w:rsid w:val="0009209C"/>
    <w:rsid w:val="000922A2"/>
    <w:rsid w:val="000922D4"/>
    <w:rsid w:val="00092332"/>
    <w:rsid w:val="00092673"/>
    <w:rsid w:val="00093019"/>
    <w:rsid w:val="00093137"/>
    <w:rsid w:val="00093252"/>
    <w:rsid w:val="00093366"/>
    <w:rsid w:val="0009349E"/>
    <w:rsid w:val="00093751"/>
    <w:rsid w:val="00093882"/>
    <w:rsid w:val="000938F2"/>
    <w:rsid w:val="00093AAA"/>
    <w:rsid w:val="00093C9D"/>
    <w:rsid w:val="00093F3A"/>
    <w:rsid w:val="00094289"/>
    <w:rsid w:val="00094300"/>
    <w:rsid w:val="000943FA"/>
    <w:rsid w:val="0009451C"/>
    <w:rsid w:val="000947B3"/>
    <w:rsid w:val="0009495D"/>
    <w:rsid w:val="000949CA"/>
    <w:rsid w:val="00094ABA"/>
    <w:rsid w:val="00094CAC"/>
    <w:rsid w:val="00094EEF"/>
    <w:rsid w:val="00095128"/>
    <w:rsid w:val="000951A8"/>
    <w:rsid w:val="0009522F"/>
    <w:rsid w:val="0009523F"/>
    <w:rsid w:val="000952BC"/>
    <w:rsid w:val="000952DA"/>
    <w:rsid w:val="00095337"/>
    <w:rsid w:val="00095366"/>
    <w:rsid w:val="00095B45"/>
    <w:rsid w:val="00095F3B"/>
    <w:rsid w:val="000961A4"/>
    <w:rsid w:val="00096680"/>
    <w:rsid w:val="00096829"/>
    <w:rsid w:val="000969BC"/>
    <w:rsid w:val="000970C2"/>
    <w:rsid w:val="00097541"/>
    <w:rsid w:val="0009781F"/>
    <w:rsid w:val="00097B8D"/>
    <w:rsid w:val="00097F39"/>
    <w:rsid w:val="00097FD3"/>
    <w:rsid w:val="00097FDA"/>
    <w:rsid w:val="000A0050"/>
    <w:rsid w:val="000A00F6"/>
    <w:rsid w:val="000A06CA"/>
    <w:rsid w:val="000A0C2F"/>
    <w:rsid w:val="000A0C51"/>
    <w:rsid w:val="000A0F14"/>
    <w:rsid w:val="000A1084"/>
    <w:rsid w:val="000A10AF"/>
    <w:rsid w:val="000A14E3"/>
    <w:rsid w:val="000A157F"/>
    <w:rsid w:val="000A1675"/>
    <w:rsid w:val="000A16CD"/>
    <w:rsid w:val="000A1C40"/>
    <w:rsid w:val="000A22BA"/>
    <w:rsid w:val="000A236F"/>
    <w:rsid w:val="000A24C2"/>
    <w:rsid w:val="000A2783"/>
    <w:rsid w:val="000A27D7"/>
    <w:rsid w:val="000A2827"/>
    <w:rsid w:val="000A2A5F"/>
    <w:rsid w:val="000A2B69"/>
    <w:rsid w:val="000A2B81"/>
    <w:rsid w:val="000A2EDD"/>
    <w:rsid w:val="000A2F58"/>
    <w:rsid w:val="000A3024"/>
    <w:rsid w:val="000A3075"/>
    <w:rsid w:val="000A316E"/>
    <w:rsid w:val="000A3292"/>
    <w:rsid w:val="000A32AA"/>
    <w:rsid w:val="000A340A"/>
    <w:rsid w:val="000A34DC"/>
    <w:rsid w:val="000A3C54"/>
    <w:rsid w:val="000A3CFD"/>
    <w:rsid w:val="000A4214"/>
    <w:rsid w:val="000A4300"/>
    <w:rsid w:val="000A43AC"/>
    <w:rsid w:val="000A446A"/>
    <w:rsid w:val="000A4C30"/>
    <w:rsid w:val="000A5B05"/>
    <w:rsid w:val="000A5C30"/>
    <w:rsid w:val="000A5DE5"/>
    <w:rsid w:val="000A5EF6"/>
    <w:rsid w:val="000A6212"/>
    <w:rsid w:val="000A6684"/>
    <w:rsid w:val="000A684E"/>
    <w:rsid w:val="000A6890"/>
    <w:rsid w:val="000A6AAF"/>
    <w:rsid w:val="000A6C61"/>
    <w:rsid w:val="000A7422"/>
    <w:rsid w:val="000A7815"/>
    <w:rsid w:val="000A7EE5"/>
    <w:rsid w:val="000A7EE7"/>
    <w:rsid w:val="000B03EC"/>
    <w:rsid w:val="000B0551"/>
    <w:rsid w:val="000B07B9"/>
    <w:rsid w:val="000B09CC"/>
    <w:rsid w:val="000B09E6"/>
    <w:rsid w:val="000B0A79"/>
    <w:rsid w:val="000B0D51"/>
    <w:rsid w:val="000B1055"/>
    <w:rsid w:val="000B109E"/>
    <w:rsid w:val="000B10A4"/>
    <w:rsid w:val="000B15D6"/>
    <w:rsid w:val="000B16DA"/>
    <w:rsid w:val="000B1FBF"/>
    <w:rsid w:val="000B2169"/>
    <w:rsid w:val="000B2347"/>
    <w:rsid w:val="000B297E"/>
    <w:rsid w:val="000B2C7C"/>
    <w:rsid w:val="000B2E1B"/>
    <w:rsid w:val="000B2F19"/>
    <w:rsid w:val="000B2F65"/>
    <w:rsid w:val="000B31B6"/>
    <w:rsid w:val="000B384F"/>
    <w:rsid w:val="000B3996"/>
    <w:rsid w:val="000B416D"/>
    <w:rsid w:val="000B4190"/>
    <w:rsid w:val="000B49D1"/>
    <w:rsid w:val="000B4CDF"/>
    <w:rsid w:val="000B4E86"/>
    <w:rsid w:val="000B4F83"/>
    <w:rsid w:val="000B57F8"/>
    <w:rsid w:val="000B63EE"/>
    <w:rsid w:val="000B6507"/>
    <w:rsid w:val="000B68F5"/>
    <w:rsid w:val="000B6D0A"/>
    <w:rsid w:val="000B6D1C"/>
    <w:rsid w:val="000B6E19"/>
    <w:rsid w:val="000B6FE6"/>
    <w:rsid w:val="000B70B4"/>
    <w:rsid w:val="000B724C"/>
    <w:rsid w:val="000B7428"/>
    <w:rsid w:val="000B7667"/>
    <w:rsid w:val="000B797E"/>
    <w:rsid w:val="000B7DB2"/>
    <w:rsid w:val="000C016B"/>
    <w:rsid w:val="000C0B12"/>
    <w:rsid w:val="000C0BD1"/>
    <w:rsid w:val="000C0E4F"/>
    <w:rsid w:val="000C0FE9"/>
    <w:rsid w:val="000C13CE"/>
    <w:rsid w:val="000C1BA0"/>
    <w:rsid w:val="000C1C68"/>
    <w:rsid w:val="000C1C90"/>
    <w:rsid w:val="000C1EF5"/>
    <w:rsid w:val="000C2AF8"/>
    <w:rsid w:val="000C2BC2"/>
    <w:rsid w:val="000C2BDB"/>
    <w:rsid w:val="000C2CF3"/>
    <w:rsid w:val="000C2D4F"/>
    <w:rsid w:val="000C357C"/>
    <w:rsid w:val="000C3737"/>
    <w:rsid w:val="000C3AA2"/>
    <w:rsid w:val="000C3C00"/>
    <w:rsid w:val="000C3F6B"/>
    <w:rsid w:val="000C431A"/>
    <w:rsid w:val="000C4720"/>
    <w:rsid w:val="000C47E5"/>
    <w:rsid w:val="000C481D"/>
    <w:rsid w:val="000C4825"/>
    <w:rsid w:val="000C4B82"/>
    <w:rsid w:val="000C4F4E"/>
    <w:rsid w:val="000C4F7A"/>
    <w:rsid w:val="000C5222"/>
    <w:rsid w:val="000C522F"/>
    <w:rsid w:val="000C5237"/>
    <w:rsid w:val="000C5BF8"/>
    <w:rsid w:val="000C61B1"/>
    <w:rsid w:val="000C61B5"/>
    <w:rsid w:val="000C6487"/>
    <w:rsid w:val="000C6637"/>
    <w:rsid w:val="000C6AE3"/>
    <w:rsid w:val="000C7319"/>
    <w:rsid w:val="000C7B00"/>
    <w:rsid w:val="000C7B57"/>
    <w:rsid w:val="000C7D9E"/>
    <w:rsid w:val="000D0074"/>
    <w:rsid w:val="000D00FD"/>
    <w:rsid w:val="000D0517"/>
    <w:rsid w:val="000D0825"/>
    <w:rsid w:val="000D09EF"/>
    <w:rsid w:val="000D0B3A"/>
    <w:rsid w:val="000D0DED"/>
    <w:rsid w:val="000D0F61"/>
    <w:rsid w:val="000D0F89"/>
    <w:rsid w:val="000D0FFC"/>
    <w:rsid w:val="000D1274"/>
    <w:rsid w:val="000D1416"/>
    <w:rsid w:val="000D1F81"/>
    <w:rsid w:val="000D2256"/>
    <w:rsid w:val="000D26F4"/>
    <w:rsid w:val="000D2C1D"/>
    <w:rsid w:val="000D2C93"/>
    <w:rsid w:val="000D2F79"/>
    <w:rsid w:val="000D3702"/>
    <w:rsid w:val="000D378C"/>
    <w:rsid w:val="000D37F4"/>
    <w:rsid w:val="000D3AEC"/>
    <w:rsid w:val="000D3C23"/>
    <w:rsid w:val="000D3DCB"/>
    <w:rsid w:val="000D3FC9"/>
    <w:rsid w:val="000D402C"/>
    <w:rsid w:val="000D4876"/>
    <w:rsid w:val="000D4A5F"/>
    <w:rsid w:val="000D4E84"/>
    <w:rsid w:val="000D4EFC"/>
    <w:rsid w:val="000D53DC"/>
    <w:rsid w:val="000D57A0"/>
    <w:rsid w:val="000D6009"/>
    <w:rsid w:val="000D64CF"/>
    <w:rsid w:val="000D6661"/>
    <w:rsid w:val="000D682C"/>
    <w:rsid w:val="000D68AB"/>
    <w:rsid w:val="000D6C06"/>
    <w:rsid w:val="000D6DC0"/>
    <w:rsid w:val="000D7556"/>
    <w:rsid w:val="000D7BAF"/>
    <w:rsid w:val="000D7E71"/>
    <w:rsid w:val="000D7E74"/>
    <w:rsid w:val="000E0615"/>
    <w:rsid w:val="000E07D4"/>
    <w:rsid w:val="000E0879"/>
    <w:rsid w:val="000E090D"/>
    <w:rsid w:val="000E0989"/>
    <w:rsid w:val="000E0BEE"/>
    <w:rsid w:val="000E0DDD"/>
    <w:rsid w:val="000E0E99"/>
    <w:rsid w:val="000E10D0"/>
    <w:rsid w:val="000E1447"/>
    <w:rsid w:val="000E14E5"/>
    <w:rsid w:val="000E15F0"/>
    <w:rsid w:val="000E1725"/>
    <w:rsid w:val="000E17FA"/>
    <w:rsid w:val="000E19B4"/>
    <w:rsid w:val="000E1A4D"/>
    <w:rsid w:val="000E1B39"/>
    <w:rsid w:val="000E1C0F"/>
    <w:rsid w:val="000E1E03"/>
    <w:rsid w:val="000E1F30"/>
    <w:rsid w:val="000E211F"/>
    <w:rsid w:val="000E2181"/>
    <w:rsid w:val="000E2335"/>
    <w:rsid w:val="000E23BE"/>
    <w:rsid w:val="000E23D8"/>
    <w:rsid w:val="000E288A"/>
    <w:rsid w:val="000E29D5"/>
    <w:rsid w:val="000E2C64"/>
    <w:rsid w:val="000E3180"/>
    <w:rsid w:val="000E321A"/>
    <w:rsid w:val="000E33DB"/>
    <w:rsid w:val="000E342E"/>
    <w:rsid w:val="000E3513"/>
    <w:rsid w:val="000E3744"/>
    <w:rsid w:val="000E380D"/>
    <w:rsid w:val="000E38E5"/>
    <w:rsid w:val="000E3DA8"/>
    <w:rsid w:val="000E3F74"/>
    <w:rsid w:val="000E40AC"/>
    <w:rsid w:val="000E414B"/>
    <w:rsid w:val="000E43D8"/>
    <w:rsid w:val="000E4536"/>
    <w:rsid w:val="000E46F3"/>
    <w:rsid w:val="000E4A00"/>
    <w:rsid w:val="000E503C"/>
    <w:rsid w:val="000E52CC"/>
    <w:rsid w:val="000E5544"/>
    <w:rsid w:val="000E55F9"/>
    <w:rsid w:val="000E5BD0"/>
    <w:rsid w:val="000E5E95"/>
    <w:rsid w:val="000E6172"/>
    <w:rsid w:val="000E64BC"/>
    <w:rsid w:val="000E697B"/>
    <w:rsid w:val="000E6A9E"/>
    <w:rsid w:val="000E6BB5"/>
    <w:rsid w:val="000E6C1E"/>
    <w:rsid w:val="000E6CB1"/>
    <w:rsid w:val="000E6E0E"/>
    <w:rsid w:val="000E7272"/>
    <w:rsid w:val="000E72C3"/>
    <w:rsid w:val="000E75F7"/>
    <w:rsid w:val="000E7AA1"/>
    <w:rsid w:val="000E7C57"/>
    <w:rsid w:val="000E7CF7"/>
    <w:rsid w:val="000E7E0F"/>
    <w:rsid w:val="000E7ECC"/>
    <w:rsid w:val="000F008D"/>
    <w:rsid w:val="000F00D1"/>
    <w:rsid w:val="000F0448"/>
    <w:rsid w:val="000F05BE"/>
    <w:rsid w:val="000F0973"/>
    <w:rsid w:val="000F0EAB"/>
    <w:rsid w:val="000F0EFC"/>
    <w:rsid w:val="000F1212"/>
    <w:rsid w:val="000F1398"/>
    <w:rsid w:val="000F148A"/>
    <w:rsid w:val="000F1759"/>
    <w:rsid w:val="000F1E47"/>
    <w:rsid w:val="000F224C"/>
    <w:rsid w:val="000F2352"/>
    <w:rsid w:val="000F2B0F"/>
    <w:rsid w:val="000F2CD5"/>
    <w:rsid w:val="000F2FD9"/>
    <w:rsid w:val="000F3220"/>
    <w:rsid w:val="000F34D1"/>
    <w:rsid w:val="000F3AFC"/>
    <w:rsid w:val="000F3D4C"/>
    <w:rsid w:val="000F3EC8"/>
    <w:rsid w:val="000F412C"/>
    <w:rsid w:val="000F4258"/>
    <w:rsid w:val="000F43AC"/>
    <w:rsid w:val="000F48C5"/>
    <w:rsid w:val="000F4966"/>
    <w:rsid w:val="000F4B3D"/>
    <w:rsid w:val="000F5087"/>
    <w:rsid w:val="000F5480"/>
    <w:rsid w:val="000F55AB"/>
    <w:rsid w:val="000F5739"/>
    <w:rsid w:val="000F580D"/>
    <w:rsid w:val="000F5B50"/>
    <w:rsid w:val="000F60D2"/>
    <w:rsid w:val="000F62C8"/>
    <w:rsid w:val="000F686C"/>
    <w:rsid w:val="000F6919"/>
    <w:rsid w:val="000F6D56"/>
    <w:rsid w:val="000F7455"/>
    <w:rsid w:val="000F7515"/>
    <w:rsid w:val="000F774D"/>
    <w:rsid w:val="000F7777"/>
    <w:rsid w:val="000F7F04"/>
    <w:rsid w:val="000F7FFE"/>
    <w:rsid w:val="00100067"/>
    <w:rsid w:val="0010011A"/>
    <w:rsid w:val="00100154"/>
    <w:rsid w:val="00100468"/>
    <w:rsid w:val="00100503"/>
    <w:rsid w:val="0010054E"/>
    <w:rsid w:val="001005CD"/>
    <w:rsid w:val="00100A77"/>
    <w:rsid w:val="00100F88"/>
    <w:rsid w:val="001015DE"/>
    <w:rsid w:val="0010176B"/>
    <w:rsid w:val="00101993"/>
    <w:rsid w:val="001019EA"/>
    <w:rsid w:val="00101D10"/>
    <w:rsid w:val="00101D4B"/>
    <w:rsid w:val="00102139"/>
    <w:rsid w:val="0010226C"/>
    <w:rsid w:val="00102D8E"/>
    <w:rsid w:val="00103505"/>
    <w:rsid w:val="00103676"/>
    <w:rsid w:val="00103FBE"/>
    <w:rsid w:val="0010419A"/>
    <w:rsid w:val="0010420D"/>
    <w:rsid w:val="00104492"/>
    <w:rsid w:val="00104539"/>
    <w:rsid w:val="00104A3F"/>
    <w:rsid w:val="00104CE4"/>
    <w:rsid w:val="00105F28"/>
    <w:rsid w:val="0010600E"/>
    <w:rsid w:val="00106184"/>
    <w:rsid w:val="00106643"/>
    <w:rsid w:val="001069B4"/>
    <w:rsid w:val="0010701B"/>
    <w:rsid w:val="00107109"/>
    <w:rsid w:val="001072D7"/>
    <w:rsid w:val="0010733D"/>
    <w:rsid w:val="00107FCF"/>
    <w:rsid w:val="00110048"/>
    <w:rsid w:val="0011071C"/>
    <w:rsid w:val="001107CE"/>
    <w:rsid w:val="00110AF1"/>
    <w:rsid w:val="001111F2"/>
    <w:rsid w:val="001115C1"/>
    <w:rsid w:val="00111762"/>
    <w:rsid w:val="001118F7"/>
    <w:rsid w:val="001119E6"/>
    <w:rsid w:val="00111AB4"/>
    <w:rsid w:val="00111CA3"/>
    <w:rsid w:val="00111DCC"/>
    <w:rsid w:val="00112379"/>
    <w:rsid w:val="00112A0E"/>
    <w:rsid w:val="0011331B"/>
    <w:rsid w:val="0011384B"/>
    <w:rsid w:val="00113B05"/>
    <w:rsid w:val="00113B5D"/>
    <w:rsid w:val="001140A3"/>
    <w:rsid w:val="00114190"/>
    <w:rsid w:val="00114A56"/>
    <w:rsid w:val="001150BD"/>
    <w:rsid w:val="001150E1"/>
    <w:rsid w:val="0011523B"/>
    <w:rsid w:val="00115403"/>
    <w:rsid w:val="00115417"/>
    <w:rsid w:val="00115471"/>
    <w:rsid w:val="00115767"/>
    <w:rsid w:val="00115A20"/>
    <w:rsid w:val="00115B00"/>
    <w:rsid w:val="00115B60"/>
    <w:rsid w:val="00115EFD"/>
    <w:rsid w:val="00116148"/>
    <w:rsid w:val="00116359"/>
    <w:rsid w:val="0011644E"/>
    <w:rsid w:val="00116733"/>
    <w:rsid w:val="0011673C"/>
    <w:rsid w:val="0011678D"/>
    <w:rsid w:val="00116907"/>
    <w:rsid w:val="00116974"/>
    <w:rsid w:val="00116C41"/>
    <w:rsid w:val="00116F38"/>
    <w:rsid w:val="00117076"/>
    <w:rsid w:val="00117111"/>
    <w:rsid w:val="001176ED"/>
    <w:rsid w:val="001201C9"/>
    <w:rsid w:val="001204E6"/>
    <w:rsid w:val="00120BFA"/>
    <w:rsid w:val="00120E2A"/>
    <w:rsid w:val="00120E9F"/>
    <w:rsid w:val="00121026"/>
    <w:rsid w:val="00121056"/>
    <w:rsid w:val="00121236"/>
    <w:rsid w:val="001213CD"/>
    <w:rsid w:val="00121422"/>
    <w:rsid w:val="00121428"/>
    <w:rsid w:val="00121613"/>
    <w:rsid w:val="0012175E"/>
    <w:rsid w:val="00121833"/>
    <w:rsid w:val="00121BE2"/>
    <w:rsid w:val="00121C97"/>
    <w:rsid w:val="001222CC"/>
    <w:rsid w:val="001223B0"/>
    <w:rsid w:val="00122A6C"/>
    <w:rsid w:val="00122D03"/>
    <w:rsid w:val="0012333A"/>
    <w:rsid w:val="00123453"/>
    <w:rsid w:val="0012369A"/>
    <w:rsid w:val="001239B0"/>
    <w:rsid w:val="00123B5C"/>
    <w:rsid w:val="00123CD5"/>
    <w:rsid w:val="0012401C"/>
    <w:rsid w:val="001242B7"/>
    <w:rsid w:val="001243AD"/>
    <w:rsid w:val="001248F5"/>
    <w:rsid w:val="00125030"/>
    <w:rsid w:val="0012506F"/>
    <w:rsid w:val="001258B0"/>
    <w:rsid w:val="00125D4B"/>
    <w:rsid w:val="00126211"/>
    <w:rsid w:val="00126257"/>
    <w:rsid w:val="001265FE"/>
    <w:rsid w:val="001266D9"/>
    <w:rsid w:val="0012670C"/>
    <w:rsid w:val="0012672D"/>
    <w:rsid w:val="001269AC"/>
    <w:rsid w:val="00126A64"/>
    <w:rsid w:val="00126CEE"/>
    <w:rsid w:val="00126E2A"/>
    <w:rsid w:val="00126E70"/>
    <w:rsid w:val="00127025"/>
    <w:rsid w:val="00127250"/>
    <w:rsid w:val="00127270"/>
    <w:rsid w:val="001272CA"/>
    <w:rsid w:val="0012748E"/>
    <w:rsid w:val="001276A6"/>
    <w:rsid w:val="001276BC"/>
    <w:rsid w:val="0012780E"/>
    <w:rsid w:val="00127DD1"/>
    <w:rsid w:val="0013039D"/>
    <w:rsid w:val="00130411"/>
    <w:rsid w:val="00130586"/>
    <w:rsid w:val="001308BC"/>
    <w:rsid w:val="00130BF3"/>
    <w:rsid w:val="00130E15"/>
    <w:rsid w:val="0013132E"/>
    <w:rsid w:val="0013144E"/>
    <w:rsid w:val="00131719"/>
    <w:rsid w:val="00131AF0"/>
    <w:rsid w:val="001320DE"/>
    <w:rsid w:val="0013261F"/>
    <w:rsid w:val="00132B1E"/>
    <w:rsid w:val="0013320D"/>
    <w:rsid w:val="001333E3"/>
    <w:rsid w:val="001334F6"/>
    <w:rsid w:val="00133635"/>
    <w:rsid w:val="00133A13"/>
    <w:rsid w:val="00133D09"/>
    <w:rsid w:val="00133D87"/>
    <w:rsid w:val="00134038"/>
    <w:rsid w:val="001340AC"/>
    <w:rsid w:val="00134958"/>
    <w:rsid w:val="00134B9E"/>
    <w:rsid w:val="00134BDE"/>
    <w:rsid w:val="00134C7A"/>
    <w:rsid w:val="00134CA7"/>
    <w:rsid w:val="00134F89"/>
    <w:rsid w:val="0013502A"/>
    <w:rsid w:val="001364A0"/>
    <w:rsid w:val="001365D8"/>
    <w:rsid w:val="0013667A"/>
    <w:rsid w:val="001367BA"/>
    <w:rsid w:val="00136908"/>
    <w:rsid w:val="001369C4"/>
    <w:rsid w:val="00136A02"/>
    <w:rsid w:val="00136C34"/>
    <w:rsid w:val="00136CD1"/>
    <w:rsid w:val="00136FC7"/>
    <w:rsid w:val="00137183"/>
    <w:rsid w:val="0013718A"/>
    <w:rsid w:val="00137566"/>
    <w:rsid w:val="0013769C"/>
    <w:rsid w:val="00137794"/>
    <w:rsid w:val="001378CD"/>
    <w:rsid w:val="00137FDF"/>
    <w:rsid w:val="0014002A"/>
    <w:rsid w:val="001402DE"/>
    <w:rsid w:val="00140B38"/>
    <w:rsid w:val="00140B52"/>
    <w:rsid w:val="00140F7C"/>
    <w:rsid w:val="00140FE3"/>
    <w:rsid w:val="00141222"/>
    <w:rsid w:val="00141358"/>
    <w:rsid w:val="001413F6"/>
    <w:rsid w:val="00141C07"/>
    <w:rsid w:val="00141C70"/>
    <w:rsid w:val="00141EAA"/>
    <w:rsid w:val="00142071"/>
    <w:rsid w:val="0014277A"/>
    <w:rsid w:val="00142A01"/>
    <w:rsid w:val="00142B13"/>
    <w:rsid w:val="00142F82"/>
    <w:rsid w:val="0014300B"/>
    <w:rsid w:val="0014332B"/>
    <w:rsid w:val="001433B4"/>
    <w:rsid w:val="001434E8"/>
    <w:rsid w:val="00143790"/>
    <w:rsid w:val="00143A10"/>
    <w:rsid w:val="00143B26"/>
    <w:rsid w:val="00143E12"/>
    <w:rsid w:val="00144736"/>
    <w:rsid w:val="00145043"/>
    <w:rsid w:val="001450E4"/>
    <w:rsid w:val="001459AC"/>
    <w:rsid w:val="00145DFD"/>
    <w:rsid w:val="00145FC8"/>
    <w:rsid w:val="00145FE9"/>
    <w:rsid w:val="00145FEA"/>
    <w:rsid w:val="00146445"/>
    <w:rsid w:val="0014702B"/>
    <w:rsid w:val="001470D3"/>
    <w:rsid w:val="00147122"/>
    <w:rsid w:val="00147808"/>
    <w:rsid w:val="00147836"/>
    <w:rsid w:val="00147B8F"/>
    <w:rsid w:val="00147BDF"/>
    <w:rsid w:val="00147C29"/>
    <w:rsid w:val="001504D5"/>
    <w:rsid w:val="00150B90"/>
    <w:rsid w:val="00150BED"/>
    <w:rsid w:val="00150D0A"/>
    <w:rsid w:val="00151357"/>
    <w:rsid w:val="00151548"/>
    <w:rsid w:val="00151E38"/>
    <w:rsid w:val="001524A7"/>
    <w:rsid w:val="00152693"/>
    <w:rsid w:val="0015298E"/>
    <w:rsid w:val="00152B94"/>
    <w:rsid w:val="00153155"/>
    <w:rsid w:val="001534EC"/>
    <w:rsid w:val="0015379F"/>
    <w:rsid w:val="00153A53"/>
    <w:rsid w:val="0015417C"/>
    <w:rsid w:val="00154AD1"/>
    <w:rsid w:val="00154E3F"/>
    <w:rsid w:val="00155103"/>
    <w:rsid w:val="00155726"/>
    <w:rsid w:val="00155CE0"/>
    <w:rsid w:val="00155E38"/>
    <w:rsid w:val="0015600F"/>
    <w:rsid w:val="001561A5"/>
    <w:rsid w:val="00156717"/>
    <w:rsid w:val="00156AA0"/>
    <w:rsid w:val="00157078"/>
    <w:rsid w:val="00157A41"/>
    <w:rsid w:val="00157B25"/>
    <w:rsid w:val="00157DEE"/>
    <w:rsid w:val="001603D1"/>
    <w:rsid w:val="00160550"/>
    <w:rsid w:val="0016059C"/>
    <w:rsid w:val="00160FBD"/>
    <w:rsid w:val="00161882"/>
    <w:rsid w:val="00161C34"/>
    <w:rsid w:val="00161DD0"/>
    <w:rsid w:val="00162145"/>
    <w:rsid w:val="00162345"/>
    <w:rsid w:val="00163485"/>
    <w:rsid w:val="001635BC"/>
    <w:rsid w:val="001637A9"/>
    <w:rsid w:val="00163816"/>
    <w:rsid w:val="00163BCB"/>
    <w:rsid w:val="00163CAC"/>
    <w:rsid w:val="00163DDB"/>
    <w:rsid w:val="00163E7C"/>
    <w:rsid w:val="00163F87"/>
    <w:rsid w:val="001640DC"/>
    <w:rsid w:val="001641B9"/>
    <w:rsid w:val="0016448C"/>
    <w:rsid w:val="001646C9"/>
    <w:rsid w:val="0016496A"/>
    <w:rsid w:val="00164BC6"/>
    <w:rsid w:val="00164E4D"/>
    <w:rsid w:val="00164EC3"/>
    <w:rsid w:val="001651D6"/>
    <w:rsid w:val="0016600A"/>
    <w:rsid w:val="00166070"/>
    <w:rsid w:val="001660AC"/>
    <w:rsid w:val="00166DCD"/>
    <w:rsid w:val="001671B6"/>
    <w:rsid w:val="00167294"/>
    <w:rsid w:val="00167376"/>
    <w:rsid w:val="00167408"/>
    <w:rsid w:val="00167552"/>
    <w:rsid w:val="00167618"/>
    <w:rsid w:val="00167F37"/>
    <w:rsid w:val="0017020E"/>
    <w:rsid w:val="00170379"/>
    <w:rsid w:val="0017058F"/>
    <w:rsid w:val="0017088D"/>
    <w:rsid w:val="00170997"/>
    <w:rsid w:val="001711AD"/>
    <w:rsid w:val="001712BB"/>
    <w:rsid w:val="00171622"/>
    <w:rsid w:val="0017179D"/>
    <w:rsid w:val="00171DE4"/>
    <w:rsid w:val="00171FE8"/>
    <w:rsid w:val="001720ED"/>
    <w:rsid w:val="001724D9"/>
    <w:rsid w:val="00172916"/>
    <w:rsid w:val="0017293A"/>
    <w:rsid w:val="00172CF2"/>
    <w:rsid w:val="00173346"/>
    <w:rsid w:val="001734EB"/>
    <w:rsid w:val="0017382D"/>
    <w:rsid w:val="00173900"/>
    <w:rsid w:val="0017466F"/>
    <w:rsid w:val="00174F48"/>
    <w:rsid w:val="001754E9"/>
    <w:rsid w:val="0017559A"/>
    <w:rsid w:val="001756B4"/>
    <w:rsid w:val="00175902"/>
    <w:rsid w:val="00175A29"/>
    <w:rsid w:val="00175A46"/>
    <w:rsid w:val="00175D41"/>
    <w:rsid w:val="00175F42"/>
    <w:rsid w:val="001760B9"/>
    <w:rsid w:val="001761B4"/>
    <w:rsid w:val="0017657A"/>
    <w:rsid w:val="00176798"/>
    <w:rsid w:val="00176A4B"/>
    <w:rsid w:val="00176B6F"/>
    <w:rsid w:val="00176C10"/>
    <w:rsid w:val="00176EA7"/>
    <w:rsid w:val="00177015"/>
    <w:rsid w:val="001772E1"/>
    <w:rsid w:val="001775AC"/>
    <w:rsid w:val="00177DF1"/>
    <w:rsid w:val="0018015D"/>
    <w:rsid w:val="001805AD"/>
    <w:rsid w:val="00180843"/>
    <w:rsid w:val="0018088A"/>
    <w:rsid w:val="00180C1A"/>
    <w:rsid w:val="00180E60"/>
    <w:rsid w:val="00181233"/>
    <w:rsid w:val="00181245"/>
    <w:rsid w:val="001814BB"/>
    <w:rsid w:val="00181AA0"/>
    <w:rsid w:val="00181B14"/>
    <w:rsid w:val="00181D8C"/>
    <w:rsid w:val="0018219B"/>
    <w:rsid w:val="001821ED"/>
    <w:rsid w:val="001822B6"/>
    <w:rsid w:val="0018316F"/>
    <w:rsid w:val="001831B7"/>
    <w:rsid w:val="001836F3"/>
    <w:rsid w:val="00183995"/>
    <w:rsid w:val="00183DF2"/>
    <w:rsid w:val="0018403F"/>
    <w:rsid w:val="00184289"/>
    <w:rsid w:val="00184440"/>
    <w:rsid w:val="001846DD"/>
    <w:rsid w:val="001848AB"/>
    <w:rsid w:val="00184D17"/>
    <w:rsid w:val="0018525F"/>
    <w:rsid w:val="001853B6"/>
    <w:rsid w:val="001854DF"/>
    <w:rsid w:val="001857F3"/>
    <w:rsid w:val="00185933"/>
    <w:rsid w:val="00185AC1"/>
    <w:rsid w:val="00185CB4"/>
    <w:rsid w:val="00186251"/>
    <w:rsid w:val="001865D3"/>
    <w:rsid w:val="00186728"/>
    <w:rsid w:val="00186766"/>
    <w:rsid w:val="00186D1D"/>
    <w:rsid w:val="00186EC4"/>
    <w:rsid w:val="001876A4"/>
    <w:rsid w:val="0018773A"/>
    <w:rsid w:val="00187C76"/>
    <w:rsid w:val="00187DC1"/>
    <w:rsid w:val="00187DF4"/>
    <w:rsid w:val="00187F9E"/>
    <w:rsid w:val="00190083"/>
    <w:rsid w:val="001901DB"/>
    <w:rsid w:val="0019024F"/>
    <w:rsid w:val="001903DF"/>
    <w:rsid w:val="00190762"/>
    <w:rsid w:val="0019093C"/>
    <w:rsid w:val="00190A8D"/>
    <w:rsid w:val="00190C08"/>
    <w:rsid w:val="00190C59"/>
    <w:rsid w:val="00190CBD"/>
    <w:rsid w:val="00190E16"/>
    <w:rsid w:val="0019124D"/>
    <w:rsid w:val="001913C9"/>
    <w:rsid w:val="00191856"/>
    <w:rsid w:val="00191940"/>
    <w:rsid w:val="001919EC"/>
    <w:rsid w:val="00191CCD"/>
    <w:rsid w:val="0019210F"/>
    <w:rsid w:val="00192327"/>
    <w:rsid w:val="00192472"/>
    <w:rsid w:val="00192765"/>
    <w:rsid w:val="00192779"/>
    <w:rsid w:val="00192840"/>
    <w:rsid w:val="00192B65"/>
    <w:rsid w:val="00192EBA"/>
    <w:rsid w:val="00192F4C"/>
    <w:rsid w:val="001933E2"/>
    <w:rsid w:val="00193650"/>
    <w:rsid w:val="00193A33"/>
    <w:rsid w:val="00193CDC"/>
    <w:rsid w:val="00194111"/>
    <w:rsid w:val="00194B50"/>
    <w:rsid w:val="00194DBA"/>
    <w:rsid w:val="00194F17"/>
    <w:rsid w:val="00195C01"/>
    <w:rsid w:val="00195EC2"/>
    <w:rsid w:val="00196142"/>
    <w:rsid w:val="00196226"/>
    <w:rsid w:val="001965E3"/>
    <w:rsid w:val="00196640"/>
    <w:rsid w:val="00196D00"/>
    <w:rsid w:val="00196F36"/>
    <w:rsid w:val="00197003"/>
    <w:rsid w:val="001970CE"/>
    <w:rsid w:val="0019754D"/>
    <w:rsid w:val="00197638"/>
    <w:rsid w:val="00197A34"/>
    <w:rsid w:val="00197F0B"/>
    <w:rsid w:val="00197F38"/>
    <w:rsid w:val="001A0548"/>
    <w:rsid w:val="001A067D"/>
    <w:rsid w:val="001A0955"/>
    <w:rsid w:val="001A0992"/>
    <w:rsid w:val="001A0A72"/>
    <w:rsid w:val="001A0BE2"/>
    <w:rsid w:val="001A10A1"/>
    <w:rsid w:val="001A1104"/>
    <w:rsid w:val="001A1890"/>
    <w:rsid w:val="001A18B6"/>
    <w:rsid w:val="001A1AF2"/>
    <w:rsid w:val="001A1B51"/>
    <w:rsid w:val="001A1BE2"/>
    <w:rsid w:val="001A1D2E"/>
    <w:rsid w:val="001A215A"/>
    <w:rsid w:val="001A220A"/>
    <w:rsid w:val="001A22AB"/>
    <w:rsid w:val="001A2420"/>
    <w:rsid w:val="001A287C"/>
    <w:rsid w:val="001A287E"/>
    <w:rsid w:val="001A2968"/>
    <w:rsid w:val="001A2AD4"/>
    <w:rsid w:val="001A2C26"/>
    <w:rsid w:val="001A2E4F"/>
    <w:rsid w:val="001A3022"/>
    <w:rsid w:val="001A33B9"/>
    <w:rsid w:val="001A353F"/>
    <w:rsid w:val="001A37A8"/>
    <w:rsid w:val="001A39AC"/>
    <w:rsid w:val="001A3B07"/>
    <w:rsid w:val="001A3B3E"/>
    <w:rsid w:val="001A3C19"/>
    <w:rsid w:val="001A3CA8"/>
    <w:rsid w:val="001A42BC"/>
    <w:rsid w:val="001A42C0"/>
    <w:rsid w:val="001A435A"/>
    <w:rsid w:val="001A43ED"/>
    <w:rsid w:val="001A453B"/>
    <w:rsid w:val="001A495F"/>
    <w:rsid w:val="001A4DD4"/>
    <w:rsid w:val="001A54A8"/>
    <w:rsid w:val="001A57F0"/>
    <w:rsid w:val="001A5AF8"/>
    <w:rsid w:val="001A5B30"/>
    <w:rsid w:val="001A5DD6"/>
    <w:rsid w:val="001A5EE7"/>
    <w:rsid w:val="001A62FB"/>
    <w:rsid w:val="001A6523"/>
    <w:rsid w:val="001A70EE"/>
    <w:rsid w:val="001A74E1"/>
    <w:rsid w:val="001A7715"/>
    <w:rsid w:val="001A7861"/>
    <w:rsid w:val="001A795A"/>
    <w:rsid w:val="001A7B1D"/>
    <w:rsid w:val="001A7B3B"/>
    <w:rsid w:val="001A7B5D"/>
    <w:rsid w:val="001A7DCA"/>
    <w:rsid w:val="001B02EC"/>
    <w:rsid w:val="001B0876"/>
    <w:rsid w:val="001B0F73"/>
    <w:rsid w:val="001B1095"/>
    <w:rsid w:val="001B1274"/>
    <w:rsid w:val="001B1295"/>
    <w:rsid w:val="001B13FD"/>
    <w:rsid w:val="001B156B"/>
    <w:rsid w:val="001B1757"/>
    <w:rsid w:val="001B188C"/>
    <w:rsid w:val="001B1CE8"/>
    <w:rsid w:val="001B1D4E"/>
    <w:rsid w:val="001B2444"/>
    <w:rsid w:val="001B2960"/>
    <w:rsid w:val="001B2B4D"/>
    <w:rsid w:val="001B3180"/>
    <w:rsid w:val="001B31A7"/>
    <w:rsid w:val="001B3208"/>
    <w:rsid w:val="001B37CA"/>
    <w:rsid w:val="001B3887"/>
    <w:rsid w:val="001B3B58"/>
    <w:rsid w:val="001B42B8"/>
    <w:rsid w:val="001B42ED"/>
    <w:rsid w:val="001B4362"/>
    <w:rsid w:val="001B4614"/>
    <w:rsid w:val="001B4804"/>
    <w:rsid w:val="001B4C4E"/>
    <w:rsid w:val="001B4DFE"/>
    <w:rsid w:val="001B4ECD"/>
    <w:rsid w:val="001B5224"/>
    <w:rsid w:val="001B5622"/>
    <w:rsid w:val="001B5684"/>
    <w:rsid w:val="001B5762"/>
    <w:rsid w:val="001B5BFA"/>
    <w:rsid w:val="001B5C17"/>
    <w:rsid w:val="001B66B0"/>
    <w:rsid w:val="001B6CC9"/>
    <w:rsid w:val="001B7698"/>
    <w:rsid w:val="001B797B"/>
    <w:rsid w:val="001C0346"/>
    <w:rsid w:val="001C0A05"/>
    <w:rsid w:val="001C0BF2"/>
    <w:rsid w:val="001C0D0B"/>
    <w:rsid w:val="001C0DBD"/>
    <w:rsid w:val="001C1119"/>
    <w:rsid w:val="001C11D0"/>
    <w:rsid w:val="001C11D9"/>
    <w:rsid w:val="001C11FC"/>
    <w:rsid w:val="001C1367"/>
    <w:rsid w:val="001C17E6"/>
    <w:rsid w:val="001C1954"/>
    <w:rsid w:val="001C19C5"/>
    <w:rsid w:val="001C1D86"/>
    <w:rsid w:val="001C1F57"/>
    <w:rsid w:val="001C237B"/>
    <w:rsid w:val="001C23F6"/>
    <w:rsid w:val="001C24F9"/>
    <w:rsid w:val="001C2913"/>
    <w:rsid w:val="001C2A78"/>
    <w:rsid w:val="001C2C57"/>
    <w:rsid w:val="001C3B08"/>
    <w:rsid w:val="001C3C59"/>
    <w:rsid w:val="001C3E4E"/>
    <w:rsid w:val="001C3F62"/>
    <w:rsid w:val="001C41E6"/>
    <w:rsid w:val="001C42FC"/>
    <w:rsid w:val="001C454C"/>
    <w:rsid w:val="001C46D1"/>
    <w:rsid w:val="001C4991"/>
    <w:rsid w:val="001C4D31"/>
    <w:rsid w:val="001C4D92"/>
    <w:rsid w:val="001C5700"/>
    <w:rsid w:val="001C579A"/>
    <w:rsid w:val="001C5C43"/>
    <w:rsid w:val="001C5C72"/>
    <w:rsid w:val="001C5F75"/>
    <w:rsid w:val="001C629F"/>
    <w:rsid w:val="001C6437"/>
    <w:rsid w:val="001C6769"/>
    <w:rsid w:val="001C696E"/>
    <w:rsid w:val="001C712D"/>
    <w:rsid w:val="001C72AA"/>
    <w:rsid w:val="001C76F3"/>
    <w:rsid w:val="001D0119"/>
    <w:rsid w:val="001D0791"/>
    <w:rsid w:val="001D10F4"/>
    <w:rsid w:val="001D1281"/>
    <w:rsid w:val="001D14A0"/>
    <w:rsid w:val="001D14F9"/>
    <w:rsid w:val="001D15C1"/>
    <w:rsid w:val="001D1707"/>
    <w:rsid w:val="001D218E"/>
    <w:rsid w:val="001D239C"/>
    <w:rsid w:val="001D25B0"/>
    <w:rsid w:val="001D2A42"/>
    <w:rsid w:val="001D30D5"/>
    <w:rsid w:val="001D36E9"/>
    <w:rsid w:val="001D386A"/>
    <w:rsid w:val="001D3EAC"/>
    <w:rsid w:val="001D4305"/>
    <w:rsid w:val="001D4470"/>
    <w:rsid w:val="001D44CC"/>
    <w:rsid w:val="001D462B"/>
    <w:rsid w:val="001D47C7"/>
    <w:rsid w:val="001D4A68"/>
    <w:rsid w:val="001D4E9A"/>
    <w:rsid w:val="001D4EC6"/>
    <w:rsid w:val="001D4ECB"/>
    <w:rsid w:val="001D4F23"/>
    <w:rsid w:val="001D520C"/>
    <w:rsid w:val="001D5275"/>
    <w:rsid w:val="001D5797"/>
    <w:rsid w:val="001D59C5"/>
    <w:rsid w:val="001D5B4E"/>
    <w:rsid w:val="001D6428"/>
    <w:rsid w:val="001D6AC7"/>
    <w:rsid w:val="001D6B78"/>
    <w:rsid w:val="001D6EEB"/>
    <w:rsid w:val="001D725E"/>
    <w:rsid w:val="001D7541"/>
    <w:rsid w:val="001D76D5"/>
    <w:rsid w:val="001D7A44"/>
    <w:rsid w:val="001D7A79"/>
    <w:rsid w:val="001D7AAD"/>
    <w:rsid w:val="001D7B95"/>
    <w:rsid w:val="001D7BCF"/>
    <w:rsid w:val="001D7CC9"/>
    <w:rsid w:val="001D7F27"/>
    <w:rsid w:val="001D7F50"/>
    <w:rsid w:val="001D7F7E"/>
    <w:rsid w:val="001E03F0"/>
    <w:rsid w:val="001E0448"/>
    <w:rsid w:val="001E0607"/>
    <w:rsid w:val="001E0BB2"/>
    <w:rsid w:val="001E1471"/>
    <w:rsid w:val="001E172E"/>
    <w:rsid w:val="001E17BA"/>
    <w:rsid w:val="001E1A02"/>
    <w:rsid w:val="001E1A60"/>
    <w:rsid w:val="001E1ABB"/>
    <w:rsid w:val="001E2264"/>
    <w:rsid w:val="001E2572"/>
    <w:rsid w:val="001E2799"/>
    <w:rsid w:val="001E286B"/>
    <w:rsid w:val="001E2BAF"/>
    <w:rsid w:val="001E2F32"/>
    <w:rsid w:val="001E362E"/>
    <w:rsid w:val="001E370C"/>
    <w:rsid w:val="001E3AE4"/>
    <w:rsid w:val="001E3B58"/>
    <w:rsid w:val="001E3E68"/>
    <w:rsid w:val="001E3E6B"/>
    <w:rsid w:val="001E3FEE"/>
    <w:rsid w:val="001E4076"/>
    <w:rsid w:val="001E45D5"/>
    <w:rsid w:val="001E460D"/>
    <w:rsid w:val="001E4B46"/>
    <w:rsid w:val="001E52CB"/>
    <w:rsid w:val="001E54C5"/>
    <w:rsid w:val="001E54D5"/>
    <w:rsid w:val="001E56C8"/>
    <w:rsid w:val="001E5737"/>
    <w:rsid w:val="001E5848"/>
    <w:rsid w:val="001E5897"/>
    <w:rsid w:val="001E595D"/>
    <w:rsid w:val="001E5AFA"/>
    <w:rsid w:val="001E6177"/>
    <w:rsid w:val="001E628A"/>
    <w:rsid w:val="001E6597"/>
    <w:rsid w:val="001E6611"/>
    <w:rsid w:val="001E6DB1"/>
    <w:rsid w:val="001E72D0"/>
    <w:rsid w:val="001E753F"/>
    <w:rsid w:val="001E7676"/>
    <w:rsid w:val="001E7881"/>
    <w:rsid w:val="001E78C5"/>
    <w:rsid w:val="001F0061"/>
    <w:rsid w:val="001F022F"/>
    <w:rsid w:val="001F06E3"/>
    <w:rsid w:val="001F0A6D"/>
    <w:rsid w:val="001F0AD7"/>
    <w:rsid w:val="001F0B78"/>
    <w:rsid w:val="001F0D79"/>
    <w:rsid w:val="001F1450"/>
    <w:rsid w:val="001F16E8"/>
    <w:rsid w:val="001F1E1A"/>
    <w:rsid w:val="001F1F1E"/>
    <w:rsid w:val="001F2218"/>
    <w:rsid w:val="001F25D1"/>
    <w:rsid w:val="001F2CB8"/>
    <w:rsid w:val="001F2DA9"/>
    <w:rsid w:val="001F32A0"/>
    <w:rsid w:val="001F337E"/>
    <w:rsid w:val="001F35E8"/>
    <w:rsid w:val="001F3682"/>
    <w:rsid w:val="001F37DB"/>
    <w:rsid w:val="001F3A2C"/>
    <w:rsid w:val="001F3CB8"/>
    <w:rsid w:val="001F3EF9"/>
    <w:rsid w:val="001F40CB"/>
    <w:rsid w:val="001F4111"/>
    <w:rsid w:val="001F45DA"/>
    <w:rsid w:val="001F466A"/>
    <w:rsid w:val="001F4963"/>
    <w:rsid w:val="001F4DBD"/>
    <w:rsid w:val="001F4E58"/>
    <w:rsid w:val="001F51DA"/>
    <w:rsid w:val="001F51EB"/>
    <w:rsid w:val="001F5A69"/>
    <w:rsid w:val="001F5A98"/>
    <w:rsid w:val="001F5AF0"/>
    <w:rsid w:val="001F5D0C"/>
    <w:rsid w:val="001F62B0"/>
    <w:rsid w:val="001F62D3"/>
    <w:rsid w:val="001F6830"/>
    <w:rsid w:val="001F6C32"/>
    <w:rsid w:val="001F70E2"/>
    <w:rsid w:val="001F7525"/>
    <w:rsid w:val="001F75BE"/>
    <w:rsid w:val="001F7D39"/>
    <w:rsid w:val="001F7D9F"/>
    <w:rsid w:val="001F7DFC"/>
    <w:rsid w:val="001F7E09"/>
    <w:rsid w:val="001F7E57"/>
    <w:rsid w:val="002003D8"/>
    <w:rsid w:val="002008E3"/>
    <w:rsid w:val="002009A4"/>
    <w:rsid w:val="00200C58"/>
    <w:rsid w:val="00201465"/>
    <w:rsid w:val="002017AA"/>
    <w:rsid w:val="0020192E"/>
    <w:rsid w:val="00201A1A"/>
    <w:rsid w:val="00201A69"/>
    <w:rsid w:val="00201E64"/>
    <w:rsid w:val="002021F2"/>
    <w:rsid w:val="002028E9"/>
    <w:rsid w:val="00202D91"/>
    <w:rsid w:val="00203032"/>
    <w:rsid w:val="0020308A"/>
    <w:rsid w:val="0020339E"/>
    <w:rsid w:val="0020351F"/>
    <w:rsid w:val="00203540"/>
    <w:rsid w:val="00203828"/>
    <w:rsid w:val="00203B5E"/>
    <w:rsid w:val="00203C50"/>
    <w:rsid w:val="00203D31"/>
    <w:rsid w:val="0020402A"/>
    <w:rsid w:val="0020495A"/>
    <w:rsid w:val="00204B3C"/>
    <w:rsid w:val="00204B9D"/>
    <w:rsid w:val="00204D34"/>
    <w:rsid w:val="00204DBF"/>
    <w:rsid w:val="00204EC2"/>
    <w:rsid w:val="0020528E"/>
    <w:rsid w:val="002053B0"/>
    <w:rsid w:val="00205477"/>
    <w:rsid w:val="002055CF"/>
    <w:rsid w:val="00205BCA"/>
    <w:rsid w:val="00205C75"/>
    <w:rsid w:val="00205D9C"/>
    <w:rsid w:val="00205E36"/>
    <w:rsid w:val="00205FBA"/>
    <w:rsid w:val="0020616C"/>
    <w:rsid w:val="0020678F"/>
    <w:rsid w:val="002068CB"/>
    <w:rsid w:val="00206957"/>
    <w:rsid w:val="00206DD8"/>
    <w:rsid w:val="00206FEC"/>
    <w:rsid w:val="00207310"/>
    <w:rsid w:val="00207753"/>
    <w:rsid w:val="00207C31"/>
    <w:rsid w:val="00207CD3"/>
    <w:rsid w:val="0021006E"/>
    <w:rsid w:val="00210358"/>
    <w:rsid w:val="00210505"/>
    <w:rsid w:val="00210518"/>
    <w:rsid w:val="00210777"/>
    <w:rsid w:val="00210945"/>
    <w:rsid w:val="002109E0"/>
    <w:rsid w:val="00210C40"/>
    <w:rsid w:val="00210C80"/>
    <w:rsid w:val="00210DF2"/>
    <w:rsid w:val="00211266"/>
    <w:rsid w:val="00211360"/>
    <w:rsid w:val="002114E3"/>
    <w:rsid w:val="002117BC"/>
    <w:rsid w:val="00211B35"/>
    <w:rsid w:val="00211C3C"/>
    <w:rsid w:val="00211D43"/>
    <w:rsid w:val="00211DAF"/>
    <w:rsid w:val="00211E43"/>
    <w:rsid w:val="00211EB9"/>
    <w:rsid w:val="002122F8"/>
    <w:rsid w:val="00212449"/>
    <w:rsid w:val="002126B3"/>
    <w:rsid w:val="002126F6"/>
    <w:rsid w:val="00212700"/>
    <w:rsid w:val="002128F1"/>
    <w:rsid w:val="002128F2"/>
    <w:rsid w:val="00212BA8"/>
    <w:rsid w:val="00212BB7"/>
    <w:rsid w:val="00212D88"/>
    <w:rsid w:val="0021398A"/>
    <w:rsid w:val="002139E7"/>
    <w:rsid w:val="00213AC9"/>
    <w:rsid w:val="00213DF6"/>
    <w:rsid w:val="00213E6D"/>
    <w:rsid w:val="00213ED2"/>
    <w:rsid w:val="00213F99"/>
    <w:rsid w:val="00214013"/>
    <w:rsid w:val="00214051"/>
    <w:rsid w:val="00214134"/>
    <w:rsid w:val="002144DB"/>
    <w:rsid w:val="002148E8"/>
    <w:rsid w:val="00214C2A"/>
    <w:rsid w:val="00214D3B"/>
    <w:rsid w:val="002151A1"/>
    <w:rsid w:val="002151B4"/>
    <w:rsid w:val="00215784"/>
    <w:rsid w:val="00215812"/>
    <w:rsid w:val="00215E3D"/>
    <w:rsid w:val="002168B0"/>
    <w:rsid w:val="00216914"/>
    <w:rsid w:val="00216A94"/>
    <w:rsid w:val="00217048"/>
    <w:rsid w:val="00217103"/>
    <w:rsid w:val="00217137"/>
    <w:rsid w:val="0021730A"/>
    <w:rsid w:val="00217328"/>
    <w:rsid w:val="002173FB"/>
    <w:rsid w:val="00217686"/>
    <w:rsid w:val="00217898"/>
    <w:rsid w:val="00217B77"/>
    <w:rsid w:val="00217C74"/>
    <w:rsid w:val="00217F31"/>
    <w:rsid w:val="00220329"/>
    <w:rsid w:val="0022059B"/>
    <w:rsid w:val="00220908"/>
    <w:rsid w:val="00220DCF"/>
    <w:rsid w:val="00220E6C"/>
    <w:rsid w:val="00220EA9"/>
    <w:rsid w:val="002212DF"/>
    <w:rsid w:val="002218F5"/>
    <w:rsid w:val="00221CEF"/>
    <w:rsid w:val="00221D1C"/>
    <w:rsid w:val="00221DF1"/>
    <w:rsid w:val="00221E83"/>
    <w:rsid w:val="00221FE4"/>
    <w:rsid w:val="00222004"/>
    <w:rsid w:val="00222673"/>
    <w:rsid w:val="002229F5"/>
    <w:rsid w:val="00222E6B"/>
    <w:rsid w:val="002230AF"/>
    <w:rsid w:val="00223182"/>
    <w:rsid w:val="002234C1"/>
    <w:rsid w:val="002235BD"/>
    <w:rsid w:val="00223BCE"/>
    <w:rsid w:val="0022452B"/>
    <w:rsid w:val="002249A2"/>
    <w:rsid w:val="002249D1"/>
    <w:rsid w:val="00224A7A"/>
    <w:rsid w:val="00224FC0"/>
    <w:rsid w:val="00225056"/>
    <w:rsid w:val="00225188"/>
    <w:rsid w:val="00225199"/>
    <w:rsid w:val="00225556"/>
    <w:rsid w:val="00225563"/>
    <w:rsid w:val="00225763"/>
    <w:rsid w:val="00225A4B"/>
    <w:rsid w:val="00225B0C"/>
    <w:rsid w:val="00225BED"/>
    <w:rsid w:val="0022624F"/>
    <w:rsid w:val="00226341"/>
    <w:rsid w:val="0022644F"/>
    <w:rsid w:val="002267E5"/>
    <w:rsid w:val="00226C77"/>
    <w:rsid w:val="00226F58"/>
    <w:rsid w:val="002270D5"/>
    <w:rsid w:val="002272F5"/>
    <w:rsid w:val="0022749E"/>
    <w:rsid w:val="0022795B"/>
    <w:rsid w:val="00227B10"/>
    <w:rsid w:val="00227D49"/>
    <w:rsid w:val="00227E7F"/>
    <w:rsid w:val="00227F7F"/>
    <w:rsid w:val="0023023F"/>
    <w:rsid w:val="002306AC"/>
    <w:rsid w:val="00230B33"/>
    <w:rsid w:val="00230D44"/>
    <w:rsid w:val="0023145A"/>
    <w:rsid w:val="0023151B"/>
    <w:rsid w:val="00231704"/>
    <w:rsid w:val="0023176A"/>
    <w:rsid w:val="002317C9"/>
    <w:rsid w:val="00231961"/>
    <w:rsid w:val="00231DA7"/>
    <w:rsid w:val="00231F38"/>
    <w:rsid w:val="0023240A"/>
    <w:rsid w:val="002324C9"/>
    <w:rsid w:val="002326C3"/>
    <w:rsid w:val="00233204"/>
    <w:rsid w:val="00233217"/>
    <w:rsid w:val="002332BE"/>
    <w:rsid w:val="00233359"/>
    <w:rsid w:val="002336A0"/>
    <w:rsid w:val="00233811"/>
    <w:rsid w:val="0023390E"/>
    <w:rsid w:val="00233FC8"/>
    <w:rsid w:val="0023407C"/>
    <w:rsid w:val="00234390"/>
    <w:rsid w:val="002346FB"/>
    <w:rsid w:val="00234820"/>
    <w:rsid w:val="00234DB0"/>
    <w:rsid w:val="00234FC0"/>
    <w:rsid w:val="0023501F"/>
    <w:rsid w:val="0023530D"/>
    <w:rsid w:val="002353E1"/>
    <w:rsid w:val="002356B3"/>
    <w:rsid w:val="00235AAE"/>
    <w:rsid w:val="00235D8B"/>
    <w:rsid w:val="00235ECB"/>
    <w:rsid w:val="00235EE9"/>
    <w:rsid w:val="00235F94"/>
    <w:rsid w:val="00236053"/>
    <w:rsid w:val="002361A6"/>
    <w:rsid w:val="0023634E"/>
    <w:rsid w:val="002363C8"/>
    <w:rsid w:val="00236406"/>
    <w:rsid w:val="002364C1"/>
    <w:rsid w:val="00236675"/>
    <w:rsid w:val="00236882"/>
    <w:rsid w:val="00236D6C"/>
    <w:rsid w:val="00236DEA"/>
    <w:rsid w:val="00237199"/>
    <w:rsid w:val="00237454"/>
    <w:rsid w:val="00237795"/>
    <w:rsid w:val="002377BF"/>
    <w:rsid w:val="00237A51"/>
    <w:rsid w:val="00237C4B"/>
    <w:rsid w:val="00237F7D"/>
    <w:rsid w:val="0024042D"/>
    <w:rsid w:val="00240912"/>
    <w:rsid w:val="00240E05"/>
    <w:rsid w:val="002412C9"/>
    <w:rsid w:val="00241352"/>
    <w:rsid w:val="0024163A"/>
    <w:rsid w:val="00241690"/>
    <w:rsid w:val="00241701"/>
    <w:rsid w:val="00241723"/>
    <w:rsid w:val="0024194F"/>
    <w:rsid w:val="00241990"/>
    <w:rsid w:val="00241D9B"/>
    <w:rsid w:val="00241F51"/>
    <w:rsid w:val="002428A0"/>
    <w:rsid w:val="00242B0A"/>
    <w:rsid w:val="00242D9C"/>
    <w:rsid w:val="00242EFE"/>
    <w:rsid w:val="00243361"/>
    <w:rsid w:val="0024366E"/>
    <w:rsid w:val="002436AA"/>
    <w:rsid w:val="0024371B"/>
    <w:rsid w:val="002439F5"/>
    <w:rsid w:val="00243B16"/>
    <w:rsid w:val="00243DBB"/>
    <w:rsid w:val="00243FA8"/>
    <w:rsid w:val="00244065"/>
    <w:rsid w:val="002440D0"/>
    <w:rsid w:val="002440FB"/>
    <w:rsid w:val="002448AE"/>
    <w:rsid w:val="00244BA6"/>
    <w:rsid w:val="00244BFF"/>
    <w:rsid w:val="00244CE4"/>
    <w:rsid w:val="00244EC3"/>
    <w:rsid w:val="002453C3"/>
    <w:rsid w:val="00245469"/>
    <w:rsid w:val="002455B5"/>
    <w:rsid w:val="00246515"/>
    <w:rsid w:val="002465AE"/>
    <w:rsid w:val="00246A7D"/>
    <w:rsid w:val="00246F67"/>
    <w:rsid w:val="00246FA9"/>
    <w:rsid w:val="0024718A"/>
    <w:rsid w:val="00247258"/>
    <w:rsid w:val="002472DC"/>
    <w:rsid w:val="00247486"/>
    <w:rsid w:val="002474AD"/>
    <w:rsid w:val="0024757D"/>
    <w:rsid w:val="002475A0"/>
    <w:rsid w:val="0024779A"/>
    <w:rsid w:val="002477E3"/>
    <w:rsid w:val="002479AB"/>
    <w:rsid w:val="0025010C"/>
    <w:rsid w:val="00250608"/>
    <w:rsid w:val="002508F4"/>
    <w:rsid w:val="00250B8B"/>
    <w:rsid w:val="002510B1"/>
    <w:rsid w:val="002511CD"/>
    <w:rsid w:val="002516B0"/>
    <w:rsid w:val="002516E6"/>
    <w:rsid w:val="00251806"/>
    <w:rsid w:val="0025192E"/>
    <w:rsid w:val="00251B63"/>
    <w:rsid w:val="0025224B"/>
    <w:rsid w:val="002526CE"/>
    <w:rsid w:val="00252B05"/>
    <w:rsid w:val="0025316C"/>
    <w:rsid w:val="00253788"/>
    <w:rsid w:val="00253877"/>
    <w:rsid w:val="00253919"/>
    <w:rsid w:val="00253B20"/>
    <w:rsid w:val="00253C1F"/>
    <w:rsid w:val="00253CDB"/>
    <w:rsid w:val="0025401F"/>
    <w:rsid w:val="002540C9"/>
    <w:rsid w:val="00254202"/>
    <w:rsid w:val="002547B6"/>
    <w:rsid w:val="002549EC"/>
    <w:rsid w:val="00254E3D"/>
    <w:rsid w:val="00255442"/>
    <w:rsid w:val="00255565"/>
    <w:rsid w:val="00255877"/>
    <w:rsid w:val="00255A76"/>
    <w:rsid w:val="002564AC"/>
    <w:rsid w:val="002564E9"/>
    <w:rsid w:val="0025680F"/>
    <w:rsid w:val="00256909"/>
    <w:rsid w:val="00256AE6"/>
    <w:rsid w:val="00256B57"/>
    <w:rsid w:val="00257054"/>
    <w:rsid w:val="0025710F"/>
    <w:rsid w:val="0025729E"/>
    <w:rsid w:val="00257867"/>
    <w:rsid w:val="002579B9"/>
    <w:rsid w:val="00257BA0"/>
    <w:rsid w:val="00257BCA"/>
    <w:rsid w:val="00260312"/>
    <w:rsid w:val="00261038"/>
    <w:rsid w:val="002612D5"/>
    <w:rsid w:val="002614F1"/>
    <w:rsid w:val="0026185A"/>
    <w:rsid w:val="002619F2"/>
    <w:rsid w:val="00262253"/>
    <w:rsid w:val="0026259D"/>
    <w:rsid w:val="002628A8"/>
    <w:rsid w:val="00262B4F"/>
    <w:rsid w:val="00262D6D"/>
    <w:rsid w:val="002630EA"/>
    <w:rsid w:val="0026310D"/>
    <w:rsid w:val="0026335D"/>
    <w:rsid w:val="002633CC"/>
    <w:rsid w:val="002639BF"/>
    <w:rsid w:val="00263A65"/>
    <w:rsid w:val="00263BC5"/>
    <w:rsid w:val="002643BC"/>
    <w:rsid w:val="00264955"/>
    <w:rsid w:val="00264AD6"/>
    <w:rsid w:val="00264B28"/>
    <w:rsid w:val="0026513D"/>
    <w:rsid w:val="002654FB"/>
    <w:rsid w:val="00265A4F"/>
    <w:rsid w:val="00265C3D"/>
    <w:rsid w:val="00266156"/>
    <w:rsid w:val="00266172"/>
    <w:rsid w:val="002662A0"/>
    <w:rsid w:val="0026658B"/>
    <w:rsid w:val="00266897"/>
    <w:rsid w:val="00266BD5"/>
    <w:rsid w:val="00266CE0"/>
    <w:rsid w:val="00267384"/>
    <w:rsid w:val="00267498"/>
    <w:rsid w:val="002674CD"/>
    <w:rsid w:val="00267B95"/>
    <w:rsid w:val="00267C0F"/>
    <w:rsid w:val="00267CC8"/>
    <w:rsid w:val="00270210"/>
    <w:rsid w:val="00270638"/>
    <w:rsid w:val="00270B70"/>
    <w:rsid w:val="00270E13"/>
    <w:rsid w:val="00270E18"/>
    <w:rsid w:val="002710E7"/>
    <w:rsid w:val="00271503"/>
    <w:rsid w:val="00271546"/>
    <w:rsid w:val="00271F1B"/>
    <w:rsid w:val="00272099"/>
    <w:rsid w:val="002721C2"/>
    <w:rsid w:val="00272258"/>
    <w:rsid w:val="002724A6"/>
    <w:rsid w:val="002726A5"/>
    <w:rsid w:val="002727AA"/>
    <w:rsid w:val="0027317A"/>
    <w:rsid w:val="00273508"/>
    <w:rsid w:val="00273760"/>
    <w:rsid w:val="00273832"/>
    <w:rsid w:val="002738C0"/>
    <w:rsid w:val="0027395D"/>
    <w:rsid w:val="00273DB7"/>
    <w:rsid w:val="00273DFA"/>
    <w:rsid w:val="00274181"/>
    <w:rsid w:val="002745AA"/>
    <w:rsid w:val="002745BE"/>
    <w:rsid w:val="00274650"/>
    <w:rsid w:val="00274C58"/>
    <w:rsid w:val="00274F48"/>
    <w:rsid w:val="00275327"/>
    <w:rsid w:val="0027560C"/>
    <w:rsid w:val="002759C3"/>
    <w:rsid w:val="00275BE5"/>
    <w:rsid w:val="00275D12"/>
    <w:rsid w:val="00276445"/>
    <w:rsid w:val="00276732"/>
    <w:rsid w:val="002767C4"/>
    <w:rsid w:val="00276D31"/>
    <w:rsid w:val="002770B6"/>
    <w:rsid w:val="00277256"/>
    <w:rsid w:val="0027738C"/>
    <w:rsid w:val="002773F9"/>
    <w:rsid w:val="0027788B"/>
    <w:rsid w:val="0027795B"/>
    <w:rsid w:val="002779AE"/>
    <w:rsid w:val="00277A81"/>
    <w:rsid w:val="00277EEC"/>
    <w:rsid w:val="002805CE"/>
    <w:rsid w:val="00280732"/>
    <w:rsid w:val="00280A67"/>
    <w:rsid w:val="00280C6F"/>
    <w:rsid w:val="00280CA8"/>
    <w:rsid w:val="00281156"/>
    <w:rsid w:val="002813F2"/>
    <w:rsid w:val="0028169E"/>
    <w:rsid w:val="00281D9E"/>
    <w:rsid w:val="00281FEE"/>
    <w:rsid w:val="00282044"/>
    <w:rsid w:val="002826C8"/>
    <w:rsid w:val="002826F4"/>
    <w:rsid w:val="00282AC6"/>
    <w:rsid w:val="00283304"/>
    <w:rsid w:val="0028336B"/>
    <w:rsid w:val="00283587"/>
    <w:rsid w:val="002836C4"/>
    <w:rsid w:val="00283E0C"/>
    <w:rsid w:val="00284823"/>
    <w:rsid w:val="00284B51"/>
    <w:rsid w:val="0028502E"/>
    <w:rsid w:val="00285089"/>
    <w:rsid w:val="0028517B"/>
    <w:rsid w:val="002851BE"/>
    <w:rsid w:val="002851C7"/>
    <w:rsid w:val="002851DD"/>
    <w:rsid w:val="00285294"/>
    <w:rsid w:val="00285A28"/>
    <w:rsid w:val="00285D4F"/>
    <w:rsid w:val="00285E44"/>
    <w:rsid w:val="002861B7"/>
    <w:rsid w:val="00286222"/>
    <w:rsid w:val="00286641"/>
    <w:rsid w:val="002867EB"/>
    <w:rsid w:val="00286876"/>
    <w:rsid w:val="00286BA4"/>
    <w:rsid w:val="00286CD8"/>
    <w:rsid w:val="00286D63"/>
    <w:rsid w:val="002873C4"/>
    <w:rsid w:val="002879EA"/>
    <w:rsid w:val="00287A33"/>
    <w:rsid w:val="00287B4C"/>
    <w:rsid w:val="00287C34"/>
    <w:rsid w:val="002900E0"/>
    <w:rsid w:val="00290A27"/>
    <w:rsid w:val="00291016"/>
    <w:rsid w:val="00291189"/>
    <w:rsid w:val="0029119D"/>
    <w:rsid w:val="00291297"/>
    <w:rsid w:val="00291439"/>
    <w:rsid w:val="002915A9"/>
    <w:rsid w:val="00291728"/>
    <w:rsid w:val="00291742"/>
    <w:rsid w:val="00291868"/>
    <w:rsid w:val="00291B2D"/>
    <w:rsid w:val="00291B79"/>
    <w:rsid w:val="00291F81"/>
    <w:rsid w:val="0029202B"/>
    <w:rsid w:val="00292A58"/>
    <w:rsid w:val="00292EC7"/>
    <w:rsid w:val="00293272"/>
    <w:rsid w:val="002937C7"/>
    <w:rsid w:val="00293998"/>
    <w:rsid w:val="00293A36"/>
    <w:rsid w:val="00293A63"/>
    <w:rsid w:val="00293C28"/>
    <w:rsid w:val="002942D1"/>
    <w:rsid w:val="002942F8"/>
    <w:rsid w:val="0029484D"/>
    <w:rsid w:val="00294D53"/>
    <w:rsid w:val="00294E56"/>
    <w:rsid w:val="00294ED5"/>
    <w:rsid w:val="00294F08"/>
    <w:rsid w:val="00295778"/>
    <w:rsid w:val="002958FB"/>
    <w:rsid w:val="00295AF1"/>
    <w:rsid w:val="00295B46"/>
    <w:rsid w:val="00295D1C"/>
    <w:rsid w:val="00295D75"/>
    <w:rsid w:val="00295EFE"/>
    <w:rsid w:val="00296256"/>
    <w:rsid w:val="0029648B"/>
    <w:rsid w:val="002964D6"/>
    <w:rsid w:val="00296622"/>
    <w:rsid w:val="002967B0"/>
    <w:rsid w:val="00296A2F"/>
    <w:rsid w:val="00296F14"/>
    <w:rsid w:val="00297114"/>
    <w:rsid w:val="002971A8"/>
    <w:rsid w:val="00297798"/>
    <w:rsid w:val="00297D92"/>
    <w:rsid w:val="002A0150"/>
    <w:rsid w:val="002A0175"/>
    <w:rsid w:val="002A0186"/>
    <w:rsid w:val="002A056E"/>
    <w:rsid w:val="002A0631"/>
    <w:rsid w:val="002A0714"/>
    <w:rsid w:val="002A077D"/>
    <w:rsid w:val="002A0892"/>
    <w:rsid w:val="002A0A2D"/>
    <w:rsid w:val="002A0A35"/>
    <w:rsid w:val="002A0C0C"/>
    <w:rsid w:val="002A0E11"/>
    <w:rsid w:val="002A0F22"/>
    <w:rsid w:val="002A0F99"/>
    <w:rsid w:val="002A11D8"/>
    <w:rsid w:val="002A1215"/>
    <w:rsid w:val="002A139B"/>
    <w:rsid w:val="002A158B"/>
    <w:rsid w:val="002A1B21"/>
    <w:rsid w:val="002A1D74"/>
    <w:rsid w:val="002A1FD6"/>
    <w:rsid w:val="002A2113"/>
    <w:rsid w:val="002A2398"/>
    <w:rsid w:val="002A23DC"/>
    <w:rsid w:val="002A24D2"/>
    <w:rsid w:val="002A2803"/>
    <w:rsid w:val="002A2DBC"/>
    <w:rsid w:val="002A2DF9"/>
    <w:rsid w:val="002A314D"/>
    <w:rsid w:val="002A32B2"/>
    <w:rsid w:val="002A3543"/>
    <w:rsid w:val="002A3554"/>
    <w:rsid w:val="002A35F9"/>
    <w:rsid w:val="002A3E98"/>
    <w:rsid w:val="002A3FC7"/>
    <w:rsid w:val="002A4093"/>
    <w:rsid w:val="002A41C7"/>
    <w:rsid w:val="002A46F7"/>
    <w:rsid w:val="002A49E2"/>
    <w:rsid w:val="002A4A99"/>
    <w:rsid w:val="002A5033"/>
    <w:rsid w:val="002A52C7"/>
    <w:rsid w:val="002A5358"/>
    <w:rsid w:val="002A57E6"/>
    <w:rsid w:val="002A5EC6"/>
    <w:rsid w:val="002A5FB1"/>
    <w:rsid w:val="002A676C"/>
    <w:rsid w:val="002A6C45"/>
    <w:rsid w:val="002A6CDC"/>
    <w:rsid w:val="002A6F09"/>
    <w:rsid w:val="002A7009"/>
    <w:rsid w:val="002A7521"/>
    <w:rsid w:val="002A78EE"/>
    <w:rsid w:val="002A7BEC"/>
    <w:rsid w:val="002B0304"/>
    <w:rsid w:val="002B06FF"/>
    <w:rsid w:val="002B0A96"/>
    <w:rsid w:val="002B0ABF"/>
    <w:rsid w:val="002B0F1C"/>
    <w:rsid w:val="002B10C7"/>
    <w:rsid w:val="002B110F"/>
    <w:rsid w:val="002B1274"/>
    <w:rsid w:val="002B14FA"/>
    <w:rsid w:val="002B1E5F"/>
    <w:rsid w:val="002B1F05"/>
    <w:rsid w:val="002B203F"/>
    <w:rsid w:val="002B20C8"/>
    <w:rsid w:val="002B212C"/>
    <w:rsid w:val="002B2509"/>
    <w:rsid w:val="002B257D"/>
    <w:rsid w:val="002B2584"/>
    <w:rsid w:val="002B26D3"/>
    <w:rsid w:val="002B2A40"/>
    <w:rsid w:val="002B2BF3"/>
    <w:rsid w:val="002B30D8"/>
    <w:rsid w:val="002B3541"/>
    <w:rsid w:val="002B39E4"/>
    <w:rsid w:val="002B3D40"/>
    <w:rsid w:val="002B4430"/>
    <w:rsid w:val="002B48A9"/>
    <w:rsid w:val="002B49D9"/>
    <w:rsid w:val="002B4D2C"/>
    <w:rsid w:val="002B4D69"/>
    <w:rsid w:val="002B5218"/>
    <w:rsid w:val="002B55AC"/>
    <w:rsid w:val="002B57D8"/>
    <w:rsid w:val="002B5A0E"/>
    <w:rsid w:val="002B5DDA"/>
    <w:rsid w:val="002B5F45"/>
    <w:rsid w:val="002B621E"/>
    <w:rsid w:val="002B64C3"/>
    <w:rsid w:val="002B6570"/>
    <w:rsid w:val="002B6814"/>
    <w:rsid w:val="002B6896"/>
    <w:rsid w:val="002B6B31"/>
    <w:rsid w:val="002B6E96"/>
    <w:rsid w:val="002B6F84"/>
    <w:rsid w:val="002B7047"/>
    <w:rsid w:val="002B70D6"/>
    <w:rsid w:val="002B728C"/>
    <w:rsid w:val="002B7425"/>
    <w:rsid w:val="002B77CE"/>
    <w:rsid w:val="002B7ADE"/>
    <w:rsid w:val="002B7D39"/>
    <w:rsid w:val="002B7DB3"/>
    <w:rsid w:val="002B7F40"/>
    <w:rsid w:val="002C00D5"/>
    <w:rsid w:val="002C017E"/>
    <w:rsid w:val="002C0324"/>
    <w:rsid w:val="002C08C9"/>
    <w:rsid w:val="002C0DBA"/>
    <w:rsid w:val="002C0F1B"/>
    <w:rsid w:val="002C0F76"/>
    <w:rsid w:val="002C0FD3"/>
    <w:rsid w:val="002C122A"/>
    <w:rsid w:val="002C1256"/>
    <w:rsid w:val="002C12E7"/>
    <w:rsid w:val="002C1439"/>
    <w:rsid w:val="002C169B"/>
    <w:rsid w:val="002C19E0"/>
    <w:rsid w:val="002C2203"/>
    <w:rsid w:val="002C2259"/>
    <w:rsid w:val="002C2E23"/>
    <w:rsid w:val="002C2E80"/>
    <w:rsid w:val="002C3096"/>
    <w:rsid w:val="002C3158"/>
    <w:rsid w:val="002C31BD"/>
    <w:rsid w:val="002C3498"/>
    <w:rsid w:val="002C36BF"/>
    <w:rsid w:val="002C375D"/>
    <w:rsid w:val="002C4235"/>
    <w:rsid w:val="002C4241"/>
    <w:rsid w:val="002C4348"/>
    <w:rsid w:val="002C4E6C"/>
    <w:rsid w:val="002C4FA2"/>
    <w:rsid w:val="002C56E6"/>
    <w:rsid w:val="002C5A9D"/>
    <w:rsid w:val="002C5B71"/>
    <w:rsid w:val="002C5D9D"/>
    <w:rsid w:val="002C61F7"/>
    <w:rsid w:val="002C66BC"/>
    <w:rsid w:val="002C6B67"/>
    <w:rsid w:val="002C6CAD"/>
    <w:rsid w:val="002C6D3D"/>
    <w:rsid w:val="002C74D9"/>
    <w:rsid w:val="002C7529"/>
    <w:rsid w:val="002C75B3"/>
    <w:rsid w:val="002C75F5"/>
    <w:rsid w:val="002C7674"/>
    <w:rsid w:val="002C777B"/>
    <w:rsid w:val="002C7A08"/>
    <w:rsid w:val="002C7A88"/>
    <w:rsid w:val="002C7CE9"/>
    <w:rsid w:val="002C7DD1"/>
    <w:rsid w:val="002C7EEF"/>
    <w:rsid w:val="002D002D"/>
    <w:rsid w:val="002D01F9"/>
    <w:rsid w:val="002D04FF"/>
    <w:rsid w:val="002D0614"/>
    <w:rsid w:val="002D0880"/>
    <w:rsid w:val="002D0A24"/>
    <w:rsid w:val="002D0A8E"/>
    <w:rsid w:val="002D0A91"/>
    <w:rsid w:val="002D0D3A"/>
    <w:rsid w:val="002D107F"/>
    <w:rsid w:val="002D128D"/>
    <w:rsid w:val="002D178F"/>
    <w:rsid w:val="002D2545"/>
    <w:rsid w:val="002D26CE"/>
    <w:rsid w:val="002D3D75"/>
    <w:rsid w:val="002D3E5F"/>
    <w:rsid w:val="002D3FCD"/>
    <w:rsid w:val="002D4127"/>
    <w:rsid w:val="002D4ADC"/>
    <w:rsid w:val="002D50A8"/>
    <w:rsid w:val="002D51FA"/>
    <w:rsid w:val="002D543B"/>
    <w:rsid w:val="002D572E"/>
    <w:rsid w:val="002D585E"/>
    <w:rsid w:val="002D593D"/>
    <w:rsid w:val="002D5D4B"/>
    <w:rsid w:val="002D5F4C"/>
    <w:rsid w:val="002D6125"/>
    <w:rsid w:val="002D630E"/>
    <w:rsid w:val="002D64EB"/>
    <w:rsid w:val="002D651B"/>
    <w:rsid w:val="002D6B6F"/>
    <w:rsid w:val="002D6B89"/>
    <w:rsid w:val="002D6CBB"/>
    <w:rsid w:val="002D6CE6"/>
    <w:rsid w:val="002D727C"/>
    <w:rsid w:val="002D7B39"/>
    <w:rsid w:val="002D7E71"/>
    <w:rsid w:val="002D7EF9"/>
    <w:rsid w:val="002D7FCA"/>
    <w:rsid w:val="002E02E0"/>
    <w:rsid w:val="002E0907"/>
    <w:rsid w:val="002E09B3"/>
    <w:rsid w:val="002E0ED4"/>
    <w:rsid w:val="002E0EF0"/>
    <w:rsid w:val="002E0FF1"/>
    <w:rsid w:val="002E1089"/>
    <w:rsid w:val="002E11AC"/>
    <w:rsid w:val="002E1A96"/>
    <w:rsid w:val="002E1D0C"/>
    <w:rsid w:val="002E1E56"/>
    <w:rsid w:val="002E1ED6"/>
    <w:rsid w:val="002E1F2B"/>
    <w:rsid w:val="002E22ED"/>
    <w:rsid w:val="002E2707"/>
    <w:rsid w:val="002E2715"/>
    <w:rsid w:val="002E278C"/>
    <w:rsid w:val="002E2BC7"/>
    <w:rsid w:val="002E2ED1"/>
    <w:rsid w:val="002E31D4"/>
    <w:rsid w:val="002E33CD"/>
    <w:rsid w:val="002E42A3"/>
    <w:rsid w:val="002E45E6"/>
    <w:rsid w:val="002E4742"/>
    <w:rsid w:val="002E494E"/>
    <w:rsid w:val="002E4A31"/>
    <w:rsid w:val="002E5407"/>
    <w:rsid w:val="002E5D12"/>
    <w:rsid w:val="002E5E62"/>
    <w:rsid w:val="002E6038"/>
    <w:rsid w:val="002E635D"/>
    <w:rsid w:val="002E6451"/>
    <w:rsid w:val="002E6991"/>
    <w:rsid w:val="002E6C7D"/>
    <w:rsid w:val="002E6D03"/>
    <w:rsid w:val="002E6DE9"/>
    <w:rsid w:val="002E6E3D"/>
    <w:rsid w:val="002E6EA0"/>
    <w:rsid w:val="002E6F20"/>
    <w:rsid w:val="002E6F71"/>
    <w:rsid w:val="002E73E2"/>
    <w:rsid w:val="002E74E9"/>
    <w:rsid w:val="002E7755"/>
    <w:rsid w:val="002E7841"/>
    <w:rsid w:val="002E7866"/>
    <w:rsid w:val="002E7DB5"/>
    <w:rsid w:val="002E7FB6"/>
    <w:rsid w:val="002F0574"/>
    <w:rsid w:val="002F06A9"/>
    <w:rsid w:val="002F0ACB"/>
    <w:rsid w:val="002F0B7A"/>
    <w:rsid w:val="002F0D5B"/>
    <w:rsid w:val="002F0F8F"/>
    <w:rsid w:val="002F1254"/>
    <w:rsid w:val="002F14CE"/>
    <w:rsid w:val="002F189A"/>
    <w:rsid w:val="002F1A83"/>
    <w:rsid w:val="002F256B"/>
    <w:rsid w:val="002F27D2"/>
    <w:rsid w:val="002F29A0"/>
    <w:rsid w:val="002F2A2C"/>
    <w:rsid w:val="002F2B33"/>
    <w:rsid w:val="002F2C6B"/>
    <w:rsid w:val="002F30F8"/>
    <w:rsid w:val="002F32DA"/>
    <w:rsid w:val="002F3455"/>
    <w:rsid w:val="002F3762"/>
    <w:rsid w:val="002F379F"/>
    <w:rsid w:val="002F39BD"/>
    <w:rsid w:val="002F3D49"/>
    <w:rsid w:val="002F3F38"/>
    <w:rsid w:val="002F4193"/>
    <w:rsid w:val="002F4854"/>
    <w:rsid w:val="002F4B47"/>
    <w:rsid w:val="002F4B50"/>
    <w:rsid w:val="002F4B5D"/>
    <w:rsid w:val="002F4CCF"/>
    <w:rsid w:val="002F4F5F"/>
    <w:rsid w:val="002F4FA4"/>
    <w:rsid w:val="002F506F"/>
    <w:rsid w:val="002F51D0"/>
    <w:rsid w:val="002F5679"/>
    <w:rsid w:val="002F56E0"/>
    <w:rsid w:val="002F59AE"/>
    <w:rsid w:val="002F59B3"/>
    <w:rsid w:val="002F5E78"/>
    <w:rsid w:val="002F5F3B"/>
    <w:rsid w:val="002F5FE8"/>
    <w:rsid w:val="002F6819"/>
    <w:rsid w:val="002F6A2C"/>
    <w:rsid w:val="002F6A55"/>
    <w:rsid w:val="002F7B85"/>
    <w:rsid w:val="002F7DBC"/>
    <w:rsid w:val="00300741"/>
    <w:rsid w:val="00300A70"/>
    <w:rsid w:val="00300DAA"/>
    <w:rsid w:val="00301249"/>
    <w:rsid w:val="003012DC"/>
    <w:rsid w:val="0030189E"/>
    <w:rsid w:val="003018F8"/>
    <w:rsid w:val="00301970"/>
    <w:rsid w:val="003019C1"/>
    <w:rsid w:val="00301C2E"/>
    <w:rsid w:val="00301D27"/>
    <w:rsid w:val="00301DD0"/>
    <w:rsid w:val="00301E84"/>
    <w:rsid w:val="0030206F"/>
    <w:rsid w:val="003020B5"/>
    <w:rsid w:val="00302221"/>
    <w:rsid w:val="0030257F"/>
    <w:rsid w:val="003026AD"/>
    <w:rsid w:val="00302715"/>
    <w:rsid w:val="00302764"/>
    <w:rsid w:val="00302F26"/>
    <w:rsid w:val="00303594"/>
    <w:rsid w:val="00303742"/>
    <w:rsid w:val="00303918"/>
    <w:rsid w:val="00303E0F"/>
    <w:rsid w:val="00303E59"/>
    <w:rsid w:val="0030415A"/>
    <w:rsid w:val="0030449B"/>
    <w:rsid w:val="00304618"/>
    <w:rsid w:val="003054A2"/>
    <w:rsid w:val="0030556A"/>
    <w:rsid w:val="003056A3"/>
    <w:rsid w:val="003056E4"/>
    <w:rsid w:val="00305788"/>
    <w:rsid w:val="00305A22"/>
    <w:rsid w:val="00305B08"/>
    <w:rsid w:val="00305CCE"/>
    <w:rsid w:val="00305CE7"/>
    <w:rsid w:val="00305D29"/>
    <w:rsid w:val="00306038"/>
    <w:rsid w:val="003061C1"/>
    <w:rsid w:val="003061D0"/>
    <w:rsid w:val="0030636F"/>
    <w:rsid w:val="00306556"/>
    <w:rsid w:val="00306669"/>
    <w:rsid w:val="00306672"/>
    <w:rsid w:val="00306956"/>
    <w:rsid w:val="00306ABC"/>
    <w:rsid w:val="00307208"/>
    <w:rsid w:val="003075E5"/>
    <w:rsid w:val="00307992"/>
    <w:rsid w:val="00307B1A"/>
    <w:rsid w:val="00307B1C"/>
    <w:rsid w:val="00307DE3"/>
    <w:rsid w:val="00307E2C"/>
    <w:rsid w:val="00307EA8"/>
    <w:rsid w:val="003104D6"/>
    <w:rsid w:val="003108BE"/>
    <w:rsid w:val="003109A9"/>
    <w:rsid w:val="00310C92"/>
    <w:rsid w:val="00310D66"/>
    <w:rsid w:val="00310DAF"/>
    <w:rsid w:val="00310E23"/>
    <w:rsid w:val="00311018"/>
    <w:rsid w:val="00311042"/>
    <w:rsid w:val="00311397"/>
    <w:rsid w:val="00311697"/>
    <w:rsid w:val="00311B71"/>
    <w:rsid w:val="00311BCB"/>
    <w:rsid w:val="00311F8C"/>
    <w:rsid w:val="003120C1"/>
    <w:rsid w:val="003125F4"/>
    <w:rsid w:val="003129CF"/>
    <w:rsid w:val="00312F71"/>
    <w:rsid w:val="00313004"/>
    <w:rsid w:val="0031329A"/>
    <w:rsid w:val="0031347F"/>
    <w:rsid w:val="003136BC"/>
    <w:rsid w:val="00313718"/>
    <w:rsid w:val="003138C3"/>
    <w:rsid w:val="00313AE2"/>
    <w:rsid w:val="00313C8B"/>
    <w:rsid w:val="00313CB0"/>
    <w:rsid w:val="00313DC7"/>
    <w:rsid w:val="00313FD8"/>
    <w:rsid w:val="003149DE"/>
    <w:rsid w:val="00314B60"/>
    <w:rsid w:val="00314C16"/>
    <w:rsid w:val="00314D09"/>
    <w:rsid w:val="00314D24"/>
    <w:rsid w:val="003159C7"/>
    <w:rsid w:val="00315DA1"/>
    <w:rsid w:val="00315E8E"/>
    <w:rsid w:val="00316455"/>
    <w:rsid w:val="0031700E"/>
    <w:rsid w:val="00317247"/>
    <w:rsid w:val="00317B6B"/>
    <w:rsid w:val="00317D94"/>
    <w:rsid w:val="00320024"/>
    <w:rsid w:val="003205DC"/>
    <w:rsid w:val="00320EF6"/>
    <w:rsid w:val="00320F1B"/>
    <w:rsid w:val="0032118E"/>
    <w:rsid w:val="0032164C"/>
    <w:rsid w:val="0032190B"/>
    <w:rsid w:val="00321B32"/>
    <w:rsid w:val="00321C74"/>
    <w:rsid w:val="00321DD7"/>
    <w:rsid w:val="00322DC5"/>
    <w:rsid w:val="0032340A"/>
    <w:rsid w:val="003234FF"/>
    <w:rsid w:val="003236A9"/>
    <w:rsid w:val="0032375F"/>
    <w:rsid w:val="0032403B"/>
    <w:rsid w:val="0032423A"/>
    <w:rsid w:val="00324404"/>
    <w:rsid w:val="00324809"/>
    <w:rsid w:val="0032495D"/>
    <w:rsid w:val="00324DE9"/>
    <w:rsid w:val="00324E72"/>
    <w:rsid w:val="00324E89"/>
    <w:rsid w:val="00325926"/>
    <w:rsid w:val="00325BB2"/>
    <w:rsid w:val="00325C09"/>
    <w:rsid w:val="00325E0F"/>
    <w:rsid w:val="00325E53"/>
    <w:rsid w:val="00326029"/>
    <w:rsid w:val="0032689A"/>
    <w:rsid w:val="00326A7C"/>
    <w:rsid w:val="00326ACC"/>
    <w:rsid w:val="00326F05"/>
    <w:rsid w:val="00326FE0"/>
    <w:rsid w:val="003272D5"/>
    <w:rsid w:val="0032744B"/>
    <w:rsid w:val="00327457"/>
    <w:rsid w:val="003277C7"/>
    <w:rsid w:val="00327FD5"/>
    <w:rsid w:val="00330278"/>
    <w:rsid w:val="003302E3"/>
    <w:rsid w:val="00330951"/>
    <w:rsid w:val="00330E56"/>
    <w:rsid w:val="00330E90"/>
    <w:rsid w:val="00331614"/>
    <w:rsid w:val="00331DAE"/>
    <w:rsid w:val="00332281"/>
    <w:rsid w:val="00332BC5"/>
    <w:rsid w:val="003330EB"/>
    <w:rsid w:val="003334FA"/>
    <w:rsid w:val="00333893"/>
    <w:rsid w:val="00333A36"/>
    <w:rsid w:val="00333D71"/>
    <w:rsid w:val="00333DA3"/>
    <w:rsid w:val="00333DDE"/>
    <w:rsid w:val="003341F7"/>
    <w:rsid w:val="0033423F"/>
    <w:rsid w:val="00334337"/>
    <w:rsid w:val="00334338"/>
    <w:rsid w:val="00334A3D"/>
    <w:rsid w:val="00334AB4"/>
    <w:rsid w:val="00334FC7"/>
    <w:rsid w:val="00334FCE"/>
    <w:rsid w:val="003355DD"/>
    <w:rsid w:val="00335917"/>
    <w:rsid w:val="00335E93"/>
    <w:rsid w:val="00335EB1"/>
    <w:rsid w:val="0033641E"/>
    <w:rsid w:val="00336453"/>
    <w:rsid w:val="003365CE"/>
    <w:rsid w:val="003365E6"/>
    <w:rsid w:val="00336F0E"/>
    <w:rsid w:val="003373A0"/>
    <w:rsid w:val="00337533"/>
    <w:rsid w:val="003377F1"/>
    <w:rsid w:val="00337813"/>
    <w:rsid w:val="00337A8A"/>
    <w:rsid w:val="00337E42"/>
    <w:rsid w:val="003400E6"/>
    <w:rsid w:val="003402C7"/>
    <w:rsid w:val="00340374"/>
    <w:rsid w:val="00340547"/>
    <w:rsid w:val="003405BA"/>
    <w:rsid w:val="00340924"/>
    <w:rsid w:val="00340B5F"/>
    <w:rsid w:val="00340FEC"/>
    <w:rsid w:val="003411C9"/>
    <w:rsid w:val="0034126E"/>
    <w:rsid w:val="0034165B"/>
    <w:rsid w:val="00341F75"/>
    <w:rsid w:val="00341F7B"/>
    <w:rsid w:val="00341FC2"/>
    <w:rsid w:val="00342B3E"/>
    <w:rsid w:val="00342C7D"/>
    <w:rsid w:val="00342E3B"/>
    <w:rsid w:val="00343371"/>
    <w:rsid w:val="0034340D"/>
    <w:rsid w:val="00343641"/>
    <w:rsid w:val="0034394E"/>
    <w:rsid w:val="00344145"/>
    <w:rsid w:val="003442CA"/>
    <w:rsid w:val="003446FA"/>
    <w:rsid w:val="00344779"/>
    <w:rsid w:val="003449AB"/>
    <w:rsid w:val="00344CA2"/>
    <w:rsid w:val="00344CF6"/>
    <w:rsid w:val="00344D5A"/>
    <w:rsid w:val="00344E66"/>
    <w:rsid w:val="00344EFD"/>
    <w:rsid w:val="00344FA2"/>
    <w:rsid w:val="0034551C"/>
    <w:rsid w:val="0034590E"/>
    <w:rsid w:val="003459C1"/>
    <w:rsid w:val="00345FC4"/>
    <w:rsid w:val="003460DA"/>
    <w:rsid w:val="003461E4"/>
    <w:rsid w:val="0034622D"/>
    <w:rsid w:val="0034625C"/>
    <w:rsid w:val="00346440"/>
    <w:rsid w:val="00346566"/>
    <w:rsid w:val="003465E2"/>
    <w:rsid w:val="0034699D"/>
    <w:rsid w:val="00346F72"/>
    <w:rsid w:val="003473F6"/>
    <w:rsid w:val="00347B9B"/>
    <w:rsid w:val="00347F95"/>
    <w:rsid w:val="00347FD8"/>
    <w:rsid w:val="003500D7"/>
    <w:rsid w:val="00350614"/>
    <w:rsid w:val="0035075C"/>
    <w:rsid w:val="003508FA"/>
    <w:rsid w:val="0035093A"/>
    <w:rsid w:val="0035095E"/>
    <w:rsid w:val="003509CA"/>
    <w:rsid w:val="00350B44"/>
    <w:rsid w:val="00350B5A"/>
    <w:rsid w:val="00350B6B"/>
    <w:rsid w:val="00350C34"/>
    <w:rsid w:val="00351961"/>
    <w:rsid w:val="00351B68"/>
    <w:rsid w:val="00351C10"/>
    <w:rsid w:val="00351C25"/>
    <w:rsid w:val="00351F75"/>
    <w:rsid w:val="00352688"/>
    <w:rsid w:val="003526B2"/>
    <w:rsid w:val="003527EB"/>
    <w:rsid w:val="0035311B"/>
    <w:rsid w:val="003531BB"/>
    <w:rsid w:val="00353381"/>
    <w:rsid w:val="00353406"/>
    <w:rsid w:val="00353538"/>
    <w:rsid w:val="0035362D"/>
    <w:rsid w:val="00353636"/>
    <w:rsid w:val="00353710"/>
    <w:rsid w:val="00353E53"/>
    <w:rsid w:val="00353FA1"/>
    <w:rsid w:val="003540B4"/>
    <w:rsid w:val="00354141"/>
    <w:rsid w:val="00354253"/>
    <w:rsid w:val="00354303"/>
    <w:rsid w:val="00354387"/>
    <w:rsid w:val="0035456E"/>
    <w:rsid w:val="003549E9"/>
    <w:rsid w:val="00354FF3"/>
    <w:rsid w:val="00355CD6"/>
    <w:rsid w:val="00355E22"/>
    <w:rsid w:val="00356626"/>
    <w:rsid w:val="003567FD"/>
    <w:rsid w:val="00356B13"/>
    <w:rsid w:val="00356F68"/>
    <w:rsid w:val="00357082"/>
    <w:rsid w:val="00357083"/>
    <w:rsid w:val="0035772A"/>
    <w:rsid w:val="00357821"/>
    <w:rsid w:val="00357E05"/>
    <w:rsid w:val="00357EB8"/>
    <w:rsid w:val="00357EE6"/>
    <w:rsid w:val="003601B2"/>
    <w:rsid w:val="00360620"/>
    <w:rsid w:val="00360872"/>
    <w:rsid w:val="003617EC"/>
    <w:rsid w:val="003617F9"/>
    <w:rsid w:val="00361A9B"/>
    <w:rsid w:val="00362655"/>
    <w:rsid w:val="00362BBC"/>
    <w:rsid w:val="00362C7A"/>
    <w:rsid w:val="00362E1F"/>
    <w:rsid w:val="00362EAA"/>
    <w:rsid w:val="00362FA9"/>
    <w:rsid w:val="0036421F"/>
    <w:rsid w:val="00364611"/>
    <w:rsid w:val="00364638"/>
    <w:rsid w:val="0036488B"/>
    <w:rsid w:val="0036502F"/>
    <w:rsid w:val="003659A6"/>
    <w:rsid w:val="00365AD9"/>
    <w:rsid w:val="00365E93"/>
    <w:rsid w:val="00366533"/>
    <w:rsid w:val="003665AD"/>
    <w:rsid w:val="0036672A"/>
    <w:rsid w:val="00366F2D"/>
    <w:rsid w:val="00367317"/>
    <w:rsid w:val="00367AA0"/>
    <w:rsid w:val="00367DF0"/>
    <w:rsid w:val="00367E02"/>
    <w:rsid w:val="00367E3C"/>
    <w:rsid w:val="00370095"/>
    <w:rsid w:val="003705B8"/>
    <w:rsid w:val="003705EF"/>
    <w:rsid w:val="0037060E"/>
    <w:rsid w:val="0037091D"/>
    <w:rsid w:val="003709DE"/>
    <w:rsid w:val="003709E9"/>
    <w:rsid w:val="00370F0D"/>
    <w:rsid w:val="00371250"/>
    <w:rsid w:val="003712A2"/>
    <w:rsid w:val="00371669"/>
    <w:rsid w:val="0037183A"/>
    <w:rsid w:val="00371A54"/>
    <w:rsid w:val="00371E88"/>
    <w:rsid w:val="00371FDF"/>
    <w:rsid w:val="00372051"/>
    <w:rsid w:val="003720D6"/>
    <w:rsid w:val="003722CA"/>
    <w:rsid w:val="0037231F"/>
    <w:rsid w:val="003723DD"/>
    <w:rsid w:val="003724F0"/>
    <w:rsid w:val="00372642"/>
    <w:rsid w:val="00372746"/>
    <w:rsid w:val="003727A1"/>
    <w:rsid w:val="00372818"/>
    <w:rsid w:val="00372BAE"/>
    <w:rsid w:val="00372BCC"/>
    <w:rsid w:val="00372D14"/>
    <w:rsid w:val="003734F0"/>
    <w:rsid w:val="003735A9"/>
    <w:rsid w:val="00373629"/>
    <w:rsid w:val="00373917"/>
    <w:rsid w:val="00374079"/>
    <w:rsid w:val="00374211"/>
    <w:rsid w:val="0037428B"/>
    <w:rsid w:val="003746F8"/>
    <w:rsid w:val="003748DE"/>
    <w:rsid w:val="003748EB"/>
    <w:rsid w:val="00374D39"/>
    <w:rsid w:val="0037505D"/>
    <w:rsid w:val="003751C4"/>
    <w:rsid w:val="00375452"/>
    <w:rsid w:val="00375532"/>
    <w:rsid w:val="00375614"/>
    <w:rsid w:val="0037564D"/>
    <w:rsid w:val="00375A82"/>
    <w:rsid w:val="00375EC9"/>
    <w:rsid w:val="00375ECC"/>
    <w:rsid w:val="0037630C"/>
    <w:rsid w:val="0037677F"/>
    <w:rsid w:val="003767E1"/>
    <w:rsid w:val="0037727D"/>
    <w:rsid w:val="00377488"/>
    <w:rsid w:val="0037771C"/>
    <w:rsid w:val="003779D2"/>
    <w:rsid w:val="00380157"/>
    <w:rsid w:val="00380359"/>
    <w:rsid w:val="003803ED"/>
    <w:rsid w:val="00380774"/>
    <w:rsid w:val="00380C19"/>
    <w:rsid w:val="00380EAB"/>
    <w:rsid w:val="003811BD"/>
    <w:rsid w:val="00381245"/>
    <w:rsid w:val="003815F3"/>
    <w:rsid w:val="00381DBF"/>
    <w:rsid w:val="003821D0"/>
    <w:rsid w:val="00382895"/>
    <w:rsid w:val="00382940"/>
    <w:rsid w:val="00382B24"/>
    <w:rsid w:val="00382DCE"/>
    <w:rsid w:val="003834E9"/>
    <w:rsid w:val="003836D6"/>
    <w:rsid w:val="003839A7"/>
    <w:rsid w:val="00383CD7"/>
    <w:rsid w:val="00383E6A"/>
    <w:rsid w:val="0038416A"/>
    <w:rsid w:val="003842C0"/>
    <w:rsid w:val="0038444A"/>
    <w:rsid w:val="00384489"/>
    <w:rsid w:val="003845C7"/>
    <w:rsid w:val="00384809"/>
    <w:rsid w:val="0038505D"/>
    <w:rsid w:val="00385217"/>
    <w:rsid w:val="00385372"/>
    <w:rsid w:val="003854B0"/>
    <w:rsid w:val="003855EF"/>
    <w:rsid w:val="00385652"/>
    <w:rsid w:val="00385AC5"/>
    <w:rsid w:val="00385FF4"/>
    <w:rsid w:val="003864A3"/>
    <w:rsid w:val="003867A5"/>
    <w:rsid w:val="00386DBB"/>
    <w:rsid w:val="00386E0A"/>
    <w:rsid w:val="00387876"/>
    <w:rsid w:val="00387B4D"/>
    <w:rsid w:val="00387C07"/>
    <w:rsid w:val="00387CD6"/>
    <w:rsid w:val="003905E7"/>
    <w:rsid w:val="003908A8"/>
    <w:rsid w:val="00390B00"/>
    <w:rsid w:val="00390CAC"/>
    <w:rsid w:val="00390F7C"/>
    <w:rsid w:val="0039110D"/>
    <w:rsid w:val="00391271"/>
    <w:rsid w:val="003912CF"/>
    <w:rsid w:val="00391536"/>
    <w:rsid w:val="003919DA"/>
    <w:rsid w:val="00391A21"/>
    <w:rsid w:val="00391C42"/>
    <w:rsid w:val="0039224A"/>
    <w:rsid w:val="003926C7"/>
    <w:rsid w:val="00392AA9"/>
    <w:rsid w:val="00392DD1"/>
    <w:rsid w:val="00392E9C"/>
    <w:rsid w:val="00392EE9"/>
    <w:rsid w:val="00392FA5"/>
    <w:rsid w:val="0039313A"/>
    <w:rsid w:val="00393519"/>
    <w:rsid w:val="003936CD"/>
    <w:rsid w:val="00393F14"/>
    <w:rsid w:val="00393F73"/>
    <w:rsid w:val="003942F5"/>
    <w:rsid w:val="003943BF"/>
    <w:rsid w:val="00394934"/>
    <w:rsid w:val="00394E36"/>
    <w:rsid w:val="00394E67"/>
    <w:rsid w:val="00394EBC"/>
    <w:rsid w:val="00394F17"/>
    <w:rsid w:val="00394F51"/>
    <w:rsid w:val="00395D1F"/>
    <w:rsid w:val="003960B3"/>
    <w:rsid w:val="00396447"/>
    <w:rsid w:val="00396656"/>
    <w:rsid w:val="00396B31"/>
    <w:rsid w:val="00396C34"/>
    <w:rsid w:val="00396C40"/>
    <w:rsid w:val="00397378"/>
    <w:rsid w:val="0039783D"/>
    <w:rsid w:val="00397AFA"/>
    <w:rsid w:val="00397C96"/>
    <w:rsid w:val="00397D91"/>
    <w:rsid w:val="003A05CF"/>
    <w:rsid w:val="003A0879"/>
    <w:rsid w:val="003A0AB0"/>
    <w:rsid w:val="003A0C5A"/>
    <w:rsid w:val="003A0E0E"/>
    <w:rsid w:val="003A123A"/>
    <w:rsid w:val="003A1659"/>
    <w:rsid w:val="003A1A3E"/>
    <w:rsid w:val="003A1C0C"/>
    <w:rsid w:val="003A1F78"/>
    <w:rsid w:val="003A2082"/>
    <w:rsid w:val="003A2419"/>
    <w:rsid w:val="003A257E"/>
    <w:rsid w:val="003A28CF"/>
    <w:rsid w:val="003A29F1"/>
    <w:rsid w:val="003A2B48"/>
    <w:rsid w:val="003A2C7E"/>
    <w:rsid w:val="003A2D69"/>
    <w:rsid w:val="003A2F49"/>
    <w:rsid w:val="003A3203"/>
    <w:rsid w:val="003A3389"/>
    <w:rsid w:val="003A3425"/>
    <w:rsid w:val="003A3BD1"/>
    <w:rsid w:val="003A3E4F"/>
    <w:rsid w:val="003A43F5"/>
    <w:rsid w:val="003A44F2"/>
    <w:rsid w:val="003A53EB"/>
    <w:rsid w:val="003A5B28"/>
    <w:rsid w:val="003A5DA9"/>
    <w:rsid w:val="003A5F51"/>
    <w:rsid w:val="003A65F6"/>
    <w:rsid w:val="003A6E6D"/>
    <w:rsid w:val="003A7355"/>
    <w:rsid w:val="003A7660"/>
    <w:rsid w:val="003A7678"/>
    <w:rsid w:val="003A7E5F"/>
    <w:rsid w:val="003B017C"/>
    <w:rsid w:val="003B01F6"/>
    <w:rsid w:val="003B08C9"/>
    <w:rsid w:val="003B0933"/>
    <w:rsid w:val="003B0995"/>
    <w:rsid w:val="003B0FB0"/>
    <w:rsid w:val="003B10E9"/>
    <w:rsid w:val="003B10F0"/>
    <w:rsid w:val="003B121E"/>
    <w:rsid w:val="003B1772"/>
    <w:rsid w:val="003B1A0E"/>
    <w:rsid w:val="003B1DAA"/>
    <w:rsid w:val="003B2251"/>
    <w:rsid w:val="003B2478"/>
    <w:rsid w:val="003B2637"/>
    <w:rsid w:val="003B27DC"/>
    <w:rsid w:val="003B27F5"/>
    <w:rsid w:val="003B2CD0"/>
    <w:rsid w:val="003B2F88"/>
    <w:rsid w:val="003B30A4"/>
    <w:rsid w:val="003B315E"/>
    <w:rsid w:val="003B3227"/>
    <w:rsid w:val="003B3347"/>
    <w:rsid w:val="003B3C5F"/>
    <w:rsid w:val="003B3CBB"/>
    <w:rsid w:val="003B4474"/>
    <w:rsid w:val="003B451D"/>
    <w:rsid w:val="003B4B20"/>
    <w:rsid w:val="003B4EA1"/>
    <w:rsid w:val="003B5363"/>
    <w:rsid w:val="003B5406"/>
    <w:rsid w:val="003B5545"/>
    <w:rsid w:val="003B56F4"/>
    <w:rsid w:val="003B57F6"/>
    <w:rsid w:val="003B593B"/>
    <w:rsid w:val="003B5992"/>
    <w:rsid w:val="003B6401"/>
    <w:rsid w:val="003B65F3"/>
    <w:rsid w:val="003B6954"/>
    <w:rsid w:val="003B7078"/>
    <w:rsid w:val="003B7192"/>
    <w:rsid w:val="003B7F6C"/>
    <w:rsid w:val="003C0370"/>
    <w:rsid w:val="003C091E"/>
    <w:rsid w:val="003C0D6C"/>
    <w:rsid w:val="003C141B"/>
    <w:rsid w:val="003C14AC"/>
    <w:rsid w:val="003C1607"/>
    <w:rsid w:val="003C1866"/>
    <w:rsid w:val="003C1BED"/>
    <w:rsid w:val="003C2080"/>
    <w:rsid w:val="003C20E8"/>
    <w:rsid w:val="003C2149"/>
    <w:rsid w:val="003C2AAF"/>
    <w:rsid w:val="003C3090"/>
    <w:rsid w:val="003C3329"/>
    <w:rsid w:val="003C33DF"/>
    <w:rsid w:val="003C35CE"/>
    <w:rsid w:val="003C39F1"/>
    <w:rsid w:val="003C3CC3"/>
    <w:rsid w:val="003C3D6D"/>
    <w:rsid w:val="003C42D8"/>
    <w:rsid w:val="003C4AB9"/>
    <w:rsid w:val="003C4B84"/>
    <w:rsid w:val="003C4C64"/>
    <w:rsid w:val="003C4E5D"/>
    <w:rsid w:val="003C5324"/>
    <w:rsid w:val="003C5344"/>
    <w:rsid w:val="003C5AAF"/>
    <w:rsid w:val="003C62D3"/>
    <w:rsid w:val="003C6792"/>
    <w:rsid w:val="003C67F0"/>
    <w:rsid w:val="003C6B34"/>
    <w:rsid w:val="003C6DEF"/>
    <w:rsid w:val="003C6E72"/>
    <w:rsid w:val="003C74C0"/>
    <w:rsid w:val="003C7A9E"/>
    <w:rsid w:val="003C7AF7"/>
    <w:rsid w:val="003C7ED2"/>
    <w:rsid w:val="003D05FA"/>
    <w:rsid w:val="003D0881"/>
    <w:rsid w:val="003D0BE7"/>
    <w:rsid w:val="003D0CAB"/>
    <w:rsid w:val="003D0DFF"/>
    <w:rsid w:val="003D13E9"/>
    <w:rsid w:val="003D1839"/>
    <w:rsid w:val="003D19D9"/>
    <w:rsid w:val="003D1B17"/>
    <w:rsid w:val="003D1E69"/>
    <w:rsid w:val="003D21A8"/>
    <w:rsid w:val="003D26D2"/>
    <w:rsid w:val="003D29A7"/>
    <w:rsid w:val="003D2AC0"/>
    <w:rsid w:val="003D3059"/>
    <w:rsid w:val="003D3345"/>
    <w:rsid w:val="003D34C3"/>
    <w:rsid w:val="003D351E"/>
    <w:rsid w:val="003D3A3F"/>
    <w:rsid w:val="003D3A94"/>
    <w:rsid w:val="003D3DAD"/>
    <w:rsid w:val="003D3F51"/>
    <w:rsid w:val="003D3FC2"/>
    <w:rsid w:val="003D403D"/>
    <w:rsid w:val="003D4375"/>
    <w:rsid w:val="003D444C"/>
    <w:rsid w:val="003D47F6"/>
    <w:rsid w:val="003D5201"/>
    <w:rsid w:val="003D5975"/>
    <w:rsid w:val="003D5C9C"/>
    <w:rsid w:val="003D62F6"/>
    <w:rsid w:val="003D6895"/>
    <w:rsid w:val="003D752E"/>
    <w:rsid w:val="003D75DF"/>
    <w:rsid w:val="003E00C5"/>
    <w:rsid w:val="003E0138"/>
    <w:rsid w:val="003E05C4"/>
    <w:rsid w:val="003E0601"/>
    <w:rsid w:val="003E0B10"/>
    <w:rsid w:val="003E0B48"/>
    <w:rsid w:val="003E0C81"/>
    <w:rsid w:val="003E0CC3"/>
    <w:rsid w:val="003E0EA3"/>
    <w:rsid w:val="003E1228"/>
    <w:rsid w:val="003E134B"/>
    <w:rsid w:val="003E175F"/>
    <w:rsid w:val="003E181A"/>
    <w:rsid w:val="003E1889"/>
    <w:rsid w:val="003E1D68"/>
    <w:rsid w:val="003E1DE6"/>
    <w:rsid w:val="003E1E97"/>
    <w:rsid w:val="003E23FF"/>
    <w:rsid w:val="003E28C4"/>
    <w:rsid w:val="003E290A"/>
    <w:rsid w:val="003E2C66"/>
    <w:rsid w:val="003E3AD2"/>
    <w:rsid w:val="003E3F46"/>
    <w:rsid w:val="003E40C2"/>
    <w:rsid w:val="003E410C"/>
    <w:rsid w:val="003E4327"/>
    <w:rsid w:val="003E4636"/>
    <w:rsid w:val="003E46AB"/>
    <w:rsid w:val="003E4857"/>
    <w:rsid w:val="003E4966"/>
    <w:rsid w:val="003E5626"/>
    <w:rsid w:val="003E56AA"/>
    <w:rsid w:val="003E56CD"/>
    <w:rsid w:val="003E5824"/>
    <w:rsid w:val="003E5AEF"/>
    <w:rsid w:val="003E5D2F"/>
    <w:rsid w:val="003E5E60"/>
    <w:rsid w:val="003E5F2A"/>
    <w:rsid w:val="003E60A6"/>
    <w:rsid w:val="003E6169"/>
    <w:rsid w:val="003E62B0"/>
    <w:rsid w:val="003E6837"/>
    <w:rsid w:val="003E6864"/>
    <w:rsid w:val="003E6A38"/>
    <w:rsid w:val="003E6AA2"/>
    <w:rsid w:val="003E6E41"/>
    <w:rsid w:val="003E75B0"/>
    <w:rsid w:val="003E75B8"/>
    <w:rsid w:val="003E7E27"/>
    <w:rsid w:val="003E7F48"/>
    <w:rsid w:val="003F0057"/>
    <w:rsid w:val="003F0157"/>
    <w:rsid w:val="003F0A8E"/>
    <w:rsid w:val="003F0ADD"/>
    <w:rsid w:val="003F0D86"/>
    <w:rsid w:val="003F0D9E"/>
    <w:rsid w:val="003F12FB"/>
    <w:rsid w:val="003F1366"/>
    <w:rsid w:val="003F13AC"/>
    <w:rsid w:val="003F141E"/>
    <w:rsid w:val="003F14EC"/>
    <w:rsid w:val="003F15A1"/>
    <w:rsid w:val="003F1720"/>
    <w:rsid w:val="003F1C92"/>
    <w:rsid w:val="003F1CCB"/>
    <w:rsid w:val="003F2A7B"/>
    <w:rsid w:val="003F2ADB"/>
    <w:rsid w:val="003F2AE5"/>
    <w:rsid w:val="003F2B49"/>
    <w:rsid w:val="003F2F7D"/>
    <w:rsid w:val="003F3361"/>
    <w:rsid w:val="003F33F7"/>
    <w:rsid w:val="003F36D8"/>
    <w:rsid w:val="003F38C3"/>
    <w:rsid w:val="003F39CC"/>
    <w:rsid w:val="003F3AE5"/>
    <w:rsid w:val="003F3DDB"/>
    <w:rsid w:val="003F3E6E"/>
    <w:rsid w:val="003F3E72"/>
    <w:rsid w:val="003F445E"/>
    <w:rsid w:val="003F47B2"/>
    <w:rsid w:val="003F489C"/>
    <w:rsid w:val="003F4D86"/>
    <w:rsid w:val="003F4F25"/>
    <w:rsid w:val="003F4FDF"/>
    <w:rsid w:val="003F51FF"/>
    <w:rsid w:val="003F547D"/>
    <w:rsid w:val="003F5504"/>
    <w:rsid w:val="003F55B3"/>
    <w:rsid w:val="003F5A85"/>
    <w:rsid w:val="003F5E11"/>
    <w:rsid w:val="003F5E86"/>
    <w:rsid w:val="003F616D"/>
    <w:rsid w:val="003F66B5"/>
    <w:rsid w:val="003F685F"/>
    <w:rsid w:val="003F6943"/>
    <w:rsid w:val="003F6A6D"/>
    <w:rsid w:val="003F6E3D"/>
    <w:rsid w:val="003F6F15"/>
    <w:rsid w:val="003F7578"/>
    <w:rsid w:val="0040001D"/>
    <w:rsid w:val="0040011B"/>
    <w:rsid w:val="004001E3"/>
    <w:rsid w:val="00400A70"/>
    <w:rsid w:val="00400D4C"/>
    <w:rsid w:val="00401008"/>
    <w:rsid w:val="00401023"/>
    <w:rsid w:val="00401712"/>
    <w:rsid w:val="00401912"/>
    <w:rsid w:val="00402167"/>
    <w:rsid w:val="00402705"/>
    <w:rsid w:val="004029CF"/>
    <w:rsid w:val="004032B7"/>
    <w:rsid w:val="00403631"/>
    <w:rsid w:val="0040396A"/>
    <w:rsid w:val="004039AB"/>
    <w:rsid w:val="00403C28"/>
    <w:rsid w:val="00403F90"/>
    <w:rsid w:val="0040400F"/>
    <w:rsid w:val="004041A6"/>
    <w:rsid w:val="00404604"/>
    <w:rsid w:val="00404B75"/>
    <w:rsid w:val="00404F47"/>
    <w:rsid w:val="00405052"/>
    <w:rsid w:val="0040512F"/>
    <w:rsid w:val="00405133"/>
    <w:rsid w:val="00405404"/>
    <w:rsid w:val="00405543"/>
    <w:rsid w:val="004055B9"/>
    <w:rsid w:val="00405BA4"/>
    <w:rsid w:val="00405CC7"/>
    <w:rsid w:val="00405E84"/>
    <w:rsid w:val="0040621C"/>
    <w:rsid w:val="00406530"/>
    <w:rsid w:val="00406CC2"/>
    <w:rsid w:val="00406CE8"/>
    <w:rsid w:val="00406E95"/>
    <w:rsid w:val="00406FDD"/>
    <w:rsid w:val="00406FF8"/>
    <w:rsid w:val="004072D5"/>
    <w:rsid w:val="00407468"/>
    <w:rsid w:val="00407A1A"/>
    <w:rsid w:val="00407BA1"/>
    <w:rsid w:val="004100FE"/>
    <w:rsid w:val="004101AE"/>
    <w:rsid w:val="0041021B"/>
    <w:rsid w:val="00410768"/>
    <w:rsid w:val="00410A8F"/>
    <w:rsid w:val="00410F12"/>
    <w:rsid w:val="00411063"/>
    <w:rsid w:val="00411D32"/>
    <w:rsid w:val="004121C3"/>
    <w:rsid w:val="004124FA"/>
    <w:rsid w:val="0041257E"/>
    <w:rsid w:val="00412804"/>
    <w:rsid w:val="00412870"/>
    <w:rsid w:val="0041289E"/>
    <w:rsid w:val="00412982"/>
    <w:rsid w:val="00412CA0"/>
    <w:rsid w:val="00413115"/>
    <w:rsid w:val="00413173"/>
    <w:rsid w:val="004131C8"/>
    <w:rsid w:val="00413955"/>
    <w:rsid w:val="00413975"/>
    <w:rsid w:val="00414358"/>
    <w:rsid w:val="004146A5"/>
    <w:rsid w:val="004149A4"/>
    <w:rsid w:val="00414C3E"/>
    <w:rsid w:val="00414C7C"/>
    <w:rsid w:val="00414D63"/>
    <w:rsid w:val="00414E82"/>
    <w:rsid w:val="00415430"/>
    <w:rsid w:val="0041555E"/>
    <w:rsid w:val="00415961"/>
    <w:rsid w:val="00415A1C"/>
    <w:rsid w:val="00415F9F"/>
    <w:rsid w:val="0041681A"/>
    <w:rsid w:val="00416A72"/>
    <w:rsid w:val="00417000"/>
    <w:rsid w:val="00417472"/>
    <w:rsid w:val="00417F21"/>
    <w:rsid w:val="00417FE1"/>
    <w:rsid w:val="004202D8"/>
    <w:rsid w:val="0042032D"/>
    <w:rsid w:val="00420652"/>
    <w:rsid w:val="00420A40"/>
    <w:rsid w:val="00420DA0"/>
    <w:rsid w:val="00421AFC"/>
    <w:rsid w:val="00421F11"/>
    <w:rsid w:val="004220E6"/>
    <w:rsid w:val="004221D0"/>
    <w:rsid w:val="00422487"/>
    <w:rsid w:val="004224C5"/>
    <w:rsid w:val="004227C8"/>
    <w:rsid w:val="00422D02"/>
    <w:rsid w:val="00422FC3"/>
    <w:rsid w:val="00423000"/>
    <w:rsid w:val="00423016"/>
    <w:rsid w:val="004230BC"/>
    <w:rsid w:val="00423253"/>
    <w:rsid w:val="004233C7"/>
    <w:rsid w:val="004233E7"/>
    <w:rsid w:val="004235F0"/>
    <w:rsid w:val="0042367D"/>
    <w:rsid w:val="0042380F"/>
    <w:rsid w:val="00423F2F"/>
    <w:rsid w:val="00423F50"/>
    <w:rsid w:val="004242A1"/>
    <w:rsid w:val="00424305"/>
    <w:rsid w:val="00424375"/>
    <w:rsid w:val="00424448"/>
    <w:rsid w:val="004245A0"/>
    <w:rsid w:val="004247E4"/>
    <w:rsid w:val="00424958"/>
    <w:rsid w:val="00424C69"/>
    <w:rsid w:val="00424CC2"/>
    <w:rsid w:val="004251E6"/>
    <w:rsid w:val="00425385"/>
    <w:rsid w:val="004254B6"/>
    <w:rsid w:val="0042557A"/>
    <w:rsid w:val="0042562C"/>
    <w:rsid w:val="00425A50"/>
    <w:rsid w:val="00425B73"/>
    <w:rsid w:val="00425F30"/>
    <w:rsid w:val="00425FD9"/>
    <w:rsid w:val="004263A8"/>
    <w:rsid w:val="0042682E"/>
    <w:rsid w:val="00426A4E"/>
    <w:rsid w:val="00426E97"/>
    <w:rsid w:val="00426ECB"/>
    <w:rsid w:val="00426FD8"/>
    <w:rsid w:val="004275C9"/>
    <w:rsid w:val="004277DD"/>
    <w:rsid w:val="00427916"/>
    <w:rsid w:val="00427B0E"/>
    <w:rsid w:val="00427C0A"/>
    <w:rsid w:val="00427DC5"/>
    <w:rsid w:val="00427E04"/>
    <w:rsid w:val="00427F1E"/>
    <w:rsid w:val="00427F24"/>
    <w:rsid w:val="00427F31"/>
    <w:rsid w:val="00430270"/>
    <w:rsid w:val="004305DC"/>
    <w:rsid w:val="00430916"/>
    <w:rsid w:val="00430993"/>
    <w:rsid w:val="004309C5"/>
    <w:rsid w:val="00430B72"/>
    <w:rsid w:val="00430C55"/>
    <w:rsid w:val="00430CD3"/>
    <w:rsid w:val="00430DC1"/>
    <w:rsid w:val="00430E55"/>
    <w:rsid w:val="0043119B"/>
    <w:rsid w:val="004315D9"/>
    <w:rsid w:val="004315F3"/>
    <w:rsid w:val="00431771"/>
    <w:rsid w:val="0043187C"/>
    <w:rsid w:val="00431A5B"/>
    <w:rsid w:val="00431C1A"/>
    <w:rsid w:val="00431D37"/>
    <w:rsid w:val="00431D3F"/>
    <w:rsid w:val="00431DB6"/>
    <w:rsid w:val="004321E2"/>
    <w:rsid w:val="004322DD"/>
    <w:rsid w:val="0043265D"/>
    <w:rsid w:val="00432FA9"/>
    <w:rsid w:val="0043308C"/>
    <w:rsid w:val="0043347F"/>
    <w:rsid w:val="004337F3"/>
    <w:rsid w:val="0043389B"/>
    <w:rsid w:val="0043394F"/>
    <w:rsid w:val="00433AF3"/>
    <w:rsid w:val="00433E79"/>
    <w:rsid w:val="00433E9C"/>
    <w:rsid w:val="004342EF"/>
    <w:rsid w:val="00434580"/>
    <w:rsid w:val="00434951"/>
    <w:rsid w:val="004351FC"/>
    <w:rsid w:val="00435C44"/>
    <w:rsid w:val="0043600A"/>
    <w:rsid w:val="0043652A"/>
    <w:rsid w:val="004366A7"/>
    <w:rsid w:val="0043678F"/>
    <w:rsid w:val="00436793"/>
    <w:rsid w:val="0043692C"/>
    <w:rsid w:val="00437837"/>
    <w:rsid w:val="00437997"/>
    <w:rsid w:val="00437AD8"/>
    <w:rsid w:val="00437D89"/>
    <w:rsid w:val="00440091"/>
    <w:rsid w:val="00440283"/>
    <w:rsid w:val="004403F6"/>
    <w:rsid w:val="00440DEA"/>
    <w:rsid w:val="004410ED"/>
    <w:rsid w:val="004411B3"/>
    <w:rsid w:val="004417B3"/>
    <w:rsid w:val="00442049"/>
    <w:rsid w:val="00442347"/>
    <w:rsid w:val="004423F6"/>
    <w:rsid w:val="004424AC"/>
    <w:rsid w:val="0044328F"/>
    <w:rsid w:val="004432F3"/>
    <w:rsid w:val="00443369"/>
    <w:rsid w:val="00443400"/>
    <w:rsid w:val="0044369C"/>
    <w:rsid w:val="004438EE"/>
    <w:rsid w:val="00443B89"/>
    <w:rsid w:val="00443F51"/>
    <w:rsid w:val="00444151"/>
    <w:rsid w:val="004442B0"/>
    <w:rsid w:val="004443DA"/>
    <w:rsid w:val="004447D1"/>
    <w:rsid w:val="00444CFF"/>
    <w:rsid w:val="004450FE"/>
    <w:rsid w:val="004452A8"/>
    <w:rsid w:val="00445550"/>
    <w:rsid w:val="00445BED"/>
    <w:rsid w:val="00445E84"/>
    <w:rsid w:val="00445F7E"/>
    <w:rsid w:val="004461EF"/>
    <w:rsid w:val="0044641E"/>
    <w:rsid w:val="00446883"/>
    <w:rsid w:val="00446C75"/>
    <w:rsid w:val="00446F0C"/>
    <w:rsid w:val="00447187"/>
    <w:rsid w:val="004474CE"/>
    <w:rsid w:val="0044769D"/>
    <w:rsid w:val="00447AF2"/>
    <w:rsid w:val="00447E88"/>
    <w:rsid w:val="00447F7C"/>
    <w:rsid w:val="0045010E"/>
    <w:rsid w:val="00450621"/>
    <w:rsid w:val="004507C3"/>
    <w:rsid w:val="0045092E"/>
    <w:rsid w:val="00450ADD"/>
    <w:rsid w:val="00450DAB"/>
    <w:rsid w:val="0045116F"/>
    <w:rsid w:val="00451187"/>
    <w:rsid w:val="00451313"/>
    <w:rsid w:val="004515A0"/>
    <w:rsid w:val="0045188D"/>
    <w:rsid w:val="0045196A"/>
    <w:rsid w:val="00451A6C"/>
    <w:rsid w:val="00451B4C"/>
    <w:rsid w:val="00451CC8"/>
    <w:rsid w:val="00451D49"/>
    <w:rsid w:val="00451E8F"/>
    <w:rsid w:val="00451E99"/>
    <w:rsid w:val="004520DE"/>
    <w:rsid w:val="004520EB"/>
    <w:rsid w:val="00452118"/>
    <w:rsid w:val="00452278"/>
    <w:rsid w:val="0045231C"/>
    <w:rsid w:val="00452384"/>
    <w:rsid w:val="0045261B"/>
    <w:rsid w:val="00452841"/>
    <w:rsid w:val="00452EA3"/>
    <w:rsid w:val="00453362"/>
    <w:rsid w:val="00453509"/>
    <w:rsid w:val="00453C79"/>
    <w:rsid w:val="0045417B"/>
    <w:rsid w:val="00454495"/>
    <w:rsid w:val="00454511"/>
    <w:rsid w:val="00454809"/>
    <w:rsid w:val="00454BEA"/>
    <w:rsid w:val="00454CC2"/>
    <w:rsid w:val="00454FF1"/>
    <w:rsid w:val="0045524E"/>
    <w:rsid w:val="00455402"/>
    <w:rsid w:val="004556EB"/>
    <w:rsid w:val="00455B9E"/>
    <w:rsid w:val="00455DF8"/>
    <w:rsid w:val="00456018"/>
    <w:rsid w:val="004561DB"/>
    <w:rsid w:val="0045623D"/>
    <w:rsid w:val="004568BC"/>
    <w:rsid w:val="0045690B"/>
    <w:rsid w:val="00456D89"/>
    <w:rsid w:val="0045730B"/>
    <w:rsid w:val="00457382"/>
    <w:rsid w:val="004577A1"/>
    <w:rsid w:val="00457859"/>
    <w:rsid w:val="00457CD7"/>
    <w:rsid w:val="00457FCD"/>
    <w:rsid w:val="004600BB"/>
    <w:rsid w:val="00460711"/>
    <w:rsid w:val="00460A4F"/>
    <w:rsid w:val="0046109A"/>
    <w:rsid w:val="004617E1"/>
    <w:rsid w:val="00461844"/>
    <w:rsid w:val="004618BF"/>
    <w:rsid w:val="00461C29"/>
    <w:rsid w:val="00462298"/>
    <w:rsid w:val="00462481"/>
    <w:rsid w:val="00462DAD"/>
    <w:rsid w:val="00463130"/>
    <w:rsid w:val="00463255"/>
    <w:rsid w:val="00463380"/>
    <w:rsid w:val="00463415"/>
    <w:rsid w:val="00463607"/>
    <w:rsid w:val="004636B9"/>
    <w:rsid w:val="00463978"/>
    <w:rsid w:val="00463D97"/>
    <w:rsid w:val="00463E65"/>
    <w:rsid w:val="00464955"/>
    <w:rsid w:val="00464AC9"/>
    <w:rsid w:val="00464C85"/>
    <w:rsid w:val="00464F35"/>
    <w:rsid w:val="00464FA2"/>
    <w:rsid w:val="00464FC7"/>
    <w:rsid w:val="00465271"/>
    <w:rsid w:val="004652D2"/>
    <w:rsid w:val="0046588A"/>
    <w:rsid w:val="00465C46"/>
    <w:rsid w:val="00465EBE"/>
    <w:rsid w:val="00465F00"/>
    <w:rsid w:val="004665E0"/>
    <w:rsid w:val="0046667B"/>
    <w:rsid w:val="00466814"/>
    <w:rsid w:val="00466B5B"/>
    <w:rsid w:val="00466D13"/>
    <w:rsid w:val="00466D6D"/>
    <w:rsid w:val="00466F12"/>
    <w:rsid w:val="004672B9"/>
    <w:rsid w:val="004674E4"/>
    <w:rsid w:val="00470014"/>
    <w:rsid w:val="004707B6"/>
    <w:rsid w:val="0047084C"/>
    <w:rsid w:val="004708FE"/>
    <w:rsid w:val="00470B4C"/>
    <w:rsid w:val="00470FF9"/>
    <w:rsid w:val="00471021"/>
    <w:rsid w:val="00471B81"/>
    <w:rsid w:val="00471BD4"/>
    <w:rsid w:val="00471E46"/>
    <w:rsid w:val="00471EA5"/>
    <w:rsid w:val="00471F6B"/>
    <w:rsid w:val="00472253"/>
    <w:rsid w:val="0047289C"/>
    <w:rsid w:val="004728A9"/>
    <w:rsid w:val="00472FD7"/>
    <w:rsid w:val="00473268"/>
    <w:rsid w:val="004732DF"/>
    <w:rsid w:val="00473537"/>
    <w:rsid w:val="0047366D"/>
    <w:rsid w:val="004736A1"/>
    <w:rsid w:val="00473A11"/>
    <w:rsid w:val="00473D60"/>
    <w:rsid w:val="00474093"/>
    <w:rsid w:val="004743E8"/>
    <w:rsid w:val="0047446E"/>
    <w:rsid w:val="00474617"/>
    <w:rsid w:val="004747A9"/>
    <w:rsid w:val="004747CF"/>
    <w:rsid w:val="004748F9"/>
    <w:rsid w:val="00474A01"/>
    <w:rsid w:val="00474D70"/>
    <w:rsid w:val="00475510"/>
    <w:rsid w:val="00475900"/>
    <w:rsid w:val="0047591A"/>
    <w:rsid w:val="00475A95"/>
    <w:rsid w:val="00475E0F"/>
    <w:rsid w:val="00475F59"/>
    <w:rsid w:val="00476476"/>
    <w:rsid w:val="00476677"/>
    <w:rsid w:val="00476B8E"/>
    <w:rsid w:val="00476DD2"/>
    <w:rsid w:val="00476FFC"/>
    <w:rsid w:val="0047731C"/>
    <w:rsid w:val="00477654"/>
    <w:rsid w:val="00477A40"/>
    <w:rsid w:val="00477BC8"/>
    <w:rsid w:val="00477C51"/>
    <w:rsid w:val="00477D03"/>
    <w:rsid w:val="004802D0"/>
    <w:rsid w:val="00480410"/>
    <w:rsid w:val="004808B7"/>
    <w:rsid w:val="00480AB5"/>
    <w:rsid w:val="00481011"/>
    <w:rsid w:val="004815BE"/>
    <w:rsid w:val="0048166F"/>
    <w:rsid w:val="004817B1"/>
    <w:rsid w:val="00481AAA"/>
    <w:rsid w:val="00481ED9"/>
    <w:rsid w:val="0048217E"/>
    <w:rsid w:val="004821F3"/>
    <w:rsid w:val="00482402"/>
    <w:rsid w:val="0048257A"/>
    <w:rsid w:val="004827DB"/>
    <w:rsid w:val="00482B67"/>
    <w:rsid w:val="00482CB6"/>
    <w:rsid w:val="00482CDD"/>
    <w:rsid w:val="00482DE0"/>
    <w:rsid w:val="004831AC"/>
    <w:rsid w:val="00483355"/>
    <w:rsid w:val="004833CD"/>
    <w:rsid w:val="0048368E"/>
    <w:rsid w:val="004839DA"/>
    <w:rsid w:val="00483D01"/>
    <w:rsid w:val="004840D9"/>
    <w:rsid w:val="00484491"/>
    <w:rsid w:val="0048467B"/>
    <w:rsid w:val="00484B00"/>
    <w:rsid w:val="00484C34"/>
    <w:rsid w:val="004851B3"/>
    <w:rsid w:val="004852CA"/>
    <w:rsid w:val="004853BD"/>
    <w:rsid w:val="0048540D"/>
    <w:rsid w:val="00485490"/>
    <w:rsid w:val="0048564F"/>
    <w:rsid w:val="00485790"/>
    <w:rsid w:val="004857B7"/>
    <w:rsid w:val="00485B5B"/>
    <w:rsid w:val="00485C21"/>
    <w:rsid w:val="00486A6A"/>
    <w:rsid w:val="00486DF9"/>
    <w:rsid w:val="00486F1A"/>
    <w:rsid w:val="00486FE1"/>
    <w:rsid w:val="0048713D"/>
    <w:rsid w:val="00487245"/>
    <w:rsid w:val="00487246"/>
    <w:rsid w:val="00487601"/>
    <w:rsid w:val="00487C0D"/>
    <w:rsid w:val="00487F04"/>
    <w:rsid w:val="0049009D"/>
    <w:rsid w:val="00490196"/>
    <w:rsid w:val="0049057B"/>
    <w:rsid w:val="00490856"/>
    <w:rsid w:val="004908AC"/>
    <w:rsid w:val="00490A3A"/>
    <w:rsid w:val="00490B0A"/>
    <w:rsid w:val="00490BDF"/>
    <w:rsid w:val="00491690"/>
    <w:rsid w:val="004918C5"/>
    <w:rsid w:val="00491B30"/>
    <w:rsid w:val="00491D98"/>
    <w:rsid w:val="004920F3"/>
    <w:rsid w:val="0049219B"/>
    <w:rsid w:val="004922E5"/>
    <w:rsid w:val="004928E6"/>
    <w:rsid w:val="00492964"/>
    <w:rsid w:val="00492987"/>
    <w:rsid w:val="00492E18"/>
    <w:rsid w:val="00492F82"/>
    <w:rsid w:val="0049306F"/>
    <w:rsid w:val="004930E5"/>
    <w:rsid w:val="00493173"/>
    <w:rsid w:val="004932BB"/>
    <w:rsid w:val="0049341D"/>
    <w:rsid w:val="00493629"/>
    <w:rsid w:val="00493EA1"/>
    <w:rsid w:val="00494005"/>
    <w:rsid w:val="004941F9"/>
    <w:rsid w:val="00494935"/>
    <w:rsid w:val="00494BCE"/>
    <w:rsid w:val="0049501B"/>
    <w:rsid w:val="00495429"/>
    <w:rsid w:val="00495EE8"/>
    <w:rsid w:val="00496326"/>
    <w:rsid w:val="00496473"/>
    <w:rsid w:val="004965E9"/>
    <w:rsid w:val="00496655"/>
    <w:rsid w:val="00496774"/>
    <w:rsid w:val="00496CD5"/>
    <w:rsid w:val="00496DF2"/>
    <w:rsid w:val="00496E9A"/>
    <w:rsid w:val="0049771E"/>
    <w:rsid w:val="004979B7"/>
    <w:rsid w:val="00497AAB"/>
    <w:rsid w:val="00497C17"/>
    <w:rsid w:val="00497CB8"/>
    <w:rsid w:val="00497EA0"/>
    <w:rsid w:val="004A00AA"/>
    <w:rsid w:val="004A011D"/>
    <w:rsid w:val="004A03BF"/>
    <w:rsid w:val="004A0ED0"/>
    <w:rsid w:val="004A1468"/>
    <w:rsid w:val="004A1A3E"/>
    <w:rsid w:val="004A1B37"/>
    <w:rsid w:val="004A1B93"/>
    <w:rsid w:val="004A1BA4"/>
    <w:rsid w:val="004A1D2C"/>
    <w:rsid w:val="004A1D48"/>
    <w:rsid w:val="004A1E0D"/>
    <w:rsid w:val="004A2160"/>
    <w:rsid w:val="004A24C8"/>
    <w:rsid w:val="004A2998"/>
    <w:rsid w:val="004A2F51"/>
    <w:rsid w:val="004A315A"/>
    <w:rsid w:val="004A31C2"/>
    <w:rsid w:val="004A34F1"/>
    <w:rsid w:val="004A378E"/>
    <w:rsid w:val="004A3954"/>
    <w:rsid w:val="004A3A16"/>
    <w:rsid w:val="004A3B68"/>
    <w:rsid w:val="004A42C8"/>
    <w:rsid w:val="004A42E2"/>
    <w:rsid w:val="004A432C"/>
    <w:rsid w:val="004A43D5"/>
    <w:rsid w:val="004A45C9"/>
    <w:rsid w:val="004A46BF"/>
    <w:rsid w:val="004A4AE3"/>
    <w:rsid w:val="004A4DC0"/>
    <w:rsid w:val="004A4E31"/>
    <w:rsid w:val="004A4E75"/>
    <w:rsid w:val="004A5241"/>
    <w:rsid w:val="004A53DE"/>
    <w:rsid w:val="004A5417"/>
    <w:rsid w:val="004A5AF9"/>
    <w:rsid w:val="004A5DC4"/>
    <w:rsid w:val="004A5E3D"/>
    <w:rsid w:val="004A5E43"/>
    <w:rsid w:val="004A6197"/>
    <w:rsid w:val="004A63E6"/>
    <w:rsid w:val="004A7053"/>
    <w:rsid w:val="004A7180"/>
    <w:rsid w:val="004A734B"/>
    <w:rsid w:val="004A73B2"/>
    <w:rsid w:val="004A73E9"/>
    <w:rsid w:val="004A7511"/>
    <w:rsid w:val="004A77FB"/>
    <w:rsid w:val="004B0040"/>
    <w:rsid w:val="004B018D"/>
    <w:rsid w:val="004B02A0"/>
    <w:rsid w:val="004B0550"/>
    <w:rsid w:val="004B05BB"/>
    <w:rsid w:val="004B085D"/>
    <w:rsid w:val="004B095C"/>
    <w:rsid w:val="004B0CC8"/>
    <w:rsid w:val="004B103E"/>
    <w:rsid w:val="004B1242"/>
    <w:rsid w:val="004B167A"/>
    <w:rsid w:val="004B16FB"/>
    <w:rsid w:val="004B1AA3"/>
    <w:rsid w:val="004B1CFB"/>
    <w:rsid w:val="004B1D46"/>
    <w:rsid w:val="004B2781"/>
    <w:rsid w:val="004B2878"/>
    <w:rsid w:val="004B28CF"/>
    <w:rsid w:val="004B2B06"/>
    <w:rsid w:val="004B2C31"/>
    <w:rsid w:val="004B2C38"/>
    <w:rsid w:val="004B3474"/>
    <w:rsid w:val="004B4183"/>
    <w:rsid w:val="004B42B2"/>
    <w:rsid w:val="004B499A"/>
    <w:rsid w:val="004B49A1"/>
    <w:rsid w:val="004B4AAF"/>
    <w:rsid w:val="004B4FA8"/>
    <w:rsid w:val="004B50D9"/>
    <w:rsid w:val="004B55E8"/>
    <w:rsid w:val="004B5A66"/>
    <w:rsid w:val="004B5A71"/>
    <w:rsid w:val="004B5D5C"/>
    <w:rsid w:val="004B5F74"/>
    <w:rsid w:val="004B625D"/>
    <w:rsid w:val="004B658E"/>
    <w:rsid w:val="004B67CF"/>
    <w:rsid w:val="004B68A0"/>
    <w:rsid w:val="004B6EBA"/>
    <w:rsid w:val="004B6EBE"/>
    <w:rsid w:val="004B73C6"/>
    <w:rsid w:val="004B75FF"/>
    <w:rsid w:val="004B7607"/>
    <w:rsid w:val="004B7789"/>
    <w:rsid w:val="004B78E7"/>
    <w:rsid w:val="004B7B0B"/>
    <w:rsid w:val="004C00AA"/>
    <w:rsid w:val="004C05FE"/>
    <w:rsid w:val="004C079F"/>
    <w:rsid w:val="004C082C"/>
    <w:rsid w:val="004C0C19"/>
    <w:rsid w:val="004C0CBD"/>
    <w:rsid w:val="004C13CD"/>
    <w:rsid w:val="004C14AD"/>
    <w:rsid w:val="004C164E"/>
    <w:rsid w:val="004C16C1"/>
    <w:rsid w:val="004C19C1"/>
    <w:rsid w:val="004C1D7F"/>
    <w:rsid w:val="004C22FD"/>
    <w:rsid w:val="004C248E"/>
    <w:rsid w:val="004C2897"/>
    <w:rsid w:val="004C28BE"/>
    <w:rsid w:val="004C28EA"/>
    <w:rsid w:val="004C2D30"/>
    <w:rsid w:val="004C2EE1"/>
    <w:rsid w:val="004C30B6"/>
    <w:rsid w:val="004C340C"/>
    <w:rsid w:val="004C355F"/>
    <w:rsid w:val="004C3646"/>
    <w:rsid w:val="004C3698"/>
    <w:rsid w:val="004C36F6"/>
    <w:rsid w:val="004C3767"/>
    <w:rsid w:val="004C3853"/>
    <w:rsid w:val="004C3AA1"/>
    <w:rsid w:val="004C3D7E"/>
    <w:rsid w:val="004C400D"/>
    <w:rsid w:val="004C40E9"/>
    <w:rsid w:val="004C444A"/>
    <w:rsid w:val="004C45F4"/>
    <w:rsid w:val="004C47E3"/>
    <w:rsid w:val="004C49A4"/>
    <w:rsid w:val="004C4C5F"/>
    <w:rsid w:val="004C50F9"/>
    <w:rsid w:val="004C5C54"/>
    <w:rsid w:val="004C6434"/>
    <w:rsid w:val="004C67C3"/>
    <w:rsid w:val="004C67E7"/>
    <w:rsid w:val="004C6B96"/>
    <w:rsid w:val="004C6C2E"/>
    <w:rsid w:val="004C744F"/>
    <w:rsid w:val="004C7690"/>
    <w:rsid w:val="004C7973"/>
    <w:rsid w:val="004C7F5F"/>
    <w:rsid w:val="004C7FB4"/>
    <w:rsid w:val="004D0000"/>
    <w:rsid w:val="004D0194"/>
    <w:rsid w:val="004D1257"/>
    <w:rsid w:val="004D186A"/>
    <w:rsid w:val="004D1EC6"/>
    <w:rsid w:val="004D211C"/>
    <w:rsid w:val="004D21FF"/>
    <w:rsid w:val="004D240D"/>
    <w:rsid w:val="004D261D"/>
    <w:rsid w:val="004D2645"/>
    <w:rsid w:val="004D2B57"/>
    <w:rsid w:val="004D2C4D"/>
    <w:rsid w:val="004D368E"/>
    <w:rsid w:val="004D397D"/>
    <w:rsid w:val="004D3AF5"/>
    <w:rsid w:val="004D42F8"/>
    <w:rsid w:val="004D4397"/>
    <w:rsid w:val="004D4760"/>
    <w:rsid w:val="004D4839"/>
    <w:rsid w:val="004D4C18"/>
    <w:rsid w:val="004D4D2C"/>
    <w:rsid w:val="004D4E7F"/>
    <w:rsid w:val="004D4F33"/>
    <w:rsid w:val="004D5103"/>
    <w:rsid w:val="004D5394"/>
    <w:rsid w:val="004D5396"/>
    <w:rsid w:val="004D5641"/>
    <w:rsid w:val="004D56E2"/>
    <w:rsid w:val="004D5775"/>
    <w:rsid w:val="004D5D4C"/>
    <w:rsid w:val="004D6908"/>
    <w:rsid w:val="004D708B"/>
    <w:rsid w:val="004D7C79"/>
    <w:rsid w:val="004D7EE5"/>
    <w:rsid w:val="004E026E"/>
    <w:rsid w:val="004E0950"/>
    <w:rsid w:val="004E09A6"/>
    <w:rsid w:val="004E0D59"/>
    <w:rsid w:val="004E101E"/>
    <w:rsid w:val="004E102E"/>
    <w:rsid w:val="004E140C"/>
    <w:rsid w:val="004E14BB"/>
    <w:rsid w:val="004E16FD"/>
    <w:rsid w:val="004E1784"/>
    <w:rsid w:val="004E1980"/>
    <w:rsid w:val="004E1ABB"/>
    <w:rsid w:val="004E1E53"/>
    <w:rsid w:val="004E200D"/>
    <w:rsid w:val="004E2606"/>
    <w:rsid w:val="004E263D"/>
    <w:rsid w:val="004E26C9"/>
    <w:rsid w:val="004E2737"/>
    <w:rsid w:val="004E2D1D"/>
    <w:rsid w:val="004E2D7E"/>
    <w:rsid w:val="004E2DD3"/>
    <w:rsid w:val="004E2F8B"/>
    <w:rsid w:val="004E30C2"/>
    <w:rsid w:val="004E32F9"/>
    <w:rsid w:val="004E353D"/>
    <w:rsid w:val="004E3DCB"/>
    <w:rsid w:val="004E4182"/>
    <w:rsid w:val="004E425D"/>
    <w:rsid w:val="004E43B0"/>
    <w:rsid w:val="004E4439"/>
    <w:rsid w:val="004E4591"/>
    <w:rsid w:val="004E4686"/>
    <w:rsid w:val="004E49E8"/>
    <w:rsid w:val="004E4D96"/>
    <w:rsid w:val="004E4DE4"/>
    <w:rsid w:val="004E50B6"/>
    <w:rsid w:val="004E5139"/>
    <w:rsid w:val="004E5293"/>
    <w:rsid w:val="004E5515"/>
    <w:rsid w:val="004E554D"/>
    <w:rsid w:val="004E5831"/>
    <w:rsid w:val="004E583B"/>
    <w:rsid w:val="004E5952"/>
    <w:rsid w:val="004E5AF1"/>
    <w:rsid w:val="004E5BF3"/>
    <w:rsid w:val="004E607F"/>
    <w:rsid w:val="004E61E6"/>
    <w:rsid w:val="004E65D1"/>
    <w:rsid w:val="004E662E"/>
    <w:rsid w:val="004E691C"/>
    <w:rsid w:val="004E69C4"/>
    <w:rsid w:val="004E6F95"/>
    <w:rsid w:val="004E730E"/>
    <w:rsid w:val="004E761C"/>
    <w:rsid w:val="004E781D"/>
    <w:rsid w:val="004E7C78"/>
    <w:rsid w:val="004E7CFF"/>
    <w:rsid w:val="004E7D64"/>
    <w:rsid w:val="004E7EDE"/>
    <w:rsid w:val="004E7FEF"/>
    <w:rsid w:val="004F00BE"/>
    <w:rsid w:val="004F047B"/>
    <w:rsid w:val="004F048F"/>
    <w:rsid w:val="004F06B8"/>
    <w:rsid w:val="004F06C3"/>
    <w:rsid w:val="004F0735"/>
    <w:rsid w:val="004F0932"/>
    <w:rsid w:val="004F0A05"/>
    <w:rsid w:val="004F0B54"/>
    <w:rsid w:val="004F0D18"/>
    <w:rsid w:val="004F0DB0"/>
    <w:rsid w:val="004F0E0A"/>
    <w:rsid w:val="004F118D"/>
    <w:rsid w:val="004F1339"/>
    <w:rsid w:val="004F13C0"/>
    <w:rsid w:val="004F15B8"/>
    <w:rsid w:val="004F1641"/>
    <w:rsid w:val="004F1731"/>
    <w:rsid w:val="004F1887"/>
    <w:rsid w:val="004F1A4F"/>
    <w:rsid w:val="004F1C93"/>
    <w:rsid w:val="004F1DBE"/>
    <w:rsid w:val="004F1F0E"/>
    <w:rsid w:val="004F24A1"/>
    <w:rsid w:val="004F25F0"/>
    <w:rsid w:val="004F2642"/>
    <w:rsid w:val="004F2A79"/>
    <w:rsid w:val="004F2CFA"/>
    <w:rsid w:val="004F2EB0"/>
    <w:rsid w:val="004F312B"/>
    <w:rsid w:val="004F331A"/>
    <w:rsid w:val="004F392C"/>
    <w:rsid w:val="004F400D"/>
    <w:rsid w:val="004F40D8"/>
    <w:rsid w:val="004F4322"/>
    <w:rsid w:val="004F4AF9"/>
    <w:rsid w:val="004F4B23"/>
    <w:rsid w:val="004F4B53"/>
    <w:rsid w:val="004F4C08"/>
    <w:rsid w:val="004F4E8E"/>
    <w:rsid w:val="004F5266"/>
    <w:rsid w:val="004F543B"/>
    <w:rsid w:val="004F549A"/>
    <w:rsid w:val="004F5C87"/>
    <w:rsid w:val="004F618C"/>
    <w:rsid w:val="004F61D1"/>
    <w:rsid w:val="004F6220"/>
    <w:rsid w:val="004F6327"/>
    <w:rsid w:val="004F6338"/>
    <w:rsid w:val="004F6823"/>
    <w:rsid w:val="004F6A4A"/>
    <w:rsid w:val="004F7198"/>
    <w:rsid w:val="004F747D"/>
    <w:rsid w:val="004F763D"/>
    <w:rsid w:val="004F7CC0"/>
    <w:rsid w:val="00500233"/>
    <w:rsid w:val="0050031E"/>
    <w:rsid w:val="00500BF6"/>
    <w:rsid w:val="00500CFA"/>
    <w:rsid w:val="00500D19"/>
    <w:rsid w:val="00500FE1"/>
    <w:rsid w:val="00501487"/>
    <w:rsid w:val="00501723"/>
    <w:rsid w:val="0050172E"/>
    <w:rsid w:val="005018A9"/>
    <w:rsid w:val="00501C8E"/>
    <w:rsid w:val="00501CD8"/>
    <w:rsid w:val="00501E05"/>
    <w:rsid w:val="00502153"/>
    <w:rsid w:val="0050260D"/>
    <w:rsid w:val="0050274C"/>
    <w:rsid w:val="00502AF0"/>
    <w:rsid w:val="00502BBB"/>
    <w:rsid w:val="00502D40"/>
    <w:rsid w:val="00502FE9"/>
    <w:rsid w:val="005033A9"/>
    <w:rsid w:val="005038B7"/>
    <w:rsid w:val="005039CD"/>
    <w:rsid w:val="00503AC1"/>
    <w:rsid w:val="00504139"/>
    <w:rsid w:val="005044C8"/>
    <w:rsid w:val="00504510"/>
    <w:rsid w:val="00504770"/>
    <w:rsid w:val="00504F4C"/>
    <w:rsid w:val="0050543A"/>
    <w:rsid w:val="0050554C"/>
    <w:rsid w:val="00505745"/>
    <w:rsid w:val="00505AAA"/>
    <w:rsid w:val="00505E3D"/>
    <w:rsid w:val="005061F4"/>
    <w:rsid w:val="00506546"/>
    <w:rsid w:val="005065A9"/>
    <w:rsid w:val="00506B36"/>
    <w:rsid w:val="00506D10"/>
    <w:rsid w:val="00506E3F"/>
    <w:rsid w:val="005070D4"/>
    <w:rsid w:val="0050747D"/>
    <w:rsid w:val="00507949"/>
    <w:rsid w:val="00507A62"/>
    <w:rsid w:val="00507A70"/>
    <w:rsid w:val="00507A85"/>
    <w:rsid w:val="00507B2D"/>
    <w:rsid w:val="00507E08"/>
    <w:rsid w:val="00507E99"/>
    <w:rsid w:val="00507ED6"/>
    <w:rsid w:val="005100DD"/>
    <w:rsid w:val="00510E9D"/>
    <w:rsid w:val="005112C5"/>
    <w:rsid w:val="00511476"/>
    <w:rsid w:val="005116ED"/>
    <w:rsid w:val="00511D65"/>
    <w:rsid w:val="005124B1"/>
    <w:rsid w:val="005124EE"/>
    <w:rsid w:val="0051251B"/>
    <w:rsid w:val="00512795"/>
    <w:rsid w:val="00512A96"/>
    <w:rsid w:val="00512B7D"/>
    <w:rsid w:val="005130E5"/>
    <w:rsid w:val="00513F5C"/>
    <w:rsid w:val="00514666"/>
    <w:rsid w:val="0051478D"/>
    <w:rsid w:val="00514A94"/>
    <w:rsid w:val="005152A0"/>
    <w:rsid w:val="0051534D"/>
    <w:rsid w:val="00515927"/>
    <w:rsid w:val="00516258"/>
    <w:rsid w:val="0051655C"/>
    <w:rsid w:val="00516703"/>
    <w:rsid w:val="00516857"/>
    <w:rsid w:val="00516BC6"/>
    <w:rsid w:val="0051744A"/>
    <w:rsid w:val="005174B6"/>
    <w:rsid w:val="0051754A"/>
    <w:rsid w:val="00517804"/>
    <w:rsid w:val="00517901"/>
    <w:rsid w:val="00517985"/>
    <w:rsid w:val="00517B12"/>
    <w:rsid w:val="00517B6D"/>
    <w:rsid w:val="00517D50"/>
    <w:rsid w:val="005202BC"/>
    <w:rsid w:val="00520395"/>
    <w:rsid w:val="00520A7C"/>
    <w:rsid w:val="00520C8F"/>
    <w:rsid w:val="00520DD8"/>
    <w:rsid w:val="0052102D"/>
    <w:rsid w:val="005211E5"/>
    <w:rsid w:val="00521331"/>
    <w:rsid w:val="00521734"/>
    <w:rsid w:val="005217D0"/>
    <w:rsid w:val="005219AB"/>
    <w:rsid w:val="00521ABF"/>
    <w:rsid w:val="00521E6C"/>
    <w:rsid w:val="00522235"/>
    <w:rsid w:val="00522362"/>
    <w:rsid w:val="0052289E"/>
    <w:rsid w:val="00523123"/>
    <w:rsid w:val="00523277"/>
    <w:rsid w:val="00523606"/>
    <w:rsid w:val="00523675"/>
    <w:rsid w:val="005236B7"/>
    <w:rsid w:val="005238D3"/>
    <w:rsid w:val="0052391C"/>
    <w:rsid w:val="00523AD7"/>
    <w:rsid w:val="005242FA"/>
    <w:rsid w:val="00524C16"/>
    <w:rsid w:val="00524EF6"/>
    <w:rsid w:val="00524FBA"/>
    <w:rsid w:val="005253B0"/>
    <w:rsid w:val="0052543C"/>
    <w:rsid w:val="00525781"/>
    <w:rsid w:val="00525FB2"/>
    <w:rsid w:val="00526160"/>
    <w:rsid w:val="005262CA"/>
    <w:rsid w:val="0052720E"/>
    <w:rsid w:val="0052729D"/>
    <w:rsid w:val="005303FB"/>
    <w:rsid w:val="00530985"/>
    <w:rsid w:val="005310D8"/>
    <w:rsid w:val="005314D8"/>
    <w:rsid w:val="00531552"/>
    <w:rsid w:val="005316E9"/>
    <w:rsid w:val="00531998"/>
    <w:rsid w:val="00531E99"/>
    <w:rsid w:val="00531FB3"/>
    <w:rsid w:val="005323F4"/>
    <w:rsid w:val="00532441"/>
    <w:rsid w:val="005324FF"/>
    <w:rsid w:val="00532890"/>
    <w:rsid w:val="00532D5B"/>
    <w:rsid w:val="00532E75"/>
    <w:rsid w:val="00532E85"/>
    <w:rsid w:val="00533037"/>
    <w:rsid w:val="00533B84"/>
    <w:rsid w:val="00533E36"/>
    <w:rsid w:val="00533EFC"/>
    <w:rsid w:val="00533FDF"/>
    <w:rsid w:val="0053411C"/>
    <w:rsid w:val="00534426"/>
    <w:rsid w:val="00534696"/>
    <w:rsid w:val="005349E3"/>
    <w:rsid w:val="00534B94"/>
    <w:rsid w:val="005350F9"/>
    <w:rsid w:val="005353E4"/>
    <w:rsid w:val="00535772"/>
    <w:rsid w:val="00535A8E"/>
    <w:rsid w:val="00535AB6"/>
    <w:rsid w:val="00536179"/>
    <w:rsid w:val="0053654A"/>
    <w:rsid w:val="0053665D"/>
    <w:rsid w:val="00537965"/>
    <w:rsid w:val="00537B21"/>
    <w:rsid w:val="00537BBD"/>
    <w:rsid w:val="0054021A"/>
    <w:rsid w:val="0054068D"/>
    <w:rsid w:val="005409C0"/>
    <w:rsid w:val="00541202"/>
    <w:rsid w:val="005412FB"/>
    <w:rsid w:val="00541F95"/>
    <w:rsid w:val="005420F1"/>
    <w:rsid w:val="0054221F"/>
    <w:rsid w:val="0054290A"/>
    <w:rsid w:val="00542A90"/>
    <w:rsid w:val="00542CB7"/>
    <w:rsid w:val="005431FF"/>
    <w:rsid w:val="005437D5"/>
    <w:rsid w:val="00543B9A"/>
    <w:rsid w:val="00543E74"/>
    <w:rsid w:val="005441A7"/>
    <w:rsid w:val="0054437E"/>
    <w:rsid w:val="0054473D"/>
    <w:rsid w:val="005447F7"/>
    <w:rsid w:val="00544C27"/>
    <w:rsid w:val="00545185"/>
    <w:rsid w:val="0054531F"/>
    <w:rsid w:val="005453A1"/>
    <w:rsid w:val="005454B6"/>
    <w:rsid w:val="00545E39"/>
    <w:rsid w:val="00545F70"/>
    <w:rsid w:val="00546138"/>
    <w:rsid w:val="00546249"/>
    <w:rsid w:val="005463F4"/>
    <w:rsid w:val="00546553"/>
    <w:rsid w:val="005465C4"/>
    <w:rsid w:val="005467CC"/>
    <w:rsid w:val="005468B1"/>
    <w:rsid w:val="0054769E"/>
    <w:rsid w:val="00547E85"/>
    <w:rsid w:val="005506D6"/>
    <w:rsid w:val="00550746"/>
    <w:rsid w:val="00550754"/>
    <w:rsid w:val="0055143C"/>
    <w:rsid w:val="0055177D"/>
    <w:rsid w:val="0055232E"/>
    <w:rsid w:val="005528EB"/>
    <w:rsid w:val="00552C27"/>
    <w:rsid w:val="00552EFD"/>
    <w:rsid w:val="005530FA"/>
    <w:rsid w:val="005533AC"/>
    <w:rsid w:val="00553625"/>
    <w:rsid w:val="00553F65"/>
    <w:rsid w:val="005542C5"/>
    <w:rsid w:val="00554518"/>
    <w:rsid w:val="00554683"/>
    <w:rsid w:val="00554830"/>
    <w:rsid w:val="00554899"/>
    <w:rsid w:val="00555081"/>
    <w:rsid w:val="0055508A"/>
    <w:rsid w:val="0055575E"/>
    <w:rsid w:val="00555911"/>
    <w:rsid w:val="00555EB0"/>
    <w:rsid w:val="00556320"/>
    <w:rsid w:val="0055641E"/>
    <w:rsid w:val="0055656E"/>
    <w:rsid w:val="005567DF"/>
    <w:rsid w:val="005569D8"/>
    <w:rsid w:val="00556A59"/>
    <w:rsid w:val="00557135"/>
    <w:rsid w:val="0055719A"/>
    <w:rsid w:val="005571ED"/>
    <w:rsid w:val="005573D4"/>
    <w:rsid w:val="00557748"/>
    <w:rsid w:val="00557805"/>
    <w:rsid w:val="00557B90"/>
    <w:rsid w:val="00557E32"/>
    <w:rsid w:val="005601AF"/>
    <w:rsid w:val="00560A5F"/>
    <w:rsid w:val="00560A93"/>
    <w:rsid w:val="00560E3F"/>
    <w:rsid w:val="00560F88"/>
    <w:rsid w:val="00561392"/>
    <w:rsid w:val="005614EB"/>
    <w:rsid w:val="00561581"/>
    <w:rsid w:val="00561894"/>
    <w:rsid w:val="00561BDE"/>
    <w:rsid w:val="00561FD4"/>
    <w:rsid w:val="00562006"/>
    <w:rsid w:val="0056227A"/>
    <w:rsid w:val="00562291"/>
    <w:rsid w:val="0056231A"/>
    <w:rsid w:val="0056265B"/>
    <w:rsid w:val="00562834"/>
    <w:rsid w:val="00562849"/>
    <w:rsid w:val="00562CC4"/>
    <w:rsid w:val="00562D5E"/>
    <w:rsid w:val="00562E3A"/>
    <w:rsid w:val="00563105"/>
    <w:rsid w:val="005634D9"/>
    <w:rsid w:val="00563610"/>
    <w:rsid w:val="005636E4"/>
    <w:rsid w:val="005638DB"/>
    <w:rsid w:val="00563CBB"/>
    <w:rsid w:val="00563F33"/>
    <w:rsid w:val="00563F42"/>
    <w:rsid w:val="005642F3"/>
    <w:rsid w:val="00564B5C"/>
    <w:rsid w:val="00564DC0"/>
    <w:rsid w:val="00564E9D"/>
    <w:rsid w:val="0056534E"/>
    <w:rsid w:val="00565781"/>
    <w:rsid w:val="005657A2"/>
    <w:rsid w:val="005659F7"/>
    <w:rsid w:val="00565B7B"/>
    <w:rsid w:val="0056623E"/>
    <w:rsid w:val="005664B3"/>
    <w:rsid w:val="00566881"/>
    <w:rsid w:val="00566981"/>
    <w:rsid w:val="00566BC1"/>
    <w:rsid w:val="00566BFC"/>
    <w:rsid w:val="00566ECE"/>
    <w:rsid w:val="0056715D"/>
    <w:rsid w:val="005671C3"/>
    <w:rsid w:val="00567255"/>
    <w:rsid w:val="005674C6"/>
    <w:rsid w:val="00567E0D"/>
    <w:rsid w:val="00567F74"/>
    <w:rsid w:val="00567FA3"/>
    <w:rsid w:val="005701E6"/>
    <w:rsid w:val="0057021C"/>
    <w:rsid w:val="005702AE"/>
    <w:rsid w:val="005702BE"/>
    <w:rsid w:val="00570973"/>
    <w:rsid w:val="00570A74"/>
    <w:rsid w:val="00570B7E"/>
    <w:rsid w:val="00571578"/>
    <w:rsid w:val="0057164B"/>
    <w:rsid w:val="005716A1"/>
    <w:rsid w:val="00571A40"/>
    <w:rsid w:val="00571CB1"/>
    <w:rsid w:val="00571CBB"/>
    <w:rsid w:val="0057218C"/>
    <w:rsid w:val="005721B8"/>
    <w:rsid w:val="005724D2"/>
    <w:rsid w:val="0057296D"/>
    <w:rsid w:val="0057314C"/>
    <w:rsid w:val="0057378B"/>
    <w:rsid w:val="00573909"/>
    <w:rsid w:val="00573950"/>
    <w:rsid w:val="00573C52"/>
    <w:rsid w:val="00573CA8"/>
    <w:rsid w:val="0057429E"/>
    <w:rsid w:val="005744CC"/>
    <w:rsid w:val="00574580"/>
    <w:rsid w:val="00574A9C"/>
    <w:rsid w:val="00574FB6"/>
    <w:rsid w:val="00575109"/>
    <w:rsid w:val="0057536C"/>
    <w:rsid w:val="00575D8B"/>
    <w:rsid w:val="00576156"/>
    <w:rsid w:val="00576203"/>
    <w:rsid w:val="00576269"/>
    <w:rsid w:val="0057632B"/>
    <w:rsid w:val="005769C8"/>
    <w:rsid w:val="005769C9"/>
    <w:rsid w:val="00576A53"/>
    <w:rsid w:val="00576FBE"/>
    <w:rsid w:val="00577081"/>
    <w:rsid w:val="00577106"/>
    <w:rsid w:val="005771F1"/>
    <w:rsid w:val="0057739A"/>
    <w:rsid w:val="0058008D"/>
    <w:rsid w:val="00580096"/>
    <w:rsid w:val="00580444"/>
    <w:rsid w:val="0058045D"/>
    <w:rsid w:val="0058120B"/>
    <w:rsid w:val="005814F7"/>
    <w:rsid w:val="0058183F"/>
    <w:rsid w:val="00581992"/>
    <w:rsid w:val="00581E36"/>
    <w:rsid w:val="00582B00"/>
    <w:rsid w:val="00582CA3"/>
    <w:rsid w:val="0058312F"/>
    <w:rsid w:val="0058326C"/>
    <w:rsid w:val="005834B9"/>
    <w:rsid w:val="00583516"/>
    <w:rsid w:val="005836D0"/>
    <w:rsid w:val="0058397A"/>
    <w:rsid w:val="00583F78"/>
    <w:rsid w:val="005845D0"/>
    <w:rsid w:val="00584647"/>
    <w:rsid w:val="00584729"/>
    <w:rsid w:val="0058498F"/>
    <w:rsid w:val="00584BA7"/>
    <w:rsid w:val="00584BC1"/>
    <w:rsid w:val="00584F49"/>
    <w:rsid w:val="00585BC6"/>
    <w:rsid w:val="00585C85"/>
    <w:rsid w:val="00585E1D"/>
    <w:rsid w:val="00585E8B"/>
    <w:rsid w:val="00586368"/>
    <w:rsid w:val="0058648B"/>
    <w:rsid w:val="00586658"/>
    <w:rsid w:val="00586896"/>
    <w:rsid w:val="00586CBA"/>
    <w:rsid w:val="00587F98"/>
    <w:rsid w:val="005903BC"/>
    <w:rsid w:val="00590D0D"/>
    <w:rsid w:val="00591755"/>
    <w:rsid w:val="00591E59"/>
    <w:rsid w:val="0059225D"/>
    <w:rsid w:val="00592416"/>
    <w:rsid w:val="0059256F"/>
    <w:rsid w:val="0059289F"/>
    <w:rsid w:val="0059296D"/>
    <w:rsid w:val="00592A17"/>
    <w:rsid w:val="00592C9D"/>
    <w:rsid w:val="00592CA4"/>
    <w:rsid w:val="00592FAA"/>
    <w:rsid w:val="0059330C"/>
    <w:rsid w:val="005935A7"/>
    <w:rsid w:val="0059367B"/>
    <w:rsid w:val="00593690"/>
    <w:rsid w:val="005937C9"/>
    <w:rsid w:val="00593993"/>
    <w:rsid w:val="00593B88"/>
    <w:rsid w:val="00593CD4"/>
    <w:rsid w:val="00593EA8"/>
    <w:rsid w:val="00593F19"/>
    <w:rsid w:val="00594227"/>
    <w:rsid w:val="00594849"/>
    <w:rsid w:val="00594A95"/>
    <w:rsid w:val="0059506A"/>
    <w:rsid w:val="0059508E"/>
    <w:rsid w:val="00595B10"/>
    <w:rsid w:val="00595BA4"/>
    <w:rsid w:val="00595FCB"/>
    <w:rsid w:val="005960CE"/>
    <w:rsid w:val="00596328"/>
    <w:rsid w:val="0059647A"/>
    <w:rsid w:val="0059652A"/>
    <w:rsid w:val="0059671C"/>
    <w:rsid w:val="00596901"/>
    <w:rsid w:val="005969BF"/>
    <w:rsid w:val="00596B09"/>
    <w:rsid w:val="00596B67"/>
    <w:rsid w:val="00596D16"/>
    <w:rsid w:val="00596EC0"/>
    <w:rsid w:val="005972BB"/>
    <w:rsid w:val="005974B4"/>
    <w:rsid w:val="00597B8C"/>
    <w:rsid w:val="00597C67"/>
    <w:rsid w:val="00597FCE"/>
    <w:rsid w:val="005A0291"/>
    <w:rsid w:val="005A02C3"/>
    <w:rsid w:val="005A03A5"/>
    <w:rsid w:val="005A04FB"/>
    <w:rsid w:val="005A068A"/>
    <w:rsid w:val="005A0B3F"/>
    <w:rsid w:val="005A0B89"/>
    <w:rsid w:val="005A0F5A"/>
    <w:rsid w:val="005A0FA7"/>
    <w:rsid w:val="005A104E"/>
    <w:rsid w:val="005A1153"/>
    <w:rsid w:val="005A12C1"/>
    <w:rsid w:val="005A151A"/>
    <w:rsid w:val="005A1C32"/>
    <w:rsid w:val="005A208D"/>
    <w:rsid w:val="005A28EA"/>
    <w:rsid w:val="005A29C3"/>
    <w:rsid w:val="005A2BA8"/>
    <w:rsid w:val="005A2BF1"/>
    <w:rsid w:val="005A2C17"/>
    <w:rsid w:val="005A32FC"/>
    <w:rsid w:val="005A3406"/>
    <w:rsid w:val="005A3849"/>
    <w:rsid w:val="005A38BD"/>
    <w:rsid w:val="005A3AC3"/>
    <w:rsid w:val="005A3C6A"/>
    <w:rsid w:val="005A3CFB"/>
    <w:rsid w:val="005A3F44"/>
    <w:rsid w:val="005A45AB"/>
    <w:rsid w:val="005A49AE"/>
    <w:rsid w:val="005A4CD4"/>
    <w:rsid w:val="005A4E58"/>
    <w:rsid w:val="005A53D8"/>
    <w:rsid w:val="005A569D"/>
    <w:rsid w:val="005A5A93"/>
    <w:rsid w:val="005A5B32"/>
    <w:rsid w:val="005A5C6E"/>
    <w:rsid w:val="005A5D06"/>
    <w:rsid w:val="005A5E51"/>
    <w:rsid w:val="005A5FB6"/>
    <w:rsid w:val="005A63DD"/>
    <w:rsid w:val="005A660D"/>
    <w:rsid w:val="005A67D6"/>
    <w:rsid w:val="005A685F"/>
    <w:rsid w:val="005A68D2"/>
    <w:rsid w:val="005A6A2A"/>
    <w:rsid w:val="005A6AC2"/>
    <w:rsid w:val="005A6F52"/>
    <w:rsid w:val="005A6FF6"/>
    <w:rsid w:val="005A6FF9"/>
    <w:rsid w:val="005A7512"/>
    <w:rsid w:val="005A767A"/>
    <w:rsid w:val="005A76CE"/>
    <w:rsid w:val="005A7AA5"/>
    <w:rsid w:val="005A7E21"/>
    <w:rsid w:val="005A7E22"/>
    <w:rsid w:val="005A7F83"/>
    <w:rsid w:val="005B03C2"/>
    <w:rsid w:val="005B085D"/>
    <w:rsid w:val="005B0DC8"/>
    <w:rsid w:val="005B1797"/>
    <w:rsid w:val="005B208A"/>
    <w:rsid w:val="005B209E"/>
    <w:rsid w:val="005B2158"/>
    <w:rsid w:val="005B22E1"/>
    <w:rsid w:val="005B23D1"/>
    <w:rsid w:val="005B2444"/>
    <w:rsid w:val="005B24F1"/>
    <w:rsid w:val="005B272B"/>
    <w:rsid w:val="005B294D"/>
    <w:rsid w:val="005B2DD7"/>
    <w:rsid w:val="005B3070"/>
    <w:rsid w:val="005B31FE"/>
    <w:rsid w:val="005B3323"/>
    <w:rsid w:val="005B3527"/>
    <w:rsid w:val="005B38B6"/>
    <w:rsid w:val="005B3949"/>
    <w:rsid w:val="005B4277"/>
    <w:rsid w:val="005B4302"/>
    <w:rsid w:val="005B4841"/>
    <w:rsid w:val="005B524E"/>
    <w:rsid w:val="005B530D"/>
    <w:rsid w:val="005B55C4"/>
    <w:rsid w:val="005B580E"/>
    <w:rsid w:val="005B5DD3"/>
    <w:rsid w:val="005B65E2"/>
    <w:rsid w:val="005B6A33"/>
    <w:rsid w:val="005B6BEC"/>
    <w:rsid w:val="005B6C7F"/>
    <w:rsid w:val="005B6D36"/>
    <w:rsid w:val="005B6D7D"/>
    <w:rsid w:val="005B6F7B"/>
    <w:rsid w:val="005B7121"/>
    <w:rsid w:val="005B7854"/>
    <w:rsid w:val="005B7AE3"/>
    <w:rsid w:val="005B7EB4"/>
    <w:rsid w:val="005C008C"/>
    <w:rsid w:val="005C0499"/>
    <w:rsid w:val="005C0AA0"/>
    <w:rsid w:val="005C0B81"/>
    <w:rsid w:val="005C0C07"/>
    <w:rsid w:val="005C0D6C"/>
    <w:rsid w:val="005C0F74"/>
    <w:rsid w:val="005C1165"/>
    <w:rsid w:val="005C141D"/>
    <w:rsid w:val="005C143A"/>
    <w:rsid w:val="005C15A0"/>
    <w:rsid w:val="005C15B0"/>
    <w:rsid w:val="005C1705"/>
    <w:rsid w:val="005C1927"/>
    <w:rsid w:val="005C1B61"/>
    <w:rsid w:val="005C2189"/>
    <w:rsid w:val="005C2361"/>
    <w:rsid w:val="005C26A5"/>
    <w:rsid w:val="005C28C9"/>
    <w:rsid w:val="005C2A15"/>
    <w:rsid w:val="005C2DAC"/>
    <w:rsid w:val="005C305C"/>
    <w:rsid w:val="005C31DB"/>
    <w:rsid w:val="005C3244"/>
    <w:rsid w:val="005C3290"/>
    <w:rsid w:val="005C366E"/>
    <w:rsid w:val="005C3855"/>
    <w:rsid w:val="005C3BAA"/>
    <w:rsid w:val="005C3C49"/>
    <w:rsid w:val="005C459E"/>
    <w:rsid w:val="005C4658"/>
    <w:rsid w:val="005C4937"/>
    <w:rsid w:val="005C4B55"/>
    <w:rsid w:val="005C4C05"/>
    <w:rsid w:val="005C4FA7"/>
    <w:rsid w:val="005C542A"/>
    <w:rsid w:val="005C56C1"/>
    <w:rsid w:val="005C5FFB"/>
    <w:rsid w:val="005C622E"/>
    <w:rsid w:val="005C65F5"/>
    <w:rsid w:val="005C68E1"/>
    <w:rsid w:val="005C6C50"/>
    <w:rsid w:val="005C6CC4"/>
    <w:rsid w:val="005C70F9"/>
    <w:rsid w:val="005C75D3"/>
    <w:rsid w:val="005C76C3"/>
    <w:rsid w:val="005C7BB7"/>
    <w:rsid w:val="005C7DE4"/>
    <w:rsid w:val="005C7F38"/>
    <w:rsid w:val="005D06EC"/>
    <w:rsid w:val="005D0C2A"/>
    <w:rsid w:val="005D11B9"/>
    <w:rsid w:val="005D1244"/>
    <w:rsid w:val="005D1332"/>
    <w:rsid w:val="005D1369"/>
    <w:rsid w:val="005D1707"/>
    <w:rsid w:val="005D1BCD"/>
    <w:rsid w:val="005D1C58"/>
    <w:rsid w:val="005D25ED"/>
    <w:rsid w:val="005D2832"/>
    <w:rsid w:val="005D2FB8"/>
    <w:rsid w:val="005D3141"/>
    <w:rsid w:val="005D316B"/>
    <w:rsid w:val="005D323A"/>
    <w:rsid w:val="005D337A"/>
    <w:rsid w:val="005D353C"/>
    <w:rsid w:val="005D3691"/>
    <w:rsid w:val="005D3FDD"/>
    <w:rsid w:val="005D4043"/>
    <w:rsid w:val="005D4414"/>
    <w:rsid w:val="005D444F"/>
    <w:rsid w:val="005D4B99"/>
    <w:rsid w:val="005D551A"/>
    <w:rsid w:val="005D5C73"/>
    <w:rsid w:val="005D5FF9"/>
    <w:rsid w:val="005D632C"/>
    <w:rsid w:val="005D63BA"/>
    <w:rsid w:val="005D6685"/>
    <w:rsid w:val="005D674C"/>
    <w:rsid w:val="005D7120"/>
    <w:rsid w:val="005D769A"/>
    <w:rsid w:val="005D779A"/>
    <w:rsid w:val="005D78AF"/>
    <w:rsid w:val="005D7B85"/>
    <w:rsid w:val="005D7D16"/>
    <w:rsid w:val="005E0830"/>
    <w:rsid w:val="005E0925"/>
    <w:rsid w:val="005E0E41"/>
    <w:rsid w:val="005E0E7A"/>
    <w:rsid w:val="005E0F49"/>
    <w:rsid w:val="005E1477"/>
    <w:rsid w:val="005E190F"/>
    <w:rsid w:val="005E1B7A"/>
    <w:rsid w:val="005E1DBC"/>
    <w:rsid w:val="005E1DD6"/>
    <w:rsid w:val="005E1DF5"/>
    <w:rsid w:val="005E2082"/>
    <w:rsid w:val="005E2177"/>
    <w:rsid w:val="005E222D"/>
    <w:rsid w:val="005E2532"/>
    <w:rsid w:val="005E25EE"/>
    <w:rsid w:val="005E2829"/>
    <w:rsid w:val="005E2C62"/>
    <w:rsid w:val="005E2CB9"/>
    <w:rsid w:val="005E3538"/>
    <w:rsid w:val="005E3C29"/>
    <w:rsid w:val="005E40C8"/>
    <w:rsid w:val="005E4121"/>
    <w:rsid w:val="005E424A"/>
    <w:rsid w:val="005E441A"/>
    <w:rsid w:val="005E4D2F"/>
    <w:rsid w:val="005E5153"/>
    <w:rsid w:val="005E534A"/>
    <w:rsid w:val="005E5488"/>
    <w:rsid w:val="005E5527"/>
    <w:rsid w:val="005E55D3"/>
    <w:rsid w:val="005E5A62"/>
    <w:rsid w:val="005E5B2A"/>
    <w:rsid w:val="005E5BE5"/>
    <w:rsid w:val="005E5F5C"/>
    <w:rsid w:val="005E62A2"/>
    <w:rsid w:val="005E62D3"/>
    <w:rsid w:val="005E6807"/>
    <w:rsid w:val="005E68BE"/>
    <w:rsid w:val="005E69AE"/>
    <w:rsid w:val="005E69F9"/>
    <w:rsid w:val="005E7042"/>
    <w:rsid w:val="005E70CD"/>
    <w:rsid w:val="005E74EE"/>
    <w:rsid w:val="005E7606"/>
    <w:rsid w:val="005E764A"/>
    <w:rsid w:val="005E790E"/>
    <w:rsid w:val="005E7BA5"/>
    <w:rsid w:val="005E7D14"/>
    <w:rsid w:val="005E7D43"/>
    <w:rsid w:val="005F0456"/>
    <w:rsid w:val="005F0649"/>
    <w:rsid w:val="005F0665"/>
    <w:rsid w:val="005F069E"/>
    <w:rsid w:val="005F0972"/>
    <w:rsid w:val="005F108C"/>
    <w:rsid w:val="005F1122"/>
    <w:rsid w:val="005F16A6"/>
    <w:rsid w:val="005F17EA"/>
    <w:rsid w:val="005F19F7"/>
    <w:rsid w:val="005F1C1B"/>
    <w:rsid w:val="005F1D7A"/>
    <w:rsid w:val="005F225D"/>
    <w:rsid w:val="005F229D"/>
    <w:rsid w:val="005F23AD"/>
    <w:rsid w:val="005F23F9"/>
    <w:rsid w:val="005F25A9"/>
    <w:rsid w:val="005F2A5C"/>
    <w:rsid w:val="005F2DC1"/>
    <w:rsid w:val="005F2EDD"/>
    <w:rsid w:val="005F2EF5"/>
    <w:rsid w:val="005F2F0C"/>
    <w:rsid w:val="005F2F85"/>
    <w:rsid w:val="005F2FFB"/>
    <w:rsid w:val="005F33AA"/>
    <w:rsid w:val="005F34B6"/>
    <w:rsid w:val="005F3772"/>
    <w:rsid w:val="005F377C"/>
    <w:rsid w:val="005F3935"/>
    <w:rsid w:val="005F395D"/>
    <w:rsid w:val="005F3970"/>
    <w:rsid w:val="005F40E7"/>
    <w:rsid w:val="005F4376"/>
    <w:rsid w:val="005F4517"/>
    <w:rsid w:val="005F46B4"/>
    <w:rsid w:val="005F47B9"/>
    <w:rsid w:val="005F4821"/>
    <w:rsid w:val="005F4B1B"/>
    <w:rsid w:val="005F4BF5"/>
    <w:rsid w:val="005F53E9"/>
    <w:rsid w:val="005F5467"/>
    <w:rsid w:val="005F5497"/>
    <w:rsid w:val="005F5921"/>
    <w:rsid w:val="005F59D1"/>
    <w:rsid w:val="005F5D6A"/>
    <w:rsid w:val="005F5F15"/>
    <w:rsid w:val="005F65BC"/>
    <w:rsid w:val="005F697C"/>
    <w:rsid w:val="005F6BCA"/>
    <w:rsid w:val="005F6C05"/>
    <w:rsid w:val="005F6DD9"/>
    <w:rsid w:val="005F6E5A"/>
    <w:rsid w:val="005F6EFE"/>
    <w:rsid w:val="005F72AE"/>
    <w:rsid w:val="005F76BA"/>
    <w:rsid w:val="005F779C"/>
    <w:rsid w:val="005F78D1"/>
    <w:rsid w:val="005F7BCB"/>
    <w:rsid w:val="005F7E2B"/>
    <w:rsid w:val="005F7F02"/>
    <w:rsid w:val="0060042B"/>
    <w:rsid w:val="00600607"/>
    <w:rsid w:val="00600A58"/>
    <w:rsid w:val="00600C32"/>
    <w:rsid w:val="00600DB5"/>
    <w:rsid w:val="00600E10"/>
    <w:rsid w:val="0060141C"/>
    <w:rsid w:val="006014E7"/>
    <w:rsid w:val="006015AB"/>
    <w:rsid w:val="006015E5"/>
    <w:rsid w:val="00601B9A"/>
    <w:rsid w:val="00601C69"/>
    <w:rsid w:val="00601FB6"/>
    <w:rsid w:val="006021E0"/>
    <w:rsid w:val="006021FC"/>
    <w:rsid w:val="0060297F"/>
    <w:rsid w:val="00602E29"/>
    <w:rsid w:val="00603006"/>
    <w:rsid w:val="006037DB"/>
    <w:rsid w:val="006039D9"/>
    <w:rsid w:val="00604530"/>
    <w:rsid w:val="0060455D"/>
    <w:rsid w:val="006046B7"/>
    <w:rsid w:val="006047CE"/>
    <w:rsid w:val="00604A2D"/>
    <w:rsid w:val="00604C01"/>
    <w:rsid w:val="00604FE0"/>
    <w:rsid w:val="0060553E"/>
    <w:rsid w:val="00605AA1"/>
    <w:rsid w:val="00605C35"/>
    <w:rsid w:val="0060619D"/>
    <w:rsid w:val="00606249"/>
    <w:rsid w:val="00606330"/>
    <w:rsid w:val="00606571"/>
    <w:rsid w:val="00606662"/>
    <w:rsid w:val="006069E5"/>
    <w:rsid w:val="00606CD0"/>
    <w:rsid w:val="00606DA5"/>
    <w:rsid w:val="00606EB1"/>
    <w:rsid w:val="00606F4E"/>
    <w:rsid w:val="00606F97"/>
    <w:rsid w:val="006070BB"/>
    <w:rsid w:val="00607122"/>
    <w:rsid w:val="00607A8B"/>
    <w:rsid w:val="006101A1"/>
    <w:rsid w:val="006101CD"/>
    <w:rsid w:val="006107D5"/>
    <w:rsid w:val="00610ED0"/>
    <w:rsid w:val="00610FD5"/>
    <w:rsid w:val="0061100F"/>
    <w:rsid w:val="006118C3"/>
    <w:rsid w:val="00611A1B"/>
    <w:rsid w:val="00611A3A"/>
    <w:rsid w:val="00612345"/>
    <w:rsid w:val="00612448"/>
    <w:rsid w:val="006124A9"/>
    <w:rsid w:val="006128D5"/>
    <w:rsid w:val="00612D2E"/>
    <w:rsid w:val="00612DF2"/>
    <w:rsid w:val="00612F5E"/>
    <w:rsid w:val="00613052"/>
    <w:rsid w:val="00613896"/>
    <w:rsid w:val="00613B54"/>
    <w:rsid w:val="00613EA1"/>
    <w:rsid w:val="00613FE4"/>
    <w:rsid w:val="0061428C"/>
    <w:rsid w:val="00614571"/>
    <w:rsid w:val="006145A4"/>
    <w:rsid w:val="00614714"/>
    <w:rsid w:val="00614A30"/>
    <w:rsid w:val="00614AE2"/>
    <w:rsid w:val="00614C56"/>
    <w:rsid w:val="00614C6A"/>
    <w:rsid w:val="00614F21"/>
    <w:rsid w:val="00615047"/>
    <w:rsid w:val="0061508D"/>
    <w:rsid w:val="0061515B"/>
    <w:rsid w:val="00615465"/>
    <w:rsid w:val="006154F8"/>
    <w:rsid w:val="00615C26"/>
    <w:rsid w:val="00615E58"/>
    <w:rsid w:val="006167E7"/>
    <w:rsid w:val="00616A84"/>
    <w:rsid w:val="00616BF6"/>
    <w:rsid w:val="00616C72"/>
    <w:rsid w:val="00616E65"/>
    <w:rsid w:val="00616F8A"/>
    <w:rsid w:val="00617570"/>
    <w:rsid w:val="006175ED"/>
    <w:rsid w:val="006177B2"/>
    <w:rsid w:val="00617860"/>
    <w:rsid w:val="00617884"/>
    <w:rsid w:val="00617CD9"/>
    <w:rsid w:val="00617D5F"/>
    <w:rsid w:val="00620353"/>
    <w:rsid w:val="006203EC"/>
    <w:rsid w:val="0062086F"/>
    <w:rsid w:val="006209FB"/>
    <w:rsid w:val="00620C6B"/>
    <w:rsid w:val="00620E22"/>
    <w:rsid w:val="00621674"/>
    <w:rsid w:val="00621CDA"/>
    <w:rsid w:val="00621D33"/>
    <w:rsid w:val="006224EF"/>
    <w:rsid w:val="006226B2"/>
    <w:rsid w:val="00622BFA"/>
    <w:rsid w:val="00623016"/>
    <w:rsid w:val="00623125"/>
    <w:rsid w:val="00623389"/>
    <w:rsid w:val="006236D9"/>
    <w:rsid w:val="006237DD"/>
    <w:rsid w:val="006238A0"/>
    <w:rsid w:val="00623D82"/>
    <w:rsid w:val="006241A4"/>
    <w:rsid w:val="006242BE"/>
    <w:rsid w:val="006244FB"/>
    <w:rsid w:val="00624ACB"/>
    <w:rsid w:val="00624C98"/>
    <w:rsid w:val="00624E75"/>
    <w:rsid w:val="0062532B"/>
    <w:rsid w:val="00625456"/>
    <w:rsid w:val="006258F5"/>
    <w:rsid w:val="00625B24"/>
    <w:rsid w:val="00625E22"/>
    <w:rsid w:val="0062617D"/>
    <w:rsid w:val="006261C1"/>
    <w:rsid w:val="0062630C"/>
    <w:rsid w:val="0062666E"/>
    <w:rsid w:val="0062667F"/>
    <w:rsid w:val="00626810"/>
    <w:rsid w:val="00626B5C"/>
    <w:rsid w:val="00626FD3"/>
    <w:rsid w:val="00627284"/>
    <w:rsid w:val="006272FB"/>
    <w:rsid w:val="00627318"/>
    <w:rsid w:val="00627B96"/>
    <w:rsid w:val="00627F0B"/>
    <w:rsid w:val="00630620"/>
    <w:rsid w:val="006308F0"/>
    <w:rsid w:val="00630C53"/>
    <w:rsid w:val="00630D5F"/>
    <w:rsid w:val="00630E5B"/>
    <w:rsid w:val="00630FE7"/>
    <w:rsid w:val="0063132D"/>
    <w:rsid w:val="006314DF"/>
    <w:rsid w:val="00631DB8"/>
    <w:rsid w:val="0063207A"/>
    <w:rsid w:val="00632BE9"/>
    <w:rsid w:val="00632ED9"/>
    <w:rsid w:val="00633226"/>
    <w:rsid w:val="0063329F"/>
    <w:rsid w:val="0063397F"/>
    <w:rsid w:val="006339B9"/>
    <w:rsid w:val="00633C30"/>
    <w:rsid w:val="00633C40"/>
    <w:rsid w:val="006341AF"/>
    <w:rsid w:val="006345D0"/>
    <w:rsid w:val="0063475F"/>
    <w:rsid w:val="00634C5A"/>
    <w:rsid w:val="00634E28"/>
    <w:rsid w:val="006351F7"/>
    <w:rsid w:val="00635C3D"/>
    <w:rsid w:val="0063606B"/>
    <w:rsid w:val="006364BC"/>
    <w:rsid w:val="00636555"/>
    <w:rsid w:val="006366B0"/>
    <w:rsid w:val="006366B7"/>
    <w:rsid w:val="006366CC"/>
    <w:rsid w:val="00636A67"/>
    <w:rsid w:val="00636BAB"/>
    <w:rsid w:val="00636D5D"/>
    <w:rsid w:val="00636E1F"/>
    <w:rsid w:val="006375CE"/>
    <w:rsid w:val="00637798"/>
    <w:rsid w:val="00637A23"/>
    <w:rsid w:val="00637BD0"/>
    <w:rsid w:val="0064035E"/>
    <w:rsid w:val="00640A2E"/>
    <w:rsid w:val="00640A94"/>
    <w:rsid w:val="00641CB8"/>
    <w:rsid w:val="00641DA5"/>
    <w:rsid w:val="00641E2C"/>
    <w:rsid w:val="0064246E"/>
    <w:rsid w:val="00642636"/>
    <w:rsid w:val="00642D21"/>
    <w:rsid w:val="00643441"/>
    <w:rsid w:val="006434E4"/>
    <w:rsid w:val="00643BA8"/>
    <w:rsid w:val="00644042"/>
    <w:rsid w:val="006443D3"/>
    <w:rsid w:val="00644720"/>
    <w:rsid w:val="006447B3"/>
    <w:rsid w:val="00644A63"/>
    <w:rsid w:val="00644B85"/>
    <w:rsid w:val="00645103"/>
    <w:rsid w:val="006451C0"/>
    <w:rsid w:val="006452AA"/>
    <w:rsid w:val="00645314"/>
    <w:rsid w:val="006454AC"/>
    <w:rsid w:val="00646093"/>
    <w:rsid w:val="0064609E"/>
    <w:rsid w:val="00646681"/>
    <w:rsid w:val="00646EB5"/>
    <w:rsid w:val="00646EEF"/>
    <w:rsid w:val="0064719B"/>
    <w:rsid w:val="006471EA"/>
    <w:rsid w:val="0064735B"/>
    <w:rsid w:val="00647549"/>
    <w:rsid w:val="0064776F"/>
    <w:rsid w:val="00647863"/>
    <w:rsid w:val="0064790E"/>
    <w:rsid w:val="00647A88"/>
    <w:rsid w:val="00647D1A"/>
    <w:rsid w:val="00647D2B"/>
    <w:rsid w:val="00647E27"/>
    <w:rsid w:val="00647EC3"/>
    <w:rsid w:val="006501E3"/>
    <w:rsid w:val="0065056F"/>
    <w:rsid w:val="006505C0"/>
    <w:rsid w:val="0065065B"/>
    <w:rsid w:val="00650A13"/>
    <w:rsid w:val="00651180"/>
    <w:rsid w:val="006511FE"/>
    <w:rsid w:val="0065133C"/>
    <w:rsid w:val="006513B5"/>
    <w:rsid w:val="00651452"/>
    <w:rsid w:val="00651720"/>
    <w:rsid w:val="00651C72"/>
    <w:rsid w:val="00651CF8"/>
    <w:rsid w:val="00651EF9"/>
    <w:rsid w:val="00652048"/>
    <w:rsid w:val="00652835"/>
    <w:rsid w:val="00652930"/>
    <w:rsid w:val="00652D46"/>
    <w:rsid w:val="00652FB0"/>
    <w:rsid w:val="00652FBE"/>
    <w:rsid w:val="0065323A"/>
    <w:rsid w:val="006533BE"/>
    <w:rsid w:val="00653510"/>
    <w:rsid w:val="00653A7E"/>
    <w:rsid w:val="00653B31"/>
    <w:rsid w:val="00653C8F"/>
    <w:rsid w:val="00653C93"/>
    <w:rsid w:val="00654095"/>
    <w:rsid w:val="00654214"/>
    <w:rsid w:val="006542C3"/>
    <w:rsid w:val="006546F4"/>
    <w:rsid w:val="006547FE"/>
    <w:rsid w:val="00654838"/>
    <w:rsid w:val="00654F04"/>
    <w:rsid w:val="00654F0B"/>
    <w:rsid w:val="006554DC"/>
    <w:rsid w:val="006558B1"/>
    <w:rsid w:val="006560F8"/>
    <w:rsid w:val="0065618A"/>
    <w:rsid w:val="006566C4"/>
    <w:rsid w:val="00656BC3"/>
    <w:rsid w:val="00657358"/>
    <w:rsid w:val="00657831"/>
    <w:rsid w:val="0065790D"/>
    <w:rsid w:val="00657BBE"/>
    <w:rsid w:val="006600B1"/>
    <w:rsid w:val="006603B1"/>
    <w:rsid w:val="006608D6"/>
    <w:rsid w:val="00660C30"/>
    <w:rsid w:val="00660D54"/>
    <w:rsid w:val="00661047"/>
    <w:rsid w:val="00661C3E"/>
    <w:rsid w:val="00661E01"/>
    <w:rsid w:val="00661F01"/>
    <w:rsid w:val="00662026"/>
    <w:rsid w:val="0066292E"/>
    <w:rsid w:val="00662FA8"/>
    <w:rsid w:val="0066302B"/>
    <w:rsid w:val="00663141"/>
    <w:rsid w:val="006632D6"/>
    <w:rsid w:val="006638EE"/>
    <w:rsid w:val="00663F3D"/>
    <w:rsid w:val="00663F68"/>
    <w:rsid w:val="00663F94"/>
    <w:rsid w:val="00664266"/>
    <w:rsid w:val="0066435D"/>
    <w:rsid w:val="006643CE"/>
    <w:rsid w:val="0066474A"/>
    <w:rsid w:val="00664F8B"/>
    <w:rsid w:val="006652E3"/>
    <w:rsid w:val="00665A8A"/>
    <w:rsid w:val="00665C99"/>
    <w:rsid w:val="00665E12"/>
    <w:rsid w:val="006660FE"/>
    <w:rsid w:val="0066631C"/>
    <w:rsid w:val="0066639D"/>
    <w:rsid w:val="00666508"/>
    <w:rsid w:val="0066672A"/>
    <w:rsid w:val="0066696B"/>
    <w:rsid w:val="00666C2B"/>
    <w:rsid w:val="00666D42"/>
    <w:rsid w:val="00667214"/>
    <w:rsid w:val="00667271"/>
    <w:rsid w:val="0066742C"/>
    <w:rsid w:val="00667A03"/>
    <w:rsid w:val="00667CB1"/>
    <w:rsid w:val="00667EBB"/>
    <w:rsid w:val="006702C0"/>
    <w:rsid w:val="006706B6"/>
    <w:rsid w:val="00670770"/>
    <w:rsid w:val="0067086C"/>
    <w:rsid w:val="006715A1"/>
    <w:rsid w:val="00672898"/>
    <w:rsid w:val="006735F5"/>
    <w:rsid w:val="0067362D"/>
    <w:rsid w:val="00673989"/>
    <w:rsid w:val="00673D1F"/>
    <w:rsid w:val="0067413F"/>
    <w:rsid w:val="00674766"/>
    <w:rsid w:val="0067478F"/>
    <w:rsid w:val="006754F0"/>
    <w:rsid w:val="006756EB"/>
    <w:rsid w:val="00675B34"/>
    <w:rsid w:val="00675CFF"/>
    <w:rsid w:val="00676436"/>
    <w:rsid w:val="006766F1"/>
    <w:rsid w:val="0067682E"/>
    <w:rsid w:val="00676DE2"/>
    <w:rsid w:val="00676F19"/>
    <w:rsid w:val="00676F59"/>
    <w:rsid w:val="0067769F"/>
    <w:rsid w:val="006776C8"/>
    <w:rsid w:val="006777D5"/>
    <w:rsid w:val="00677C85"/>
    <w:rsid w:val="00677D65"/>
    <w:rsid w:val="00677DDF"/>
    <w:rsid w:val="00677E3C"/>
    <w:rsid w:val="00677E81"/>
    <w:rsid w:val="006803E1"/>
    <w:rsid w:val="0068045B"/>
    <w:rsid w:val="00680467"/>
    <w:rsid w:val="006804C7"/>
    <w:rsid w:val="006806C2"/>
    <w:rsid w:val="006808F4"/>
    <w:rsid w:val="0068094E"/>
    <w:rsid w:val="00680CFB"/>
    <w:rsid w:val="00680ECD"/>
    <w:rsid w:val="00681335"/>
    <w:rsid w:val="006813F2"/>
    <w:rsid w:val="00681442"/>
    <w:rsid w:val="0068176E"/>
    <w:rsid w:val="006818CD"/>
    <w:rsid w:val="00681A9E"/>
    <w:rsid w:val="00681CFB"/>
    <w:rsid w:val="00681DEB"/>
    <w:rsid w:val="00681ECA"/>
    <w:rsid w:val="00681FB8"/>
    <w:rsid w:val="0068214B"/>
    <w:rsid w:val="00682D6F"/>
    <w:rsid w:val="00682F37"/>
    <w:rsid w:val="006833B5"/>
    <w:rsid w:val="006834D6"/>
    <w:rsid w:val="00683A50"/>
    <w:rsid w:val="00683CFA"/>
    <w:rsid w:val="00683D8C"/>
    <w:rsid w:val="00683EBC"/>
    <w:rsid w:val="006845DD"/>
    <w:rsid w:val="0068477A"/>
    <w:rsid w:val="006848D6"/>
    <w:rsid w:val="00685026"/>
    <w:rsid w:val="00685070"/>
    <w:rsid w:val="0068508B"/>
    <w:rsid w:val="006853A6"/>
    <w:rsid w:val="00686308"/>
    <w:rsid w:val="00686F4C"/>
    <w:rsid w:val="00687A0E"/>
    <w:rsid w:val="00687A91"/>
    <w:rsid w:val="00687D34"/>
    <w:rsid w:val="006902D2"/>
    <w:rsid w:val="00690884"/>
    <w:rsid w:val="00690D88"/>
    <w:rsid w:val="00690F74"/>
    <w:rsid w:val="00690FFA"/>
    <w:rsid w:val="0069150B"/>
    <w:rsid w:val="0069161B"/>
    <w:rsid w:val="00691788"/>
    <w:rsid w:val="00691A04"/>
    <w:rsid w:val="00691A63"/>
    <w:rsid w:val="006922BD"/>
    <w:rsid w:val="0069254F"/>
    <w:rsid w:val="00692A96"/>
    <w:rsid w:val="00693037"/>
    <w:rsid w:val="006935ED"/>
    <w:rsid w:val="00693601"/>
    <w:rsid w:val="0069363E"/>
    <w:rsid w:val="00693891"/>
    <w:rsid w:val="00693B08"/>
    <w:rsid w:val="00693CD7"/>
    <w:rsid w:val="00693DCA"/>
    <w:rsid w:val="0069430D"/>
    <w:rsid w:val="00694463"/>
    <w:rsid w:val="00694521"/>
    <w:rsid w:val="006946BF"/>
    <w:rsid w:val="00694B8B"/>
    <w:rsid w:val="00694BCB"/>
    <w:rsid w:val="00694CF8"/>
    <w:rsid w:val="006955B5"/>
    <w:rsid w:val="006956B3"/>
    <w:rsid w:val="00695B0D"/>
    <w:rsid w:val="00696639"/>
    <w:rsid w:val="00696680"/>
    <w:rsid w:val="00696A21"/>
    <w:rsid w:val="00696AA2"/>
    <w:rsid w:val="00696BB5"/>
    <w:rsid w:val="0069704F"/>
    <w:rsid w:val="0069727A"/>
    <w:rsid w:val="006972C6"/>
    <w:rsid w:val="00697A95"/>
    <w:rsid w:val="00697EB9"/>
    <w:rsid w:val="00697EBE"/>
    <w:rsid w:val="00697F23"/>
    <w:rsid w:val="00697FF3"/>
    <w:rsid w:val="006A00F4"/>
    <w:rsid w:val="006A01EF"/>
    <w:rsid w:val="006A04CA"/>
    <w:rsid w:val="006A059C"/>
    <w:rsid w:val="006A05B5"/>
    <w:rsid w:val="006A060D"/>
    <w:rsid w:val="006A0A1A"/>
    <w:rsid w:val="006A0ACB"/>
    <w:rsid w:val="006A0BBD"/>
    <w:rsid w:val="006A0D6C"/>
    <w:rsid w:val="006A1106"/>
    <w:rsid w:val="006A11D2"/>
    <w:rsid w:val="006A11DF"/>
    <w:rsid w:val="006A1653"/>
    <w:rsid w:val="006A1A30"/>
    <w:rsid w:val="006A1B22"/>
    <w:rsid w:val="006A1C75"/>
    <w:rsid w:val="006A1E24"/>
    <w:rsid w:val="006A1E76"/>
    <w:rsid w:val="006A233D"/>
    <w:rsid w:val="006A2452"/>
    <w:rsid w:val="006A265E"/>
    <w:rsid w:val="006A278E"/>
    <w:rsid w:val="006A28CE"/>
    <w:rsid w:val="006A3815"/>
    <w:rsid w:val="006A3BF6"/>
    <w:rsid w:val="006A3C98"/>
    <w:rsid w:val="006A3D1B"/>
    <w:rsid w:val="006A40C4"/>
    <w:rsid w:val="006A427D"/>
    <w:rsid w:val="006A42BD"/>
    <w:rsid w:val="006A432C"/>
    <w:rsid w:val="006A450E"/>
    <w:rsid w:val="006A498E"/>
    <w:rsid w:val="006A4AA0"/>
    <w:rsid w:val="006A5729"/>
    <w:rsid w:val="006A5AAA"/>
    <w:rsid w:val="006A5C90"/>
    <w:rsid w:val="006A5DF3"/>
    <w:rsid w:val="006A6098"/>
    <w:rsid w:val="006A6269"/>
    <w:rsid w:val="006A627D"/>
    <w:rsid w:val="006A63EA"/>
    <w:rsid w:val="006A657F"/>
    <w:rsid w:val="006A65F7"/>
    <w:rsid w:val="006A6658"/>
    <w:rsid w:val="006A6BE0"/>
    <w:rsid w:val="006A6D13"/>
    <w:rsid w:val="006A6F42"/>
    <w:rsid w:val="006A702C"/>
    <w:rsid w:val="006A72D9"/>
    <w:rsid w:val="006A72E7"/>
    <w:rsid w:val="006A751C"/>
    <w:rsid w:val="006A75B8"/>
    <w:rsid w:val="006A7614"/>
    <w:rsid w:val="006A7963"/>
    <w:rsid w:val="006A7A9C"/>
    <w:rsid w:val="006A7D47"/>
    <w:rsid w:val="006B04CF"/>
    <w:rsid w:val="006B0569"/>
    <w:rsid w:val="006B0974"/>
    <w:rsid w:val="006B1E38"/>
    <w:rsid w:val="006B2395"/>
    <w:rsid w:val="006B23AC"/>
    <w:rsid w:val="006B2533"/>
    <w:rsid w:val="006B28CA"/>
    <w:rsid w:val="006B2954"/>
    <w:rsid w:val="006B2ABA"/>
    <w:rsid w:val="006B2BC9"/>
    <w:rsid w:val="006B2D5D"/>
    <w:rsid w:val="006B3419"/>
    <w:rsid w:val="006B3651"/>
    <w:rsid w:val="006B39D8"/>
    <w:rsid w:val="006B3A72"/>
    <w:rsid w:val="006B3F36"/>
    <w:rsid w:val="006B48A5"/>
    <w:rsid w:val="006B4AE2"/>
    <w:rsid w:val="006B511A"/>
    <w:rsid w:val="006B55D1"/>
    <w:rsid w:val="006B565D"/>
    <w:rsid w:val="006B5897"/>
    <w:rsid w:val="006B58B7"/>
    <w:rsid w:val="006B5B2E"/>
    <w:rsid w:val="006B60FE"/>
    <w:rsid w:val="006B615F"/>
    <w:rsid w:val="006B642A"/>
    <w:rsid w:val="006B645F"/>
    <w:rsid w:val="006B64AA"/>
    <w:rsid w:val="006B67AE"/>
    <w:rsid w:val="006B682A"/>
    <w:rsid w:val="006B6934"/>
    <w:rsid w:val="006B6C3D"/>
    <w:rsid w:val="006B6E82"/>
    <w:rsid w:val="006B7713"/>
    <w:rsid w:val="006B7C53"/>
    <w:rsid w:val="006C0001"/>
    <w:rsid w:val="006C047C"/>
    <w:rsid w:val="006C086E"/>
    <w:rsid w:val="006C0A6F"/>
    <w:rsid w:val="006C0C2F"/>
    <w:rsid w:val="006C0E61"/>
    <w:rsid w:val="006C0FF7"/>
    <w:rsid w:val="006C1082"/>
    <w:rsid w:val="006C10F4"/>
    <w:rsid w:val="006C15AD"/>
    <w:rsid w:val="006C1DCD"/>
    <w:rsid w:val="006C20D8"/>
    <w:rsid w:val="006C2C7E"/>
    <w:rsid w:val="006C2D2A"/>
    <w:rsid w:val="006C2DA8"/>
    <w:rsid w:val="006C318E"/>
    <w:rsid w:val="006C3345"/>
    <w:rsid w:val="006C37AD"/>
    <w:rsid w:val="006C39B0"/>
    <w:rsid w:val="006C3D4D"/>
    <w:rsid w:val="006C4008"/>
    <w:rsid w:val="006C4170"/>
    <w:rsid w:val="006C4C1F"/>
    <w:rsid w:val="006C4D7D"/>
    <w:rsid w:val="006C4E09"/>
    <w:rsid w:val="006C4F6B"/>
    <w:rsid w:val="006C505E"/>
    <w:rsid w:val="006C5205"/>
    <w:rsid w:val="006C5282"/>
    <w:rsid w:val="006C5ABE"/>
    <w:rsid w:val="006C5CD1"/>
    <w:rsid w:val="006C5DB9"/>
    <w:rsid w:val="006C5FA5"/>
    <w:rsid w:val="006C6097"/>
    <w:rsid w:val="006C6308"/>
    <w:rsid w:val="006C6464"/>
    <w:rsid w:val="006C65F7"/>
    <w:rsid w:val="006C6ABA"/>
    <w:rsid w:val="006C6F11"/>
    <w:rsid w:val="006C705B"/>
    <w:rsid w:val="006C725D"/>
    <w:rsid w:val="006C73EF"/>
    <w:rsid w:val="006C7904"/>
    <w:rsid w:val="006C7CA1"/>
    <w:rsid w:val="006C7D2E"/>
    <w:rsid w:val="006D0055"/>
    <w:rsid w:val="006D04BE"/>
    <w:rsid w:val="006D06BD"/>
    <w:rsid w:val="006D0A69"/>
    <w:rsid w:val="006D0B5C"/>
    <w:rsid w:val="006D0F86"/>
    <w:rsid w:val="006D13F0"/>
    <w:rsid w:val="006D15BC"/>
    <w:rsid w:val="006D16A6"/>
    <w:rsid w:val="006D226D"/>
    <w:rsid w:val="006D27E5"/>
    <w:rsid w:val="006D2826"/>
    <w:rsid w:val="006D29BE"/>
    <w:rsid w:val="006D2DAE"/>
    <w:rsid w:val="006D2E88"/>
    <w:rsid w:val="006D336D"/>
    <w:rsid w:val="006D35B7"/>
    <w:rsid w:val="006D37B6"/>
    <w:rsid w:val="006D3C31"/>
    <w:rsid w:val="006D4020"/>
    <w:rsid w:val="006D405E"/>
    <w:rsid w:val="006D43E3"/>
    <w:rsid w:val="006D445E"/>
    <w:rsid w:val="006D467E"/>
    <w:rsid w:val="006D4B04"/>
    <w:rsid w:val="006D50B5"/>
    <w:rsid w:val="006D55A6"/>
    <w:rsid w:val="006D5F9D"/>
    <w:rsid w:val="006D6064"/>
    <w:rsid w:val="006D608C"/>
    <w:rsid w:val="006D63B0"/>
    <w:rsid w:val="006D64D2"/>
    <w:rsid w:val="006D6B71"/>
    <w:rsid w:val="006D6D21"/>
    <w:rsid w:val="006D6F4E"/>
    <w:rsid w:val="006D6FA6"/>
    <w:rsid w:val="006D712F"/>
    <w:rsid w:val="006D73EC"/>
    <w:rsid w:val="006D75EF"/>
    <w:rsid w:val="006D75F7"/>
    <w:rsid w:val="006D7619"/>
    <w:rsid w:val="006D773A"/>
    <w:rsid w:val="006D7E3C"/>
    <w:rsid w:val="006E00C2"/>
    <w:rsid w:val="006E03E5"/>
    <w:rsid w:val="006E03F1"/>
    <w:rsid w:val="006E0532"/>
    <w:rsid w:val="006E0758"/>
    <w:rsid w:val="006E0C17"/>
    <w:rsid w:val="006E0D94"/>
    <w:rsid w:val="006E1115"/>
    <w:rsid w:val="006E161B"/>
    <w:rsid w:val="006E187A"/>
    <w:rsid w:val="006E1AA7"/>
    <w:rsid w:val="006E1C51"/>
    <w:rsid w:val="006E1F56"/>
    <w:rsid w:val="006E2301"/>
    <w:rsid w:val="006E2519"/>
    <w:rsid w:val="006E2A80"/>
    <w:rsid w:val="006E2E13"/>
    <w:rsid w:val="006E3298"/>
    <w:rsid w:val="006E32C8"/>
    <w:rsid w:val="006E3332"/>
    <w:rsid w:val="006E33D5"/>
    <w:rsid w:val="006E3A5C"/>
    <w:rsid w:val="006E3D6A"/>
    <w:rsid w:val="006E4000"/>
    <w:rsid w:val="006E427D"/>
    <w:rsid w:val="006E4306"/>
    <w:rsid w:val="006E4408"/>
    <w:rsid w:val="006E48CA"/>
    <w:rsid w:val="006E493A"/>
    <w:rsid w:val="006E49D4"/>
    <w:rsid w:val="006E4EBE"/>
    <w:rsid w:val="006E51FA"/>
    <w:rsid w:val="006E5373"/>
    <w:rsid w:val="006E5634"/>
    <w:rsid w:val="006E592A"/>
    <w:rsid w:val="006E5AC6"/>
    <w:rsid w:val="006E5BCF"/>
    <w:rsid w:val="006E5DBE"/>
    <w:rsid w:val="006E6AAE"/>
    <w:rsid w:val="006E6B45"/>
    <w:rsid w:val="006E6B90"/>
    <w:rsid w:val="006E75C3"/>
    <w:rsid w:val="006E762A"/>
    <w:rsid w:val="006E7844"/>
    <w:rsid w:val="006E79D9"/>
    <w:rsid w:val="006E7A8A"/>
    <w:rsid w:val="006E7AC0"/>
    <w:rsid w:val="006E7C1B"/>
    <w:rsid w:val="006E7F3E"/>
    <w:rsid w:val="006F01C8"/>
    <w:rsid w:val="006F07CF"/>
    <w:rsid w:val="006F07D9"/>
    <w:rsid w:val="006F14FA"/>
    <w:rsid w:val="006F1C88"/>
    <w:rsid w:val="006F1C9D"/>
    <w:rsid w:val="006F2EBC"/>
    <w:rsid w:val="006F2EF8"/>
    <w:rsid w:val="006F3286"/>
    <w:rsid w:val="006F33D2"/>
    <w:rsid w:val="006F349A"/>
    <w:rsid w:val="006F34D6"/>
    <w:rsid w:val="006F3580"/>
    <w:rsid w:val="006F3597"/>
    <w:rsid w:val="006F394A"/>
    <w:rsid w:val="006F3CD5"/>
    <w:rsid w:val="006F3E44"/>
    <w:rsid w:val="006F4282"/>
    <w:rsid w:val="006F42B2"/>
    <w:rsid w:val="006F42CC"/>
    <w:rsid w:val="006F450C"/>
    <w:rsid w:val="006F4716"/>
    <w:rsid w:val="006F4946"/>
    <w:rsid w:val="006F51FD"/>
    <w:rsid w:val="006F522D"/>
    <w:rsid w:val="006F555C"/>
    <w:rsid w:val="006F5599"/>
    <w:rsid w:val="006F5F40"/>
    <w:rsid w:val="006F656B"/>
    <w:rsid w:val="006F6D43"/>
    <w:rsid w:val="006F723C"/>
    <w:rsid w:val="006F796B"/>
    <w:rsid w:val="006F7DDD"/>
    <w:rsid w:val="006F7FB1"/>
    <w:rsid w:val="007000CA"/>
    <w:rsid w:val="00700608"/>
    <w:rsid w:val="007006B6"/>
    <w:rsid w:val="007007DA"/>
    <w:rsid w:val="007008AB"/>
    <w:rsid w:val="0070096D"/>
    <w:rsid w:val="00700D39"/>
    <w:rsid w:val="007011F2"/>
    <w:rsid w:val="0070179F"/>
    <w:rsid w:val="007020A6"/>
    <w:rsid w:val="00702258"/>
    <w:rsid w:val="00702377"/>
    <w:rsid w:val="007025F7"/>
    <w:rsid w:val="007026BE"/>
    <w:rsid w:val="00702DEA"/>
    <w:rsid w:val="00702FB5"/>
    <w:rsid w:val="00703E17"/>
    <w:rsid w:val="007045B3"/>
    <w:rsid w:val="007045BC"/>
    <w:rsid w:val="0070464D"/>
    <w:rsid w:val="007049BD"/>
    <w:rsid w:val="00704BA1"/>
    <w:rsid w:val="00704D59"/>
    <w:rsid w:val="00704E33"/>
    <w:rsid w:val="007053AD"/>
    <w:rsid w:val="00705888"/>
    <w:rsid w:val="007058F3"/>
    <w:rsid w:val="00705A09"/>
    <w:rsid w:val="00705CE7"/>
    <w:rsid w:val="00705FE7"/>
    <w:rsid w:val="007062D4"/>
    <w:rsid w:val="007063D2"/>
    <w:rsid w:val="00706420"/>
    <w:rsid w:val="0070686A"/>
    <w:rsid w:val="00706D9A"/>
    <w:rsid w:val="00706DEC"/>
    <w:rsid w:val="00706EF8"/>
    <w:rsid w:val="0070754D"/>
    <w:rsid w:val="007076BE"/>
    <w:rsid w:val="007078A1"/>
    <w:rsid w:val="00707A17"/>
    <w:rsid w:val="00707C06"/>
    <w:rsid w:val="00707D0B"/>
    <w:rsid w:val="00707D7A"/>
    <w:rsid w:val="0071063F"/>
    <w:rsid w:val="0071077F"/>
    <w:rsid w:val="007107D1"/>
    <w:rsid w:val="00710966"/>
    <w:rsid w:val="00710A55"/>
    <w:rsid w:val="00710DFC"/>
    <w:rsid w:val="00710F9C"/>
    <w:rsid w:val="007110EB"/>
    <w:rsid w:val="0071126C"/>
    <w:rsid w:val="007117B9"/>
    <w:rsid w:val="00711D2B"/>
    <w:rsid w:val="00711F61"/>
    <w:rsid w:val="0071216E"/>
    <w:rsid w:val="0071246B"/>
    <w:rsid w:val="007127D0"/>
    <w:rsid w:val="00712BFE"/>
    <w:rsid w:val="00712CAE"/>
    <w:rsid w:val="00712DE9"/>
    <w:rsid w:val="00712E0B"/>
    <w:rsid w:val="00712ED8"/>
    <w:rsid w:val="00713067"/>
    <w:rsid w:val="0071316F"/>
    <w:rsid w:val="00713176"/>
    <w:rsid w:val="007138B9"/>
    <w:rsid w:val="00713A97"/>
    <w:rsid w:val="00713ACF"/>
    <w:rsid w:val="00713C57"/>
    <w:rsid w:val="00713D52"/>
    <w:rsid w:val="00713FB1"/>
    <w:rsid w:val="0071400B"/>
    <w:rsid w:val="00714028"/>
    <w:rsid w:val="00714548"/>
    <w:rsid w:val="007146EE"/>
    <w:rsid w:val="00714860"/>
    <w:rsid w:val="00714FB6"/>
    <w:rsid w:val="007155FA"/>
    <w:rsid w:val="007159AB"/>
    <w:rsid w:val="007159AD"/>
    <w:rsid w:val="00715A51"/>
    <w:rsid w:val="00715DA8"/>
    <w:rsid w:val="00716355"/>
    <w:rsid w:val="00716603"/>
    <w:rsid w:val="0071668E"/>
    <w:rsid w:val="00716C0B"/>
    <w:rsid w:val="00717653"/>
    <w:rsid w:val="0071766C"/>
    <w:rsid w:val="00717725"/>
    <w:rsid w:val="007179D3"/>
    <w:rsid w:val="00717B61"/>
    <w:rsid w:val="007200E5"/>
    <w:rsid w:val="00720797"/>
    <w:rsid w:val="00720DF8"/>
    <w:rsid w:val="00720FA4"/>
    <w:rsid w:val="0072107E"/>
    <w:rsid w:val="0072112F"/>
    <w:rsid w:val="00721170"/>
    <w:rsid w:val="00721293"/>
    <w:rsid w:val="007213AB"/>
    <w:rsid w:val="007216A0"/>
    <w:rsid w:val="0072186A"/>
    <w:rsid w:val="00721A0F"/>
    <w:rsid w:val="00722122"/>
    <w:rsid w:val="0072269B"/>
    <w:rsid w:val="00722BAF"/>
    <w:rsid w:val="00722EC3"/>
    <w:rsid w:val="00722F49"/>
    <w:rsid w:val="007232FD"/>
    <w:rsid w:val="00723354"/>
    <w:rsid w:val="00723585"/>
    <w:rsid w:val="007237A6"/>
    <w:rsid w:val="007237EC"/>
    <w:rsid w:val="00723811"/>
    <w:rsid w:val="00723BBC"/>
    <w:rsid w:val="00723D3B"/>
    <w:rsid w:val="0072400F"/>
    <w:rsid w:val="007240E5"/>
    <w:rsid w:val="0072413D"/>
    <w:rsid w:val="00724145"/>
    <w:rsid w:val="00724633"/>
    <w:rsid w:val="00724677"/>
    <w:rsid w:val="00724704"/>
    <w:rsid w:val="00724EFC"/>
    <w:rsid w:val="00725343"/>
    <w:rsid w:val="00725792"/>
    <w:rsid w:val="00725926"/>
    <w:rsid w:val="00725D51"/>
    <w:rsid w:val="00725E11"/>
    <w:rsid w:val="00725E3B"/>
    <w:rsid w:val="00726010"/>
    <w:rsid w:val="00726091"/>
    <w:rsid w:val="007261CA"/>
    <w:rsid w:val="0072638F"/>
    <w:rsid w:val="007263BE"/>
    <w:rsid w:val="00726425"/>
    <w:rsid w:val="00726486"/>
    <w:rsid w:val="007265DB"/>
    <w:rsid w:val="007266D8"/>
    <w:rsid w:val="00726A74"/>
    <w:rsid w:val="00727369"/>
    <w:rsid w:val="00727C46"/>
    <w:rsid w:val="00730B71"/>
    <w:rsid w:val="007314DB"/>
    <w:rsid w:val="007317CF"/>
    <w:rsid w:val="00731A01"/>
    <w:rsid w:val="00731E5E"/>
    <w:rsid w:val="0073231C"/>
    <w:rsid w:val="0073249B"/>
    <w:rsid w:val="007329DF"/>
    <w:rsid w:val="00732AAD"/>
    <w:rsid w:val="00732C3A"/>
    <w:rsid w:val="00732CE7"/>
    <w:rsid w:val="00732D03"/>
    <w:rsid w:val="00732E29"/>
    <w:rsid w:val="007331E5"/>
    <w:rsid w:val="00733610"/>
    <w:rsid w:val="0073361E"/>
    <w:rsid w:val="00733790"/>
    <w:rsid w:val="0073384C"/>
    <w:rsid w:val="00733B9F"/>
    <w:rsid w:val="00733D76"/>
    <w:rsid w:val="00734201"/>
    <w:rsid w:val="007342A3"/>
    <w:rsid w:val="00734AE8"/>
    <w:rsid w:val="00734C12"/>
    <w:rsid w:val="00735244"/>
    <w:rsid w:val="00735886"/>
    <w:rsid w:val="00735D6E"/>
    <w:rsid w:val="00735F98"/>
    <w:rsid w:val="00736155"/>
    <w:rsid w:val="0073667D"/>
    <w:rsid w:val="00736683"/>
    <w:rsid w:val="00736B43"/>
    <w:rsid w:val="00736BEF"/>
    <w:rsid w:val="007370CB"/>
    <w:rsid w:val="007370F5"/>
    <w:rsid w:val="0073729D"/>
    <w:rsid w:val="00737568"/>
    <w:rsid w:val="007375FE"/>
    <w:rsid w:val="00737B40"/>
    <w:rsid w:val="00737B4B"/>
    <w:rsid w:val="00737E1D"/>
    <w:rsid w:val="00737E7A"/>
    <w:rsid w:val="00737F89"/>
    <w:rsid w:val="00740041"/>
    <w:rsid w:val="0074097C"/>
    <w:rsid w:val="00740BC0"/>
    <w:rsid w:val="00741288"/>
    <w:rsid w:val="007412B1"/>
    <w:rsid w:val="007414BB"/>
    <w:rsid w:val="00741AA3"/>
    <w:rsid w:val="00741BB1"/>
    <w:rsid w:val="00741FEF"/>
    <w:rsid w:val="00742150"/>
    <w:rsid w:val="00742184"/>
    <w:rsid w:val="00742375"/>
    <w:rsid w:val="00742594"/>
    <w:rsid w:val="007428FE"/>
    <w:rsid w:val="00742CB9"/>
    <w:rsid w:val="00742D29"/>
    <w:rsid w:val="00742E0B"/>
    <w:rsid w:val="00743446"/>
    <w:rsid w:val="00743787"/>
    <w:rsid w:val="0074396B"/>
    <w:rsid w:val="00743A61"/>
    <w:rsid w:val="00743C7A"/>
    <w:rsid w:val="007442B6"/>
    <w:rsid w:val="00744438"/>
    <w:rsid w:val="0074450B"/>
    <w:rsid w:val="00744619"/>
    <w:rsid w:val="00744746"/>
    <w:rsid w:val="00744D4C"/>
    <w:rsid w:val="007451C2"/>
    <w:rsid w:val="00745316"/>
    <w:rsid w:val="00745588"/>
    <w:rsid w:val="007459E9"/>
    <w:rsid w:val="00745A9B"/>
    <w:rsid w:val="00745C29"/>
    <w:rsid w:val="00745F41"/>
    <w:rsid w:val="0074601F"/>
    <w:rsid w:val="007460CB"/>
    <w:rsid w:val="007466C8"/>
    <w:rsid w:val="007467FD"/>
    <w:rsid w:val="007469D1"/>
    <w:rsid w:val="00746D26"/>
    <w:rsid w:val="00747406"/>
    <w:rsid w:val="00747567"/>
    <w:rsid w:val="0074777A"/>
    <w:rsid w:val="00747DE1"/>
    <w:rsid w:val="00747FBE"/>
    <w:rsid w:val="0075000A"/>
    <w:rsid w:val="00750407"/>
    <w:rsid w:val="007504CC"/>
    <w:rsid w:val="007507A5"/>
    <w:rsid w:val="007507C5"/>
    <w:rsid w:val="00750ED3"/>
    <w:rsid w:val="007514D6"/>
    <w:rsid w:val="00751635"/>
    <w:rsid w:val="00751736"/>
    <w:rsid w:val="007519BF"/>
    <w:rsid w:val="00751AAB"/>
    <w:rsid w:val="00751B4D"/>
    <w:rsid w:val="00751E56"/>
    <w:rsid w:val="00751FAE"/>
    <w:rsid w:val="00752F47"/>
    <w:rsid w:val="00753018"/>
    <w:rsid w:val="0075337F"/>
    <w:rsid w:val="00753653"/>
    <w:rsid w:val="00753749"/>
    <w:rsid w:val="00753BBF"/>
    <w:rsid w:val="00753D2B"/>
    <w:rsid w:val="00753FD0"/>
    <w:rsid w:val="00754140"/>
    <w:rsid w:val="0075414D"/>
    <w:rsid w:val="007541BF"/>
    <w:rsid w:val="00754494"/>
    <w:rsid w:val="007546A6"/>
    <w:rsid w:val="00754C55"/>
    <w:rsid w:val="00754CE8"/>
    <w:rsid w:val="007551A1"/>
    <w:rsid w:val="00755760"/>
    <w:rsid w:val="00755A7A"/>
    <w:rsid w:val="00755C54"/>
    <w:rsid w:val="00755CF9"/>
    <w:rsid w:val="00755EC5"/>
    <w:rsid w:val="00756054"/>
    <w:rsid w:val="007561AB"/>
    <w:rsid w:val="0075631C"/>
    <w:rsid w:val="0075673D"/>
    <w:rsid w:val="0075693C"/>
    <w:rsid w:val="00757072"/>
    <w:rsid w:val="0075724A"/>
    <w:rsid w:val="00757323"/>
    <w:rsid w:val="007575DA"/>
    <w:rsid w:val="0075771C"/>
    <w:rsid w:val="00757748"/>
    <w:rsid w:val="00757D66"/>
    <w:rsid w:val="00760304"/>
    <w:rsid w:val="00761071"/>
    <w:rsid w:val="007615A8"/>
    <w:rsid w:val="0076171F"/>
    <w:rsid w:val="007617CA"/>
    <w:rsid w:val="00761C80"/>
    <w:rsid w:val="007628D6"/>
    <w:rsid w:val="0076298D"/>
    <w:rsid w:val="00762B1D"/>
    <w:rsid w:val="007636E9"/>
    <w:rsid w:val="0076389C"/>
    <w:rsid w:val="00763923"/>
    <w:rsid w:val="00763B0F"/>
    <w:rsid w:val="00763FD8"/>
    <w:rsid w:val="00764064"/>
    <w:rsid w:val="007648E6"/>
    <w:rsid w:val="00764A50"/>
    <w:rsid w:val="00764F77"/>
    <w:rsid w:val="0076552D"/>
    <w:rsid w:val="007656A6"/>
    <w:rsid w:val="0076587F"/>
    <w:rsid w:val="00765AB9"/>
    <w:rsid w:val="00765E73"/>
    <w:rsid w:val="0076635B"/>
    <w:rsid w:val="00766444"/>
    <w:rsid w:val="007664AD"/>
    <w:rsid w:val="00766C9A"/>
    <w:rsid w:val="00766F94"/>
    <w:rsid w:val="0076714C"/>
    <w:rsid w:val="0076742B"/>
    <w:rsid w:val="00767677"/>
    <w:rsid w:val="00767A2E"/>
    <w:rsid w:val="00767AE0"/>
    <w:rsid w:val="00767B15"/>
    <w:rsid w:val="00767D32"/>
    <w:rsid w:val="0077074E"/>
    <w:rsid w:val="00770C20"/>
    <w:rsid w:val="00770DB2"/>
    <w:rsid w:val="007710F1"/>
    <w:rsid w:val="00771878"/>
    <w:rsid w:val="0077238D"/>
    <w:rsid w:val="007723EE"/>
    <w:rsid w:val="00772925"/>
    <w:rsid w:val="00772955"/>
    <w:rsid w:val="00772A84"/>
    <w:rsid w:val="00772AB8"/>
    <w:rsid w:val="00772EC8"/>
    <w:rsid w:val="007732ED"/>
    <w:rsid w:val="007733CB"/>
    <w:rsid w:val="007734AB"/>
    <w:rsid w:val="0077389F"/>
    <w:rsid w:val="007738C8"/>
    <w:rsid w:val="00773A2D"/>
    <w:rsid w:val="00773D1B"/>
    <w:rsid w:val="00773D91"/>
    <w:rsid w:val="00774757"/>
    <w:rsid w:val="0077491A"/>
    <w:rsid w:val="00774A10"/>
    <w:rsid w:val="00774C45"/>
    <w:rsid w:val="00774ED6"/>
    <w:rsid w:val="0077510B"/>
    <w:rsid w:val="00775183"/>
    <w:rsid w:val="0077523C"/>
    <w:rsid w:val="0077557E"/>
    <w:rsid w:val="007755B4"/>
    <w:rsid w:val="00775A6F"/>
    <w:rsid w:val="00775B82"/>
    <w:rsid w:val="00775E0E"/>
    <w:rsid w:val="00775FA7"/>
    <w:rsid w:val="007761BA"/>
    <w:rsid w:val="00776226"/>
    <w:rsid w:val="0077643B"/>
    <w:rsid w:val="00776AC8"/>
    <w:rsid w:val="00776EA2"/>
    <w:rsid w:val="00777460"/>
    <w:rsid w:val="0077771C"/>
    <w:rsid w:val="007777E0"/>
    <w:rsid w:val="0077785F"/>
    <w:rsid w:val="00777B09"/>
    <w:rsid w:val="00777B4A"/>
    <w:rsid w:val="00777CE4"/>
    <w:rsid w:val="00777D71"/>
    <w:rsid w:val="0078003C"/>
    <w:rsid w:val="007800D2"/>
    <w:rsid w:val="0078078D"/>
    <w:rsid w:val="007808F3"/>
    <w:rsid w:val="00780D24"/>
    <w:rsid w:val="00780D3F"/>
    <w:rsid w:val="00780F05"/>
    <w:rsid w:val="00781054"/>
    <w:rsid w:val="00781323"/>
    <w:rsid w:val="0078136A"/>
    <w:rsid w:val="007813DA"/>
    <w:rsid w:val="007817FC"/>
    <w:rsid w:val="00781834"/>
    <w:rsid w:val="00781967"/>
    <w:rsid w:val="00781D61"/>
    <w:rsid w:val="00781E44"/>
    <w:rsid w:val="00782B9C"/>
    <w:rsid w:val="00782EB2"/>
    <w:rsid w:val="007830A4"/>
    <w:rsid w:val="00783383"/>
    <w:rsid w:val="007834F0"/>
    <w:rsid w:val="0078358E"/>
    <w:rsid w:val="00783D82"/>
    <w:rsid w:val="00783E4C"/>
    <w:rsid w:val="00784010"/>
    <w:rsid w:val="00784974"/>
    <w:rsid w:val="007849CC"/>
    <w:rsid w:val="00784BE2"/>
    <w:rsid w:val="00784E04"/>
    <w:rsid w:val="007850EF"/>
    <w:rsid w:val="0078533C"/>
    <w:rsid w:val="00785920"/>
    <w:rsid w:val="00785A57"/>
    <w:rsid w:val="00785BB4"/>
    <w:rsid w:val="00785F28"/>
    <w:rsid w:val="0078623F"/>
    <w:rsid w:val="0078634A"/>
    <w:rsid w:val="007864C6"/>
    <w:rsid w:val="007864D8"/>
    <w:rsid w:val="007865A6"/>
    <w:rsid w:val="0078660E"/>
    <w:rsid w:val="00786B4C"/>
    <w:rsid w:val="00787015"/>
    <w:rsid w:val="00787072"/>
    <w:rsid w:val="00787201"/>
    <w:rsid w:val="0078768E"/>
    <w:rsid w:val="00787846"/>
    <w:rsid w:val="00787936"/>
    <w:rsid w:val="007879D2"/>
    <w:rsid w:val="00787B71"/>
    <w:rsid w:val="00787F54"/>
    <w:rsid w:val="00790163"/>
    <w:rsid w:val="007901A9"/>
    <w:rsid w:val="00790364"/>
    <w:rsid w:val="007907EB"/>
    <w:rsid w:val="0079083D"/>
    <w:rsid w:val="00791620"/>
    <w:rsid w:val="007918D0"/>
    <w:rsid w:val="00791BBE"/>
    <w:rsid w:val="00791EC8"/>
    <w:rsid w:val="0079248D"/>
    <w:rsid w:val="00792692"/>
    <w:rsid w:val="007926A7"/>
    <w:rsid w:val="007928E3"/>
    <w:rsid w:val="00792940"/>
    <w:rsid w:val="00792C2E"/>
    <w:rsid w:val="00793013"/>
    <w:rsid w:val="00793642"/>
    <w:rsid w:val="00793BB4"/>
    <w:rsid w:val="00793EF5"/>
    <w:rsid w:val="007946F8"/>
    <w:rsid w:val="007947FC"/>
    <w:rsid w:val="007948DD"/>
    <w:rsid w:val="007956FE"/>
    <w:rsid w:val="00795716"/>
    <w:rsid w:val="00795801"/>
    <w:rsid w:val="007958E0"/>
    <w:rsid w:val="00795922"/>
    <w:rsid w:val="00795952"/>
    <w:rsid w:val="00795DCF"/>
    <w:rsid w:val="007960D2"/>
    <w:rsid w:val="0079611D"/>
    <w:rsid w:val="00796418"/>
    <w:rsid w:val="0079644D"/>
    <w:rsid w:val="0079666E"/>
    <w:rsid w:val="00796E41"/>
    <w:rsid w:val="0079707B"/>
    <w:rsid w:val="00797292"/>
    <w:rsid w:val="00797376"/>
    <w:rsid w:val="007974BE"/>
    <w:rsid w:val="00797530"/>
    <w:rsid w:val="007975AF"/>
    <w:rsid w:val="00797718"/>
    <w:rsid w:val="00797772"/>
    <w:rsid w:val="00797BBF"/>
    <w:rsid w:val="00797F73"/>
    <w:rsid w:val="007A0149"/>
    <w:rsid w:val="007A0300"/>
    <w:rsid w:val="007A0600"/>
    <w:rsid w:val="007A0A92"/>
    <w:rsid w:val="007A0C42"/>
    <w:rsid w:val="007A0D33"/>
    <w:rsid w:val="007A0FE4"/>
    <w:rsid w:val="007A1251"/>
    <w:rsid w:val="007A172B"/>
    <w:rsid w:val="007A1C12"/>
    <w:rsid w:val="007A1CCD"/>
    <w:rsid w:val="007A218D"/>
    <w:rsid w:val="007A26EB"/>
    <w:rsid w:val="007A2765"/>
    <w:rsid w:val="007A2928"/>
    <w:rsid w:val="007A2C93"/>
    <w:rsid w:val="007A2DC2"/>
    <w:rsid w:val="007A2E8D"/>
    <w:rsid w:val="007A2F35"/>
    <w:rsid w:val="007A2FB2"/>
    <w:rsid w:val="007A3527"/>
    <w:rsid w:val="007A3A0C"/>
    <w:rsid w:val="007A3E86"/>
    <w:rsid w:val="007A3EF6"/>
    <w:rsid w:val="007A42AB"/>
    <w:rsid w:val="007A5361"/>
    <w:rsid w:val="007A5477"/>
    <w:rsid w:val="007A56CD"/>
    <w:rsid w:val="007A57D1"/>
    <w:rsid w:val="007A57E0"/>
    <w:rsid w:val="007A58A1"/>
    <w:rsid w:val="007A59AE"/>
    <w:rsid w:val="007A5A70"/>
    <w:rsid w:val="007A5B39"/>
    <w:rsid w:val="007A5B48"/>
    <w:rsid w:val="007A6223"/>
    <w:rsid w:val="007A635B"/>
    <w:rsid w:val="007A6562"/>
    <w:rsid w:val="007A68B0"/>
    <w:rsid w:val="007A69DD"/>
    <w:rsid w:val="007A6AEF"/>
    <w:rsid w:val="007A7130"/>
    <w:rsid w:val="007A723D"/>
    <w:rsid w:val="007A7242"/>
    <w:rsid w:val="007A726B"/>
    <w:rsid w:val="007A74D7"/>
    <w:rsid w:val="007A753F"/>
    <w:rsid w:val="007A75A1"/>
    <w:rsid w:val="007A7605"/>
    <w:rsid w:val="007A7779"/>
    <w:rsid w:val="007A782A"/>
    <w:rsid w:val="007A7C43"/>
    <w:rsid w:val="007A7EBD"/>
    <w:rsid w:val="007B0056"/>
    <w:rsid w:val="007B064E"/>
    <w:rsid w:val="007B089E"/>
    <w:rsid w:val="007B0A47"/>
    <w:rsid w:val="007B0D48"/>
    <w:rsid w:val="007B0F41"/>
    <w:rsid w:val="007B116C"/>
    <w:rsid w:val="007B11DC"/>
    <w:rsid w:val="007B11E9"/>
    <w:rsid w:val="007B1315"/>
    <w:rsid w:val="007B1697"/>
    <w:rsid w:val="007B1708"/>
    <w:rsid w:val="007B1739"/>
    <w:rsid w:val="007B22B7"/>
    <w:rsid w:val="007B23A3"/>
    <w:rsid w:val="007B2437"/>
    <w:rsid w:val="007B24D7"/>
    <w:rsid w:val="007B2A01"/>
    <w:rsid w:val="007B2AC9"/>
    <w:rsid w:val="007B2FA0"/>
    <w:rsid w:val="007B30CB"/>
    <w:rsid w:val="007B3711"/>
    <w:rsid w:val="007B3A02"/>
    <w:rsid w:val="007B3DA0"/>
    <w:rsid w:val="007B3F40"/>
    <w:rsid w:val="007B47A8"/>
    <w:rsid w:val="007B4F8F"/>
    <w:rsid w:val="007B5183"/>
    <w:rsid w:val="007B54D6"/>
    <w:rsid w:val="007B5525"/>
    <w:rsid w:val="007B59ED"/>
    <w:rsid w:val="007B5DC6"/>
    <w:rsid w:val="007B5E3B"/>
    <w:rsid w:val="007B6911"/>
    <w:rsid w:val="007B6D3C"/>
    <w:rsid w:val="007B6FA6"/>
    <w:rsid w:val="007B6FD4"/>
    <w:rsid w:val="007B7049"/>
    <w:rsid w:val="007B71B0"/>
    <w:rsid w:val="007B7528"/>
    <w:rsid w:val="007B76F7"/>
    <w:rsid w:val="007B7997"/>
    <w:rsid w:val="007B79BC"/>
    <w:rsid w:val="007B7BB8"/>
    <w:rsid w:val="007B7E08"/>
    <w:rsid w:val="007C00F9"/>
    <w:rsid w:val="007C0167"/>
    <w:rsid w:val="007C05BE"/>
    <w:rsid w:val="007C0CCE"/>
    <w:rsid w:val="007C0E62"/>
    <w:rsid w:val="007C0EC7"/>
    <w:rsid w:val="007C0ED6"/>
    <w:rsid w:val="007C1280"/>
    <w:rsid w:val="007C12CF"/>
    <w:rsid w:val="007C180E"/>
    <w:rsid w:val="007C1836"/>
    <w:rsid w:val="007C1A4A"/>
    <w:rsid w:val="007C1B7E"/>
    <w:rsid w:val="007C216B"/>
    <w:rsid w:val="007C22C6"/>
    <w:rsid w:val="007C283D"/>
    <w:rsid w:val="007C2888"/>
    <w:rsid w:val="007C2ABD"/>
    <w:rsid w:val="007C2E24"/>
    <w:rsid w:val="007C2E9D"/>
    <w:rsid w:val="007C2EC5"/>
    <w:rsid w:val="007C3620"/>
    <w:rsid w:val="007C3648"/>
    <w:rsid w:val="007C398F"/>
    <w:rsid w:val="007C39A1"/>
    <w:rsid w:val="007C3BC9"/>
    <w:rsid w:val="007C413F"/>
    <w:rsid w:val="007C42F0"/>
    <w:rsid w:val="007C47BE"/>
    <w:rsid w:val="007C497D"/>
    <w:rsid w:val="007C4DDD"/>
    <w:rsid w:val="007C588D"/>
    <w:rsid w:val="007C5DF5"/>
    <w:rsid w:val="007C5EDD"/>
    <w:rsid w:val="007C6244"/>
    <w:rsid w:val="007C653A"/>
    <w:rsid w:val="007C65C7"/>
    <w:rsid w:val="007C6613"/>
    <w:rsid w:val="007C681D"/>
    <w:rsid w:val="007C6E7A"/>
    <w:rsid w:val="007C706D"/>
    <w:rsid w:val="007C70E0"/>
    <w:rsid w:val="007C74C7"/>
    <w:rsid w:val="007C7903"/>
    <w:rsid w:val="007C7D58"/>
    <w:rsid w:val="007C7FE3"/>
    <w:rsid w:val="007D0427"/>
    <w:rsid w:val="007D0894"/>
    <w:rsid w:val="007D0C32"/>
    <w:rsid w:val="007D0DB2"/>
    <w:rsid w:val="007D0EC2"/>
    <w:rsid w:val="007D111E"/>
    <w:rsid w:val="007D132F"/>
    <w:rsid w:val="007D1536"/>
    <w:rsid w:val="007D1582"/>
    <w:rsid w:val="007D1677"/>
    <w:rsid w:val="007D169E"/>
    <w:rsid w:val="007D1892"/>
    <w:rsid w:val="007D1E29"/>
    <w:rsid w:val="007D2020"/>
    <w:rsid w:val="007D20CF"/>
    <w:rsid w:val="007D230B"/>
    <w:rsid w:val="007D278E"/>
    <w:rsid w:val="007D27C7"/>
    <w:rsid w:val="007D2872"/>
    <w:rsid w:val="007D29A2"/>
    <w:rsid w:val="007D2A7B"/>
    <w:rsid w:val="007D2C1C"/>
    <w:rsid w:val="007D2E5D"/>
    <w:rsid w:val="007D3115"/>
    <w:rsid w:val="007D3326"/>
    <w:rsid w:val="007D34C2"/>
    <w:rsid w:val="007D4056"/>
    <w:rsid w:val="007D40EC"/>
    <w:rsid w:val="007D4123"/>
    <w:rsid w:val="007D41B9"/>
    <w:rsid w:val="007D4A7B"/>
    <w:rsid w:val="007D4AE5"/>
    <w:rsid w:val="007D4CA7"/>
    <w:rsid w:val="007D4FAA"/>
    <w:rsid w:val="007D550F"/>
    <w:rsid w:val="007D55B6"/>
    <w:rsid w:val="007D5702"/>
    <w:rsid w:val="007D5AB4"/>
    <w:rsid w:val="007D5D7F"/>
    <w:rsid w:val="007D5D8A"/>
    <w:rsid w:val="007D5E60"/>
    <w:rsid w:val="007D673C"/>
    <w:rsid w:val="007D6965"/>
    <w:rsid w:val="007D6B41"/>
    <w:rsid w:val="007D6EE7"/>
    <w:rsid w:val="007D7136"/>
    <w:rsid w:val="007D72DD"/>
    <w:rsid w:val="007D77C0"/>
    <w:rsid w:val="007D7D1A"/>
    <w:rsid w:val="007D7F8F"/>
    <w:rsid w:val="007E0122"/>
    <w:rsid w:val="007E0330"/>
    <w:rsid w:val="007E0336"/>
    <w:rsid w:val="007E0AC9"/>
    <w:rsid w:val="007E0BC3"/>
    <w:rsid w:val="007E0C4F"/>
    <w:rsid w:val="007E0E30"/>
    <w:rsid w:val="007E10DE"/>
    <w:rsid w:val="007E1175"/>
    <w:rsid w:val="007E18B5"/>
    <w:rsid w:val="007E1D2A"/>
    <w:rsid w:val="007E2417"/>
    <w:rsid w:val="007E27BD"/>
    <w:rsid w:val="007E2DCF"/>
    <w:rsid w:val="007E2FFA"/>
    <w:rsid w:val="007E3659"/>
    <w:rsid w:val="007E3AA2"/>
    <w:rsid w:val="007E3CBE"/>
    <w:rsid w:val="007E3D0C"/>
    <w:rsid w:val="007E3DD6"/>
    <w:rsid w:val="007E4211"/>
    <w:rsid w:val="007E42BE"/>
    <w:rsid w:val="007E42F5"/>
    <w:rsid w:val="007E43C9"/>
    <w:rsid w:val="007E4848"/>
    <w:rsid w:val="007E4B3D"/>
    <w:rsid w:val="007E4F69"/>
    <w:rsid w:val="007E574A"/>
    <w:rsid w:val="007E57CD"/>
    <w:rsid w:val="007E58A4"/>
    <w:rsid w:val="007E5CA4"/>
    <w:rsid w:val="007E5D13"/>
    <w:rsid w:val="007E5D3F"/>
    <w:rsid w:val="007E63E6"/>
    <w:rsid w:val="007E6931"/>
    <w:rsid w:val="007E6C37"/>
    <w:rsid w:val="007E6C8D"/>
    <w:rsid w:val="007E6CEE"/>
    <w:rsid w:val="007E7205"/>
    <w:rsid w:val="007F09F8"/>
    <w:rsid w:val="007F16CD"/>
    <w:rsid w:val="007F1901"/>
    <w:rsid w:val="007F1908"/>
    <w:rsid w:val="007F1E17"/>
    <w:rsid w:val="007F1E18"/>
    <w:rsid w:val="007F1F12"/>
    <w:rsid w:val="007F210E"/>
    <w:rsid w:val="007F21AD"/>
    <w:rsid w:val="007F22EC"/>
    <w:rsid w:val="007F25D0"/>
    <w:rsid w:val="007F2C64"/>
    <w:rsid w:val="007F2EF0"/>
    <w:rsid w:val="007F3152"/>
    <w:rsid w:val="007F3513"/>
    <w:rsid w:val="007F35BE"/>
    <w:rsid w:val="007F3A42"/>
    <w:rsid w:val="007F3DBB"/>
    <w:rsid w:val="007F4285"/>
    <w:rsid w:val="007F4362"/>
    <w:rsid w:val="007F4423"/>
    <w:rsid w:val="007F449E"/>
    <w:rsid w:val="007F468E"/>
    <w:rsid w:val="007F46EF"/>
    <w:rsid w:val="007F470A"/>
    <w:rsid w:val="007F4887"/>
    <w:rsid w:val="007F4ED7"/>
    <w:rsid w:val="007F582A"/>
    <w:rsid w:val="007F59EF"/>
    <w:rsid w:val="007F59F4"/>
    <w:rsid w:val="007F5B1C"/>
    <w:rsid w:val="007F5D8F"/>
    <w:rsid w:val="007F5EAD"/>
    <w:rsid w:val="007F6008"/>
    <w:rsid w:val="007F62D2"/>
    <w:rsid w:val="007F64D8"/>
    <w:rsid w:val="007F6559"/>
    <w:rsid w:val="007F655F"/>
    <w:rsid w:val="007F6B7F"/>
    <w:rsid w:val="007F6EE9"/>
    <w:rsid w:val="007F6EEB"/>
    <w:rsid w:val="007F70C9"/>
    <w:rsid w:val="007F7A85"/>
    <w:rsid w:val="007F7B55"/>
    <w:rsid w:val="00800366"/>
    <w:rsid w:val="008003DD"/>
    <w:rsid w:val="00800689"/>
    <w:rsid w:val="0080109F"/>
    <w:rsid w:val="0080146D"/>
    <w:rsid w:val="0080203A"/>
    <w:rsid w:val="008020F8"/>
    <w:rsid w:val="00802115"/>
    <w:rsid w:val="008028B1"/>
    <w:rsid w:val="00802982"/>
    <w:rsid w:val="00802FD4"/>
    <w:rsid w:val="00803593"/>
    <w:rsid w:val="00803614"/>
    <w:rsid w:val="0080363C"/>
    <w:rsid w:val="00803952"/>
    <w:rsid w:val="0080424D"/>
    <w:rsid w:val="008042DE"/>
    <w:rsid w:val="008042EC"/>
    <w:rsid w:val="008044E8"/>
    <w:rsid w:val="00804588"/>
    <w:rsid w:val="008046B5"/>
    <w:rsid w:val="00804BFC"/>
    <w:rsid w:val="00804C6D"/>
    <w:rsid w:val="00804C87"/>
    <w:rsid w:val="00804D95"/>
    <w:rsid w:val="00804EF4"/>
    <w:rsid w:val="008056CF"/>
    <w:rsid w:val="0080574F"/>
    <w:rsid w:val="008057AD"/>
    <w:rsid w:val="00805D33"/>
    <w:rsid w:val="00805F7B"/>
    <w:rsid w:val="00806047"/>
    <w:rsid w:val="008064D9"/>
    <w:rsid w:val="00806568"/>
    <w:rsid w:val="00807279"/>
    <w:rsid w:val="008075EB"/>
    <w:rsid w:val="008076D1"/>
    <w:rsid w:val="0080794B"/>
    <w:rsid w:val="00807A67"/>
    <w:rsid w:val="00807EA9"/>
    <w:rsid w:val="00807F5F"/>
    <w:rsid w:val="00810196"/>
    <w:rsid w:val="0081041A"/>
    <w:rsid w:val="008104DB"/>
    <w:rsid w:val="008109F8"/>
    <w:rsid w:val="00810AD5"/>
    <w:rsid w:val="00810EBA"/>
    <w:rsid w:val="00811192"/>
    <w:rsid w:val="00811575"/>
    <w:rsid w:val="00811645"/>
    <w:rsid w:val="00811843"/>
    <w:rsid w:val="00811DF5"/>
    <w:rsid w:val="00812114"/>
    <w:rsid w:val="008122C4"/>
    <w:rsid w:val="00812401"/>
    <w:rsid w:val="008124CB"/>
    <w:rsid w:val="00812687"/>
    <w:rsid w:val="008126CE"/>
    <w:rsid w:val="00812979"/>
    <w:rsid w:val="00812B73"/>
    <w:rsid w:val="00812C62"/>
    <w:rsid w:val="00812EDF"/>
    <w:rsid w:val="00813100"/>
    <w:rsid w:val="00813780"/>
    <w:rsid w:val="0081392F"/>
    <w:rsid w:val="00813C75"/>
    <w:rsid w:val="00813EDF"/>
    <w:rsid w:val="00814108"/>
    <w:rsid w:val="008144C1"/>
    <w:rsid w:val="0081474D"/>
    <w:rsid w:val="0081477B"/>
    <w:rsid w:val="008148CC"/>
    <w:rsid w:val="00814CDE"/>
    <w:rsid w:val="00814F76"/>
    <w:rsid w:val="00814F8C"/>
    <w:rsid w:val="0081507E"/>
    <w:rsid w:val="00815108"/>
    <w:rsid w:val="00815339"/>
    <w:rsid w:val="00815671"/>
    <w:rsid w:val="008156CF"/>
    <w:rsid w:val="0081587E"/>
    <w:rsid w:val="00815B03"/>
    <w:rsid w:val="00815C2B"/>
    <w:rsid w:val="00816093"/>
    <w:rsid w:val="008161E3"/>
    <w:rsid w:val="008163EA"/>
    <w:rsid w:val="00816834"/>
    <w:rsid w:val="008168D8"/>
    <w:rsid w:val="008169B7"/>
    <w:rsid w:val="008169F0"/>
    <w:rsid w:val="00816E6C"/>
    <w:rsid w:val="00816F03"/>
    <w:rsid w:val="00817192"/>
    <w:rsid w:val="008175BE"/>
    <w:rsid w:val="00817DA3"/>
    <w:rsid w:val="00817F0E"/>
    <w:rsid w:val="00820032"/>
    <w:rsid w:val="008201EA"/>
    <w:rsid w:val="0082027B"/>
    <w:rsid w:val="0082031D"/>
    <w:rsid w:val="00820489"/>
    <w:rsid w:val="008204AA"/>
    <w:rsid w:val="0082061E"/>
    <w:rsid w:val="00820DD1"/>
    <w:rsid w:val="00820F57"/>
    <w:rsid w:val="00821227"/>
    <w:rsid w:val="00821902"/>
    <w:rsid w:val="00821948"/>
    <w:rsid w:val="00821ECC"/>
    <w:rsid w:val="00822310"/>
    <w:rsid w:val="008227C5"/>
    <w:rsid w:val="00822903"/>
    <w:rsid w:val="00822BC9"/>
    <w:rsid w:val="00822C32"/>
    <w:rsid w:val="0082310E"/>
    <w:rsid w:val="00823138"/>
    <w:rsid w:val="008231FF"/>
    <w:rsid w:val="008233AF"/>
    <w:rsid w:val="008236DE"/>
    <w:rsid w:val="00823738"/>
    <w:rsid w:val="0082387B"/>
    <w:rsid w:val="00823B1E"/>
    <w:rsid w:val="00823F29"/>
    <w:rsid w:val="0082453F"/>
    <w:rsid w:val="008247C5"/>
    <w:rsid w:val="00824B1E"/>
    <w:rsid w:val="00824CCF"/>
    <w:rsid w:val="00824D0D"/>
    <w:rsid w:val="00825641"/>
    <w:rsid w:val="00825BAA"/>
    <w:rsid w:val="00825C10"/>
    <w:rsid w:val="00825C5D"/>
    <w:rsid w:val="00825C64"/>
    <w:rsid w:val="00825E99"/>
    <w:rsid w:val="00825FF6"/>
    <w:rsid w:val="0082600E"/>
    <w:rsid w:val="0082608A"/>
    <w:rsid w:val="008268BC"/>
    <w:rsid w:val="00826995"/>
    <w:rsid w:val="00826C61"/>
    <w:rsid w:val="00826C7A"/>
    <w:rsid w:val="00826E33"/>
    <w:rsid w:val="0082716D"/>
    <w:rsid w:val="0082748E"/>
    <w:rsid w:val="00827560"/>
    <w:rsid w:val="00827C8F"/>
    <w:rsid w:val="00827D72"/>
    <w:rsid w:val="00827F6E"/>
    <w:rsid w:val="008303DE"/>
    <w:rsid w:val="00830645"/>
    <w:rsid w:val="008306E8"/>
    <w:rsid w:val="00830A0F"/>
    <w:rsid w:val="00830A51"/>
    <w:rsid w:val="00830D87"/>
    <w:rsid w:val="00830E3C"/>
    <w:rsid w:val="00830FD8"/>
    <w:rsid w:val="00831009"/>
    <w:rsid w:val="008311EE"/>
    <w:rsid w:val="00831438"/>
    <w:rsid w:val="0083170D"/>
    <w:rsid w:val="008317FC"/>
    <w:rsid w:val="00831E4D"/>
    <w:rsid w:val="00831ED9"/>
    <w:rsid w:val="00832297"/>
    <w:rsid w:val="008322F9"/>
    <w:rsid w:val="00832302"/>
    <w:rsid w:val="00832314"/>
    <w:rsid w:val="0083251F"/>
    <w:rsid w:val="008325A9"/>
    <w:rsid w:val="00832687"/>
    <w:rsid w:val="00832954"/>
    <w:rsid w:val="008329CE"/>
    <w:rsid w:val="00832B55"/>
    <w:rsid w:val="008335C2"/>
    <w:rsid w:val="0083381B"/>
    <w:rsid w:val="008338C3"/>
    <w:rsid w:val="00833C8F"/>
    <w:rsid w:val="00833D85"/>
    <w:rsid w:val="00834161"/>
    <w:rsid w:val="00834C6E"/>
    <w:rsid w:val="00834F0F"/>
    <w:rsid w:val="00834F6C"/>
    <w:rsid w:val="0083505F"/>
    <w:rsid w:val="00835773"/>
    <w:rsid w:val="00835807"/>
    <w:rsid w:val="0083583A"/>
    <w:rsid w:val="00835902"/>
    <w:rsid w:val="00835AF4"/>
    <w:rsid w:val="008360F5"/>
    <w:rsid w:val="00836139"/>
    <w:rsid w:val="00836353"/>
    <w:rsid w:val="00836370"/>
    <w:rsid w:val="00836992"/>
    <w:rsid w:val="00836BFE"/>
    <w:rsid w:val="00836E89"/>
    <w:rsid w:val="00836E9B"/>
    <w:rsid w:val="00836EA7"/>
    <w:rsid w:val="0083767E"/>
    <w:rsid w:val="0083783F"/>
    <w:rsid w:val="00837842"/>
    <w:rsid w:val="008379F9"/>
    <w:rsid w:val="00837A84"/>
    <w:rsid w:val="00837C7B"/>
    <w:rsid w:val="00837D9B"/>
    <w:rsid w:val="00837E55"/>
    <w:rsid w:val="00837FC6"/>
    <w:rsid w:val="00840111"/>
    <w:rsid w:val="0084035E"/>
    <w:rsid w:val="0084076E"/>
    <w:rsid w:val="00840794"/>
    <w:rsid w:val="008407F6"/>
    <w:rsid w:val="008409AB"/>
    <w:rsid w:val="00840A2A"/>
    <w:rsid w:val="00840E2A"/>
    <w:rsid w:val="0084123A"/>
    <w:rsid w:val="00841285"/>
    <w:rsid w:val="008412D9"/>
    <w:rsid w:val="008413BE"/>
    <w:rsid w:val="00841503"/>
    <w:rsid w:val="00841949"/>
    <w:rsid w:val="00841B13"/>
    <w:rsid w:val="008423D0"/>
    <w:rsid w:val="00842842"/>
    <w:rsid w:val="008428CC"/>
    <w:rsid w:val="00842909"/>
    <w:rsid w:val="008429FE"/>
    <w:rsid w:val="00842BFD"/>
    <w:rsid w:val="00842C86"/>
    <w:rsid w:val="00842E81"/>
    <w:rsid w:val="0084326D"/>
    <w:rsid w:val="008433C6"/>
    <w:rsid w:val="0084375B"/>
    <w:rsid w:val="008438BA"/>
    <w:rsid w:val="00843FE9"/>
    <w:rsid w:val="008440B2"/>
    <w:rsid w:val="00844A01"/>
    <w:rsid w:val="00844B87"/>
    <w:rsid w:val="00844EBC"/>
    <w:rsid w:val="00844F90"/>
    <w:rsid w:val="00845634"/>
    <w:rsid w:val="00846339"/>
    <w:rsid w:val="00846468"/>
    <w:rsid w:val="00846470"/>
    <w:rsid w:val="00846509"/>
    <w:rsid w:val="008468AA"/>
    <w:rsid w:val="008473DC"/>
    <w:rsid w:val="008474E8"/>
    <w:rsid w:val="008475DD"/>
    <w:rsid w:val="00847CCF"/>
    <w:rsid w:val="00847DB4"/>
    <w:rsid w:val="00847E0A"/>
    <w:rsid w:val="0085001D"/>
    <w:rsid w:val="00850475"/>
    <w:rsid w:val="00850CFC"/>
    <w:rsid w:val="008510B2"/>
    <w:rsid w:val="00851436"/>
    <w:rsid w:val="008516E6"/>
    <w:rsid w:val="0085187B"/>
    <w:rsid w:val="00851BAF"/>
    <w:rsid w:val="00851F1E"/>
    <w:rsid w:val="0085220F"/>
    <w:rsid w:val="008523ED"/>
    <w:rsid w:val="00852784"/>
    <w:rsid w:val="00852E0C"/>
    <w:rsid w:val="00852FF3"/>
    <w:rsid w:val="008535EF"/>
    <w:rsid w:val="008538F9"/>
    <w:rsid w:val="00853ACB"/>
    <w:rsid w:val="00853D0F"/>
    <w:rsid w:val="00854142"/>
    <w:rsid w:val="00854219"/>
    <w:rsid w:val="0085434F"/>
    <w:rsid w:val="00854400"/>
    <w:rsid w:val="00854B3C"/>
    <w:rsid w:val="00854EA8"/>
    <w:rsid w:val="00854F9E"/>
    <w:rsid w:val="00855086"/>
    <w:rsid w:val="008553D5"/>
    <w:rsid w:val="00855636"/>
    <w:rsid w:val="00855733"/>
    <w:rsid w:val="00855C95"/>
    <w:rsid w:val="00855CF1"/>
    <w:rsid w:val="00855D7E"/>
    <w:rsid w:val="0085603A"/>
    <w:rsid w:val="0085618F"/>
    <w:rsid w:val="00856208"/>
    <w:rsid w:val="00856239"/>
    <w:rsid w:val="008564D4"/>
    <w:rsid w:val="00856BA7"/>
    <w:rsid w:val="008570F6"/>
    <w:rsid w:val="00857250"/>
    <w:rsid w:val="008573F3"/>
    <w:rsid w:val="00857486"/>
    <w:rsid w:val="0085759F"/>
    <w:rsid w:val="008575A1"/>
    <w:rsid w:val="00857648"/>
    <w:rsid w:val="00857B9B"/>
    <w:rsid w:val="008600A0"/>
    <w:rsid w:val="0086049C"/>
    <w:rsid w:val="00860501"/>
    <w:rsid w:val="00860730"/>
    <w:rsid w:val="00860AED"/>
    <w:rsid w:val="00860E84"/>
    <w:rsid w:val="00860EE4"/>
    <w:rsid w:val="008614D4"/>
    <w:rsid w:val="00861810"/>
    <w:rsid w:val="0086195C"/>
    <w:rsid w:val="0086197F"/>
    <w:rsid w:val="00861B23"/>
    <w:rsid w:val="00861BBB"/>
    <w:rsid w:val="008621FA"/>
    <w:rsid w:val="008622EA"/>
    <w:rsid w:val="008623AA"/>
    <w:rsid w:val="0086250C"/>
    <w:rsid w:val="00862F7A"/>
    <w:rsid w:val="00862FDF"/>
    <w:rsid w:val="00863720"/>
    <w:rsid w:val="008638DD"/>
    <w:rsid w:val="00863A53"/>
    <w:rsid w:val="00863D5A"/>
    <w:rsid w:val="00863F48"/>
    <w:rsid w:val="00864515"/>
    <w:rsid w:val="0086467F"/>
    <w:rsid w:val="00864D4F"/>
    <w:rsid w:val="00865132"/>
    <w:rsid w:val="008652E9"/>
    <w:rsid w:val="008656FE"/>
    <w:rsid w:val="00865818"/>
    <w:rsid w:val="00865931"/>
    <w:rsid w:val="008661B4"/>
    <w:rsid w:val="00866789"/>
    <w:rsid w:val="00866BC0"/>
    <w:rsid w:val="00866C43"/>
    <w:rsid w:val="00866E16"/>
    <w:rsid w:val="00866F2F"/>
    <w:rsid w:val="00867167"/>
    <w:rsid w:val="008671C9"/>
    <w:rsid w:val="008674CE"/>
    <w:rsid w:val="00867828"/>
    <w:rsid w:val="00867CA8"/>
    <w:rsid w:val="00867D19"/>
    <w:rsid w:val="00867D7F"/>
    <w:rsid w:val="00867EB9"/>
    <w:rsid w:val="008705D3"/>
    <w:rsid w:val="00870789"/>
    <w:rsid w:val="0087094C"/>
    <w:rsid w:val="008711BB"/>
    <w:rsid w:val="00871335"/>
    <w:rsid w:val="008719AF"/>
    <w:rsid w:val="00871C96"/>
    <w:rsid w:val="00871E60"/>
    <w:rsid w:val="00872A1B"/>
    <w:rsid w:val="00872E61"/>
    <w:rsid w:val="008730CC"/>
    <w:rsid w:val="00873593"/>
    <w:rsid w:val="008739DF"/>
    <w:rsid w:val="00873E77"/>
    <w:rsid w:val="0087437A"/>
    <w:rsid w:val="0087448B"/>
    <w:rsid w:val="0087475F"/>
    <w:rsid w:val="00874C2A"/>
    <w:rsid w:val="00874CF5"/>
    <w:rsid w:val="0087523B"/>
    <w:rsid w:val="00875438"/>
    <w:rsid w:val="00875742"/>
    <w:rsid w:val="00875836"/>
    <w:rsid w:val="008758F0"/>
    <w:rsid w:val="008759A4"/>
    <w:rsid w:val="008759E6"/>
    <w:rsid w:val="00875AD9"/>
    <w:rsid w:val="00875C0F"/>
    <w:rsid w:val="00875E7B"/>
    <w:rsid w:val="00876349"/>
    <w:rsid w:val="008768E7"/>
    <w:rsid w:val="00876D57"/>
    <w:rsid w:val="0087783B"/>
    <w:rsid w:val="00877842"/>
    <w:rsid w:val="00877A0C"/>
    <w:rsid w:val="00877A91"/>
    <w:rsid w:val="00880135"/>
    <w:rsid w:val="0088091A"/>
    <w:rsid w:val="00880CAB"/>
    <w:rsid w:val="00880DF5"/>
    <w:rsid w:val="00880E92"/>
    <w:rsid w:val="00881110"/>
    <w:rsid w:val="008815C7"/>
    <w:rsid w:val="00881624"/>
    <w:rsid w:val="00881636"/>
    <w:rsid w:val="00881AB0"/>
    <w:rsid w:val="00881DD8"/>
    <w:rsid w:val="00881E1A"/>
    <w:rsid w:val="0088202E"/>
    <w:rsid w:val="0088204E"/>
    <w:rsid w:val="00882209"/>
    <w:rsid w:val="00882259"/>
    <w:rsid w:val="00882416"/>
    <w:rsid w:val="0088273D"/>
    <w:rsid w:val="0088284E"/>
    <w:rsid w:val="008829A7"/>
    <w:rsid w:val="00882BB4"/>
    <w:rsid w:val="00882EF6"/>
    <w:rsid w:val="00882F8B"/>
    <w:rsid w:val="00883890"/>
    <w:rsid w:val="00883AFA"/>
    <w:rsid w:val="00883E3A"/>
    <w:rsid w:val="008846F1"/>
    <w:rsid w:val="0088483B"/>
    <w:rsid w:val="00884F43"/>
    <w:rsid w:val="00885278"/>
    <w:rsid w:val="00885421"/>
    <w:rsid w:val="00885DDD"/>
    <w:rsid w:val="00886047"/>
    <w:rsid w:val="00886230"/>
    <w:rsid w:val="0088623A"/>
    <w:rsid w:val="00886364"/>
    <w:rsid w:val="00886603"/>
    <w:rsid w:val="00886689"/>
    <w:rsid w:val="008867A7"/>
    <w:rsid w:val="00886E20"/>
    <w:rsid w:val="008870B9"/>
    <w:rsid w:val="008873B1"/>
    <w:rsid w:val="00887C4A"/>
    <w:rsid w:val="00887C87"/>
    <w:rsid w:val="008900F0"/>
    <w:rsid w:val="00890169"/>
    <w:rsid w:val="00890395"/>
    <w:rsid w:val="00890679"/>
    <w:rsid w:val="00890720"/>
    <w:rsid w:val="00890A75"/>
    <w:rsid w:val="00890C52"/>
    <w:rsid w:val="00890CC1"/>
    <w:rsid w:val="00890DB8"/>
    <w:rsid w:val="00890E09"/>
    <w:rsid w:val="008910B7"/>
    <w:rsid w:val="0089117A"/>
    <w:rsid w:val="008913C6"/>
    <w:rsid w:val="00891E39"/>
    <w:rsid w:val="00891E97"/>
    <w:rsid w:val="00892073"/>
    <w:rsid w:val="00892378"/>
    <w:rsid w:val="0089255B"/>
    <w:rsid w:val="00892650"/>
    <w:rsid w:val="008933D0"/>
    <w:rsid w:val="008934A7"/>
    <w:rsid w:val="008934F5"/>
    <w:rsid w:val="008936F8"/>
    <w:rsid w:val="00893B62"/>
    <w:rsid w:val="00893BD1"/>
    <w:rsid w:val="008946B0"/>
    <w:rsid w:val="0089472E"/>
    <w:rsid w:val="008949E3"/>
    <w:rsid w:val="00894AE5"/>
    <w:rsid w:val="00895884"/>
    <w:rsid w:val="00895A20"/>
    <w:rsid w:val="00895EF1"/>
    <w:rsid w:val="00895F54"/>
    <w:rsid w:val="00896043"/>
    <w:rsid w:val="008962D5"/>
    <w:rsid w:val="00896990"/>
    <w:rsid w:val="00896B38"/>
    <w:rsid w:val="00896DF0"/>
    <w:rsid w:val="00896E55"/>
    <w:rsid w:val="00897026"/>
    <w:rsid w:val="008971C4"/>
    <w:rsid w:val="0089722F"/>
    <w:rsid w:val="008974BF"/>
    <w:rsid w:val="00897A12"/>
    <w:rsid w:val="00897DA0"/>
    <w:rsid w:val="00897DA2"/>
    <w:rsid w:val="008A051B"/>
    <w:rsid w:val="008A0919"/>
    <w:rsid w:val="008A0D8B"/>
    <w:rsid w:val="008A1255"/>
    <w:rsid w:val="008A184D"/>
    <w:rsid w:val="008A1DEF"/>
    <w:rsid w:val="008A1F1E"/>
    <w:rsid w:val="008A22F5"/>
    <w:rsid w:val="008A239B"/>
    <w:rsid w:val="008A291C"/>
    <w:rsid w:val="008A2A1B"/>
    <w:rsid w:val="008A2B0C"/>
    <w:rsid w:val="008A2DB2"/>
    <w:rsid w:val="008A2DF5"/>
    <w:rsid w:val="008A315E"/>
    <w:rsid w:val="008A361C"/>
    <w:rsid w:val="008A365F"/>
    <w:rsid w:val="008A366C"/>
    <w:rsid w:val="008A3756"/>
    <w:rsid w:val="008A378C"/>
    <w:rsid w:val="008A3805"/>
    <w:rsid w:val="008A3D7A"/>
    <w:rsid w:val="008A3FBA"/>
    <w:rsid w:val="008A4297"/>
    <w:rsid w:val="008A4838"/>
    <w:rsid w:val="008A48EA"/>
    <w:rsid w:val="008A4A11"/>
    <w:rsid w:val="008A4DD5"/>
    <w:rsid w:val="008A4E10"/>
    <w:rsid w:val="008A5020"/>
    <w:rsid w:val="008A5156"/>
    <w:rsid w:val="008A5796"/>
    <w:rsid w:val="008A582C"/>
    <w:rsid w:val="008A5AAC"/>
    <w:rsid w:val="008A5B7F"/>
    <w:rsid w:val="008A5C1D"/>
    <w:rsid w:val="008A5F19"/>
    <w:rsid w:val="008A5F2D"/>
    <w:rsid w:val="008A6220"/>
    <w:rsid w:val="008A636E"/>
    <w:rsid w:val="008A66CB"/>
    <w:rsid w:val="008A68A5"/>
    <w:rsid w:val="008A69DC"/>
    <w:rsid w:val="008A6B69"/>
    <w:rsid w:val="008A6B81"/>
    <w:rsid w:val="008A704C"/>
    <w:rsid w:val="008A7277"/>
    <w:rsid w:val="008A742F"/>
    <w:rsid w:val="008A7638"/>
    <w:rsid w:val="008A7857"/>
    <w:rsid w:val="008A787D"/>
    <w:rsid w:val="008A7BB8"/>
    <w:rsid w:val="008A7EF8"/>
    <w:rsid w:val="008B017F"/>
    <w:rsid w:val="008B01BA"/>
    <w:rsid w:val="008B0623"/>
    <w:rsid w:val="008B07BB"/>
    <w:rsid w:val="008B1228"/>
    <w:rsid w:val="008B146D"/>
    <w:rsid w:val="008B19D9"/>
    <w:rsid w:val="008B1A5B"/>
    <w:rsid w:val="008B1AA1"/>
    <w:rsid w:val="008B1C9B"/>
    <w:rsid w:val="008B1E04"/>
    <w:rsid w:val="008B1E9F"/>
    <w:rsid w:val="008B2084"/>
    <w:rsid w:val="008B20EE"/>
    <w:rsid w:val="008B2478"/>
    <w:rsid w:val="008B2BF5"/>
    <w:rsid w:val="008B2E32"/>
    <w:rsid w:val="008B409C"/>
    <w:rsid w:val="008B462F"/>
    <w:rsid w:val="008B4699"/>
    <w:rsid w:val="008B4AAD"/>
    <w:rsid w:val="008B4B85"/>
    <w:rsid w:val="008B4D93"/>
    <w:rsid w:val="008B5691"/>
    <w:rsid w:val="008B5933"/>
    <w:rsid w:val="008B5DAA"/>
    <w:rsid w:val="008B6041"/>
    <w:rsid w:val="008B6369"/>
    <w:rsid w:val="008B653F"/>
    <w:rsid w:val="008B66A8"/>
    <w:rsid w:val="008B6933"/>
    <w:rsid w:val="008B6A04"/>
    <w:rsid w:val="008B6CF1"/>
    <w:rsid w:val="008B796F"/>
    <w:rsid w:val="008C003B"/>
    <w:rsid w:val="008C0042"/>
    <w:rsid w:val="008C0848"/>
    <w:rsid w:val="008C0B9E"/>
    <w:rsid w:val="008C0D9F"/>
    <w:rsid w:val="008C1614"/>
    <w:rsid w:val="008C165E"/>
    <w:rsid w:val="008C18D1"/>
    <w:rsid w:val="008C18E5"/>
    <w:rsid w:val="008C27D1"/>
    <w:rsid w:val="008C2B10"/>
    <w:rsid w:val="008C31FB"/>
    <w:rsid w:val="008C345C"/>
    <w:rsid w:val="008C35B6"/>
    <w:rsid w:val="008C3DA3"/>
    <w:rsid w:val="008C3EA9"/>
    <w:rsid w:val="008C41E1"/>
    <w:rsid w:val="008C4500"/>
    <w:rsid w:val="008C4598"/>
    <w:rsid w:val="008C4AA0"/>
    <w:rsid w:val="008C4AA7"/>
    <w:rsid w:val="008C55F7"/>
    <w:rsid w:val="008C5BE6"/>
    <w:rsid w:val="008C624B"/>
    <w:rsid w:val="008C639A"/>
    <w:rsid w:val="008C64C9"/>
    <w:rsid w:val="008C6710"/>
    <w:rsid w:val="008C69CA"/>
    <w:rsid w:val="008C74E5"/>
    <w:rsid w:val="008C7938"/>
    <w:rsid w:val="008C7C0C"/>
    <w:rsid w:val="008C7C6F"/>
    <w:rsid w:val="008C7C93"/>
    <w:rsid w:val="008C7E09"/>
    <w:rsid w:val="008C7E0D"/>
    <w:rsid w:val="008D011D"/>
    <w:rsid w:val="008D0395"/>
    <w:rsid w:val="008D03C8"/>
    <w:rsid w:val="008D05B3"/>
    <w:rsid w:val="008D0610"/>
    <w:rsid w:val="008D063F"/>
    <w:rsid w:val="008D067D"/>
    <w:rsid w:val="008D0698"/>
    <w:rsid w:val="008D093C"/>
    <w:rsid w:val="008D0B60"/>
    <w:rsid w:val="008D0B7E"/>
    <w:rsid w:val="008D1A08"/>
    <w:rsid w:val="008D240C"/>
    <w:rsid w:val="008D2644"/>
    <w:rsid w:val="008D2941"/>
    <w:rsid w:val="008D2F1B"/>
    <w:rsid w:val="008D31DD"/>
    <w:rsid w:val="008D32E9"/>
    <w:rsid w:val="008D3337"/>
    <w:rsid w:val="008D339C"/>
    <w:rsid w:val="008D36B6"/>
    <w:rsid w:val="008D3AD0"/>
    <w:rsid w:val="008D3CE1"/>
    <w:rsid w:val="008D4481"/>
    <w:rsid w:val="008D4815"/>
    <w:rsid w:val="008D49E3"/>
    <w:rsid w:val="008D4A90"/>
    <w:rsid w:val="008D55A5"/>
    <w:rsid w:val="008D569B"/>
    <w:rsid w:val="008D56BD"/>
    <w:rsid w:val="008D57A6"/>
    <w:rsid w:val="008D5C34"/>
    <w:rsid w:val="008D5C6E"/>
    <w:rsid w:val="008D5D6D"/>
    <w:rsid w:val="008D6030"/>
    <w:rsid w:val="008D6169"/>
    <w:rsid w:val="008D666B"/>
    <w:rsid w:val="008D68C5"/>
    <w:rsid w:val="008D6B8F"/>
    <w:rsid w:val="008D6D05"/>
    <w:rsid w:val="008D6ED8"/>
    <w:rsid w:val="008D705B"/>
    <w:rsid w:val="008D7098"/>
    <w:rsid w:val="008D7517"/>
    <w:rsid w:val="008D7C3F"/>
    <w:rsid w:val="008D7D31"/>
    <w:rsid w:val="008E02B9"/>
    <w:rsid w:val="008E10A9"/>
    <w:rsid w:val="008E13B0"/>
    <w:rsid w:val="008E1CBB"/>
    <w:rsid w:val="008E1DA0"/>
    <w:rsid w:val="008E1F59"/>
    <w:rsid w:val="008E2245"/>
    <w:rsid w:val="008E23F3"/>
    <w:rsid w:val="008E2534"/>
    <w:rsid w:val="008E2619"/>
    <w:rsid w:val="008E29AB"/>
    <w:rsid w:val="008E2C57"/>
    <w:rsid w:val="008E31B9"/>
    <w:rsid w:val="008E3D59"/>
    <w:rsid w:val="008E3DAF"/>
    <w:rsid w:val="008E4140"/>
    <w:rsid w:val="008E43EF"/>
    <w:rsid w:val="008E4BFB"/>
    <w:rsid w:val="008E50C0"/>
    <w:rsid w:val="008E5821"/>
    <w:rsid w:val="008E5880"/>
    <w:rsid w:val="008E5918"/>
    <w:rsid w:val="008E5B28"/>
    <w:rsid w:val="008E5DE2"/>
    <w:rsid w:val="008E61D5"/>
    <w:rsid w:val="008E62A4"/>
    <w:rsid w:val="008E62CB"/>
    <w:rsid w:val="008E6704"/>
    <w:rsid w:val="008E6756"/>
    <w:rsid w:val="008E6C09"/>
    <w:rsid w:val="008E6CCA"/>
    <w:rsid w:val="008E6D9E"/>
    <w:rsid w:val="008E6F89"/>
    <w:rsid w:val="008E73C7"/>
    <w:rsid w:val="008E74F4"/>
    <w:rsid w:val="008E7594"/>
    <w:rsid w:val="008E7B75"/>
    <w:rsid w:val="008E7EC3"/>
    <w:rsid w:val="008E7FE1"/>
    <w:rsid w:val="008F02D5"/>
    <w:rsid w:val="008F0DA4"/>
    <w:rsid w:val="008F1394"/>
    <w:rsid w:val="008F14B4"/>
    <w:rsid w:val="008F1B84"/>
    <w:rsid w:val="008F1DB9"/>
    <w:rsid w:val="008F2138"/>
    <w:rsid w:val="008F251E"/>
    <w:rsid w:val="008F2520"/>
    <w:rsid w:val="008F25EE"/>
    <w:rsid w:val="008F27DF"/>
    <w:rsid w:val="008F2839"/>
    <w:rsid w:val="008F28AF"/>
    <w:rsid w:val="008F2971"/>
    <w:rsid w:val="008F2E66"/>
    <w:rsid w:val="008F313A"/>
    <w:rsid w:val="008F3379"/>
    <w:rsid w:val="008F3842"/>
    <w:rsid w:val="008F387E"/>
    <w:rsid w:val="008F3921"/>
    <w:rsid w:val="008F397D"/>
    <w:rsid w:val="008F3C60"/>
    <w:rsid w:val="008F3D93"/>
    <w:rsid w:val="008F4139"/>
    <w:rsid w:val="008F42C5"/>
    <w:rsid w:val="008F46AE"/>
    <w:rsid w:val="008F46EC"/>
    <w:rsid w:val="008F4852"/>
    <w:rsid w:val="008F4A42"/>
    <w:rsid w:val="008F4A46"/>
    <w:rsid w:val="008F4EE4"/>
    <w:rsid w:val="008F5137"/>
    <w:rsid w:val="008F5368"/>
    <w:rsid w:val="008F54D3"/>
    <w:rsid w:val="008F57D3"/>
    <w:rsid w:val="008F57E8"/>
    <w:rsid w:val="008F61AF"/>
    <w:rsid w:val="008F6218"/>
    <w:rsid w:val="008F679F"/>
    <w:rsid w:val="008F68AA"/>
    <w:rsid w:val="008F69CD"/>
    <w:rsid w:val="008F6DE9"/>
    <w:rsid w:val="008F731D"/>
    <w:rsid w:val="008F74FD"/>
    <w:rsid w:val="008F768E"/>
    <w:rsid w:val="008F77B7"/>
    <w:rsid w:val="008F7DC8"/>
    <w:rsid w:val="008F7E1E"/>
    <w:rsid w:val="008F7F62"/>
    <w:rsid w:val="00900543"/>
    <w:rsid w:val="009007BD"/>
    <w:rsid w:val="00900965"/>
    <w:rsid w:val="00900B0B"/>
    <w:rsid w:val="00900CA4"/>
    <w:rsid w:val="009012A9"/>
    <w:rsid w:val="009012E9"/>
    <w:rsid w:val="00901386"/>
    <w:rsid w:val="00901881"/>
    <w:rsid w:val="00901A99"/>
    <w:rsid w:val="00901AD5"/>
    <w:rsid w:val="009021F0"/>
    <w:rsid w:val="00902633"/>
    <w:rsid w:val="009026BE"/>
    <w:rsid w:val="009030E2"/>
    <w:rsid w:val="009031C3"/>
    <w:rsid w:val="009033D4"/>
    <w:rsid w:val="0090352C"/>
    <w:rsid w:val="00903596"/>
    <w:rsid w:val="00903AC0"/>
    <w:rsid w:val="00903EC2"/>
    <w:rsid w:val="00904202"/>
    <w:rsid w:val="00904209"/>
    <w:rsid w:val="00904620"/>
    <w:rsid w:val="00904BBF"/>
    <w:rsid w:val="00905446"/>
    <w:rsid w:val="0090561D"/>
    <w:rsid w:val="00905849"/>
    <w:rsid w:val="00905B80"/>
    <w:rsid w:val="00905BB8"/>
    <w:rsid w:val="00905DE6"/>
    <w:rsid w:val="00905E38"/>
    <w:rsid w:val="009060A2"/>
    <w:rsid w:val="009062C9"/>
    <w:rsid w:val="0090664B"/>
    <w:rsid w:val="00906F99"/>
    <w:rsid w:val="00907201"/>
    <w:rsid w:val="00907247"/>
    <w:rsid w:val="0090736B"/>
    <w:rsid w:val="009073DC"/>
    <w:rsid w:val="00907544"/>
    <w:rsid w:val="009078AC"/>
    <w:rsid w:val="00907A5D"/>
    <w:rsid w:val="00907F2E"/>
    <w:rsid w:val="00907F35"/>
    <w:rsid w:val="00907F70"/>
    <w:rsid w:val="0091030A"/>
    <w:rsid w:val="00910907"/>
    <w:rsid w:val="00910C72"/>
    <w:rsid w:val="009114CB"/>
    <w:rsid w:val="00911630"/>
    <w:rsid w:val="00911888"/>
    <w:rsid w:val="0091207B"/>
    <w:rsid w:val="009122C7"/>
    <w:rsid w:val="009124D2"/>
    <w:rsid w:val="00912720"/>
    <w:rsid w:val="00912A31"/>
    <w:rsid w:val="00912C5B"/>
    <w:rsid w:val="00912E38"/>
    <w:rsid w:val="00912F46"/>
    <w:rsid w:val="009130E6"/>
    <w:rsid w:val="00913201"/>
    <w:rsid w:val="00913586"/>
    <w:rsid w:val="00913836"/>
    <w:rsid w:val="00913984"/>
    <w:rsid w:val="00913DEA"/>
    <w:rsid w:val="00914053"/>
    <w:rsid w:val="009146D6"/>
    <w:rsid w:val="009147FB"/>
    <w:rsid w:val="00914D18"/>
    <w:rsid w:val="00914E23"/>
    <w:rsid w:val="00914EBF"/>
    <w:rsid w:val="009153A4"/>
    <w:rsid w:val="009154A8"/>
    <w:rsid w:val="00915D51"/>
    <w:rsid w:val="0091687E"/>
    <w:rsid w:val="00916B9F"/>
    <w:rsid w:val="00916F24"/>
    <w:rsid w:val="00916F2A"/>
    <w:rsid w:val="009170E8"/>
    <w:rsid w:val="00917B5E"/>
    <w:rsid w:val="00917F83"/>
    <w:rsid w:val="009200D2"/>
    <w:rsid w:val="009201D2"/>
    <w:rsid w:val="009202FE"/>
    <w:rsid w:val="00920486"/>
    <w:rsid w:val="0092080B"/>
    <w:rsid w:val="00920B9D"/>
    <w:rsid w:val="00920F25"/>
    <w:rsid w:val="00920FDA"/>
    <w:rsid w:val="00921B20"/>
    <w:rsid w:val="00921E1B"/>
    <w:rsid w:val="009220E0"/>
    <w:rsid w:val="009223DB"/>
    <w:rsid w:val="00922944"/>
    <w:rsid w:val="00922AAE"/>
    <w:rsid w:val="009230FD"/>
    <w:rsid w:val="0092333B"/>
    <w:rsid w:val="009233CD"/>
    <w:rsid w:val="00923471"/>
    <w:rsid w:val="00923569"/>
    <w:rsid w:val="00923A91"/>
    <w:rsid w:val="00923C07"/>
    <w:rsid w:val="00923ED1"/>
    <w:rsid w:val="00923F77"/>
    <w:rsid w:val="00924971"/>
    <w:rsid w:val="00924A0B"/>
    <w:rsid w:val="00924B3F"/>
    <w:rsid w:val="00924CA2"/>
    <w:rsid w:val="00925A4B"/>
    <w:rsid w:val="00926041"/>
    <w:rsid w:val="009263E2"/>
    <w:rsid w:val="0092658D"/>
    <w:rsid w:val="009268AE"/>
    <w:rsid w:val="00926EBA"/>
    <w:rsid w:val="0092712D"/>
    <w:rsid w:val="00927226"/>
    <w:rsid w:val="00927482"/>
    <w:rsid w:val="009274B4"/>
    <w:rsid w:val="00927626"/>
    <w:rsid w:val="00927A7E"/>
    <w:rsid w:val="0093007C"/>
    <w:rsid w:val="009302A9"/>
    <w:rsid w:val="009307FE"/>
    <w:rsid w:val="00930AC3"/>
    <w:rsid w:val="00930BE8"/>
    <w:rsid w:val="00930E97"/>
    <w:rsid w:val="00931A8B"/>
    <w:rsid w:val="00931B1B"/>
    <w:rsid w:val="00931BE3"/>
    <w:rsid w:val="00931DE5"/>
    <w:rsid w:val="00932104"/>
    <w:rsid w:val="009321C9"/>
    <w:rsid w:val="009323BF"/>
    <w:rsid w:val="009326C0"/>
    <w:rsid w:val="009327E3"/>
    <w:rsid w:val="00932B63"/>
    <w:rsid w:val="00932BDA"/>
    <w:rsid w:val="00932C2E"/>
    <w:rsid w:val="00932C57"/>
    <w:rsid w:val="00933576"/>
    <w:rsid w:val="00933594"/>
    <w:rsid w:val="009338E9"/>
    <w:rsid w:val="00933DA6"/>
    <w:rsid w:val="00933E63"/>
    <w:rsid w:val="00933F3A"/>
    <w:rsid w:val="00934088"/>
    <w:rsid w:val="00934362"/>
    <w:rsid w:val="00934377"/>
    <w:rsid w:val="00934383"/>
    <w:rsid w:val="00934480"/>
    <w:rsid w:val="009348E3"/>
    <w:rsid w:val="00934976"/>
    <w:rsid w:val="00934F6B"/>
    <w:rsid w:val="009353AF"/>
    <w:rsid w:val="00935550"/>
    <w:rsid w:val="00935786"/>
    <w:rsid w:val="00935F87"/>
    <w:rsid w:val="0093604E"/>
    <w:rsid w:val="009363B2"/>
    <w:rsid w:val="009365AB"/>
    <w:rsid w:val="009365B9"/>
    <w:rsid w:val="009366F0"/>
    <w:rsid w:val="00936AC1"/>
    <w:rsid w:val="00936DB1"/>
    <w:rsid w:val="009371D5"/>
    <w:rsid w:val="009372FF"/>
    <w:rsid w:val="00937609"/>
    <w:rsid w:val="00937952"/>
    <w:rsid w:val="009379EF"/>
    <w:rsid w:val="00937DFF"/>
    <w:rsid w:val="00937FB4"/>
    <w:rsid w:val="00940318"/>
    <w:rsid w:val="0094039A"/>
    <w:rsid w:val="009404A3"/>
    <w:rsid w:val="00940554"/>
    <w:rsid w:val="00940932"/>
    <w:rsid w:val="009409F8"/>
    <w:rsid w:val="00940A88"/>
    <w:rsid w:val="00940FAE"/>
    <w:rsid w:val="00941077"/>
    <w:rsid w:val="0094109E"/>
    <w:rsid w:val="00941492"/>
    <w:rsid w:val="009417FF"/>
    <w:rsid w:val="0094191C"/>
    <w:rsid w:val="009422AB"/>
    <w:rsid w:val="009422F8"/>
    <w:rsid w:val="00942388"/>
    <w:rsid w:val="00942412"/>
    <w:rsid w:val="009424EE"/>
    <w:rsid w:val="009424F3"/>
    <w:rsid w:val="0094281D"/>
    <w:rsid w:val="0094288B"/>
    <w:rsid w:val="00942A3F"/>
    <w:rsid w:val="00942A7F"/>
    <w:rsid w:val="00942D36"/>
    <w:rsid w:val="009435EE"/>
    <w:rsid w:val="0094372D"/>
    <w:rsid w:val="00943A6C"/>
    <w:rsid w:val="00943F77"/>
    <w:rsid w:val="00944003"/>
    <w:rsid w:val="009441C8"/>
    <w:rsid w:val="00944418"/>
    <w:rsid w:val="0094454F"/>
    <w:rsid w:val="00944786"/>
    <w:rsid w:val="00944888"/>
    <w:rsid w:val="009449D0"/>
    <w:rsid w:val="00944BEF"/>
    <w:rsid w:val="009450BC"/>
    <w:rsid w:val="00945273"/>
    <w:rsid w:val="009456DC"/>
    <w:rsid w:val="009458A6"/>
    <w:rsid w:val="0094591B"/>
    <w:rsid w:val="00945EC0"/>
    <w:rsid w:val="00945ED1"/>
    <w:rsid w:val="009469E5"/>
    <w:rsid w:val="00946CE8"/>
    <w:rsid w:val="00946D6A"/>
    <w:rsid w:val="00946FC2"/>
    <w:rsid w:val="009474AD"/>
    <w:rsid w:val="00947965"/>
    <w:rsid w:val="00947D4C"/>
    <w:rsid w:val="00950216"/>
    <w:rsid w:val="009504A6"/>
    <w:rsid w:val="009506E3"/>
    <w:rsid w:val="00950BD8"/>
    <w:rsid w:val="00950FDC"/>
    <w:rsid w:val="00951140"/>
    <w:rsid w:val="0095161F"/>
    <w:rsid w:val="00951779"/>
    <w:rsid w:val="00951ACF"/>
    <w:rsid w:val="00951C7F"/>
    <w:rsid w:val="00951E3E"/>
    <w:rsid w:val="0095202A"/>
    <w:rsid w:val="009526E8"/>
    <w:rsid w:val="009541D7"/>
    <w:rsid w:val="009543A5"/>
    <w:rsid w:val="009543E1"/>
    <w:rsid w:val="00954569"/>
    <w:rsid w:val="00954607"/>
    <w:rsid w:val="009546A1"/>
    <w:rsid w:val="00954C6C"/>
    <w:rsid w:val="00955933"/>
    <w:rsid w:val="0095593A"/>
    <w:rsid w:val="00955EF3"/>
    <w:rsid w:val="00955F98"/>
    <w:rsid w:val="009561DF"/>
    <w:rsid w:val="0095674F"/>
    <w:rsid w:val="009567C0"/>
    <w:rsid w:val="00956979"/>
    <w:rsid w:val="00956DC8"/>
    <w:rsid w:val="00957177"/>
    <w:rsid w:val="009578C7"/>
    <w:rsid w:val="00957C13"/>
    <w:rsid w:val="00960130"/>
    <w:rsid w:val="00960541"/>
    <w:rsid w:val="00960A0B"/>
    <w:rsid w:val="00960EC5"/>
    <w:rsid w:val="00960EFB"/>
    <w:rsid w:val="00960F3A"/>
    <w:rsid w:val="0096108B"/>
    <w:rsid w:val="00961190"/>
    <w:rsid w:val="00961860"/>
    <w:rsid w:val="00961F04"/>
    <w:rsid w:val="0096202C"/>
    <w:rsid w:val="00962161"/>
    <w:rsid w:val="00962303"/>
    <w:rsid w:val="009625DE"/>
    <w:rsid w:val="0096278A"/>
    <w:rsid w:val="00962F3F"/>
    <w:rsid w:val="00962FD9"/>
    <w:rsid w:val="009635D5"/>
    <w:rsid w:val="0096377D"/>
    <w:rsid w:val="009639B2"/>
    <w:rsid w:val="00963C08"/>
    <w:rsid w:val="00963C51"/>
    <w:rsid w:val="00963DE5"/>
    <w:rsid w:val="00963DFE"/>
    <w:rsid w:val="00963F1D"/>
    <w:rsid w:val="009649B3"/>
    <w:rsid w:val="00964D80"/>
    <w:rsid w:val="00964D9E"/>
    <w:rsid w:val="00964EF2"/>
    <w:rsid w:val="00964F9C"/>
    <w:rsid w:val="00965162"/>
    <w:rsid w:val="00965775"/>
    <w:rsid w:val="00965941"/>
    <w:rsid w:val="00965DB4"/>
    <w:rsid w:val="00965DFB"/>
    <w:rsid w:val="0096609C"/>
    <w:rsid w:val="0096698C"/>
    <w:rsid w:val="00966A68"/>
    <w:rsid w:val="00966C84"/>
    <w:rsid w:val="00966DF6"/>
    <w:rsid w:val="00966E26"/>
    <w:rsid w:val="00967093"/>
    <w:rsid w:val="00967300"/>
    <w:rsid w:val="00967424"/>
    <w:rsid w:val="0096746C"/>
    <w:rsid w:val="00967666"/>
    <w:rsid w:val="009677BA"/>
    <w:rsid w:val="00967891"/>
    <w:rsid w:val="00967E19"/>
    <w:rsid w:val="00967F71"/>
    <w:rsid w:val="00967F8B"/>
    <w:rsid w:val="00970554"/>
    <w:rsid w:val="009705F6"/>
    <w:rsid w:val="00970A69"/>
    <w:rsid w:val="00970B33"/>
    <w:rsid w:val="00970D7B"/>
    <w:rsid w:val="00971162"/>
    <w:rsid w:val="00971195"/>
    <w:rsid w:val="009711E4"/>
    <w:rsid w:val="00971354"/>
    <w:rsid w:val="0097150B"/>
    <w:rsid w:val="009715DE"/>
    <w:rsid w:val="00971A8D"/>
    <w:rsid w:val="00971ED0"/>
    <w:rsid w:val="00972292"/>
    <w:rsid w:val="009722CE"/>
    <w:rsid w:val="00972675"/>
    <w:rsid w:val="009726AC"/>
    <w:rsid w:val="00972B3B"/>
    <w:rsid w:val="00972CA2"/>
    <w:rsid w:val="00972CFA"/>
    <w:rsid w:val="00972D6C"/>
    <w:rsid w:val="00973099"/>
    <w:rsid w:val="00973296"/>
    <w:rsid w:val="00973372"/>
    <w:rsid w:val="00973F2F"/>
    <w:rsid w:val="009746D8"/>
    <w:rsid w:val="009747AE"/>
    <w:rsid w:val="00974835"/>
    <w:rsid w:val="00974A5C"/>
    <w:rsid w:val="00974DA7"/>
    <w:rsid w:val="00975066"/>
    <w:rsid w:val="0097529A"/>
    <w:rsid w:val="00975BD5"/>
    <w:rsid w:val="00976064"/>
    <w:rsid w:val="009760A2"/>
    <w:rsid w:val="009761F1"/>
    <w:rsid w:val="009762FD"/>
    <w:rsid w:val="009764EB"/>
    <w:rsid w:val="009767C2"/>
    <w:rsid w:val="009768BF"/>
    <w:rsid w:val="00976B59"/>
    <w:rsid w:val="00976BD5"/>
    <w:rsid w:val="00976FB4"/>
    <w:rsid w:val="0097767E"/>
    <w:rsid w:val="009778E0"/>
    <w:rsid w:val="00977997"/>
    <w:rsid w:val="00977A24"/>
    <w:rsid w:val="00977B14"/>
    <w:rsid w:val="00977C9D"/>
    <w:rsid w:val="00977D3E"/>
    <w:rsid w:val="00977E8B"/>
    <w:rsid w:val="00977E9B"/>
    <w:rsid w:val="0098055D"/>
    <w:rsid w:val="009806AB"/>
    <w:rsid w:val="00980B5C"/>
    <w:rsid w:val="00980C15"/>
    <w:rsid w:val="00980DD7"/>
    <w:rsid w:val="009812F2"/>
    <w:rsid w:val="009813A6"/>
    <w:rsid w:val="0098149A"/>
    <w:rsid w:val="00981647"/>
    <w:rsid w:val="0098174E"/>
    <w:rsid w:val="009818E6"/>
    <w:rsid w:val="00981903"/>
    <w:rsid w:val="00981909"/>
    <w:rsid w:val="00982083"/>
    <w:rsid w:val="00982257"/>
    <w:rsid w:val="0098231D"/>
    <w:rsid w:val="0098241E"/>
    <w:rsid w:val="0098243C"/>
    <w:rsid w:val="009824CE"/>
    <w:rsid w:val="00982841"/>
    <w:rsid w:val="00982CD2"/>
    <w:rsid w:val="00982D8F"/>
    <w:rsid w:val="00982E29"/>
    <w:rsid w:val="0098302A"/>
    <w:rsid w:val="00983877"/>
    <w:rsid w:val="0098399B"/>
    <w:rsid w:val="00983B86"/>
    <w:rsid w:val="00983F62"/>
    <w:rsid w:val="009842DE"/>
    <w:rsid w:val="009843C7"/>
    <w:rsid w:val="0098457B"/>
    <w:rsid w:val="009849D9"/>
    <w:rsid w:val="00984A70"/>
    <w:rsid w:val="00984C58"/>
    <w:rsid w:val="00984CCD"/>
    <w:rsid w:val="00984F13"/>
    <w:rsid w:val="009852AF"/>
    <w:rsid w:val="0098567B"/>
    <w:rsid w:val="00985B00"/>
    <w:rsid w:val="00985BA3"/>
    <w:rsid w:val="00985BAD"/>
    <w:rsid w:val="00985C0A"/>
    <w:rsid w:val="00985C43"/>
    <w:rsid w:val="00985EEC"/>
    <w:rsid w:val="00985F9E"/>
    <w:rsid w:val="00986052"/>
    <w:rsid w:val="0098613E"/>
    <w:rsid w:val="00986162"/>
    <w:rsid w:val="0098662B"/>
    <w:rsid w:val="009868EC"/>
    <w:rsid w:val="00986B8C"/>
    <w:rsid w:val="00986BF9"/>
    <w:rsid w:val="00986F10"/>
    <w:rsid w:val="00986F88"/>
    <w:rsid w:val="009870F7"/>
    <w:rsid w:val="009873ED"/>
    <w:rsid w:val="00987485"/>
    <w:rsid w:val="00987619"/>
    <w:rsid w:val="00987639"/>
    <w:rsid w:val="00987647"/>
    <w:rsid w:val="00987B39"/>
    <w:rsid w:val="00987BE5"/>
    <w:rsid w:val="00987CEB"/>
    <w:rsid w:val="0099002E"/>
    <w:rsid w:val="00990304"/>
    <w:rsid w:val="0099043B"/>
    <w:rsid w:val="00990B9E"/>
    <w:rsid w:val="00990F2E"/>
    <w:rsid w:val="009911E9"/>
    <w:rsid w:val="00991AB7"/>
    <w:rsid w:val="00992094"/>
    <w:rsid w:val="0099237C"/>
    <w:rsid w:val="00992454"/>
    <w:rsid w:val="0099292F"/>
    <w:rsid w:val="009929D0"/>
    <w:rsid w:val="00992B12"/>
    <w:rsid w:val="00992C66"/>
    <w:rsid w:val="00992CB5"/>
    <w:rsid w:val="00992D62"/>
    <w:rsid w:val="00992DB6"/>
    <w:rsid w:val="00992ECE"/>
    <w:rsid w:val="009933B5"/>
    <w:rsid w:val="00993C90"/>
    <w:rsid w:val="00993E12"/>
    <w:rsid w:val="00993E64"/>
    <w:rsid w:val="00994460"/>
    <w:rsid w:val="00994920"/>
    <w:rsid w:val="00994E0B"/>
    <w:rsid w:val="00994E8D"/>
    <w:rsid w:val="009951AF"/>
    <w:rsid w:val="0099529C"/>
    <w:rsid w:val="00995BD3"/>
    <w:rsid w:val="00995E23"/>
    <w:rsid w:val="009965EE"/>
    <w:rsid w:val="00996786"/>
    <w:rsid w:val="00996B66"/>
    <w:rsid w:val="00996DF5"/>
    <w:rsid w:val="009970B4"/>
    <w:rsid w:val="00997125"/>
    <w:rsid w:val="009972C2"/>
    <w:rsid w:val="0099742B"/>
    <w:rsid w:val="009977D8"/>
    <w:rsid w:val="009978D9"/>
    <w:rsid w:val="009979E0"/>
    <w:rsid w:val="00997B8F"/>
    <w:rsid w:val="00997D30"/>
    <w:rsid w:val="00997D80"/>
    <w:rsid w:val="00997E52"/>
    <w:rsid w:val="009A0422"/>
    <w:rsid w:val="009A058F"/>
    <w:rsid w:val="009A0598"/>
    <w:rsid w:val="009A0D12"/>
    <w:rsid w:val="009A0E23"/>
    <w:rsid w:val="009A16CA"/>
    <w:rsid w:val="009A1B4C"/>
    <w:rsid w:val="009A2015"/>
    <w:rsid w:val="009A21B0"/>
    <w:rsid w:val="009A28C5"/>
    <w:rsid w:val="009A29BA"/>
    <w:rsid w:val="009A2D04"/>
    <w:rsid w:val="009A3066"/>
    <w:rsid w:val="009A31AA"/>
    <w:rsid w:val="009A33F1"/>
    <w:rsid w:val="009A3477"/>
    <w:rsid w:val="009A36E6"/>
    <w:rsid w:val="009A3775"/>
    <w:rsid w:val="009A3D74"/>
    <w:rsid w:val="009A3EFA"/>
    <w:rsid w:val="009A453A"/>
    <w:rsid w:val="009A4694"/>
    <w:rsid w:val="009A4718"/>
    <w:rsid w:val="009A4898"/>
    <w:rsid w:val="009A48CD"/>
    <w:rsid w:val="009A4D8E"/>
    <w:rsid w:val="009A5018"/>
    <w:rsid w:val="009A56DD"/>
    <w:rsid w:val="009A5871"/>
    <w:rsid w:val="009A5D1C"/>
    <w:rsid w:val="009A5DC2"/>
    <w:rsid w:val="009A5ED1"/>
    <w:rsid w:val="009A5FF2"/>
    <w:rsid w:val="009A658D"/>
    <w:rsid w:val="009A65D2"/>
    <w:rsid w:val="009A6985"/>
    <w:rsid w:val="009A6A2D"/>
    <w:rsid w:val="009A6D0C"/>
    <w:rsid w:val="009A7AE9"/>
    <w:rsid w:val="009B011C"/>
    <w:rsid w:val="009B01B3"/>
    <w:rsid w:val="009B0419"/>
    <w:rsid w:val="009B0641"/>
    <w:rsid w:val="009B0B99"/>
    <w:rsid w:val="009B0C6B"/>
    <w:rsid w:val="009B0FDF"/>
    <w:rsid w:val="009B113E"/>
    <w:rsid w:val="009B1805"/>
    <w:rsid w:val="009B1B99"/>
    <w:rsid w:val="009B1D58"/>
    <w:rsid w:val="009B1FE9"/>
    <w:rsid w:val="009B2312"/>
    <w:rsid w:val="009B2541"/>
    <w:rsid w:val="009B2AAF"/>
    <w:rsid w:val="009B2BFA"/>
    <w:rsid w:val="009B2D3D"/>
    <w:rsid w:val="009B2E0F"/>
    <w:rsid w:val="009B302F"/>
    <w:rsid w:val="009B3060"/>
    <w:rsid w:val="009B34D9"/>
    <w:rsid w:val="009B3A13"/>
    <w:rsid w:val="009B3C1F"/>
    <w:rsid w:val="009B3DE9"/>
    <w:rsid w:val="009B3E9E"/>
    <w:rsid w:val="009B3F5A"/>
    <w:rsid w:val="009B3FD4"/>
    <w:rsid w:val="009B40ED"/>
    <w:rsid w:val="009B4256"/>
    <w:rsid w:val="009B45A8"/>
    <w:rsid w:val="009B48F2"/>
    <w:rsid w:val="009B48F8"/>
    <w:rsid w:val="009B5EE6"/>
    <w:rsid w:val="009B63EA"/>
    <w:rsid w:val="009B6AA3"/>
    <w:rsid w:val="009B713B"/>
    <w:rsid w:val="009B717C"/>
    <w:rsid w:val="009B7625"/>
    <w:rsid w:val="009B778C"/>
    <w:rsid w:val="009B7BCD"/>
    <w:rsid w:val="009B7BD3"/>
    <w:rsid w:val="009B7ED4"/>
    <w:rsid w:val="009B7FE4"/>
    <w:rsid w:val="009C00B9"/>
    <w:rsid w:val="009C0471"/>
    <w:rsid w:val="009C06C0"/>
    <w:rsid w:val="009C0E13"/>
    <w:rsid w:val="009C1704"/>
    <w:rsid w:val="009C1D4F"/>
    <w:rsid w:val="009C2113"/>
    <w:rsid w:val="009C2153"/>
    <w:rsid w:val="009C2458"/>
    <w:rsid w:val="009C2541"/>
    <w:rsid w:val="009C263F"/>
    <w:rsid w:val="009C2816"/>
    <w:rsid w:val="009C2BF3"/>
    <w:rsid w:val="009C2D3F"/>
    <w:rsid w:val="009C2DA3"/>
    <w:rsid w:val="009C30CA"/>
    <w:rsid w:val="009C3167"/>
    <w:rsid w:val="009C319A"/>
    <w:rsid w:val="009C3206"/>
    <w:rsid w:val="009C325E"/>
    <w:rsid w:val="009C3322"/>
    <w:rsid w:val="009C33E9"/>
    <w:rsid w:val="009C3447"/>
    <w:rsid w:val="009C3E9E"/>
    <w:rsid w:val="009C4B6C"/>
    <w:rsid w:val="009C4C09"/>
    <w:rsid w:val="009C4E56"/>
    <w:rsid w:val="009C4E6F"/>
    <w:rsid w:val="009C547C"/>
    <w:rsid w:val="009C55D0"/>
    <w:rsid w:val="009C55EF"/>
    <w:rsid w:val="009C5D1C"/>
    <w:rsid w:val="009C60DE"/>
    <w:rsid w:val="009C61C1"/>
    <w:rsid w:val="009C642D"/>
    <w:rsid w:val="009C6C27"/>
    <w:rsid w:val="009C6FAA"/>
    <w:rsid w:val="009C7437"/>
    <w:rsid w:val="009C7448"/>
    <w:rsid w:val="009C7F36"/>
    <w:rsid w:val="009D0A86"/>
    <w:rsid w:val="009D0D0A"/>
    <w:rsid w:val="009D0EAD"/>
    <w:rsid w:val="009D0ED0"/>
    <w:rsid w:val="009D0F92"/>
    <w:rsid w:val="009D1297"/>
    <w:rsid w:val="009D15BE"/>
    <w:rsid w:val="009D1659"/>
    <w:rsid w:val="009D17AA"/>
    <w:rsid w:val="009D17F6"/>
    <w:rsid w:val="009D1DEA"/>
    <w:rsid w:val="009D21AC"/>
    <w:rsid w:val="009D2890"/>
    <w:rsid w:val="009D2C56"/>
    <w:rsid w:val="009D2D4A"/>
    <w:rsid w:val="009D304A"/>
    <w:rsid w:val="009D3076"/>
    <w:rsid w:val="009D3188"/>
    <w:rsid w:val="009D3246"/>
    <w:rsid w:val="009D3278"/>
    <w:rsid w:val="009D3381"/>
    <w:rsid w:val="009D3683"/>
    <w:rsid w:val="009D3755"/>
    <w:rsid w:val="009D38AB"/>
    <w:rsid w:val="009D3954"/>
    <w:rsid w:val="009D3D08"/>
    <w:rsid w:val="009D4223"/>
    <w:rsid w:val="009D4323"/>
    <w:rsid w:val="009D445E"/>
    <w:rsid w:val="009D446E"/>
    <w:rsid w:val="009D4527"/>
    <w:rsid w:val="009D4878"/>
    <w:rsid w:val="009D48EA"/>
    <w:rsid w:val="009D4A48"/>
    <w:rsid w:val="009D51A8"/>
    <w:rsid w:val="009D5542"/>
    <w:rsid w:val="009D5955"/>
    <w:rsid w:val="009D59C5"/>
    <w:rsid w:val="009D606D"/>
    <w:rsid w:val="009D6138"/>
    <w:rsid w:val="009D642D"/>
    <w:rsid w:val="009D6ABF"/>
    <w:rsid w:val="009D6D42"/>
    <w:rsid w:val="009D6E1D"/>
    <w:rsid w:val="009D6EC6"/>
    <w:rsid w:val="009D7158"/>
    <w:rsid w:val="009D7916"/>
    <w:rsid w:val="009D7ACD"/>
    <w:rsid w:val="009D7C33"/>
    <w:rsid w:val="009D7DB9"/>
    <w:rsid w:val="009D7F44"/>
    <w:rsid w:val="009E00ED"/>
    <w:rsid w:val="009E0557"/>
    <w:rsid w:val="009E075D"/>
    <w:rsid w:val="009E07B3"/>
    <w:rsid w:val="009E07DC"/>
    <w:rsid w:val="009E0810"/>
    <w:rsid w:val="009E0A89"/>
    <w:rsid w:val="009E0F6B"/>
    <w:rsid w:val="009E1018"/>
    <w:rsid w:val="009E1259"/>
    <w:rsid w:val="009E1346"/>
    <w:rsid w:val="009E1642"/>
    <w:rsid w:val="009E16B6"/>
    <w:rsid w:val="009E17F8"/>
    <w:rsid w:val="009E1AE8"/>
    <w:rsid w:val="009E1BD1"/>
    <w:rsid w:val="009E1C9B"/>
    <w:rsid w:val="009E1D8B"/>
    <w:rsid w:val="009E1DAD"/>
    <w:rsid w:val="009E1E9A"/>
    <w:rsid w:val="009E217E"/>
    <w:rsid w:val="009E2319"/>
    <w:rsid w:val="009E233D"/>
    <w:rsid w:val="009E2953"/>
    <w:rsid w:val="009E3175"/>
    <w:rsid w:val="009E3558"/>
    <w:rsid w:val="009E36C8"/>
    <w:rsid w:val="009E37E0"/>
    <w:rsid w:val="009E38C3"/>
    <w:rsid w:val="009E3963"/>
    <w:rsid w:val="009E3EE1"/>
    <w:rsid w:val="009E4022"/>
    <w:rsid w:val="009E4B44"/>
    <w:rsid w:val="009E5031"/>
    <w:rsid w:val="009E536D"/>
    <w:rsid w:val="009E540F"/>
    <w:rsid w:val="009E5458"/>
    <w:rsid w:val="009E5699"/>
    <w:rsid w:val="009E5D6E"/>
    <w:rsid w:val="009E66F2"/>
    <w:rsid w:val="009E6705"/>
    <w:rsid w:val="009E6A4B"/>
    <w:rsid w:val="009E6C96"/>
    <w:rsid w:val="009E7409"/>
    <w:rsid w:val="009E7642"/>
    <w:rsid w:val="009E78E1"/>
    <w:rsid w:val="009E7BBE"/>
    <w:rsid w:val="009F01D0"/>
    <w:rsid w:val="009F0508"/>
    <w:rsid w:val="009F069E"/>
    <w:rsid w:val="009F081F"/>
    <w:rsid w:val="009F0991"/>
    <w:rsid w:val="009F0F79"/>
    <w:rsid w:val="009F104F"/>
    <w:rsid w:val="009F13C0"/>
    <w:rsid w:val="009F1439"/>
    <w:rsid w:val="009F164E"/>
    <w:rsid w:val="009F175C"/>
    <w:rsid w:val="009F19F5"/>
    <w:rsid w:val="009F1A1E"/>
    <w:rsid w:val="009F1A68"/>
    <w:rsid w:val="009F1D3A"/>
    <w:rsid w:val="009F1EB8"/>
    <w:rsid w:val="009F1FF1"/>
    <w:rsid w:val="009F2020"/>
    <w:rsid w:val="009F20D3"/>
    <w:rsid w:val="009F212D"/>
    <w:rsid w:val="009F248E"/>
    <w:rsid w:val="009F2AFE"/>
    <w:rsid w:val="009F3080"/>
    <w:rsid w:val="009F32EC"/>
    <w:rsid w:val="009F33BF"/>
    <w:rsid w:val="009F33E6"/>
    <w:rsid w:val="009F3487"/>
    <w:rsid w:val="009F3621"/>
    <w:rsid w:val="009F3A0E"/>
    <w:rsid w:val="009F3D02"/>
    <w:rsid w:val="009F4166"/>
    <w:rsid w:val="009F41DA"/>
    <w:rsid w:val="009F434B"/>
    <w:rsid w:val="009F45A6"/>
    <w:rsid w:val="009F4991"/>
    <w:rsid w:val="009F4A5C"/>
    <w:rsid w:val="009F4FCA"/>
    <w:rsid w:val="009F5669"/>
    <w:rsid w:val="009F5B5E"/>
    <w:rsid w:val="009F5BD0"/>
    <w:rsid w:val="009F5D1F"/>
    <w:rsid w:val="009F5FCC"/>
    <w:rsid w:val="009F602A"/>
    <w:rsid w:val="009F60A2"/>
    <w:rsid w:val="009F6182"/>
    <w:rsid w:val="009F648F"/>
    <w:rsid w:val="009F680F"/>
    <w:rsid w:val="009F6D5B"/>
    <w:rsid w:val="009F7268"/>
    <w:rsid w:val="009F752A"/>
    <w:rsid w:val="009F785D"/>
    <w:rsid w:val="009F78CE"/>
    <w:rsid w:val="009F793A"/>
    <w:rsid w:val="009F79F8"/>
    <w:rsid w:val="009F7A2A"/>
    <w:rsid w:val="00A00190"/>
    <w:rsid w:val="00A00D4B"/>
    <w:rsid w:val="00A00D87"/>
    <w:rsid w:val="00A01337"/>
    <w:rsid w:val="00A013EC"/>
    <w:rsid w:val="00A0147C"/>
    <w:rsid w:val="00A01618"/>
    <w:rsid w:val="00A01708"/>
    <w:rsid w:val="00A019C6"/>
    <w:rsid w:val="00A01FA5"/>
    <w:rsid w:val="00A021B4"/>
    <w:rsid w:val="00A024E4"/>
    <w:rsid w:val="00A0293E"/>
    <w:rsid w:val="00A02BC4"/>
    <w:rsid w:val="00A02C6F"/>
    <w:rsid w:val="00A02E74"/>
    <w:rsid w:val="00A03658"/>
    <w:rsid w:val="00A036DC"/>
    <w:rsid w:val="00A03A51"/>
    <w:rsid w:val="00A0405D"/>
    <w:rsid w:val="00A04795"/>
    <w:rsid w:val="00A047C0"/>
    <w:rsid w:val="00A04B14"/>
    <w:rsid w:val="00A05058"/>
    <w:rsid w:val="00A0541F"/>
    <w:rsid w:val="00A05796"/>
    <w:rsid w:val="00A05B09"/>
    <w:rsid w:val="00A05BA4"/>
    <w:rsid w:val="00A05BDE"/>
    <w:rsid w:val="00A05C17"/>
    <w:rsid w:val="00A05CC2"/>
    <w:rsid w:val="00A05D22"/>
    <w:rsid w:val="00A05EC4"/>
    <w:rsid w:val="00A06474"/>
    <w:rsid w:val="00A065CD"/>
    <w:rsid w:val="00A0681B"/>
    <w:rsid w:val="00A06D30"/>
    <w:rsid w:val="00A072F0"/>
    <w:rsid w:val="00A076F0"/>
    <w:rsid w:val="00A0789C"/>
    <w:rsid w:val="00A1088D"/>
    <w:rsid w:val="00A10A06"/>
    <w:rsid w:val="00A10CC5"/>
    <w:rsid w:val="00A11325"/>
    <w:rsid w:val="00A1132C"/>
    <w:rsid w:val="00A113C2"/>
    <w:rsid w:val="00A1146C"/>
    <w:rsid w:val="00A115AF"/>
    <w:rsid w:val="00A119D8"/>
    <w:rsid w:val="00A11D59"/>
    <w:rsid w:val="00A1235B"/>
    <w:rsid w:val="00A123C9"/>
    <w:rsid w:val="00A12B6D"/>
    <w:rsid w:val="00A132BC"/>
    <w:rsid w:val="00A13470"/>
    <w:rsid w:val="00A1350C"/>
    <w:rsid w:val="00A13617"/>
    <w:rsid w:val="00A136E5"/>
    <w:rsid w:val="00A13ABE"/>
    <w:rsid w:val="00A13D94"/>
    <w:rsid w:val="00A14363"/>
    <w:rsid w:val="00A143A3"/>
    <w:rsid w:val="00A143C6"/>
    <w:rsid w:val="00A144BB"/>
    <w:rsid w:val="00A14799"/>
    <w:rsid w:val="00A14A11"/>
    <w:rsid w:val="00A14C12"/>
    <w:rsid w:val="00A14D9C"/>
    <w:rsid w:val="00A14F74"/>
    <w:rsid w:val="00A150A5"/>
    <w:rsid w:val="00A150C9"/>
    <w:rsid w:val="00A15576"/>
    <w:rsid w:val="00A15E83"/>
    <w:rsid w:val="00A16112"/>
    <w:rsid w:val="00A16288"/>
    <w:rsid w:val="00A16362"/>
    <w:rsid w:val="00A16A67"/>
    <w:rsid w:val="00A16C3D"/>
    <w:rsid w:val="00A1721F"/>
    <w:rsid w:val="00A1747E"/>
    <w:rsid w:val="00A174CF"/>
    <w:rsid w:val="00A17580"/>
    <w:rsid w:val="00A1780B"/>
    <w:rsid w:val="00A1797B"/>
    <w:rsid w:val="00A17B2C"/>
    <w:rsid w:val="00A2016B"/>
    <w:rsid w:val="00A20208"/>
    <w:rsid w:val="00A203B8"/>
    <w:rsid w:val="00A2090F"/>
    <w:rsid w:val="00A20A6A"/>
    <w:rsid w:val="00A20ADF"/>
    <w:rsid w:val="00A20C18"/>
    <w:rsid w:val="00A20CDA"/>
    <w:rsid w:val="00A20DA8"/>
    <w:rsid w:val="00A20EA3"/>
    <w:rsid w:val="00A2118D"/>
    <w:rsid w:val="00A21251"/>
    <w:rsid w:val="00A21584"/>
    <w:rsid w:val="00A219A7"/>
    <w:rsid w:val="00A21B57"/>
    <w:rsid w:val="00A21DE0"/>
    <w:rsid w:val="00A2215D"/>
    <w:rsid w:val="00A221A7"/>
    <w:rsid w:val="00A22253"/>
    <w:rsid w:val="00A222D3"/>
    <w:rsid w:val="00A224F5"/>
    <w:rsid w:val="00A22656"/>
    <w:rsid w:val="00A2271F"/>
    <w:rsid w:val="00A227E2"/>
    <w:rsid w:val="00A229A7"/>
    <w:rsid w:val="00A231F1"/>
    <w:rsid w:val="00A236AF"/>
    <w:rsid w:val="00A238C8"/>
    <w:rsid w:val="00A23A07"/>
    <w:rsid w:val="00A23BF9"/>
    <w:rsid w:val="00A23C1F"/>
    <w:rsid w:val="00A23F33"/>
    <w:rsid w:val="00A2408E"/>
    <w:rsid w:val="00A240F4"/>
    <w:rsid w:val="00A24113"/>
    <w:rsid w:val="00A243AF"/>
    <w:rsid w:val="00A253F1"/>
    <w:rsid w:val="00A2553A"/>
    <w:rsid w:val="00A2575A"/>
    <w:rsid w:val="00A25828"/>
    <w:rsid w:val="00A25971"/>
    <w:rsid w:val="00A26678"/>
    <w:rsid w:val="00A26AF4"/>
    <w:rsid w:val="00A26B0F"/>
    <w:rsid w:val="00A270D8"/>
    <w:rsid w:val="00A27624"/>
    <w:rsid w:val="00A276DE"/>
    <w:rsid w:val="00A27718"/>
    <w:rsid w:val="00A277F1"/>
    <w:rsid w:val="00A2780F"/>
    <w:rsid w:val="00A27C20"/>
    <w:rsid w:val="00A27DDF"/>
    <w:rsid w:val="00A27F4D"/>
    <w:rsid w:val="00A30282"/>
    <w:rsid w:val="00A30960"/>
    <w:rsid w:val="00A30B68"/>
    <w:rsid w:val="00A30CEF"/>
    <w:rsid w:val="00A30EBC"/>
    <w:rsid w:val="00A31067"/>
    <w:rsid w:val="00A3133A"/>
    <w:rsid w:val="00A313A4"/>
    <w:rsid w:val="00A313B1"/>
    <w:rsid w:val="00A314E8"/>
    <w:rsid w:val="00A31D89"/>
    <w:rsid w:val="00A3200D"/>
    <w:rsid w:val="00A320DC"/>
    <w:rsid w:val="00A322D0"/>
    <w:rsid w:val="00A32828"/>
    <w:rsid w:val="00A32D14"/>
    <w:rsid w:val="00A333FF"/>
    <w:rsid w:val="00A33413"/>
    <w:rsid w:val="00A334EC"/>
    <w:rsid w:val="00A33911"/>
    <w:rsid w:val="00A33C6B"/>
    <w:rsid w:val="00A33FA0"/>
    <w:rsid w:val="00A34618"/>
    <w:rsid w:val="00A34904"/>
    <w:rsid w:val="00A34A51"/>
    <w:rsid w:val="00A34B99"/>
    <w:rsid w:val="00A34C74"/>
    <w:rsid w:val="00A34DBA"/>
    <w:rsid w:val="00A34EF4"/>
    <w:rsid w:val="00A35462"/>
    <w:rsid w:val="00A35483"/>
    <w:rsid w:val="00A35541"/>
    <w:rsid w:val="00A356AA"/>
    <w:rsid w:val="00A359A8"/>
    <w:rsid w:val="00A35DB6"/>
    <w:rsid w:val="00A35E6B"/>
    <w:rsid w:val="00A35F2B"/>
    <w:rsid w:val="00A36048"/>
    <w:rsid w:val="00A36EAC"/>
    <w:rsid w:val="00A3737D"/>
    <w:rsid w:val="00A378E6"/>
    <w:rsid w:val="00A37A99"/>
    <w:rsid w:val="00A37B4B"/>
    <w:rsid w:val="00A37B77"/>
    <w:rsid w:val="00A37C72"/>
    <w:rsid w:val="00A37CF0"/>
    <w:rsid w:val="00A37DE1"/>
    <w:rsid w:val="00A37EAF"/>
    <w:rsid w:val="00A40AB0"/>
    <w:rsid w:val="00A40D45"/>
    <w:rsid w:val="00A40D9E"/>
    <w:rsid w:val="00A40E86"/>
    <w:rsid w:val="00A40F75"/>
    <w:rsid w:val="00A412BE"/>
    <w:rsid w:val="00A41407"/>
    <w:rsid w:val="00A4158B"/>
    <w:rsid w:val="00A41599"/>
    <w:rsid w:val="00A417EB"/>
    <w:rsid w:val="00A41DFE"/>
    <w:rsid w:val="00A42320"/>
    <w:rsid w:val="00A42401"/>
    <w:rsid w:val="00A42411"/>
    <w:rsid w:val="00A4250A"/>
    <w:rsid w:val="00A42567"/>
    <w:rsid w:val="00A4272E"/>
    <w:rsid w:val="00A42913"/>
    <w:rsid w:val="00A4293F"/>
    <w:rsid w:val="00A43138"/>
    <w:rsid w:val="00A43218"/>
    <w:rsid w:val="00A435D5"/>
    <w:rsid w:val="00A4364F"/>
    <w:rsid w:val="00A4365F"/>
    <w:rsid w:val="00A43B6C"/>
    <w:rsid w:val="00A43C0C"/>
    <w:rsid w:val="00A43C12"/>
    <w:rsid w:val="00A43E25"/>
    <w:rsid w:val="00A4474B"/>
    <w:rsid w:val="00A44A35"/>
    <w:rsid w:val="00A44CC0"/>
    <w:rsid w:val="00A44CC3"/>
    <w:rsid w:val="00A44D72"/>
    <w:rsid w:val="00A4539C"/>
    <w:rsid w:val="00A45AE3"/>
    <w:rsid w:val="00A45C71"/>
    <w:rsid w:val="00A45C72"/>
    <w:rsid w:val="00A45D78"/>
    <w:rsid w:val="00A45DCC"/>
    <w:rsid w:val="00A45F3D"/>
    <w:rsid w:val="00A45F65"/>
    <w:rsid w:val="00A45F69"/>
    <w:rsid w:val="00A45FE4"/>
    <w:rsid w:val="00A46678"/>
    <w:rsid w:val="00A466AF"/>
    <w:rsid w:val="00A468A8"/>
    <w:rsid w:val="00A468C9"/>
    <w:rsid w:val="00A46DB0"/>
    <w:rsid w:val="00A46E77"/>
    <w:rsid w:val="00A4710F"/>
    <w:rsid w:val="00A47177"/>
    <w:rsid w:val="00A47327"/>
    <w:rsid w:val="00A4758B"/>
    <w:rsid w:val="00A475C4"/>
    <w:rsid w:val="00A47CF5"/>
    <w:rsid w:val="00A5008D"/>
    <w:rsid w:val="00A500EB"/>
    <w:rsid w:val="00A5018F"/>
    <w:rsid w:val="00A50356"/>
    <w:rsid w:val="00A509EC"/>
    <w:rsid w:val="00A50B68"/>
    <w:rsid w:val="00A50C81"/>
    <w:rsid w:val="00A50E17"/>
    <w:rsid w:val="00A51170"/>
    <w:rsid w:val="00A518A5"/>
    <w:rsid w:val="00A51943"/>
    <w:rsid w:val="00A51972"/>
    <w:rsid w:val="00A51D65"/>
    <w:rsid w:val="00A523A7"/>
    <w:rsid w:val="00A526F4"/>
    <w:rsid w:val="00A52AD4"/>
    <w:rsid w:val="00A52AD6"/>
    <w:rsid w:val="00A52ADB"/>
    <w:rsid w:val="00A53690"/>
    <w:rsid w:val="00A539CB"/>
    <w:rsid w:val="00A53AF7"/>
    <w:rsid w:val="00A53EFC"/>
    <w:rsid w:val="00A540FD"/>
    <w:rsid w:val="00A54A76"/>
    <w:rsid w:val="00A54AAF"/>
    <w:rsid w:val="00A54D09"/>
    <w:rsid w:val="00A54EED"/>
    <w:rsid w:val="00A55575"/>
    <w:rsid w:val="00A55D7C"/>
    <w:rsid w:val="00A55FD8"/>
    <w:rsid w:val="00A56164"/>
    <w:rsid w:val="00A56EF4"/>
    <w:rsid w:val="00A570CA"/>
    <w:rsid w:val="00A5743B"/>
    <w:rsid w:val="00A5764F"/>
    <w:rsid w:val="00A5785C"/>
    <w:rsid w:val="00A60237"/>
    <w:rsid w:val="00A603EB"/>
    <w:rsid w:val="00A604DC"/>
    <w:rsid w:val="00A6056B"/>
    <w:rsid w:val="00A6056C"/>
    <w:rsid w:val="00A60931"/>
    <w:rsid w:val="00A60CB2"/>
    <w:rsid w:val="00A613A2"/>
    <w:rsid w:val="00A618FA"/>
    <w:rsid w:val="00A61982"/>
    <w:rsid w:val="00A61A2D"/>
    <w:rsid w:val="00A61ACA"/>
    <w:rsid w:val="00A61B89"/>
    <w:rsid w:val="00A61D88"/>
    <w:rsid w:val="00A62584"/>
    <w:rsid w:val="00A62716"/>
    <w:rsid w:val="00A62736"/>
    <w:rsid w:val="00A627CD"/>
    <w:rsid w:val="00A62ECB"/>
    <w:rsid w:val="00A631DD"/>
    <w:rsid w:val="00A6353D"/>
    <w:rsid w:val="00A635BE"/>
    <w:rsid w:val="00A63EFE"/>
    <w:rsid w:val="00A641B3"/>
    <w:rsid w:val="00A64469"/>
    <w:rsid w:val="00A648D4"/>
    <w:rsid w:val="00A64CA7"/>
    <w:rsid w:val="00A64EE6"/>
    <w:rsid w:val="00A655C8"/>
    <w:rsid w:val="00A65703"/>
    <w:rsid w:val="00A65CFD"/>
    <w:rsid w:val="00A65E09"/>
    <w:rsid w:val="00A65EF2"/>
    <w:rsid w:val="00A6607B"/>
    <w:rsid w:val="00A66093"/>
    <w:rsid w:val="00A660AC"/>
    <w:rsid w:val="00A665F5"/>
    <w:rsid w:val="00A6679F"/>
    <w:rsid w:val="00A66820"/>
    <w:rsid w:val="00A6698C"/>
    <w:rsid w:val="00A66CE4"/>
    <w:rsid w:val="00A66FBD"/>
    <w:rsid w:val="00A670D6"/>
    <w:rsid w:val="00A67440"/>
    <w:rsid w:val="00A674D5"/>
    <w:rsid w:val="00A67832"/>
    <w:rsid w:val="00A678A0"/>
    <w:rsid w:val="00A67B10"/>
    <w:rsid w:val="00A67FE3"/>
    <w:rsid w:val="00A70006"/>
    <w:rsid w:val="00A7038C"/>
    <w:rsid w:val="00A703E9"/>
    <w:rsid w:val="00A70468"/>
    <w:rsid w:val="00A704BF"/>
    <w:rsid w:val="00A704D0"/>
    <w:rsid w:val="00A70A23"/>
    <w:rsid w:val="00A70C97"/>
    <w:rsid w:val="00A70DA8"/>
    <w:rsid w:val="00A70DC9"/>
    <w:rsid w:val="00A70E54"/>
    <w:rsid w:val="00A71484"/>
    <w:rsid w:val="00A7151D"/>
    <w:rsid w:val="00A7174E"/>
    <w:rsid w:val="00A71823"/>
    <w:rsid w:val="00A71C6D"/>
    <w:rsid w:val="00A7204A"/>
    <w:rsid w:val="00A72773"/>
    <w:rsid w:val="00A7328B"/>
    <w:rsid w:val="00A73332"/>
    <w:rsid w:val="00A73602"/>
    <w:rsid w:val="00A73834"/>
    <w:rsid w:val="00A73A38"/>
    <w:rsid w:val="00A73BAB"/>
    <w:rsid w:val="00A73C4F"/>
    <w:rsid w:val="00A74D62"/>
    <w:rsid w:val="00A75363"/>
    <w:rsid w:val="00A759CC"/>
    <w:rsid w:val="00A75A0A"/>
    <w:rsid w:val="00A75AC5"/>
    <w:rsid w:val="00A75BCD"/>
    <w:rsid w:val="00A75C6E"/>
    <w:rsid w:val="00A763DE"/>
    <w:rsid w:val="00A7652D"/>
    <w:rsid w:val="00A77137"/>
    <w:rsid w:val="00A77859"/>
    <w:rsid w:val="00A77A57"/>
    <w:rsid w:val="00A77E7F"/>
    <w:rsid w:val="00A77F28"/>
    <w:rsid w:val="00A80418"/>
    <w:rsid w:val="00A8043E"/>
    <w:rsid w:val="00A808AA"/>
    <w:rsid w:val="00A80B4F"/>
    <w:rsid w:val="00A81807"/>
    <w:rsid w:val="00A81B81"/>
    <w:rsid w:val="00A81D60"/>
    <w:rsid w:val="00A81F4A"/>
    <w:rsid w:val="00A82611"/>
    <w:rsid w:val="00A829E8"/>
    <w:rsid w:val="00A82DDF"/>
    <w:rsid w:val="00A82E6B"/>
    <w:rsid w:val="00A83006"/>
    <w:rsid w:val="00A83509"/>
    <w:rsid w:val="00A8354C"/>
    <w:rsid w:val="00A83DD9"/>
    <w:rsid w:val="00A8427B"/>
    <w:rsid w:val="00A8445C"/>
    <w:rsid w:val="00A84514"/>
    <w:rsid w:val="00A847AE"/>
    <w:rsid w:val="00A849AD"/>
    <w:rsid w:val="00A849AF"/>
    <w:rsid w:val="00A84C8B"/>
    <w:rsid w:val="00A85086"/>
    <w:rsid w:val="00A85221"/>
    <w:rsid w:val="00A852EC"/>
    <w:rsid w:val="00A853C1"/>
    <w:rsid w:val="00A8554A"/>
    <w:rsid w:val="00A858E6"/>
    <w:rsid w:val="00A86104"/>
    <w:rsid w:val="00A86768"/>
    <w:rsid w:val="00A8676E"/>
    <w:rsid w:val="00A868B7"/>
    <w:rsid w:val="00A869DE"/>
    <w:rsid w:val="00A86EB3"/>
    <w:rsid w:val="00A87033"/>
    <w:rsid w:val="00A871ED"/>
    <w:rsid w:val="00A8779D"/>
    <w:rsid w:val="00A87D5D"/>
    <w:rsid w:val="00A87E14"/>
    <w:rsid w:val="00A87FC7"/>
    <w:rsid w:val="00A87FC9"/>
    <w:rsid w:val="00A90061"/>
    <w:rsid w:val="00A90062"/>
    <w:rsid w:val="00A90431"/>
    <w:rsid w:val="00A905D6"/>
    <w:rsid w:val="00A90889"/>
    <w:rsid w:val="00A909CC"/>
    <w:rsid w:val="00A90C10"/>
    <w:rsid w:val="00A91205"/>
    <w:rsid w:val="00A9179B"/>
    <w:rsid w:val="00A91BC8"/>
    <w:rsid w:val="00A91F70"/>
    <w:rsid w:val="00A92CCC"/>
    <w:rsid w:val="00A92E18"/>
    <w:rsid w:val="00A930C7"/>
    <w:rsid w:val="00A93159"/>
    <w:rsid w:val="00A93713"/>
    <w:rsid w:val="00A93A26"/>
    <w:rsid w:val="00A93B44"/>
    <w:rsid w:val="00A93CDC"/>
    <w:rsid w:val="00A93EF3"/>
    <w:rsid w:val="00A941C6"/>
    <w:rsid w:val="00A94320"/>
    <w:rsid w:val="00A94537"/>
    <w:rsid w:val="00A946B7"/>
    <w:rsid w:val="00A9475D"/>
    <w:rsid w:val="00A949F5"/>
    <w:rsid w:val="00A94AC5"/>
    <w:rsid w:val="00A94FBC"/>
    <w:rsid w:val="00A95924"/>
    <w:rsid w:val="00A95CC9"/>
    <w:rsid w:val="00A9671C"/>
    <w:rsid w:val="00A967A1"/>
    <w:rsid w:val="00A969E3"/>
    <w:rsid w:val="00A96A82"/>
    <w:rsid w:val="00A96B89"/>
    <w:rsid w:val="00A971D2"/>
    <w:rsid w:val="00A9737C"/>
    <w:rsid w:val="00A97597"/>
    <w:rsid w:val="00A97A40"/>
    <w:rsid w:val="00A97F2F"/>
    <w:rsid w:val="00AA052F"/>
    <w:rsid w:val="00AA05B1"/>
    <w:rsid w:val="00AA06F5"/>
    <w:rsid w:val="00AA0854"/>
    <w:rsid w:val="00AA0C41"/>
    <w:rsid w:val="00AA0F8F"/>
    <w:rsid w:val="00AA129C"/>
    <w:rsid w:val="00AA12C4"/>
    <w:rsid w:val="00AA1400"/>
    <w:rsid w:val="00AA1A3D"/>
    <w:rsid w:val="00AA212A"/>
    <w:rsid w:val="00AA23DA"/>
    <w:rsid w:val="00AA25EC"/>
    <w:rsid w:val="00AA26E3"/>
    <w:rsid w:val="00AA2763"/>
    <w:rsid w:val="00AA27A7"/>
    <w:rsid w:val="00AA3281"/>
    <w:rsid w:val="00AA34F3"/>
    <w:rsid w:val="00AA3B5F"/>
    <w:rsid w:val="00AA3B88"/>
    <w:rsid w:val="00AA3F70"/>
    <w:rsid w:val="00AA4206"/>
    <w:rsid w:val="00AA4407"/>
    <w:rsid w:val="00AA4472"/>
    <w:rsid w:val="00AA4484"/>
    <w:rsid w:val="00AA463E"/>
    <w:rsid w:val="00AA47CE"/>
    <w:rsid w:val="00AA4832"/>
    <w:rsid w:val="00AA4AB1"/>
    <w:rsid w:val="00AA4DC8"/>
    <w:rsid w:val="00AA4F51"/>
    <w:rsid w:val="00AA501F"/>
    <w:rsid w:val="00AA524A"/>
    <w:rsid w:val="00AA539E"/>
    <w:rsid w:val="00AA53A9"/>
    <w:rsid w:val="00AA5534"/>
    <w:rsid w:val="00AA570A"/>
    <w:rsid w:val="00AA5A45"/>
    <w:rsid w:val="00AA5A79"/>
    <w:rsid w:val="00AA5D86"/>
    <w:rsid w:val="00AA625E"/>
    <w:rsid w:val="00AA66E2"/>
    <w:rsid w:val="00AA670E"/>
    <w:rsid w:val="00AA6739"/>
    <w:rsid w:val="00AA6CC3"/>
    <w:rsid w:val="00AA7314"/>
    <w:rsid w:val="00AA7953"/>
    <w:rsid w:val="00AA7C5E"/>
    <w:rsid w:val="00AA7ED9"/>
    <w:rsid w:val="00AA7FF7"/>
    <w:rsid w:val="00AB022F"/>
    <w:rsid w:val="00AB02E2"/>
    <w:rsid w:val="00AB0429"/>
    <w:rsid w:val="00AB06AE"/>
    <w:rsid w:val="00AB06BB"/>
    <w:rsid w:val="00AB081A"/>
    <w:rsid w:val="00AB0A36"/>
    <w:rsid w:val="00AB0E6B"/>
    <w:rsid w:val="00AB188F"/>
    <w:rsid w:val="00AB1A9E"/>
    <w:rsid w:val="00AB1C80"/>
    <w:rsid w:val="00AB1F2D"/>
    <w:rsid w:val="00AB21AF"/>
    <w:rsid w:val="00AB258C"/>
    <w:rsid w:val="00AB26EF"/>
    <w:rsid w:val="00AB31A9"/>
    <w:rsid w:val="00AB32C3"/>
    <w:rsid w:val="00AB3322"/>
    <w:rsid w:val="00AB374C"/>
    <w:rsid w:val="00AB3798"/>
    <w:rsid w:val="00AB382E"/>
    <w:rsid w:val="00AB39D8"/>
    <w:rsid w:val="00AB421F"/>
    <w:rsid w:val="00AB45FD"/>
    <w:rsid w:val="00AB47F5"/>
    <w:rsid w:val="00AB483E"/>
    <w:rsid w:val="00AB4D60"/>
    <w:rsid w:val="00AB4EF1"/>
    <w:rsid w:val="00AB540F"/>
    <w:rsid w:val="00AB54AF"/>
    <w:rsid w:val="00AB594D"/>
    <w:rsid w:val="00AB5994"/>
    <w:rsid w:val="00AB5C20"/>
    <w:rsid w:val="00AB5E36"/>
    <w:rsid w:val="00AB62CA"/>
    <w:rsid w:val="00AB6587"/>
    <w:rsid w:val="00AB67B0"/>
    <w:rsid w:val="00AB68AF"/>
    <w:rsid w:val="00AB713B"/>
    <w:rsid w:val="00AB7393"/>
    <w:rsid w:val="00AB742F"/>
    <w:rsid w:val="00AB783A"/>
    <w:rsid w:val="00AB7863"/>
    <w:rsid w:val="00AB7B5C"/>
    <w:rsid w:val="00AC01C7"/>
    <w:rsid w:val="00AC01D1"/>
    <w:rsid w:val="00AC0559"/>
    <w:rsid w:val="00AC0A5B"/>
    <w:rsid w:val="00AC0C30"/>
    <w:rsid w:val="00AC0C9D"/>
    <w:rsid w:val="00AC0CC5"/>
    <w:rsid w:val="00AC0F7D"/>
    <w:rsid w:val="00AC103C"/>
    <w:rsid w:val="00AC1151"/>
    <w:rsid w:val="00AC118B"/>
    <w:rsid w:val="00AC1271"/>
    <w:rsid w:val="00AC12CC"/>
    <w:rsid w:val="00AC1334"/>
    <w:rsid w:val="00AC1522"/>
    <w:rsid w:val="00AC15A2"/>
    <w:rsid w:val="00AC16B0"/>
    <w:rsid w:val="00AC18E3"/>
    <w:rsid w:val="00AC1F19"/>
    <w:rsid w:val="00AC1F29"/>
    <w:rsid w:val="00AC291D"/>
    <w:rsid w:val="00AC292D"/>
    <w:rsid w:val="00AC2998"/>
    <w:rsid w:val="00AC2C70"/>
    <w:rsid w:val="00AC2F0C"/>
    <w:rsid w:val="00AC2F2E"/>
    <w:rsid w:val="00AC34F6"/>
    <w:rsid w:val="00AC369D"/>
    <w:rsid w:val="00AC3990"/>
    <w:rsid w:val="00AC3BBD"/>
    <w:rsid w:val="00AC3CFB"/>
    <w:rsid w:val="00AC3D1E"/>
    <w:rsid w:val="00AC3FC9"/>
    <w:rsid w:val="00AC4745"/>
    <w:rsid w:val="00AC5345"/>
    <w:rsid w:val="00AC5737"/>
    <w:rsid w:val="00AC5814"/>
    <w:rsid w:val="00AC5AB5"/>
    <w:rsid w:val="00AC5DB4"/>
    <w:rsid w:val="00AC5E03"/>
    <w:rsid w:val="00AC639C"/>
    <w:rsid w:val="00AC6484"/>
    <w:rsid w:val="00AC68D2"/>
    <w:rsid w:val="00AC69D0"/>
    <w:rsid w:val="00AC6A2D"/>
    <w:rsid w:val="00AC6DB8"/>
    <w:rsid w:val="00AC6FD0"/>
    <w:rsid w:val="00AC738D"/>
    <w:rsid w:val="00AC79C0"/>
    <w:rsid w:val="00AC79DF"/>
    <w:rsid w:val="00AC7E71"/>
    <w:rsid w:val="00AD00BF"/>
    <w:rsid w:val="00AD01B8"/>
    <w:rsid w:val="00AD0240"/>
    <w:rsid w:val="00AD024E"/>
    <w:rsid w:val="00AD0467"/>
    <w:rsid w:val="00AD055C"/>
    <w:rsid w:val="00AD05AF"/>
    <w:rsid w:val="00AD0E54"/>
    <w:rsid w:val="00AD138A"/>
    <w:rsid w:val="00AD1A91"/>
    <w:rsid w:val="00AD1D12"/>
    <w:rsid w:val="00AD22DF"/>
    <w:rsid w:val="00AD2508"/>
    <w:rsid w:val="00AD2610"/>
    <w:rsid w:val="00AD27C3"/>
    <w:rsid w:val="00AD2965"/>
    <w:rsid w:val="00AD296B"/>
    <w:rsid w:val="00AD307F"/>
    <w:rsid w:val="00AD325F"/>
    <w:rsid w:val="00AD34F1"/>
    <w:rsid w:val="00AD363B"/>
    <w:rsid w:val="00AD3A23"/>
    <w:rsid w:val="00AD3A89"/>
    <w:rsid w:val="00AD3F1C"/>
    <w:rsid w:val="00AD4170"/>
    <w:rsid w:val="00AD485E"/>
    <w:rsid w:val="00AD4877"/>
    <w:rsid w:val="00AD4999"/>
    <w:rsid w:val="00AD4A59"/>
    <w:rsid w:val="00AD4C0F"/>
    <w:rsid w:val="00AD4C69"/>
    <w:rsid w:val="00AD5056"/>
    <w:rsid w:val="00AD52A3"/>
    <w:rsid w:val="00AD5380"/>
    <w:rsid w:val="00AD53B2"/>
    <w:rsid w:val="00AD549D"/>
    <w:rsid w:val="00AD5940"/>
    <w:rsid w:val="00AD59F9"/>
    <w:rsid w:val="00AD5ACD"/>
    <w:rsid w:val="00AD600D"/>
    <w:rsid w:val="00AD6128"/>
    <w:rsid w:val="00AD6738"/>
    <w:rsid w:val="00AD70BB"/>
    <w:rsid w:val="00AD73E0"/>
    <w:rsid w:val="00AD7408"/>
    <w:rsid w:val="00AD7FAC"/>
    <w:rsid w:val="00AE021B"/>
    <w:rsid w:val="00AE0545"/>
    <w:rsid w:val="00AE0653"/>
    <w:rsid w:val="00AE0896"/>
    <w:rsid w:val="00AE0E29"/>
    <w:rsid w:val="00AE111B"/>
    <w:rsid w:val="00AE1506"/>
    <w:rsid w:val="00AE170D"/>
    <w:rsid w:val="00AE17D5"/>
    <w:rsid w:val="00AE17E8"/>
    <w:rsid w:val="00AE1886"/>
    <w:rsid w:val="00AE18F2"/>
    <w:rsid w:val="00AE1C7B"/>
    <w:rsid w:val="00AE20C6"/>
    <w:rsid w:val="00AE220A"/>
    <w:rsid w:val="00AE221F"/>
    <w:rsid w:val="00AE224B"/>
    <w:rsid w:val="00AE23AE"/>
    <w:rsid w:val="00AE26B2"/>
    <w:rsid w:val="00AE280A"/>
    <w:rsid w:val="00AE285B"/>
    <w:rsid w:val="00AE2D7C"/>
    <w:rsid w:val="00AE2EF5"/>
    <w:rsid w:val="00AE36CA"/>
    <w:rsid w:val="00AE37F0"/>
    <w:rsid w:val="00AE3F9A"/>
    <w:rsid w:val="00AE4690"/>
    <w:rsid w:val="00AE4A66"/>
    <w:rsid w:val="00AE4C78"/>
    <w:rsid w:val="00AE4EC5"/>
    <w:rsid w:val="00AE4FF3"/>
    <w:rsid w:val="00AE500E"/>
    <w:rsid w:val="00AE53D5"/>
    <w:rsid w:val="00AE553C"/>
    <w:rsid w:val="00AE569A"/>
    <w:rsid w:val="00AE598B"/>
    <w:rsid w:val="00AE59A3"/>
    <w:rsid w:val="00AE5C3D"/>
    <w:rsid w:val="00AE667C"/>
    <w:rsid w:val="00AE686E"/>
    <w:rsid w:val="00AE692E"/>
    <w:rsid w:val="00AE69A8"/>
    <w:rsid w:val="00AE6D7A"/>
    <w:rsid w:val="00AE707C"/>
    <w:rsid w:val="00AE71DD"/>
    <w:rsid w:val="00AE72FD"/>
    <w:rsid w:val="00AE77AF"/>
    <w:rsid w:val="00AE7AB3"/>
    <w:rsid w:val="00AE7DB0"/>
    <w:rsid w:val="00AE7E09"/>
    <w:rsid w:val="00AF0070"/>
    <w:rsid w:val="00AF0117"/>
    <w:rsid w:val="00AF0165"/>
    <w:rsid w:val="00AF0599"/>
    <w:rsid w:val="00AF0786"/>
    <w:rsid w:val="00AF0F84"/>
    <w:rsid w:val="00AF1026"/>
    <w:rsid w:val="00AF1074"/>
    <w:rsid w:val="00AF1528"/>
    <w:rsid w:val="00AF1599"/>
    <w:rsid w:val="00AF183D"/>
    <w:rsid w:val="00AF1CF3"/>
    <w:rsid w:val="00AF1E25"/>
    <w:rsid w:val="00AF295B"/>
    <w:rsid w:val="00AF2B6F"/>
    <w:rsid w:val="00AF2C83"/>
    <w:rsid w:val="00AF2CBE"/>
    <w:rsid w:val="00AF2EEC"/>
    <w:rsid w:val="00AF3076"/>
    <w:rsid w:val="00AF31B1"/>
    <w:rsid w:val="00AF342A"/>
    <w:rsid w:val="00AF3606"/>
    <w:rsid w:val="00AF39FD"/>
    <w:rsid w:val="00AF3CEC"/>
    <w:rsid w:val="00AF3F3E"/>
    <w:rsid w:val="00AF42B6"/>
    <w:rsid w:val="00AF431D"/>
    <w:rsid w:val="00AF4320"/>
    <w:rsid w:val="00AF4AE9"/>
    <w:rsid w:val="00AF4B61"/>
    <w:rsid w:val="00AF5476"/>
    <w:rsid w:val="00AF55C8"/>
    <w:rsid w:val="00AF56E8"/>
    <w:rsid w:val="00AF6434"/>
    <w:rsid w:val="00AF6647"/>
    <w:rsid w:val="00AF66AC"/>
    <w:rsid w:val="00AF6C2A"/>
    <w:rsid w:val="00AF6C38"/>
    <w:rsid w:val="00AF6C78"/>
    <w:rsid w:val="00AF6E7A"/>
    <w:rsid w:val="00AF6FD3"/>
    <w:rsid w:val="00AF7991"/>
    <w:rsid w:val="00AF7B0F"/>
    <w:rsid w:val="00AF7CAC"/>
    <w:rsid w:val="00AF7D63"/>
    <w:rsid w:val="00B0091B"/>
    <w:rsid w:val="00B009F1"/>
    <w:rsid w:val="00B00B56"/>
    <w:rsid w:val="00B00B66"/>
    <w:rsid w:val="00B00B87"/>
    <w:rsid w:val="00B00BFE"/>
    <w:rsid w:val="00B00E1A"/>
    <w:rsid w:val="00B00E3F"/>
    <w:rsid w:val="00B00F7D"/>
    <w:rsid w:val="00B01100"/>
    <w:rsid w:val="00B0137C"/>
    <w:rsid w:val="00B015B4"/>
    <w:rsid w:val="00B01921"/>
    <w:rsid w:val="00B01ACE"/>
    <w:rsid w:val="00B01B08"/>
    <w:rsid w:val="00B01BB1"/>
    <w:rsid w:val="00B01E3C"/>
    <w:rsid w:val="00B02360"/>
    <w:rsid w:val="00B02481"/>
    <w:rsid w:val="00B02B2B"/>
    <w:rsid w:val="00B02C60"/>
    <w:rsid w:val="00B02D9D"/>
    <w:rsid w:val="00B030F8"/>
    <w:rsid w:val="00B03192"/>
    <w:rsid w:val="00B032AA"/>
    <w:rsid w:val="00B034BA"/>
    <w:rsid w:val="00B0402B"/>
    <w:rsid w:val="00B04262"/>
    <w:rsid w:val="00B04274"/>
    <w:rsid w:val="00B04398"/>
    <w:rsid w:val="00B0465A"/>
    <w:rsid w:val="00B04880"/>
    <w:rsid w:val="00B04DE4"/>
    <w:rsid w:val="00B05116"/>
    <w:rsid w:val="00B05B97"/>
    <w:rsid w:val="00B060A7"/>
    <w:rsid w:val="00B060ED"/>
    <w:rsid w:val="00B063D8"/>
    <w:rsid w:val="00B069D6"/>
    <w:rsid w:val="00B06C60"/>
    <w:rsid w:val="00B06F78"/>
    <w:rsid w:val="00B06FCC"/>
    <w:rsid w:val="00B07053"/>
    <w:rsid w:val="00B070BD"/>
    <w:rsid w:val="00B072C3"/>
    <w:rsid w:val="00B07612"/>
    <w:rsid w:val="00B07758"/>
    <w:rsid w:val="00B0783C"/>
    <w:rsid w:val="00B0793F"/>
    <w:rsid w:val="00B1023A"/>
    <w:rsid w:val="00B10272"/>
    <w:rsid w:val="00B1035C"/>
    <w:rsid w:val="00B10ACA"/>
    <w:rsid w:val="00B110E1"/>
    <w:rsid w:val="00B11691"/>
    <w:rsid w:val="00B11838"/>
    <w:rsid w:val="00B118B2"/>
    <w:rsid w:val="00B11937"/>
    <w:rsid w:val="00B11D2C"/>
    <w:rsid w:val="00B12106"/>
    <w:rsid w:val="00B12201"/>
    <w:rsid w:val="00B12511"/>
    <w:rsid w:val="00B12DAE"/>
    <w:rsid w:val="00B13410"/>
    <w:rsid w:val="00B134A4"/>
    <w:rsid w:val="00B134E6"/>
    <w:rsid w:val="00B13DD9"/>
    <w:rsid w:val="00B13E49"/>
    <w:rsid w:val="00B142FA"/>
    <w:rsid w:val="00B144E6"/>
    <w:rsid w:val="00B14955"/>
    <w:rsid w:val="00B14B4C"/>
    <w:rsid w:val="00B14C29"/>
    <w:rsid w:val="00B14C44"/>
    <w:rsid w:val="00B14D25"/>
    <w:rsid w:val="00B14D5E"/>
    <w:rsid w:val="00B15251"/>
    <w:rsid w:val="00B155CD"/>
    <w:rsid w:val="00B15C40"/>
    <w:rsid w:val="00B15CEE"/>
    <w:rsid w:val="00B15D36"/>
    <w:rsid w:val="00B15FF8"/>
    <w:rsid w:val="00B161FD"/>
    <w:rsid w:val="00B164BA"/>
    <w:rsid w:val="00B1675B"/>
    <w:rsid w:val="00B16994"/>
    <w:rsid w:val="00B16AA2"/>
    <w:rsid w:val="00B17679"/>
    <w:rsid w:val="00B1783D"/>
    <w:rsid w:val="00B17BC4"/>
    <w:rsid w:val="00B17D71"/>
    <w:rsid w:val="00B17DA5"/>
    <w:rsid w:val="00B20065"/>
    <w:rsid w:val="00B200E4"/>
    <w:rsid w:val="00B2050C"/>
    <w:rsid w:val="00B2081E"/>
    <w:rsid w:val="00B20D56"/>
    <w:rsid w:val="00B20DAE"/>
    <w:rsid w:val="00B2103F"/>
    <w:rsid w:val="00B21232"/>
    <w:rsid w:val="00B21409"/>
    <w:rsid w:val="00B2140F"/>
    <w:rsid w:val="00B21629"/>
    <w:rsid w:val="00B22299"/>
    <w:rsid w:val="00B22315"/>
    <w:rsid w:val="00B223C4"/>
    <w:rsid w:val="00B2259E"/>
    <w:rsid w:val="00B22601"/>
    <w:rsid w:val="00B227D2"/>
    <w:rsid w:val="00B228A0"/>
    <w:rsid w:val="00B22A24"/>
    <w:rsid w:val="00B22BA0"/>
    <w:rsid w:val="00B2337D"/>
    <w:rsid w:val="00B233CF"/>
    <w:rsid w:val="00B234B0"/>
    <w:rsid w:val="00B23CC4"/>
    <w:rsid w:val="00B23DA8"/>
    <w:rsid w:val="00B23DBA"/>
    <w:rsid w:val="00B2405F"/>
    <w:rsid w:val="00B24166"/>
    <w:rsid w:val="00B2426E"/>
    <w:rsid w:val="00B243C6"/>
    <w:rsid w:val="00B24417"/>
    <w:rsid w:val="00B2471D"/>
    <w:rsid w:val="00B24932"/>
    <w:rsid w:val="00B24A66"/>
    <w:rsid w:val="00B24B47"/>
    <w:rsid w:val="00B24C3D"/>
    <w:rsid w:val="00B25391"/>
    <w:rsid w:val="00B2552E"/>
    <w:rsid w:val="00B256DA"/>
    <w:rsid w:val="00B25B67"/>
    <w:rsid w:val="00B25B6E"/>
    <w:rsid w:val="00B261BD"/>
    <w:rsid w:val="00B2635F"/>
    <w:rsid w:val="00B26560"/>
    <w:rsid w:val="00B26B99"/>
    <w:rsid w:val="00B26BD7"/>
    <w:rsid w:val="00B2725E"/>
    <w:rsid w:val="00B27492"/>
    <w:rsid w:val="00B27BC2"/>
    <w:rsid w:val="00B27BF8"/>
    <w:rsid w:val="00B27EFA"/>
    <w:rsid w:val="00B30277"/>
    <w:rsid w:val="00B306BF"/>
    <w:rsid w:val="00B30869"/>
    <w:rsid w:val="00B309E9"/>
    <w:rsid w:val="00B30ABB"/>
    <w:rsid w:val="00B30B23"/>
    <w:rsid w:val="00B30CCB"/>
    <w:rsid w:val="00B30EA4"/>
    <w:rsid w:val="00B31254"/>
    <w:rsid w:val="00B31396"/>
    <w:rsid w:val="00B313FB"/>
    <w:rsid w:val="00B31B91"/>
    <w:rsid w:val="00B32885"/>
    <w:rsid w:val="00B331A1"/>
    <w:rsid w:val="00B331A2"/>
    <w:rsid w:val="00B332D9"/>
    <w:rsid w:val="00B3337D"/>
    <w:rsid w:val="00B333EE"/>
    <w:rsid w:val="00B33C72"/>
    <w:rsid w:val="00B33CB1"/>
    <w:rsid w:val="00B33F65"/>
    <w:rsid w:val="00B3402F"/>
    <w:rsid w:val="00B34341"/>
    <w:rsid w:val="00B34466"/>
    <w:rsid w:val="00B3467D"/>
    <w:rsid w:val="00B34966"/>
    <w:rsid w:val="00B34AF5"/>
    <w:rsid w:val="00B34C9E"/>
    <w:rsid w:val="00B3514C"/>
    <w:rsid w:val="00B3529F"/>
    <w:rsid w:val="00B35684"/>
    <w:rsid w:val="00B35689"/>
    <w:rsid w:val="00B35793"/>
    <w:rsid w:val="00B35A6A"/>
    <w:rsid w:val="00B35AC3"/>
    <w:rsid w:val="00B3624A"/>
    <w:rsid w:val="00B362FC"/>
    <w:rsid w:val="00B36829"/>
    <w:rsid w:val="00B36A4F"/>
    <w:rsid w:val="00B36BA8"/>
    <w:rsid w:val="00B36D91"/>
    <w:rsid w:val="00B36E9F"/>
    <w:rsid w:val="00B3721F"/>
    <w:rsid w:val="00B3755A"/>
    <w:rsid w:val="00B378F4"/>
    <w:rsid w:val="00B37C7E"/>
    <w:rsid w:val="00B37D49"/>
    <w:rsid w:val="00B37E1E"/>
    <w:rsid w:val="00B37EA4"/>
    <w:rsid w:val="00B37EA6"/>
    <w:rsid w:val="00B4067F"/>
    <w:rsid w:val="00B40B07"/>
    <w:rsid w:val="00B40B53"/>
    <w:rsid w:val="00B40EBB"/>
    <w:rsid w:val="00B41178"/>
    <w:rsid w:val="00B41481"/>
    <w:rsid w:val="00B419DD"/>
    <w:rsid w:val="00B41D25"/>
    <w:rsid w:val="00B41E01"/>
    <w:rsid w:val="00B41EDC"/>
    <w:rsid w:val="00B41F94"/>
    <w:rsid w:val="00B426F9"/>
    <w:rsid w:val="00B42881"/>
    <w:rsid w:val="00B4296C"/>
    <w:rsid w:val="00B42AC1"/>
    <w:rsid w:val="00B42E29"/>
    <w:rsid w:val="00B42EDB"/>
    <w:rsid w:val="00B42F7D"/>
    <w:rsid w:val="00B4336A"/>
    <w:rsid w:val="00B4395C"/>
    <w:rsid w:val="00B43ACF"/>
    <w:rsid w:val="00B43C23"/>
    <w:rsid w:val="00B44995"/>
    <w:rsid w:val="00B44B07"/>
    <w:rsid w:val="00B44BF9"/>
    <w:rsid w:val="00B45032"/>
    <w:rsid w:val="00B45278"/>
    <w:rsid w:val="00B452BF"/>
    <w:rsid w:val="00B456D9"/>
    <w:rsid w:val="00B45C5F"/>
    <w:rsid w:val="00B45CD2"/>
    <w:rsid w:val="00B45DDA"/>
    <w:rsid w:val="00B45FE8"/>
    <w:rsid w:val="00B460D4"/>
    <w:rsid w:val="00B462BB"/>
    <w:rsid w:val="00B466FE"/>
    <w:rsid w:val="00B467F2"/>
    <w:rsid w:val="00B46BE0"/>
    <w:rsid w:val="00B46C8F"/>
    <w:rsid w:val="00B46F42"/>
    <w:rsid w:val="00B46F6A"/>
    <w:rsid w:val="00B472CA"/>
    <w:rsid w:val="00B4748B"/>
    <w:rsid w:val="00B47E4A"/>
    <w:rsid w:val="00B47E6C"/>
    <w:rsid w:val="00B47EE8"/>
    <w:rsid w:val="00B50112"/>
    <w:rsid w:val="00B50175"/>
    <w:rsid w:val="00B502D0"/>
    <w:rsid w:val="00B5035E"/>
    <w:rsid w:val="00B505DA"/>
    <w:rsid w:val="00B5067D"/>
    <w:rsid w:val="00B50786"/>
    <w:rsid w:val="00B5099A"/>
    <w:rsid w:val="00B50EE3"/>
    <w:rsid w:val="00B50F1B"/>
    <w:rsid w:val="00B50F37"/>
    <w:rsid w:val="00B50F4A"/>
    <w:rsid w:val="00B51146"/>
    <w:rsid w:val="00B51750"/>
    <w:rsid w:val="00B52316"/>
    <w:rsid w:val="00B52335"/>
    <w:rsid w:val="00B525FA"/>
    <w:rsid w:val="00B52734"/>
    <w:rsid w:val="00B528A5"/>
    <w:rsid w:val="00B52C6F"/>
    <w:rsid w:val="00B52CA6"/>
    <w:rsid w:val="00B53079"/>
    <w:rsid w:val="00B53292"/>
    <w:rsid w:val="00B533FC"/>
    <w:rsid w:val="00B536B0"/>
    <w:rsid w:val="00B542AE"/>
    <w:rsid w:val="00B54B80"/>
    <w:rsid w:val="00B54B87"/>
    <w:rsid w:val="00B5501E"/>
    <w:rsid w:val="00B5511A"/>
    <w:rsid w:val="00B55310"/>
    <w:rsid w:val="00B55482"/>
    <w:rsid w:val="00B556BC"/>
    <w:rsid w:val="00B5591C"/>
    <w:rsid w:val="00B55AEC"/>
    <w:rsid w:val="00B56316"/>
    <w:rsid w:val="00B56532"/>
    <w:rsid w:val="00B5655D"/>
    <w:rsid w:val="00B56682"/>
    <w:rsid w:val="00B56B26"/>
    <w:rsid w:val="00B56F2E"/>
    <w:rsid w:val="00B5718E"/>
    <w:rsid w:val="00B5745A"/>
    <w:rsid w:val="00B57631"/>
    <w:rsid w:val="00B576C2"/>
    <w:rsid w:val="00B577C4"/>
    <w:rsid w:val="00B57946"/>
    <w:rsid w:val="00B57B02"/>
    <w:rsid w:val="00B57C88"/>
    <w:rsid w:val="00B57CF2"/>
    <w:rsid w:val="00B57DFC"/>
    <w:rsid w:val="00B60298"/>
    <w:rsid w:val="00B6049D"/>
    <w:rsid w:val="00B60646"/>
    <w:rsid w:val="00B60723"/>
    <w:rsid w:val="00B60E94"/>
    <w:rsid w:val="00B616DA"/>
    <w:rsid w:val="00B6224A"/>
    <w:rsid w:val="00B623BF"/>
    <w:rsid w:val="00B62937"/>
    <w:rsid w:val="00B62A48"/>
    <w:rsid w:val="00B62AEB"/>
    <w:rsid w:val="00B62C5D"/>
    <w:rsid w:val="00B6324C"/>
    <w:rsid w:val="00B634A0"/>
    <w:rsid w:val="00B63591"/>
    <w:rsid w:val="00B648B5"/>
    <w:rsid w:val="00B64C5A"/>
    <w:rsid w:val="00B6504F"/>
    <w:rsid w:val="00B650A2"/>
    <w:rsid w:val="00B65125"/>
    <w:rsid w:val="00B652DB"/>
    <w:rsid w:val="00B65894"/>
    <w:rsid w:val="00B65F14"/>
    <w:rsid w:val="00B6622C"/>
    <w:rsid w:val="00B66638"/>
    <w:rsid w:val="00B666BB"/>
    <w:rsid w:val="00B66AD9"/>
    <w:rsid w:val="00B7006C"/>
    <w:rsid w:val="00B7006F"/>
    <w:rsid w:val="00B7067E"/>
    <w:rsid w:val="00B706E9"/>
    <w:rsid w:val="00B707D6"/>
    <w:rsid w:val="00B70996"/>
    <w:rsid w:val="00B70A35"/>
    <w:rsid w:val="00B71017"/>
    <w:rsid w:val="00B71174"/>
    <w:rsid w:val="00B71200"/>
    <w:rsid w:val="00B7152E"/>
    <w:rsid w:val="00B71641"/>
    <w:rsid w:val="00B71A20"/>
    <w:rsid w:val="00B71A29"/>
    <w:rsid w:val="00B71B86"/>
    <w:rsid w:val="00B71DC3"/>
    <w:rsid w:val="00B71E78"/>
    <w:rsid w:val="00B72137"/>
    <w:rsid w:val="00B722CB"/>
    <w:rsid w:val="00B72412"/>
    <w:rsid w:val="00B724AD"/>
    <w:rsid w:val="00B72902"/>
    <w:rsid w:val="00B737EF"/>
    <w:rsid w:val="00B738C0"/>
    <w:rsid w:val="00B73B09"/>
    <w:rsid w:val="00B73C4C"/>
    <w:rsid w:val="00B73F65"/>
    <w:rsid w:val="00B7455B"/>
    <w:rsid w:val="00B74CC3"/>
    <w:rsid w:val="00B7505D"/>
    <w:rsid w:val="00B757E5"/>
    <w:rsid w:val="00B75993"/>
    <w:rsid w:val="00B75A4A"/>
    <w:rsid w:val="00B75FC6"/>
    <w:rsid w:val="00B762A8"/>
    <w:rsid w:val="00B76557"/>
    <w:rsid w:val="00B76672"/>
    <w:rsid w:val="00B7675F"/>
    <w:rsid w:val="00B76B4E"/>
    <w:rsid w:val="00B76DE3"/>
    <w:rsid w:val="00B76EB1"/>
    <w:rsid w:val="00B772C0"/>
    <w:rsid w:val="00B77426"/>
    <w:rsid w:val="00B77770"/>
    <w:rsid w:val="00B77985"/>
    <w:rsid w:val="00B77FB9"/>
    <w:rsid w:val="00B8075B"/>
    <w:rsid w:val="00B80A59"/>
    <w:rsid w:val="00B80D28"/>
    <w:rsid w:val="00B81109"/>
    <w:rsid w:val="00B81551"/>
    <w:rsid w:val="00B815C3"/>
    <w:rsid w:val="00B8169B"/>
    <w:rsid w:val="00B81D1E"/>
    <w:rsid w:val="00B81F82"/>
    <w:rsid w:val="00B81FC9"/>
    <w:rsid w:val="00B8259F"/>
    <w:rsid w:val="00B82904"/>
    <w:rsid w:val="00B82939"/>
    <w:rsid w:val="00B82B20"/>
    <w:rsid w:val="00B82C4C"/>
    <w:rsid w:val="00B82DD9"/>
    <w:rsid w:val="00B8342F"/>
    <w:rsid w:val="00B83590"/>
    <w:rsid w:val="00B845AC"/>
    <w:rsid w:val="00B8481D"/>
    <w:rsid w:val="00B84853"/>
    <w:rsid w:val="00B84AD2"/>
    <w:rsid w:val="00B84D20"/>
    <w:rsid w:val="00B84E97"/>
    <w:rsid w:val="00B8505B"/>
    <w:rsid w:val="00B85073"/>
    <w:rsid w:val="00B85891"/>
    <w:rsid w:val="00B85C48"/>
    <w:rsid w:val="00B85C71"/>
    <w:rsid w:val="00B8619F"/>
    <w:rsid w:val="00B86519"/>
    <w:rsid w:val="00B86554"/>
    <w:rsid w:val="00B8688B"/>
    <w:rsid w:val="00B868B2"/>
    <w:rsid w:val="00B868D8"/>
    <w:rsid w:val="00B8693E"/>
    <w:rsid w:val="00B873A6"/>
    <w:rsid w:val="00B879ED"/>
    <w:rsid w:val="00B87AAD"/>
    <w:rsid w:val="00B90092"/>
    <w:rsid w:val="00B90242"/>
    <w:rsid w:val="00B902A0"/>
    <w:rsid w:val="00B904DF"/>
    <w:rsid w:val="00B906B8"/>
    <w:rsid w:val="00B90C7F"/>
    <w:rsid w:val="00B90E67"/>
    <w:rsid w:val="00B90FA0"/>
    <w:rsid w:val="00B913B0"/>
    <w:rsid w:val="00B91659"/>
    <w:rsid w:val="00B91A85"/>
    <w:rsid w:val="00B91B4F"/>
    <w:rsid w:val="00B91F01"/>
    <w:rsid w:val="00B91F89"/>
    <w:rsid w:val="00B9349F"/>
    <w:rsid w:val="00B93646"/>
    <w:rsid w:val="00B936A4"/>
    <w:rsid w:val="00B93771"/>
    <w:rsid w:val="00B940A7"/>
    <w:rsid w:val="00B94387"/>
    <w:rsid w:val="00B9456A"/>
    <w:rsid w:val="00B94C0E"/>
    <w:rsid w:val="00B94F03"/>
    <w:rsid w:val="00B94F60"/>
    <w:rsid w:val="00B94FD0"/>
    <w:rsid w:val="00B95122"/>
    <w:rsid w:val="00B956AF"/>
    <w:rsid w:val="00B95D87"/>
    <w:rsid w:val="00B961E3"/>
    <w:rsid w:val="00B963BA"/>
    <w:rsid w:val="00B966BF"/>
    <w:rsid w:val="00B9686B"/>
    <w:rsid w:val="00B96876"/>
    <w:rsid w:val="00B96AB9"/>
    <w:rsid w:val="00B96DAE"/>
    <w:rsid w:val="00B971F5"/>
    <w:rsid w:val="00B975E5"/>
    <w:rsid w:val="00B97712"/>
    <w:rsid w:val="00B97BC4"/>
    <w:rsid w:val="00B97EF9"/>
    <w:rsid w:val="00BA0293"/>
    <w:rsid w:val="00BA0376"/>
    <w:rsid w:val="00BA040A"/>
    <w:rsid w:val="00BA070B"/>
    <w:rsid w:val="00BA0D98"/>
    <w:rsid w:val="00BA1373"/>
    <w:rsid w:val="00BA1447"/>
    <w:rsid w:val="00BA1981"/>
    <w:rsid w:val="00BA1A77"/>
    <w:rsid w:val="00BA1B63"/>
    <w:rsid w:val="00BA2069"/>
    <w:rsid w:val="00BA22D9"/>
    <w:rsid w:val="00BA2CB1"/>
    <w:rsid w:val="00BA2DEE"/>
    <w:rsid w:val="00BA2EC0"/>
    <w:rsid w:val="00BA3530"/>
    <w:rsid w:val="00BA3A2C"/>
    <w:rsid w:val="00BA415F"/>
    <w:rsid w:val="00BA42A0"/>
    <w:rsid w:val="00BA48AC"/>
    <w:rsid w:val="00BA4A2D"/>
    <w:rsid w:val="00BA4AAD"/>
    <w:rsid w:val="00BA4C2A"/>
    <w:rsid w:val="00BA517C"/>
    <w:rsid w:val="00BA57AC"/>
    <w:rsid w:val="00BA6201"/>
    <w:rsid w:val="00BA62F4"/>
    <w:rsid w:val="00BA64B4"/>
    <w:rsid w:val="00BA656A"/>
    <w:rsid w:val="00BA6795"/>
    <w:rsid w:val="00BA67D2"/>
    <w:rsid w:val="00BA693B"/>
    <w:rsid w:val="00BA6AC7"/>
    <w:rsid w:val="00BA6D68"/>
    <w:rsid w:val="00BA6EFF"/>
    <w:rsid w:val="00BA7259"/>
    <w:rsid w:val="00BA735D"/>
    <w:rsid w:val="00BA7D98"/>
    <w:rsid w:val="00BB0210"/>
    <w:rsid w:val="00BB0B7F"/>
    <w:rsid w:val="00BB0BAB"/>
    <w:rsid w:val="00BB138D"/>
    <w:rsid w:val="00BB13E4"/>
    <w:rsid w:val="00BB17F7"/>
    <w:rsid w:val="00BB1CBE"/>
    <w:rsid w:val="00BB21D7"/>
    <w:rsid w:val="00BB2521"/>
    <w:rsid w:val="00BB25D7"/>
    <w:rsid w:val="00BB26DC"/>
    <w:rsid w:val="00BB2991"/>
    <w:rsid w:val="00BB2B77"/>
    <w:rsid w:val="00BB2EEF"/>
    <w:rsid w:val="00BB3020"/>
    <w:rsid w:val="00BB37EE"/>
    <w:rsid w:val="00BB3B03"/>
    <w:rsid w:val="00BB3B89"/>
    <w:rsid w:val="00BB3C57"/>
    <w:rsid w:val="00BB44FE"/>
    <w:rsid w:val="00BB452C"/>
    <w:rsid w:val="00BB4575"/>
    <w:rsid w:val="00BB48A9"/>
    <w:rsid w:val="00BB4B18"/>
    <w:rsid w:val="00BB4E01"/>
    <w:rsid w:val="00BB4E22"/>
    <w:rsid w:val="00BB5560"/>
    <w:rsid w:val="00BB56EF"/>
    <w:rsid w:val="00BB5CB5"/>
    <w:rsid w:val="00BB64B4"/>
    <w:rsid w:val="00BB654D"/>
    <w:rsid w:val="00BB68BB"/>
    <w:rsid w:val="00BB6C00"/>
    <w:rsid w:val="00BB6C96"/>
    <w:rsid w:val="00BB7312"/>
    <w:rsid w:val="00BB736A"/>
    <w:rsid w:val="00BB78A7"/>
    <w:rsid w:val="00BC003A"/>
    <w:rsid w:val="00BC0435"/>
    <w:rsid w:val="00BC0D19"/>
    <w:rsid w:val="00BC1452"/>
    <w:rsid w:val="00BC145A"/>
    <w:rsid w:val="00BC1C19"/>
    <w:rsid w:val="00BC1E63"/>
    <w:rsid w:val="00BC1F36"/>
    <w:rsid w:val="00BC1FA5"/>
    <w:rsid w:val="00BC236B"/>
    <w:rsid w:val="00BC2F85"/>
    <w:rsid w:val="00BC2F8B"/>
    <w:rsid w:val="00BC381D"/>
    <w:rsid w:val="00BC39D3"/>
    <w:rsid w:val="00BC3AA3"/>
    <w:rsid w:val="00BC3CEA"/>
    <w:rsid w:val="00BC3D12"/>
    <w:rsid w:val="00BC400E"/>
    <w:rsid w:val="00BC43E0"/>
    <w:rsid w:val="00BC43E3"/>
    <w:rsid w:val="00BC4849"/>
    <w:rsid w:val="00BC4A81"/>
    <w:rsid w:val="00BC51CE"/>
    <w:rsid w:val="00BC56C3"/>
    <w:rsid w:val="00BC58A5"/>
    <w:rsid w:val="00BC598E"/>
    <w:rsid w:val="00BC5B22"/>
    <w:rsid w:val="00BC5B67"/>
    <w:rsid w:val="00BC61E9"/>
    <w:rsid w:val="00BC6718"/>
    <w:rsid w:val="00BC6AB3"/>
    <w:rsid w:val="00BC6E2C"/>
    <w:rsid w:val="00BC6E4C"/>
    <w:rsid w:val="00BC6F8E"/>
    <w:rsid w:val="00BC70B2"/>
    <w:rsid w:val="00BC712B"/>
    <w:rsid w:val="00BC751A"/>
    <w:rsid w:val="00BC76AE"/>
    <w:rsid w:val="00BC7907"/>
    <w:rsid w:val="00BD0709"/>
    <w:rsid w:val="00BD0CFB"/>
    <w:rsid w:val="00BD0DA2"/>
    <w:rsid w:val="00BD0E96"/>
    <w:rsid w:val="00BD0EFD"/>
    <w:rsid w:val="00BD0F5A"/>
    <w:rsid w:val="00BD114C"/>
    <w:rsid w:val="00BD1348"/>
    <w:rsid w:val="00BD1917"/>
    <w:rsid w:val="00BD241F"/>
    <w:rsid w:val="00BD2B9D"/>
    <w:rsid w:val="00BD2DEF"/>
    <w:rsid w:val="00BD2E56"/>
    <w:rsid w:val="00BD3319"/>
    <w:rsid w:val="00BD3389"/>
    <w:rsid w:val="00BD3ED2"/>
    <w:rsid w:val="00BD4139"/>
    <w:rsid w:val="00BD426B"/>
    <w:rsid w:val="00BD4505"/>
    <w:rsid w:val="00BD487E"/>
    <w:rsid w:val="00BD48E4"/>
    <w:rsid w:val="00BD582F"/>
    <w:rsid w:val="00BD6276"/>
    <w:rsid w:val="00BD6454"/>
    <w:rsid w:val="00BD6574"/>
    <w:rsid w:val="00BD686D"/>
    <w:rsid w:val="00BD6DFB"/>
    <w:rsid w:val="00BD6EDD"/>
    <w:rsid w:val="00BD6FAF"/>
    <w:rsid w:val="00BD7276"/>
    <w:rsid w:val="00BD77C1"/>
    <w:rsid w:val="00BD7847"/>
    <w:rsid w:val="00BD7AF4"/>
    <w:rsid w:val="00BD7CE2"/>
    <w:rsid w:val="00BD7E83"/>
    <w:rsid w:val="00BD7FB5"/>
    <w:rsid w:val="00BE08FF"/>
    <w:rsid w:val="00BE0909"/>
    <w:rsid w:val="00BE0C8F"/>
    <w:rsid w:val="00BE123A"/>
    <w:rsid w:val="00BE13D0"/>
    <w:rsid w:val="00BE15FB"/>
    <w:rsid w:val="00BE1808"/>
    <w:rsid w:val="00BE1AFA"/>
    <w:rsid w:val="00BE1B91"/>
    <w:rsid w:val="00BE1CB7"/>
    <w:rsid w:val="00BE1CFC"/>
    <w:rsid w:val="00BE2012"/>
    <w:rsid w:val="00BE21BD"/>
    <w:rsid w:val="00BE24E4"/>
    <w:rsid w:val="00BE29DA"/>
    <w:rsid w:val="00BE30A4"/>
    <w:rsid w:val="00BE30BA"/>
    <w:rsid w:val="00BE379A"/>
    <w:rsid w:val="00BE3862"/>
    <w:rsid w:val="00BE40BE"/>
    <w:rsid w:val="00BE4129"/>
    <w:rsid w:val="00BE4432"/>
    <w:rsid w:val="00BE48A8"/>
    <w:rsid w:val="00BE4B1C"/>
    <w:rsid w:val="00BE505C"/>
    <w:rsid w:val="00BE520F"/>
    <w:rsid w:val="00BE53B5"/>
    <w:rsid w:val="00BE57CE"/>
    <w:rsid w:val="00BE5B2D"/>
    <w:rsid w:val="00BE6592"/>
    <w:rsid w:val="00BE65DA"/>
    <w:rsid w:val="00BE6B37"/>
    <w:rsid w:val="00BE6E61"/>
    <w:rsid w:val="00BE729D"/>
    <w:rsid w:val="00BE776B"/>
    <w:rsid w:val="00BE7C9C"/>
    <w:rsid w:val="00BE7CAD"/>
    <w:rsid w:val="00BF0124"/>
    <w:rsid w:val="00BF0A55"/>
    <w:rsid w:val="00BF0CD4"/>
    <w:rsid w:val="00BF0CFB"/>
    <w:rsid w:val="00BF0DDD"/>
    <w:rsid w:val="00BF0E66"/>
    <w:rsid w:val="00BF0F1C"/>
    <w:rsid w:val="00BF0FCA"/>
    <w:rsid w:val="00BF1050"/>
    <w:rsid w:val="00BF1084"/>
    <w:rsid w:val="00BF16AA"/>
    <w:rsid w:val="00BF18C0"/>
    <w:rsid w:val="00BF1EB4"/>
    <w:rsid w:val="00BF22DF"/>
    <w:rsid w:val="00BF24AD"/>
    <w:rsid w:val="00BF2823"/>
    <w:rsid w:val="00BF2E70"/>
    <w:rsid w:val="00BF32DE"/>
    <w:rsid w:val="00BF382D"/>
    <w:rsid w:val="00BF3B96"/>
    <w:rsid w:val="00BF41D2"/>
    <w:rsid w:val="00BF420B"/>
    <w:rsid w:val="00BF422C"/>
    <w:rsid w:val="00BF4456"/>
    <w:rsid w:val="00BF465C"/>
    <w:rsid w:val="00BF48FE"/>
    <w:rsid w:val="00BF4974"/>
    <w:rsid w:val="00BF4AFC"/>
    <w:rsid w:val="00BF4C72"/>
    <w:rsid w:val="00BF52BD"/>
    <w:rsid w:val="00BF5753"/>
    <w:rsid w:val="00BF58D1"/>
    <w:rsid w:val="00BF59D1"/>
    <w:rsid w:val="00BF5B63"/>
    <w:rsid w:val="00BF6151"/>
    <w:rsid w:val="00BF644C"/>
    <w:rsid w:val="00BF6600"/>
    <w:rsid w:val="00BF6784"/>
    <w:rsid w:val="00BF6CCE"/>
    <w:rsid w:val="00BF76A5"/>
    <w:rsid w:val="00BF77B9"/>
    <w:rsid w:val="00BF7C65"/>
    <w:rsid w:val="00BF7D1E"/>
    <w:rsid w:val="00BF7DD4"/>
    <w:rsid w:val="00BF7E2C"/>
    <w:rsid w:val="00C00157"/>
    <w:rsid w:val="00C0025E"/>
    <w:rsid w:val="00C00A14"/>
    <w:rsid w:val="00C00F25"/>
    <w:rsid w:val="00C01261"/>
    <w:rsid w:val="00C01370"/>
    <w:rsid w:val="00C018DA"/>
    <w:rsid w:val="00C019E7"/>
    <w:rsid w:val="00C01D44"/>
    <w:rsid w:val="00C01E6C"/>
    <w:rsid w:val="00C01E9C"/>
    <w:rsid w:val="00C02201"/>
    <w:rsid w:val="00C024D7"/>
    <w:rsid w:val="00C028EC"/>
    <w:rsid w:val="00C03598"/>
    <w:rsid w:val="00C039A7"/>
    <w:rsid w:val="00C04205"/>
    <w:rsid w:val="00C0453C"/>
    <w:rsid w:val="00C04D7C"/>
    <w:rsid w:val="00C04E78"/>
    <w:rsid w:val="00C04FA2"/>
    <w:rsid w:val="00C05329"/>
    <w:rsid w:val="00C05686"/>
    <w:rsid w:val="00C0580E"/>
    <w:rsid w:val="00C0581C"/>
    <w:rsid w:val="00C059BE"/>
    <w:rsid w:val="00C0604E"/>
    <w:rsid w:val="00C063AC"/>
    <w:rsid w:val="00C068AF"/>
    <w:rsid w:val="00C06BA8"/>
    <w:rsid w:val="00C06CC9"/>
    <w:rsid w:val="00C06CEE"/>
    <w:rsid w:val="00C07406"/>
    <w:rsid w:val="00C0745C"/>
    <w:rsid w:val="00C07CB1"/>
    <w:rsid w:val="00C07F1D"/>
    <w:rsid w:val="00C07F6D"/>
    <w:rsid w:val="00C10211"/>
    <w:rsid w:val="00C10581"/>
    <w:rsid w:val="00C10675"/>
    <w:rsid w:val="00C106F9"/>
    <w:rsid w:val="00C109EE"/>
    <w:rsid w:val="00C10A74"/>
    <w:rsid w:val="00C10C35"/>
    <w:rsid w:val="00C10D89"/>
    <w:rsid w:val="00C11680"/>
    <w:rsid w:val="00C11EA2"/>
    <w:rsid w:val="00C11F17"/>
    <w:rsid w:val="00C12133"/>
    <w:rsid w:val="00C12145"/>
    <w:rsid w:val="00C1288B"/>
    <w:rsid w:val="00C128D3"/>
    <w:rsid w:val="00C12FEC"/>
    <w:rsid w:val="00C13335"/>
    <w:rsid w:val="00C133E6"/>
    <w:rsid w:val="00C13854"/>
    <w:rsid w:val="00C13E19"/>
    <w:rsid w:val="00C14FD4"/>
    <w:rsid w:val="00C1568F"/>
    <w:rsid w:val="00C15A10"/>
    <w:rsid w:val="00C15B44"/>
    <w:rsid w:val="00C15DE8"/>
    <w:rsid w:val="00C15E00"/>
    <w:rsid w:val="00C15FF6"/>
    <w:rsid w:val="00C163EE"/>
    <w:rsid w:val="00C16730"/>
    <w:rsid w:val="00C167C1"/>
    <w:rsid w:val="00C16B66"/>
    <w:rsid w:val="00C16C72"/>
    <w:rsid w:val="00C16D7E"/>
    <w:rsid w:val="00C16D92"/>
    <w:rsid w:val="00C16E3E"/>
    <w:rsid w:val="00C171C8"/>
    <w:rsid w:val="00C17263"/>
    <w:rsid w:val="00C17492"/>
    <w:rsid w:val="00C174A8"/>
    <w:rsid w:val="00C17A02"/>
    <w:rsid w:val="00C17DC3"/>
    <w:rsid w:val="00C2002F"/>
    <w:rsid w:val="00C20700"/>
    <w:rsid w:val="00C2071D"/>
    <w:rsid w:val="00C20AE6"/>
    <w:rsid w:val="00C20B4E"/>
    <w:rsid w:val="00C20DD4"/>
    <w:rsid w:val="00C217D1"/>
    <w:rsid w:val="00C21942"/>
    <w:rsid w:val="00C21B35"/>
    <w:rsid w:val="00C21D39"/>
    <w:rsid w:val="00C22277"/>
    <w:rsid w:val="00C225EE"/>
    <w:rsid w:val="00C226D4"/>
    <w:rsid w:val="00C229D9"/>
    <w:rsid w:val="00C22B1A"/>
    <w:rsid w:val="00C2308B"/>
    <w:rsid w:val="00C236C2"/>
    <w:rsid w:val="00C2384D"/>
    <w:rsid w:val="00C23D32"/>
    <w:rsid w:val="00C24769"/>
    <w:rsid w:val="00C250E0"/>
    <w:rsid w:val="00C250EF"/>
    <w:rsid w:val="00C25251"/>
    <w:rsid w:val="00C2530A"/>
    <w:rsid w:val="00C253BD"/>
    <w:rsid w:val="00C256F7"/>
    <w:rsid w:val="00C25747"/>
    <w:rsid w:val="00C25C16"/>
    <w:rsid w:val="00C25D0E"/>
    <w:rsid w:val="00C25EFF"/>
    <w:rsid w:val="00C25F87"/>
    <w:rsid w:val="00C2607C"/>
    <w:rsid w:val="00C26493"/>
    <w:rsid w:val="00C26B6D"/>
    <w:rsid w:val="00C26F9F"/>
    <w:rsid w:val="00C27699"/>
    <w:rsid w:val="00C27878"/>
    <w:rsid w:val="00C278C7"/>
    <w:rsid w:val="00C27BA5"/>
    <w:rsid w:val="00C27C85"/>
    <w:rsid w:val="00C27D7D"/>
    <w:rsid w:val="00C27DC9"/>
    <w:rsid w:val="00C27F05"/>
    <w:rsid w:val="00C30151"/>
    <w:rsid w:val="00C30391"/>
    <w:rsid w:val="00C30DB3"/>
    <w:rsid w:val="00C30F42"/>
    <w:rsid w:val="00C30FEE"/>
    <w:rsid w:val="00C31544"/>
    <w:rsid w:val="00C31563"/>
    <w:rsid w:val="00C31623"/>
    <w:rsid w:val="00C319C6"/>
    <w:rsid w:val="00C31CBF"/>
    <w:rsid w:val="00C32027"/>
    <w:rsid w:val="00C32043"/>
    <w:rsid w:val="00C32098"/>
    <w:rsid w:val="00C3258D"/>
    <w:rsid w:val="00C32606"/>
    <w:rsid w:val="00C32ACA"/>
    <w:rsid w:val="00C32D72"/>
    <w:rsid w:val="00C32FC5"/>
    <w:rsid w:val="00C334C7"/>
    <w:rsid w:val="00C33F0F"/>
    <w:rsid w:val="00C34025"/>
    <w:rsid w:val="00C34152"/>
    <w:rsid w:val="00C3440E"/>
    <w:rsid w:val="00C3461C"/>
    <w:rsid w:val="00C34924"/>
    <w:rsid w:val="00C3493B"/>
    <w:rsid w:val="00C35142"/>
    <w:rsid w:val="00C3527F"/>
    <w:rsid w:val="00C35449"/>
    <w:rsid w:val="00C3573D"/>
    <w:rsid w:val="00C35880"/>
    <w:rsid w:val="00C358D2"/>
    <w:rsid w:val="00C358E5"/>
    <w:rsid w:val="00C3593F"/>
    <w:rsid w:val="00C35A69"/>
    <w:rsid w:val="00C35F37"/>
    <w:rsid w:val="00C35FB7"/>
    <w:rsid w:val="00C3602F"/>
    <w:rsid w:val="00C36541"/>
    <w:rsid w:val="00C3664D"/>
    <w:rsid w:val="00C367EF"/>
    <w:rsid w:val="00C36A8E"/>
    <w:rsid w:val="00C37467"/>
    <w:rsid w:val="00C404DF"/>
    <w:rsid w:val="00C404EA"/>
    <w:rsid w:val="00C406CB"/>
    <w:rsid w:val="00C407EA"/>
    <w:rsid w:val="00C40A11"/>
    <w:rsid w:val="00C40D92"/>
    <w:rsid w:val="00C40F93"/>
    <w:rsid w:val="00C4105A"/>
    <w:rsid w:val="00C412C9"/>
    <w:rsid w:val="00C41A59"/>
    <w:rsid w:val="00C41FF7"/>
    <w:rsid w:val="00C42870"/>
    <w:rsid w:val="00C42CE3"/>
    <w:rsid w:val="00C42E8E"/>
    <w:rsid w:val="00C42FCD"/>
    <w:rsid w:val="00C430FE"/>
    <w:rsid w:val="00C4313A"/>
    <w:rsid w:val="00C43285"/>
    <w:rsid w:val="00C43457"/>
    <w:rsid w:val="00C43965"/>
    <w:rsid w:val="00C44111"/>
    <w:rsid w:val="00C44900"/>
    <w:rsid w:val="00C44C2E"/>
    <w:rsid w:val="00C45105"/>
    <w:rsid w:val="00C456D7"/>
    <w:rsid w:val="00C456D9"/>
    <w:rsid w:val="00C459AA"/>
    <w:rsid w:val="00C459DE"/>
    <w:rsid w:val="00C45B00"/>
    <w:rsid w:val="00C45B25"/>
    <w:rsid w:val="00C45C28"/>
    <w:rsid w:val="00C45FE7"/>
    <w:rsid w:val="00C46826"/>
    <w:rsid w:val="00C46CB2"/>
    <w:rsid w:val="00C47077"/>
    <w:rsid w:val="00C47134"/>
    <w:rsid w:val="00C47430"/>
    <w:rsid w:val="00C474D1"/>
    <w:rsid w:val="00C475A3"/>
    <w:rsid w:val="00C5000F"/>
    <w:rsid w:val="00C5021D"/>
    <w:rsid w:val="00C502B6"/>
    <w:rsid w:val="00C5039D"/>
    <w:rsid w:val="00C50537"/>
    <w:rsid w:val="00C509BD"/>
    <w:rsid w:val="00C50AA0"/>
    <w:rsid w:val="00C50B26"/>
    <w:rsid w:val="00C510FB"/>
    <w:rsid w:val="00C518A6"/>
    <w:rsid w:val="00C5194A"/>
    <w:rsid w:val="00C5197D"/>
    <w:rsid w:val="00C519AD"/>
    <w:rsid w:val="00C51BB4"/>
    <w:rsid w:val="00C51C3E"/>
    <w:rsid w:val="00C51F4A"/>
    <w:rsid w:val="00C5211B"/>
    <w:rsid w:val="00C5220E"/>
    <w:rsid w:val="00C52578"/>
    <w:rsid w:val="00C525BA"/>
    <w:rsid w:val="00C525FA"/>
    <w:rsid w:val="00C5266E"/>
    <w:rsid w:val="00C52674"/>
    <w:rsid w:val="00C52A70"/>
    <w:rsid w:val="00C52B7A"/>
    <w:rsid w:val="00C52D33"/>
    <w:rsid w:val="00C52DF4"/>
    <w:rsid w:val="00C53078"/>
    <w:rsid w:val="00C53142"/>
    <w:rsid w:val="00C53300"/>
    <w:rsid w:val="00C536B0"/>
    <w:rsid w:val="00C537A4"/>
    <w:rsid w:val="00C5380F"/>
    <w:rsid w:val="00C53A18"/>
    <w:rsid w:val="00C53AE0"/>
    <w:rsid w:val="00C540EB"/>
    <w:rsid w:val="00C548EB"/>
    <w:rsid w:val="00C553BA"/>
    <w:rsid w:val="00C554C4"/>
    <w:rsid w:val="00C55705"/>
    <w:rsid w:val="00C55C25"/>
    <w:rsid w:val="00C55C5C"/>
    <w:rsid w:val="00C56225"/>
    <w:rsid w:val="00C56775"/>
    <w:rsid w:val="00C56976"/>
    <w:rsid w:val="00C56A95"/>
    <w:rsid w:val="00C56D35"/>
    <w:rsid w:val="00C56D4A"/>
    <w:rsid w:val="00C57833"/>
    <w:rsid w:val="00C57A23"/>
    <w:rsid w:val="00C57F64"/>
    <w:rsid w:val="00C6019B"/>
    <w:rsid w:val="00C6039F"/>
    <w:rsid w:val="00C606E0"/>
    <w:rsid w:val="00C6098D"/>
    <w:rsid w:val="00C61031"/>
    <w:rsid w:val="00C611B7"/>
    <w:rsid w:val="00C617A5"/>
    <w:rsid w:val="00C6196F"/>
    <w:rsid w:val="00C62E4E"/>
    <w:rsid w:val="00C633ED"/>
    <w:rsid w:val="00C63907"/>
    <w:rsid w:val="00C63D72"/>
    <w:rsid w:val="00C63EF2"/>
    <w:rsid w:val="00C63FA0"/>
    <w:rsid w:val="00C64E77"/>
    <w:rsid w:val="00C65249"/>
    <w:rsid w:val="00C65E2A"/>
    <w:rsid w:val="00C664F4"/>
    <w:rsid w:val="00C665E8"/>
    <w:rsid w:val="00C665F4"/>
    <w:rsid w:val="00C6669B"/>
    <w:rsid w:val="00C666B6"/>
    <w:rsid w:val="00C66A67"/>
    <w:rsid w:val="00C66C34"/>
    <w:rsid w:val="00C66D62"/>
    <w:rsid w:val="00C670E6"/>
    <w:rsid w:val="00C6722C"/>
    <w:rsid w:val="00C67460"/>
    <w:rsid w:val="00C679E7"/>
    <w:rsid w:val="00C67B29"/>
    <w:rsid w:val="00C7027E"/>
    <w:rsid w:val="00C706F8"/>
    <w:rsid w:val="00C70991"/>
    <w:rsid w:val="00C70B83"/>
    <w:rsid w:val="00C70FA5"/>
    <w:rsid w:val="00C71194"/>
    <w:rsid w:val="00C71210"/>
    <w:rsid w:val="00C714CC"/>
    <w:rsid w:val="00C715E8"/>
    <w:rsid w:val="00C719D7"/>
    <w:rsid w:val="00C71E38"/>
    <w:rsid w:val="00C71FDE"/>
    <w:rsid w:val="00C7252C"/>
    <w:rsid w:val="00C72665"/>
    <w:rsid w:val="00C72824"/>
    <w:rsid w:val="00C72C2C"/>
    <w:rsid w:val="00C72EE1"/>
    <w:rsid w:val="00C72FA0"/>
    <w:rsid w:val="00C7317B"/>
    <w:rsid w:val="00C73201"/>
    <w:rsid w:val="00C73312"/>
    <w:rsid w:val="00C73480"/>
    <w:rsid w:val="00C7368B"/>
    <w:rsid w:val="00C73777"/>
    <w:rsid w:val="00C739AA"/>
    <w:rsid w:val="00C74168"/>
    <w:rsid w:val="00C744D6"/>
    <w:rsid w:val="00C7465F"/>
    <w:rsid w:val="00C74740"/>
    <w:rsid w:val="00C74845"/>
    <w:rsid w:val="00C74DF3"/>
    <w:rsid w:val="00C750F6"/>
    <w:rsid w:val="00C751CC"/>
    <w:rsid w:val="00C75433"/>
    <w:rsid w:val="00C75434"/>
    <w:rsid w:val="00C754BF"/>
    <w:rsid w:val="00C75663"/>
    <w:rsid w:val="00C7593B"/>
    <w:rsid w:val="00C75F98"/>
    <w:rsid w:val="00C764AB"/>
    <w:rsid w:val="00C765FF"/>
    <w:rsid w:val="00C7661F"/>
    <w:rsid w:val="00C767A5"/>
    <w:rsid w:val="00C767CB"/>
    <w:rsid w:val="00C769D7"/>
    <w:rsid w:val="00C76BCE"/>
    <w:rsid w:val="00C76C4B"/>
    <w:rsid w:val="00C76F39"/>
    <w:rsid w:val="00C77297"/>
    <w:rsid w:val="00C77EA7"/>
    <w:rsid w:val="00C800F0"/>
    <w:rsid w:val="00C801F3"/>
    <w:rsid w:val="00C8049B"/>
    <w:rsid w:val="00C80609"/>
    <w:rsid w:val="00C80D96"/>
    <w:rsid w:val="00C810C5"/>
    <w:rsid w:val="00C817C6"/>
    <w:rsid w:val="00C81A6B"/>
    <w:rsid w:val="00C81C19"/>
    <w:rsid w:val="00C81DE7"/>
    <w:rsid w:val="00C822ED"/>
    <w:rsid w:val="00C82467"/>
    <w:rsid w:val="00C825E6"/>
    <w:rsid w:val="00C82ACF"/>
    <w:rsid w:val="00C82EFB"/>
    <w:rsid w:val="00C83263"/>
    <w:rsid w:val="00C83434"/>
    <w:rsid w:val="00C835BA"/>
    <w:rsid w:val="00C8388E"/>
    <w:rsid w:val="00C83B3C"/>
    <w:rsid w:val="00C83C7D"/>
    <w:rsid w:val="00C83F07"/>
    <w:rsid w:val="00C8419D"/>
    <w:rsid w:val="00C8437D"/>
    <w:rsid w:val="00C84798"/>
    <w:rsid w:val="00C8493B"/>
    <w:rsid w:val="00C84C5E"/>
    <w:rsid w:val="00C84EE5"/>
    <w:rsid w:val="00C8530A"/>
    <w:rsid w:val="00C854C4"/>
    <w:rsid w:val="00C856E2"/>
    <w:rsid w:val="00C85BE5"/>
    <w:rsid w:val="00C86C3A"/>
    <w:rsid w:val="00C86CC2"/>
    <w:rsid w:val="00C86DAE"/>
    <w:rsid w:val="00C86EA3"/>
    <w:rsid w:val="00C8747F"/>
    <w:rsid w:val="00C8759E"/>
    <w:rsid w:val="00C905D6"/>
    <w:rsid w:val="00C90CE9"/>
    <w:rsid w:val="00C9101B"/>
    <w:rsid w:val="00C9112E"/>
    <w:rsid w:val="00C911E3"/>
    <w:rsid w:val="00C9172B"/>
    <w:rsid w:val="00C91B9E"/>
    <w:rsid w:val="00C91BCD"/>
    <w:rsid w:val="00C9207D"/>
    <w:rsid w:val="00C92097"/>
    <w:rsid w:val="00C92116"/>
    <w:rsid w:val="00C92121"/>
    <w:rsid w:val="00C92400"/>
    <w:rsid w:val="00C92430"/>
    <w:rsid w:val="00C92510"/>
    <w:rsid w:val="00C92569"/>
    <w:rsid w:val="00C92662"/>
    <w:rsid w:val="00C92ABC"/>
    <w:rsid w:val="00C92F4D"/>
    <w:rsid w:val="00C933A9"/>
    <w:rsid w:val="00C933F2"/>
    <w:rsid w:val="00C935F7"/>
    <w:rsid w:val="00C938E8"/>
    <w:rsid w:val="00C93C22"/>
    <w:rsid w:val="00C93C69"/>
    <w:rsid w:val="00C940FD"/>
    <w:rsid w:val="00C9434E"/>
    <w:rsid w:val="00C94455"/>
    <w:rsid w:val="00C9448D"/>
    <w:rsid w:val="00C94871"/>
    <w:rsid w:val="00C948E0"/>
    <w:rsid w:val="00C94BFC"/>
    <w:rsid w:val="00C94CA5"/>
    <w:rsid w:val="00C94D6E"/>
    <w:rsid w:val="00C9507D"/>
    <w:rsid w:val="00C95157"/>
    <w:rsid w:val="00C95697"/>
    <w:rsid w:val="00C957BD"/>
    <w:rsid w:val="00C95E84"/>
    <w:rsid w:val="00C961F4"/>
    <w:rsid w:val="00C962AF"/>
    <w:rsid w:val="00C962D1"/>
    <w:rsid w:val="00C964FA"/>
    <w:rsid w:val="00C967A2"/>
    <w:rsid w:val="00C96B13"/>
    <w:rsid w:val="00C96B46"/>
    <w:rsid w:val="00C96CEC"/>
    <w:rsid w:val="00C972F3"/>
    <w:rsid w:val="00C977EC"/>
    <w:rsid w:val="00C97EF6"/>
    <w:rsid w:val="00CA0B60"/>
    <w:rsid w:val="00CA0BA1"/>
    <w:rsid w:val="00CA0CC0"/>
    <w:rsid w:val="00CA0D6B"/>
    <w:rsid w:val="00CA0D70"/>
    <w:rsid w:val="00CA0EE4"/>
    <w:rsid w:val="00CA1329"/>
    <w:rsid w:val="00CA156C"/>
    <w:rsid w:val="00CA1665"/>
    <w:rsid w:val="00CA16B8"/>
    <w:rsid w:val="00CA179F"/>
    <w:rsid w:val="00CA1868"/>
    <w:rsid w:val="00CA1DAA"/>
    <w:rsid w:val="00CA2925"/>
    <w:rsid w:val="00CA2A02"/>
    <w:rsid w:val="00CA2F02"/>
    <w:rsid w:val="00CA32BB"/>
    <w:rsid w:val="00CA372D"/>
    <w:rsid w:val="00CA37D3"/>
    <w:rsid w:val="00CA3D54"/>
    <w:rsid w:val="00CA3E41"/>
    <w:rsid w:val="00CA3E71"/>
    <w:rsid w:val="00CA4206"/>
    <w:rsid w:val="00CA4391"/>
    <w:rsid w:val="00CA4661"/>
    <w:rsid w:val="00CA487B"/>
    <w:rsid w:val="00CA4934"/>
    <w:rsid w:val="00CA49BA"/>
    <w:rsid w:val="00CA4B6A"/>
    <w:rsid w:val="00CA4C48"/>
    <w:rsid w:val="00CA5008"/>
    <w:rsid w:val="00CA51C8"/>
    <w:rsid w:val="00CA543C"/>
    <w:rsid w:val="00CA58E8"/>
    <w:rsid w:val="00CA5917"/>
    <w:rsid w:val="00CA5A1F"/>
    <w:rsid w:val="00CA5D34"/>
    <w:rsid w:val="00CA5FCB"/>
    <w:rsid w:val="00CA6103"/>
    <w:rsid w:val="00CA637E"/>
    <w:rsid w:val="00CA6830"/>
    <w:rsid w:val="00CA696B"/>
    <w:rsid w:val="00CA6CBB"/>
    <w:rsid w:val="00CA6E5D"/>
    <w:rsid w:val="00CA7E69"/>
    <w:rsid w:val="00CB0259"/>
    <w:rsid w:val="00CB04A3"/>
    <w:rsid w:val="00CB04C3"/>
    <w:rsid w:val="00CB1163"/>
    <w:rsid w:val="00CB123A"/>
    <w:rsid w:val="00CB13C8"/>
    <w:rsid w:val="00CB142D"/>
    <w:rsid w:val="00CB14DB"/>
    <w:rsid w:val="00CB1583"/>
    <w:rsid w:val="00CB15F8"/>
    <w:rsid w:val="00CB16C2"/>
    <w:rsid w:val="00CB16C6"/>
    <w:rsid w:val="00CB1C54"/>
    <w:rsid w:val="00CB1E0A"/>
    <w:rsid w:val="00CB1F3C"/>
    <w:rsid w:val="00CB1FBA"/>
    <w:rsid w:val="00CB20BE"/>
    <w:rsid w:val="00CB20C7"/>
    <w:rsid w:val="00CB2170"/>
    <w:rsid w:val="00CB22EB"/>
    <w:rsid w:val="00CB2306"/>
    <w:rsid w:val="00CB2439"/>
    <w:rsid w:val="00CB2807"/>
    <w:rsid w:val="00CB2B94"/>
    <w:rsid w:val="00CB2CD6"/>
    <w:rsid w:val="00CB2CF9"/>
    <w:rsid w:val="00CB2D1F"/>
    <w:rsid w:val="00CB2E93"/>
    <w:rsid w:val="00CB2FF2"/>
    <w:rsid w:val="00CB3231"/>
    <w:rsid w:val="00CB3BDF"/>
    <w:rsid w:val="00CB3D26"/>
    <w:rsid w:val="00CB3FDD"/>
    <w:rsid w:val="00CB4216"/>
    <w:rsid w:val="00CB4379"/>
    <w:rsid w:val="00CB455F"/>
    <w:rsid w:val="00CB5464"/>
    <w:rsid w:val="00CB5858"/>
    <w:rsid w:val="00CB5A98"/>
    <w:rsid w:val="00CB6078"/>
    <w:rsid w:val="00CB6433"/>
    <w:rsid w:val="00CB6739"/>
    <w:rsid w:val="00CB68EF"/>
    <w:rsid w:val="00CB6986"/>
    <w:rsid w:val="00CB6C94"/>
    <w:rsid w:val="00CB6D49"/>
    <w:rsid w:val="00CB7017"/>
    <w:rsid w:val="00CB7063"/>
    <w:rsid w:val="00CB7095"/>
    <w:rsid w:val="00CB710C"/>
    <w:rsid w:val="00CB71BC"/>
    <w:rsid w:val="00CB78ED"/>
    <w:rsid w:val="00CB7E2B"/>
    <w:rsid w:val="00CC036E"/>
    <w:rsid w:val="00CC0D1F"/>
    <w:rsid w:val="00CC0FB8"/>
    <w:rsid w:val="00CC1625"/>
    <w:rsid w:val="00CC1715"/>
    <w:rsid w:val="00CC1719"/>
    <w:rsid w:val="00CC1772"/>
    <w:rsid w:val="00CC1F31"/>
    <w:rsid w:val="00CC22B1"/>
    <w:rsid w:val="00CC2548"/>
    <w:rsid w:val="00CC2840"/>
    <w:rsid w:val="00CC291A"/>
    <w:rsid w:val="00CC2A41"/>
    <w:rsid w:val="00CC2E92"/>
    <w:rsid w:val="00CC3095"/>
    <w:rsid w:val="00CC30A7"/>
    <w:rsid w:val="00CC38B0"/>
    <w:rsid w:val="00CC3BF6"/>
    <w:rsid w:val="00CC3FCC"/>
    <w:rsid w:val="00CC4149"/>
    <w:rsid w:val="00CC4230"/>
    <w:rsid w:val="00CC4366"/>
    <w:rsid w:val="00CC448A"/>
    <w:rsid w:val="00CC4619"/>
    <w:rsid w:val="00CC4965"/>
    <w:rsid w:val="00CC4A46"/>
    <w:rsid w:val="00CC4ABA"/>
    <w:rsid w:val="00CC576F"/>
    <w:rsid w:val="00CC5F1F"/>
    <w:rsid w:val="00CC60F4"/>
    <w:rsid w:val="00CC6243"/>
    <w:rsid w:val="00CC672B"/>
    <w:rsid w:val="00CC6B19"/>
    <w:rsid w:val="00CC6E68"/>
    <w:rsid w:val="00CC704F"/>
    <w:rsid w:val="00CC7127"/>
    <w:rsid w:val="00CC71E9"/>
    <w:rsid w:val="00CC726A"/>
    <w:rsid w:val="00CC7547"/>
    <w:rsid w:val="00CC76F2"/>
    <w:rsid w:val="00CC771D"/>
    <w:rsid w:val="00CC7E52"/>
    <w:rsid w:val="00CC7E9B"/>
    <w:rsid w:val="00CD0234"/>
    <w:rsid w:val="00CD06EC"/>
    <w:rsid w:val="00CD0853"/>
    <w:rsid w:val="00CD0E5C"/>
    <w:rsid w:val="00CD0F54"/>
    <w:rsid w:val="00CD10DC"/>
    <w:rsid w:val="00CD10FE"/>
    <w:rsid w:val="00CD1134"/>
    <w:rsid w:val="00CD12A9"/>
    <w:rsid w:val="00CD1586"/>
    <w:rsid w:val="00CD163A"/>
    <w:rsid w:val="00CD175B"/>
    <w:rsid w:val="00CD18FD"/>
    <w:rsid w:val="00CD1BC8"/>
    <w:rsid w:val="00CD1E1F"/>
    <w:rsid w:val="00CD22BF"/>
    <w:rsid w:val="00CD308F"/>
    <w:rsid w:val="00CD3A01"/>
    <w:rsid w:val="00CD3B4E"/>
    <w:rsid w:val="00CD403E"/>
    <w:rsid w:val="00CD42AF"/>
    <w:rsid w:val="00CD4473"/>
    <w:rsid w:val="00CD45B1"/>
    <w:rsid w:val="00CD4946"/>
    <w:rsid w:val="00CD4BF0"/>
    <w:rsid w:val="00CD51BB"/>
    <w:rsid w:val="00CD5425"/>
    <w:rsid w:val="00CD5B69"/>
    <w:rsid w:val="00CD5D2B"/>
    <w:rsid w:val="00CD60D5"/>
    <w:rsid w:val="00CD60D6"/>
    <w:rsid w:val="00CD6B0C"/>
    <w:rsid w:val="00CD6B6F"/>
    <w:rsid w:val="00CD6C06"/>
    <w:rsid w:val="00CD6CE1"/>
    <w:rsid w:val="00CD6FC5"/>
    <w:rsid w:val="00CD721A"/>
    <w:rsid w:val="00CD733F"/>
    <w:rsid w:val="00CD7A23"/>
    <w:rsid w:val="00CD7ADB"/>
    <w:rsid w:val="00CD7B14"/>
    <w:rsid w:val="00CD7C7B"/>
    <w:rsid w:val="00CD7CBC"/>
    <w:rsid w:val="00CE034B"/>
    <w:rsid w:val="00CE04E3"/>
    <w:rsid w:val="00CE0966"/>
    <w:rsid w:val="00CE0B11"/>
    <w:rsid w:val="00CE0D37"/>
    <w:rsid w:val="00CE0F00"/>
    <w:rsid w:val="00CE0F1A"/>
    <w:rsid w:val="00CE102C"/>
    <w:rsid w:val="00CE13FC"/>
    <w:rsid w:val="00CE1533"/>
    <w:rsid w:val="00CE15B1"/>
    <w:rsid w:val="00CE19DE"/>
    <w:rsid w:val="00CE1A0C"/>
    <w:rsid w:val="00CE20B8"/>
    <w:rsid w:val="00CE22C3"/>
    <w:rsid w:val="00CE24D1"/>
    <w:rsid w:val="00CE25B5"/>
    <w:rsid w:val="00CE2CB3"/>
    <w:rsid w:val="00CE310C"/>
    <w:rsid w:val="00CE35DB"/>
    <w:rsid w:val="00CE3673"/>
    <w:rsid w:val="00CE379C"/>
    <w:rsid w:val="00CE37E2"/>
    <w:rsid w:val="00CE37FB"/>
    <w:rsid w:val="00CE3C98"/>
    <w:rsid w:val="00CE3F1D"/>
    <w:rsid w:val="00CE42BC"/>
    <w:rsid w:val="00CE475F"/>
    <w:rsid w:val="00CE4CBA"/>
    <w:rsid w:val="00CE5D27"/>
    <w:rsid w:val="00CE63FF"/>
    <w:rsid w:val="00CE648E"/>
    <w:rsid w:val="00CE69B8"/>
    <w:rsid w:val="00CE6AEF"/>
    <w:rsid w:val="00CE710F"/>
    <w:rsid w:val="00CE71FF"/>
    <w:rsid w:val="00CE79A2"/>
    <w:rsid w:val="00CE7E53"/>
    <w:rsid w:val="00CF001F"/>
    <w:rsid w:val="00CF007E"/>
    <w:rsid w:val="00CF028A"/>
    <w:rsid w:val="00CF02D6"/>
    <w:rsid w:val="00CF0714"/>
    <w:rsid w:val="00CF1485"/>
    <w:rsid w:val="00CF218E"/>
    <w:rsid w:val="00CF24A0"/>
    <w:rsid w:val="00CF276A"/>
    <w:rsid w:val="00CF2C6A"/>
    <w:rsid w:val="00CF2D1C"/>
    <w:rsid w:val="00CF2EDC"/>
    <w:rsid w:val="00CF3079"/>
    <w:rsid w:val="00CF31E7"/>
    <w:rsid w:val="00CF332B"/>
    <w:rsid w:val="00CF378F"/>
    <w:rsid w:val="00CF3CAE"/>
    <w:rsid w:val="00CF4349"/>
    <w:rsid w:val="00CF4402"/>
    <w:rsid w:val="00CF4543"/>
    <w:rsid w:val="00CF493A"/>
    <w:rsid w:val="00CF559D"/>
    <w:rsid w:val="00CF5698"/>
    <w:rsid w:val="00CF59FE"/>
    <w:rsid w:val="00CF5AD7"/>
    <w:rsid w:val="00CF5CD7"/>
    <w:rsid w:val="00CF612A"/>
    <w:rsid w:val="00CF6194"/>
    <w:rsid w:val="00CF65D9"/>
    <w:rsid w:val="00CF6AED"/>
    <w:rsid w:val="00CF6D01"/>
    <w:rsid w:val="00CF6F1D"/>
    <w:rsid w:val="00CF6FDD"/>
    <w:rsid w:val="00CF7072"/>
    <w:rsid w:val="00CF70CC"/>
    <w:rsid w:val="00CF71B0"/>
    <w:rsid w:val="00CF7256"/>
    <w:rsid w:val="00CF739D"/>
    <w:rsid w:val="00CF747B"/>
    <w:rsid w:val="00CF7532"/>
    <w:rsid w:val="00CF7FC4"/>
    <w:rsid w:val="00D0007F"/>
    <w:rsid w:val="00D00091"/>
    <w:rsid w:val="00D00434"/>
    <w:rsid w:val="00D00535"/>
    <w:rsid w:val="00D007D3"/>
    <w:rsid w:val="00D00828"/>
    <w:rsid w:val="00D00A21"/>
    <w:rsid w:val="00D00AA4"/>
    <w:rsid w:val="00D00B05"/>
    <w:rsid w:val="00D00BB0"/>
    <w:rsid w:val="00D00BD1"/>
    <w:rsid w:val="00D01AE0"/>
    <w:rsid w:val="00D01D2F"/>
    <w:rsid w:val="00D02190"/>
    <w:rsid w:val="00D022F5"/>
    <w:rsid w:val="00D02D5E"/>
    <w:rsid w:val="00D0308B"/>
    <w:rsid w:val="00D032D3"/>
    <w:rsid w:val="00D032E0"/>
    <w:rsid w:val="00D03720"/>
    <w:rsid w:val="00D03B05"/>
    <w:rsid w:val="00D03E58"/>
    <w:rsid w:val="00D04120"/>
    <w:rsid w:val="00D04202"/>
    <w:rsid w:val="00D04295"/>
    <w:rsid w:val="00D04C40"/>
    <w:rsid w:val="00D05258"/>
    <w:rsid w:val="00D05395"/>
    <w:rsid w:val="00D05469"/>
    <w:rsid w:val="00D054A8"/>
    <w:rsid w:val="00D05864"/>
    <w:rsid w:val="00D05BFE"/>
    <w:rsid w:val="00D05FFE"/>
    <w:rsid w:val="00D060F2"/>
    <w:rsid w:val="00D062AC"/>
    <w:rsid w:val="00D06548"/>
    <w:rsid w:val="00D065DE"/>
    <w:rsid w:val="00D06B96"/>
    <w:rsid w:val="00D06CAF"/>
    <w:rsid w:val="00D06F0B"/>
    <w:rsid w:val="00D0701A"/>
    <w:rsid w:val="00D071DE"/>
    <w:rsid w:val="00D07693"/>
    <w:rsid w:val="00D07855"/>
    <w:rsid w:val="00D078C9"/>
    <w:rsid w:val="00D079C6"/>
    <w:rsid w:val="00D07B9D"/>
    <w:rsid w:val="00D10327"/>
    <w:rsid w:val="00D105DD"/>
    <w:rsid w:val="00D1097F"/>
    <w:rsid w:val="00D10AD6"/>
    <w:rsid w:val="00D10D51"/>
    <w:rsid w:val="00D1167F"/>
    <w:rsid w:val="00D11A81"/>
    <w:rsid w:val="00D11BEB"/>
    <w:rsid w:val="00D11D2B"/>
    <w:rsid w:val="00D11D54"/>
    <w:rsid w:val="00D1254B"/>
    <w:rsid w:val="00D12784"/>
    <w:rsid w:val="00D12A8F"/>
    <w:rsid w:val="00D12B79"/>
    <w:rsid w:val="00D12BCA"/>
    <w:rsid w:val="00D12C0B"/>
    <w:rsid w:val="00D1342A"/>
    <w:rsid w:val="00D1349F"/>
    <w:rsid w:val="00D1367F"/>
    <w:rsid w:val="00D13801"/>
    <w:rsid w:val="00D13951"/>
    <w:rsid w:val="00D13F27"/>
    <w:rsid w:val="00D141E5"/>
    <w:rsid w:val="00D1429A"/>
    <w:rsid w:val="00D1434D"/>
    <w:rsid w:val="00D143BA"/>
    <w:rsid w:val="00D143D8"/>
    <w:rsid w:val="00D1476C"/>
    <w:rsid w:val="00D147B8"/>
    <w:rsid w:val="00D14EEC"/>
    <w:rsid w:val="00D150DD"/>
    <w:rsid w:val="00D151DE"/>
    <w:rsid w:val="00D157B1"/>
    <w:rsid w:val="00D157CE"/>
    <w:rsid w:val="00D1596D"/>
    <w:rsid w:val="00D15CD8"/>
    <w:rsid w:val="00D15DBD"/>
    <w:rsid w:val="00D15E03"/>
    <w:rsid w:val="00D16174"/>
    <w:rsid w:val="00D162FE"/>
    <w:rsid w:val="00D163FB"/>
    <w:rsid w:val="00D168ED"/>
    <w:rsid w:val="00D16C7B"/>
    <w:rsid w:val="00D16D7A"/>
    <w:rsid w:val="00D16ED8"/>
    <w:rsid w:val="00D16EDF"/>
    <w:rsid w:val="00D17465"/>
    <w:rsid w:val="00D1752A"/>
    <w:rsid w:val="00D177D7"/>
    <w:rsid w:val="00D1783F"/>
    <w:rsid w:val="00D17E10"/>
    <w:rsid w:val="00D17E93"/>
    <w:rsid w:val="00D20045"/>
    <w:rsid w:val="00D2072B"/>
    <w:rsid w:val="00D20760"/>
    <w:rsid w:val="00D2102F"/>
    <w:rsid w:val="00D215EF"/>
    <w:rsid w:val="00D2166D"/>
    <w:rsid w:val="00D2186B"/>
    <w:rsid w:val="00D218CA"/>
    <w:rsid w:val="00D21AC6"/>
    <w:rsid w:val="00D21C51"/>
    <w:rsid w:val="00D2206B"/>
    <w:rsid w:val="00D22C58"/>
    <w:rsid w:val="00D22CA8"/>
    <w:rsid w:val="00D22D1F"/>
    <w:rsid w:val="00D22D37"/>
    <w:rsid w:val="00D22D70"/>
    <w:rsid w:val="00D230DF"/>
    <w:rsid w:val="00D23189"/>
    <w:rsid w:val="00D23586"/>
    <w:rsid w:val="00D2388E"/>
    <w:rsid w:val="00D23C02"/>
    <w:rsid w:val="00D23D4B"/>
    <w:rsid w:val="00D23D63"/>
    <w:rsid w:val="00D2416C"/>
    <w:rsid w:val="00D241A6"/>
    <w:rsid w:val="00D2449E"/>
    <w:rsid w:val="00D24510"/>
    <w:rsid w:val="00D249E1"/>
    <w:rsid w:val="00D250C8"/>
    <w:rsid w:val="00D25433"/>
    <w:rsid w:val="00D25616"/>
    <w:rsid w:val="00D2579F"/>
    <w:rsid w:val="00D25E6F"/>
    <w:rsid w:val="00D26039"/>
    <w:rsid w:val="00D260AC"/>
    <w:rsid w:val="00D26107"/>
    <w:rsid w:val="00D26440"/>
    <w:rsid w:val="00D2660D"/>
    <w:rsid w:val="00D268C7"/>
    <w:rsid w:val="00D27127"/>
    <w:rsid w:val="00D27199"/>
    <w:rsid w:val="00D27434"/>
    <w:rsid w:val="00D27690"/>
    <w:rsid w:val="00D30439"/>
    <w:rsid w:val="00D304A4"/>
    <w:rsid w:val="00D30785"/>
    <w:rsid w:val="00D30A34"/>
    <w:rsid w:val="00D30B54"/>
    <w:rsid w:val="00D3100C"/>
    <w:rsid w:val="00D318C3"/>
    <w:rsid w:val="00D31C7D"/>
    <w:rsid w:val="00D320FA"/>
    <w:rsid w:val="00D32581"/>
    <w:rsid w:val="00D33028"/>
    <w:rsid w:val="00D334B4"/>
    <w:rsid w:val="00D3355F"/>
    <w:rsid w:val="00D3369E"/>
    <w:rsid w:val="00D338E6"/>
    <w:rsid w:val="00D33D3C"/>
    <w:rsid w:val="00D33D79"/>
    <w:rsid w:val="00D34964"/>
    <w:rsid w:val="00D34C37"/>
    <w:rsid w:val="00D34C5C"/>
    <w:rsid w:val="00D34D6C"/>
    <w:rsid w:val="00D351D2"/>
    <w:rsid w:val="00D3528F"/>
    <w:rsid w:val="00D35562"/>
    <w:rsid w:val="00D359B9"/>
    <w:rsid w:val="00D35D35"/>
    <w:rsid w:val="00D35FE1"/>
    <w:rsid w:val="00D36068"/>
    <w:rsid w:val="00D36228"/>
    <w:rsid w:val="00D3623F"/>
    <w:rsid w:val="00D36387"/>
    <w:rsid w:val="00D36486"/>
    <w:rsid w:val="00D36906"/>
    <w:rsid w:val="00D37170"/>
    <w:rsid w:val="00D374C3"/>
    <w:rsid w:val="00D378E4"/>
    <w:rsid w:val="00D378EB"/>
    <w:rsid w:val="00D4013D"/>
    <w:rsid w:val="00D40712"/>
    <w:rsid w:val="00D40728"/>
    <w:rsid w:val="00D4079C"/>
    <w:rsid w:val="00D408D6"/>
    <w:rsid w:val="00D40997"/>
    <w:rsid w:val="00D409F3"/>
    <w:rsid w:val="00D40A7B"/>
    <w:rsid w:val="00D40CFD"/>
    <w:rsid w:val="00D411C1"/>
    <w:rsid w:val="00D412C2"/>
    <w:rsid w:val="00D41607"/>
    <w:rsid w:val="00D4166D"/>
    <w:rsid w:val="00D41A39"/>
    <w:rsid w:val="00D41C52"/>
    <w:rsid w:val="00D41E33"/>
    <w:rsid w:val="00D42432"/>
    <w:rsid w:val="00D42707"/>
    <w:rsid w:val="00D42C34"/>
    <w:rsid w:val="00D42C65"/>
    <w:rsid w:val="00D42EE5"/>
    <w:rsid w:val="00D42FBA"/>
    <w:rsid w:val="00D4316D"/>
    <w:rsid w:val="00D43176"/>
    <w:rsid w:val="00D43180"/>
    <w:rsid w:val="00D432E4"/>
    <w:rsid w:val="00D4332F"/>
    <w:rsid w:val="00D4348C"/>
    <w:rsid w:val="00D436E1"/>
    <w:rsid w:val="00D43E81"/>
    <w:rsid w:val="00D44166"/>
    <w:rsid w:val="00D442D9"/>
    <w:rsid w:val="00D44532"/>
    <w:rsid w:val="00D4454C"/>
    <w:rsid w:val="00D44841"/>
    <w:rsid w:val="00D44F6A"/>
    <w:rsid w:val="00D4526F"/>
    <w:rsid w:val="00D45ACB"/>
    <w:rsid w:val="00D45B53"/>
    <w:rsid w:val="00D45B61"/>
    <w:rsid w:val="00D45CAB"/>
    <w:rsid w:val="00D45DE4"/>
    <w:rsid w:val="00D46523"/>
    <w:rsid w:val="00D46BF0"/>
    <w:rsid w:val="00D46C4F"/>
    <w:rsid w:val="00D4759A"/>
    <w:rsid w:val="00D478B5"/>
    <w:rsid w:val="00D47DEE"/>
    <w:rsid w:val="00D47E6E"/>
    <w:rsid w:val="00D47F94"/>
    <w:rsid w:val="00D50081"/>
    <w:rsid w:val="00D50340"/>
    <w:rsid w:val="00D503FE"/>
    <w:rsid w:val="00D50E21"/>
    <w:rsid w:val="00D513D2"/>
    <w:rsid w:val="00D51924"/>
    <w:rsid w:val="00D51A02"/>
    <w:rsid w:val="00D51CBA"/>
    <w:rsid w:val="00D51F09"/>
    <w:rsid w:val="00D51FA6"/>
    <w:rsid w:val="00D5230B"/>
    <w:rsid w:val="00D52784"/>
    <w:rsid w:val="00D52925"/>
    <w:rsid w:val="00D5295A"/>
    <w:rsid w:val="00D52CDC"/>
    <w:rsid w:val="00D52D66"/>
    <w:rsid w:val="00D52FD0"/>
    <w:rsid w:val="00D531B7"/>
    <w:rsid w:val="00D53533"/>
    <w:rsid w:val="00D535E2"/>
    <w:rsid w:val="00D5379E"/>
    <w:rsid w:val="00D538B0"/>
    <w:rsid w:val="00D53D09"/>
    <w:rsid w:val="00D53E28"/>
    <w:rsid w:val="00D54251"/>
    <w:rsid w:val="00D5434E"/>
    <w:rsid w:val="00D544F5"/>
    <w:rsid w:val="00D545C9"/>
    <w:rsid w:val="00D54697"/>
    <w:rsid w:val="00D54992"/>
    <w:rsid w:val="00D54C14"/>
    <w:rsid w:val="00D554A9"/>
    <w:rsid w:val="00D5567F"/>
    <w:rsid w:val="00D55DF5"/>
    <w:rsid w:val="00D56043"/>
    <w:rsid w:val="00D563E6"/>
    <w:rsid w:val="00D569BE"/>
    <w:rsid w:val="00D56AE9"/>
    <w:rsid w:val="00D56C05"/>
    <w:rsid w:val="00D5755D"/>
    <w:rsid w:val="00D57CC2"/>
    <w:rsid w:val="00D57CD7"/>
    <w:rsid w:val="00D57D37"/>
    <w:rsid w:val="00D601AA"/>
    <w:rsid w:val="00D60784"/>
    <w:rsid w:val="00D608A2"/>
    <w:rsid w:val="00D612A2"/>
    <w:rsid w:val="00D612A4"/>
    <w:rsid w:val="00D61858"/>
    <w:rsid w:val="00D61ACE"/>
    <w:rsid w:val="00D61AD0"/>
    <w:rsid w:val="00D61BAC"/>
    <w:rsid w:val="00D61D69"/>
    <w:rsid w:val="00D6220F"/>
    <w:rsid w:val="00D6262D"/>
    <w:rsid w:val="00D62981"/>
    <w:rsid w:val="00D62A64"/>
    <w:rsid w:val="00D62E44"/>
    <w:rsid w:val="00D62FF8"/>
    <w:rsid w:val="00D63072"/>
    <w:rsid w:val="00D6337C"/>
    <w:rsid w:val="00D634B5"/>
    <w:rsid w:val="00D63616"/>
    <w:rsid w:val="00D63F51"/>
    <w:rsid w:val="00D64548"/>
    <w:rsid w:val="00D646EC"/>
    <w:rsid w:val="00D64778"/>
    <w:rsid w:val="00D64845"/>
    <w:rsid w:val="00D64C13"/>
    <w:rsid w:val="00D64C32"/>
    <w:rsid w:val="00D64D60"/>
    <w:rsid w:val="00D650A8"/>
    <w:rsid w:val="00D654CE"/>
    <w:rsid w:val="00D65B08"/>
    <w:rsid w:val="00D65EC5"/>
    <w:rsid w:val="00D66065"/>
    <w:rsid w:val="00D6637F"/>
    <w:rsid w:val="00D66ABF"/>
    <w:rsid w:val="00D67094"/>
    <w:rsid w:val="00D6717E"/>
    <w:rsid w:val="00D67269"/>
    <w:rsid w:val="00D673C7"/>
    <w:rsid w:val="00D674E7"/>
    <w:rsid w:val="00D6780E"/>
    <w:rsid w:val="00D67A19"/>
    <w:rsid w:val="00D67A77"/>
    <w:rsid w:val="00D70109"/>
    <w:rsid w:val="00D7025E"/>
    <w:rsid w:val="00D705BD"/>
    <w:rsid w:val="00D70AC3"/>
    <w:rsid w:val="00D70F27"/>
    <w:rsid w:val="00D70F83"/>
    <w:rsid w:val="00D71121"/>
    <w:rsid w:val="00D7172B"/>
    <w:rsid w:val="00D718ED"/>
    <w:rsid w:val="00D719D9"/>
    <w:rsid w:val="00D71D9B"/>
    <w:rsid w:val="00D71E14"/>
    <w:rsid w:val="00D72607"/>
    <w:rsid w:val="00D72704"/>
    <w:rsid w:val="00D729BE"/>
    <w:rsid w:val="00D72A39"/>
    <w:rsid w:val="00D72B67"/>
    <w:rsid w:val="00D72D69"/>
    <w:rsid w:val="00D72ECE"/>
    <w:rsid w:val="00D72F48"/>
    <w:rsid w:val="00D7314E"/>
    <w:rsid w:val="00D733D0"/>
    <w:rsid w:val="00D7362F"/>
    <w:rsid w:val="00D73A85"/>
    <w:rsid w:val="00D73EAC"/>
    <w:rsid w:val="00D73ECD"/>
    <w:rsid w:val="00D743E6"/>
    <w:rsid w:val="00D74588"/>
    <w:rsid w:val="00D7480C"/>
    <w:rsid w:val="00D74832"/>
    <w:rsid w:val="00D74B63"/>
    <w:rsid w:val="00D74D88"/>
    <w:rsid w:val="00D75BD2"/>
    <w:rsid w:val="00D75BE9"/>
    <w:rsid w:val="00D75BF5"/>
    <w:rsid w:val="00D75D4D"/>
    <w:rsid w:val="00D75E34"/>
    <w:rsid w:val="00D75E78"/>
    <w:rsid w:val="00D764C6"/>
    <w:rsid w:val="00D76509"/>
    <w:rsid w:val="00D768E9"/>
    <w:rsid w:val="00D76C3A"/>
    <w:rsid w:val="00D7702F"/>
    <w:rsid w:val="00D770DC"/>
    <w:rsid w:val="00D772CC"/>
    <w:rsid w:val="00D7738C"/>
    <w:rsid w:val="00D7738F"/>
    <w:rsid w:val="00D77638"/>
    <w:rsid w:val="00D779C0"/>
    <w:rsid w:val="00D77D36"/>
    <w:rsid w:val="00D80A67"/>
    <w:rsid w:val="00D80CC1"/>
    <w:rsid w:val="00D80DE9"/>
    <w:rsid w:val="00D8117F"/>
    <w:rsid w:val="00D81303"/>
    <w:rsid w:val="00D816EE"/>
    <w:rsid w:val="00D8190E"/>
    <w:rsid w:val="00D81AD8"/>
    <w:rsid w:val="00D81F10"/>
    <w:rsid w:val="00D81FBE"/>
    <w:rsid w:val="00D820FE"/>
    <w:rsid w:val="00D82210"/>
    <w:rsid w:val="00D82366"/>
    <w:rsid w:val="00D82377"/>
    <w:rsid w:val="00D828F8"/>
    <w:rsid w:val="00D82E1C"/>
    <w:rsid w:val="00D83171"/>
    <w:rsid w:val="00D8335F"/>
    <w:rsid w:val="00D83609"/>
    <w:rsid w:val="00D83A2E"/>
    <w:rsid w:val="00D83E17"/>
    <w:rsid w:val="00D83F1F"/>
    <w:rsid w:val="00D83FEA"/>
    <w:rsid w:val="00D8409D"/>
    <w:rsid w:val="00D840D7"/>
    <w:rsid w:val="00D8419D"/>
    <w:rsid w:val="00D84345"/>
    <w:rsid w:val="00D84437"/>
    <w:rsid w:val="00D849DB"/>
    <w:rsid w:val="00D850D2"/>
    <w:rsid w:val="00D852BB"/>
    <w:rsid w:val="00D85660"/>
    <w:rsid w:val="00D85813"/>
    <w:rsid w:val="00D8583E"/>
    <w:rsid w:val="00D86346"/>
    <w:rsid w:val="00D86386"/>
    <w:rsid w:val="00D865B5"/>
    <w:rsid w:val="00D86BF2"/>
    <w:rsid w:val="00D86E74"/>
    <w:rsid w:val="00D873FF"/>
    <w:rsid w:val="00D8743D"/>
    <w:rsid w:val="00D8769A"/>
    <w:rsid w:val="00D876CD"/>
    <w:rsid w:val="00D8778B"/>
    <w:rsid w:val="00D8783D"/>
    <w:rsid w:val="00D9064A"/>
    <w:rsid w:val="00D90B29"/>
    <w:rsid w:val="00D90CA8"/>
    <w:rsid w:val="00D90F82"/>
    <w:rsid w:val="00D910B0"/>
    <w:rsid w:val="00D91205"/>
    <w:rsid w:val="00D914F8"/>
    <w:rsid w:val="00D91628"/>
    <w:rsid w:val="00D91822"/>
    <w:rsid w:val="00D91824"/>
    <w:rsid w:val="00D91A23"/>
    <w:rsid w:val="00D91BF9"/>
    <w:rsid w:val="00D91D24"/>
    <w:rsid w:val="00D91EBD"/>
    <w:rsid w:val="00D91F74"/>
    <w:rsid w:val="00D92270"/>
    <w:rsid w:val="00D92CDE"/>
    <w:rsid w:val="00D93410"/>
    <w:rsid w:val="00D936A6"/>
    <w:rsid w:val="00D93798"/>
    <w:rsid w:val="00D93BA8"/>
    <w:rsid w:val="00D93D59"/>
    <w:rsid w:val="00D94196"/>
    <w:rsid w:val="00D941D2"/>
    <w:rsid w:val="00D94722"/>
    <w:rsid w:val="00D948C0"/>
    <w:rsid w:val="00D948C4"/>
    <w:rsid w:val="00D94C4E"/>
    <w:rsid w:val="00D94F90"/>
    <w:rsid w:val="00D95293"/>
    <w:rsid w:val="00D954E1"/>
    <w:rsid w:val="00D955EC"/>
    <w:rsid w:val="00D958BD"/>
    <w:rsid w:val="00D959BF"/>
    <w:rsid w:val="00D95BFA"/>
    <w:rsid w:val="00D95CC1"/>
    <w:rsid w:val="00D9602C"/>
    <w:rsid w:val="00D96515"/>
    <w:rsid w:val="00D9660F"/>
    <w:rsid w:val="00D966E9"/>
    <w:rsid w:val="00D969C2"/>
    <w:rsid w:val="00D96A32"/>
    <w:rsid w:val="00D96AC2"/>
    <w:rsid w:val="00D96BC4"/>
    <w:rsid w:val="00D96C06"/>
    <w:rsid w:val="00D9709F"/>
    <w:rsid w:val="00D9751B"/>
    <w:rsid w:val="00D9765F"/>
    <w:rsid w:val="00D978AA"/>
    <w:rsid w:val="00D978B8"/>
    <w:rsid w:val="00DA0219"/>
    <w:rsid w:val="00DA02DF"/>
    <w:rsid w:val="00DA0680"/>
    <w:rsid w:val="00DA0C93"/>
    <w:rsid w:val="00DA0EA3"/>
    <w:rsid w:val="00DA10CE"/>
    <w:rsid w:val="00DA1128"/>
    <w:rsid w:val="00DA1664"/>
    <w:rsid w:val="00DA16A7"/>
    <w:rsid w:val="00DA18E2"/>
    <w:rsid w:val="00DA1BD0"/>
    <w:rsid w:val="00DA218B"/>
    <w:rsid w:val="00DA220E"/>
    <w:rsid w:val="00DA2B2A"/>
    <w:rsid w:val="00DA2E90"/>
    <w:rsid w:val="00DA30B0"/>
    <w:rsid w:val="00DA3110"/>
    <w:rsid w:val="00DA3143"/>
    <w:rsid w:val="00DA3583"/>
    <w:rsid w:val="00DA37A9"/>
    <w:rsid w:val="00DA38ED"/>
    <w:rsid w:val="00DA3B30"/>
    <w:rsid w:val="00DA3C14"/>
    <w:rsid w:val="00DA3EA4"/>
    <w:rsid w:val="00DA3EE5"/>
    <w:rsid w:val="00DA42DF"/>
    <w:rsid w:val="00DA476A"/>
    <w:rsid w:val="00DA4962"/>
    <w:rsid w:val="00DA5247"/>
    <w:rsid w:val="00DA5273"/>
    <w:rsid w:val="00DA5F7C"/>
    <w:rsid w:val="00DA5FC5"/>
    <w:rsid w:val="00DA6144"/>
    <w:rsid w:val="00DA6537"/>
    <w:rsid w:val="00DA661C"/>
    <w:rsid w:val="00DA6B1F"/>
    <w:rsid w:val="00DA6F04"/>
    <w:rsid w:val="00DA72F0"/>
    <w:rsid w:val="00DA760E"/>
    <w:rsid w:val="00DA798D"/>
    <w:rsid w:val="00DB03EB"/>
    <w:rsid w:val="00DB05CA"/>
    <w:rsid w:val="00DB06A2"/>
    <w:rsid w:val="00DB0AE8"/>
    <w:rsid w:val="00DB0E2A"/>
    <w:rsid w:val="00DB1096"/>
    <w:rsid w:val="00DB11C7"/>
    <w:rsid w:val="00DB125F"/>
    <w:rsid w:val="00DB1275"/>
    <w:rsid w:val="00DB16D4"/>
    <w:rsid w:val="00DB16ED"/>
    <w:rsid w:val="00DB17E9"/>
    <w:rsid w:val="00DB1D6B"/>
    <w:rsid w:val="00DB1DF8"/>
    <w:rsid w:val="00DB22D8"/>
    <w:rsid w:val="00DB2B82"/>
    <w:rsid w:val="00DB2E83"/>
    <w:rsid w:val="00DB2FB5"/>
    <w:rsid w:val="00DB3099"/>
    <w:rsid w:val="00DB3218"/>
    <w:rsid w:val="00DB3312"/>
    <w:rsid w:val="00DB3726"/>
    <w:rsid w:val="00DB37FD"/>
    <w:rsid w:val="00DB40B4"/>
    <w:rsid w:val="00DB4EE1"/>
    <w:rsid w:val="00DB5289"/>
    <w:rsid w:val="00DB5384"/>
    <w:rsid w:val="00DB570C"/>
    <w:rsid w:val="00DB5A7B"/>
    <w:rsid w:val="00DB5E5C"/>
    <w:rsid w:val="00DB5F4B"/>
    <w:rsid w:val="00DB626B"/>
    <w:rsid w:val="00DB63C9"/>
    <w:rsid w:val="00DB668D"/>
    <w:rsid w:val="00DB6A14"/>
    <w:rsid w:val="00DB6C89"/>
    <w:rsid w:val="00DB6CA7"/>
    <w:rsid w:val="00DB70F8"/>
    <w:rsid w:val="00DB72F6"/>
    <w:rsid w:val="00DB7596"/>
    <w:rsid w:val="00DB7793"/>
    <w:rsid w:val="00DB7877"/>
    <w:rsid w:val="00DB78C5"/>
    <w:rsid w:val="00DB7CF0"/>
    <w:rsid w:val="00DB7EBA"/>
    <w:rsid w:val="00DB7F40"/>
    <w:rsid w:val="00DC0205"/>
    <w:rsid w:val="00DC0381"/>
    <w:rsid w:val="00DC040A"/>
    <w:rsid w:val="00DC0484"/>
    <w:rsid w:val="00DC1048"/>
    <w:rsid w:val="00DC151C"/>
    <w:rsid w:val="00DC160E"/>
    <w:rsid w:val="00DC1B6F"/>
    <w:rsid w:val="00DC1C07"/>
    <w:rsid w:val="00DC1C8F"/>
    <w:rsid w:val="00DC217D"/>
    <w:rsid w:val="00DC2304"/>
    <w:rsid w:val="00DC2CFF"/>
    <w:rsid w:val="00DC3405"/>
    <w:rsid w:val="00DC3B9D"/>
    <w:rsid w:val="00DC3EAF"/>
    <w:rsid w:val="00DC42E2"/>
    <w:rsid w:val="00DC445A"/>
    <w:rsid w:val="00DC4495"/>
    <w:rsid w:val="00DC4615"/>
    <w:rsid w:val="00DC493B"/>
    <w:rsid w:val="00DC4E1C"/>
    <w:rsid w:val="00DC5025"/>
    <w:rsid w:val="00DC51BF"/>
    <w:rsid w:val="00DC5270"/>
    <w:rsid w:val="00DC59DB"/>
    <w:rsid w:val="00DC59FB"/>
    <w:rsid w:val="00DC5B27"/>
    <w:rsid w:val="00DC5EF1"/>
    <w:rsid w:val="00DC5FC2"/>
    <w:rsid w:val="00DC62AF"/>
    <w:rsid w:val="00DC688E"/>
    <w:rsid w:val="00DC6A2F"/>
    <w:rsid w:val="00DC6F7E"/>
    <w:rsid w:val="00DC78BF"/>
    <w:rsid w:val="00DD009A"/>
    <w:rsid w:val="00DD0108"/>
    <w:rsid w:val="00DD02FE"/>
    <w:rsid w:val="00DD0739"/>
    <w:rsid w:val="00DD0977"/>
    <w:rsid w:val="00DD0B0A"/>
    <w:rsid w:val="00DD0D4C"/>
    <w:rsid w:val="00DD0FBE"/>
    <w:rsid w:val="00DD108D"/>
    <w:rsid w:val="00DD11C2"/>
    <w:rsid w:val="00DD1625"/>
    <w:rsid w:val="00DD1868"/>
    <w:rsid w:val="00DD1937"/>
    <w:rsid w:val="00DD1EE6"/>
    <w:rsid w:val="00DD219C"/>
    <w:rsid w:val="00DD21BC"/>
    <w:rsid w:val="00DD2210"/>
    <w:rsid w:val="00DD2901"/>
    <w:rsid w:val="00DD2B87"/>
    <w:rsid w:val="00DD331B"/>
    <w:rsid w:val="00DD385F"/>
    <w:rsid w:val="00DD39E5"/>
    <w:rsid w:val="00DD3F1A"/>
    <w:rsid w:val="00DD3F6C"/>
    <w:rsid w:val="00DD4058"/>
    <w:rsid w:val="00DD4161"/>
    <w:rsid w:val="00DD4186"/>
    <w:rsid w:val="00DD42FD"/>
    <w:rsid w:val="00DD43B3"/>
    <w:rsid w:val="00DD4511"/>
    <w:rsid w:val="00DD4FDA"/>
    <w:rsid w:val="00DD5258"/>
    <w:rsid w:val="00DD5417"/>
    <w:rsid w:val="00DD54DF"/>
    <w:rsid w:val="00DD5770"/>
    <w:rsid w:val="00DD5977"/>
    <w:rsid w:val="00DD5C9D"/>
    <w:rsid w:val="00DD5D0E"/>
    <w:rsid w:val="00DD5D73"/>
    <w:rsid w:val="00DD5FFB"/>
    <w:rsid w:val="00DD61E1"/>
    <w:rsid w:val="00DD66E8"/>
    <w:rsid w:val="00DD6D49"/>
    <w:rsid w:val="00DD6DF3"/>
    <w:rsid w:val="00DD6F3E"/>
    <w:rsid w:val="00DD7240"/>
    <w:rsid w:val="00DD7356"/>
    <w:rsid w:val="00DD75E9"/>
    <w:rsid w:val="00DD7664"/>
    <w:rsid w:val="00DD7778"/>
    <w:rsid w:val="00DD77D2"/>
    <w:rsid w:val="00DD7A6A"/>
    <w:rsid w:val="00DD7B22"/>
    <w:rsid w:val="00DD7C7D"/>
    <w:rsid w:val="00DD7DF8"/>
    <w:rsid w:val="00DD7E8B"/>
    <w:rsid w:val="00DE00EB"/>
    <w:rsid w:val="00DE014F"/>
    <w:rsid w:val="00DE026E"/>
    <w:rsid w:val="00DE044B"/>
    <w:rsid w:val="00DE069C"/>
    <w:rsid w:val="00DE07C8"/>
    <w:rsid w:val="00DE0AAD"/>
    <w:rsid w:val="00DE117B"/>
    <w:rsid w:val="00DE18BF"/>
    <w:rsid w:val="00DE1C86"/>
    <w:rsid w:val="00DE1F02"/>
    <w:rsid w:val="00DE212F"/>
    <w:rsid w:val="00DE231F"/>
    <w:rsid w:val="00DE2625"/>
    <w:rsid w:val="00DE28AD"/>
    <w:rsid w:val="00DE28BB"/>
    <w:rsid w:val="00DE299B"/>
    <w:rsid w:val="00DE2A55"/>
    <w:rsid w:val="00DE2BAA"/>
    <w:rsid w:val="00DE2CBA"/>
    <w:rsid w:val="00DE33E8"/>
    <w:rsid w:val="00DE367A"/>
    <w:rsid w:val="00DE3AB7"/>
    <w:rsid w:val="00DE4208"/>
    <w:rsid w:val="00DE4CD2"/>
    <w:rsid w:val="00DE5975"/>
    <w:rsid w:val="00DE5AE1"/>
    <w:rsid w:val="00DE5DE6"/>
    <w:rsid w:val="00DE61E9"/>
    <w:rsid w:val="00DE6281"/>
    <w:rsid w:val="00DE651A"/>
    <w:rsid w:val="00DE65BB"/>
    <w:rsid w:val="00DE6693"/>
    <w:rsid w:val="00DE6774"/>
    <w:rsid w:val="00DE6B6C"/>
    <w:rsid w:val="00DE71BA"/>
    <w:rsid w:val="00DE7230"/>
    <w:rsid w:val="00DE738E"/>
    <w:rsid w:val="00DE73DC"/>
    <w:rsid w:val="00DE7618"/>
    <w:rsid w:val="00DE7802"/>
    <w:rsid w:val="00DE7A17"/>
    <w:rsid w:val="00DE7B0C"/>
    <w:rsid w:val="00DF0235"/>
    <w:rsid w:val="00DF0277"/>
    <w:rsid w:val="00DF059A"/>
    <w:rsid w:val="00DF0835"/>
    <w:rsid w:val="00DF0A28"/>
    <w:rsid w:val="00DF0A6E"/>
    <w:rsid w:val="00DF0D65"/>
    <w:rsid w:val="00DF1109"/>
    <w:rsid w:val="00DF16C6"/>
    <w:rsid w:val="00DF19CD"/>
    <w:rsid w:val="00DF1A70"/>
    <w:rsid w:val="00DF1A7A"/>
    <w:rsid w:val="00DF1DA6"/>
    <w:rsid w:val="00DF1ED4"/>
    <w:rsid w:val="00DF244F"/>
    <w:rsid w:val="00DF2478"/>
    <w:rsid w:val="00DF2541"/>
    <w:rsid w:val="00DF2B91"/>
    <w:rsid w:val="00DF2DEC"/>
    <w:rsid w:val="00DF3033"/>
    <w:rsid w:val="00DF35E5"/>
    <w:rsid w:val="00DF367F"/>
    <w:rsid w:val="00DF3742"/>
    <w:rsid w:val="00DF3DFC"/>
    <w:rsid w:val="00DF3EC0"/>
    <w:rsid w:val="00DF3EF5"/>
    <w:rsid w:val="00DF3FE9"/>
    <w:rsid w:val="00DF41E3"/>
    <w:rsid w:val="00DF446D"/>
    <w:rsid w:val="00DF46AF"/>
    <w:rsid w:val="00DF4786"/>
    <w:rsid w:val="00DF4859"/>
    <w:rsid w:val="00DF56AA"/>
    <w:rsid w:val="00DF58EF"/>
    <w:rsid w:val="00DF59CD"/>
    <w:rsid w:val="00DF5B85"/>
    <w:rsid w:val="00DF5B8A"/>
    <w:rsid w:val="00DF5D0A"/>
    <w:rsid w:val="00DF6070"/>
    <w:rsid w:val="00DF63ED"/>
    <w:rsid w:val="00DF641E"/>
    <w:rsid w:val="00DF6BFD"/>
    <w:rsid w:val="00DF71BE"/>
    <w:rsid w:val="00DF7372"/>
    <w:rsid w:val="00DF74A0"/>
    <w:rsid w:val="00DF76DE"/>
    <w:rsid w:val="00DF7ACE"/>
    <w:rsid w:val="00DF7BF6"/>
    <w:rsid w:val="00DF7F14"/>
    <w:rsid w:val="00E0058D"/>
    <w:rsid w:val="00E0068A"/>
    <w:rsid w:val="00E00910"/>
    <w:rsid w:val="00E009CD"/>
    <w:rsid w:val="00E01441"/>
    <w:rsid w:val="00E01AF5"/>
    <w:rsid w:val="00E01B20"/>
    <w:rsid w:val="00E02132"/>
    <w:rsid w:val="00E0257F"/>
    <w:rsid w:val="00E026B1"/>
    <w:rsid w:val="00E02747"/>
    <w:rsid w:val="00E0275F"/>
    <w:rsid w:val="00E03270"/>
    <w:rsid w:val="00E03274"/>
    <w:rsid w:val="00E0331F"/>
    <w:rsid w:val="00E033BB"/>
    <w:rsid w:val="00E033FF"/>
    <w:rsid w:val="00E034FC"/>
    <w:rsid w:val="00E03BA4"/>
    <w:rsid w:val="00E03E74"/>
    <w:rsid w:val="00E0430E"/>
    <w:rsid w:val="00E04533"/>
    <w:rsid w:val="00E05070"/>
    <w:rsid w:val="00E05187"/>
    <w:rsid w:val="00E05AC4"/>
    <w:rsid w:val="00E05B6C"/>
    <w:rsid w:val="00E05CC3"/>
    <w:rsid w:val="00E05E15"/>
    <w:rsid w:val="00E060BA"/>
    <w:rsid w:val="00E06290"/>
    <w:rsid w:val="00E06552"/>
    <w:rsid w:val="00E06683"/>
    <w:rsid w:val="00E074D2"/>
    <w:rsid w:val="00E07506"/>
    <w:rsid w:val="00E075B3"/>
    <w:rsid w:val="00E07A1E"/>
    <w:rsid w:val="00E1048B"/>
    <w:rsid w:val="00E10556"/>
    <w:rsid w:val="00E11118"/>
    <w:rsid w:val="00E1127E"/>
    <w:rsid w:val="00E118DF"/>
    <w:rsid w:val="00E11A17"/>
    <w:rsid w:val="00E11C48"/>
    <w:rsid w:val="00E11CC2"/>
    <w:rsid w:val="00E11E5B"/>
    <w:rsid w:val="00E12160"/>
    <w:rsid w:val="00E121CC"/>
    <w:rsid w:val="00E12385"/>
    <w:rsid w:val="00E12519"/>
    <w:rsid w:val="00E1291C"/>
    <w:rsid w:val="00E12B57"/>
    <w:rsid w:val="00E12D8E"/>
    <w:rsid w:val="00E12E91"/>
    <w:rsid w:val="00E12F74"/>
    <w:rsid w:val="00E13038"/>
    <w:rsid w:val="00E1312B"/>
    <w:rsid w:val="00E137C5"/>
    <w:rsid w:val="00E13AE6"/>
    <w:rsid w:val="00E13C02"/>
    <w:rsid w:val="00E140E4"/>
    <w:rsid w:val="00E140F2"/>
    <w:rsid w:val="00E142AC"/>
    <w:rsid w:val="00E14441"/>
    <w:rsid w:val="00E14492"/>
    <w:rsid w:val="00E1492C"/>
    <w:rsid w:val="00E14972"/>
    <w:rsid w:val="00E14F4C"/>
    <w:rsid w:val="00E15144"/>
    <w:rsid w:val="00E15169"/>
    <w:rsid w:val="00E155F4"/>
    <w:rsid w:val="00E158C8"/>
    <w:rsid w:val="00E15E8C"/>
    <w:rsid w:val="00E1614D"/>
    <w:rsid w:val="00E165EC"/>
    <w:rsid w:val="00E1670D"/>
    <w:rsid w:val="00E1693D"/>
    <w:rsid w:val="00E16D29"/>
    <w:rsid w:val="00E16EA7"/>
    <w:rsid w:val="00E17002"/>
    <w:rsid w:val="00E17195"/>
    <w:rsid w:val="00E174BC"/>
    <w:rsid w:val="00E1782D"/>
    <w:rsid w:val="00E17AB1"/>
    <w:rsid w:val="00E17CAD"/>
    <w:rsid w:val="00E17FA4"/>
    <w:rsid w:val="00E2009F"/>
    <w:rsid w:val="00E200CD"/>
    <w:rsid w:val="00E201CF"/>
    <w:rsid w:val="00E2026D"/>
    <w:rsid w:val="00E20286"/>
    <w:rsid w:val="00E2066F"/>
    <w:rsid w:val="00E20B98"/>
    <w:rsid w:val="00E20BB1"/>
    <w:rsid w:val="00E20D91"/>
    <w:rsid w:val="00E20F22"/>
    <w:rsid w:val="00E21335"/>
    <w:rsid w:val="00E221DC"/>
    <w:rsid w:val="00E22381"/>
    <w:rsid w:val="00E22444"/>
    <w:rsid w:val="00E22FDB"/>
    <w:rsid w:val="00E23222"/>
    <w:rsid w:val="00E23316"/>
    <w:rsid w:val="00E235E2"/>
    <w:rsid w:val="00E23BC3"/>
    <w:rsid w:val="00E23BFA"/>
    <w:rsid w:val="00E23F96"/>
    <w:rsid w:val="00E241C0"/>
    <w:rsid w:val="00E24549"/>
    <w:rsid w:val="00E24D61"/>
    <w:rsid w:val="00E24D8C"/>
    <w:rsid w:val="00E24EB3"/>
    <w:rsid w:val="00E24FF4"/>
    <w:rsid w:val="00E2515F"/>
    <w:rsid w:val="00E252A3"/>
    <w:rsid w:val="00E25821"/>
    <w:rsid w:val="00E25D75"/>
    <w:rsid w:val="00E25DB1"/>
    <w:rsid w:val="00E25FCF"/>
    <w:rsid w:val="00E261F6"/>
    <w:rsid w:val="00E2655D"/>
    <w:rsid w:val="00E265BB"/>
    <w:rsid w:val="00E268CE"/>
    <w:rsid w:val="00E2699E"/>
    <w:rsid w:val="00E26BD6"/>
    <w:rsid w:val="00E26F76"/>
    <w:rsid w:val="00E26FAB"/>
    <w:rsid w:val="00E270C0"/>
    <w:rsid w:val="00E270F1"/>
    <w:rsid w:val="00E27467"/>
    <w:rsid w:val="00E275C6"/>
    <w:rsid w:val="00E27644"/>
    <w:rsid w:val="00E279A5"/>
    <w:rsid w:val="00E27B51"/>
    <w:rsid w:val="00E27B87"/>
    <w:rsid w:val="00E27C94"/>
    <w:rsid w:val="00E27FC1"/>
    <w:rsid w:val="00E30252"/>
    <w:rsid w:val="00E302B8"/>
    <w:rsid w:val="00E303A8"/>
    <w:rsid w:val="00E3040D"/>
    <w:rsid w:val="00E3087A"/>
    <w:rsid w:val="00E30968"/>
    <w:rsid w:val="00E309DA"/>
    <w:rsid w:val="00E30C85"/>
    <w:rsid w:val="00E311D5"/>
    <w:rsid w:val="00E31651"/>
    <w:rsid w:val="00E3177C"/>
    <w:rsid w:val="00E32268"/>
    <w:rsid w:val="00E32575"/>
    <w:rsid w:val="00E3275D"/>
    <w:rsid w:val="00E32EED"/>
    <w:rsid w:val="00E33115"/>
    <w:rsid w:val="00E336A3"/>
    <w:rsid w:val="00E336E1"/>
    <w:rsid w:val="00E3374F"/>
    <w:rsid w:val="00E337AF"/>
    <w:rsid w:val="00E33872"/>
    <w:rsid w:val="00E33C1C"/>
    <w:rsid w:val="00E33D34"/>
    <w:rsid w:val="00E33DC6"/>
    <w:rsid w:val="00E344B8"/>
    <w:rsid w:val="00E34780"/>
    <w:rsid w:val="00E34837"/>
    <w:rsid w:val="00E34AAD"/>
    <w:rsid w:val="00E34EB0"/>
    <w:rsid w:val="00E3531C"/>
    <w:rsid w:val="00E35779"/>
    <w:rsid w:val="00E359A2"/>
    <w:rsid w:val="00E35FC3"/>
    <w:rsid w:val="00E36152"/>
    <w:rsid w:val="00E36210"/>
    <w:rsid w:val="00E3628D"/>
    <w:rsid w:val="00E3640C"/>
    <w:rsid w:val="00E365AC"/>
    <w:rsid w:val="00E36A8A"/>
    <w:rsid w:val="00E36EE0"/>
    <w:rsid w:val="00E3719A"/>
    <w:rsid w:val="00E371A0"/>
    <w:rsid w:val="00E37401"/>
    <w:rsid w:val="00E37699"/>
    <w:rsid w:val="00E37A5D"/>
    <w:rsid w:val="00E37C7F"/>
    <w:rsid w:val="00E37E6D"/>
    <w:rsid w:val="00E37EBB"/>
    <w:rsid w:val="00E400AD"/>
    <w:rsid w:val="00E404F2"/>
    <w:rsid w:val="00E4066E"/>
    <w:rsid w:val="00E40EF7"/>
    <w:rsid w:val="00E4104D"/>
    <w:rsid w:val="00E4133C"/>
    <w:rsid w:val="00E417E8"/>
    <w:rsid w:val="00E418F6"/>
    <w:rsid w:val="00E41CAE"/>
    <w:rsid w:val="00E422EC"/>
    <w:rsid w:val="00E424CA"/>
    <w:rsid w:val="00E4273A"/>
    <w:rsid w:val="00E4322F"/>
    <w:rsid w:val="00E437D4"/>
    <w:rsid w:val="00E43C09"/>
    <w:rsid w:val="00E43D09"/>
    <w:rsid w:val="00E44237"/>
    <w:rsid w:val="00E44687"/>
    <w:rsid w:val="00E44A09"/>
    <w:rsid w:val="00E44E15"/>
    <w:rsid w:val="00E44E77"/>
    <w:rsid w:val="00E45459"/>
    <w:rsid w:val="00E45560"/>
    <w:rsid w:val="00E45C51"/>
    <w:rsid w:val="00E45D71"/>
    <w:rsid w:val="00E45F0E"/>
    <w:rsid w:val="00E4611E"/>
    <w:rsid w:val="00E461D0"/>
    <w:rsid w:val="00E4656F"/>
    <w:rsid w:val="00E4663E"/>
    <w:rsid w:val="00E466BC"/>
    <w:rsid w:val="00E46769"/>
    <w:rsid w:val="00E46AA2"/>
    <w:rsid w:val="00E46AFD"/>
    <w:rsid w:val="00E46CCF"/>
    <w:rsid w:val="00E470C3"/>
    <w:rsid w:val="00E47141"/>
    <w:rsid w:val="00E47327"/>
    <w:rsid w:val="00E4738D"/>
    <w:rsid w:val="00E474BF"/>
    <w:rsid w:val="00E4779B"/>
    <w:rsid w:val="00E47BFF"/>
    <w:rsid w:val="00E47D5C"/>
    <w:rsid w:val="00E47DD8"/>
    <w:rsid w:val="00E5040F"/>
    <w:rsid w:val="00E50E31"/>
    <w:rsid w:val="00E50E67"/>
    <w:rsid w:val="00E50EE0"/>
    <w:rsid w:val="00E50F7A"/>
    <w:rsid w:val="00E51273"/>
    <w:rsid w:val="00E513EF"/>
    <w:rsid w:val="00E5154B"/>
    <w:rsid w:val="00E51685"/>
    <w:rsid w:val="00E51A27"/>
    <w:rsid w:val="00E51CD0"/>
    <w:rsid w:val="00E51FE6"/>
    <w:rsid w:val="00E52107"/>
    <w:rsid w:val="00E526D4"/>
    <w:rsid w:val="00E52C5B"/>
    <w:rsid w:val="00E530AB"/>
    <w:rsid w:val="00E533B5"/>
    <w:rsid w:val="00E5341A"/>
    <w:rsid w:val="00E538E5"/>
    <w:rsid w:val="00E53E9A"/>
    <w:rsid w:val="00E5410E"/>
    <w:rsid w:val="00E5411D"/>
    <w:rsid w:val="00E5419B"/>
    <w:rsid w:val="00E54254"/>
    <w:rsid w:val="00E5429A"/>
    <w:rsid w:val="00E54386"/>
    <w:rsid w:val="00E543B0"/>
    <w:rsid w:val="00E54D2B"/>
    <w:rsid w:val="00E54D92"/>
    <w:rsid w:val="00E5512C"/>
    <w:rsid w:val="00E55597"/>
    <w:rsid w:val="00E55863"/>
    <w:rsid w:val="00E55A0B"/>
    <w:rsid w:val="00E55F28"/>
    <w:rsid w:val="00E56053"/>
    <w:rsid w:val="00E560EF"/>
    <w:rsid w:val="00E5626D"/>
    <w:rsid w:val="00E56601"/>
    <w:rsid w:val="00E56C90"/>
    <w:rsid w:val="00E56E17"/>
    <w:rsid w:val="00E56E83"/>
    <w:rsid w:val="00E57612"/>
    <w:rsid w:val="00E57CEF"/>
    <w:rsid w:val="00E57D11"/>
    <w:rsid w:val="00E603D0"/>
    <w:rsid w:val="00E60AA7"/>
    <w:rsid w:val="00E60C5F"/>
    <w:rsid w:val="00E60C84"/>
    <w:rsid w:val="00E60E3D"/>
    <w:rsid w:val="00E60E93"/>
    <w:rsid w:val="00E61006"/>
    <w:rsid w:val="00E617F9"/>
    <w:rsid w:val="00E61F88"/>
    <w:rsid w:val="00E6244F"/>
    <w:rsid w:val="00E62855"/>
    <w:rsid w:val="00E62B0D"/>
    <w:rsid w:val="00E62CDB"/>
    <w:rsid w:val="00E62D81"/>
    <w:rsid w:val="00E62D8E"/>
    <w:rsid w:val="00E62E57"/>
    <w:rsid w:val="00E62E6A"/>
    <w:rsid w:val="00E63D0F"/>
    <w:rsid w:val="00E63EEC"/>
    <w:rsid w:val="00E63F6D"/>
    <w:rsid w:val="00E6427D"/>
    <w:rsid w:val="00E6489A"/>
    <w:rsid w:val="00E648FA"/>
    <w:rsid w:val="00E649D9"/>
    <w:rsid w:val="00E64DE7"/>
    <w:rsid w:val="00E64F0C"/>
    <w:rsid w:val="00E64FEA"/>
    <w:rsid w:val="00E65014"/>
    <w:rsid w:val="00E65423"/>
    <w:rsid w:val="00E65B07"/>
    <w:rsid w:val="00E65B63"/>
    <w:rsid w:val="00E65DA8"/>
    <w:rsid w:val="00E67075"/>
    <w:rsid w:val="00E6716C"/>
    <w:rsid w:val="00E67955"/>
    <w:rsid w:val="00E67D6F"/>
    <w:rsid w:val="00E701AC"/>
    <w:rsid w:val="00E704A6"/>
    <w:rsid w:val="00E70D3B"/>
    <w:rsid w:val="00E70DDA"/>
    <w:rsid w:val="00E71206"/>
    <w:rsid w:val="00E71244"/>
    <w:rsid w:val="00E71290"/>
    <w:rsid w:val="00E7139C"/>
    <w:rsid w:val="00E71403"/>
    <w:rsid w:val="00E7141C"/>
    <w:rsid w:val="00E7155A"/>
    <w:rsid w:val="00E71724"/>
    <w:rsid w:val="00E7184A"/>
    <w:rsid w:val="00E71B34"/>
    <w:rsid w:val="00E71B5D"/>
    <w:rsid w:val="00E71F76"/>
    <w:rsid w:val="00E720A6"/>
    <w:rsid w:val="00E7237F"/>
    <w:rsid w:val="00E723E9"/>
    <w:rsid w:val="00E727BA"/>
    <w:rsid w:val="00E72CEE"/>
    <w:rsid w:val="00E73477"/>
    <w:rsid w:val="00E7357B"/>
    <w:rsid w:val="00E73C1D"/>
    <w:rsid w:val="00E7429E"/>
    <w:rsid w:val="00E7435A"/>
    <w:rsid w:val="00E74551"/>
    <w:rsid w:val="00E74AFC"/>
    <w:rsid w:val="00E74E30"/>
    <w:rsid w:val="00E75485"/>
    <w:rsid w:val="00E75519"/>
    <w:rsid w:val="00E7551D"/>
    <w:rsid w:val="00E75707"/>
    <w:rsid w:val="00E75754"/>
    <w:rsid w:val="00E75ABC"/>
    <w:rsid w:val="00E75D4F"/>
    <w:rsid w:val="00E75ECB"/>
    <w:rsid w:val="00E75F76"/>
    <w:rsid w:val="00E763AD"/>
    <w:rsid w:val="00E7660A"/>
    <w:rsid w:val="00E76812"/>
    <w:rsid w:val="00E7681D"/>
    <w:rsid w:val="00E7699D"/>
    <w:rsid w:val="00E76FA8"/>
    <w:rsid w:val="00E77097"/>
    <w:rsid w:val="00E7732A"/>
    <w:rsid w:val="00E777F6"/>
    <w:rsid w:val="00E779CB"/>
    <w:rsid w:val="00E77C31"/>
    <w:rsid w:val="00E77E6E"/>
    <w:rsid w:val="00E80238"/>
    <w:rsid w:val="00E807F9"/>
    <w:rsid w:val="00E81047"/>
    <w:rsid w:val="00E8113C"/>
    <w:rsid w:val="00E81474"/>
    <w:rsid w:val="00E814B2"/>
    <w:rsid w:val="00E81778"/>
    <w:rsid w:val="00E818A8"/>
    <w:rsid w:val="00E81912"/>
    <w:rsid w:val="00E81C87"/>
    <w:rsid w:val="00E824C3"/>
    <w:rsid w:val="00E825BF"/>
    <w:rsid w:val="00E828E1"/>
    <w:rsid w:val="00E82D73"/>
    <w:rsid w:val="00E83409"/>
    <w:rsid w:val="00E836CE"/>
    <w:rsid w:val="00E83B36"/>
    <w:rsid w:val="00E83B3C"/>
    <w:rsid w:val="00E840CC"/>
    <w:rsid w:val="00E84290"/>
    <w:rsid w:val="00E8462C"/>
    <w:rsid w:val="00E84742"/>
    <w:rsid w:val="00E847D9"/>
    <w:rsid w:val="00E84AEC"/>
    <w:rsid w:val="00E84D94"/>
    <w:rsid w:val="00E84D95"/>
    <w:rsid w:val="00E84E75"/>
    <w:rsid w:val="00E84F96"/>
    <w:rsid w:val="00E85089"/>
    <w:rsid w:val="00E8511D"/>
    <w:rsid w:val="00E8513C"/>
    <w:rsid w:val="00E8516C"/>
    <w:rsid w:val="00E853D8"/>
    <w:rsid w:val="00E85428"/>
    <w:rsid w:val="00E855CA"/>
    <w:rsid w:val="00E856FD"/>
    <w:rsid w:val="00E85732"/>
    <w:rsid w:val="00E85B04"/>
    <w:rsid w:val="00E85D9F"/>
    <w:rsid w:val="00E85F80"/>
    <w:rsid w:val="00E8618D"/>
    <w:rsid w:val="00E861B6"/>
    <w:rsid w:val="00E86241"/>
    <w:rsid w:val="00E8639E"/>
    <w:rsid w:val="00E86628"/>
    <w:rsid w:val="00E86715"/>
    <w:rsid w:val="00E869DD"/>
    <w:rsid w:val="00E86EB5"/>
    <w:rsid w:val="00E86F1D"/>
    <w:rsid w:val="00E87149"/>
    <w:rsid w:val="00E87366"/>
    <w:rsid w:val="00E873DB"/>
    <w:rsid w:val="00E876DB"/>
    <w:rsid w:val="00E87B88"/>
    <w:rsid w:val="00E87EC4"/>
    <w:rsid w:val="00E87F48"/>
    <w:rsid w:val="00E904E0"/>
    <w:rsid w:val="00E90674"/>
    <w:rsid w:val="00E908E2"/>
    <w:rsid w:val="00E90CD2"/>
    <w:rsid w:val="00E91955"/>
    <w:rsid w:val="00E91957"/>
    <w:rsid w:val="00E91CF2"/>
    <w:rsid w:val="00E91EDA"/>
    <w:rsid w:val="00E92193"/>
    <w:rsid w:val="00E923DC"/>
    <w:rsid w:val="00E92628"/>
    <w:rsid w:val="00E92678"/>
    <w:rsid w:val="00E9275E"/>
    <w:rsid w:val="00E92B45"/>
    <w:rsid w:val="00E92CE8"/>
    <w:rsid w:val="00E92DB9"/>
    <w:rsid w:val="00E9319F"/>
    <w:rsid w:val="00E9325A"/>
    <w:rsid w:val="00E934CC"/>
    <w:rsid w:val="00E9353E"/>
    <w:rsid w:val="00E939B6"/>
    <w:rsid w:val="00E93B03"/>
    <w:rsid w:val="00E93C9C"/>
    <w:rsid w:val="00E93D85"/>
    <w:rsid w:val="00E9417E"/>
    <w:rsid w:val="00E944CF"/>
    <w:rsid w:val="00E94C0D"/>
    <w:rsid w:val="00E94E8C"/>
    <w:rsid w:val="00E951A7"/>
    <w:rsid w:val="00E9542A"/>
    <w:rsid w:val="00E95695"/>
    <w:rsid w:val="00E958C5"/>
    <w:rsid w:val="00E95980"/>
    <w:rsid w:val="00E95AE4"/>
    <w:rsid w:val="00E9601F"/>
    <w:rsid w:val="00E96657"/>
    <w:rsid w:val="00E9676A"/>
    <w:rsid w:val="00E96B21"/>
    <w:rsid w:val="00E96B8A"/>
    <w:rsid w:val="00E96D08"/>
    <w:rsid w:val="00E96E76"/>
    <w:rsid w:val="00E972BD"/>
    <w:rsid w:val="00E97EE9"/>
    <w:rsid w:val="00E97F5A"/>
    <w:rsid w:val="00EA0255"/>
    <w:rsid w:val="00EA0339"/>
    <w:rsid w:val="00EA06BB"/>
    <w:rsid w:val="00EA0759"/>
    <w:rsid w:val="00EA0920"/>
    <w:rsid w:val="00EA0A94"/>
    <w:rsid w:val="00EA0D9C"/>
    <w:rsid w:val="00EA0FEF"/>
    <w:rsid w:val="00EA119A"/>
    <w:rsid w:val="00EA12BF"/>
    <w:rsid w:val="00EA142F"/>
    <w:rsid w:val="00EA17BA"/>
    <w:rsid w:val="00EA18F1"/>
    <w:rsid w:val="00EA1E54"/>
    <w:rsid w:val="00EA286A"/>
    <w:rsid w:val="00EA29E6"/>
    <w:rsid w:val="00EA2DC2"/>
    <w:rsid w:val="00EA2E41"/>
    <w:rsid w:val="00EA3041"/>
    <w:rsid w:val="00EA3247"/>
    <w:rsid w:val="00EA333B"/>
    <w:rsid w:val="00EA341F"/>
    <w:rsid w:val="00EA368C"/>
    <w:rsid w:val="00EA3BE5"/>
    <w:rsid w:val="00EA3FA8"/>
    <w:rsid w:val="00EA459A"/>
    <w:rsid w:val="00EA45DB"/>
    <w:rsid w:val="00EA49F2"/>
    <w:rsid w:val="00EA4B7D"/>
    <w:rsid w:val="00EA4D02"/>
    <w:rsid w:val="00EA55EA"/>
    <w:rsid w:val="00EA57D9"/>
    <w:rsid w:val="00EA5926"/>
    <w:rsid w:val="00EA5976"/>
    <w:rsid w:val="00EA5CD3"/>
    <w:rsid w:val="00EA62E2"/>
    <w:rsid w:val="00EA6B34"/>
    <w:rsid w:val="00EA701C"/>
    <w:rsid w:val="00EA709D"/>
    <w:rsid w:val="00EA7177"/>
    <w:rsid w:val="00EA71F5"/>
    <w:rsid w:val="00EA7421"/>
    <w:rsid w:val="00EA77BF"/>
    <w:rsid w:val="00EA7BC7"/>
    <w:rsid w:val="00EA7CC7"/>
    <w:rsid w:val="00EA7F68"/>
    <w:rsid w:val="00EB080B"/>
    <w:rsid w:val="00EB0CC8"/>
    <w:rsid w:val="00EB0E02"/>
    <w:rsid w:val="00EB111C"/>
    <w:rsid w:val="00EB21A6"/>
    <w:rsid w:val="00EB25FB"/>
    <w:rsid w:val="00EB28A2"/>
    <w:rsid w:val="00EB2A7A"/>
    <w:rsid w:val="00EB3122"/>
    <w:rsid w:val="00EB3203"/>
    <w:rsid w:val="00EB33D5"/>
    <w:rsid w:val="00EB370F"/>
    <w:rsid w:val="00EB4511"/>
    <w:rsid w:val="00EB454C"/>
    <w:rsid w:val="00EB457E"/>
    <w:rsid w:val="00EB4710"/>
    <w:rsid w:val="00EB492C"/>
    <w:rsid w:val="00EB499B"/>
    <w:rsid w:val="00EB49BC"/>
    <w:rsid w:val="00EB4A5C"/>
    <w:rsid w:val="00EB4C81"/>
    <w:rsid w:val="00EB56B9"/>
    <w:rsid w:val="00EB5818"/>
    <w:rsid w:val="00EB59FC"/>
    <w:rsid w:val="00EB5C77"/>
    <w:rsid w:val="00EB64FE"/>
    <w:rsid w:val="00EB65A9"/>
    <w:rsid w:val="00EB6A05"/>
    <w:rsid w:val="00EB6A68"/>
    <w:rsid w:val="00EB6D55"/>
    <w:rsid w:val="00EB73BA"/>
    <w:rsid w:val="00EB7A40"/>
    <w:rsid w:val="00EB7A70"/>
    <w:rsid w:val="00EB7A78"/>
    <w:rsid w:val="00EB7CAD"/>
    <w:rsid w:val="00EB7F5A"/>
    <w:rsid w:val="00EB7F79"/>
    <w:rsid w:val="00EC017F"/>
    <w:rsid w:val="00EC024B"/>
    <w:rsid w:val="00EC067C"/>
    <w:rsid w:val="00EC0CD2"/>
    <w:rsid w:val="00EC14F3"/>
    <w:rsid w:val="00EC161B"/>
    <w:rsid w:val="00EC18AC"/>
    <w:rsid w:val="00EC19AF"/>
    <w:rsid w:val="00EC210A"/>
    <w:rsid w:val="00EC2136"/>
    <w:rsid w:val="00EC2553"/>
    <w:rsid w:val="00EC2730"/>
    <w:rsid w:val="00EC280F"/>
    <w:rsid w:val="00EC28F5"/>
    <w:rsid w:val="00EC2CF7"/>
    <w:rsid w:val="00EC2DDE"/>
    <w:rsid w:val="00EC2E90"/>
    <w:rsid w:val="00EC3163"/>
    <w:rsid w:val="00EC324A"/>
    <w:rsid w:val="00EC3918"/>
    <w:rsid w:val="00EC3AA0"/>
    <w:rsid w:val="00EC3B79"/>
    <w:rsid w:val="00EC3BCB"/>
    <w:rsid w:val="00EC3BD5"/>
    <w:rsid w:val="00EC3C89"/>
    <w:rsid w:val="00EC3D01"/>
    <w:rsid w:val="00EC3E2B"/>
    <w:rsid w:val="00EC3F5A"/>
    <w:rsid w:val="00EC4401"/>
    <w:rsid w:val="00EC478E"/>
    <w:rsid w:val="00EC4BF8"/>
    <w:rsid w:val="00EC4D02"/>
    <w:rsid w:val="00EC4F24"/>
    <w:rsid w:val="00EC5023"/>
    <w:rsid w:val="00EC50C3"/>
    <w:rsid w:val="00EC5136"/>
    <w:rsid w:val="00EC54CB"/>
    <w:rsid w:val="00EC586B"/>
    <w:rsid w:val="00EC59C7"/>
    <w:rsid w:val="00EC5DB2"/>
    <w:rsid w:val="00EC5E93"/>
    <w:rsid w:val="00EC606C"/>
    <w:rsid w:val="00EC643A"/>
    <w:rsid w:val="00EC6600"/>
    <w:rsid w:val="00EC6976"/>
    <w:rsid w:val="00EC69CF"/>
    <w:rsid w:val="00EC7285"/>
    <w:rsid w:val="00EC75DF"/>
    <w:rsid w:val="00EC76CC"/>
    <w:rsid w:val="00EC7A0C"/>
    <w:rsid w:val="00EC7AE9"/>
    <w:rsid w:val="00EC7C70"/>
    <w:rsid w:val="00EC7F5D"/>
    <w:rsid w:val="00ED06FB"/>
    <w:rsid w:val="00ED071F"/>
    <w:rsid w:val="00ED08BF"/>
    <w:rsid w:val="00ED0D2B"/>
    <w:rsid w:val="00ED151B"/>
    <w:rsid w:val="00ED1B5F"/>
    <w:rsid w:val="00ED1B71"/>
    <w:rsid w:val="00ED1B92"/>
    <w:rsid w:val="00ED1C6E"/>
    <w:rsid w:val="00ED27CD"/>
    <w:rsid w:val="00ED2B49"/>
    <w:rsid w:val="00ED2D19"/>
    <w:rsid w:val="00ED30BF"/>
    <w:rsid w:val="00ED33AC"/>
    <w:rsid w:val="00ED3603"/>
    <w:rsid w:val="00ED3680"/>
    <w:rsid w:val="00ED39DC"/>
    <w:rsid w:val="00ED3A65"/>
    <w:rsid w:val="00ED3A9E"/>
    <w:rsid w:val="00ED3CC7"/>
    <w:rsid w:val="00ED3CE8"/>
    <w:rsid w:val="00ED3E1F"/>
    <w:rsid w:val="00ED4196"/>
    <w:rsid w:val="00ED44E1"/>
    <w:rsid w:val="00ED460F"/>
    <w:rsid w:val="00ED4E48"/>
    <w:rsid w:val="00ED5171"/>
    <w:rsid w:val="00ED52F8"/>
    <w:rsid w:val="00ED5522"/>
    <w:rsid w:val="00ED5904"/>
    <w:rsid w:val="00ED593F"/>
    <w:rsid w:val="00ED5F09"/>
    <w:rsid w:val="00ED612C"/>
    <w:rsid w:val="00ED61B5"/>
    <w:rsid w:val="00ED6713"/>
    <w:rsid w:val="00ED6739"/>
    <w:rsid w:val="00ED679E"/>
    <w:rsid w:val="00ED6AA3"/>
    <w:rsid w:val="00ED6B37"/>
    <w:rsid w:val="00ED6EFB"/>
    <w:rsid w:val="00ED741C"/>
    <w:rsid w:val="00ED75C4"/>
    <w:rsid w:val="00ED79C4"/>
    <w:rsid w:val="00ED7A18"/>
    <w:rsid w:val="00EE01D2"/>
    <w:rsid w:val="00EE05C0"/>
    <w:rsid w:val="00EE065E"/>
    <w:rsid w:val="00EE0A18"/>
    <w:rsid w:val="00EE0F39"/>
    <w:rsid w:val="00EE123B"/>
    <w:rsid w:val="00EE12EE"/>
    <w:rsid w:val="00EE1A4F"/>
    <w:rsid w:val="00EE1B67"/>
    <w:rsid w:val="00EE1D21"/>
    <w:rsid w:val="00EE1E75"/>
    <w:rsid w:val="00EE1EF4"/>
    <w:rsid w:val="00EE201C"/>
    <w:rsid w:val="00EE215C"/>
    <w:rsid w:val="00EE2598"/>
    <w:rsid w:val="00EE2791"/>
    <w:rsid w:val="00EE2974"/>
    <w:rsid w:val="00EE2A84"/>
    <w:rsid w:val="00EE2F07"/>
    <w:rsid w:val="00EE33B0"/>
    <w:rsid w:val="00EE3E35"/>
    <w:rsid w:val="00EE408B"/>
    <w:rsid w:val="00EE4294"/>
    <w:rsid w:val="00EE43B1"/>
    <w:rsid w:val="00EE46DA"/>
    <w:rsid w:val="00EE4781"/>
    <w:rsid w:val="00EE4F5F"/>
    <w:rsid w:val="00EE51B0"/>
    <w:rsid w:val="00EE5242"/>
    <w:rsid w:val="00EE5489"/>
    <w:rsid w:val="00EE5784"/>
    <w:rsid w:val="00EE57D6"/>
    <w:rsid w:val="00EE585B"/>
    <w:rsid w:val="00EE5969"/>
    <w:rsid w:val="00EE5A83"/>
    <w:rsid w:val="00EE5AC1"/>
    <w:rsid w:val="00EE5F81"/>
    <w:rsid w:val="00EE63FE"/>
    <w:rsid w:val="00EE669C"/>
    <w:rsid w:val="00EE685D"/>
    <w:rsid w:val="00EE6E37"/>
    <w:rsid w:val="00EE7902"/>
    <w:rsid w:val="00EE7E7D"/>
    <w:rsid w:val="00EF0047"/>
    <w:rsid w:val="00EF06E7"/>
    <w:rsid w:val="00EF0832"/>
    <w:rsid w:val="00EF095F"/>
    <w:rsid w:val="00EF0B57"/>
    <w:rsid w:val="00EF0DBD"/>
    <w:rsid w:val="00EF0DBE"/>
    <w:rsid w:val="00EF125A"/>
    <w:rsid w:val="00EF1318"/>
    <w:rsid w:val="00EF16FF"/>
    <w:rsid w:val="00EF18CC"/>
    <w:rsid w:val="00EF1E21"/>
    <w:rsid w:val="00EF215B"/>
    <w:rsid w:val="00EF24D8"/>
    <w:rsid w:val="00EF279B"/>
    <w:rsid w:val="00EF325D"/>
    <w:rsid w:val="00EF365D"/>
    <w:rsid w:val="00EF39E8"/>
    <w:rsid w:val="00EF3C63"/>
    <w:rsid w:val="00EF4145"/>
    <w:rsid w:val="00EF433A"/>
    <w:rsid w:val="00EF448F"/>
    <w:rsid w:val="00EF4BB7"/>
    <w:rsid w:val="00EF4C65"/>
    <w:rsid w:val="00EF4D0D"/>
    <w:rsid w:val="00EF4F52"/>
    <w:rsid w:val="00EF50D3"/>
    <w:rsid w:val="00EF612C"/>
    <w:rsid w:val="00EF6397"/>
    <w:rsid w:val="00EF650B"/>
    <w:rsid w:val="00EF6DE9"/>
    <w:rsid w:val="00EF6FDA"/>
    <w:rsid w:val="00EF732C"/>
    <w:rsid w:val="00EF73EE"/>
    <w:rsid w:val="00EF7B9C"/>
    <w:rsid w:val="00EF7C52"/>
    <w:rsid w:val="00EF7EB8"/>
    <w:rsid w:val="00F00394"/>
    <w:rsid w:val="00F0063D"/>
    <w:rsid w:val="00F00714"/>
    <w:rsid w:val="00F00858"/>
    <w:rsid w:val="00F00A58"/>
    <w:rsid w:val="00F00C7C"/>
    <w:rsid w:val="00F00D5F"/>
    <w:rsid w:val="00F013A3"/>
    <w:rsid w:val="00F01445"/>
    <w:rsid w:val="00F01519"/>
    <w:rsid w:val="00F01539"/>
    <w:rsid w:val="00F01694"/>
    <w:rsid w:val="00F01A3A"/>
    <w:rsid w:val="00F01EF7"/>
    <w:rsid w:val="00F01F23"/>
    <w:rsid w:val="00F02058"/>
    <w:rsid w:val="00F021C1"/>
    <w:rsid w:val="00F0230E"/>
    <w:rsid w:val="00F024D0"/>
    <w:rsid w:val="00F02C10"/>
    <w:rsid w:val="00F02E51"/>
    <w:rsid w:val="00F0304A"/>
    <w:rsid w:val="00F03066"/>
    <w:rsid w:val="00F030A0"/>
    <w:rsid w:val="00F03276"/>
    <w:rsid w:val="00F03368"/>
    <w:rsid w:val="00F03622"/>
    <w:rsid w:val="00F037DB"/>
    <w:rsid w:val="00F03C7A"/>
    <w:rsid w:val="00F03EB2"/>
    <w:rsid w:val="00F0464B"/>
    <w:rsid w:val="00F046A1"/>
    <w:rsid w:val="00F04973"/>
    <w:rsid w:val="00F04A32"/>
    <w:rsid w:val="00F04E66"/>
    <w:rsid w:val="00F04F40"/>
    <w:rsid w:val="00F050CF"/>
    <w:rsid w:val="00F05124"/>
    <w:rsid w:val="00F0514E"/>
    <w:rsid w:val="00F05492"/>
    <w:rsid w:val="00F06216"/>
    <w:rsid w:val="00F063B1"/>
    <w:rsid w:val="00F065ED"/>
    <w:rsid w:val="00F06789"/>
    <w:rsid w:val="00F06A6D"/>
    <w:rsid w:val="00F06B7C"/>
    <w:rsid w:val="00F06CBC"/>
    <w:rsid w:val="00F07286"/>
    <w:rsid w:val="00F0740B"/>
    <w:rsid w:val="00F07592"/>
    <w:rsid w:val="00F0780E"/>
    <w:rsid w:val="00F079FD"/>
    <w:rsid w:val="00F07E07"/>
    <w:rsid w:val="00F07EEE"/>
    <w:rsid w:val="00F07F28"/>
    <w:rsid w:val="00F1022C"/>
    <w:rsid w:val="00F108CE"/>
    <w:rsid w:val="00F10E08"/>
    <w:rsid w:val="00F110A2"/>
    <w:rsid w:val="00F110A5"/>
    <w:rsid w:val="00F1143A"/>
    <w:rsid w:val="00F115E4"/>
    <w:rsid w:val="00F118A4"/>
    <w:rsid w:val="00F11BAC"/>
    <w:rsid w:val="00F11F6D"/>
    <w:rsid w:val="00F12141"/>
    <w:rsid w:val="00F1263C"/>
    <w:rsid w:val="00F128AA"/>
    <w:rsid w:val="00F128E7"/>
    <w:rsid w:val="00F12ADA"/>
    <w:rsid w:val="00F12B4D"/>
    <w:rsid w:val="00F12C8F"/>
    <w:rsid w:val="00F12FA8"/>
    <w:rsid w:val="00F13032"/>
    <w:rsid w:val="00F13638"/>
    <w:rsid w:val="00F1369E"/>
    <w:rsid w:val="00F137AC"/>
    <w:rsid w:val="00F1380A"/>
    <w:rsid w:val="00F1388A"/>
    <w:rsid w:val="00F13D85"/>
    <w:rsid w:val="00F1402D"/>
    <w:rsid w:val="00F141B9"/>
    <w:rsid w:val="00F1439A"/>
    <w:rsid w:val="00F14530"/>
    <w:rsid w:val="00F147BC"/>
    <w:rsid w:val="00F147CE"/>
    <w:rsid w:val="00F149C9"/>
    <w:rsid w:val="00F14D35"/>
    <w:rsid w:val="00F1538F"/>
    <w:rsid w:val="00F1573F"/>
    <w:rsid w:val="00F15C28"/>
    <w:rsid w:val="00F15D3D"/>
    <w:rsid w:val="00F161D5"/>
    <w:rsid w:val="00F16425"/>
    <w:rsid w:val="00F16A14"/>
    <w:rsid w:val="00F16A5E"/>
    <w:rsid w:val="00F17704"/>
    <w:rsid w:val="00F20144"/>
    <w:rsid w:val="00F201C3"/>
    <w:rsid w:val="00F203F8"/>
    <w:rsid w:val="00F204F3"/>
    <w:rsid w:val="00F205EF"/>
    <w:rsid w:val="00F2077B"/>
    <w:rsid w:val="00F2127F"/>
    <w:rsid w:val="00F21504"/>
    <w:rsid w:val="00F21E17"/>
    <w:rsid w:val="00F21EF9"/>
    <w:rsid w:val="00F21FB6"/>
    <w:rsid w:val="00F22135"/>
    <w:rsid w:val="00F22489"/>
    <w:rsid w:val="00F22A7E"/>
    <w:rsid w:val="00F22CBE"/>
    <w:rsid w:val="00F231AD"/>
    <w:rsid w:val="00F232A4"/>
    <w:rsid w:val="00F23430"/>
    <w:rsid w:val="00F234A7"/>
    <w:rsid w:val="00F234DE"/>
    <w:rsid w:val="00F23B73"/>
    <w:rsid w:val="00F23CAE"/>
    <w:rsid w:val="00F2404D"/>
    <w:rsid w:val="00F240B8"/>
    <w:rsid w:val="00F242FA"/>
    <w:rsid w:val="00F2433A"/>
    <w:rsid w:val="00F2496E"/>
    <w:rsid w:val="00F25064"/>
    <w:rsid w:val="00F2535C"/>
    <w:rsid w:val="00F253A5"/>
    <w:rsid w:val="00F25640"/>
    <w:rsid w:val="00F25669"/>
    <w:rsid w:val="00F256BF"/>
    <w:rsid w:val="00F25B65"/>
    <w:rsid w:val="00F25B87"/>
    <w:rsid w:val="00F25F79"/>
    <w:rsid w:val="00F25FA0"/>
    <w:rsid w:val="00F25FD7"/>
    <w:rsid w:val="00F26278"/>
    <w:rsid w:val="00F2636C"/>
    <w:rsid w:val="00F26683"/>
    <w:rsid w:val="00F26AE9"/>
    <w:rsid w:val="00F26F58"/>
    <w:rsid w:val="00F2707F"/>
    <w:rsid w:val="00F270F2"/>
    <w:rsid w:val="00F272B1"/>
    <w:rsid w:val="00F277E3"/>
    <w:rsid w:val="00F27BD3"/>
    <w:rsid w:val="00F27C1C"/>
    <w:rsid w:val="00F27CB0"/>
    <w:rsid w:val="00F27DB9"/>
    <w:rsid w:val="00F30047"/>
    <w:rsid w:val="00F308AC"/>
    <w:rsid w:val="00F30D47"/>
    <w:rsid w:val="00F30F35"/>
    <w:rsid w:val="00F30F67"/>
    <w:rsid w:val="00F310B6"/>
    <w:rsid w:val="00F3112B"/>
    <w:rsid w:val="00F314C5"/>
    <w:rsid w:val="00F31813"/>
    <w:rsid w:val="00F3184F"/>
    <w:rsid w:val="00F31AD4"/>
    <w:rsid w:val="00F31CC4"/>
    <w:rsid w:val="00F3205C"/>
    <w:rsid w:val="00F3248A"/>
    <w:rsid w:val="00F327E8"/>
    <w:rsid w:val="00F329A2"/>
    <w:rsid w:val="00F32A6F"/>
    <w:rsid w:val="00F32B2E"/>
    <w:rsid w:val="00F334B6"/>
    <w:rsid w:val="00F335D5"/>
    <w:rsid w:val="00F33A8D"/>
    <w:rsid w:val="00F33AB9"/>
    <w:rsid w:val="00F33B43"/>
    <w:rsid w:val="00F340E0"/>
    <w:rsid w:val="00F34619"/>
    <w:rsid w:val="00F34F7C"/>
    <w:rsid w:val="00F34FE2"/>
    <w:rsid w:val="00F3520B"/>
    <w:rsid w:val="00F352FD"/>
    <w:rsid w:val="00F35710"/>
    <w:rsid w:val="00F358BC"/>
    <w:rsid w:val="00F35C6D"/>
    <w:rsid w:val="00F35C91"/>
    <w:rsid w:val="00F35EA5"/>
    <w:rsid w:val="00F3638C"/>
    <w:rsid w:val="00F366EA"/>
    <w:rsid w:val="00F367A7"/>
    <w:rsid w:val="00F368C6"/>
    <w:rsid w:val="00F3692F"/>
    <w:rsid w:val="00F369B6"/>
    <w:rsid w:val="00F36E18"/>
    <w:rsid w:val="00F37354"/>
    <w:rsid w:val="00F37379"/>
    <w:rsid w:val="00F37427"/>
    <w:rsid w:val="00F375F0"/>
    <w:rsid w:val="00F377CE"/>
    <w:rsid w:val="00F379E3"/>
    <w:rsid w:val="00F37B1A"/>
    <w:rsid w:val="00F40016"/>
    <w:rsid w:val="00F40349"/>
    <w:rsid w:val="00F403BE"/>
    <w:rsid w:val="00F40458"/>
    <w:rsid w:val="00F404FC"/>
    <w:rsid w:val="00F405BF"/>
    <w:rsid w:val="00F40C76"/>
    <w:rsid w:val="00F40D82"/>
    <w:rsid w:val="00F40E84"/>
    <w:rsid w:val="00F4142C"/>
    <w:rsid w:val="00F414E2"/>
    <w:rsid w:val="00F415BA"/>
    <w:rsid w:val="00F4191B"/>
    <w:rsid w:val="00F41B55"/>
    <w:rsid w:val="00F41EA6"/>
    <w:rsid w:val="00F42164"/>
    <w:rsid w:val="00F421C4"/>
    <w:rsid w:val="00F4247A"/>
    <w:rsid w:val="00F42651"/>
    <w:rsid w:val="00F42661"/>
    <w:rsid w:val="00F42984"/>
    <w:rsid w:val="00F42CC5"/>
    <w:rsid w:val="00F42FEA"/>
    <w:rsid w:val="00F430C2"/>
    <w:rsid w:val="00F43140"/>
    <w:rsid w:val="00F4315C"/>
    <w:rsid w:val="00F4344F"/>
    <w:rsid w:val="00F43679"/>
    <w:rsid w:val="00F43ABF"/>
    <w:rsid w:val="00F43FB6"/>
    <w:rsid w:val="00F440C8"/>
    <w:rsid w:val="00F441DB"/>
    <w:rsid w:val="00F44285"/>
    <w:rsid w:val="00F442C9"/>
    <w:rsid w:val="00F44A72"/>
    <w:rsid w:val="00F44B48"/>
    <w:rsid w:val="00F44BC8"/>
    <w:rsid w:val="00F44F27"/>
    <w:rsid w:val="00F45572"/>
    <w:rsid w:val="00F456B6"/>
    <w:rsid w:val="00F45AE2"/>
    <w:rsid w:val="00F45E85"/>
    <w:rsid w:val="00F460EA"/>
    <w:rsid w:val="00F4661C"/>
    <w:rsid w:val="00F46778"/>
    <w:rsid w:val="00F467A8"/>
    <w:rsid w:val="00F4697C"/>
    <w:rsid w:val="00F47778"/>
    <w:rsid w:val="00F47AA5"/>
    <w:rsid w:val="00F47B77"/>
    <w:rsid w:val="00F47BCD"/>
    <w:rsid w:val="00F47C1C"/>
    <w:rsid w:val="00F47D0C"/>
    <w:rsid w:val="00F5006D"/>
    <w:rsid w:val="00F501E1"/>
    <w:rsid w:val="00F50441"/>
    <w:rsid w:val="00F50537"/>
    <w:rsid w:val="00F506FB"/>
    <w:rsid w:val="00F5070F"/>
    <w:rsid w:val="00F507DD"/>
    <w:rsid w:val="00F50931"/>
    <w:rsid w:val="00F509D9"/>
    <w:rsid w:val="00F50B0B"/>
    <w:rsid w:val="00F50CFF"/>
    <w:rsid w:val="00F5104B"/>
    <w:rsid w:val="00F513BE"/>
    <w:rsid w:val="00F51601"/>
    <w:rsid w:val="00F51751"/>
    <w:rsid w:val="00F51AC7"/>
    <w:rsid w:val="00F51CF0"/>
    <w:rsid w:val="00F51D5B"/>
    <w:rsid w:val="00F51FF4"/>
    <w:rsid w:val="00F523E1"/>
    <w:rsid w:val="00F527D3"/>
    <w:rsid w:val="00F5286E"/>
    <w:rsid w:val="00F5287D"/>
    <w:rsid w:val="00F52C6E"/>
    <w:rsid w:val="00F52EE4"/>
    <w:rsid w:val="00F53308"/>
    <w:rsid w:val="00F5374D"/>
    <w:rsid w:val="00F53A1D"/>
    <w:rsid w:val="00F53C87"/>
    <w:rsid w:val="00F53E65"/>
    <w:rsid w:val="00F53F7A"/>
    <w:rsid w:val="00F5406A"/>
    <w:rsid w:val="00F546E6"/>
    <w:rsid w:val="00F548BB"/>
    <w:rsid w:val="00F548FC"/>
    <w:rsid w:val="00F54C80"/>
    <w:rsid w:val="00F55073"/>
    <w:rsid w:val="00F55188"/>
    <w:rsid w:val="00F5593E"/>
    <w:rsid w:val="00F56075"/>
    <w:rsid w:val="00F560C7"/>
    <w:rsid w:val="00F56301"/>
    <w:rsid w:val="00F5661D"/>
    <w:rsid w:val="00F56805"/>
    <w:rsid w:val="00F56A9A"/>
    <w:rsid w:val="00F56B9D"/>
    <w:rsid w:val="00F56F15"/>
    <w:rsid w:val="00F5741E"/>
    <w:rsid w:val="00F57876"/>
    <w:rsid w:val="00F578BC"/>
    <w:rsid w:val="00F5796A"/>
    <w:rsid w:val="00F57AC5"/>
    <w:rsid w:val="00F57BEF"/>
    <w:rsid w:val="00F57DDA"/>
    <w:rsid w:val="00F57E4A"/>
    <w:rsid w:val="00F6033C"/>
    <w:rsid w:val="00F6047A"/>
    <w:rsid w:val="00F6059D"/>
    <w:rsid w:val="00F606AC"/>
    <w:rsid w:val="00F60753"/>
    <w:rsid w:val="00F6100F"/>
    <w:rsid w:val="00F6146B"/>
    <w:rsid w:val="00F61EDB"/>
    <w:rsid w:val="00F62048"/>
    <w:rsid w:val="00F62121"/>
    <w:rsid w:val="00F6224F"/>
    <w:rsid w:val="00F623E7"/>
    <w:rsid w:val="00F624E2"/>
    <w:rsid w:val="00F629E0"/>
    <w:rsid w:val="00F62BFF"/>
    <w:rsid w:val="00F62C04"/>
    <w:rsid w:val="00F62EBD"/>
    <w:rsid w:val="00F6313E"/>
    <w:rsid w:val="00F632EF"/>
    <w:rsid w:val="00F63886"/>
    <w:rsid w:val="00F63C93"/>
    <w:rsid w:val="00F63E22"/>
    <w:rsid w:val="00F63E80"/>
    <w:rsid w:val="00F6410A"/>
    <w:rsid w:val="00F6449E"/>
    <w:rsid w:val="00F64509"/>
    <w:rsid w:val="00F647DC"/>
    <w:rsid w:val="00F64862"/>
    <w:rsid w:val="00F64A32"/>
    <w:rsid w:val="00F64F5F"/>
    <w:rsid w:val="00F64FF8"/>
    <w:rsid w:val="00F6514A"/>
    <w:rsid w:val="00F65467"/>
    <w:rsid w:val="00F65813"/>
    <w:rsid w:val="00F65B41"/>
    <w:rsid w:val="00F65C32"/>
    <w:rsid w:val="00F65FAA"/>
    <w:rsid w:val="00F662A1"/>
    <w:rsid w:val="00F66303"/>
    <w:rsid w:val="00F664DD"/>
    <w:rsid w:val="00F665F7"/>
    <w:rsid w:val="00F66AB2"/>
    <w:rsid w:val="00F66AFE"/>
    <w:rsid w:val="00F67147"/>
    <w:rsid w:val="00F673A5"/>
    <w:rsid w:val="00F67E74"/>
    <w:rsid w:val="00F67EF6"/>
    <w:rsid w:val="00F7031F"/>
    <w:rsid w:val="00F70444"/>
    <w:rsid w:val="00F7086F"/>
    <w:rsid w:val="00F70BAF"/>
    <w:rsid w:val="00F710AA"/>
    <w:rsid w:val="00F712E6"/>
    <w:rsid w:val="00F718E9"/>
    <w:rsid w:val="00F71996"/>
    <w:rsid w:val="00F72275"/>
    <w:rsid w:val="00F7264E"/>
    <w:rsid w:val="00F72869"/>
    <w:rsid w:val="00F72B0B"/>
    <w:rsid w:val="00F73158"/>
    <w:rsid w:val="00F736DE"/>
    <w:rsid w:val="00F73733"/>
    <w:rsid w:val="00F73750"/>
    <w:rsid w:val="00F7399A"/>
    <w:rsid w:val="00F739B3"/>
    <w:rsid w:val="00F73DF3"/>
    <w:rsid w:val="00F750A3"/>
    <w:rsid w:val="00F7522B"/>
    <w:rsid w:val="00F75B09"/>
    <w:rsid w:val="00F75D3F"/>
    <w:rsid w:val="00F75F77"/>
    <w:rsid w:val="00F765AE"/>
    <w:rsid w:val="00F767F9"/>
    <w:rsid w:val="00F76B7D"/>
    <w:rsid w:val="00F76DE8"/>
    <w:rsid w:val="00F76E5F"/>
    <w:rsid w:val="00F777C0"/>
    <w:rsid w:val="00F77B3B"/>
    <w:rsid w:val="00F77E7C"/>
    <w:rsid w:val="00F8008A"/>
    <w:rsid w:val="00F8031F"/>
    <w:rsid w:val="00F8075C"/>
    <w:rsid w:val="00F80771"/>
    <w:rsid w:val="00F8088F"/>
    <w:rsid w:val="00F80C96"/>
    <w:rsid w:val="00F80E02"/>
    <w:rsid w:val="00F812C2"/>
    <w:rsid w:val="00F81340"/>
    <w:rsid w:val="00F816DD"/>
    <w:rsid w:val="00F81755"/>
    <w:rsid w:val="00F819A7"/>
    <w:rsid w:val="00F819B2"/>
    <w:rsid w:val="00F819B6"/>
    <w:rsid w:val="00F819DB"/>
    <w:rsid w:val="00F81A27"/>
    <w:rsid w:val="00F81A88"/>
    <w:rsid w:val="00F81AD1"/>
    <w:rsid w:val="00F81BF1"/>
    <w:rsid w:val="00F81D29"/>
    <w:rsid w:val="00F81D75"/>
    <w:rsid w:val="00F81FA4"/>
    <w:rsid w:val="00F8244B"/>
    <w:rsid w:val="00F8271E"/>
    <w:rsid w:val="00F82893"/>
    <w:rsid w:val="00F8298D"/>
    <w:rsid w:val="00F82F79"/>
    <w:rsid w:val="00F82FA2"/>
    <w:rsid w:val="00F830DF"/>
    <w:rsid w:val="00F83354"/>
    <w:rsid w:val="00F83393"/>
    <w:rsid w:val="00F833E4"/>
    <w:rsid w:val="00F83666"/>
    <w:rsid w:val="00F83D35"/>
    <w:rsid w:val="00F83D91"/>
    <w:rsid w:val="00F83EDD"/>
    <w:rsid w:val="00F840D4"/>
    <w:rsid w:val="00F841BC"/>
    <w:rsid w:val="00F841F3"/>
    <w:rsid w:val="00F844B3"/>
    <w:rsid w:val="00F844D1"/>
    <w:rsid w:val="00F84517"/>
    <w:rsid w:val="00F846AC"/>
    <w:rsid w:val="00F84B85"/>
    <w:rsid w:val="00F84CC5"/>
    <w:rsid w:val="00F84F15"/>
    <w:rsid w:val="00F85131"/>
    <w:rsid w:val="00F85264"/>
    <w:rsid w:val="00F8562A"/>
    <w:rsid w:val="00F85AB5"/>
    <w:rsid w:val="00F85CE6"/>
    <w:rsid w:val="00F85E87"/>
    <w:rsid w:val="00F85EEE"/>
    <w:rsid w:val="00F862D3"/>
    <w:rsid w:val="00F86655"/>
    <w:rsid w:val="00F86A5D"/>
    <w:rsid w:val="00F86A7A"/>
    <w:rsid w:val="00F86ACF"/>
    <w:rsid w:val="00F86C7F"/>
    <w:rsid w:val="00F86E1C"/>
    <w:rsid w:val="00F8701A"/>
    <w:rsid w:val="00F8719B"/>
    <w:rsid w:val="00F87305"/>
    <w:rsid w:val="00F87330"/>
    <w:rsid w:val="00F8738C"/>
    <w:rsid w:val="00F87C43"/>
    <w:rsid w:val="00F87D23"/>
    <w:rsid w:val="00F87ECE"/>
    <w:rsid w:val="00F90419"/>
    <w:rsid w:val="00F90843"/>
    <w:rsid w:val="00F90B0F"/>
    <w:rsid w:val="00F90DDB"/>
    <w:rsid w:val="00F90E7F"/>
    <w:rsid w:val="00F90F82"/>
    <w:rsid w:val="00F91583"/>
    <w:rsid w:val="00F9177C"/>
    <w:rsid w:val="00F91D61"/>
    <w:rsid w:val="00F92580"/>
    <w:rsid w:val="00F92BBA"/>
    <w:rsid w:val="00F92D2B"/>
    <w:rsid w:val="00F92E3B"/>
    <w:rsid w:val="00F93099"/>
    <w:rsid w:val="00F935C3"/>
    <w:rsid w:val="00F93698"/>
    <w:rsid w:val="00F9384C"/>
    <w:rsid w:val="00F938F2"/>
    <w:rsid w:val="00F93DB5"/>
    <w:rsid w:val="00F94395"/>
    <w:rsid w:val="00F94490"/>
    <w:rsid w:val="00F94B07"/>
    <w:rsid w:val="00F94D0D"/>
    <w:rsid w:val="00F94F58"/>
    <w:rsid w:val="00F9501D"/>
    <w:rsid w:val="00F95943"/>
    <w:rsid w:val="00F95A21"/>
    <w:rsid w:val="00F95D90"/>
    <w:rsid w:val="00F96167"/>
    <w:rsid w:val="00F96560"/>
    <w:rsid w:val="00F96ED8"/>
    <w:rsid w:val="00F96F87"/>
    <w:rsid w:val="00F9724D"/>
    <w:rsid w:val="00F97CDE"/>
    <w:rsid w:val="00FA07C6"/>
    <w:rsid w:val="00FA0941"/>
    <w:rsid w:val="00FA0993"/>
    <w:rsid w:val="00FA0AEC"/>
    <w:rsid w:val="00FA0C63"/>
    <w:rsid w:val="00FA1207"/>
    <w:rsid w:val="00FA121D"/>
    <w:rsid w:val="00FA1425"/>
    <w:rsid w:val="00FA143E"/>
    <w:rsid w:val="00FA1AA9"/>
    <w:rsid w:val="00FA2076"/>
    <w:rsid w:val="00FA268F"/>
    <w:rsid w:val="00FA2704"/>
    <w:rsid w:val="00FA28C4"/>
    <w:rsid w:val="00FA2950"/>
    <w:rsid w:val="00FA2C3B"/>
    <w:rsid w:val="00FA2CD8"/>
    <w:rsid w:val="00FA35A7"/>
    <w:rsid w:val="00FA3AC6"/>
    <w:rsid w:val="00FA3C58"/>
    <w:rsid w:val="00FA405A"/>
    <w:rsid w:val="00FA4344"/>
    <w:rsid w:val="00FA465D"/>
    <w:rsid w:val="00FA46DF"/>
    <w:rsid w:val="00FA48F5"/>
    <w:rsid w:val="00FA4CAF"/>
    <w:rsid w:val="00FA5349"/>
    <w:rsid w:val="00FA56D8"/>
    <w:rsid w:val="00FA56FA"/>
    <w:rsid w:val="00FA578D"/>
    <w:rsid w:val="00FA57C1"/>
    <w:rsid w:val="00FA5907"/>
    <w:rsid w:val="00FA61C3"/>
    <w:rsid w:val="00FA65F6"/>
    <w:rsid w:val="00FA6628"/>
    <w:rsid w:val="00FA6926"/>
    <w:rsid w:val="00FA69DF"/>
    <w:rsid w:val="00FA71D3"/>
    <w:rsid w:val="00FA73D0"/>
    <w:rsid w:val="00FA7736"/>
    <w:rsid w:val="00FA77C4"/>
    <w:rsid w:val="00FA7828"/>
    <w:rsid w:val="00FA7A30"/>
    <w:rsid w:val="00FA7D95"/>
    <w:rsid w:val="00FA7F28"/>
    <w:rsid w:val="00FB0021"/>
    <w:rsid w:val="00FB0291"/>
    <w:rsid w:val="00FB02A6"/>
    <w:rsid w:val="00FB0315"/>
    <w:rsid w:val="00FB04A1"/>
    <w:rsid w:val="00FB0581"/>
    <w:rsid w:val="00FB0975"/>
    <w:rsid w:val="00FB0A7B"/>
    <w:rsid w:val="00FB1152"/>
    <w:rsid w:val="00FB1A39"/>
    <w:rsid w:val="00FB20B7"/>
    <w:rsid w:val="00FB222B"/>
    <w:rsid w:val="00FB23EB"/>
    <w:rsid w:val="00FB250B"/>
    <w:rsid w:val="00FB2688"/>
    <w:rsid w:val="00FB2825"/>
    <w:rsid w:val="00FB2839"/>
    <w:rsid w:val="00FB2ABF"/>
    <w:rsid w:val="00FB2C7C"/>
    <w:rsid w:val="00FB2F56"/>
    <w:rsid w:val="00FB3143"/>
    <w:rsid w:val="00FB34E8"/>
    <w:rsid w:val="00FB3656"/>
    <w:rsid w:val="00FB39ED"/>
    <w:rsid w:val="00FB3B3E"/>
    <w:rsid w:val="00FB3BA2"/>
    <w:rsid w:val="00FB3CA5"/>
    <w:rsid w:val="00FB3ED1"/>
    <w:rsid w:val="00FB42B9"/>
    <w:rsid w:val="00FB4424"/>
    <w:rsid w:val="00FB4557"/>
    <w:rsid w:val="00FB4559"/>
    <w:rsid w:val="00FB46BF"/>
    <w:rsid w:val="00FB4823"/>
    <w:rsid w:val="00FB5D58"/>
    <w:rsid w:val="00FB5DFA"/>
    <w:rsid w:val="00FB5ED8"/>
    <w:rsid w:val="00FB60A6"/>
    <w:rsid w:val="00FB6241"/>
    <w:rsid w:val="00FB63F8"/>
    <w:rsid w:val="00FB666B"/>
    <w:rsid w:val="00FB6CFF"/>
    <w:rsid w:val="00FB6EDD"/>
    <w:rsid w:val="00FB713B"/>
    <w:rsid w:val="00FB789B"/>
    <w:rsid w:val="00FB78E7"/>
    <w:rsid w:val="00FB7A4F"/>
    <w:rsid w:val="00FB7AAB"/>
    <w:rsid w:val="00FB7DD8"/>
    <w:rsid w:val="00FB7F07"/>
    <w:rsid w:val="00FC0605"/>
    <w:rsid w:val="00FC078B"/>
    <w:rsid w:val="00FC0A44"/>
    <w:rsid w:val="00FC0C31"/>
    <w:rsid w:val="00FC0CAB"/>
    <w:rsid w:val="00FC0D54"/>
    <w:rsid w:val="00FC0D95"/>
    <w:rsid w:val="00FC0ECA"/>
    <w:rsid w:val="00FC14DF"/>
    <w:rsid w:val="00FC18E3"/>
    <w:rsid w:val="00FC1AAE"/>
    <w:rsid w:val="00FC2291"/>
    <w:rsid w:val="00FC259A"/>
    <w:rsid w:val="00FC2960"/>
    <w:rsid w:val="00FC2FE2"/>
    <w:rsid w:val="00FC310A"/>
    <w:rsid w:val="00FC3502"/>
    <w:rsid w:val="00FC3C57"/>
    <w:rsid w:val="00FC3EB7"/>
    <w:rsid w:val="00FC40CC"/>
    <w:rsid w:val="00FC414A"/>
    <w:rsid w:val="00FC422D"/>
    <w:rsid w:val="00FC4493"/>
    <w:rsid w:val="00FC4528"/>
    <w:rsid w:val="00FC474D"/>
    <w:rsid w:val="00FC4E03"/>
    <w:rsid w:val="00FC576F"/>
    <w:rsid w:val="00FC5971"/>
    <w:rsid w:val="00FC5BB4"/>
    <w:rsid w:val="00FC5E73"/>
    <w:rsid w:val="00FC5EF2"/>
    <w:rsid w:val="00FC5FE4"/>
    <w:rsid w:val="00FC604C"/>
    <w:rsid w:val="00FC65E6"/>
    <w:rsid w:val="00FC6A54"/>
    <w:rsid w:val="00FC6EF1"/>
    <w:rsid w:val="00FC70FE"/>
    <w:rsid w:val="00FC7956"/>
    <w:rsid w:val="00FC7A52"/>
    <w:rsid w:val="00FC7DA7"/>
    <w:rsid w:val="00FC7F36"/>
    <w:rsid w:val="00FD06AE"/>
    <w:rsid w:val="00FD0786"/>
    <w:rsid w:val="00FD07A2"/>
    <w:rsid w:val="00FD08C1"/>
    <w:rsid w:val="00FD0915"/>
    <w:rsid w:val="00FD0C03"/>
    <w:rsid w:val="00FD0D4D"/>
    <w:rsid w:val="00FD151E"/>
    <w:rsid w:val="00FD157E"/>
    <w:rsid w:val="00FD1C03"/>
    <w:rsid w:val="00FD1FF8"/>
    <w:rsid w:val="00FD22FF"/>
    <w:rsid w:val="00FD264B"/>
    <w:rsid w:val="00FD2A3A"/>
    <w:rsid w:val="00FD2BAC"/>
    <w:rsid w:val="00FD31CA"/>
    <w:rsid w:val="00FD3476"/>
    <w:rsid w:val="00FD3508"/>
    <w:rsid w:val="00FD35D1"/>
    <w:rsid w:val="00FD390C"/>
    <w:rsid w:val="00FD3B82"/>
    <w:rsid w:val="00FD3BC2"/>
    <w:rsid w:val="00FD3CA1"/>
    <w:rsid w:val="00FD3D7F"/>
    <w:rsid w:val="00FD4081"/>
    <w:rsid w:val="00FD4867"/>
    <w:rsid w:val="00FD4B84"/>
    <w:rsid w:val="00FD4BBD"/>
    <w:rsid w:val="00FD56AC"/>
    <w:rsid w:val="00FD5893"/>
    <w:rsid w:val="00FD5A34"/>
    <w:rsid w:val="00FD5D6B"/>
    <w:rsid w:val="00FD5F2A"/>
    <w:rsid w:val="00FD60E6"/>
    <w:rsid w:val="00FD617F"/>
    <w:rsid w:val="00FD6310"/>
    <w:rsid w:val="00FD6564"/>
    <w:rsid w:val="00FD6984"/>
    <w:rsid w:val="00FD69A9"/>
    <w:rsid w:val="00FD69F2"/>
    <w:rsid w:val="00FD6C01"/>
    <w:rsid w:val="00FD6FED"/>
    <w:rsid w:val="00FD722D"/>
    <w:rsid w:val="00FD73A6"/>
    <w:rsid w:val="00FD74F9"/>
    <w:rsid w:val="00FD75A4"/>
    <w:rsid w:val="00FD78FF"/>
    <w:rsid w:val="00FD796E"/>
    <w:rsid w:val="00FD7DB9"/>
    <w:rsid w:val="00FE011C"/>
    <w:rsid w:val="00FE0317"/>
    <w:rsid w:val="00FE04F3"/>
    <w:rsid w:val="00FE0625"/>
    <w:rsid w:val="00FE088D"/>
    <w:rsid w:val="00FE12C5"/>
    <w:rsid w:val="00FE150B"/>
    <w:rsid w:val="00FE1D1E"/>
    <w:rsid w:val="00FE1D6F"/>
    <w:rsid w:val="00FE1F89"/>
    <w:rsid w:val="00FE2010"/>
    <w:rsid w:val="00FE2279"/>
    <w:rsid w:val="00FE283D"/>
    <w:rsid w:val="00FE2874"/>
    <w:rsid w:val="00FE2AC3"/>
    <w:rsid w:val="00FE2C44"/>
    <w:rsid w:val="00FE369C"/>
    <w:rsid w:val="00FE442E"/>
    <w:rsid w:val="00FE44F4"/>
    <w:rsid w:val="00FE4519"/>
    <w:rsid w:val="00FE4808"/>
    <w:rsid w:val="00FE4E94"/>
    <w:rsid w:val="00FE4EDC"/>
    <w:rsid w:val="00FE50C5"/>
    <w:rsid w:val="00FE5204"/>
    <w:rsid w:val="00FE5BA1"/>
    <w:rsid w:val="00FE5FB9"/>
    <w:rsid w:val="00FE6217"/>
    <w:rsid w:val="00FE66D1"/>
    <w:rsid w:val="00FE67C1"/>
    <w:rsid w:val="00FE688E"/>
    <w:rsid w:val="00FE6C4E"/>
    <w:rsid w:val="00FE6EDA"/>
    <w:rsid w:val="00FE6F06"/>
    <w:rsid w:val="00FE6FD8"/>
    <w:rsid w:val="00FE6FEB"/>
    <w:rsid w:val="00FE71C4"/>
    <w:rsid w:val="00FE7AF1"/>
    <w:rsid w:val="00FE7AF9"/>
    <w:rsid w:val="00FE7D98"/>
    <w:rsid w:val="00FF0072"/>
    <w:rsid w:val="00FF0552"/>
    <w:rsid w:val="00FF05F8"/>
    <w:rsid w:val="00FF066F"/>
    <w:rsid w:val="00FF0811"/>
    <w:rsid w:val="00FF08A6"/>
    <w:rsid w:val="00FF0A9B"/>
    <w:rsid w:val="00FF0A9F"/>
    <w:rsid w:val="00FF0ADB"/>
    <w:rsid w:val="00FF0BD5"/>
    <w:rsid w:val="00FF0ED0"/>
    <w:rsid w:val="00FF109B"/>
    <w:rsid w:val="00FF13CA"/>
    <w:rsid w:val="00FF13DB"/>
    <w:rsid w:val="00FF18AC"/>
    <w:rsid w:val="00FF1D3B"/>
    <w:rsid w:val="00FF1F0C"/>
    <w:rsid w:val="00FF2399"/>
    <w:rsid w:val="00FF2500"/>
    <w:rsid w:val="00FF25AA"/>
    <w:rsid w:val="00FF2B0A"/>
    <w:rsid w:val="00FF2DCF"/>
    <w:rsid w:val="00FF2DF6"/>
    <w:rsid w:val="00FF2E00"/>
    <w:rsid w:val="00FF39CA"/>
    <w:rsid w:val="00FF405A"/>
    <w:rsid w:val="00FF41A0"/>
    <w:rsid w:val="00FF43D7"/>
    <w:rsid w:val="00FF442A"/>
    <w:rsid w:val="00FF47AD"/>
    <w:rsid w:val="00FF4917"/>
    <w:rsid w:val="00FF4B06"/>
    <w:rsid w:val="00FF4CFF"/>
    <w:rsid w:val="00FF4D90"/>
    <w:rsid w:val="00FF4DEB"/>
    <w:rsid w:val="00FF506C"/>
    <w:rsid w:val="00FF50F3"/>
    <w:rsid w:val="00FF5121"/>
    <w:rsid w:val="00FF51D6"/>
    <w:rsid w:val="00FF558D"/>
    <w:rsid w:val="00FF562D"/>
    <w:rsid w:val="00FF5A72"/>
    <w:rsid w:val="00FF5E78"/>
    <w:rsid w:val="00FF6131"/>
    <w:rsid w:val="00FF6252"/>
    <w:rsid w:val="00FF69D1"/>
    <w:rsid w:val="00FF6DF7"/>
    <w:rsid w:val="00FF7006"/>
    <w:rsid w:val="00FF79F2"/>
    <w:rsid w:val="00FF7B28"/>
    <w:rsid w:val="01030A5C"/>
    <w:rsid w:val="01086C64"/>
    <w:rsid w:val="010F1DA1"/>
    <w:rsid w:val="01100703"/>
    <w:rsid w:val="01207B0A"/>
    <w:rsid w:val="012B7F98"/>
    <w:rsid w:val="01321C11"/>
    <w:rsid w:val="013A784D"/>
    <w:rsid w:val="01417FAB"/>
    <w:rsid w:val="01546A41"/>
    <w:rsid w:val="015659CC"/>
    <w:rsid w:val="01635C49"/>
    <w:rsid w:val="0173585E"/>
    <w:rsid w:val="01754BC4"/>
    <w:rsid w:val="017D31AE"/>
    <w:rsid w:val="017D778F"/>
    <w:rsid w:val="018724F6"/>
    <w:rsid w:val="01884D60"/>
    <w:rsid w:val="018D2B10"/>
    <w:rsid w:val="01946C73"/>
    <w:rsid w:val="019F33EB"/>
    <w:rsid w:val="01A324E9"/>
    <w:rsid w:val="01AA57B4"/>
    <w:rsid w:val="01B31C1B"/>
    <w:rsid w:val="01BF386B"/>
    <w:rsid w:val="01C824A2"/>
    <w:rsid w:val="01C94F17"/>
    <w:rsid w:val="01E925F2"/>
    <w:rsid w:val="01EA083C"/>
    <w:rsid w:val="01F94D45"/>
    <w:rsid w:val="01F96EA3"/>
    <w:rsid w:val="01FB0577"/>
    <w:rsid w:val="01FD25DC"/>
    <w:rsid w:val="02074DEA"/>
    <w:rsid w:val="021B440C"/>
    <w:rsid w:val="021C689E"/>
    <w:rsid w:val="022655F4"/>
    <w:rsid w:val="02306BBF"/>
    <w:rsid w:val="02320BE8"/>
    <w:rsid w:val="02334B34"/>
    <w:rsid w:val="02392302"/>
    <w:rsid w:val="023A2E4D"/>
    <w:rsid w:val="023D1444"/>
    <w:rsid w:val="024F201A"/>
    <w:rsid w:val="02641C78"/>
    <w:rsid w:val="026A2A62"/>
    <w:rsid w:val="02715190"/>
    <w:rsid w:val="0275631F"/>
    <w:rsid w:val="027C3466"/>
    <w:rsid w:val="027C3D6B"/>
    <w:rsid w:val="028265A2"/>
    <w:rsid w:val="02850702"/>
    <w:rsid w:val="02866093"/>
    <w:rsid w:val="028D07AE"/>
    <w:rsid w:val="029167E5"/>
    <w:rsid w:val="029307AF"/>
    <w:rsid w:val="029816D1"/>
    <w:rsid w:val="02A14C7A"/>
    <w:rsid w:val="02A50666"/>
    <w:rsid w:val="02A72E75"/>
    <w:rsid w:val="02A76009"/>
    <w:rsid w:val="02A97FD3"/>
    <w:rsid w:val="02AD7AC3"/>
    <w:rsid w:val="02B43B5B"/>
    <w:rsid w:val="02BA1384"/>
    <w:rsid w:val="02BB0B01"/>
    <w:rsid w:val="02BE582C"/>
    <w:rsid w:val="02BE6B13"/>
    <w:rsid w:val="02CB7F49"/>
    <w:rsid w:val="02CC3F80"/>
    <w:rsid w:val="02D811AF"/>
    <w:rsid w:val="02DB3DC2"/>
    <w:rsid w:val="02DF45A0"/>
    <w:rsid w:val="02DF4D9F"/>
    <w:rsid w:val="02E9047A"/>
    <w:rsid w:val="03127926"/>
    <w:rsid w:val="0324120A"/>
    <w:rsid w:val="03247659"/>
    <w:rsid w:val="032D650E"/>
    <w:rsid w:val="03305FFE"/>
    <w:rsid w:val="03314FB5"/>
    <w:rsid w:val="03363AE0"/>
    <w:rsid w:val="03386BEF"/>
    <w:rsid w:val="0346719F"/>
    <w:rsid w:val="034A64AA"/>
    <w:rsid w:val="034E7EA7"/>
    <w:rsid w:val="035F0639"/>
    <w:rsid w:val="03607ADB"/>
    <w:rsid w:val="036206AD"/>
    <w:rsid w:val="03666582"/>
    <w:rsid w:val="03732022"/>
    <w:rsid w:val="037E320E"/>
    <w:rsid w:val="03854D99"/>
    <w:rsid w:val="03862784"/>
    <w:rsid w:val="03870314"/>
    <w:rsid w:val="0391212D"/>
    <w:rsid w:val="03914CEF"/>
    <w:rsid w:val="03943103"/>
    <w:rsid w:val="03962305"/>
    <w:rsid w:val="03964592"/>
    <w:rsid w:val="039A6212"/>
    <w:rsid w:val="03A029D4"/>
    <w:rsid w:val="03B10EED"/>
    <w:rsid w:val="03B25A3F"/>
    <w:rsid w:val="03BC0C53"/>
    <w:rsid w:val="03C30C20"/>
    <w:rsid w:val="03C36A90"/>
    <w:rsid w:val="03C92813"/>
    <w:rsid w:val="03D72DBE"/>
    <w:rsid w:val="03D86AFD"/>
    <w:rsid w:val="03DF17D9"/>
    <w:rsid w:val="03E216BE"/>
    <w:rsid w:val="03E80687"/>
    <w:rsid w:val="03EC0D09"/>
    <w:rsid w:val="03F53852"/>
    <w:rsid w:val="040000C7"/>
    <w:rsid w:val="04043713"/>
    <w:rsid w:val="04222F02"/>
    <w:rsid w:val="04245B63"/>
    <w:rsid w:val="0428728B"/>
    <w:rsid w:val="042A6EF2"/>
    <w:rsid w:val="04301A08"/>
    <w:rsid w:val="04425FE9"/>
    <w:rsid w:val="04453DBB"/>
    <w:rsid w:val="044551B7"/>
    <w:rsid w:val="044C6E68"/>
    <w:rsid w:val="04533D1D"/>
    <w:rsid w:val="045A3333"/>
    <w:rsid w:val="047270A2"/>
    <w:rsid w:val="04771B30"/>
    <w:rsid w:val="047C7D3D"/>
    <w:rsid w:val="04820D65"/>
    <w:rsid w:val="048552F8"/>
    <w:rsid w:val="04877EA0"/>
    <w:rsid w:val="048C54B6"/>
    <w:rsid w:val="04953D64"/>
    <w:rsid w:val="04990957"/>
    <w:rsid w:val="049A0795"/>
    <w:rsid w:val="04A15406"/>
    <w:rsid w:val="04A374AE"/>
    <w:rsid w:val="04B073F7"/>
    <w:rsid w:val="04B632FE"/>
    <w:rsid w:val="04C169A1"/>
    <w:rsid w:val="04D16A79"/>
    <w:rsid w:val="04DE38A1"/>
    <w:rsid w:val="04DF5241"/>
    <w:rsid w:val="04DF6231"/>
    <w:rsid w:val="04EA08A0"/>
    <w:rsid w:val="04F35535"/>
    <w:rsid w:val="05002D3E"/>
    <w:rsid w:val="05213482"/>
    <w:rsid w:val="053C3A5B"/>
    <w:rsid w:val="05467EF5"/>
    <w:rsid w:val="05541611"/>
    <w:rsid w:val="0558084A"/>
    <w:rsid w:val="056062C2"/>
    <w:rsid w:val="05744BFD"/>
    <w:rsid w:val="05791E8F"/>
    <w:rsid w:val="057A49CE"/>
    <w:rsid w:val="05942874"/>
    <w:rsid w:val="05A827C4"/>
    <w:rsid w:val="05AE7C8F"/>
    <w:rsid w:val="05AF28AF"/>
    <w:rsid w:val="05B44CC5"/>
    <w:rsid w:val="05BC4AA0"/>
    <w:rsid w:val="05C30230"/>
    <w:rsid w:val="05CC64B2"/>
    <w:rsid w:val="05D03B7D"/>
    <w:rsid w:val="05D47115"/>
    <w:rsid w:val="05DF113C"/>
    <w:rsid w:val="05E337FC"/>
    <w:rsid w:val="05E530D0"/>
    <w:rsid w:val="05E62F88"/>
    <w:rsid w:val="05E80E12"/>
    <w:rsid w:val="05E95FEC"/>
    <w:rsid w:val="05FB6170"/>
    <w:rsid w:val="060519C4"/>
    <w:rsid w:val="0609541E"/>
    <w:rsid w:val="060C3291"/>
    <w:rsid w:val="061D0E85"/>
    <w:rsid w:val="062067FE"/>
    <w:rsid w:val="063114C6"/>
    <w:rsid w:val="06316315"/>
    <w:rsid w:val="06324CA4"/>
    <w:rsid w:val="0639341C"/>
    <w:rsid w:val="06396001"/>
    <w:rsid w:val="063D115E"/>
    <w:rsid w:val="06400C4E"/>
    <w:rsid w:val="06425431"/>
    <w:rsid w:val="064323A1"/>
    <w:rsid w:val="064505A5"/>
    <w:rsid w:val="064D119D"/>
    <w:rsid w:val="06565574"/>
    <w:rsid w:val="06586FD8"/>
    <w:rsid w:val="065922F3"/>
    <w:rsid w:val="065C361E"/>
    <w:rsid w:val="066B5CCB"/>
    <w:rsid w:val="0676641E"/>
    <w:rsid w:val="067810C5"/>
    <w:rsid w:val="068D6F85"/>
    <w:rsid w:val="06930494"/>
    <w:rsid w:val="06A43768"/>
    <w:rsid w:val="06A56B48"/>
    <w:rsid w:val="06AE3D97"/>
    <w:rsid w:val="06B036DE"/>
    <w:rsid w:val="06BE352D"/>
    <w:rsid w:val="06C47189"/>
    <w:rsid w:val="06D662BE"/>
    <w:rsid w:val="06E006CD"/>
    <w:rsid w:val="06E4088A"/>
    <w:rsid w:val="070457D8"/>
    <w:rsid w:val="071105A0"/>
    <w:rsid w:val="07174B5F"/>
    <w:rsid w:val="071E614A"/>
    <w:rsid w:val="072D2F81"/>
    <w:rsid w:val="07391925"/>
    <w:rsid w:val="073D0CEA"/>
    <w:rsid w:val="07481B68"/>
    <w:rsid w:val="074A3B33"/>
    <w:rsid w:val="075C178E"/>
    <w:rsid w:val="075C6439"/>
    <w:rsid w:val="075F054E"/>
    <w:rsid w:val="0765146C"/>
    <w:rsid w:val="07856AC4"/>
    <w:rsid w:val="07862691"/>
    <w:rsid w:val="078B5EF9"/>
    <w:rsid w:val="078C0D1B"/>
    <w:rsid w:val="078D7EC3"/>
    <w:rsid w:val="078F2919"/>
    <w:rsid w:val="0790148E"/>
    <w:rsid w:val="079610C8"/>
    <w:rsid w:val="079974D1"/>
    <w:rsid w:val="07AC4A50"/>
    <w:rsid w:val="07B23486"/>
    <w:rsid w:val="07B65F87"/>
    <w:rsid w:val="07C5140B"/>
    <w:rsid w:val="07C5765D"/>
    <w:rsid w:val="07C61C64"/>
    <w:rsid w:val="07CD206E"/>
    <w:rsid w:val="07ED2710"/>
    <w:rsid w:val="07F92246"/>
    <w:rsid w:val="07FB307F"/>
    <w:rsid w:val="08132EBA"/>
    <w:rsid w:val="08161C67"/>
    <w:rsid w:val="081D2FF5"/>
    <w:rsid w:val="08202AE5"/>
    <w:rsid w:val="082A25AF"/>
    <w:rsid w:val="082D0D5E"/>
    <w:rsid w:val="082D21BF"/>
    <w:rsid w:val="084D31AF"/>
    <w:rsid w:val="085414A0"/>
    <w:rsid w:val="08580817"/>
    <w:rsid w:val="086329D2"/>
    <w:rsid w:val="08666C45"/>
    <w:rsid w:val="087625D2"/>
    <w:rsid w:val="08782D14"/>
    <w:rsid w:val="08850B9A"/>
    <w:rsid w:val="08947C85"/>
    <w:rsid w:val="08A53DAB"/>
    <w:rsid w:val="08AC5A9B"/>
    <w:rsid w:val="08C22567"/>
    <w:rsid w:val="08C73DE0"/>
    <w:rsid w:val="08D77648"/>
    <w:rsid w:val="08DA0EE6"/>
    <w:rsid w:val="08DF474E"/>
    <w:rsid w:val="08E41639"/>
    <w:rsid w:val="08E617BB"/>
    <w:rsid w:val="08F06236"/>
    <w:rsid w:val="08F655F4"/>
    <w:rsid w:val="08FD35AE"/>
    <w:rsid w:val="08FE04F3"/>
    <w:rsid w:val="090048DC"/>
    <w:rsid w:val="09005BC4"/>
    <w:rsid w:val="09121AFA"/>
    <w:rsid w:val="092403B3"/>
    <w:rsid w:val="092F3821"/>
    <w:rsid w:val="09310F40"/>
    <w:rsid w:val="09330CF7"/>
    <w:rsid w:val="093A1985"/>
    <w:rsid w:val="093F343F"/>
    <w:rsid w:val="093F51ED"/>
    <w:rsid w:val="09410F65"/>
    <w:rsid w:val="095376BF"/>
    <w:rsid w:val="09666F61"/>
    <w:rsid w:val="096F4983"/>
    <w:rsid w:val="09706C9E"/>
    <w:rsid w:val="09916829"/>
    <w:rsid w:val="099E253A"/>
    <w:rsid w:val="09A34AFA"/>
    <w:rsid w:val="09A73464"/>
    <w:rsid w:val="09B434E5"/>
    <w:rsid w:val="09B74D83"/>
    <w:rsid w:val="09BA2AC6"/>
    <w:rsid w:val="09BC7DB9"/>
    <w:rsid w:val="09C545A9"/>
    <w:rsid w:val="09DC47EA"/>
    <w:rsid w:val="09DE0562"/>
    <w:rsid w:val="09E45B68"/>
    <w:rsid w:val="09E519D6"/>
    <w:rsid w:val="0A002BCE"/>
    <w:rsid w:val="0A1246B0"/>
    <w:rsid w:val="0A196B8E"/>
    <w:rsid w:val="0A1A6CB9"/>
    <w:rsid w:val="0A233707"/>
    <w:rsid w:val="0A2763AD"/>
    <w:rsid w:val="0A2A169B"/>
    <w:rsid w:val="0A3B7763"/>
    <w:rsid w:val="0A3D5178"/>
    <w:rsid w:val="0A4269C9"/>
    <w:rsid w:val="0A4E1383"/>
    <w:rsid w:val="0A5B2DD0"/>
    <w:rsid w:val="0A5C08C2"/>
    <w:rsid w:val="0A5D1DCF"/>
    <w:rsid w:val="0A5F1209"/>
    <w:rsid w:val="0A650C83"/>
    <w:rsid w:val="0A6B5D64"/>
    <w:rsid w:val="0A801619"/>
    <w:rsid w:val="0A835A33"/>
    <w:rsid w:val="0A8C26DA"/>
    <w:rsid w:val="0A8E1F88"/>
    <w:rsid w:val="0A8F17E2"/>
    <w:rsid w:val="0A96708F"/>
    <w:rsid w:val="0A96713F"/>
    <w:rsid w:val="0A975F13"/>
    <w:rsid w:val="0A9A3A22"/>
    <w:rsid w:val="0AA572D2"/>
    <w:rsid w:val="0AC413A1"/>
    <w:rsid w:val="0AE0030A"/>
    <w:rsid w:val="0AE017A7"/>
    <w:rsid w:val="0AE20526"/>
    <w:rsid w:val="0AE53BEB"/>
    <w:rsid w:val="0AF97AFD"/>
    <w:rsid w:val="0AFF4C34"/>
    <w:rsid w:val="0B022976"/>
    <w:rsid w:val="0B095527"/>
    <w:rsid w:val="0B0C6A36"/>
    <w:rsid w:val="0B116715"/>
    <w:rsid w:val="0B15694E"/>
    <w:rsid w:val="0B175B42"/>
    <w:rsid w:val="0B196A36"/>
    <w:rsid w:val="0B1C1BCC"/>
    <w:rsid w:val="0B290D1D"/>
    <w:rsid w:val="0B2B77D7"/>
    <w:rsid w:val="0B2D5EA7"/>
    <w:rsid w:val="0B2E72C7"/>
    <w:rsid w:val="0B300075"/>
    <w:rsid w:val="0B38405B"/>
    <w:rsid w:val="0B3A2110"/>
    <w:rsid w:val="0B3B07CF"/>
    <w:rsid w:val="0B3C19E4"/>
    <w:rsid w:val="0B465BC4"/>
    <w:rsid w:val="0B5A140C"/>
    <w:rsid w:val="0B5A4560"/>
    <w:rsid w:val="0B5D5B99"/>
    <w:rsid w:val="0B6D6042"/>
    <w:rsid w:val="0B7733EF"/>
    <w:rsid w:val="0B7B191B"/>
    <w:rsid w:val="0B815649"/>
    <w:rsid w:val="0B892115"/>
    <w:rsid w:val="0B8A0F8B"/>
    <w:rsid w:val="0B8B64C8"/>
    <w:rsid w:val="0B8C5A16"/>
    <w:rsid w:val="0B925AA8"/>
    <w:rsid w:val="0B970FD6"/>
    <w:rsid w:val="0B9C2E79"/>
    <w:rsid w:val="0BA80C1E"/>
    <w:rsid w:val="0BA876D0"/>
    <w:rsid w:val="0BB772BD"/>
    <w:rsid w:val="0BC72EC5"/>
    <w:rsid w:val="0BDE2A9B"/>
    <w:rsid w:val="0BE81DF9"/>
    <w:rsid w:val="0BF23498"/>
    <w:rsid w:val="0C000C64"/>
    <w:rsid w:val="0C004C5B"/>
    <w:rsid w:val="0C033A23"/>
    <w:rsid w:val="0C102777"/>
    <w:rsid w:val="0C1A36AD"/>
    <w:rsid w:val="0C3530B6"/>
    <w:rsid w:val="0C3C24E6"/>
    <w:rsid w:val="0C3C5A14"/>
    <w:rsid w:val="0C435205"/>
    <w:rsid w:val="0C463AED"/>
    <w:rsid w:val="0C5728BC"/>
    <w:rsid w:val="0C5F28BB"/>
    <w:rsid w:val="0C670071"/>
    <w:rsid w:val="0C6907A2"/>
    <w:rsid w:val="0C7D5140"/>
    <w:rsid w:val="0C851B79"/>
    <w:rsid w:val="0C8A2C23"/>
    <w:rsid w:val="0C8A4EA4"/>
    <w:rsid w:val="0C8C699B"/>
    <w:rsid w:val="0C8D0F7C"/>
    <w:rsid w:val="0C937D2A"/>
    <w:rsid w:val="0C9573BA"/>
    <w:rsid w:val="0CA36D9B"/>
    <w:rsid w:val="0CA37252"/>
    <w:rsid w:val="0CA535B9"/>
    <w:rsid w:val="0CBA3508"/>
    <w:rsid w:val="0CC46135"/>
    <w:rsid w:val="0CC679CB"/>
    <w:rsid w:val="0CCA10E4"/>
    <w:rsid w:val="0CD23FE8"/>
    <w:rsid w:val="0CD45A1D"/>
    <w:rsid w:val="0CDF67D0"/>
    <w:rsid w:val="0CE35CD4"/>
    <w:rsid w:val="0CE740BA"/>
    <w:rsid w:val="0CFF716D"/>
    <w:rsid w:val="0D070E16"/>
    <w:rsid w:val="0D073416"/>
    <w:rsid w:val="0D10137A"/>
    <w:rsid w:val="0D125313"/>
    <w:rsid w:val="0D16638E"/>
    <w:rsid w:val="0D207DC3"/>
    <w:rsid w:val="0D2B7F62"/>
    <w:rsid w:val="0D3B5CCB"/>
    <w:rsid w:val="0D3B7568"/>
    <w:rsid w:val="0D4E3C51"/>
    <w:rsid w:val="0D704A07"/>
    <w:rsid w:val="0D7929BD"/>
    <w:rsid w:val="0D7A7B8E"/>
    <w:rsid w:val="0D817D88"/>
    <w:rsid w:val="0D884CCF"/>
    <w:rsid w:val="0D911B50"/>
    <w:rsid w:val="0D9A07CB"/>
    <w:rsid w:val="0DA67CDA"/>
    <w:rsid w:val="0DA77B85"/>
    <w:rsid w:val="0DB85821"/>
    <w:rsid w:val="0DBF4B4E"/>
    <w:rsid w:val="0DC11EEC"/>
    <w:rsid w:val="0DC1224B"/>
    <w:rsid w:val="0DC42165"/>
    <w:rsid w:val="0DC61709"/>
    <w:rsid w:val="0DC73D68"/>
    <w:rsid w:val="0DD34156"/>
    <w:rsid w:val="0DD57ECE"/>
    <w:rsid w:val="0DD9250A"/>
    <w:rsid w:val="0DDC44B7"/>
    <w:rsid w:val="0DE4326B"/>
    <w:rsid w:val="0E0B7D94"/>
    <w:rsid w:val="0E214EC1"/>
    <w:rsid w:val="0E252C04"/>
    <w:rsid w:val="0E2B276D"/>
    <w:rsid w:val="0E3A6C6F"/>
    <w:rsid w:val="0E3E21E1"/>
    <w:rsid w:val="0E3E65DB"/>
    <w:rsid w:val="0E4312DC"/>
    <w:rsid w:val="0E4C69F3"/>
    <w:rsid w:val="0E4D3588"/>
    <w:rsid w:val="0E53661D"/>
    <w:rsid w:val="0E667C74"/>
    <w:rsid w:val="0E6D108F"/>
    <w:rsid w:val="0E752FC5"/>
    <w:rsid w:val="0E7B4F49"/>
    <w:rsid w:val="0E7E5744"/>
    <w:rsid w:val="0E975183"/>
    <w:rsid w:val="0E9C1129"/>
    <w:rsid w:val="0EA97C35"/>
    <w:rsid w:val="0EB14497"/>
    <w:rsid w:val="0EB2020F"/>
    <w:rsid w:val="0EB775D4"/>
    <w:rsid w:val="0EBA2E73"/>
    <w:rsid w:val="0EC06BE9"/>
    <w:rsid w:val="0EC07C41"/>
    <w:rsid w:val="0ECA2B60"/>
    <w:rsid w:val="0EDB6338"/>
    <w:rsid w:val="0EDE591C"/>
    <w:rsid w:val="0EE04D7C"/>
    <w:rsid w:val="0EE135C3"/>
    <w:rsid w:val="0EE16CA7"/>
    <w:rsid w:val="0EE71CB8"/>
    <w:rsid w:val="0EE83C31"/>
    <w:rsid w:val="0EF854C5"/>
    <w:rsid w:val="0EF91020"/>
    <w:rsid w:val="0EFD06F0"/>
    <w:rsid w:val="0EFE2EDC"/>
    <w:rsid w:val="0F0942D3"/>
    <w:rsid w:val="0F0C1CFE"/>
    <w:rsid w:val="0F142D94"/>
    <w:rsid w:val="0F1B5DB5"/>
    <w:rsid w:val="0F1E0448"/>
    <w:rsid w:val="0F1E7653"/>
    <w:rsid w:val="0F216BF7"/>
    <w:rsid w:val="0F394BC7"/>
    <w:rsid w:val="0F425ECC"/>
    <w:rsid w:val="0F563A4D"/>
    <w:rsid w:val="0F5E1EEF"/>
    <w:rsid w:val="0F6239E3"/>
    <w:rsid w:val="0F6D6F9B"/>
    <w:rsid w:val="0F751969"/>
    <w:rsid w:val="0F7C389A"/>
    <w:rsid w:val="0F7D0389"/>
    <w:rsid w:val="0F7D1C28"/>
    <w:rsid w:val="0F8B6022"/>
    <w:rsid w:val="0F8C0A60"/>
    <w:rsid w:val="0F8C7CFE"/>
    <w:rsid w:val="0F9320CD"/>
    <w:rsid w:val="0FA019AC"/>
    <w:rsid w:val="0FB029A1"/>
    <w:rsid w:val="0FB32491"/>
    <w:rsid w:val="0FB33C21"/>
    <w:rsid w:val="0FB60CE0"/>
    <w:rsid w:val="0FBA55CD"/>
    <w:rsid w:val="0FBB7521"/>
    <w:rsid w:val="0FCB3337"/>
    <w:rsid w:val="0FD61CDB"/>
    <w:rsid w:val="0FD83CA6"/>
    <w:rsid w:val="0FE33F35"/>
    <w:rsid w:val="0FEE34C9"/>
    <w:rsid w:val="0FF52AA9"/>
    <w:rsid w:val="0FF54858"/>
    <w:rsid w:val="0FF71DC7"/>
    <w:rsid w:val="10207B26"/>
    <w:rsid w:val="10506674"/>
    <w:rsid w:val="105253A5"/>
    <w:rsid w:val="10594E8F"/>
    <w:rsid w:val="105C559E"/>
    <w:rsid w:val="10697CBB"/>
    <w:rsid w:val="106D6A56"/>
    <w:rsid w:val="106E29B8"/>
    <w:rsid w:val="107E3199"/>
    <w:rsid w:val="109041A4"/>
    <w:rsid w:val="109052A3"/>
    <w:rsid w:val="10912321"/>
    <w:rsid w:val="10944BC0"/>
    <w:rsid w:val="109702B3"/>
    <w:rsid w:val="109B26A2"/>
    <w:rsid w:val="10AA1950"/>
    <w:rsid w:val="10AE76F0"/>
    <w:rsid w:val="10B76056"/>
    <w:rsid w:val="10C1473A"/>
    <w:rsid w:val="10D0429B"/>
    <w:rsid w:val="10ED30D4"/>
    <w:rsid w:val="10F61030"/>
    <w:rsid w:val="110313E0"/>
    <w:rsid w:val="11052878"/>
    <w:rsid w:val="110A07E8"/>
    <w:rsid w:val="110E5BD1"/>
    <w:rsid w:val="1111121D"/>
    <w:rsid w:val="11224C52"/>
    <w:rsid w:val="11241BC8"/>
    <w:rsid w:val="112453F4"/>
    <w:rsid w:val="113374F6"/>
    <w:rsid w:val="113952D1"/>
    <w:rsid w:val="113B358D"/>
    <w:rsid w:val="11407D54"/>
    <w:rsid w:val="115829A2"/>
    <w:rsid w:val="115D7E82"/>
    <w:rsid w:val="115E42CC"/>
    <w:rsid w:val="116021A5"/>
    <w:rsid w:val="11651569"/>
    <w:rsid w:val="116575D6"/>
    <w:rsid w:val="11671EF6"/>
    <w:rsid w:val="116A526D"/>
    <w:rsid w:val="116C58F7"/>
    <w:rsid w:val="116F20C9"/>
    <w:rsid w:val="118E286E"/>
    <w:rsid w:val="119B4F8B"/>
    <w:rsid w:val="11AA45C9"/>
    <w:rsid w:val="11AB4237"/>
    <w:rsid w:val="11B038B5"/>
    <w:rsid w:val="11BA57FF"/>
    <w:rsid w:val="11D97647"/>
    <w:rsid w:val="11DF6210"/>
    <w:rsid w:val="11F27D13"/>
    <w:rsid w:val="11F744B2"/>
    <w:rsid w:val="11FA7F03"/>
    <w:rsid w:val="11FD199C"/>
    <w:rsid w:val="121120C5"/>
    <w:rsid w:val="12112DF3"/>
    <w:rsid w:val="12150170"/>
    <w:rsid w:val="121C431D"/>
    <w:rsid w:val="12245449"/>
    <w:rsid w:val="122B27B2"/>
    <w:rsid w:val="122E3665"/>
    <w:rsid w:val="122F62EA"/>
    <w:rsid w:val="12300A06"/>
    <w:rsid w:val="12384280"/>
    <w:rsid w:val="123A0C48"/>
    <w:rsid w:val="123B1977"/>
    <w:rsid w:val="124C0824"/>
    <w:rsid w:val="1251654C"/>
    <w:rsid w:val="12527D3F"/>
    <w:rsid w:val="125E7BB8"/>
    <w:rsid w:val="12624760"/>
    <w:rsid w:val="12640FA3"/>
    <w:rsid w:val="12675A01"/>
    <w:rsid w:val="126A1529"/>
    <w:rsid w:val="126E269F"/>
    <w:rsid w:val="12713D11"/>
    <w:rsid w:val="12805118"/>
    <w:rsid w:val="12810624"/>
    <w:rsid w:val="128C29CB"/>
    <w:rsid w:val="12990D39"/>
    <w:rsid w:val="12A7719E"/>
    <w:rsid w:val="12AA7B7B"/>
    <w:rsid w:val="12BE5855"/>
    <w:rsid w:val="12CC6FD0"/>
    <w:rsid w:val="12D60970"/>
    <w:rsid w:val="12E53C86"/>
    <w:rsid w:val="12E765E7"/>
    <w:rsid w:val="12F157AA"/>
    <w:rsid w:val="12F232D0"/>
    <w:rsid w:val="12FB6DFC"/>
    <w:rsid w:val="12FD414F"/>
    <w:rsid w:val="12FE1894"/>
    <w:rsid w:val="12FE1C75"/>
    <w:rsid w:val="130031CE"/>
    <w:rsid w:val="13075CCC"/>
    <w:rsid w:val="13086525"/>
    <w:rsid w:val="13086650"/>
    <w:rsid w:val="131274CE"/>
    <w:rsid w:val="13247DF6"/>
    <w:rsid w:val="132C2E08"/>
    <w:rsid w:val="13370CE3"/>
    <w:rsid w:val="133956CC"/>
    <w:rsid w:val="133A01C8"/>
    <w:rsid w:val="133C10D2"/>
    <w:rsid w:val="13427DB4"/>
    <w:rsid w:val="135023C9"/>
    <w:rsid w:val="13533F03"/>
    <w:rsid w:val="135451A6"/>
    <w:rsid w:val="13556FD4"/>
    <w:rsid w:val="135D4BEE"/>
    <w:rsid w:val="136840EA"/>
    <w:rsid w:val="13685340"/>
    <w:rsid w:val="136917E4"/>
    <w:rsid w:val="13785584"/>
    <w:rsid w:val="13873A19"/>
    <w:rsid w:val="13936861"/>
    <w:rsid w:val="13960C6E"/>
    <w:rsid w:val="1397362B"/>
    <w:rsid w:val="13973F7C"/>
    <w:rsid w:val="139B5716"/>
    <w:rsid w:val="13A50343"/>
    <w:rsid w:val="13AA4875"/>
    <w:rsid w:val="13AB0F3B"/>
    <w:rsid w:val="13AC6743"/>
    <w:rsid w:val="13AF1F58"/>
    <w:rsid w:val="13BA0AF5"/>
    <w:rsid w:val="13BC2F19"/>
    <w:rsid w:val="13C24A51"/>
    <w:rsid w:val="13C27106"/>
    <w:rsid w:val="13C61B25"/>
    <w:rsid w:val="13C87418"/>
    <w:rsid w:val="13CB5A4F"/>
    <w:rsid w:val="13D34EB0"/>
    <w:rsid w:val="13E1581F"/>
    <w:rsid w:val="13E36DF3"/>
    <w:rsid w:val="13E67903"/>
    <w:rsid w:val="13E90A6D"/>
    <w:rsid w:val="13ED41C3"/>
    <w:rsid w:val="13F90C6C"/>
    <w:rsid w:val="13FC24FE"/>
    <w:rsid w:val="14025795"/>
    <w:rsid w:val="14074EC2"/>
    <w:rsid w:val="140D6614"/>
    <w:rsid w:val="141259D8"/>
    <w:rsid w:val="141352AC"/>
    <w:rsid w:val="141B0512"/>
    <w:rsid w:val="141B4B4A"/>
    <w:rsid w:val="141C15BA"/>
    <w:rsid w:val="141C4AD9"/>
    <w:rsid w:val="142371B3"/>
    <w:rsid w:val="14266409"/>
    <w:rsid w:val="1426657F"/>
    <w:rsid w:val="142E1B4C"/>
    <w:rsid w:val="14333BA3"/>
    <w:rsid w:val="143C1A54"/>
    <w:rsid w:val="14432035"/>
    <w:rsid w:val="144B7979"/>
    <w:rsid w:val="144C07BE"/>
    <w:rsid w:val="145853B5"/>
    <w:rsid w:val="146401FE"/>
    <w:rsid w:val="14681A9C"/>
    <w:rsid w:val="146D0389"/>
    <w:rsid w:val="147072F3"/>
    <w:rsid w:val="147541B9"/>
    <w:rsid w:val="14790014"/>
    <w:rsid w:val="14900FF3"/>
    <w:rsid w:val="14A01A52"/>
    <w:rsid w:val="14A1110B"/>
    <w:rsid w:val="14A12292"/>
    <w:rsid w:val="14A23773"/>
    <w:rsid w:val="14A47E3A"/>
    <w:rsid w:val="14AD74AF"/>
    <w:rsid w:val="14B33686"/>
    <w:rsid w:val="14C811F3"/>
    <w:rsid w:val="14E07884"/>
    <w:rsid w:val="14E8654B"/>
    <w:rsid w:val="14F371D1"/>
    <w:rsid w:val="14FA1F7A"/>
    <w:rsid w:val="1507677D"/>
    <w:rsid w:val="150C0679"/>
    <w:rsid w:val="15145780"/>
    <w:rsid w:val="151B4D60"/>
    <w:rsid w:val="151B4FE5"/>
    <w:rsid w:val="151C7951"/>
    <w:rsid w:val="15202377"/>
    <w:rsid w:val="152F4368"/>
    <w:rsid w:val="1537321C"/>
    <w:rsid w:val="1547075F"/>
    <w:rsid w:val="15490013"/>
    <w:rsid w:val="154B54F4"/>
    <w:rsid w:val="15625D6D"/>
    <w:rsid w:val="15683853"/>
    <w:rsid w:val="156C2EC6"/>
    <w:rsid w:val="15763E24"/>
    <w:rsid w:val="15786558"/>
    <w:rsid w:val="15816315"/>
    <w:rsid w:val="15954377"/>
    <w:rsid w:val="15A85EC8"/>
    <w:rsid w:val="15AC59B8"/>
    <w:rsid w:val="15B30AF5"/>
    <w:rsid w:val="15B31E56"/>
    <w:rsid w:val="15C101BB"/>
    <w:rsid w:val="15C23860"/>
    <w:rsid w:val="15D2790A"/>
    <w:rsid w:val="15D55AB8"/>
    <w:rsid w:val="15D64A32"/>
    <w:rsid w:val="15DA0777"/>
    <w:rsid w:val="15DF4CCA"/>
    <w:rsid w:val="15FB249C"/>
    <w:rsid w:val="15FC6940"/>
    <w:rsid w:val="15FC745D"/>
    <w:rsid w:val="15FF4C81"/>
    <w:rsid w:val="160752E5"/>
    <w:rsid w:val="16104199"/>
    <w:rsid w:val="161135E8"/>
    <w:rsid w:val="1611794F"/>
    <w:rsid w:val="161B07C1"/>
    <w:rsid w:val="1626782C"/>
    <w:rsid w:val="162F2B05"/>
    <w:rsid w:val="16300809"/>
    <w:rsid w:val="16305B73"/>
    <w:rsid w:val="16356C2B"/>
    <w:rsid w:val="163928C8"/>
    <w:rsid w:val="163D0CAC"/>
    <w:rsid w:val="16484336"/>
    <w:rsid w:val="164E5B17"/>
    <w:rsid w:val="165B0734"/>
    <w:rsid w:val="16711380"/>
    <w:rsid w:val="16774218"/>
    <w:rsid w:val="168626AD"/>
    <w:rsid w:val="168B4439"/>
    <w:rsid w:val="168F3D98"/>
    <w:rsid w:val="16A156A8"/>
    <w:rsid w:val="16AB209F"/>
    <w:rsid w:val="16B40FC8"/>
    <w:rsid w:val="16BC1C2B"/>
    <w:rsid w:val="16C14056"/>
    <w:rsid w:val="16DC638E"/>
    <w:rsid w:val="16DE1BA1"/>
    <w:rsid w:val="16E15B36"/>
    <w:rsid w:val="16E64C0C"/>
    <w:rsid w:val="16EA4094"/>
    <w:rsid w:val="16F76FA7"/>
    <w:rsid w:val="1715503C"/>
    <w:rsid w:val="17187796"/>
    <w:rsid w:val="171A491F"/>
    <w:rsid w:val="171F2696"/>
    <w:rsid w:val="172531B7"/>
    <w:rsid w:val="17321EED"/>
    <w:rsid w:val="17331A21"/>
    <w:rsid w:val="173D678F"/>
    <w:rsid w:val="1741191B"/>
    <w:rsid w:val="175E7694"/>
    <w:rsid w:val="17771FF6"/>
    <w:rsid w:val="17795D6E"/>
    <w:rsid w:val="177A1F84"/>
    <w:rsid w:val="177B5642"/>
    <w:rsid w:val="17827409"/>
    <w:rsid w:val="1796247C"/>
    <w:rsid w:val="179F0511"/>
    <w:rsid w:val="17A82343"/>
    <w:rsid w:val="17B112E1"/>
    <w:rsid w:val="17B374D2"/>
    <w:rsid w:val="17BE5592"/>
    <w:rsid w:val="17C57205"/>
    <w:rsid w:val="17C62542"/>
    <w:rsid w:val="17D865E6"/>
    <w:rsid w:val="17DE3128"/>
    <w:rsid w:val="17F66895"/>
    <w:rsid w:val="17FC0389"/>
    <w:rsid w:val="17FC6761"/>
    <w:rsid w:val="17FE7DB3"/>
    <w:rsid w:val="1801216D"/>
    <w:rsid w:val="18047D2E"/>
    <w:rsid w:val="180513B0"/>
    <w:rsid w:val="180E40F1"/>
    <w:rsid w:val="18166709"/>
    <w:rsid w:val="18172C66"/>
    <w:rsid w:val="18194E5B"/>
    <w:rsid w:val="182905D8"/>
    <w:rsid w:val="18316649"/>
    <w:rsid w:val="183832A0"/>
    <w:rsid w:val="184D011E"/>
    <w:rsid w:val="186B1B5B"/>
    <w:rsid w:val="186C580B"/>
    <w:rsid w:val="186E33F9"/>
    <w:rsid w:val="187314B2"/>
    <w:rsid w:val="187C1A94"/>
    <w:rsid w:val="188B5D59"/>
    <w:rsid w:val="1890511D"/>
    <w:rsid w:val="189E49D8"/>
    <w:rsid w:val="18A46E1B"/>
    <w:rsid w:val="18A72D74"/>
    <w:rsid w:val="18A94FC2"/>
    <w:rsid w:val="18B477E9"/>
    <w:rsid w:val="18BD7EDC"/>
    <w:rsid w:val="18BF5F70"/>
    <w:rsid w:val="18C179CD"/>
    <w:rsid w:val="18C214B2"/>
    <w:rsid w:val="18C80D5B"/>
    <w:rsid w:val="18CB43A7"/>
    <w:rsid w:val="18E216F1"/>
    <w:rsid w:val="18E37A9B"/>
    <w:rsid w:val="18E63DB3"/>
    <w:rsid w:val="18E87059"/>
    <w:rsid w:val="18EB5087"/>
    <w:rsid w:val="18EE3F3D"/>
    <w:rsid w:val="18F7519C"/>
    <w:rsid w:val="18F918E8"/>
    <w:rsid w:val="1904675F"/>
    <w:rsid w:val="1908399E"/>
    <w:rsid w:val="190855FC"/>
    <w:rsid w:val="19122485"/>
    <w:rsid w:val="1912647A"/>
    <w:rsid w:val="192A008A"/>
    <w:rsid w:val="193227AD"/>
    <w:rsid w:val="193D6430"/>
    <w:rsid w:val="19400C2A"/>
    <w:rsid w:val="1947532F"/>
    <w:rsid w:val="195F055C"/>
    <w:rsid w:val="19647CC3"/>
    <w:rsid w:val="197F5B9E"/>
    <w:rsid w:val="197F7EC5"/>
    <w:rsid w:val="19891E66"/>
    <w:rsid w:val="198A35AF"/>
    <w:rsid w:val="198B6575"/>
    <w:rsid w:val="199302EE"/>
    <w:rsid w:val="19A22A0D"/>
    <w:rsid w:val="19AC3124"/>
    <w:rsid w:val="19AE070C"/>
    <w:rsid w:val="19C54312"/>
    <w:rsid w:val="19C808E7"/>
    <w:rsid w:val="19C84D8B"/>
    <w:rsid w:val="19E20B4E"/>
    <w:rsid w:val="19E27BFB"/>
    <w:rsid w:val="19EB5BB5"/>
    <w:rsid w:val="19EC6C78"/>
    <w:rsid w:val="19FB0CBC"/>
    <w:rsid w:val="19FB4145"/>
    <w:rsid w:val="19FC2307"/>
    <w:rsid w:val="1A0B3E11"/>
    <w:rsid w:val="1A0C5283"/>
    <w:rsid w:val="1A1738CB"/>
    <w:rsid w:val="1A1B1C48"/>
    <w:rsid w:val="1A257453"/>
    <w:rsid w:val="1A2C70C8"/>
    <w:rsid w:val="1A385A6D"/>
    <w:rsid w:val="1A3E70E5"/>
    <w:rsid w:val="1A587EBD"/>
    <w:rsid w:val="1A5A3C35"/>
    <w:rsid w:val="1A5B175B"/>
    <w:rsid w:val="1A620D3B"/>
    <w:rsid w:val="1A663A97"/>
    <w:rsid w:val="1A6E148E"/>
    <w:rsid w:val="1A706D00"/>
    <w:rsid w:val="1A7C1108"/>
    <w:rsid w:val="1A7D4828"/>
    <w:rsid w:val="1A8011C2"/>
    <w:rsid w:val="1A8C65C3"/>
    <w:rsid w:val="1AB16F39"/>
    <w:rsid w:val="1AB54C17"/>
    <w:rsid w:val="1ABA63AC"/>
    <w:rsid w:val="1AC11F06"/>
    <w:rsid w:val="1AC4277D"/>
    <w:rsid w:val="1AC92B69"/>
    <w:rsid w:val="1AC9700C"/>
    <w:rsid w:val="1ADA7F35"/>
    <w:rsid w:val="1AE2543D"/>
    <w:rsid w:val="1AEC7F85"/>
    <w:rsid w:val="1B097409"/>
    <w:rsid w:val="1B0E3A5A"/>
    <w:rsid w:val="1B102388"/>
    <w:rsid w:val="1B281F85"/>
    <w:rsid w:val="1B2B737F"/>
    <w:rsid w:val="1B682BCD"/>
    <w:rsid w:val="1B705B33"/>
    <w:rsid w:val="1B862F5D"/>
    <w:rsid w:val="1B8D1DE8"/>
    <w:rsid w:val="1B9E3FF5"/>
    <w:rsid w:val="1B9E4FA9"/>
    <w:rsid w:val="1BA15893"/>
    <w:rsid w:val="1BC32313"/>
    <w:rsid w:val="1BC35954"/>
    <w:rsid w:val="1BD45C69"/>
    <w:rsid w:val="1BDE26ED"/>
    <w:rsid w:val="1BDE669C"/>
    <w:rsid w:val="1BE22134"/>
    <w:rsid w:val="1BE8638C"/>
    <w:rsid w:val="1BEE6D2B"/>
    <w:rsid w:val="1BEF2AA3"/>
    <w:rsid w:val="1C063143"/>
    <w:rsid w:val="1C08246D"/>
    <w:rsid w:val="1C091AEB"/>
    <w:rsid w:val="1C0E2F29"/>
    <w:rsid w:val="1C1439A1"/>
    <w:rsid w:val="1C265D6E"/>
    <w:rsid w:val="1C4306F9"/>
    <w:rsid w:val="1C4D51C6"/>
    <w:rsid w:val="1C4F3541"/>
    <w:rsid w:val="1C5446B4"/>
    <w:rsid w:val="1C552C16"/>
    <w:rsid w:val="1C5C3790"/>
    <w:rsid w:val="1C673348"/>
    <w:rsid w:val="1C6A4B7B"/>
    <w:rsid w:val="1C744D56"/>
    <w:rsid w:val="1C782A98"/>
    <w:rsid w:val="1C7B4C46"/>
    <w:rsid w:val="1C7F5C84"/>
    <w:rsid w:val="1C8651B5"/>
    <w:rsid w:val="1C8E5E18"/>
    <w:rsid w:val="1C9141C4"/>
    <w:rsid w:val="1C971F0A"/>
    <w:rsid w:val="1CB3762C"/>
    <w:rsid w:val="1CB75831"/>
    <w:rsid w:val="1CBF06C7"/>
    <w:rsid w:val="1CC46A38"/>
    <w:rsid w:val="1CD5383D"/>
    <w:rsid w:val="1CDD6D9F"/>
    <w:rsid w:val="1CE7177B"/>
    <w:rsid w:val="1CE819CC"/>
    <w:rsid w:val="1CE81F3E"/>
    <w:rsid w:val="1CE928AA"/>
    <w:rsid w:val="1CEA414D"/>
    <w:rsid w:val="1CF708BC"/>
    <w:rsid w:val="1D2147FC"/>
    <w:rsid w:val="1D216C8C"/>
    <w:rsid w:val="1D230953"/>
    <w:rsid w:val="1D240D7B"/>
    <w:rsid w:val="1D266CE1"/>
    <w:rsid w:val="1D28001A"/>
    <w:rsid w:val="1D2D6F56"/>
    <w:rsid w:val="1D3C0B44"/>
    <w:rsid w:val="1D3F7112"/>
    <w:rsid w:val="1D4D7A81"/>
    <w:rsid w:val="1D515296"/>
    <w:rsid w:val="1D575233"/>
    <w:rsid w:val="1D600940"/>
    <w:rsid w:val="1D6C4F21"/>
    <w:rsid w:val="1D70551D"/>
    <w:rsid w:val="1D71005A"/>
    <w:rsid w:val="1D7B2840"/>
    <w:rsid w:val="1D874F90"/>
    <w:rsid w:val="1D9950DF"/>
    <w:rsid w:val="1D9B6A3E"/>
    <w:rsid w:val="1D9F56AF"/>
    <w:rsid w:val="1DA530EA"/>
    <w:rsid w:val="1DA6450C"/>
    <w:rsid w:val="1DA90A2F"/>
    <w:rsid w:val="1DB01DBE"/>
    <w:rsid w:val="1DBA2502"/>
    <w:rsid w:val="1DBB1753"/>
    <w:rsid w:val="1DC37E53"/>
    <w:rsid w:val="1DCB37B2"/>
    <w:rsid w:val="1DCF0496"/>
    <w:rsid w:val="1DEE6320"/>
    <w:rsid w:val="1E032872"/>
    <w:rsid w:val="1E034EC6"/>
    <w:rsid w:val="1E0C3498"/>
    <w:rsid w:val="1E141EBA"/>
    <w:rsid w:val="1E332637"/>
    <w:rsid w:val="1E430E84"/>
    <w:rsid w:val="1E4E7F86"/>
    <w:rsid w:val="1E5956F3"/>
    <w:rsid w:val="1E5D2BA3"/>
    <w:rsid w:val="1E69422B"/>
    <w:rsid w:val="1E6A156B"/>
    <w:rsid w:val="1E6A69C7"/>
    <w:rsid w:val="1E6C2189"/>
    <w:rsid w:val="1E6E5F01"/>
    <w:rsid w:val="1E706E22"/>
    <w:rsid w:val="1E766994"/>
    <w:rsid w:val="1E864EB8"/>
    <w:rsid w:val="1E911BEF"/>
    <w:rsid w:val="1E97608B"/>
    <w:rsid w:val="1EA27C15"/>
    <w:rsid w:val="1EA43394"/>
    <w:rsid w:val="1EA4459B"/>
    <w:rsid w:val="1EAC2725"/>
    <w:rsid w:val="1EB2396E"/>
    <w:rsid w:val="1EB270E5"/>
    <w:rsid w:val="1EB35B42"/>
    <w:rsid w:val="1EC77C79"/>
    <w:rsid w:val="1ED642F1"/>
    <w:rsid w:val="1ED815CC"/>
    <w:rsid w:val="1EDF63A7"/>
    <w:rsid w:val="1EE15B4A"/>
    <w:rsid w:val="1EF26B32"/>
    <w:rsid w:val="1F0C5C88"/>
    <w:rsid w:val="1F155A65"/>
    <w:rsid w:val="1F175742"/>
    <w:rsid w:val="1F1D3483"/>
    <w:rsid w:val="1F265E26"/>
    <w:rsid w:val="1F2962CC"/>
    <w:rsid w:val="1F332585"/>
    <w:rsid w:val="1F356A1F"/>
    <w:rsid w:val="1F4A38AF"/>
    <w:rsid w:val="1F5548E2"/>
    <w:rsid w:val="1F645984"/>
    <w:rsid w:val="1F686DF4"/>
    <w:rsid w:val="1F822AED"/>
    <w:rsid w:val="1F9A4AD4"/>
    <w:rsid w:val="1F9E393C"/>
    <w:rsid w:val="1FAF5293"/>
    <w:rsid w:val="1FB6553C"/>
    <w:rsid w:val="1FB73848"/>
    <w:rsid w:val="1FB84AE9"/>
    <w:rsid w:val="1FB86721"/>
    <w:rsid w:val="1FB9474C"/>
    <w:rsid w:val="1FC228E2"/>
    <w:rsid w:val="1FC3227C"/>
    <w:rsid w:val="1FC61926"/>
    <w:rsid w:val="1FDC564F"/>
    <w:rsid w:val="1FF014ED"/>
    <w:rsid w:val="1FF02946"/>
    <w:rsid w:val="1FF121C1"/>
    <w:rsid w:val="1FFA67AB"/>
    <w:rsid w:val="20011CD8"/>
    <w:rsid w:val="20014FB8"/>
    <w:rsid w:val="200A2344"/>
    <w:rsid w:val="20153E3B"/>
    <w:rsid w:val="201605FE"/>
    <w:rsid w:val="20230728"/>
    <w:rsid w:val="202F4EE9"/>
    <w:rsid w:val="203A3726"/>
    <w:rsid w:val="204333BD"/>
    <w:rsid w:val="2043516B"/>
    <w:rsid w:val="20444AB7"/>
    <w:rsid w:val="20570E92"/>
    <w:rsid w:val="205A4C71"/>
    <w:rsid w:val="20664BB5"/>
    <w:rsid w:val="20670087"/>
    <w:rsid w:val="20692E24"/>
    <w:rsid w:val="206A26F8"/>
    <w:rsid w:val="206D3F96"/>
    <w:rsid w:val="2072234B"/>
    <w:rsid w:val="20765541"/>
    <w:rsid w:val="208732AA"/>
    <w:rsid w:val="208946E4"/>
    <w:rsid w:val="20A00118"/>
    <w:rsid w:val="20A7394C"/>
    <w:rsid w:val="20A9455B"/>
    <w:rsid w:val="20AD0760"/>
    <w:rsid w:val="20AD6325"/>
    <w:rsid w:val="20B0213D"/>
    <w:rsid w:val="20B045CF"/>
    <w:rsid w:val="20BC1BF3"/>
    <w:rsid w:val="20C20B07"/>
    <w:rsid w:val="20C95363"/>
    <w:rsid w:val="20CD4C3D"/>
    <w:rsid w:val="20D65FDF"/>
    <w:rsid w:val="20E71F9A"/>
    <w:rsid w:val="20E95D13"/>
    <w:rsid w:val="210046F0"/>
    <w:rsid w:val="21162880"/>
    <w:rsid w:val="211B39F2"/>
    <w:rsid w:val="211D59BC"/>
    <w:rsid w:val="21354B49"/>
    <w:rsid w:val="213A47C0"/>
    <w:rsid w:val="213D2CB5"/>
    <w:rsid w:val="214E314D"/>
    <w:rsid w:val="21685A79"/>
    <w:rsid w:val="216C2D42"/>
    <w:rsid w:val="217367FB"/>
    <w:rsid w:val="21771570"/>
    <w:rsid w:val="2189080C"/>
    <w:rsid w:val="218C0D19"/>
    <w:rsid w:val="218E2416"/>
    <w:rsid w:val="219C0FD7"/>
    <w:rsid w:val="21A02012"/>
    <w:rsid w:val="21A2432F"/>
    <w:rsid w:val="21AC399A"/>
    <w:rsid w:val="21B420FA"/>
    <w:rsid w:val="21B47199"/>
    <w:rsid w:val="21BC1951"/>
    <w:rsid w:val="21DE15EF"/>
    <w:rsid w:val="21E453BF"/>
    <w:rsid w:val="21E62252"/>
    <w:rsid w:val="21FA517E"/>
    <w:rsid w:val="220A4192"/>
    <w:rsid w:val="220B3240"/>
    <w:rsid w:val="22196458"/>
    <w:rsid w:val="221A4197"/>
    <w:rsid w:val="221C0B1E"/>
    <w:rsid w:val="2221328A"/>
    <w:rsid w:val="22226F8F"/>
    <w:rsid w:val="22252D7A"/>
    <w:rsid w:val="2228094B"/>
    <w:rsid w:val="22284619"/>
    <w:rsid w:val="223E208E"/>
    <w:rsid w:val="224539EC"/>
    <w:rsid w:val="22456F79"/>
    <w:rsid w:val="22500909"/>
    <w:rsid w:val="22511DC1"/>
    <w:rsid w:val="225F1EAA"/>
    <w:rsid w:val="22662F47"/>
    <w:rsid w:val="22670877"/>
    <w:rsid w:val="2274785E"/>
    <w:rsid w:val="227B6E3E"/>
    <w:rsid w:val="228003FA"/>
    <w:rsid w:val="22857CBD"/>
    <w:rsid w:val="22997345"/>
    <w:rsid w:val="22A10409"/>
    <w:rsid w:val="22A35542"/>
    <w:rsid w:val="22AB5A93"/>
    <w:rsid w:val="22B673C3"/>
    <w:rsid w:val="22BC1924"/>
    <w:rsid w:val="22BC4178"/>
    <w:rsid w:val="22C06C83"/>
    <w:rsid w:val="22CA3922"/>
    <w:rsid w:val="22CD031D"/>
    <w:rsid w:val="22D47F9E"/>
    <w:rsid w:val="22E0715A"/>
    <w:rsid w:val="22E6151B"/>
    <w:rsid w:val="22E87098"/>
    <w:rsid w:val="22EB3FC4"/>
    <w:rsid w:val="22F17100"/>
    <w:rsid w:val="22F523A8"/>
    <w:rsid w:val="22F67252"/>
    <w:rsid w:val="22FB3ADB"/>
    <w:rsid w:val="230279FC"/>
    <w:rsid w:val="230307BE"/>
    <w:rsid w:val="230C641C"/>
    <w:rsid w:val="23112E46"/>
    <w:rsid w:val="23134566"/>
    <w:rsid w:val="23365EEC"/>
    <w:rsid w:val="2337002B"/>
    <w:rsid w:val="23411E36"/>
    <w:rsid w:val="234838C5"/>
    <w:rsid w:val="23496B54"/>
    <w:rsid w:val="234A27A9"/>
    <w:rsid w:val="235A0062"/>
    <w:rsid w:val="237309E2"/>
    <w:rsid w:val="23740029"/>
    <w:rsid w:val="2378419A"/>
    <w:rsid w:val="238144E9"/>
    <w:rsid w:val="238735C1"/>
    <w:rsid w:val="23887A65"/>
    <w:rsid w:val="23910AF4"/>
    <w:rsid w:val="23970AF1"/>
    <w:rsid w:val="23A70D9F"/>
    <w:rsid w:val="23AE1967"/>
    <w:rsid w:val="23AE55BC"/>
    <w:rsid w:val="23AE6D9F"/>
    <w:rsid w:val="23B96810"/>
    <w:rsid w:val="23BF2D5B"/>
    <w:rsid w:val="23C8047F"/>
    <w:rsid w:val="23E80C03"/>
    <w:rsid w:val="23EA75BA"/>
    <w:rsid w:val="23F00788"/>
    <w:rsid w:val="23FB383B"/>
    <w:rsid w:val="23FC3FAF"/>
    <w:rsid w:val="23FC6357"/>
    <w:rsid w:val="240B516E"/>
    <w:rsid w:val="240E2054"/>
    <w:rsid w:val="24170DE9"/>
    <w:rsid w:val="24174945"/>
    <w:rsid w:val="241C01AD"/>
    <w:rsid w:val="241E2177"/>
    <w:rsid w:val="24204F80"/>
    <w:rsid w:val="2422033C"/>
    <w:rsid w:val="24247CDF"/>
    <w:rsid w:val="242F29EC"/>
    <w:rsid w:val="24337CEA"/>
    <w:rsid w:val="243709D0"/>
    <w:rsid w:val="24371BE3"/>
    <w:rsid w:val="243C570C"/>
    <w:rsid w:val="2446347C"/>
    <w:rsid w:val="24521E21"/>
    <w:rsid w:val="2453076C"/>
    <w:rsid w:val="24586344"/>
    <w:rsid w:val="24596A53"/>
    <w:rsid w:val="246C3D73"/>
    <w:rsid w:val="247955FF"/>
    <w:rsid w:val="248874F6"/>
    <w:rsid w:val="248928A7"/>
    <w:rsid w:val="248D2E59"/>
    <w:rsid w:val="24914E6C"/>
    <w:rsid w:val="24A434A4"/>
    <w:rsid w:val="24A576F6"/>
    <w:rsid w:val="24AC4A8D"/>
    <w:rsid w:val="24AD7520"/>
    <w:rsid w:val="24B27153"/>
    <w:rsid w:val="24B93C4E"/>
    <w:rsid w:val="24BA35E1"/>
    <w:rsid w:val="24C9288E"/>
    <w:rsid w:val="24CC0ED1"/>
    <w:rsid w:val="24D64800"/>
    <w:rsid w:val="24F7089A"/>
    <w:rsid w:val="24FB4266"/>
    <w:rsid w:val="25016B56"/>
    <w:rsid w:val="250F1AC0"/>
    <w:rsid w:val="251357C2"/>
    <w:rsid w:val="2516749D"/>
    <w:rsid w:val="252178FB"/>
    <w:rsid w:val="25361CEB"/>
    <w:rsid w:val="2536608E"/>
    <w:rsid w:val="25367B4F"/>
    <w:rsid w:val="25383FDE"/>
    <w:rsid w:val="253A0094"/>
    <w:rsid w:val="25461985"/>
    <w:rsid w:val="254E51C2"/>
    <w:rsid w:val="25520365"/>
    <w:rsid w:val="25537BFE"/>
    <w:rsid w:val="25595DD2"/>
    <w:rsid w:val="255D0A7D"/>
    <w:rsid w:val="255D6244"/>
    <w:rsid w:val="256A1810"/>
    <w:rsid w:val="25755DC7"/>
    <w:rsid w:val="25787587"/>
    <w:rsid w:val="257C0D0D"/>
    <w:rsid w:val="25871A48"/>
    <w:rsid w:val="258B316A"/>
    <w:rsid w:val="25927C97"/>
    <w:rsid w:val="259422EC"/>
    <w:rsid w:val="259D70CC"/>
    <w:rsid w:val="25A71CF8"/>
    <w:rsid w:val="25B20113"/>
    <w:rsid w:val="25B83F05"/>
    <w:rsid w:val="25B92750"/>
    <w:rsid w:val="25C64874"/>
    <w:rsid w:val="25C96113"/>
    <w:rsid w:val="25D1132C"/>
    <w:rsid w:val="25E1520A"/>
    <w:rsid w:val="25E76599"/>
    <w:rsid w:val="25EF7E2C"/>
    <w:rsid w:val="26011403"/>
    <w:rsid w:val="26013AFE"/>
    <w:rsid w:val="260300D8"/>
    <w:rsid w:val="260809E9"/>
    <w:rsid w:val="2609556E"/>
    <w:rsid w:val="261E645E"/>
    <w:rsid w:val="26231EE4"/>
    <w:rsid w:val="26275BC8"/>
    <w:rsid w:val="262F4DF6"/>
    <w:rsid w:val="26372EFE"/>
    <w:rsid w:val="2638282D"/>
    <w:rsid w:val="263C5C9B"/>
    <w:rsid w:val="264049A3"/>
    <w:rsid w:val="264D28A0"/>
    <w:rsid w:val="264E7968"/>
    <w:rsid w:val="265359DC"/>
    <w:rsid w:val="265D00EF"/>
    <w:rsid w:val="26606A77"/>
    <w:rsid w:val="266939AC"/>
    <w:rsid w:val="267023A5"/>
    <w:rsid w:val="26811FF9"/>
    <w:rsid w:val="2681373E"/>
    <w:rsid w:val="268D0EEE"/>
    <w:rsid w:val="26A37EBE"/>
    <w:rsid w:val="26A85D28"/>
    <w:rsid w:val="26A94D1C"/>
    <w:rsid w:val="26AC3A6A"/>
    <w:rsid w:val="26AF5308"/>
    <w:rsid w:val="26BC17D3"/>
    <w:rsid w:val="26C11B78"/>
    <w:rsid w:val="26CA3EF0"/>
    <w:rsid w:val="26D07107"/>
    <w:rsid w:val="26D44D6F"/>
    <w:rsid w:val="26D95740"/>
    <w:rsid w:val="26E0225A"/>
    <w:rsid w:val="26E34FB2"/>
    <w:rsid w:val="26E5365D"/>
    <w:rsid w:val="26E776E2"/>
    <w:rsid w:val="26E87AAB"/>
    <w:rsid w:val="26F5603A"/>
    <w:rsid w:val="26FC6074"/>
    <w:rsid w:val="27035654"/>
    <w:rsid w:val="27135B8A"/>
    <w:rsid w:val="271C503E"/>
    <w:rsid w:val="273115CE"/>
    <w:rsid w:val="27363334"/>
    <w:rsid w:val="27395FB0"/>
    <w:rsid w:val="273C41FB"/>
    <w:rsid w:val="273E668C"/>
    <w:rsid w:val="2743281C"/>
    <w:rsid w:val="274A3283"/>
    <w:rsid w:val="274E2D73"/>
    <w:rsid w:val="27554102"/>
    <w:rsid w:val="2758774E"/>
    <w:rsid w:val="276A59DB"/>
    <w:rsid w:val="276D1533"/>
    <w:rsid w:val="2774263A"/>
    <w:rsid w:val="277976C4"/>
    <w:rsid w:val="277D2A84"/>
    <w:rsid w:val="27813DF2"/>
    <w:rsid w:val="278542BB"/>
    <w:rsid w:val="278F0C96"/>
    <w:rsid w:val="2793532D"/>
    <w:rsid w:val="279938C3"/>
    <w:rsid w:val="279F712B"/>
    <w:rsid w:val="27A04C51"/>
    <w:rsid w:val="27B16E5E"/>
    <w:rsid w:val="27B96E2D"/>
    <w:rsid w:val="27BD61DB"/>
    <w:rsid w:val="27D042B1"/>
    <w:rsid w:val="27DD40F7"/>
    <w:rsid w:val="27DF1C1D"/>
    <w:rsid w:val="27E51549"/>
    <w:rsid w:val="27E64D5A"/>
    <w:rsid w:val="27EB2370"/>
    <w:rsid w:val="27F14303"/>
    <w:rsid w:val="28040181"/>
    <w:rsid w:val="280B47C0"/>
    <w:rsid w:val="280C14B0"/>
    <w:rsid w:val="28123DA1"/>
    <w:rsid w:val="281A140C"/>
    <w:rsid w:val="281C5945"/>
    <w:rsid w:val="28357A8F"/>
    <w:rsid w:val="28380077"/>
    <w:rsid w:val="283F3EF8"/>
    <w:rsid w:val="284D4FC9"/>
    <w:rsid w:val="28561BB3"/>
    <w:rsid w:val="285B4D68"/>
    <w:rsid w:val="285F07E7"/>
    <w:rsid w:val="286E03F0"/>
    <w:rsid w:val="2874236C"/>
    <w:rsid w:val="28840A64"/>
    <w:rsid w:val="2885713F"/>
    <w:rsid w:val="28886E42"/>
    <w:rsid w:val="28924EE2"/>
    <w:rsid w:val="28932968"/>
    <w:rsid w:val="289B3992"/>
    <w:rsid w:val="28AE2CB1"/>
    <w:rsid w:val="28B01D1E"/>
    <w:rsid w:val="28CC046D"/>
    <w:rsid w:val="28CD0EBE"/>
    <w:rsid w:val="28CF12D3"/>
    <w:rsid w:val="28D063E6"/>
    <w:rsid w:val="28D3353C"/>
    <w:rsid w:val="28D41056"/>
    <w:rsid w:val="28D8189E"/>
    <w:rsid w:val="28E07756"/>
    <w:rsid w:val="28E13773"/>
    <w:rsid w:val="28E219C5"/>
    <w:rsid w:val="28E34061"/>
    <w:rsid w:val="28E72C2A"/>
    <w:rsid w:val="28EE6C49"/>
    <w:rsid w:val="28F21B50"/>
    <w:rsid w:val="28FD0644"/>
    <w:rsid w:val="29095FDB"/>
    <w:rsid w:val="290C0ECC"/>
    <w:rsid w:val="29100A59"/>
    <w:rsid w:val="29285664"/>
    <w:rsid w:val="29336C7B"/>
    <w:rsid w:val="294837F2"/>
    <w:rsid w:val="294855A0"/>
    <w:rsid w:val="294C6E3F"/>
    <w:rsid w:val="294E7D61"/>
    <w:rsid w:val="29504368"/>
    <w:rsid w:val="295E6B72"/>
    <w:rsid w:val="2968067B"/>
    <w:rsid w:val="297445E7"/>
    <w:rsid w:val="2976035F"/>
    <w:rsid w:val="297B6502"/>
    <w:rsid w:val="2996418B"/>
    <w:rsid w:val="299E2475"/>
    <w:rsid w:val="29A0718A"/>
    <w:rsid w:val="29A35A97"/>
    <w:rsid w:val="29A91424"/>
    <w:rsid w:val="29AA6AD0"/>
    <w:rsid w:val="29B1237D"/>
    <w:rsid w:val="29B12812"/>
    <w:rsid w:val="29C038EA"/>
    <w:rsid w:val="29C844EA"/>
    <w:rsid w:val="29CA2459"/>
    <w:rsid w:val="29CE29B6"/>
    <w:rsid w:val="29CF181E"/>
    <w:rsid w:val="29D642D3"/>
    <w:rsid w:val="29DB1EC8"/>
    <w:rsid w:val="29DC7A60"/>
    <w:rsid w:val="29E911FA"/>
    <w:rsid w:val="29F261F8"/>
    <w:rsid w:val="29F94EE0"/>
    <w:rsid w:val="2A0140CD"/>
    <w:rsid w:val="2A036EA3"/>
    <w:rsid w:val="2A0B4F4C"/>
    <w:rsid w:val="2A0F44DF"/>
    <w:rsid w:val="2A110088"/>
    <w:rsid w:val="2A1775D5"/>
    <w:rsid w:val="2A24680D"/>
    <w:rsid w:val="2A257690"/>
    <w:rsid w:val="2A353B5D"/>
    <w:rsid w:val="2A3668BB"/>
    <w:rsid w:val="2A5646CE"/>
    <w:rsid w:val="2A5A03AF"/>
    <w:rsid w:val="2A726D79"/>
    <w:rsid w:val="2A7A3E7F"/>
    <w:rsid w:val="2A8226EF"/>
    <w:rsid w:val="2A905451"/>
    <w:rsid w:val="2A93249D"/>
    <w:rsid w:val="2A952A67"/>
    <w:rsid w:val="2A993A90"/>
    <w:rsid w:val="2AA8279A"/>
    <w:rsid w:val="2AAB0E28"/>
    <w:rsid w:val="2AAD3875"/>
    <w:rsid w:val="2AC54F59"/>
    <w:rsid w:val="2AD36CCD"/>
    <w:rsid w:val="2AD56625"/>
    <w:rsid w:val="2ADA1CC1"/>
    <w:rsid w:val="2AE349E3"/>
    <w:rsid w:val="2AE763AF"/>
    <w:rsid w:val="2AEB319C"/>
    <w:rsid w:val="2AF64610"/>
    <w:rsid w:val="2AF849C9"/>
    <w:rsid w:val="2AFA2FBD"/>
    <w:rsid w:val="2B035C23"/>
    <w:rsid w:val="2B050629"/>
    <w:rsid w:val="2B0A300F"/>
    <w:rsid w:val="2B0A6FB1"/>
    <w:rsid w:val="2B0E48C6"/>
    <w:rsid w:val="2B0F281A"/>
    <w:rsid w:val="2B133692"/>
    <w:rsid w:val="2B1A4D1A"/>
    <w:rsid w:val="2B1D3303"/>
    <w:rsid w:val="2B22254D"/>
    <w:rsid w:val="2B33475A"/>
    <w:rsid w:val="2B38685C"/>
    <w:rsid w:val="2B4104F9"/>
    <w:rsid w:val="2B4C5D4E"/>
    <w:rsid w:val="2B5947B7"/>
    <w:rsid w:val="2B6A6973"/>
    <w:rsid w:val="2B6D1DE2"/>
    <w:rsid w:val="2B747632"/>
    <w:rsid w:val="2B762332"/>
    <w:rsid w:val="2B767DFD"/>
    <w:rsid w:val="2B850CDF"/>
    <w:rsid w:val="2B9D6DFB"/>
    <w:rsid w:val="2BA07916"/>
    <w:rsid w:val="2BAC0068"/>
    <w:rsid w:val="2BB13B9D"/>
    <w:rsid w:val="2BB84C5F"/>
    <w:rsid w:val="2BBA09D7"/>
    <w:rsid w:val="2BBB7009"/>
    <w:rsid w:val="2BC471C9"/>
    <w:rsid w:val="2BC5112A"/>
    <w:rsid w:val="2BC55A49"/>
    <w:rsid w:val="2BC61925"/>
    <w:rsid w:val="2BC74169"/>
    <w:rsid w:val="2BCA4992"/>
    <w:rsid w:val="2BCE0BE6"/>
    <w:rsid w:val="2BD86BF6"/>
    <w:rsid w:val="2BE02A8B"/>
    <w:rsid w:val="2BE34074"/>
    <w:rsid w:val="2BE541AA"/>
    <w:rsid w:val="2BE75544"/>
    <w:rsid w:val="2BE87746"/>
    <w:rsid w:val="2BFA427D"/>
    <w:rsid w:val="2BFD2672"/>
    <w:rsid w:val="2C007719"/>
    <w:rsid w:val="2C0A3AF2"/>
    <w:rsid w:val="2C0C4FAB"/>
    <w:rsid w:val="2C0E47C8"/>
    <w:rsid w:val="2C2359F0"/>
    <w:rsid w:val="2C267E1B"/>
    <w:rsid w:val="2C380B9F"/>
    <w:rsid w:val="2C42755D"/>
    <w:rsid w:val="2C471B3F"/>
    <w:rsid w:val="2C533594"/>
    <w:rsid w:val="2C603BD8"/>
    <w:rsid w:val="2C622E1D"/>
    <w:rsid w:val="2C644D88"/>
    <w:rsid w:val="2C654085"/>
    <w:rsid w:val="2C7768C8"/>
    <w:rsid w:val="2C7F6DF9"/>
    <w:rsid w:val="2C815051"/>
    <w:rsid w:val="2C86067D"/>
    <w:rsid w:val="2C952726"/>
    <w:rsid w:val="2C96110E"/>
    <w:rsid w:val="2C9A4365"/>
    <w:rsid w:val="2CA13D0C"/>
    <w:rsid w:val="2CB07BB9"/>
    <w:rsid w:val="2CB861C0"/>
    <w:rsid w:val="2CBD05B8"/>
    <w:rsid w:val="2CCD64E8"/>
    <w:rsid w:val="2CD810FA"/>
    <w:rsid w:val="2CDE6947"/>
    <w:rsid w:val="2CDF7FCA"/>
    <w:rsid w:val="2CE52C66"/>
    <w:rsid w:val="2CEF2A35"/>
    <w:rsid w:val="2CEF5D63"/>
    <w:rsid w:val="2CF91663"/>
    <w:rsid w:val="2CFE2EA8"/>
    <w:rsid w:val="2D07478F"/>
    <w:rsid w:val="2D0839C4"/>
    <w:rsid w:val="2D0A3299"/>
    <w:rsid w:val="2D1934DC"/>
    <w:rsid w:val="2D1C41B4"/>
    <w:rsid w:val="2D225BF1"/>
    <w:rsid w:val="2D2779FE"/>
    <w:rsid w:val="2D2C2444"/>
    <w:rsid w:val="2D355E3C"/>
    <w:rsid w:val="2D371BB4"/>
    <w:rsid w:val="2D376058"/>
    <w:rsid w:val="2D40614A"/>
    <w:rsid w:val="2D485B6F"/>
    <w:rsid w:val="2D55028C"/>
    <w:rsid w:val="2D611200"/>
    <w:rsid w:val="2D706956"/>
    <w:rsid w:val="2D7746A6"/>
    <w:rsid w:val="2D77635D"/>
    <w:rsid w:val="2D7A2D69"/>
    <w:rsid w:val="2D7C1CBB"/>
    <w:rsid w:val="2D7C5003"/>
    <w:rsid w:val="2D8D0921"/>
    <w:rsid w:val="2D8E5A2D"/>
    <w:rsid w:val="2D911BFA"/>
    <w:rsid w:val="2D941F96"/>
    <w:rsid w:val="2D962D7E"/>
    <w:rsid w:val="2D99484C"/>
    <w:rsid w:val="2D9F3E31"/>
    <w:rsid w:val="2DAE61AC"/>
    <w:rsid w:val="2DB0596C"/>
    <w:rsid w:val="2DB142AE"/>
    <w:rsid w:val="2DB256DE"/>
    <w:rsid w:val="2DBA7818"/>
    <w:rsid w:val="2DC4288F"/>
    <w:rsid w:val="2DC45B3D"/>
    <w:rsid w:val="2DC518B5"/>
    <w:rsid w:val="2DD13DB6"/>
    <w:rsid w:val="2DD37B88"/>
    <w:rsid w:val="2DE41D3C"/>
    <w:rsid w:val="2DF46F6B"/>
    <w:rsid w:val="2DFE26D1"/>
    <w:rsid w:val="2DFFF24F"/>
    <w:rsid w:val="2E100FD0"/>
    <w:rsid w:val="2E2935E7"/>
    <w:rsid w:val="2E2C742A"/>
    <w:rsid w:val="2E342663"/>
    <w:rsid w:val="2E382087"/>
    <w:rsid w:val="2E426A62"/>
    <w:rsid w:val="2E443F0F"/>
    <w:rsid w:val="2E4B6929"/>
    <w:rsid w:val="2E4E445D"/>
    <w:rsid w:val="2E5B25DF"/>
    <w:rsid w:val="2E60513A"/>
    <w:rsid w:val="2E614B81"/>
    <w:rsid w:val="2E6828E8"/>
    <w:rsid w:val="2E701821"/>
    <w:rsid w:val="2E797A74"/>
    <w:rsid w:val="2E884DBD"/>
    <w:rsid w:val="2E8C7362"/>
    <w:rsid w:val="2E9030BA"/>
    <w:rsid w:val="2E953458"/>
    <w:rsid w:val="2E954277"/>
    <w:rsid w:val="2EA16A78"/>
    <w:rsid w:val="2EA36092"/>
    <w:rsid w:val="2EAC38FA"/>
    <w:rsid w:val="2EC617EE"/>
    <w:rsid w:val="2EC97183"/>
    <w:rsid w:val="2ECB4CA9"/>
    <w:rsid w:val="2EE94BA5"/>
    <w:rsid w:val="2EEC5542"/>
    <w:rsid w:val="2EED10C4"/>
    <w:rsid w:val="2EEE5640"/>
    <w:rsid w:val="2EFF6701"/>
    <w:rsid w:val="2F063F34"/>
    <w:rsid w:val="2F10090E"/>
    <w:rsid w:val="2F13458E"/>
    <w:rsid w:val="2F320885"/>
    <w:rsid w:val="2F37233F"/>
    <w:rsid w:val="2F4A14FC"/>
    <w:rsid w:val="2F4B5DEA"/>
    <w:rsid w:val="2F4E33AD"/>
    <w:rsid w:val="2F594063"/>
    <w:rsid w:val="2F5A3D7C"/>
    <w:rsid w:val="2F611A30"/>
    <w:rsid w:val="2F643FA7"/>
    <w:rsid w:val="2F6A296E"/>
    <w:rsid w:val="2F71464E"/>
    <w:rsid w:val="2F740E9D"/>
    <w:rsid w:val="2F801270"/>
    <w:rsid w:val="2F8D29E4"/>
    <w:rsid w:val="2F915F48"/>
    <w:rsid w:val="2F94153F"/>
    <w:rsid w:val="2F96406E"/>
    <w:rsid w:val="2F9C46C0"/>
    <w:rsid w:val="2FAD2601"/>
    <w:rsid w:val="2FB00FD4"/>
    <w:rsid w:val="2FB20D06"/>
    <w:rsid w:val="2FB27C17"/>
    <w:rsid w:val="2FC31E25"/>
    <w:rsid w:val="2FC8743B"/>
    <w:rsid w:val="2FC905A1"/>
    <w:rsid w:val="2FD63906"/>
    <w:rsid w:val="2FE63DAE"/>
    <w:rsid w:val="2FF14922"/>
    <w:rsid w:val="2FFC00DB"/>
    <w:rsid w:val="30027430"/>
    <w:rsid w:val="300B7A46"/>
    <w:rsid w:val="3013464F"/>
    <w:rsid w:val="301408D6"/>
    <w:rsid w:val="301663F8"/>
    <w:rsid w:val="302E54F0"/>
    <w:rsid w:val="30345C25"/>
    <w:rsid w:val="30400E88"/>
    <w:rsid w:val="30455DB9"/>
    <w:rsid w:val="30491450"/>
    <w:rsid w:val="304F5466"/>
    <w:rsid w:val="3050190A"/>
    <w:rsid w:val="305B097F"/>
    <w:rsid w:val="30631241"/>
    <w:rsid w:val="3069477A"/>
    <w:rsid w:val="30705B08"/>
    <w:rsid w:val="3071700A"/>
    <w:rsid w:val="307A6987"/>
    <w:rsid w:val="30823A8E"/>
    <w:rsid w:val="308B2942"/>
    <w:rsid w:val="308D6A34"/>
    <w:rsid w:val="30963095"/>
    <w:rsid w:val="30973FD8"/>
    <w:rsid w:val="309C770C"/>
    <w:rsid w:val="30A633C1"/>
    <w:rsid w:val="30AE03DF"/>
    <w:rsid w:val="30B949D2"/>
    <w:rsid w:val="30BF758E"/>
    <w:rsid w:val="30C510F6"/>
    <w:rsid w:val="30C64EDF"/>
    <w:rsid w:val="30D22A50"/>
    <w:rsid w:val="30D3603E"/>
    <w:rsid w:val="30DE22B8"/>
    <w:rsid w:val="30EE4C7F"/>
    <w:rsid w:val="30EF4741"/>
    <w:rsid w:val="30F32296"/>
    <w:rsid w:val="30F728FA"/>
    <w:rsid w:val="30F83409"/>
    <w:rsid w:val="30FD4EC2"/>
    <w:rsid w:val="30FF626A"/>
    <w:rsid w:val="310060F6"/>
    <w:rsid w:val="3108055A"/>
    <w:rsid w:val="31125A07"/>
    <w:rsid w:val="31164F5F"/>
    <w:rsid w:val="31170416"/>
    <w:rsid w:val="31181CFC"/>
    <w:rsid w:val="311C6851"/>
    <w:rsid w:val="31215055"/>
    <w:rsid w:val="312608BD"/>
    <w:rsid w:val="31282169"/>
    <w:rsid w:val="313B071C"/>
    <w:rsid w:val="313B63C8"/>
    <w:rsid w:val="31480833"/>
    <w:rsid w:val="314851F1"/>
    <w:rsid w:val="314A1092"/>
    <w:rsid w:val="314C5EAA"/>
    <w:rsid w:val="31533692"/>
    <w:rsid w:val="31666F0B"/>
    <w:rsid w:val="316867E0"/>
    <w:rsid w:val="316D35E7"/>
    <w:rsid w:val="316F09FB"/>
    <w:rsid w:val="31833619"/>
    <w:rsid w:val="318665B1"/>
    <w:rsid w:val="318F0210"/>
    <w:rsid w:val="31921AAF"/>
    <w:rsid w:val="3195630C"/>
    <w:rsid w:val="319677F1"/>
    <w:rsid w:val="31977EAA"/>
    <w:rsid w:val="319C62A7"/>
    <w:rsid w:val="31A0509F"/>
    <w:rsid w:val="31A1493D"/>
    <w:rsid w:val="31A664BD"/>
    <w:rsid w:val="31A87A89"/>
    <w:rsid w:val="31B1601B"/>
    <w:rsid w:val="31B30944"/>
    <w:rsid w:val="31B5230A"/>
    <w:rsid w:val="31B5579D"/>
    <w:rsid w:val="31B732C3"/>
    <w:rsid w:val="31B7615A"/>
    <w:rsid w:val="31C31567"/>
    <w:rsid w:val="31C92E08"/>
    <w:rsid w:val="31CC0918"/>
    <w:rsid w:val="31D03A06"/>
    <w:rsid w:val="31D52B85"/>
    <w:rsid w:val="31D95E0F"/>
    <w:rsid w:val="31DC203E"/>
    <w:rsid w:val="31DD1A9B"/>
    <w:rsid w:val="31E23F2C"/>
    <w:rsid w:val="31E50C02"/>
    <w:rsid w:val="31E719E8"/>
    <w:rsid w:val="31FE41E1"/>
    <w:rsid w:val="31FF3435"/>
    <w:rsid w:val="320A3D3B"/>
    <w:rsid w:val="320B4AC7"/>
    <w:rsid w:val="321F121D"/>
    <w:rsid w:val="321F3EBE"/>
    <w:rsid w:val="32277974"/>
    <w:rsid w:val="322A618B"/>
    <w:rsid w:val="322B163D"/>
    <w:rsid w:val="322C5A5F"/>
    <w:rsid w:val="3235627B"/>
    <w:rsid w:val="32396127"/>
    <w:rsid w:val="323B0398"/>
    <w:rsid w:val="324721D0"/>
    <w:rsid w:val="32476D3D"/>
    <w:rsid w:val="324E513E"/>
    <w:rsid w:val="32566F80"/>
    <w:rsid w:val="325E7BE3"/>
    <w:rsid w:val="32613FC3"/>
    <w:rsid w:val="32642E56"/>
    <w:rsid w:val="32645ABA"/>
    <w:rsid w:val="326C5DE4"/>
    <w:rsid w:val="32773661"/>
    <w:rsid w:val="327E267F"/>
    <w:rsid w:val="3285547B"/>
    <w:rsid w:val="328C4750"/>
    <w:rsid w:val="329E4574"/>
    <w:rsid w:val="32A4041C"/>
    <w:rsid w:val="32B7395D"/>
    <w:rsid w:val="32C4621F"/>
    <w:rsid w:val="32CE6A40"/>
    <w:rsid w:val="32D93EB5"/>
    <w:rsid w:val="32DD22A5"/>
    <w:rsid w:val="32DD2FFA"/>
    <w:rsid w:val="33087C08"/>
    <w:rsid w:val="33100A93"/>
    <w:rsid w:val="33112A84"/>
    <w:rsid w:val="331A61CD"/>
    <w:rsid w:val="331F4A0C"/>
    <w:rsid w:val="332B05BE"/>
    <w:rsid w:val="33305A23"/>
    <w:rsid w:val="33384EF6"/>
    <w:rsid w:val="334375E7"/>
    <w:rsid w:val="334469CC"/>
    <w:rsid w:val="33582884"/>
    <w:rsid w:val="335C05C6"/>
    <w:rsid w:val="335C4122"/>
    <w:rsid w:val="335C6818"/>
    <w:rsid w:val="3370055F"/>
    <w:rsid w:val="3373086E"/>
    <w:rsid w:val="33740EAC"/>
    <w:rsid w:val="337D1FC8"/>
    <w:rsid w:val="337F0289"/>
    <w:rsid w:val="337F42B4"/>
    <w:rsid w:val="337F72C3"/>
    <w:rsid w:val="33843679"/>
    <w:rsid w:val="33A1343C"/>
    <w:rsid w:val="33A65CE5"/>
    <w:rsid w:val="33AC3B3F"/>
    <w:rsid w:val="33B10912"/>
    <w:rsid w:val="33B828D3"/>
    <w:rsid w:val="33B83428"/>
    <w:rsid w:val="33CB12A8"/>
    <w:rsid w:val="33D17501"/>
    <w:rsid w:val="33D17AC9"/>
    <w:rsid w:val="33D94143"/>
    <w:rsid w:val="33E031A2"/>
    <w:rsid w:val="33E0333C"/>
    <w:rsid w:val="34010228"/>
    <w:rsid w:val="34160A21"/>
    <w:rsid w:val="341E1D1F"/>
    <w:rsid w:val="342B49A6"/>
    <w:rsid w:val="342C4F9D"/>
    <w:rsid w:val="34433453"/>
    <w:rsid w:val="344831C8"/>
    <w:rsid w:val="344E43B3"/>
    <w:rsid w:val="344F1ED9"/>
    <w:rsid w:val="34515369"/>
    <w:rsid w:val="34593874"/>
    <w:rsid w:val="345B087E"/>
    <w:rsid w:val="345E14F5"/>
    <w:rsid w:val="34734046"/>
    <w:rsid w:val="34796F56"/>
    <w:rsid w:val="347E456C"/>
    <w:rsid w:val="347F41EF"/>
    <w:rsid w:val="348722BC"/>
    <w:rsid w:val="3487237B"/>
    <w:rsid w:val="348C0391"/>
    <w:rsid w:val="348F0527"/>
    <w:rsid w:val="3491604D"/>
    <w:rsid w:val="34AA710F"/>
    <w:rsid w:val="34AE60FB"/>
    <w:rsid w:val="34B1049E"/>
    <w:rsid w:val="34B75266"/>
    <w:rsid w:val="34B85CD0"/>
    <w:rsid w:val="34BB7D1D"/>
    <w:rsid w:val="34C34EBD"/>
    <w:rsid w:val="34C44675"/>
    <w:rsid w:val="34CC7CED"/>
    <w:rsid w:val="34D13DAF"/>
    <w:rsid w:val="34D4418C"/>
    <w:rsid w:val="34D55D7F"/>
    <w:rsid w:val="34DA0784"/>
    <w:rsid w:val="34E017A7"/>
    <w:rsid w:val="34E1038A"/>
    <w:rsid w:val="34E25B60"/>
    <w:rsid w:val="34E42621"/>
    <w:rsid w:val="34E95E89"/>
    <w:rsid w:val="35026F4B"/>
    <w:rsid w:val="3511503F"/>
    <w:rsid w:val="35127682"/>
    <w:rsid w:val="352275ED"/>
    <w:rsid w:val="352B0250"/>
    <w:rsid w:val="35386E11"/>
    <w:rsid w:val="35563CE1"/>
    <w:rsid w:val="355C665B"/>
    <w:rsid w:val="356777A1"/>
    <w:rsid w:val="3574290A"/>
    <w:rsid w:val="357C4F4F"/>
    <w:rsid w:val="35831E3A"/>
    <w:rsid w:val="358C0FD3"/>
    <w:rsid w:val="35931ABE"/>
    <w:rsid w:val="35942857"/>
    <w:rsid w:val="35993E5B"/>
    <w:rsid w:val="359D5F16"/>
    <w:rsid w:val="359E41BD"/>
    <w:rsid w:val="35AE1795"/>
    <w:rsid w:val="35BF7503"/>
    <w:rsid w:val="35C3492C"/>
    <w:rsid w:val="35D07049"/>
    <w:rsid w:val="35D71F45"/>
    <w:rsid w:val="35DA6C44"/>
    <w:rsid w:val="35F66EA4"/>
    <w:rsid w:val="35FE5964"/>
    <w:rsid w:val="36067C8A"/>
    <w:rsid w:val="36085658"/>
    <w:rsid w:val="360B6071"/>
    <w:rsid w:val="3613758C"/>
    <w:rsid w:val="362D1E4E"/>
    <w:rsid w:val="362D7FF8"/>
    <w:rsid w:val="363B2715"/>
    <w:rsid w:val="36400C61"/>
    <w:rsid w:val="36562AC9"/>
    <w:rsid w:val="36582B89"/>
    <w:rsid w:val="365E28A7"/>
    <w:rsid w:val="367835AA"/>
    <w:rsid w:val="368045CB"/>
    <w:rsid w:val="36891AAE"/>
    <w:rsid w:val="36895916"/>
    <w:rsid w:val="36927D93"/>
    <w:rsid w:val="369938DF"/>
    <w:rsid w:val="36A007CA"/>
    <w:rsid w:val="36A0457C"/>
    <w:rsid w:val="36A06A1C"/>
    <w:rsid w:val="36A209E6"/>
    <w:rsid w:val="36A94964"/>
    <w:rsid w:val="36B6623F"/>
    <w:rsid w:val="36BB1AA7"/>
    <w:rsid w:val="36BE4631"/>
    <w:rsid w:val="36C01346"/>
    <w:rsid w:val="36D12758"/>
    <w:rsid w:val="36E10143"/>
    <w:rsid w:val="36E67476"/>
    <w:rsid w:val="36ED6678"/>
    <w:rsid w:val="36EF32B0"/>
    <w:rsid w:val="36F5649D"/>
    <w:rsid w:val="36F71F51"/>
    <w:rsid w:val="36F72798"/>
    <w:rsid w:val="3700570C"/>
    <w:rsid w:val="37040D1B"/>
    <w:rsid w:val="37053782"/>
    <w:rsid w:val="37073252"/>
    <w:rsid w:val="37091BF4"/>
    <w:rsid w:val="3709636F"/>
    <w:rsid w:val="370966AC"/>
    <w:rsid w:val="370D41E5"/>
    <w:rsid w:val="370F3D0C"/>
    <w:rsid w:val="371511B8"/>
    <w:rsid w:val="37184804"/>
    <w:rsid w:val="371D7C65"/>
    <w:rsid w:val="372633C5"/>
    <w:rsid w:val="372B4B9D"/>
    <w:rsid w:val="37357164"/>
    <w:rsid w:val="37425D25"/>
    <w:rsid w:val="37491341"/>
    <w:rsid w:val="374F6A6A"/>
    <w:rsid w:val="375869AC"/>
    <w:rsid w:val="37721B96"/>
    <w:rsid w:val="377353BF"/>
    <w:rsid w:val="37794C71"/>
    <w:rsid w:val="378457F6"/>
    <w:rsid w:val="378620B5"/>
    <w:rsid w:val="37907A35"/>
    <w:rsid w:val="37A070BE"/>
    <w:rsid w:val="37A75B88"/>
    <w:rsid w:val="37C93D50"/>
    <w:rsid w:val="37DB2752"/>
    <w:rsid w:val="37E03A99"/>
    <w:rsid w:val="37E43827"/>
    <w:rsid w:val="37E64902"/>
    <w:rsid w:val="37EA2326"/>
    <w:rsid w:val="37ED01E4"/>
    <w:rsid w:val="37FD0969"/>
    <w:rsid w:val="38003798"/>
    <w:rsid w:val="380050F8"/>
    <w:rsid w:val="380B133B"/>
    <w:rsid w:val="38106F96"/>
    <w:rsid w:val="381256F7"/>
    <w:rsid w:val="38147538"/>
    <w:rsid w:val="38170FF4"/>
    <w:rsid w:val="38260B47"/>
    <w:rsid w:val="38270896"/>
    <w:rsid w:val="38313556"/>
    <w:rsid w:val="383334E4"/>
    <w:rsid w:val="38353194"/>
    <w:rsid w:val="38374A16"/>
    <w:rsid w:val="383A69FC"/>
    <w:rsid w:val="384368F2"/>
    <w:rsid w:val="3848162D"/>
    <w:rsid w:val="384F4255"/>
    <w:rsid w:val="38547ABE"/>
    <w:rsid w:val="3869241B"/>
    <w:rsid w:val="3870046C"/>
    <w:rsid w:val="387939C8"/>
    <w:rsid w:val="387E0FDF"/>
    <w:rsid w:val="38993FF8"/>
    <w:rsid w:val="389B749B"/>
    <w:rsid w:val="38A37ACE"/>
    <w:rsid w:val="38A64639"/>
    <w:rsid w:val="38AE71F6"/>
    <w:rsid w:val="38B36EDA"/>
    <w:rsid w:val="38C34C43"/>
    <w:rsid w:val="38C42E95"/>
    <w:rsid w:val="38C70AC5"/>
    <w:rsid w:val="38C8225A"/>
    <w:rsid w:val="38D34E55"/>
    <w:rsid w:val="38D46FE6"/>
    <w:rsid w:val="38EA5811"/>
    <w:rsid w:val="38EC7CF6"/>
    <w:rsid w:val="38ED3498"/>
    <w:rsid w:val="390D3AAA"/>
    <w:rsid w:val="390E4110"/>
    <w:rsid w:val="3914461E"/>
    <w:rsid w:val="391F631E"/>
    <w:rsid w:val="393C5E03"/>
    <w:rsid w:val="39447B32"/>
    <w:rsid w:val="394B722E"/>
    <w:rsid w:val="3952389C"/>
    <w:rsid w:val="39531089"/>
    <w:rsid w:val="39535E82"/>
    <w:rsid w:val="39567866"/>
    <w:rsid w:val="39570F7F"/>
    <w:rsid w:val="395E3D11"/>
    <w:rsid w:val="396513C2"/>
    <w:rsid w:val="396F1BD2"/>
    <w:rsid w:val="3970066D"/>
    <w:rsid w:val="39777F08"/>
    <w:rsid w:val="397B450F"/>
    <w:rsid w:val="398443D3"/>
    <w:rsid w:val="39964C8B"/>
    <w:rsid w:val="399F56D1"/>
    <w:rsid w:val="39AE6671"/>
    <w:rsid w:val="39B0098E"/>
    <w:rsid w:val="39B06B6A"/>
    <w:rsid w:val="39B82190"/>
    <w:rsid w:val="39BF540B"/>
    <w:rsid w:val="39C3314D"/>
    <w:rsid w:val="39C4201C"/>
    <w:rsid w:val="39D43DE0"/>
    <w:rsid w:val="39D76BF8"/>
    <w:rsid w:val="39E7460E"/>
    <w:rsid w:val="39E9692C"/>
    <w:rsid w:val="39EF393A"/>
    <w:rsid w:val="39F004AB"/>
    <w:rsid w:val="39F308BB"/>
    <w:rsid w:val="39FA4695"/>
    <w:rsid w:val="39FC040D"/>
    <w:rsid w:val="3A013439"/>
    <w:rsid w:val="3A113FB0"/>
    <w:rsid w:val="3A121243"/>
    <w:rsid w:val="3A184B1B"/>
    <w:rsid w:val="3A256053"/>
    <w:rsid w:val="3A262658"/>
    <w:rsid w:val="3A306341"/>
    <w:rsid w:val="3A3251C2"/>
    <w:rsid w:val="3A401E2F"/>
    <w:rsid w:val="3A466D00"/>
    <w:rsid w:val="3A4714AE"/>
    <w:rsid w:val="3A4939FA"/>
    <w:rsid w:val="3A5449C9"/>
    <w:rsid w:val="3A57192E"/>
    <w:rsid w:val="3A572046"/>
    <w:rsid w:val="3A5F231C"/>
    <w:rsid w:val="3A654204"/>
    <w:rsid w:val="3A6727AA"/>
    <w:rsid w:val="3A6A35C8"/>
    <w:rsid w:val="3A7F7C86"/>
    <w:rsid w:val="3A8521B0"/>
    <w:rsid w:val="3A8D375B"/>
    <w:rsid w:val="3AA026B4"/>
    <w:rsid w:val="3AA36ADA"/>
    <w:rsid w:val="3AA64BD7"/>
    <w:rsid w:val="3AA652DC"/>
    <w:rsid w:val="3AA72A81"/>
    <w:rsid w:val="3AB52DCF"/>
    <w:rsid w:val="3ABD5DEE"/>
    <w:rsid w:val="3AC07DBA"/>
    <w:rsid w:val="3AC32B2C"/>
    <w:rsid w:val="3AC52EF5"/>
    <w:rsid w:val="3AE710BD"/>
    <w:rsid w:val="3AED34FB"/>
    <w:rsid w:val="3AF15F7B"/>
    <w:rsid w:val="3AFC49AD"/>
    <w:rsid w:val="3AFE520E"/>
    <w:rsid w:val="3B187C68"/>
    <w:rsid w:val="3B1D47ED"/>
    <w:rsid w:val="3B2A71FC"/>
    <w:rsid w:val="3B464036"/>
    <w:rsid w:val="3B4906FA"/>
    <w:rsid w:val="3B491430"/>
    <w:rsid w:val="3B4957A9"/>
    <w:rsid w:val="3B4B241A"/>
    <w:rsid w:val="3B4E14F1"/>
    <w:rsid w:val="3B5129DA"/>
    <w:rsid w:val="3B5330AD"/>
    <w:rsid w:val="3B5878C5"/>
    <w:rsid w:val="3B5E2C18"/>
    <w:rsid w:val="3B732951"/>
    <w:rsid w:val="3B7F4E52"/>
    <w:rsid w:val="3B820DE6"/>
    <w:rsid w:val="3B8A60CA"/>
    <w:rsid w:val="3B9C637B"/>
    <w:rsid w:val="3BB32D4D"/>
    <w:rsid w:val="3BBA0580"/>
    <w:rsid w:val="3BBA6F6B"/>
    <w:rsid w:val="3BC34188"/>
    <w:rsid w:val="3BCB1798"/>
    <w:rsid w:val="3BD376AD"/>
    <w:rsid w:val="3C0052DB"/>
    <w:rsid w:val="3C1067F4"/>
    <w:rsid w:val="3C143C5D"/>
    <w:rsid w:val="3C177F2C"/>
    <w:rsid w:val="3C2152BA"/>
    <w:rsid w:val="3C2D67C7"/>
    <w:rsid w:val="3C3C7AD1"/>
    <w:rsid w:val="3C4D28A3"/>
    <w:rsid w:val="3C5462DE"/>
    <w:rsid w:val="3C574020"/>
    <w:rsid w:val="3C5A3D43"/>
    <w:rsid w:val="3C5F558D"/>
    <w:rsid w:val="3C643A21"/>
    <w:rsid w:val="3C850B8E"/>
    <w:rsid w:val="3C882D21"/>
    <w:rsid w:val="3C8B5A78"/>
    <w:rsid w:val="3C92069A"/>
    <w:rsid w:val="3C9C1A33"/>
    <w:rsid w:val="3CAB135D"/>
    <w:rsid w:val="3CC3418A"/>
    <w:rsid w:val="3CCE0850"/>
    <w:rsid w:val="3CD95368"/>
    <w:rsid w:val="3CDC1B7D"/>
    <w:rsid w:val="3CE120F1"/>
    <w:rsid w:val="3CE31D71"/>
    <w:rsid w:val="3CE3266E"/>
    <w:rsid w:val="3CE5162C"/>
    <w:rsid w:val="3CE533DA"/>
    <w:rsid w:val="3CE753A4"/>
    <w:rsid w:val="3CEC6058"/>
    <w:rsid w:val="3D037D04"/>
    <w:rsid w:val="3D041FC4"/>
    <w:rsid w:val="3D0F7FC0"/>
    <w:rsid w:val="3D153E5D"/>
    <w:rsid w:val="3D1851D2"/>
    <w:rsid w:val="3D1E1A76"/>
    <w:rsid w:val="3D1F6756"/>
    <w:rsid w:val="3D29776B"/>
    <w:rsid w:val="3D2A34E3"/>
    <w:rsid w:val="3D2E0A77"/>
    <w:rsid w:val="3D346110"/>
    <w:rsid w:val="3D52169A"/>
    <w:rsid w:val="3D6A733F"/>
    <w:rsid w:val="3D715D82"/>
    <w:rsid w:val="3D7347C2"/>
    <w:rsid w:val="3D7F382F"/>
    <w:rsid w:val="3D803103"/>
    <w:rsid w:val="3D807EFF"/>
    <w:rsid w:val="3D8264F5"/>
    <w:rsid w:val="3D896262"/>
    <w:rsid w:val="3D99366B"/>
    <w:rsid w:val="3DAB09D8"/>
    <w:rsid w:val="3DAD5F96"/>
    <w:rsid w:val="3DAF01C0"/>
    <w:rsid w:val="3DB01C3A"/>
    <w:rsid w:val="3DE9514C"/>
    <w:rsid w:val="3DEB0EC4"/>
    <w:rsid w:val="3DEC39B6"/>
    <w:rsid w:val="3DF8538F"/>
    <w:rsid w:val="3E0C43E3"/>
    <w:rsid w:val="3E196D7C"/>
    <w:rsid w:val="3E1A1ECE"/>
    <w:rsid w:val="3E1B7603"/>
    <w:rsid w:val="3E20008E"/>
    <w:rsid w:val="3E2A7EC8"/>
    <w:rsid w:val="3E2E1598"/>
    <w:rsid w:val="3E3100B1"/>
    <w:rsid w:val="3E423A78"/>
    <w:rsid w:val="3E471BD9"/>
    <w:rsid w:val="3E4D1237"/>
    <w:rsid w:val="3E500D27"/>
    <w:rsid w:val="3E5141C5"/>
    <w:rsid w:val="3E5C4064"/>
    <w:rsid w:val="3E5F07F1"/>
    <w:rsid w:val="3E6301EB"/>
    <w:rsid w:val="3E721CCA"/>
    <w:rsid w:val="3E75253C"/>
    <w:rsid w:val="3E8141DD"/>
    <w:rsid w:val="3E823B07"/>
    <w:rsid w:val="3E85042A"/>
    <w:rsid w:val="3E86719B"/>
    <w:rsid w:val="3EA0137A"/>
    <w:rsid w:val="3EA57887"/>
    <w:rsid w:val="3EAB0654"/>
    <w:rsid w:val="3EAF1EF2"/>
    <w:rsid w:val="3EB12D74"/>
    <w:rsid w:val="3EBF7C5B"/>
    <w:rsid w:val="3EC456A8"/>
    <w:rsid w:val="3ECD77F5"/>
    <w:rsid w:val="3ED64698"/>
    <w:rsid w:val="3EDD6FEC"/>
    <w:rsid w:val="3EDE051C"/>
    <w:rsid w:val="3EE15E23"/>
    <w:rsid w:val="3EE54AC0"/>
    <w:rsid w:val="3EE768AB"/>
    <w:rsid w:val="3EEA4CD8"/>
    <w:rsid w:val="3EEB58AA"/>
    <w:rsid w:val="3EF32654"/>
    <w:rsid w:val="3EF60590"/>
    <w:rsid w:val="3F0538C0"/>
    <w:rsid w:val="3F0C7E08"/>
    <w:rsid w:val="3F0F4B6A"/>
    <w:rsid w:val="3F141D55"/>
    <w:rsid w:val="3F164299"/>
    <w:rsid w:val="3F18225B"/>
    <w:rsid w:val="3F273F7C"/>
    <w:rsid w:val="3F333F65"/>
    <w:rsid w:val="3F406FEE"/>
    <w:rsid w:val="3F4511A2"/>
    <w:rsid w:val="3F4D34B9"/>
    <w:rsid w:val="3F52287D"/>
    <w:rsid w:val="3F561F39"/>
    <w:rsid w:val="3F5E63D7"/>
    <w:rsid w:val="3F6B169A"/>
    <w:rsid w:val="3F6C766D"/>
    <w:rsid w:val="3F70313C"/>
    <w:rsid w:val="3F762A0F"/>
    <w:rsid w:val="3F7C4554"/>
    <w:rsid w:val="3F943F78"/>
    <w:rsid w:val="3F961C18"/>
    <w:rsid w:val="3F9F2443"/>
    <w:rsid w:val="3FA05CDE"/>
    <w:rsid w:val="3FA17C6A"/>
    <w:rsid w:val="3FA27361"/>
    <w:rsid w:val="3FAD35AC"/>
    <w:rsid w:val="3FC17A3B"/>
    <w:rsid w:val="3FC26926"/>
    <w:rsid w:val="3FCC0881"/>
    <w:rsid w:val="3FCF2EAE"/>
    <w:rsid w:val="3FD17C46"/>
    <w:rsid w:val="3FD2156D"/>
    <w:rsid w:val="3FD752F7"/>
    <w:rsid w:val="3FE159B5"/>
    <w:rsid w:val="3FE536F1"/>
    <w:rsid w:val="3FEB51AC"/>
    <w:rsid w:val="3FF35E0E"/>
    <w:rsid w:val="3FF90202"/>
    <w:rsid w:val="3FF98F1F"/>
    <w:rsid w:val="3FFA53EF"/>
    <w:rsid w:val="3FFC2685"/>
    <w:rsid w:val="400C6ED0"/>
    <w:rsid w:val="401C5365"/>
    <w:rsid w:val="402179D0"/>
    <w:rsid w:val="402416BC"/>
    <w:rsid w:val="40314218"/>
    <w:rsid w:val="403703F1"/>
    <w:rsid w:val="40381E59"/>
    <w:rsid w:val="40481E9E"/>
    <w:rsid w:val="40491ED2"/>
    <w:rsid w:val="406960D0"/>
    <w:rsid w:val="40744D39"/>
    <w:rsid w:val="40805871"/>
    <w:rsid w:val="408178BE"/>
    <w:rsid w:val="40823745"/>
    <w:rsid w:val="409273D5"/>
    <w:rsid w:val="409A44DC"/>
    <w:rsid w:val="40A35A86"/>
    <w:rsid w:val="40C225C2"/>
    <w:rsid w:val="40C61775"/>
    <w:rsid w:val="40C770F8"/>
    <w:rsid w:val="40D032DE"/>
    <w:rsid w:val="40DF4E2A"/>
    <w:rsid w:val="40F13A78"/>
    <w:rsid w:val="40FA31CC"/>
    <w:rsid w:val="41054F50"/>
    <w:rsid w:val="4109012B"/>
    <w:rsid w:val="410F4ECA"/>
    <w:rsid w:val="41140732"/>
    <w:rsid w:val="411B49EE"/>
    <w:rsid w:val="41264B4B"/>
    <w:rsid w:val="41270465"/>
    <w:rsid w:val="412C5169"/>
    <w:rsid w:val="41326E0A"/>
    <w:rsid w:val="413D4D8A"/>
    <w:rsid w:val="41451D24"/>
    <w:rsid w:val="414F59BC"/>
    <w:rsid w:val="415A50AF"/>
    <w:rsid w:val="415F6871"/>
    <w:rsid w:val="415F7A57"/>
    <w:rsid w:val="416B707E"/>
    <w:rsid w:val="417252AC"/>
    <w:rsid w:val="41774A03"/>
    <w:rsid w:val="417F7261"/>
    <w:rsid w:val="41877A84"/>
    <w:rsid w:val="418A4550"/>
    <w:rsid w:val="418C651A"/>
    <w:rsid w:val="418C6FAF"/>
    <w:rsid w:val="41911452"/>
    <w:rsid w:val="41916F22"/>
    <w:rsid w:val="41AB7D9E"/>
    <w:rsid w:val="41AD5699"/>
    <w:rsid w:val="41AE6491"/>
    <w:rsid w:val="41B047C9"/>
    <w:rsid w:val="41B25855"/>
    <w:rsid w:val="41B94D11"/>
    <w:rsid w:val="41BF069E"/>
    <w:rsid w:val="41C51A2C"/>
    <w:rsid w:val="41C9151C"/>
    <w:rsid w:val="41DE664A"/>
    <w:rsid w:val="41E4283D"/>
    <w:rsid w:val="41EA4E7D"/>
    <w:rsid w:val="41F56C46"/>
    <w:rsid w:val="420F4A55"/>
    <w:rsid w:val="421B164C"/>
    <w:rsid w:val="4257135A"/>
    <w:rsid w:val="42612C39"/>
    <w:rsid w:val="42671AEE"/>
    <w:rsid w:val="42684422"/>
    <w:rsid w:val="426B1AF0"/>
    <w:rsid w:val="427871AA"/>
    <w:rsid w:val="42823479"/>
    <w:rsid w:val="42831C69"/>
    <w:rsid w:val="42882828"/>
    <w:rsid w:val="42894168"/>
    <w:rsid w:val="428B6351"/>
    <w:rsid w:val="429E4757"/>
    <w:rsid w:val="429F04FF"/>
    <w:rsid w:val="42B028B2"/>
    <w:rsid w:val="42B5254F"/>
    <w:rsid w:val="42C54070"/>
    <w:rsid w:val="42D96EB9"/>
    <w:rsid w:val="42DF08CC"/>
    <w:rsid w:val="42E55F0E"/>
    <w:rsid w:val="42EB7271"/>
    <w:rsid w:val="42EF77F1"/>
    <w:rsid w:val="42F8763F"/>
    <w:rsid w:val="42FF4201"/>
    <w:rsid w:val="430D2722"/>
    <w:rsid w:val="430F667B"/>
    <w:rsid w:val="43170066"/>
    <w:rsid w:val="432974CE"/>
    <w:rsid w:val="433B3644"/>
    <w:rsid w:val="433D7317"/>
    <w:rsid w:val="43441269"/>
    <w:rsid w:val="434B1B15"/>
    <w:rsid w:val="43566DE0"/>
    <w:rsid w:val="43572B58"/>
    <w:rsid w:val="435A402D"/>
    <w:rsid w:val="435D25DA"/>
    <w:rsid w:val="436037BB"/>
    <w:rsid w:val="43657E13"/>
    <w:rsid w:val="436E72E2"/>
    <w:rsid w:val="4380204E"/>
    <w:rsid w:val="43870F88"/>
    <w:rsid w:val="438C3A56"/>
    <w:rsid w:val="438E6FA7"/>
    <w:rsid w:val="439D4A0F"/>
    <w:rsid w:val="43A833B4"/>
    <w:rsid w:val="43AA1BDB"/>
    <w:rsid w:val="43B04130"/>
    <w:rsid w:val="43B41C41"/>
    <w:rsid w:val="43BC4AF1"/>
    <w:rsid w:val="43BF1A33"/>
    <w:rsid w:val="43BF28C2"/>
    <w:rsid w:val="43C238FA"/>
    <w:rsid w:val="43C811E7"/>
    <w:rsid w:val="43E221F6"/>
    <w:rsid w:val="43E97226"/>
    <w:rsid w:val="43F32B15"/>
    <w:rsid w:val="43FC5749"/>
    <w:rsid w:val="44042989"/>
    <w:rsid w:val="44044A8E"/>
    <w:rsid w:val="440D769C"/>
    <w:rsid w:val="440E76BA"/>
    <w:rsid w:val="440F73C2"/>
    <w:rsid w:val="44242A3A"/>
    <w:rsid w:val="44337121"/>
    <w:rsid w:val="443566F4"/>
    <w:rsid w:val="443609BF"/>
    <w:rsid w:val="443D37DF"/>
    <w:rsid w:val="443E3A0B"/>
    <w:rsid w:val="444066D4"/>
    <w:rsid w:val="44414015"/>
    <w:rsid w:val="444573FC"/>
    <w:rsid w:val="444C0737"/>
    <w:rsid w:val="444E0EB1"/>
    <w:rsid w:val="444F0360"/>
    <w:rsid w:val="445F3A72"/>
    <w:rsid w:val="446212BD"/>
    <w:rsid w:val="44656026"/>
    <w:rsid w:val="446B68BB"/>
    <w:rsid w:val="446C75E2"/>
    <w:rsid w:val="44955C90"/>
    <w:rsid w:val="4496687E"/>
    <w:rsid w:val="449F47B6"/>
    <w:rsid w:val="44A02605"/>
    <w:rsid w:val="44AD38D3"/>
    <w:rsid w:val="44AD421E"/>
    <w:rsid w:val="44AE648F"/>
    <w:rsid w:val="44B02013"/>
    <w:rsid w:val="44B039A9"/>
    <w:rsid w:val="44BA7EC3"/>
    <w:rsid w:val="44C10289"/>
    <w:rsid w:val="44D65F54"/>
    <w:rsid w:val="44DB6A40"/>
    <w:rsid w:val="44EE129A"/>
    <w:rsid w:val="45090788"/>
    <w:rsid w:val="450C33A6"/>
    <w:rsid w:val="450D1720"/>
    <w:rsid w:val="4510235C"/>
    <w:rsid w:val="45126D36"/>
    <w:rsid w:val="45127CB9"/>
    <w:rsid w:val="451E1B7F"/>
    <w:rsid w:val="452847AC"/>
    <w:rsid w:val="45322F35"/>
    <w:rsid w:val="45356EC9"/>
    <w:rsid w:val="453D55A8"/>
    <w:rsid w:val="4541586E"/>
    <w:rsid w:val="45441906"/>
    <w:rsid w:val="454A3972"/>
    <w:rsid w:val="454C2B49"/>
    <w:rsid w:val="45570552"/>
    <w:rsid w:val="455A6E2C"/>
    <w:rsid w:val="455C0E0C"/>
    <w:rsid w:val="455D4FFA"/>
    <w:rsid w:val="456057F0"/>
    <w:rsid w:val="45725A27"/>
    <w:rsid w:val="45765517"/>
    <w:rsid w:val="457F0236"/>
    <w:rsid w:val="4584768D"/>
    <w:rsid w:val="458755CA"/>
    <w:rsid w:val="45880BDF"/>
    <w:rsid w:val="45884D24"/>
    <w:rsid w:val="45951E87"/>
    <w:rsid w:val="45961716"/>
    <w:rsid w:val="45973A71"/>
    <w:rsid w:val="45A9719C"/>
    <w:rsid w:val="45AE4DCE"/>
    <w:rsid w:val="45B052B0"/>
    <w:rsid w:val="45B24076"/>
    <w:rsid w:val="45BB69E6"/>
    <w:rsid w:val="45C51FFB"/>
    <w:rsid w:val="45C604AC"/>
    <w:rsid w:val="45D50C7F"/>
    <w:rsid w:val="45D660DC"/>
    <w:rsid w:val="45FE4784"/>
    <w:rsid w:val="46081EE8"/>
    <w:rsid w:val="460C5E7C"/>
    <w:rsid w:val="461042D4"/>
    <w:rsid w:val="46123FB6"/>
    <w:rsid w:val="461915B6"/>
    <w:rsid w:val="461D1E37"/>
    <w:rsid w:val="462175C1"/>
    <w:rsid w:val="4631246E"/>
    <w:rsid w:val="464004CF"/>
    <w:rsid w:val="464949DA"/>
    <w:rsid w:val="464F0AEA"/>
    <w:rsid w:val="46520D0E"/>
    <w:rsid w:val="465471FA"/>
    <w:rsid w:val="46572546"/>
    <w:rsid w:val="4658048C"/>
    <w:rsid w:val="466972EF"/>
    <w:rsid w:val="466A4B67"/>
    <w:rsid w:val="46781F09"/>
    <w:rsid w:val="46787D24"/>
    <w:rsid w:val="467B6B5D"/>
    <w:rsid w:val="467C4DAF"/>
    <w:rsid w:val="468246BC"/>
    <w:rsid w:val="468326C9"/>
    <w:rsid w:val="46843C64"/>
    <w:rsid w:val="46953F4C"/>
    <w:rsid w:val="469623E1"/>
    <w:rsid w:val="46971BE9"/>
    <w:rsid w:val="46991FE4"/>
    <w:rsid w:val="46A240EA"/>
    <w:rsid w:val="46AC4F69"/>
    <w:rsid w:val="46AE6F33"/>
    <w:rsid w:val="46B130B0"/>
    <w:rsid w:val="46B8556F"/>
    <w:rsid w:val="46BA60E8"/>
    <w:rsid w:val="46BA6A35"/>
    <w:rsid w:val="46BB51AC"/>
    <w:rsid w:val="46BD2CD2"/>
    <w:rsid w:val="46C31FBE"/>
    <w:rsid w:val="46CB3641"/>
    <w:rsid w:val="46E81B52"/>
    <w:rsid w:val="46E841F3"/>
    <w:rsid w:val="46E955C3"/>
    <w:rsid w:val="46EC0F77"/>
    <w:rsid w:val="46F81F5C"/>
    <w:rsid w:val="46F8572A"/>
    <w:rsid w:val="47017063"/>
    <w:rsid w:val="47084895"/>
    <w:rsid w:val="470A7245"/>
    <w:rsid w:val="472B0583"/>
    <w:rsid w:val="47305751"/>
    <w:rsid w:val="47346230"/>
    <w:rsid w:val="4743767B"/>
    <w:rsid w:val="47495B1E"/>
    <w:rsid w:val="474E27EB"/>
    <w:rsid w:val="4760055A"/>
    <w:rsid w:val="4766336A"/>
    <w:rsid w:val="476F6E66"/>
    <w:rsid w:val="47771E8A"/>
    <w:rsid w:val="477F716C"/>
    <w:rsid w:val="47887CE4"/>
    <w:rsid w:val="479B2599"/>
    <w:rsid w:val="479B6C05"/>
    <w:rsid w:val="47AA6623"/>
    <w:rsid w:val="47AA7999"/>
    <w:rsid w:val="47BB21AF"/>
    <w:rsid w:val="47BD685E"/>
    <w:rsid w:val="47BE4754"/>
    <w:rsid w:val="47D6229D"/>
    <w:rsid w:val="47DE7B5D"/>
    <w:rsid w:val="47DF3167"/>
    <w:rsid w:val="47E0207A"/>
    <w:rsid w:val="47E2084E"/>
    <w:rsid w:val="47ED3A8B"/>
    <w:rsid w:val="47F646ED"/>
    <w:rsid w:val="47F82B8E"/>
    <w:rsid w:val="47FA0134"/>
    <w:rsid w:val="47FB222A"/>
    <w:rsid w:val="47FC1087"/>
    <w:rsid w:val="4809423C"/>
    <w:rsid w:val="481514C6"/>
    <w:rsid w:val="4820159B"/>
    <w:rsid w:val="483B70E9"/>
    <w:rsid w:val="483D150E"/>
    <w:rsid w:val="483D40CA"/>
    <w:rsid w:val="483E6094"/>
    <w:rsid w:val="48433D7A"/>
    <w:rsid w:val="485760FA"/>
    <w:rsid w:val="485A4F14"/>
    <w:rsid w:val="485B6C46"/>
    <w:rsid w:val="48671147"/>
    <w:rsid w:val="48691363"/>
    <w:rsid w:val="486A0C38"/>
    <w:rsid w:val="486B2FEE"/>
    <w:rsid w:val="4875046F"/>
    <w:rsid w:val="4876356C"/>
    <w:rsid w:val="487872E8"/>
    <w:rsid w:val="487A3570"/>
    <w:rsid w:val="488F3A8E"/>
    <w:rsid w:val="48A16297"/>
    <w:rsid w:val="48A405ED"/>
    <w:rsid w:val="48A64365"/>
    <w:rsid w:val="48AE40C6"/>
    <w:rsid w:val="48BE20D5"/>
    <w:rsid w:val="48C77E38"/>
    <w:rsid w:val="48C83770"/>
    <w:rsid w:val="48C93EF7"/>
    <w:rsid w:val="48D15C53"/>
    <w:rsid w:val="48D507A7"/>
    <w:rsid w:val="48DC2066"/>
    <w:rsid w:val="48DE50DF"/>
    <w:rsid w:val="48E64762"/>
    <w:rsid w:val="48FE7098"/>
    <w:rsid w:val="49002739"/>
    <w:rsid w:val="49065B77"/>
    <w:rsid w:val="49140C8F"/>
    <w:rsid w:val="49141DD9"/>
    <w:rsid w:val="49211C3E"/>
    <w:rsid w:val="49237DCA"/>
    <w:rsid w:val="49315BC2"/>
    <w:rsid w:val="4941303B"/>
    <w:rsid w:val="49424AF1"/>
    <w:rsid w:val="4948541D"/>
    <w:rsid w:val="494871CB"/>
    <w:rsid w:val="495161E4"/>
    <w:rsid w:val="496D7415"/>
    <w:rsid w:val="496F44BE"/>
    <w:rsid w:val="496F6108"/>
    <w:rsid w:val="497A5B7B"/>
    <w:rsid w:val="497B5802"/>
    <w:rsid w:val="497E50E4"/>
    <w:rsid w:val="49843F7B"/>
    <w:rsid w:val="499F0F24"/>
    <w:rsid w:val="49AA269F"/>
    <w:rsid w:val="49C87C66"/>
    <w:rsid w:val="49CA2C26"/>
    <w:rsid w:val="49CA5E32"/>
    <w:rsid w:val="49CC176E"/>
    <w:rsid w:val="49CC7DFC"/>
    <w:rsid w:val="49CD6E75"/>
    <w:rsid w:val="49D8786C"/>
    <w:rsid w:val="49DA7102"/>
    <w:rsid w:val="49E33295"/>
    <w:rsid w:val="49E62496"/>
    <w:rsid w:val="49F927E9"/>
    <w:rsid w:val="4A066675"/>
    <w:rsid w:val="4A0958FC"/>
    <w:rsid w:val="4A0B3920"/>
    <w:rsid w:val="4A0D5D1E"/>
    <w:rsid w:val="4A114048"/>
    <w:rsid w:val="4A18175E"/>
    <w:rsid w:val="4A207C29"/>
    <w:rsid w:val="4A235817"/>
    <w:rsid w:val="4A291C66"/>
    <w:rsid w:val="4A297978"/>
    <w:rsid w:val="4A2E4714"/>
    <w:rsid w:val="4A3B0ADD"/>
    <w:rsid w:val="4A3B288C"/>
    <w:rsid w:val="4A4E5E4E"/>
    <w:rsid w:val="4A500F95"/>
    <w:rsid w:val="4A5C7F4E"/>
    <w:rsid w:val="4A6A13C3"/>
    <w:rsid w:val="4A751031"/>
    <w:rsid w:val="4A784B37"/>
    <w:rsid w:val="4A896EB6"/>
    <w:rsid w:val="4A8D13EF"/>
    <w:rsid w:val="4A8F0E29"/>
    <w:rsid w:val="4AA255D6"/>
    <w:rsid w:val="4ABD14F2"/>
    <w:rsid w:val="4AC91654"/>
    <w:rsid w:val="4ACD69E3"/>
    <w:rsid w:val="4AD131F0"/>
    <w:rsid w:val="4ADE1126"/>
    <w:rsid w:val="4AE66C9B"/>
    <w:rsid w:val="4AEA4767"/>
    <w:rsid w:val="4AED2B3B"/>
    <w:rsid w:val="4AEF06F5"/>
    <w:rsid w:val="4AF018C8"/>
    <w:rsid w:val="4AF92504"/>
    <w:rsid w:val="4B054C48"/>
    <w:rsid w:val="4B0A3BF1"/>
    <w:rsid w:val="4B0B080C"/>
    <w:rsid w:val="4B0E2273"/>
    <w:rsid w:val="4B0E61F2"/>
    <w:rsid w:val="4B0F428B"/>
    <w:rsid w:val="4B147F61"/>
    <w:rsid w:val="4B29601E"/>
    <w:rsid w:val="4B4E6644"/>
    <w:rsid w:val="4B5B2467"/>
    <w:rsid w:val="4B5C6F5D"/>
    <w:rsid w:val="4B5D6832"/>
    <w:rsid w:val="4B610F6A"/>
    <w:rsid w:val="4B616322"/>
    <w:rsid w:val="4B685902"/>
    <w:rsid w:val="4B7659CB"/>
    <w:rsid w:val="4B7922C9"/>
    <w:rsid w:val="4B816E1D"/>
    <w:rsid w:val="4B841FAF"/>
    <w:rsid w:val="4B8820A6"/>
    <w:rsid w:val="4BB25FC3"/>
    <w:rsid w:val="4BB70638"/>
    <w:rsid w:val="4BB72680"/>
    <w:rsid w:val="4BBC29B0"/>
    <w:rsid w:val="4BCA0873"/>
    <w:rsid w:val="4BD74836"/>
    <w:rsid w:val="4BDC62B6"/>
    <w:rsid w:val="4BE902B5"/>
    <w:rsid w:val="4BEC79C4"/>
    <w:rsid w:val="4BEF7DD1"/>
    <w:rsid w:val="4BF56837"/>
    <w:rsid w:val="4C06606A"/>
    <w:rsid w:val="4C0D537E"/>
    <w:rsid w:val="4C0D64AA"/>
    <w:rsid w:val="4C137523"/>
    <w:rsid w:val="4C143394"/>
    <w:rsid w:val="4C152E18"/>
    <w:rsid w:val="4C1A34BB"/>
    <w:rsid w:val="4C41239F"/>
    <w:rsid w:val="4C5C2F8D"/>
    <w:rsid w:val="4C5C4D3B"/>
    <w:rsid w:val="4C602A7D"/>
    <w:rsid w:val="4C60482B"/>
    <w:rsid w:val="4C686721"/>
    <w:rsid w:val="4C7D55AC"/>
    <w:rsid w:val="4C845EEB"/>
    <w:rsid w:val="4C8B19C3"/>
    <w:rsid w:val="4C8C6F39"/>
    <w:rsid w:val="4C8F3363"/>
    <w:rsid w:val="4C914AB2"/>
    <w:rsid w:val="4C9269AF"/>
    <w:rsid w:val="4C952CDF"/>
    <w:rsid w:val="4CA071DE"/>
    <w:rsid w:val="4CA920D2"/>
    <w:rsid w:val="4CAD7965"/>
    <w:rsid w:val="4CB4635D"/>
    <w:rsid w:val="4CB80259"/>
    <w:rsid w:val="4CBD7ED0"/>
    <w:rsid w:val="4CC11105"/>
    <w:rsid w:val="4CC4600A"/>
    <w:rsid w:val="4CC91938"/>
    <w:rsid w:val="4CC96874"/>
    <w:rsid w:val="4CCC0113"/>
    <w:rsid w:val="4CD40D75"/>
    <w:rsid w:val="4CD8042C"/>
    <w:rsid w:val="4CEC3810"/>
    <w:rsid w:val="4CEE0089"/>
    <w:rsid w:val="4D0B72A7"/>
    <w:rsid w:val="4D0C49B3"/>
    <w:rsid w:val="4D0E24D9"/>
    <w:rsid w:val="4D176C4B"/>
    <w:rsid w:val="4D1F46E6"/>
    <w:rsid w:val="4D27266D"/>
    <w:rsid w:val="4D2C0BB1"/>
    <w:rsid w:val="4D2F757E"/>
    <w:rsid w:val="4D3828F1"/>
    <w:rsid w:val="4D3C246A"/>
    <w:rsid w:val="4D4B54DB"/>
    <w:rsid w:val="4D523E53"/>
    <w:rsid w:val="4D587BF8"/>
    <w:rsid w:val="4D596089"/>
    <w:rsid w:val="4D5F4AE3"/>
    <w:rsid w:val="4D691397"/>
    <w:rsid w:val="4D6C0FAE"/>
    <w:rsid w:val="4D7E752B"/>
    <w:rsid w:val="4D8471DD"/>
    <w:rsid w:val="4DA70A60"/>
    <w:rsid w:val="4DAC3DFB"/>
    <w:rsid w:val="4DB61222"/>
    <w:rsid w:val="4DBD0F93"/>
    <w:rsid w:val="4DC25072"/>
    <w:rsid w:val="4DC332C4"/>
    <w:rsid w:val="4DC42B98"/>
    <w:rsid w:val="4DC43E0F"/>
    <w:rsid w:val="4DC808DA"/>
    <w:rsid w:val="4DCE3816"/>
    <w:rsid w:val="4DD70B1D"/>
    <w:rsid w:val="4DD86643"/>
    <w:rsid w:val="4DDC6134"/>
    <w:rsid w:val="4DE2258D"/>
    <w:rsid w:val="4DE3634C"/>
    <w:rsid w:val="4DEA4CF4"/>
    <w:rsid w:val="4DEB6C49"/>
    <w:rsid w:val="4DF9621D"/>
    <w:rsid w:val="4E0A0166"/>
    <w:rsid w:val="4E103F9C"/>
    <w:rsid w:val="4E121B55"/>
    <w:rsid w:val="4E125654"/>
    <w:rsid w:val="4E1343FD"/>
    <w:rsid w:val="4E141D71"/>
    <w:rsid w:val="4E157897"/>
    <w:rsid w:val="4E1F24C4"/>
    <w:rsid w:val="4E231A8E"/>
    <w:rsid w:val="4E2518F6"/>
    <w:rsid w:val="4E2E6702"/>
    <w:rsid w:val="4E2F509E"/>
    <w:rsid w:val="4E30570B"/>
    <w:rsid w:val="4E3A00C1"/>
    <w:rsid w:val="4E402CAB"/>
    <w:rsid w:val="4E515868"/>
    <w:rsid w:val="4E6D76D3"/>
    <w:rsid w:val="4E6F2527"/>
    <w:rsid w:val="4E7D2B74"/>
    <w:rsid w:val="4E807407"/>
    <w:rsid w:val="4E853C97"/>
    <w:rsid w:val="4E8C3BCC"/>
    <w:rsid w:val="4E9407BC"/>
    <w:rsid w:val="4E9B1B4B"/>
    <w:rsid w:val="4EAF0D9C"/>
    <w:rsid w:val="4EB8094F"/>
    <w:rsid w:val="4EBB2CE5"/>
    <w:rsid w:val="4EBE20E6"/>
    <w:rsid w:val="4EBF7184"/>
    <w:rsid w:val="4EC310A1"/>
    <w:rsid w:val="4EC90F92"/>
    <w:rsid w:val="4ED25CA6"/>
    <w:rsid w:val="4ED96B17"/>
    <w:rsid w:val="4F0849EB"/>
    <w:rsid w:val="4F095FEC"/>
    <w:rsid w:val="4F147B4F"/>
    <w:rsid w:val="4F281560"/>
    <w:rsid w:val="4F3B1580"/>
    <w:rsid w:val="4F3D0E2C"/>
    <w:rsid w:val="4F4246BC"/>
    <w:rsid w:val="4F4A3CE2"/>
    <w:rsid w:val="4F4D5E23"/>
    <w:rsid w:val="4F544BD3"/>
    <w:rsid w:val="4F5543EF"/>
    <w:rsid w:val="4F55619D"/>
    <w:rsid w:val="4F565CCB"/>
    <w:rsid w:val="4F5E23CD"/>
    <w:rsid w:val="4F7825AA"/>
    <w:rsid w:val="4F7B372A"/>
    <w:rsid w:val="4F7E6690"/>
    <w:rsid w:val="4F895E47"/>
    <w:rsid w:val="4F932ADC"/>
    <w:rsid w:val="4F960EA9"/>
    <w:rsid w:val="4F9C77F0"/>
    <w:rsid w:val="4F9D6F64"/>
    <w:rsid w:val="4F9F1752"/>
    <w:rsid w:val="4FA34F21"/>
    <w:rsid w:val="4FA45E3D"/>
    <w:rsid w:val="4FAA2D7A"/>
    <w:rsid w:val="4FAD3370"/>
    <w:rsid w:val="4FB35515"/>
    <w:rsid w:val="4FBF5D0D"/>
    <w:rsid w:val="4FC96B8B"/>
    <w:rsid w:val="4FCE5F50"/>
    <w:rsid w:val="4FCE7CFE"/>
    <w:rsid w:val="4FD7031E"/>
    <w:rsid w:val="4FD87415"/>
    <w:rsid w:val="4FDD2A48"/>
    <w:rsid w:val="4FE832C2"/>
    <w:rsid w:val="4FEB04D3"/>
    <w:rsid w:val="4FEE5EF7"/>
    <w:rsid w:val="4FF27E90"/>
    <w:rsid w:val="4FF572BC"/>
    <w:rsid w:val="501A76CB"/>
    <w:rsid w:val="50216B9E"/>
    <w:rsid w:val="504A72AE"/>
    <w:rsid w:val="504A7CCC"/>
    <w:rsid w:val="505005CC"/>
    <w:rsid w:val="50504BB7"/>
    <w:rsid w:val="505917B5"/>
    <w:rsid w:val="505A792C"/>
    <w:rsid w:val="506D3550"/>
    <w:rsid w:val="5075461D"/>
    <w:rsid w:val="507638BC"/>
    <w:rsid w:val="507E1540"/>
    <w:rsid w:val="50834F8C"/>
    <w:rsid w:val="5085442F"/>
    <w:rsid w:val="508D7BB9"/>
    <w:rsid w:val="508F1B83"/>
    <w:rsid w:val="50903FC3"/>
    <w:rsid w:val="50962B7E"/>
    <w:rsid w:val="50A0169A"/>
    <w:rsid w:val="50A76ECD"/>
    <w:rsid w:val="50A829E1"/>
    <w:rsid w:val="50AB003F"/>
    <w:rsid w:val="50AF4557"/>
    <w:rsid w:val="50B769E4"/>
    <w:rsid w:val="50C3182D"/>
    <w:rsid w:val="50CC7050"/>
    <w:rsid w:val="50D31362"/>
    <w:rsid w:val="50D3288A"/>
    <w:rsid w:val="50D63397"/>
    <w:rsid w:val="50DE1754"/>
    <w:rsid w:val="50E0418D"/>
    <w:rsid w:val="50ED6098"/>
    <w:rsid w:val="50FA7E6E"/>
    <w:rsid w:val="51041680"/>
    <w:rsid w:val="51047BB3"/>
    <w:rsid w:val="51083E00"/>
    <w:rsid w:val="510F6820"/>
    <w:rsid w:val="511826EE"/>
    <w:rsid w:val="511F2F07"/>
    <w:rsid w:val="512001A9"/>
    <w:rsid w:val="512314FC"/>
    <w:rsid w:val="51365043"/>
    <w:rsid w:val="5136508E"/>
    <w:rsid w:val="51491D32"/>
    <w:rsid w:val="51493AE0"/>
    <w:rsid w:val="514D317D"/>
    <w:rsid w:val="5150098B"/>
    <w:rsid w:val="516218D8"/>
    <w:rsid w:val="51697045"/>
    <w:rsid w:val="51750D79"/>
    <w:rsid w:val="51804E26"/>
    <w:rsid w:val="51805A47"/>
    <w:rsid w:val="518A658B"/>
    <w:rsid w:val="518B234A"/>
    <w:rsid w:val="519262F6"/>
    <w:rsid w:val="519277D2"/>
    <w:rsid w:val="51976F41"/>
    <w:rsid w:val="51AE7DE7"/>
    <w:rsid w:val="51B15B29"/>
    <w:rsid w:val="51B45A68"/>
    <w:rsid w:val="51BA6D16"/>
    <w:rsid w:val="51BD44CE"/>
    <w:rsid w:val="51C55131"/>
    <w:rsid w:val="51C7511B"/>
    <w:rsid w:val="51D35A9F"/>
    <w:rsid w:val="51DA6B07"/>
    <w:rsid w:val="51E1097C"/>
    <w:rsid w:val="51F256B9"/>
    <w:rsid w:val="51F276FD"/>
    <w:rsid w:val="51FB0B52"/>
    <w:rsid w:val="51FE279D"/>
    <w:rsid w:val="51FF14CF"/>
    <w:rsid w:val="52120376"/>
    <w:rsid w:val="521B5F6A"/>
    <w:rsid w:val="521B775A"/>
    <w:rsid w:val="521C11F4"/>
    <w:rsid w:val="521E1871"/>
    <w:rsid w:val="521F3DC3"/>
    <w:rsid w:val="522A5E2A"/>
    <w:rsid w:val="523609F6"/>
    <w:rsid w:val="523C0560"/>
    <w:rsid w:val="524F15CA"/>
    <w:rsid w:val="52546A31"/>
    <w:rsid w:val="5256161C"/>
    <w:rsid w:val="525F45E4"/>
    <w:rsid w:val="5263104F"/>
    <w:rsid w:val="52692500"/>
    <w:rsid w:val="526D37FE"/>
    <w:rsid w:val="526E7576"/>
    <w:rsid w:val="52701540"/>
    <w:rsid w:val="527E78DB"/>
    <w:rsid w:val="528374C6"/>
    <w:rsid w:val="52845F82"/>
    <w:rsid w:val="52860D64"/>
    <w:rsid w:val="528C45CC"/>
    <w:rsid w:val="52CB09A2"/>
    <w:rsid w:val="52D049DF"/>
    <w:rsid w:val="52D31442"/>
    <w:rsid w:val="52D41ACF"/>
    <w:rsid w:val="52D96064"/>
    <w:rsid w:val="52DF683D"/>
    <w:rsid w:val="52E06FEE"/>
    <w:rsid w:val="52EC13EF"/>
    <w:rsid w:val="52EC557B"/>
    <w:rsid w:val="52EE42A5"/>
    <w:rsid w:val="52F45CCD"/>
    <w:rsid w:val="52F60FC2"/>
    <w:rsid w:val="52FE6B4C"/>
    <w:rsid w:val="5301245F"/>
    <w:rsid w:val="53057EDB"/>
    <w:rsid w:val="531620E8"/>
    <w:rsid w:val="5327210E"/>
    <w:rsid w:val="532F31A9"/>
    <w:rsid w:val="53362301"/>
    <w:rsid w:val="53476745"/>
    <w:rsid w:val="535B55B8"/>
    <w:rsid w:val="536C7F5A"/>
    <w:rsid w:val="537576C1"/>
    <w:rsid w:val="537B066B"/>
    <w:rsid w:val="5382777D"/>
    <w:rsid w:val="53874D93"/>
    <w:rsid w:val="53883CFD"/>
    <w:rsid w:val="538D25B9"/>
    <w:rsid w:val="53A07441"/>
    <w:rsid w:val="53A2397B"/>
    <w:rsid w:val="53A414A2"/>
    <w:rsid w:val="53A46B4E"/>
    <w:rsid w:val="53A476F3"/>
    <w:rsid w:val="53AB5652"/>
    <w:rsid w:val="53AF1AC0"/>
    <w:rsid w:val="53B024DB"/>
    <w:rsid w:val="53B51901"/>
    <w:rsid w:val="53B97551"/>
    <w:rsid w:val="53BB7D04"/>
    <w:rsid w:val="53EF4E90"/>
    <w:rsid w:val="53F428D8"/>
    <w:rsid w:val="53F8359B"/>
    <w:rsid w:val="53FB3961"/>
    <w:rsid w:val="5402631D"/>
    <w:rsid w:val="5404204C"/>
    <w:rsid w:val="54065996"/>
    <w:rsid w:val="540D34EB"/>
    <w:rsid w:val="54196C0A"/>
    <w:rsid w:val="541B4CF0"/>
    <w:rsid w:val="54271E4B"/>
    <w:rsid w:val="54281FEA"/>
    <w:rsid w:val="542B1963"/>
    <w:rsid w:val="54330A77"/>
    <w:rsid w:val="543640C4"/>
    <w:rsid w:val="543728FF"/>
    <w:rsid w:val="543D3BBF"/>
    <w:rsid w:val="543F7950"/>
    <w:rsid w:val="544507BA"/>
    <w:rsid w:val="545C1875"/>
    <w:rsid w:val="545C3B2A"/>
    <w:rsid w:val="545C3CF9"/>
    <w:rsid w:val="546450D5"/>
    <w:rsid w:val="546B7FEA"/>
    <w:rsid w:val="547075D6"/>
    <w:rsid w:val="547A15AB"/>
    <w:rsid w:val="547D645D"/>
    <w:rsid w:val="547E1787"/>
    <w:rsid w:val="548026BD"/>
    <w:rsid w:val="549171C8"/>
    <w:rsid w:val="5497069B"/>
    <w:rsid w:val="549A28A4"/>
    <w:rsid w:val="54A2071D"/>
    <w:rsid w:val="54A22AAC"/>
    <w:rsid w:val="54B5148C"/>
    <w:rsid w:val="54C53DC5"/>
    <w:rsid w:val="54CB0353"/>
    <w:rsid w:val="54CB2383"/>
    <w:rsid w:val="54CF07A0"/>
    <w:rsid w:val="54D23DEC"/>
    <w:rsid w:val="54D31B41"/>
    <w:rsid w:val="54D51055"/>
    <w:rsid w:val="54DA0D43"/>
    <w:rsid w:val="54E02C53"/>
    <w:rsid w:val="54FC70BB"/>
    <w:rsid w:val="55110708"/>
    <w:rsid w:val="55161883"/>
    <w:rsid w:val="551B4A12"/>
    <w:rsid w:val="55200FFC"/>
    <w:rsid w:val="552A00CC"/>
    <w:rsid w:val="55321279"/>
    <w:rsid w:val="553C395C"/>
    <w:rsid w:val="553E4136"/>
    <w:rsid w:val="55483BA9"/>
    <w:rsid w:val="555146E8"/>
    <w:rsid w:val="55560EC1"/>
    <w:rsid w:val="555650C2"/>
    <w:rsid w:val="555675C0"/>
    <w:rsid w:val="55651104"/>
    <w:rsid w:val="55687334"/>
    <w:rsid w:val="556B6881"/>
    <w:rsid w:val="5575410F"/>
    <w:rsid w:val="557567F7"/>
    <w:rsid w:val="55765BEA"/>
    <w:rsid w:val="557B1CB3"/>
    <w:rsid w:val="558D3998"/>
    <w:rsid w:val="55933AFE"/>
    <w:rsid w:val="55AB702A"/>
    <w:rsid w:val="55B87486"/>
    <w:rsid w:val="55C23E61"/>
    <w:rsid w:val="55C37BD9"/>
    <w:rsid w:val="55CF657E"/>
    <w:rsid w:val="55D87076"/>
    <w:rsid w:val="55E329D8"/>
    <w:rsid w:val="55EB6F0B"/>
    <w:rsid w:val="55F90B77"/>
    <w:rsid w:val="55FB7E6D"/>
    <w:rsid w:val="56070B73"/>
    <w:rsid w:val="56091A90"/>
    <w:rsid w:val="560D01AB"/>
    <w:rsid w:val="56184C43"/>
    <w:rsid w:val="56237528"/>
    <w:rsid w:val="562B3203"/>
    <w:rsid w:val="563F3703"/>
    <w:rsid w:val="564D2224"/>
    <w:rsid w:val="565753CA"/>
    <w:rsid w:val="565A678F"/>
    <w:rsid w:val="56665134"/>
    <w:rsid w:val="56783DB8"/>
    <w:rsid w:val="56795D67"/>
    <w:rsid w:val="56861332"/>
    <w:rsid w:val="56921A85"/>
    <w:rsid w:val="569577C7"/>
    <w:rsid w:val="56A812A9"/>
    <w:rsid w:val="56AD5387"/>
    <w:rsid w:val="56B539C6"/>
    <w:rsid w:val="56BE6D1E"/>
    <w:rsid w:val="56C137C7"/>
    <w:rsid w:val="56C80086"/>
    <w:rsid w:val="56C87B9D"/>
    <w:rsid w:val="56DA600B"/>
    <w:rsid w:val="56E32B00"/>
    <w:rsid w:val="56EC3BB2"/>
    <w:rsid w:val="56EC7D2F"/>
    <w:rsid w:val="57065575"/>
    <w:rsid w:val="57120E18"/>
    <w:rsid w:val="57151371"/>
    <w:rsid w:val="571C73D5"/>
    <w:rsid w:val="572F5526"/>
    <w:rsid w:val="573568B4"/>
    <w:rsid w:val="5739500C"/>
    <w:rsid w:val="573A36D0"/>
    <w:rsid w:val="577E20FE"/>
    <w:rsid w:val="5780227B"/>
    <w:rsid w:val="57853398"/>
    <w:rsid w:val="578C7E7F"/>
    <w:rsid w:val="578F06BB"/>
    <w:rsid w:val="57923D07"/>
    <w:rsid w:val="57955278"/>
    <w:rsid w:val="57A86738"/>
    <w:rsid w:val="57A879A5"/>
    <w:rsid w:val="57B24283"/>
    <w:rsid w:val="57B679F5"/>
    <w:rsid w:val="57B936FA"/>
    <w:rsid w:val="57C24E79"/>
    <w:rsid w:val="57C33EC0"/>
    <w:rsid w:val="57CC115A"/>
    <w:rsid w:val="57D04FFF"/>
    <w:rsid w:val="57DD31D4"/>
    <w:rsid w:val="57DE622F"/>
    <w:rsid w:val="57DF06D6"/>
    <w:rsid w:val="57E83927"/>
    <w:rsid w:val="57EF6963"/>
    <w:rsid w:val="57F46841"/>
    <w:rsid w:val="57F61376"/>
    <w:rsid w:val="58052B78"/>
    <w:rsid w:val="5809354A"/>
    <w:rsid w:val="580E6A52"/>
    <w:rsid w:val="58162429"/>
    <w:rsid w:val="581C51E2"/>
    <w:rsid w:val="581D1822"/>
    <w:rsid w:val="581E73AC"/>
    <w:rsid w:val="58360B36"/>
    <w:rsid w:val="58405B96"/>
    <w:rsid w:val="58421289"/>
    <w:rsid w:val="5844246E"/>
    <w:rsid w:val="584916D2"/>
    <w:rsid w:val="5852474B"/>
    <w:rsid w:val="5856677F"/>
    <w:rsid w:val="58614E0C"/>
    <w:rsid w:val="58743095"/>
    <w:rsid w:val="587A0A23"/>
    <w:rsid w:val="587A6C75"/>
    <w:rsid w:val="58804092"/>
    <w:rsid w:val="588B2C30"/>
    <w:rsid w:val="58977827"/>
    <w:rsid w:val="5899014A"/>
    <w:rsid w:val="58A2068A"/>
    <w:rsid w:val="58A24F33"/>
    <w:rsid w:val="58A3509C"/>
    <w:rsid w:val="58B27FFE"/>
    <w:rsid w:val="58B3315C"/>
    <w:rsid w:val="58C0702C"/>
    <w:rsid w:val="58C22DDC"/>
    <w:rsid w:val="58C2799A"/>
    <w:rsid w:val="58C3686E"/>
    <w:rsid w:val="58C85C32"/>
    <w:rsid w:val="58CF1828"/>
    <w:rsid w:val="58D56E57"/>
    <w:rsid w:val="58ED38EB"/>
    <w:rsid w:val="58FC02AD"/>
    <w:rsid w:val="590A4312"/>
    <w:rsid w:val="590D43CD"/>
    <w:rsid w:val="590F0BFD"/>
    <w:rsid w:val="59103135"/>
    <w:rsid w:val="591C5F7E"/>
    <w:rsid w:val="59201E0F"/>
    <w:rsid w:val="592D0598"/>
    <w:rsid w:val="592E257F"/>
    <w:rsid w:val="59352859"/>
    <w:rsid w:val="59425BEE"/>
    <w:rsid w:val="59463C7B"/>
    <w:rsid w:val="5947124D"/>
    <w:rsid w:val="594E3729"/>
    <w:rsid w:val="59566FCC"/>
    <w:rsid w:val="595E0345"/>
    <w:rsid w:val="596A00C5"/>
    <w:rsid w:val="596C6687"/>
    <w:rsid w:val="597A1831"/>
    <w:rsid w:val="59934492"/>
    <w:rsid w:val="599913BB"/>
    <w:rsid w:val="59A06D56"/>
    <w:rsid w:val="59A62C9C"/>
    <w:rsid w:val="59AD2D8B"/>
    <w:rsid w:val="59BF2068"/>
    <w:rsid w:val="59C13A85"/>
    <w:rsid w:val="59D55159"/>
    <w:rsid w:val="59E21AF1"/>
    <w:rsid w:val="59FF3A77"/>
    <w:rsid w:val="5A020AAE"/>
    <w:rsid w:val="5A027610"/>
    <w:rsid w:val="5A0E1B3C"/>
    <w:rsid w:val="5A10053F"/>
    <w:rsid w:val="5A1031F5"/>
    <w:rsid w:val="5A161E02"/>
    <w:rsid w:val="5A276988"/>
    <w:rsid w:val="5A2B0E17"/>
    <w:rsid w:val="5A2F1CE1"/>
    <w:rsid w:val="5A4222C5"/>
    <w:rsid w:val="5A5B7CFF"/>
    <w:rsid w:val="5A5D684E"/>
    <w:rsid w:val="5A671EAB"/>
    <w:rsid w:val="5A696AFE"/>
    <w:rsid w:val="5A731BCE"/>
    <w:rsid w:val="5A7B0A82"/>
    <w:rsid w:val="5A7D00E8"/>
    <w:rsid w:val="5A83228F"/>
    <w:rsid w:val="5A875679"/>
    <w:rsid w:val="5A923705"/>
    <w:rsid w:val="5A9E5006"/>
    <w:rsid w:val="5AA500A3"/>
    <w:rsid w:val="5AAA0F54"/>
    <w:rsid w:val="5ABA2C57"/>
    <w:rsid w:val="5ABC2651"/>
    <w:rsid w:val="5AC10B8B"/>
    <w:rsid w:val="5AC57E7A"/>
    <w:rsid w:val="5AD54636"/>
    <w:rsid w:val="5AD85ED5"/>
    <w:rsid w:val="5ADA0B74"/>
    <w:rsid w:val="5ADC7773"/>
    <w:rsid w:val="5AEB58A3"/>
    <w:rsid w:val="5AEF4ADF"/>
    <w:rsid w:val="5AF745AD"/>
    <w:rsid w:val="5B00619A"/>
    <w:rsid w:val="5B0311A3"/>
    <w:rsid w:val="5B0C37B7"/>
    <w:rsid w:val="5B0E7B48"/>
    <w:rsid w:val="5B182775"/>
    <w:rsid w:val="5B256E83"/>
    <w:rsid w:val="5B2953CD"/>
    <w:rsid w:val="5B33135D"/>
    <w:rsid w:val="5B3B2FE3"/>
    <w:rsid w:val="5B447ECF"/>
    <w:rsid w:val="5B45033B"/>
    <w:rsid w:val="5B614F8E"/>
    <w:rsid w:val="5B6335C9"/>
    <w:rsid w:val="5B6C34FD"/>
    <w:rsid w:val="5B7A3C22"/>
    <w:rsid w:val="5B811EE9"/>
    <w:rsid w:val="5B81656C"/>
    <w:rsid w:val="5B873BF5"/>
    <w:rsid w:val="5B940A7D"/>
    <w:rsid w:val="5B9B13DC"/>
    <w:rsid w:val="5BA57979"/>
    <w:rsid w:val="5BA64BE9"/>
    <w:rsid w:val="5BAB685E"/>
    <w:rsid w:val="5BBE42ED"/>
    <w:rsid w:val="5BC00E43"/>
    <w:rsid w:val="5BC621D1"/>
    <w:rsid w:val="5BC67C21"/>
    <w:rsid w:val="5BC8375F"/>
    <w:rsid w:val="5BC96AFE"/>
    <w:rsid w:val="5BCD03E6"/>
    <w:rsid w:val="5BD14DFE"/>
    <w:rsid w:val="5BDC4FDA"/>
    <w:rsid w:val="5BE10DB9"/>
    <w:rsid w:val="5BE16AFB"/>
    <w:rsid w:val="5BE25646"/>
    <w:rsid w:val="5BE82BEF"/>
    <w:rsid w:val="5BEC7F94"/>
    <w:rsid w:val="5BEF34D6"/>
    <w:rsid w:val="5BF000ED"/>
    <w:rsid w:val="5BF66603"/>
    <w:rsid w:val="5BF74FA3"/>
    <w:rsid w:val="5C016123"/>
    <w:rsid w:val="5C067265"/>
    <w:rsid w:val="5C074730"/>
    <w:rsid w:val="5C0827EA"/>
    <w:rsid w:val="5C0A2D27"/>
    <w:rsid w:val="5C0F4771"/>
    <w:rsid w:val="5C1D0043"/>
    <w:rsid w:val="5C1F28AD"/>
    <w:rsid w:val="5C25514A"/>
    <w:rsid w:val="5C2A0B85"/>
    <w:rsid w:val="5C2F5FC8"/>
    <w:rsid w:val="5C2F70CC"/>
    <w:rsid w:val="5C34695B"/>
    <w:rsid w:val="5C427AD9"/>
    <w:rsid w:val="5C4557EC"/>
    <w:rsid w:val="5C4862C0"/>
    <w:rsid w:val="5C4B785F"/>
    <w:rsid w:val="5C4E46A0"/>
    <w:rsid w:val="5C4F3653"/>
    <w:rsid w:val="5C6173BF"/>
    <w:rsid w:val="5C747FCB"/>
    <w:rsid w:val="5C767419"/>
    <w:rsid w:val="5C801D9A"/>
    <w:rsid w:val="5C853236"/>
    <w:rsid w:val="5C903405"/>
    <w:rsid w:val="5C916731"/>
    <w:rsid w:val="5C936557"/>
    <w:rsid w:val="5C9443DE"/>
    <w:rsid w:val="5CA00639"/>
    <w:rsid w:val="5CA51411"/>
    <w:rsid w:val="5CB46156"/>
    <w:rsid w:val="5CB74280"/>
    <w:rsid w:val="5CBA3AE4"/>
    <w:rsid w:val="5CC52489"/>
    <w:rsid w:val="5CC76201"/>
    <w:rsid w:val="5CC84367"/>
    <w:rsid w:val="5CCB2BFB"/>
    <w:rsid w:val="5CCE57E1"/>
    <w:rsid w:val="5CD03307"/>
    <w:rsid w:val="5CD94E88"/>
    <w:rsid w:val="5CE548EA"/>
    <w:rsid w:val="5CE71579"/>
    <w:rsid w:val="5CF26C0C"/>
    <w:rsid w:val="5CF5541A"/>
    <w:rsid w:val="5CF6176C"/>
    <w:rsid w:val="5CF75F8E"/>
    <w:rsid w:val="5CF85D94"/>
    <w:rsid w:val="5CFB2E43"/>
    <w:rsid w:val="5CFF3BED"/>
    <w:rsid w:val="5D0134C1"/>
    <w:rsid w:val="5D025CF0"/>
    <w:rsid w:val="5D121B72"/>
    <w:rsid w:val="5D257E72"/>
    <w:rsid w:val="5D261179"/>
    <w:rsid w:val="5D2B2C34"/>
    <w:rsid w:val="5D2F3A4B"/>
    <w:rsid w:val="5D363899"/>
    <w:rsid w:val="5D395350"/>
    <w:rsid w:val="5D3B6B7F"/>
    <w:rsid w:val="5D4246D2"/>
    <w:rsid w:val="5D440A22"/>
    <w:rsid w:val="5D4D6706"/>
    <w:rsid w:val="5D5C4B9B"/>
    <w:rsid w:val="5D610403"/>
    <w:rsid w:val="5D883BE2"/>
    <w:rsid w:val="5D89252A"/>
    <w:rsid w:val="5D8B722E"/>
    <w:rsid w:val="5D8C435D"/>
    <w:rsid w:val="5D8F4F70"/>
    <w:rsid w:val="5D951AA7"/>
    <w:rsid w:val="5DA0752A"/>
    <w:rsid w:val="5DAA7FFC"/>
    <w:rsid w:val="5DB33CDB"/>
    <w:rsid w:val="5DBD6B07"/>
    <w:rsid w:val="5DDA5CAC"/>
    <w:rsid w:val="5DDE7158"/>
    <w:rsid w:val="5DED7523"/>
    <w:rsid w:val="5DF0765F"/>
    <w:rsid w:val="5DF81F3B"/>
    <w:rsid w:val="5E025615"/>
    <w:rsid w:val="5E070FAB"/>
    <w:rsid w:val="5E09251C"/>
    <w:rsid w:val="5E194BDD"/>
    <w:rsid w:val="5E1B6804"/>
    <w:rsid w:val="5E1D07CE"/>
    <w:rsid w:val="5E2107F4"/>
    <w:rsid w:val="5E256D6B"/>
    <w:rsid w:val="5E290F95"/>
    <w:rsid w:val="5E2A6CD1"/>
    <w:rsid w:val="5E330EAC"/>
    <w:rsid w:val="5E391380"/>
    <w:rsid w:val="5E455F5D"/>
    <w:rsid w:val="5E4B57FB"/>
    <w:rsid w:val="5E4C2E61"/>
    <w:rsid w:val="5E543AC4"/>
    <w:rsid w:val="5E543CA3"/>
    <w:rsid w:val="5E581806"/>
    <w:rsid w:val="5E5B1C8A"/>
    <w:rsid w:val="5E685A72"/>
    <w:rsid w:val="5E6E2DD8"/>
    <w:rsid w:val="5E733D2F"/>
    <w:rsid w:val="5E7B2A0D"/>
    <w:rsid w:val="5E8B1BDC"/>
    <w:rsid w:val="5E977765"/>
    <w:rsid w:val="5EA178AA"/>
    <w:rsid w:val="5EA32271"/>
    <w:rsid w:val="5EA640E6"/>
    <w:rsid w:val="5EAC56AE"/>
    <w:rsid w:val="5EAE6314"/>
    <w:rsid w:val="5EDD61AF"/>
    <w:rsid w:val="5EDF3CD6"/>
    <w:rsid w:val="5EE72B8A"/>
    <w:rsid w:val="5EEC63F2"/>
    <w:rsid w:val="5EFA28BD"/>
    <w:rsid w:val="5F0B6879"/>
    <w:rsid w:val="5F0F12C4"/>
    <w:rsid w:val="5F1320F8"/>
    <w:rsid w:val="5F1F1842"/>
    <w:rsid w:val="5F2136D2"/>
    <w:rsid w:val="5F23010B"/>
    <w:rsid w:val="5F247488"/>
    <w:rsid w:val="5F261904"/>
    <w:rsid w:val="5F346F7D"/>
    <w:rsid w:val="5F3D27AA"/>
    <w:rsid w:val="5F465B03"/>
    <w:rsid w:val="5F4866C4"/>
    <w:rsid w:val="5F4955F3"/>
    <w:rsid w:val="5F4F1DBC"/>
    <w:rsid w:val="5F593856"/>
    <w:rsid w:val="5F5F4E16"/>
    <w:rsid w:val="5F620E44"/>
    <w:rsid w:val="5F671A88"/>
    <w:rsid w:val="5F6B37BB"/>
    <w:rsid w:val="5F724B4A"/>
    <w:rsid w:val="5F776541"/>
    <w:rsid w:val="5F7A177C"/>
    <w:rsid w:val="5F85487D"/>
    <w:rsid w:val="5F8623A3"/>
    <w:rsid w:val="5F9F3932"/>
    <w:rsid w:val="5FA171DD"/>
    <w:rsid w:val="5FA42829"/>
    <w:rsid w:val="5FC609F2"/>
    <w:rsid w:val="5FD56E87"/>
    <w:rsid w:val="5FEE0423"/>
    <w:rsid w:val="5FF73052"/>
    <w:rsid w:val="5FF76DFD"/>
    <w:rsid w:val="5FF90DC7"/>
    <w:rsid w:val="60067B34"/>
    <w:rsid w:val="600F5017"/>
    <w:rsid w:val="601654D5"/>
    <w:rsid w:val="601B6B5B"/>
    <w:rsid w:val="60255718"/>
    <w:rsid w:val="603A3D0A"/>
    <w:rsid w:val="603E6F49"/>
    <w:rsid w:val="604C0EF7"/>
    <w:rsid w:val="60593B92"/>
    <w:rsid w:val="6065020A"/>
    <w:rsid w:val="607A7260"/>
    <w:rsid w:val="60835902"/>
    <w:rsid w:val="60844B35"/>
    <w:rsid w:val="60846C51"/>
    <w:rsid w:val="608763D3"/>
    <w:rsid w:val="6088131F"/>
    <w:rsid w:val="60886738"/>
    <w:rsid w:val="60944D82"/>
    <w:rsid w:val="609523CE"/>
    <w:rsid w:val="60956D42"/>
    <w:rsid w:val="609620D1"/>
    <w:rsid w:val="609A0252"/>
    <w:rsid w:val="60A97045"/>
    <w:rsid w:val="60AE46B5"/>
    <w:rsid w:val="60B52AB8"/>
    <w:rsid w:val="60B72E5A"/>
    <w:rsid w:val="60BF5B6D"/>
    <w:rsid w:val="60C116AE"/>
    <w:rsid w:val="60C303F4"/>
    <w:rsid w:val="60C448E6"/>
    <w:rsid w:val="60C73861"/>
    <w:rsid w:val="60C90799"/>
    <w:rsid w:val="60CB21A4"/>
    <w:rsid w:val="60D05AEA"/>
    <w:rsid w:val="60D4713E"/>
    <w:rsid w:val="60D809DC"/>
    <w:rsid w:val="60E038AB"/>
    <w:rsid w:val="60E1343C"/>
    <w:rsid w:val="60EA438C"/>
    <w:rsid w:val="60EB72F9"/>
    <w:rsid w:val="60EE5F5B"/>
    <w:rsid w:val="60EE6452"/>
    <w:rsid w:val="610008B3"/>
    <w:rsid w:val="61001C76"/>
    <w:rsid w:val="610F3942"/>
    <w:rsid w:val="6111791F"/>
    <w:rsid w:val="61292F8B"/>
    <w:rsid w:val="61333E65"/>
    <w:rsid w:val="61333F86"/>
    <w:rsid w:val="61353DCA"/>
    <w:rsid w:val="613A51F3"/>
    <w:rsid w:val="614870CD"/>
    <w:rsid w:val="61572B2D"/>
    <w:rsid w:val="615D0C29"/>
    <w:rsid w:val="616109D2"/>
    <w:rsid w:val="616715F3"/>
    <w:rsid w:val="61675C75"/>
    <w:rsid w:val="616B583F"/>
    <w:rsid w:val="61723AF4"/>
    <w:rsid w:val="617A1A94"/>
    <w:rsid w:val="617C1CB0"/>
    <w:rsid w:val="618C7E67"/>
    <w:rsid w:val="618E3791"/>
    <w:rsid w:val="61912710"/>
    <w:rsid w:val="619568CD"/>
    <w:rsid w:val="61A86601"/>
    <w:rsid w:val="61AA57C0"/>
    <w:rsid w:val="61B07C17"/>
    <w:rsid w:val="61B26AEA"/>
    <w:rsid w:val="61B74A96"/>
    <w:rsid w:val="61DC793B"/>
    <w:rsid w:val="61DE0CF0"/>
    <w:rsid w:val="61E15FB7"/>
    <w:rsid w:val="61EF537D"/>
    <w:rsid w:val="61F614BD"/>
    <w:rsid w:val="61FF196D"/>
    <w:rsid w:val="6204781D"/>
    <w:rsid w:val="62052AEA"/>
    <w:rsid w:val="62061EB4"/>
    <w:rsid w:val="620771B2"/>
    <w:rsid w:val="62132063"/>
    <w:rsid w:val="621413E8"/>
    <w:rsid w:val="621D6D0B"/>
    <w:rsid w:val="621E79B1"/>
    <w:rsid w:val="6221251B"/>
    <w:rsid w:val="62257C51"/>
    <w:rsid w:val="6226095C"/>
    <w:rsid w:val="622F47DC"/>
    <w:rsid w:val="62306C2E"/>
    <w:rsid w:val="623206EE"/>
    <w:rsid w:val="623747CE"/>
    <w:rsid w:val="62426A55"/>
    <w:rsid w:val="6248116E"/>
    <w:rsid w:val="62533736"/>
    <w:rsid w:val="62650996"/>
    <w:rsid w:val="62771362"/>
    <w:rsid w:val="62771F43"/>
    <w:rsid w:val="627A3F06"/>
    <w:rsid w:val="628F5B29"/>
    <w:rsid w:val="628F77C1"/>
    <w:rsid w:val="629937AF"/>
    <w:rsid w:val="62A3326C"/>
    <w:rsid w:val="62B334AF"/>
    <w:rsid w:val="62C11EAB"/>
    <w:rsid w:val="62C12233"/>
    <w:rsid w:val="62C57339"/>
    <w:rsid w:val="62C70D09"/>
    <w:rsid w:val="62C90F25"/>
    <w:rsid w:val="62C92CD3"/>
    <w:rsid w:val="62CA3B45"/>
    <w:rsid w:val="62D524B3"/>
    <w:rsid w:val="62D60F4C"/>
    <w:rsid w:val="62D7206A"/>
    <w:rsid w:val="62D963D1"/>
    <w:rsid w:val="62DE7670"/>
    <w:rsid w:val="62DF4051"/>
    <w:rsid w:val="62EA0E9B"/>
    <w:rsid w:val="62EC4C13"/>
    <w:rsid w:val="62ED08CB"/>
    <w:rsid w:val="62EE79FF"/>
    <w:rsid w:val="62F37D50"/>
    <w:rsid w:val="62FB553B"/>
    <w:rsid w:val="630B7139"/>
    <w:rsid w:val="63161C90"/>
    <w:rsid w:val="631A5AD9"/>
    <w:rsid w:val="63275050"/>
    <w:rsid w:val="632772B9"/>
    <w:rsid w:val="63312626"/>
    <w:rsid w:val="63487723"/>
    <w:rsid w:val="6352606D"/>
    <w:rsid w:val="63532BF1"/>
    <w:rsid w:val="6358707A"/>
    <w:rsid w:val="635B76A3"/>
    <w:rsid w:val="635D7793"/>
    <w:rsid w:val="635F0306"/>
    <w:rsid w:val="63605CB4"/>
    <w:rsid w:val="63626220"/>
    <w:rsid w:val="636B232C"/>
    <w:rsid w:val="636E6AA7"/>
    <w:rsid w:val="637075F2"/>
    <w:rsid w:val="63745085"/>
    <w:rsid w:val="637E191F"/>
    <w:rsid w:val="63874AAA"/>
    <w:rsid w:val="638D7C4C"/>
    <w:rsid w:val="639473AF"/>
    <w:rsid w:val="639A01CB"/>
    <w:rsid w:val="63A7515F"/>
    <w:rsid w:val="63AA35F8"/>
    <w:rsid w:val="63B35731"/>
    <w:rsid w:val="63B868A3"/>
    <w:rsid w:val="63C90AB0"/>
    <w:rsid w:val="63C95B09"/>
    <w:rsid w:val="63CF256B"/>
    <w:rsid w:val="63D330BE"/>
    <w:rsid w:val="63D64FE9"/>
    <w:rsid w:val="63DC5E52"/>
    <w:rsid w:val="63E13995"/>
    <w:rsid w:val="63E345BD"/>
    <w:rsid w:val="63E47698"/>
    <w:rsid w:val="63E93A97"/>
    <w:rsid w:val="63EA73A4"/>
    <w:rsid w:val="63F650F4"/>
    <w:rsid w:val="63FB0FF0"/>
    <w:rsid w:val="63FD075A"/>
    <w:rsid w:val="63FD62F6"/>
    <w:rsid w:val="640502D6"/>
    <w:rsid w:val="64055F8C"/>
    <w:rsid w:val="64076E97"/>
    <w:rsid w:val="641D2DED"/>
    <w:rsid w:val="641F7492"/>
    <w:rsid w:val="642A10AB"/>
    <w:rsid w:val="643045E8"/>
    <w:rsid w:val="643979E4"/>
    <w:rsid w:val="643B1B00"/>
    <w:rsid w:val="643C5ECA"/>
    <w:rsid w:val="6440512D"/>
    <w:rsid w:val="64416899"/>
    <w:rsid w:val="644A7E43"/>
    <w:rsid w:val="644D7933"/>
    <w:rsid w:val="644F71B9"/>
    <w:rsid w:val="64504D2E"/>
    <w:rsid w:val="64512668"/>
    <w:rsid w:val="645B0E41"/>
    <w:rsid w:val="645F2C73"/>
    <w:rsid w:val="645F59C0"/>
    <w:rsid w:val="646C19F5"/>
    <w:rsid w:val="64713622"/>
    <w:rsid w:val="647461B3"/>
    <w:rsid w:val="64746F5B"/>
    <w:rsid w:val="647548B5"/>
    <w:rsid w:val="64813ADA"/>
    <w:rsid w:val="64867B99"/>
    <w:rsid w:val="648913DD"/>
    <w:rsid w:val="648D1ADE"/>
    <w:rsid w:val="64917820"/>
    <w:rsid w:val="64994927"/>
    <w:rsid w:val="64A46735"/>
    <w:rsid w:val="64AA2C62"/>
    <w:rsid w:val="64AF414A"/>
    <w:rsid w:val="64B928D3"/>
    <w:rsid w:val="64BB23F7"/>
    <w:rsid w:val="64BB489D"/>
    <w:rsid w:val="64CC6F37"/>
    <w:rsid w:val="64DA2679"/>
    <w:rsid w:val="64DB424C"/>
    <w:rsid w:val="64E262CE"/>
    <w:rsid w:val="64EE6614"/>
    <w:rsid w:val="64EF7019"/>
    <w:rsid w:val="65104BDB"/>
    <w:rsid w:val="651A5A67"/>
    <w:rsid w:val="651E1E52"/>
    <w:rsid w:val="652337F8"/>
    <w:rsid w:val="652E0943"/>
    <w:rsid w:val="653F77DF"/>
    <w:rsid w:val="654E74BF"/>
    <w:rsid w:val="656771B8"/>
    <w:rsid w:val="656B7F5E"/>
    <w:rsid w:val="656C203B"/>
    <w:rsid w:val="657131AE"/>
    <w:rsid w:val="657A4758"/>
    <w:rsid w:val="657C013E"/>
    <w:rsid w:val="657F58CB"/>
    <w:rsid w:val="65837B95"/>
    <w:rsid w:val="658A4BD4"/>
    <w:rsid w:val="65AA6B1F"/>
    <w:rsid w:val="65AB2B63"/>
    <w:rsid w:val="65B36835"/>
    <w:rsid w:val="65B71D57"/>
    <w:rsid w:val="65BA1EE6"/>
    <w:rsid w:val="65BF50F4"/>
    <w:rsid w:val="65C078DB"/>
    <w:rsid w:val="65D508D4"/>
    <w:rsid w:val="65E91D22"/>
    <w:rsid w:val="65F65DA4"/>
    <w:rsid w:val="65F67457"/>
    <w:rsid w:val="65F70C50"/>
    <w:rsid w:val="6601099E"/>
    <w:rsid w:val="66056F22"/>
    <w:rsid w:val="660B53B0"/>
    <w:rsid w:val="661A1071"/>
    <w:rsid w:val="661C1FF4"/>
    <w:rsid w:val="661E1587"/>
    <w:rsid w:val="661F2427"/>
    <w:rsid w:val="662133DE"/>
    <w:rsid w:val="662F622C"/>
    <w:rsid w:val="6638713E"/>
    <w:rsid w:val="663A2D5F"/>
    <w:rsid w:val="66423F04"/>
    <w:rsid w:val="66434D00"/>
    <w:rsid w:val="664803B2"/>
    <w:rsid w:val="665931A6"/>
    <w:rsid w:val="665E1984"/>
    <w:rsid w:val="665E5BD6"/>
    <w:rsid w:val="66642A17"/>
    <w:rsid w:val="66653D14"/>
    <w:rsid w:val="66751F24"/>
    <w:rsid w:val="667662D7"/>
    <w:rsid w:val="66800934"/>
    <w:rsid w:val="66847AD9"/>
    <w:rsid w:val="66903FDC"/>
    <w:rsid w:val="66933384"/>
    <w:rsid w:val="66AA03AC"/>
    <w:rsid w:val="66AC2AFA"/>
    <w:rsid w:val="66AF22B7"/>
    <w:rsid w:val="66C22E6B"/>
    <w:rsid w:val="66C453A6"/>
    <w:rsid w:val="66CC2D91"/>
    <w:rsid w:val="66DE0D17"/>
    <w:rsid w:val="66F43511"/>
    <w:rsid w:val="66F465C8"/>
    <w:rsid w:val="66F67E0E"/>
    <w:rsid w:val="66FE3167"/>
    <w:rsid w:val="67024A05"/>
    <w:rsid w:val="670818F0"/>
    <w:rsid w:val="671309C0"/>
    <w:rsid w:val="671319B0"/>
    <w:rsid w:val="67177D85"/>
    <w:rsid w:val="67193AFD"/>
    <w:rsid w:val="67256B55"/>
    <w:rsid w:val="6727446C"/>
    <w:rsid w:val="67334E8F"/>
    <w:rsid w:val="673547F4"/>
    <w:rsid w:val="673C21BA"/>
    <w:rsid w:val="673D77EB"/>
    <w:rsid w:val="67484ED8"/>
    <w:rsid w:val="675945A7"/>
    <w:rsid w:val="675A65EF"/>
    <w:rsid w:val="675E7762"/>
    <w:rsid w:val="6767497C"/>
    <w:rsid w:val="67695363"/>
    <w:rsid w:val="677169B6"/>
    <w:rsid w:val="67767A86"/>
    <w:rsid w:val="67775419"/>
    <w:rsid w:val="677A27ED"/>
    <w:rsid w:val="677C6D75"/>
    <w:rsid w:val="6784575C"/>
    <w:rsid w:val="67856378"/>
    <w:rsid w:val="67886C99"/>
    <w:rsid w:val="67995D87"/>
    <w:rsid w:val="67A71109"/>
    <w:rsid w:val="67A97F67"/>
    <w:rsid w:val="67AD15DD"/>
    <w:rsid w:val="67CB3049"/>
    <w:rsid w:val="67CC28F2"/>
    <w:rsid w:val="67D10C3D"/>
    <w:rsid w:val="67D143D7"/>
    <w:rsid w:val="67D75874"/>
    <w:rsid w:val="67D76208"/>
    <w:rsid w:val="67DD0864"/>
    <w:rsid w:val="67DE3425"/>
    <w:rsid w:val="67EB702D"/>
    <w:rsid w:val="68133F4F"/>
    <w:rsid w:val="681C2026"/>
    <w:rsid w:val="681D1547"/>
    <w:rsid w:val="682F1DBC"/>
    <w:rsid w:val="68351CE3"/>
    <w:rsid w:val="68385372"/>
    <w:rsid w:val="683F57E5"/>
    <w:rsid w:val="68425F52"/>
    <w:rsid w:val="684B3407"/>
    <w:rsid w:val="68525518"/>
    <w:rsid w:val="68531926"/>
    <w:rsid w:val="686A0AB4"/>
    <w:rsid w:val="686D2352"/>
    <w:rsid w:val="687C4C8C"/>
    <w:rsid w:val="688200A3"/>
    <w:rsid w:val="688C4126"/>
    <w:rsid w:val="68923B67"/>
    <w:rsid w:val="68A613C0"/>
    <w:rsid w:val="68AF4719"/>
    <w:rsid w:val="68BA4E6C"/>
    <w:rsid w:val="68BD5357"/>
    <w:rsid w:val="68C4111D"/>
    <w:rsid w:val="68C66BAB"/>
    <w:rsid w:val="68CE106D"/>
    <w:rsid w:val="68D07001"/>
    <w:rsid w:val="68E44A55"/>
    <w:rsid w:val="68EA5751"/>
    <w:rsid w:val="68ED3493"/>
    <w:rsid w:val="68F1591B"/>
    <w:rsid w:val="68F760C0"/>
    <w:rsid w:val="68FF3325"/>
    <w:rsid w:val="6916570E"/>
    <w:rsid w:val="691A1C90"/>
    <w:rsid w:val="691D1FE4"/>
    <w:rsid w:val="691F2E8A"/>
    <w:rsid w:val="6922313D"/>
    <w:rsid w:val="692C5E02"/>
    <w:rsid w:val="693634DB"/>
    <w:rsid w:val="6939019D"/>
    <w:rsid w:val="693C4BE9"/>
    <w:rsid w:val="693F151C"/>
    <w:rsid w:val="693F3D7D"/>
    <w:rsid w:val="6942677A"/>
    <w:rsid w:val="694E0453"/>
    <w:rsid w:val="694F7CAA"/>
    <w:rsid w:val="6955669D"/>
    <w:rsid w:val="69670B4F"/>
    <w:rsid w:val="69726E9C"/>
    <w:rsid w:val="697830AA"/>
    <w:rsid w:val="697E07AC"/>
    <w:rsid w:val="698E5D07"/>
    <w:rsid w:val="69935DE8"/>
    <w:rsid w:val="69A2602B"/>
    <w:rsid w:val="69A36D73"/>
    <w:rsid w:val="69A569AD"/>
    <w:rsid w:val="69A95206"/>
    <w:rsid w:val="69B01336"/>
    <w:rsid w:val="69D90C9C"/>
    <w:rsid w:val="69DD733D"/>
    <w:rsid w:val="69F1426A"/>
    <w:rsid w:val="69F331D1"/>
    <w:rsid w:val="69F65C23"/>
    <w:rsid w:val="69FD3958"/>
    <w:rsid w:val="6A0171F6"/>
    <w:rsid w:val="6A041EDA"/>
    <w:rsid w:val="6A12583C"/>
    <w:rsid w:val="6A194EEC"/>
    <w:rsid w:val="6A220F1A"/>
    <w:rsid w:val="6A2B5BCA"/>
    <w:rsid w:val="6A440E91"/>
    <w:rsid w:val="6A4814BC"/>
    <w:rsid w:val="6A492BFA"/>
    <w:rsid w:val="6A674B7F"/>
    <w:rsid w:val="6A794FDE"/>
    <w:rsid w:val="6A7C687C"/>
    <w:rsid w:val="6A7E1EF5"/>
    <w:rsid w:val="6A7F636D"/>
    <w:rsid w:val="6A9109C2"/>
    <w:rsid w:val="6A9468FC"/>
    <w:rsid w:val="6A9568EA"/>
    <w:rsid w:val="6A95793E"/>
    <w:rsid w:val="6A9E4A45"/>
    <w:rsid w:val="6AAB5D4B"/>
    <w:rsid w:val="6AB5040F"/>
    <w:rsid w:val="6ABA7459"/>
    <w:rsid w:val="6AC0558E"/>
    <w:rsid w:val="6AC124E1"/>
    <w:rsid w:val="6AC37E85"/>
    <w:rsid w:val="6AC9226C"/>
    <w:rsid w:val="6ACA3A8C"/>
    <w:rsid w:val="6ACA775E"/>
    <w:rsid w:val="6AD03C2A"/>
    <w:rsid w:val="6AD11453"/>
    <w:rsid w:val="6AD57F28"/>
    <w:rsid w:val="6AE01E1B"/>
    <w:rsid w:val="6AE76BE9"/>
    <w:rsid w:val="6AFF4C5D"/>
    <w:rsid w:val="6B1730B2"/>
    <w:rsid w:val="6B223B80"/>
    <w:rsid w:val="6B3F77CE"/>
    <w:rsid w:val="6B482C03"/>
    <w:rsid w:val="6B4A5783"/>
    <w:rsid w:val="6B4E6EC7"/>
    <w:rsid w:val="6B533A81"/>
    <w:rsid w:val="6B767770"/>
    <w:rsid w:val="6B79131D"/>
    <w:rsid w:val="6B804C2E"/>
    <w:rsid w:val="6B9300C4"/>
    <w:rsid w:val="6B981A9A"/>
    <w:rsid w:val="6B9E2823"/>
    <w:rsid w:val="6BA37E39"/>
    <w:rsid w:val="6BA442DD"/>
    <w:rsid w:val="6BA65274"/>
    <w:rsid w:val="6BAC6CE3"/>
    <w:rsid w:val="6BB40298"/>
    <w:rsid w:val="6BB772CE"/>
    <w:rsid w:val="6BB8040C"/>
    <w:rsid w:val="6BBB2EE0"/>
    <w:rsid w:val="6BC77FCB"/>
    <w:rsid w:val="6BCA1E1E"/>
    <w:rsid w:val="6BDB7E32"/>
    <w:rsid w:val="6BDF3567"/>
    <w:rsid w:val="6BE65114"/>
    <w:rsid w:val="6BE73F03"/>
    <w:rsid w:val="6BE96C2C"/>
    <w:rsid w:val="6BEE5FF9"/>
    <w:rsid w:val="6BEE7306"/>
    <w:rsid w:val="6BF32B6E"/>
    <w:rsid w:val="6C083654"/>
    <w:rsid w:val="6C092392"/>
    <w:rsid w:val="6C0E7AD8"/>
    <w:rsid w:val="6C152AE5"/>
    <w:rsid w:val="6C1B20C5"/>
    <w:rsid w:val="6C1F47D7"/>
    <w:rsid w:val="6C24687B"/>
    <w:rsid w:val="6C350CF1"/>
    <w:rsid w:val="6C4D3E71"/>
    <w:rsid w:val="6C5775A1"/>
    <w:rsid w:val="6C630337"/>
    <w:rsid w:val="6C64581A"/>
    <w:rsid w:val="6C6E6DCF"/>
    <w:rsid w:val="6C7E2CAC"/>
    <w:rsid w:val="6C8030F0"/>
    <w:rsid w:val="6C824F83"/>
    <w:rsid w:val="6C892C21"/>
    <w:rsid w:val="6C920CDA"/>
    <w:rsid w:val="6C9C46B2"/>
    <w:rsid w:val="6CAD4A62"/>
    <w:rsid w:val="6CD7206A"/>
    <w:rsid w:val="6CD91B4A"/>
    <w:rsid w:val="6CD93EA1"/>
    <w:rsid w:val="6CF9345F"/>
    <w:rsid w:val="6D002FBD"/>
    <w:rsid w:val="6D01588A"/>
    <w:rsid w:val="6D04420F"/>
    <w:rsid w:val="6D0448B3"/>
    <w:rsid w:val="6D072E5F"/>
    <w:rsid w:val="6D15590F"/>
    <w:rsid w:val="6D2059ED"/>
    <w:rsid w:val="6D223ED5"/>
    <w:rsid w:val="6D2750F4"/>
    <w:rsid w:val="6D343522"/>
    <w:rsid w:val="6D381F23"/>
    <w:rsid w:val="6D3D123E"/>
    <w:rsid w:val="6D446798"/>
    <w:rsid w:val="6D56640D"/>
    <w:rsid w:val="6D5835E0"/>
    <w:rsid w:val="6D5B4E6F"/>
    <w:rsid w:val="6D5D3C94"/>
    <w:rsid w:val="6D637F1E"/>
    <w:rsid w:val="6D6E405D"/>
    <w:rsid w:val="6D700645"/>
    <w:rsid w:val="6D7E66A0"/>
    <w:rsid w:val="6D7F2E4E"/>
    <w:rsid w:val="6D877A12"/>
    <w:rsid w:val="6D960DC8"/>
    <w:rsid w:val="6D9640F9"/>
    <w:rsid w:val="6DA02882"/>
    <w:rsid w:val="6DAD4617"/>
    <w:rsid w:val="6DB35909"/>
    <w:rsid w:val="6DBB4AEC"/>
    <w:rsid w:val="6DBB76BC"/>
    <w:rsid w:val="6DBD1531"/>
    <w:rsid w:val="6DC36570"/>
    <w:rsid w:val="6DC82F1B"/>
    <w:rsid w:val="6DC86141"/>
    <w:rsid w:val="6DCA6AC4"/>
    <w:rsid w:val="6DCC3677"/>
    <w:rsid w:val="6DDA2238"/>
    <w:rsid w:val="6DE11A7D"/>
    <w:rsid w:val="6DED7DA3"/>
    <w:rsid w:val="6DEE0292"/>
    <w:rsid w:val="6DF800C1"/>
    <w:rsid w:val="6E080427"/>
    <w:rsid w:val="6E113780"/>
    <w:rsid w:val="6E160D96"/>
    <w:rsid w:val="6E280A0D"/>
    <w:rsid w:val="6E315BD0"/>
    <w:rsid w:val="6E3631E6"/>
    <w:rsid w:val="6E3644ED"/>
    <w:rsid w:val="6E445903"/>
    <w:rsid w:val="6E580410"/>
    <w:rsid w:val="6E5A218B"/>
    <w:rsid w:val="6E6164B5"/>
    <w:rsid w:val="6E6316D1"/>
    <w:rsid w:val="6E7E0728"/>
    <w:rsid w:val="6E846C45"/>
    <w:rsid w:val="6E8F3CCD"/>
    <w:rsid w:val="6E91666F"/>
    <w:rsid w:val="6E930639"/>
    <w:rsid w:val="6E9E491F"/>
    <w:rsid w:val="6EA358EB"/>
    <w:rsid w:val="6EA65F47"/>
    <w:rsid w:val="6EAD56AD"/>
    <w:rsid w:val="6EB000E1"/>
    <w:rsid w:val="6EC555FF"/>
    <w:rsid w:val="6EC9405A"/>
    <w:rsid w:val="6ECE14D2"/>
    <w:rsid w:val="6ED44F12"/>
    <w:rsid w:val="6EDA0016"/>
    <w:rsid w:val="6EDA3B7F"/>
    <w:rsid w:val="6EDC4294"/>
    <w:rsid w:val="6EDF387E"/>
    <w:rsid w:val="6EE3511C"/>
    <w:rsid w:val="6EE640A0"/>
    <w:rsid w:val="6EEF1D13"/>
    <w:rsid w:val="6EF02054"/>
    <w:rsid w:val="6EF25AF0"/>
    <w:rsid w:val="6EF759ED"/>
    <w:rsid w:val="6EFA0FA7"/>
    <w:rsid w:val="6EFE0E88"/>
    <w:rsid w:val="6F0137F4"/>
    <w:rsid w:val="6F0D5F5A"/>
    <w:rsid w:val="6F15104E"/>
    <w:rsid w:val="6F1A6664"/>
    <w:rsid w:val="6F1C23DC"/>
    <w:rsid w:val="6F23376B"/>
    <w:rsid w:val="6F2B0871"/>
    <w:rsid w:val="6F343BCA"/>
    <w:rsid w:val="6F345707"/>
    <w:rsid w:val="6F3850FB"/>
    <w:rsid w:val="6F3F60CB"/>
    <w:rsid w:val="6F4105E7"/>
    <w:rsid w:val="6F433E0D"/>
    <w:rsid w:val="6F437969"/>
    <w:rsid w:val="6F464718"/>
    <w:rsid w:val="6F4831D1"/>
    <w:rsid w:val="6F48387E"/>
    <w:rsid w:val="6F4D07E7"/>
    <w:rsid w:val="6F524CC8"/>
    <w:rsid w:val="6F5C6C7D"/>
    <w:rsid w:val="6F6A54D1"/>
    <w:rsid w:val="6F6F3387"/>
    <w:rsid w:val="6F757355"/>
    <w:rsid w:val="6F765042"/>
    <w:rsid w:val="6F773AB6"/>
    <w:rsid w:val="6F885CC3"/>
    <w:rsid w:val="6F90501F"/>
    <w:rsid w:val="6F947D72"/>
    <w:rsid w:val="6F9B1553"/>
    <w:rsid w:val="6F9B5301"/>
    <w:rsid w:val="6FB14D30"/>
    <w:rsid w:val="6FB47687"/>
    <w:rsid w:val="6FBA2DD6"/>
    <w:rsid w:val="6FBD7AD9"/>
    <w:rsid w:val="6FC35A17"/>
    <w:rsid w:val="6FC7059A"/>
    <w:rsid w:val="6FCD7C56"/>
    <w:rsid w:val="6FD0269B"/>
    <w:rsid w:val="6FD40F09"/>
    <w:rsid w:val="6FDE3B35"/>
    <w:rsid w:val="6FE33C2E"/>
    <w:rsid w:val="6FE61E16"/>
    <w:rsid w:val="6FEE3A32"/>
    <w:rsid w:val="6FFC0328"/>
    <w:rsid w:val="6FFE7D34"/>
    <w:rsid w:val="70071414"/>
    <w:rsid w:val="70106AAE"/>
    <w:rsid w:val="702A6A7C"/>
    <w:rsid w:val="703807A8"/>
    <w:rsid w:val="7038498C"/>
    <w:rsid w:val="703E5658"/>
    <w:rsid w:val="70431A4B"/>
    <w:rsid w:val="70453BB5"/>
    <w:rsid w:val="70562C94"/>
    <w:rsid w:val="705644F5"/>
    <w:rsid w:val="70593412"/>
    <w:rsid w:val="705942CF"/>
    <w:rsid w:val="705F07D2"/>
    <w:rsid w:val="70710870"/>
    <w:rsid w:val="70736A05"/>
    <w:rsid w:val="707B053E"/>
    <w:rsid w:val="707F2C23"/>
    <w:rsid w:val="708644AE"/>
    <w:rsid w:val="70910BA8"/>
    <w:rsid w:val="709578E2"/>
    <w:rsid w:val="709B5583"/>
    <w:rsid w:val="709E6AD1"/>
    <w:rsid w:val="70A13110"/>
    <w:rsid w:val="70AC51C6"/>
    <w:rsid w:val="70B07280"/>
    <w:rsid w:val="70CD516E"/>
    <w:rsid w:val="70CE7706"/>
    <w:rsid w:val="70DF5DB7"/>
    <w:rsid w:val="70E064F2"/>
    <w:rsid w:val="70F133F4"/>
    <w:rsid w:val="70FC0717"/>
    <w:rsid w:val="7117398D"/>
    <w:rsid w:val="711A6DEF"/>
    <w:rsid w:val="711B78B6"/>
    <w:rsid w:val="71297994"/>
    <w:rsid w:val="712B7E20"/>
    <w:rsid w:val="71303CAD"/>
    <w:rsid w:val="7139539C"/>
    <w:rsid w:val="714B1E7B"/>
    <w:rsid w:val="71577D1C"/>
    <w:rsid w:val="7160306C"/>
    <w:rsid w:val="716064CB"/>
    <w:rsid w:val="717C1858"/>
    <w:rsid w:val="71804EA4"/>
    <w:rsid w:val="718B3076"/>
    <w:rsid w:val="718D136F"/>
    <w:rsid w:val="719426FE"/>
    <w:rsid w:val="719739A2"/>
    <w:rsid w:val="71993A6D"/>
    <w:rsid w:val="719B34F1"/>
    <w:rsid w:val="719E17CE"/>
    <w:rsid w:val="71A14E1B"/>
    <w:rsid w:val="71A27AAE"/>
    <w:rsid w:val="71A36DE5"/>
    <w:rsid w:val="71AB48C4"/>
    <w:rsid w:val="71AF5789"/>
    <w:rsid w:val="71B256A1"/>
    <w:rsid w:val="71BB5EDC"/>
    <w:rsid w:val="71C836D8"/>
    <w:rsid w:val="71CA6589"/>
    <w:rsid w:val="71D271CF"/>
    <w:rsid w:val="71DF0F1B"/>
    <w:rsid w:val="71E25CAE"/>
    <w:rsid w:val="71E80C9B"/>
    <w:rsid w:val="71F663E5"/>
    <w:rsid w:val="71FE5807"/>
    <w:rsid w:val="72021D5D"/>
    <w:rsid w:val="72027563"/>
    <w:rsid w:val="720D543A"/>
    <w:rsid w:val="720F02FF"/>
    <w:rsid w:val="72127AC6"/>
    <w:rsid w:val="72131035"/>
    <w:rsid w:val="72133F6A"/>
    <w:rsid w:val="7214383E"/>
    <w:rsid w:val="72233A82"/>
    <w:rsid w:val="722424EC"/>
    <w:rsid w:val="72386BF0"/>
    <w:rsid w:val="72393B22"/>
    <w:rsid w:val="723B701D"/>
    <w:rsid w:val="723D0FE7"/>
    <w:rsid w:val="723E08BB"/>
    <w:rsid w:val="724F0C1E"/>
    <w:rsid w:val="72574A52"/>
    <w:rsid w:val="725C5A9E"/>
    <w:rsid w:val="72660971"/>
    <w:rsid w:val="72727790"/>
    <w:rsid w:val="7275252F"/>
    <w:rsid w:val="72796501"/>
    <w:rsid w:val="727C1AD4"/>
    <w:rsid w:val="72873462"/>
    <w:rsid w:val="72884682"/>
    <w:rsid w:val="7289422C"/>
    <w:rsid w:val="7291778A"/>
    <w:rsid w:val="72997249"/>
    <w:rsid w:val="72A049EC"/>
    <w:rsid w:val="72AC1CC9"/>
    <w:rsid w:val="72C54B45"/>
    <w:rsid w:val="72C94598"/>
    <w:rsid w:val="72CA465D"/>
    <w:rsid w:val="72CB4E89"/>
    <w:rsid w:val="72DD12A6"/>
    <w:rsid w:val="72E256EB"/>
    <w:rsid w:val="72E35DA1"/>
    <w:rsid w:val="72E41463"/>
    <w:rsid w:val="72E47ECE"/>
    <w:rsid w:val="72EE22E1"/>
    <w:rsid w:val="72FB055A"/>
    <w:rsid w:val="73021A69"/>
    <w:rsid w:val="730858B9"/>
    <w:rsid w:val="730E4732"/>
    <w:rsid w:val="731004AA"/>
    <w:rsid w:val="7323704F"/>
    <w:rsid w:val="73291C23"/>
    <w:rsid w:val="73346C9F"/>
    <w:rsid w:val="733552ED"/>
    <w:rsid w:val="73415436"/>
    <w:rsid w:val="734A7387"/>
    <w:rsid w:val="734F6177"/>
    <w:rsid w:val="73522870"/>
    <w:rsid w:val="73572D10"/>
    <w:rsid w:val="73593ABA"/>
    <w:rsid w:val="735C005A"/>
    <w:rsid w:val="735F6D3B"/>
    <w:rsid w:val="736073AD"/>
    <w:rsid w:val="73607D61"/>
    <w:rsid w:val="73684AB4"/>
    <w:rsid w:val="737A14CF"/>
    <w:rsid w:val="7383420D"/>
    <w:rsid w:val="738A200A"/>
    <w:rsid w:val="738C1377"/>
    <w:rsid w:val="739218F0"/>
    <w:rsid w:val="739226A5"/>
    <w:rsid w:val="73972066"/>
    <w:rsid w:val="73A429A0"/>
    <w:rsid w:val="73AD30AD"/>
    <w:rsid w:val="73B06FFE"/>
    <w:rsid w:val="73BD57A4"/>
    <w:rsid w:val="73C25186"/>
    <w:rsid w:val="73C93B06"/>
    <w:rsid w:val="73CE0235"/>
    <w:rsid w:val="73D05ED8"/>
    <w:rsid w:val="73D4451E"/>
    <w:rsid w:val="73D5156F"/>
    <w:rsid w:val="73D553E7"/>
    <w:rsid w:val="73D64502"/>
    <w:rsid w:val="73D86C91"/>
    <w:rsid w:val="73E63A06"/>
    <w:rsid w:val="73F25C64"/>
    <w:rsid w:val="73F94DAE"/>
    <w:rsid w:val="741048D5"/>
    <w:rsid w:val="74123DAE"/>
    <w:rsid w:val="741D2440"/>
    <w:rsid w:val="741F5B6D"/>
    <w:rsid w:val="74274E08"/>
    <w:rsid w:val="742C1313"/>
    <w:rsid w:val="742C4E6F"/>
    <w:rsid w:val="742D6FFD"/>
    <w:rsid w:val="74315F89"/>
    <w:rsid w:val="744651CD"/>
    <w:rsid w:val="74471CA9"/>
    <w:rsid w:val="744A2CF5"/>
    <w:rsid w:val="745F53A2"/>
    <w:rsid w:val="74647000"/>
    <w:rsid w:val="746E6CF9"/>
    <w:rsid w:val="746F4FC8"/>
    <w:rsid w:val="746F7452"/>
    <w:rsid w:val="74713FC1"/>
    <w:rsid w:val="74783292"/>
    <w:rsid w:val="747D1B6F"/>
    <w:rsid w:val="747E1389"/>
    <w:rsid w:val="747E4337"/>
    <w:rsid w:val="74862FA0"/>
    <w:rsid w:val="7487479C"/>
    <w:rsid w:val="74895A9B"/>
    <w:rsid w:val="748B700A"/>
    <w:rsid w:val="74A76BEC"/>
    <w:rsid w:val="74B60BDD"/>
    <w:rsid w:val="74C46474"/>
    <w:rsid w:val="74CA4E43"/>
    <w:rsid w:val="74CE543E"/>
    <w:rsid w:val="74D009C2"/>
    <w:rsid w:val="74D44ACC"/>
    <w:rsid w:val="74D671CE"/>
    <w:rsid w:val="74E67714"/>
    <w:rsid w:val="74E7348C"/>
    <w:rsid w:val="74EB70E0"/>
    <w:rsid w:val="74F027AE"/>
    <w:rsid w:val="74F95945"/>
    <w:rsid w:val="74FA7368"/>
    <w:rsid w:val="7524023C"/>
    <w:rsid w:val="75310520"/>
    <w:rsid w:val="75355AFA"/>
    <w:rsid w:val="75361166"/>
    <w:rsid w:val="75383CE8"/>
    <w:rsid w:val="75475CD9"/>
    <w:rsid w:val="754C722F"/>
    <w:rsid w:val="755212F7"/>
    <w:rsid w:val="755830E8"/>
    <w:rsid w:val="755F365A"/>
    <w:rsid w:val="756224FB"/>
    <w:rsid w:val="75680C85"/>
    <w:rsid w:val="756B1076"/>
    <w:rsid w:val="756F2A9C"/>
    <w:rsid w:val="757545F4"/>
    <w:rsid w:val="757A4300"/>
    <w:rsid w:val="758839E4"/>
    <w:rsid w:val="759A11FF"/>
    <w:rsid w:val="759A22AD"/>
    <w:rsid w:val="759D2392"/>
    <w:rsid w:val="759E7FEF"/>
    <w:rsid w:val="75AC07FE"/>
    <w:rsid w:val="75AD2D24"/>
    <w:rsid w:val="75BB5FF0"/>
    <w:rsid w:val="75C31803"/>
    <w:rsid w:val="75CB06B8"/>
    <w:rsid w:val="75CD4430"/>
    <w:rsid w:val="75D27C98"/>
    <w:rsid w:val="75D30493"/>
    <w:rsid w:val="75DC0B17"/>
    <w:rsid w:val="75E4177A"/>
    <w:rsid w:val="75E72E7E"/>
    <w:rsid w:val="75F04612"/>
    <w:rsid w:val="75FB6152"/>
    <w:rsid w:val="75FD70E9"/>
    <w:rsid w:val="76004D64"/>
    <w:rsid w:val="76015A56"/>
    <w:rsid w:val="760F067E"/>
    <w:rsid w:val="760F67F7"/>
    <w:rsid w:val="761330E9"/>
    <w:rsid w:val="76133609"/>
    <w:rsid w:val="76146539"/>
    <w:rsid w:val="7615076A"/>
    <w:rsid w:val="76210E85"/>
    <w:rsid w:val="763B0963"/>
    <w:rsid w:val="764D52F9"/>
    <w:rsid w:val="76544B51"/>
    <w:rsid w:val="766510B3"/>
    <w:rsid w:val="766C253D"/>
    <w:rsid w:val="766E5C13"/>
    <w:rsid w:val="766F54E7"/>
    <w:rsid w:val="76780840"/>
    <w:rsid w:val="767D37D4"/>
    <w:rsid w:val="767D5E56"/>
    <w:rsid w:val="767F2D45"/>
    <w:rsid w:val="768A0573"/>
    <w:rsid w:val="768D5349"/>
    <w:rsid w:val="769D02A6"/>
    <w:rsid w:val="76A17CE5"/>
    <w:rsid w:val="76CF41D8"/>
    <w:rsid w:val="76D66404"/>
    <w:rsid w:val="76D80FB5"/>
    <w:rsid w:val="76D87530"/>
    <w:rsid w:val="76D9685D"/>
    <w:rsid w:val="76E73992"/>
    <w:rsid w:val="76EC6D39"/>
    <w:rsid w:val="76F43032"/>
    <w:rsid w:val="76F7284D"/>
    <w:rsid w:val="77106CCA"/>
    <w:rsid w:val="77187A2C"/>
    <w:rsid w:val="771B3664"/>
    <w:rsid w:val="771F42D7"/>
    <w:rsid w:val="771F5D09"/>
    <w:rsid w:val="77214368"/>
    <w:rsid w:val="772616E6"/>
    <w:rsid w:val="772C5C56"/>
    <w:rsid w:val="77361998"/>
    <w:rsid w:val="773A4817"/>
    <w:rsid w:val="773E351C"/>
    <w:rsid w:val="77457A28"/>
    <w:rsid w:val="774676CF"/>
    <w:rsid w:val="774B7D02"/>
    <w:rsid w:val="774E15A1"/>
    <w:rsid w:val="7752018E"/>
    <w:rsid w:val="77614265"/>
    <w:rsid w:val="777015B2"/>
    <w:rsid w:val="77731007"/>
    <w:rsid w:val="7775502F"/>
    <w:rsid w:val="77811976"/>
    <w:rsid w:val="77860D3A"/>
    <w:rsid w:val="77884AB3"/>
    <w:rsid w:val="778D79A7"/>
    <w:rsid w:val="77AD276B"/>
    <w:rsid w:val="77AE38A3"/>
    <w:rsid w:val="77AE7A46"/>
    <w:rsid w:val="77B96653"/>
    <w:rsid w:val="77BA09E4"/>
    <w:rsid w:val="77C11FB8"/>
    <w:rsid w:val="77D20625"/>
    <w:rsid w:val="77EF1213"/>
    <w:rsid w:val="77F51D1A"/>
    <w:rsid w:val="77F834E0"/>
    <w:rsid w:val="780103C1"/>
    <w:rsid w:val="78014865"/>
    <w:rsid w:val="78025191"/>
    <w:rsid w:val="78061E7B"/>
    <w:rsid w:val="780B7492"/>
    <w:rsid w:val="781716E6"/>
    <w:rsid w:val="78222BDF"/>
    <w:rsid w:val="7826607A"/>
    <w:rsid w:val="78272C9E"/>
    <w:rsid w:val="783428CF"/>
    <w:rsid w:val="78414C61"/>
    <w:rsid w:val="784D2D5B"/>
    <w:rsid w:val="784F3822"/>
    <w:rsid w:val="785C60D0"/>
    <w:rsid w:val="785D6C46"/>
    <w:rsid w:val="78676F01"/>
    <w:rsid w:val="7872306D"/>
    <w:rsid w:val="7873167B"/>
    <w:rsid w:val="78776346"/>
    <w:rsid w:val="787978AF"/>
    <w:rsid w:val="7883171E"/>
    <w:rsid w:val="78853969"/>
    <w:rsid w:val="7894770E"/>
    <w:rsid w:val="789711D5"/>
    <w:rsid w:val="78A27DF6"/>
    <w:rsid w:val="78AA0A59"/>
    <w:rsid w:val="78AA3DE3"/>
    <w:rsid w:val="78B95836"/>
    <w:rsid w:val="78BF6B5E"/>
    <w:rsid w:val="78CB6FD6"/>
    <w:rsid w:val="78CC4217"/>
    <w:rsid w:val="78CC74D0"/>
    <w:rsid w:val="78D15FE5"/>
    <w:rsid w:val="78D4206C"/>
    <w:rsid w:val="78DA7590"/>
    <w:rsid w:val="78E51A91"/>
    <w:rsid w:val="78E520B8"/>
    <w:rsid w:val="78EA5710"/>
    <w:rsid w:val="78EE4DE9"/>
    <w:rsid w:val="78F059DB"/>
    <w:rsid w:val="78F4665A"/>
    <w:rsid w:val="78F64A8E"/>
    <w:rsid w:val="78F82897"/>
    <w:rsid w:val="78FF6405"/>
    <w:rsid w:val="790278A8"/>
    <w:rsid w:val="79045047"/>
    <w:rsid w:val="790C34C1"/>
    <w:rsid w:val="790E7239"/>
    <w:rsid w:val="7911727B"/>
    <w:rsid w:val="791A15BB"/>
    <w:rsid w:val="79345C92"/>
    <w:rsid w:val="794B5D05"/>
    <w:rsid w:val="79591B94"/>
    <w:rsid w:val="795F1843"/>
    <w:rsid w:val="795F1851"/>
    <w:rsid w:val="796D5C3E"/>
    <w:rsid w:val="79747B72"/>
    <w:rsid w:val="797B41A3"/>
    <w:rsid w:val="797E1517"/>
    <w:rsid w:val="798307C1"/>
    <w:rsid w:val="79877DE8"/>
    <w:rsid w:val="79907C4E"/>
    <w:rsid w:val="79915775"/>
    <w:rsid w:val="79973F10"/>
    <w:rsid w:val="79A2426C"/>
    <w:rsid w:val="79B52517"/>
    <w:rsid w:val="79BA4CCB"/>
    <w:rsid w:val="79BB2908"/>
    <w:rsid w:val="79CC49FF"/>
    <w:rsid w:val="79D83506"/>
    <w:rsid w:val="79DD09BA"/>
    <w:rsid w:val="79DD2145"/>
    <w:rsid w:val="79E95BC0"/>
    <w:rsid w:val="79EB2A80"/>
    <w:rsid w:val="79EC324B"/>
    <w:rsid w:val="79F1080C"/>
    <w:rsid w:val="79F16039"/>
    <w:rsid w:val="79FF6906"/>
    <w:rsid w:val="7A03748F"/>
    <w:rsid w:val="7A0B19CB"/>
    <w:rsid w:val="7A1563A6"/>
    <w:rsid w:val="7A1C4528"/>
    <w:rsid w:val="7A321FF1"/>
    <w:rsid w:val="7A390C79"/>
    <w:rsid w:val="7A396538"/>
    <w:rsid w:val="7A3A405E"/>
    <w:rsid w:val="7A440A39"/>
    <w:rsid w:val="7A477088"/>
    <w:rsid w:val="7A4C26E3"/>
    <w:rsid w:val="7A505630"/>
    <w:rsid w:val="7A575529"/>
    <w:rsid w:val="7A5B269B"/>
    <w:rsid w:val="7A627363"/>
    <w:rsid w:val="7A64618C"/>
    <w:rsid w:val="7A6B4B71"/>
    <w:rsid w:val="7A813337"/>
    <w:rsid w:val="7A8154A8"/>
    <w:rsid w:val="7A923E9A"/>
    <w:rsid w:val="7A9419C0"/>
    <w:rsid w:val="7A9E24E1"/>
    <w:rsid w:val="7AA00365"/>
    <w:rsid w:val="7AAC0AB8"/>
    <w:rsid w:val="7AAE7045"/>
    <w:rsid w:val="7ABB6F28"/>
    <w:rsid w:val="7AC64011"/>
    <w:rsid w:val="7ACE3009"/>
    <w:rsid w:val="7ACF6162"/>
    <w:rsid w:val="7AD36097"/>
    <w:rsid w:val="7AD565AB"/>
    <w:rsid w:val="7AD90DF9"/>
    <w:rsid w:val="7AE0073C"/>
    <w:rsid w:val="7AE069B4"/>
    <w:rsid w:val="7AE73A45"/>
    <w:rsid w:val="7AF64429"/>
    <w:rsid w:val="7AF91AC4"/>
    <w:rsid w:val="7AFB1A3F"/>
    <w:rsid w:val="7AFC35D2"/>
    <w:rsid w:val="7AFC44F1"/>
    <w:rsid w:val="7B0C59FB"/>
    <w:rsid w:val="7B125BD2"/>
    <w:rsid w:val="7B144F61"/>
    <w:rsid w:val="7B164183"/>
    <w:rsid w:val="7B184170"/>
    <w:rsid w:val="7B2B1B33"/>
    <w:rsid w:val="7B2F59D6"/>
    <w:rsid w:val="7B2F680A"/>
    <w:rsid w:val="7B322557"/>
    <w:rsid w:val="7B3A4549"/>
    <w:rsid w:val="7B3F61BC"/>
    <w:rsid w:val="7B415828"/>
    <w:rsid w:val="7B445194"/>
    <w:rsid w:val="7B474150"/>
    <w:rsid w:val="7B4B7D30"/>
    <w:rsid w:val="7B5829EE"/>
    <w:rsid w:val="7B645B9B"/>
    <w:rsid w:val="7B672C31"/>
    <w:rsid w:val="7B6A571A"/>
    <w:rsid w:val="7B6C7030"/>
    <w:rsid w:val="7B7610C6"/>
    <w:rsid w:val="7B9A4F9A"/>
    <w:rsid w:val="7BAE6AB2"/>
    <w:rsid w:val="7BBC2F7D"/>
    <w:rsid w:val="7BBF0CBF"/>
    <w:rsid w:val="7BC22D06"/>
    <w:rsid w:val="7BCA229A"/>
    <w:rsid w:val="7BE659FF"/>
    <w:rsid w:val="7BE75B20"/>
    <w:rsid w:val="7BE848EB"/>
    <w:rsid w:val="7BF509CC"/>
    <w:rsid w:val="7BFC5C9A"/>
    <w:rsid w:val="7C00492B"/>
    <w:rsid w:val="7C010E9C"/>
    <w:rsid w:val="7C0D37D8"/>
    <w:rsid w:val="7C2073C9"/>
    <w:rsid w:val="7C32217F"/>
    <w:rsid w:val="7C336FB7"/>
    <w:rsid w:val="7C376AA7"/>
    <w:rsid w:val="7C3C5E6C"/>
    <w:rsid w:val="7C3E119D"/>
    <w:rsid w:val="7C3F337C"/>
    <w:rsid w:val="7C423E53"/>
    <w:rsid w:val="7C550AD0"/>
    <w:rsid w:val="7C574A54"/>
    <w:rsid w:val="7C58488F"/>
    <w:rsid w:val="7C653614"/>
    <w:rsid w:val="7C6D584B"/>
    <w:rsid w:val="7C707874"/>
    <w:rsid w:val="7C7C3FE1"/>
    <w:rsid w:val="7C7E38C9"/>
    <w:rsid w:val="7C815F74"/>
    <w:rsid w:val="7C8A2A49"/>
    <w:rsid w:val="7C8A45E3"/>
    <w:rsid w:val="7C8D4A9C"/>
    <w:rsid w:val="7C9376EC"/>
    <w:rsid w:val="7C960611"/>
    <w:rsid w:val="7C9F6012"/>
    <w:rsid w:val="7CB63742"/>
    <w:rsid w:val="7CBA6FE1"/>
    <w:rsid w:val="7CBE57F9"/>
    <w:rsid w:val="7CC0084B"/>
    <w:rsid w:val="7CC567B7"/>
    <w:rsid w:val="7CCB4976"/>
    <w:rsid w:val="7CCD4D16"/>
    <w:rsid w:val="7CE04A49"/>
    <w:rsid w:val="7CE33567"/>
    <w:rsid w:val="7CE61F50"/>
    <w:rsid w:val="7CE86B63"/>
    <w:rsid w:val="7CF14EA8"/>
    <w:rsid w:val="7D01060F"/>
    <w:rsid w:val="7D084EB2"/>
    <w:rsid w:val="7D090215"/>
    <w:rsid w:val="7D091BB4"/>
    <w:rsid w:val="7D1E3982"/>
    <w:rsid w:val="7D2434EB"/>
    <w:rsid w:val="7D3E0686"/>
    <w:rsid w:val="7D5C44E3"/>
    <w:rsid w:val="7D66788D"/>
    <w:rsid w:val="7D715FE9"/>
    <w:rsid w:val="7D765813"/>
    <w:rsid w:val="7D7F24B4"/>
    <w:rsid w:val="7D8555F0"/>
    <w:rsid w:val="7D8A34CA"/>
    <w:rsid w:val="7D8B1EAE"/>
    <w:rsid w:val="7D9046C1"/>
    <w:rsid w:val="7D913864"/>
    <w:rsid w:val="7DA261A2"/>
    <w:rsid w:val="7DA961FF"/>
    <w:rsid w:val="7DB341EA"/>
    <w:rsid w:val="7DB41730"/>
    <w:rsid w:val="7DB53659"/>
    <w:rsid w:val="7DBA7990"/>
    <w:rsid w:val="7DBE5814"/>
    <w:rsid w:val="7DC6656A"/>
    <w:rsid w:val="7DC83B3C"/>
    <w:rsid w:val="7DCA68C0"/>
    <w:rsid w:val="7DCE474A"/>
    <w:rsid w:val="7DD46217"/>
    <w:rsid w:val="7DD65E4C"/>
    <w:rsid w:val="7DED126B"/>
    <w:rsid w:val="7DF81F7A"/>
    <w:rsid w:val="7E002EC9"/>
    <w:rsid w:val="7E0A2818"/>
    <w:rsid w:val="7E0E3838"/>
    <w:rsid w:val="7E152E18"/>
    <w:rsid w:val="7E186A13"/>
    <w:rsid w:val="7E1F77F3"/>
    <w:rsid w:val="7E21356B"/>
    <w:rsid w:val="7E2766A8"/>
    <w:rsid w:val="7E301A00"/>
    <w:rsid w:val="7E3A323D"/>
    <w:rsid w:val="7E407AF9"/>
    <w:rsid w:val="7E4A06B1"/>
    <w:rsid w:val="7E4D4360"/>
    <w:rsid w:val="7E5E6917"/>
    <w:rsid w:val="7E632458"/>
    <w:rsid w:val="7E660772"/>
    <w:rsid w:val="7E684456"/>
    <w:rsid w:val="7E6B0C8A"/>
    <w:rsid w:val="7E745D91"/>
    <w:rsid w:val="7E7A0ECD"/>
    <w:rsid w:val="7E822156"/>
    <w:rsid w:val="7E855279"/>
    <w:rsid w:val="7E8D29AE"/>
    <w:rsid w:val="7E8D6E52"/>
    <w:rsid w:val="7E9B42F0"/>
    <w:rsid w:val="7EA53C41"/>
    <w:rsid w:val="7EA6304A"/>
    <w:rsid w:val="7EC1104A"/>
    <w:rsid w:val="7EC44F40"/>
    <w:rsid w:val="7EC860DC"/>
    <w:rsid w:val="7EF24F07"/>
    <w:rsid w:val="7EF3379A"/>
    <w:rsid w:val="7EF93618"/>
    <w:rsid w:val="7EF944E8"/>
    <w:rsid w:val="7EF96296"/>
    <w:rsid w:val="7EFC7B34"/>
    <w:rsid w:val="7EFF7A60"/>
    <w:rsid w:val="7F045A0E"/>
    <w:rsid w:val="7F193657"/>
    <w:rsid w:val="7F1B764A"/>
    <w:rsid w:val="7F3543DB"/>
    <w:rsid w:val="7F403EC5"/>
    <w:rsid w:val="7F5259A6"/>
    <w:rsid w:val="7F5D2874"/>
    <w:rsid w:val="7F641F00"/>
    <w:rsid w:val="7F74591C"/>
    <w:rsid w:val="7F7A0C08"/>
    <w:rsid w:val="7F7D3944"/>
    <w:rsid w:val="7F8206A0"/>
    <w:rsid w:val="7F857B2A"/>
    <w:rsid w:val="7F897370"/>
    <w:rsid w:val="7F8C0EB8"/>
    <w:rsid w:val="7F913256"/>
    <w:rsid w:val="7F935C42"/>
    <w:rsid w:val="7F98785D"/>
    <w:rsid w:val="7F992167"/>
    <w:rsid w:val="7FA06540"/>
    <w:rsid w:val="7FB52F70"/>
    <w:rsid w:val="7FB65F35"/>
    <w:rsid w:val="7FB90128"/>
    <w:rsid w:val="7FC1093F"/>
    <w:rsid w:val="7FC44B4D"/>
    <w:rsid w:val="7FC9214E"/>
    <w:rsid w:val="7FD549DE"/>
    <w:rsid w:val="7FD56CD7"/>
    <w:rsid w:val="7FD94AE3"/>
    <w:rsid w:val="7FEF5F31"/>
    <w:rsid w:val="7FFB03E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1" dashstyle="dashDot" endarrow="block"/>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39" w:semiHidden="0" w:name="Table Grid"/>
    <w:lsdException w:qFormat="1" w:unhideWhenUsed="0" w:uiPriority="0" w:semiHidden="0" w:name="Table Theme"/>
    <w:lsdException w:qFormat="1" w:uiPriority="99" w:semiHidden="0"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146"/>
    <w:qFormat/>
    <w:uiPriority w:val="0"/>
    <w:pPr>
      <w:keepNext/>
      <w:keepLines/>
      <w:numPr>
        <w:ilvl w:val="0"/>
        <w:numId w:val="1"/>
      </w:numPr>
      <w:spacing w:line="360" w:lineRule="auto"/>
      <w:ind w:left="0" w:firstLine="0" w:firstLineChars="0"/>
      <w:outlineLvl w:val="0"/>
    </w:pPr>
    <w:rPr>
      <w:rFonts w:ascii="Times New Roman" w:hAnsi="Times New Roman" w:eastAsia="宋体"/>
      <w:b/>
      <w:bCs/>
      <w:snapToGrid w:val="0"/>
      <w:kern w:val="18"/>
      <w:sz w:val="32"/>
    </w:rPr>
  </w:style>
  <w:style w:type="paragraph" w:styleId="3">
    <w:name w:val="heading 2"/>
    <w:basedOn w:val="1"/>
    <w:next w:val="1"/>
    <w:link w:val="147"/>
    <w:qFormat/>
    <w:uiPriority w:val="0"/>
    <w:pPr>
      <w:keepNext/>
      <w:keepLines/>
      <w:numPr>
        <w:ilvl w:val="1"/>
        <w:numId w:val="1"/>
      </w:numPr>
      <w:tabs>
        <w:tab w:val="left" w:pos="720"/>
        <w:tab w:val="clear" w:pos="576"/>
      </w:tabs>
      <w:spacing w:line="360" w:lineRule="auto"/>
      <w:ind w:left="0" w:firstLine="0"/>
      <w:outlineLvl w:val="1"/>
    </w:pPr>
    <w:rPr>
      <w:b/>
      <w:bCs/>
      <w:sz w:val="30"/>
      <w:szCs w:val="32"/>
    </w:rPr>
  </w:style>
  <w:style w:type="paragraph" w:styleId="4">
    <w:name w:val="heading 3"/>
    <w:basedOn w:val="3"/>
    <w:next w:val="1"/>
    <w:link w:val="148"/>
    <w:qFormat/>
    <w:uiPriority w:val="0"/>
    <w:pPr>
      <w:keepNext/>
      <w:keepLines/>
      <w:numPr>
        <w:ilvl w:val="2"/>
        <w:numId w:val="1"/>
      </w:numPr>
      <w:tabs>
        <w:tab w:val="left" w:pos="816"/>
      </w:tabs>
      <w:ind w:firstLine="0" w:firstLineChars="0"/>
      <w:outlineLvl w:val="2"/>
    </w:pPr>
    <w:rPr>
      <w:rFonts w:ascii="Times New Roman" w:hAnsi="Times New Roman" w:eastAsia="宋体"/>
      <w:sz w:val="28"/>
    </w:rPr>
  </w:style>
  <w:style w:type="paragraph" w:styleId="5">
    <w:name w:val="heading 4"/>
    <w:basedOn w:val="1"/>
    <w:next w:val="1"/>
    <w:link w:val="186"/>
    <w:qFormat/>
    <w:uiPriority w:val="0"/>
    <w:pPr>
      <w:keepNext/>
      <w:keepLines/>
      <w:numPr>
        <w:ilvl w:val="3"/>
        <w:numId w:val="1"/>
      </w:numPr>
      <w:ind w:left="0" w:firstLine="0" w:firstLineChars="0"/>
      <w:outlineLvl w:val="3"/>
    </w:pPr>
    <w:rPr>
      <w:rFonts w:ascii="Times New Roman" w:hAnsi="Times New Roman" w:eastAsia="宋体"/>
      <w:b/>
      <w:bCs/>
      <w:snapToGrid w:val="0"/>
      <w:kern w:val="18"/>
    </w:rPr>
  </w:style>
  <w:style w:type="paragraph" w:styleId="6">
    <w:name w:val="heading 5"/>
    <w:basedOn w:val="1"/>
    <w:next w:val="1"/>
    <w:link w:val="150"/>
    <w:qFormat/>
    <w:uiPriority w:val="0"/>
    <w:pPr>
      <w:keepNext/>
      <w:keepLines/>
      <w:tabs>
        <w:tab w:val="left" w:pos="700"/>
      </w:tabs>
      <w:autoSpaceDE w:val="0"/>
      <w:autoSpaceDN w:val="0"/>
      <w:ind w:left="0" w:firstLine="863" w:firstLineChars="200"/>
      <w:jc w:val="both"/>
      <w:outlineLvl w:val="4"/>
    </w:pPr>
    <w:rPr>
      <w:rFonts w:ascii="Times New Roman" w:hAnsi="Times New Roman" w:eastAsia="宋体"/>
      <w:b/>
      <w:bCs/>
    </w:rPr>
  </w:style>
  <w:style w:type="paragraph" w:styleId="7">
    <w:name w:val="heading 6"/>
    <w:basedOn w:val="1"/>
    <w:next w:val="1"/>
    <w:link w:val="151"/>
    <w:qFormat/>
    <w:uiPriority w:val="0"/>
    <w:pPr>
      <w:keepNext/>
      <w:keepLines/>
      <w:spacing w:before="240" w:after="64" w:line="320" w:lineRule="auto"/>
      <w:ind w:left="1152" w:hanging="1152" w:firstLineChars="0"/>
      <w:outlineLvl w:val="5"/>
    </w:pPr>
    <w:rPr>
      <w:rFonts w:ascii="Cambria" w:hAnsi="Cambria"/>
      <w:b/>
      <w:bCs/>
    </w:rPr>
  </w:style>
  <w:style w:type="paragraph" w:styleId="8">
    <w:name w:val="heading 7"/>
    <w:basedOn w:val="1"/>
    <w:next w:val="1"/>
    <w:link w:val="152"/>
    <w:qFormat/>
    <w:uiPriority w:val="0"/>
    <w:pPr>
      <w:keepNext/>
      <w:keepLines/>
      <w:spacing w:line="240" w:lineRule="auto"/>
      <w:ind w:firstLine="0" w:firstLineChars="0"/>
      <w:jc w:val="center"/>
      <w:outlineLvl w:val="6"/>
    </w:pPr>
    <w:rPr>
      <w:rFonts w:ascii="Times New Roman" w:hAnsi="Times New Roman" w:eastAsia="宋体"/>
      <w:b/>
      <w:bCs/>
    </w:rPr>
  </w:style>
  <w:style w:type="paragraph" w:styleId="9">
    <w:name w:val="heading 8"/>
    <w:basedOn w:val="1"/>
    <w:next w:val="1"/>
    <w:link w:val="153"/>
    <w:qFormat/>
    <w:uiPriority w:val="0"/>
    <w:pPr>
      <w:keepNext/>
      <w:keepLines/>
      <w:spacing w:line="240" w:lineRule="auto"/>
      <w:ind w:left="0" w:firstLine="0" w:firstLineChars="0"/>
      <w:outlineLvl w:val="7"/>
    </w:pPr>
    <w:rPr>
      <w:rFonts w:ascii="Times New Roman" w:hAnsi="Times New Roman" w:eastAsia="宋体"/>
      <w:sz w:val="21"/>
    </w:rPr>
  </w:style>
  <w:style w:type="paragraph" w:styleId="10">
    <w:name w:val="heading 9"/>
    <w:basedOn w:val="1"/>
    <w:next w:val="1"/>
    <w:link w:val="154"/>
    <w:qFormat/>
    <w:uiPriority w:val="0"/>
    <w:pPr>
      <w:keepNext/>
      <w:keepLines/>
      <w:spacing w:before="240" w:after="64" w:line="320" w:lineRule="auto"/>
      <w:ind w:left="1584" w:hanging="1584" w:firstLineChars="0"/>
      <w:outlineLvl w:val="8"/>
    </w:pPr>
    <w:rPr>
      <w:rFonts w:ascii="Cambria" w:hAnsi="Cambria"/>
      <w:szCs w:val="21"/>
    </w:rPr>
  </w:style>
  <w:style w:type="character" w:default="1" w:styleId="125">
    <w:name w:val="Default Paragraph Font"/>
    <w:semiHidden/>
    <w:qFormat/>
    <w:uiPriority w:val="0"/>
  </w:style>
  <w:style w:type="table" w:default="1" w:styleId="80">
    <w:name w:val="Normal Table"/>
    <w:semiHidden/>
    <w:qFormat/>
    <w:uiPriority w:val="0"/>
    <w:tblPr>
      <w:tblCellMar>
        <w:top w:w="0" w:type="dxa"/>
        <w:left w:w="108" w:type="dxa"/>
        <w:bottom w:w="0" w:type="dxa"/>
        <w:right w:w="108" w:type="dxa"/>
      </w:tblCellMar>
    </w:tblPr>
  </w:style>
  <w:style w:type="paragraph" w:styleId="11">
    <w:name w:val="List 3"/>
    <w:basedOn w:val="1"/>
    <w:qFormat/>
    <w:uiPriority w:val="0"/>
    <w:pPr>
      <w:spacing w:line="240" w:lineRule="auto"/>
      <w:ind w:left="100" w:leftChars="400" w:hanging="200" w:hangingChars="200"/>
    </w:pPr>
    <w:rPr>
      <w:sz w:val="21"/>
    </w:rPr>
  </w:style>
  <w:style w:type="paragraph" w:styleId="12">
    <w:name w:val="toc 7"/>
    <w:basedOn w:val="1"/>
    <w:next w:val="1"/>
    <w:qFormat/>
    <w:uiPriority w:val="39"/>
    <w:pPr>
      <w:spacing w:line="240" w:lineRule="auto"/>
      <w:ind w:left="2520" w:leftChars="1200" w:firstLine="0" w:firstLineChars="0"/>
    </w:pPr>
    <w:rPr>
      <w:sz w:val="21"/>
    </w:rPr>
  </w:style>
  <w:style w:type="paragraph" w:styleId="13">
    <w:name w:val="List Number 2"/>
    <w:basedOn w:val="1"/>
    <w:qFormat/>
    <w:uiPriority w:val="0"/>
    <w:pPr>
      <w:numPr>
        <w:ilvl w:val="0"/>
        <w:numId w:val="2"/>
      </w:numPr>
      <w:spacing w:line="240" w:lineRule="auto"/>
    </w:pPr>
    <w:rPr>
      <w:sz w:val="21"/>
    </w:rPr>
  </w:style>
  <w:style w:type="paragraph" w:styleId="14">
    <w:name w:val="table of authorities"/>
    <w:basedOn w:val="1"/>
    <w:next w:val="1"/>
    <w:semiHidden/>
    <w:qFormat/>
    <w:uiPriority w:val="0"/>
    <w:pPr>
      <w:ind w:left="420" w:leftChars="200"/>
    </w:pPr>
  </w:style>
  <w:style w:type="paragraph" w:styleId="15">
    <w:name w:val="Note Heading"/>
    <w:basedOn w:val="1"/>
    <w:next w:val="1"/>
    <w:link w:val="155"/>
    <w:qFormat/>
    <w:uiPriority w:val="0"/>
    <w:pPr>
      <w:spacing w:line="240" w:lineRule="auto"/>
      <w:ind w:firstLine="0" w:firstLineChars="0"/>
      <w:jc w:val="center"/>
    </w:pPr>
    <w:rPr>
      <w:sz w:val="21"/>
    </w:rPr>
  </w:style>
  <w:style w:type="paragraph" w:styleId="16">
    <w:name w:val="List Bullet 4"/>
    <w:basedOn w:val="1"/>
    <w:qFormat/>
    <w:uiPriority w:val="0"/>
    <w:pPr>
      <w:tabs>
        <w:tab w:val="left" w:pos="1620"/>
      </w:tabs>
      <w:spacing w:line="240" w:lineRule="auto"/>
      <w:ind w:left="1620" w:leftChars="600" w:hanging="360" w:hangingChars="200"/>
    </w:pPr>
    <w:rPr>
      <w:sz w:val="21"/>
    </w:rPr>
  </w:style>
  <w:style w:type="paragraph" w:styleId="17">
    <w:name w:val="E-mail Signature"/>
    <w:basedOn w:val="1"/>
    <w:link w:val="156"/>
    <w:qFormat/>
    <w:uiPriority w:val="0"/>
    <w:pPr>
      <w:spacing w:line="240" w:lineRule="auto"/>
      <w:ind w:firstLine="0" w:firstLineChars="0"/>
    </w:pPr>
    <w:rPr>
      <w:sz w:val="21"/>
    </w:rPr>
  </w:style>
  <w:style w:type="paragraph" w:styleId="18">
    <w:name w:val="List Number"/>
    <w:basedOn w:val="1"/>
    <w:qFormat/>
    <w:uiPriority w:val="0"/>
    <w:pPr>
      <w:tabs>
        <w:tab w:val="left" w:pos="360"/>
      </w:tabs>
      <w:ind w:left="360" w:hanging="360" w:hangingChars="200"/>
    </w:pPr>
  </w:style>
  <w:style w:type="paragraph" w:styleId="19">
    <w:name w:val="Normal Indent"/>
    <w:basedOn w:val="1"/>
    <w:next w:val="1"/>
    <w:link w:val="157"/>
    <w:qFormat/>
    <w:uiPriority w:val="0"/>
    <w:pPr>
      <w:spacing w:line="500" w:lineRule="exact"/>
      <w:ind w:firstLine="420"/>
    </w:pPr>
    <w:rPr>
      <w:rFonts w:ascii="仿宋_GB2312" w:eastAsia="仿宋_GB2312"/>
      <w:spacing w:val="-18"/>
      <w:sz w:val="28"/>
    </w:rPr>
  </w:style>
  <w:style w:type="paragraph" w:styleId="20">
    <w:name w:val="caption"/>
    <w:basedOn w:val="1"/>
    <w:next w:val="1"/>
    <w:link w:val="158"/>
    <w:qFormat/>
    <w:uiPriority w:val="0"/>
    <w:pPr>
      <w:spacing w:before="120" w:after="120" w:line="480" w:lineRule="exact"/>
      <w:ind w:firstLine="0" w:firstLineChars="0"/>
      <w:jc w:val="center"/>
    </w:pPr>
    <w:rPr>
      <w:szCs w:val="20"/>
    </w:rPr>
  </w:style>
  <w:style w:type="paragraph" w:styleId="21">
    <w:name w:val="List Bullet"/>
    <w:basedOn w:val="1"/>
    <w:qFormat/>
    <w:uiPriority w:val="0"/>
    <w:pPr>
      <w:tabs>
        <w:tab w:val="left" w:pos="360"/>
      </w:tabs>
      <w:ind w:left="360" w:hanging="360" w:hangingChars="200"/>
    </w:pPr>
  </w:style>
  <w:style w:type="paragraph" w:styleId="22">
    <w:name w:val="envelope address"/>
    <w:basedOn w:val="1"/>
    <w:qFormat/>
    <w:uiPriority w:val="0"/>
    <w:pPr>
      <w:framePr w:w="7920" w:h="1980" w:hRule="exact" w:hSpace="180" w:wrap="around" w:vAnchor="margin" w:hAnchor="page" w:xAlign="center" w:yAlign="bottom"/>
      <w:snapToGrid w:val="0"/>
      <w:spacing w:line="240" w:lineRule="auto"/>
      <w:ind w:left="100" w:leftChars="1400" w:firstLine="0" w:firstLineChars="0"/>
    </w:pPr>
    <w:rPr>
      <w:rFonts w:ascii="Arial" w:hAnsi="Arial" w:cs="Arial"/>
    </w:rPr>
  </w:style>
  <w:style w:type="paragraph" w:styleId="23">
    <w:name w:val="Document Map"/>
    <w:basedOn w:val="1"/>
    <w:link w:val="159"/>
    <w:qFormat/>
    <w:uiPriority w:val="0"/>
    <w:pPr>
      <w:shd w:val="clear" w:color="auto" w:fill="000080"/>
      <w:adjustRightInd w:val="0"/>
      <w:snapToGrid w:val="0"/>
      <w:spacing w:line="300" w:lineRule="auto"/>
      <w:ind w:firstLine="0" w:firstLineChars="0"/>
    </w:pPr>
    <w:rPr>
      <w:sz w:val="21"/>
    </w:rPr>
  </w:style>
  <w:style w:type="paragraph" w:styleId="24">
    <w:name w:val="toa heading"/>
    <w:basedOn w:val="1"/>
    <w:next w:val="1"/>
    <w:qFormat/>
    <w:uiPriority w:val="0"/>
    <w:pPr>
      <w:spacing w:before="120" w:line="240" w:lineRule="auto"/>
      <w:ind w:firstLine="0" w:firstLineChars="0"/>
    </w:pPr>
    <w:rPr>
      <w:rFonts w:ascii="Arial" w:hAnsi="Arial" w:cs="Arial"/>
    </w:rPr>
  </w:style>
  <w:style w:type="paragraph" w:styleId="25">
    <w:name w:val="annotation text"/>
    <w:basedOn w:val="1"/>
    <w:link w:val="160"/>
    <w:qFormat/>
    <w:uiPriority w:val="99"/>
    <w:pPr>
      <w:jc w:val="left"/>
    </w:pPr>
  </w:style>
  <w:style w:type="paragraph" w:styleId="26">
    <w:name w:val="index 6"/>
    <w:basedOn w:val="1"/>
    <w:next w:val="1"/>
    <w:qFormat/>
    <w:uiPriority w:val="99"/>
    <w:pPr>
      <w:ind w:left="1000" w:leftChars="1000"/>
    </w:pPr>
    <w:rPr>
      <w:rFonts w:ascii="Times New Roman" w:hAnsi="Times New Roman" w:eastAsia="宋体"/>
      <w:szCs w:val="24"/>
    </w:rPr>
  </w:style>
  <w:style w:type="paragraph" w:styleId="27">
    <w:name w:val="Salutation"/>
    <w:basedOn w:val="1"/>
    <w:next w:val="1"/>
    <w:link w:val="161"/>
    <w:qFormat/>
    <w:uiPriority w:val="0"/>
    <w:pPr>
      <w:spacing w:line="240" w:lineRule="auto"/>
      <w:ind w:firstLine="0" w:firstLineChars="0"/>
    </w:pPr>
    <w:rPr>
      <w:sz w:val="21"/>
    </w:rPr>
  </w:style>
  <w:style w:type="paragraph" w:styleId="28">
    <w:name w:val="Body Text 3"/>
    <w:basedOn w:val="1"/>
    <w:link w:val="162"/>
    <w:unhideWhenUsed/>
    <w:qFormat/>
    <w:uiPriority w:val="0"/>
    <w:pPr>
      <w:spacing w:after="120" w:line="240" w:lineRule="auto"/>
      <w:ind w:firstLine="0" w:firstLineChars="0"/>
    </w:pPr>
    <w:rPr>
      <w:sz w:val="16"/>
      <w:szCs w:val="16"/>
    </w:rPr>
  </w:style>
  <w:style w:type="paragraph" w:styleId="29">
    <w:name w:val="Closing"/>
    <w:basedOn w:val="1"/>
    <w:link w:val="163"/>
    <w:qFormat/>
    <w:uiPriority w:val="0"/>
    <w:pPr>
      <w:spacing w:line="240" w:lineRule="auto"/>
      <w:ind w:left="100" w:leftChars="2100" w:firstLine="0" w:firstLineChars="0"/>
    </w:pPr>
    <w:rPr>
      <w:sz w:val="21"/>
    </w:rPr>
  </w:style>
  <w:style w:type="paragraph" w:styleId="30">
    <w:name w:val="List Bullet 3"/>
    <w:basedOn w:val="1"/>
    <w:qFormat/>
    <w:uiPriority w:val="0"/>
    <w:pPr>
      <w:tabs>
        <w:tab w:val="left" w:pos="1200"/>
      </w:tabs>
      <w:spacing w:line="240" w:lineRule="auto"/>
      <w:ind w:left="1200" w:leftChars="400" w:hanging="360" w:hangingChars="200"/>
    </w:pPr>
    <w:rPr>
      <w:sz w:val="21"/>
    </w:rPr>
  </w:style>
  <w:style w:type="paragraph" w:styleId="31">
    <w:name w:val="Body Text"/>
    <w:basedOn w:val="1"/>
    <w:next w:val="27"/>
    <w:link w:val="164"/>
    <w:unhideWhenUsed/>
    <w:qFormat/>
    <w:uiPriority w:val="0"/>
    <w:pPr>
      <w:spacing w:after="120"/>
    </w:pPr>
    <w:rPr>
      <w:rFonts w:ascii="Calibri" w:hAnsi="Calibri"/>
      <w:szCs w:val="22"/>
    </w:rPr>
  </w:style>
  <w:style w:type="paragraph" w:styleId="32">
    <w:name w:val="Body Text Indent"/>
    <w:basedOn w:val="1"/>
    <w:next w:val="33"/>
    <w:link w:val="165"/>
    <w:qFormat/>
    <w:uiPriority w:val="0"/>
    <w:pPr>
      <w:widowControl/>
      <w:spacing w:line="520" w:lineRule="atLeast"/>
      <w:ind w:firstLine="573" w:firstLineChars="0"/>
    </w:pPr>
    <w:rPr>
      <w:color w:val="000000"/>
      <w:szCs w:val="20"/>
    </w:rPr>
  </w:style>
  <w:style w:type="paragraph" w:styleId="33">
    <w:name w:val="header"/>
    <w:basedOn w:val="1"/>
    <w:next w:val="1"/>
    <w:link w:val="174"/>
    <w:qFormat/>
    <w:uiPriority w:val="0"/>
    <w:pPr>
      <w:pBdr>
        <w:bottom w:val="thinThickSmallGap" w:color="auto" w:sz="12" w:space="1"/>
      </w:pBdr>
      <w:tabs>
        <w:tab w:val="center" w:pos="4153"/>
        <w:tab w:val="right" w:pos="8306"/>
      </w:tabs>
      <w:snapToGrid w:val="0"/>
      <w:spacing w:line="240" w:lineRule="auto"/>
      <w:jc w:val="center"/>
    </w:pPr>
    <w:rPr>
      <w:sz w:val="18"/>
      <w:szCs w:val="18"/>
    </w:rPr>
  </w:style>
  <w:style w:type="paragraph" w:styleId="34">
    <w:name w:val="List Number 3"/>
    <w:basedOn w:val="1"/>
    <w:qFormat/>
    <w:uiPriority w:val="0"/>
    <w:pPr>
      <w:numPr>
        <w:ilvl w:val="0"/>
        <w:numId w:val="3"/>
      </w:numPr>
      <w:spacing w:line="240" w:lineRule="auto"/>
    </w:pPr>
    <w:rPr>
      <w:sz w:val="21"/>
    </w:rPr>
  </w:style>
  <w:style w:type="paragraph" w:styleId="35">
    <w:name w:val="List 2"/>
    <w:basedOn w:val="1"/>
    <w:qFormat/>
    <w:uiPriority w:val="0"/>
    <w:pPr>
      <w:spacing w:line="240" w:lineRule="auto"/>
      <w:ind w:left="100" w:leftChars="200" w:hanging="200" w:hangingChars="200"/>
    </w:pPr>
    <w:rPr>
      <w:sz w:val="21"/>
    </w:rPr>
  </w:style>
  <w:style w:type="paragraph" w:styleId="36">
    <w:name w:val="List Continue"/>
    <w:basedOn w:val="1"/>
    <w:qFormat/>
    <w:uiPriority w:val="0"/>
    <w:pPr>
      <w:spacing w:after="120" w:line="240" w:lineRule="auto"/>
      <w:ind w:left="420" w:leftChars="200" w:firstLine="0" w:firstLineChars="0"/>
    </w:pPr>
    <w:rPr>
      <w:sz w:val="21"/>
    </w:rPr>
  </w:style>
  <w:style w:type="paragraph" w:styleId="37">
    <w:name w:val="Block Text"/>
    <w:basedOn w:val="1"/>
    <w:qFormat/>
    <w:uiPriority w:val="0"/>
    <w:pPr>
      <w:spacing w:line="312" w:lineRule="auto"/>
      <w:ind w:left="-315" w:right="-508" w:firstLine="525" w:firstLineChars="0"/>
    </w:pPr>
    <w:rPr>
      <w:sz w:val="28"/>
      <w:szCs w:val="20"/>
    </w:rPr>
  </w:style>
  <w:style w:type="paragraph" w:styleId="38">
    <w:name w:val="List Bullet 2"/>
    <w:basedOn w:val="1"/>
    <w:qFormat/>
    <w:uiPriority w:val="0"/>
    <w:pPr>
      <w:tabs>
        <w:tab w:val="left" w:pos="780"/>
      </w:tabs>
      <w:spacing w:line="240" w:lineRule="auto"/>
      <w:ind w:left="780" w:leftChars="200" w:hanging="360" w:hangingChars="200"/>
    </w:pPr>
    <w:rPr>
      <w:sz w:val="21"/>
    </w:rPr>
  </w:style>
  <w:style w:type="paragraph" w:styleId="39">
    <w:name w:val="HTML Address"/>
    <w:basedOn w:val="1"/>
    <w:link w:val="168"/>
    <w:qFormat/>
    <w:uiPriority w:val="0"/>
    <w:pPr>
      <w:spacing w:line="240" w:lineRule="auto"/>
      <w:ind w:firstLine="0" w:firstLineChars="0"/>
    </w:pPr>
    <w:rPr>
      <w:i/>
      <w:iCs/>
      <w:sz w:val="21"/>
    </w:rPr>
  </w:style>
  <w:style w:type="paragraph" w:styleId="40">
    <w:name w:val="index 4"/>
    <w:basedOn w:val="1"/>
    <w:next w:val="1"/>
    <w:qFormat/>
    <w:uiPriority w:val="0"/>
    <w:pPr>
      <w:ind w:left="600" w:leftChars="600"/>
    </w:pPr>
    <w:rPr>
      <w:sz w:val="21"/>
    </w:rPr>
  </w:style>
  <w:style w:type="paragraph" w:styleId="41">
    <w:name w:val="toc 5"/>
    <w:basedOn w:val="1"/>
    <w:next w:val="1"/>
    <w:qFormat/>
    <w:uiPriority w:val="39"/>
    <w:pPr>
      <w:spacing w:line="240" w:lineRule="auto"/>
      <w:ind w:left="1680" w:leftChars="800" w:firstLine="0" w:firstLineChars="0"/>
    </w:pPr>
    <w:rPr>
      <w:sz w:val="21"/>
    </w:rPr>
  </w:style>
  <w:style w:type="paragraph" w:styleId="42">
    <w:name w:val="toc 3"/>
    <w:basedOn w:val="1"/>
    <w:next w:val="1"/>
    <w:qFormat/>
    <w:uiPriority w:val="39"/>
    <w:pPr>
      <w:spacing w:line="240" w:lineRule="auto"/>
      <w:ind w:left="840" w:leftChars="400" w:firstLine="0" w:firstLineChars="0"/>
    </w:pPr>
    <w:rPr>
      <w:sz w:val="21"/>
    </w:rPr>
  </w:style>
  <w:style w:type="paragraph" w:styleId="43">
    <w:name w:val="Plain Text"/>
    <w:basedOn w:val="1"/>
    <w:next w:val="31"/>
    <w:link w:val="169"/>
    <w:qFormat/>
    <w:uiPriority w:val="0"/>
    <w:pPr>
      <w:spacing w:line="240" w:lineRule="auto"/>
      <w:ind w:firstLine="0" w:firstLineChars="0"/>
    </w:pPr>
    <w:rPr>
      <w:rFonts w:ascii="宋体" w:hAnsi="Courier New"/>
      <w:sz w:val="21"/>
      <w:szCs w:val="20"/>
    </w:rPr>
  </w:style>
  <w:style w:type="paragraph" w:styleId="44">
    <w:name w:val="List Bullet 5"/>
    <w:basedOn w:val="1"/>
    <w:qFormat/>
    <w:uiPriority w:val="0"/>
    <w:pPr>
      <w:tabs>
        <w:tab w:val="left" w:pos="2040"/>
      </w:tabs>
      <w:spacing w:line="240" w:lineRule="auto"/>
      <w:ind w:left="2040" w:leftChars="800" w:hanging="360" w:hangingChars="200"/>
    </w:pPr>
    <w:rPr>
      <w:sz w:val="21"/>
    </w:rPr>
  </w:style>
  <w:style w:type="paragraph" w:styleId="45">
    <w:name w:val="List Number 4"/>
    <w:basedOn w:val="1"/>
    <w:qFormat/>
    <w:uiPriority w:val="0"/>
    <w:pPr>
      <w:tabs>
        <w:tab w:val="left" w:pos="1620"/>
      </w:tabs>
      <w:spacing w:line="240" w:lineRule="auto"/>
      <w:ind w:left="1620" w:leftChars="600" w:hanging="360" w:hangingChars="200"/>
    </w:pPr>
    <w:rPr>
      <w:sz w:val="21"/>
    </w:rPr>
  </w:style>
  <w:style w:type="paragraph" w:styleId="46">
    <w:name w:val="toc 8"/>
    <w:basedOn w:val="1"/>
    <w:next w:val="1"/>
    <w:qFormat/>
    <w:uiPriority w:val="39"/>
    <w:pPr>
      <w:spacing w:line="240" w:lineRule="auto"/>
      <w:ind w:left="2940" w:leftChars="1400" w:firstLine="0" w:firstLineChars="0"/>
    </w:pPr>
    <w:rPr>
      <w:sz w:val="21"/>
    </w:rPr>
  </w:style>
  <w:style w:type="paragraph" w:styleId="47">
    <w:name w:val="Date"/>
    <w:basedOn w:val="1"/>
    <w:next w:val="1"/>
    <w:link w:val="170"/>
    <w:qFormat/>
    <w:uiPriority w:val="0"/>
    <w:pPr>
      <w:spacing w:line="240" w:lineRule="auto"/>
      <w:ind w:firstLine="0" w:firstLineChars="0"/>
    </w:pPr>
    <w:rPr>
      <w:sz w:val="21"/>
      <w:szCs w:val="20"/>
    </w:rPr>
  </w:style>
  <w:style w:type="paragraph" w:styleId="48">
    <w:name w:val="Body Text Indent 2"/>
    <w:basedOn w:val="1"/>
    <w:link w:val="171"/>
    <w:qFormat/>
    <w:uiPriority w:val="0"/>
    <w:pPr>
      <w:spacing w:after="120" w:line="480" w:lineRule="auto"/>
      <w:ind w:left="420" w:leftChars="200" w:firstLine="0" w:firstLineChars="0"/>
    </w:pPr>
    <w:rPr>
      <w:sz w:val="21"/>
    </w:rPr>
  </w:style>
  <w:style w:type="paragraph" w:styleId="49">
    <w:name w:val="List Continue 5"/>
    <w:basedOn w:val="1"/>
    <w:qFormat/>
    <w:uiPriority w:val="0"/>
    <w:pPr>
      <w:spacing w:after="120" w:line="240" w:lineRule="auto"/>
      <w:ind w:left="2100" w:leftChars="1000" w:firstLine="0" w:firstLineChars="0"/>
    </w:pPr>
    <w:rPr>
      <w:sz w:val="21"/>
    </w:rPr>
  </w:style>
  <w:style w:type="paragraph" w:styleId="50">
    <w:name w:val="Balloon Text"/>
    <w:basedOn w:val="1"/>
    <w:link w:val="172"/>
    <w:qFormat/>
    <w:uiPriority w:val="0"/>
    <w:rPr>
      <w:sz w:val="18"/>
      <w:szCs w:val="18"/>
    </w:rPr>
  </w:style>
  <w:style w:type="paragraph" w:styleId="51">
    <w:name w:val="footer"/>
    <w:basedOn w:val="1"/>
    <w:link w:val="173"/>
    <w:qFormat/>
    <w:uiPriority w:val="99"/>
    <w:pPr>
      <w:tabs>
        <w:tab w:val="center" w:pos="4153"/>
        <w:tab w:val="right" w:pos="8306"/>
      </w:tabs>
      <w:snapToGrid w:val="0"/>
      <w:spacing w:line="240" w:lineRule="auto"/>
      <w:jc w:val="left"/>
    </w:pPr>
    <w:rPr>
      <w:sz w:val="18"/>
      <w:szCs w:val="18"/>
    </w:rPr>
  </w:style>
  <w:style w:type="paragraph" w:styleId="52">
    <w:name w:val="envelope return"/>
    <w:basedOn w:val="1"/>
    <w:qFormat/>
    <w:uiPriority w:val="0"/>
    <w:pPr>
      <w:snapToGrid w:val="0"/>
      <w:spacing w:line="240" w:lineRule="auto"/>
      <w:ind w:firstLine="0" w:firstLineChars="0"/>
    </w:pPr>
    <w:rPr>
      <w:rFonts w:ascii="Arial" w:hAnsi="Arial" w:cs="Arial"/>
      <w:sz w:val="21"/>
    </w:rPr>
  </w:style>
  <w:style w:type="paragraph" w:styleId="53">
    <w:name w:val="Signature"/>
    <w:basedOn w:val="1"/>
    <w:link w:val="175"/>
    <w:qFormat/>
    <w:uiPriority w:val="0"/>
    <w:pPr>
      <w:spacing w:line="240" w:lineRule="auto"/>
      <w:ind w:left="100" w:leftChars="2100" w:firstLine="0" w:firstLineChars="0"/>
    </w:pPr>
    <w:rPr>
      <w:sz w:val="21"/>
    </w:rPr>
  </w:style>
  <w:style w:type="paragraph" w:styleId="54">
    <w:name w:val="toc 1"/>
    <w:basedOn w:val="1"/>
    <w:next w:val="1"/>
    <w:qFormat/>
    <w:uiPriority w:val="39"/>
    <w:pPr>
      <w:ind w:firstLine="0" w:firstLineChars="0"/>
    </w:pPr>
    <w:rPr>
      <w:b/>
      <w:sz w:val="28"/>
    </w:rPr>
  </w:style>
  <w:style w:type="paragraph" w:styleId="55">
    <w:name w:val="List Continue 4"/>
    <w:basedOn w:val="1"/>
    <w:qFormat/>
    <w:uiPriority w:val="0"/>
    <w:pPr>
      <w:spacing w:after="120" w:line="240" w:lineRule="auto"/>
      <w:ind w:left="1680" w:leftChars="800" w:firstLine="0" w:firstLineChars="0"/>
    </w:pPr>
    <w:rPr>
      <w:sz w:val="21"/>
    </w:rPr>
  </w:style>
  <w:style w:type="paragraph" w:styleId="56">
    <w:name w:val="toc 4"/>
    <w:basedOn w:val="1"/>
    <w:next w:val="1"/>
    <w:qFormat/>
    <w:uiPriority w:val="39"/>
    <w:pPr>
      <w:spacing w:line="240" w:lineRule="auto"/>
      <w:ind w:left="1260" w:leftChars="600" w:firstLine="0" w:firstLineChars="0"/>
    </w:pPr>
    <w:rPr>
      <w:sz w:val="21"/>
    </w:rPr>
  </w:style>
  <w:style w:type="paragraph" w:styleId="57">
    <w:name w:val="index heading"/>
    <w:basedOn w:val="1"/>
    <w:next w:val="58"/>
    <w:qFormat/>
    <w:uiPriority w:val="0"/>
    <w:pPr>
      <w:spacing w:line="240" w:lineRule="auto"/>
      <w:ind w:firstLine="0" w:firstLineChars="0"/>
    </w:pPr>
    <w:rPr>
      <w:sz w:val="21"/>
    </w:rPr>
  </w:style>
  <w:style w:type="paragraph" w:styleId="58">
    <w:name w:val="index 1"/>
    <w:basedOn w:val="1"/>
    <w:next w:val="1"/>
    <w:qFormat/>
    <w:uiPriority w:val="0"/>
    <w:pPr>
      <w:snapToGrid w:val="0"/>
      <w:ind w:firstLine="660" w:firstLineChars="0"/>
    </w:pPr>
    <w:rPr>
      <w:szCs w:val="20"/>
    </w:rPr>
  </w:style>
  <w:style w:type="paragraph" w:styleId="59">
    <w:name w:val="Subtitle"/>
    <w:basedOn w:val="1"/>
    <w:next w:val="1"/>
    <w:link w:val="176"/>
    <w:qFormat/>
    <w:uiPriority w:val="11"/>
    <w:pPr>
      <w:spacing w:line="240" w:lineRule="auto"/>
      <w:ind w:firstLine="0" w:firstLineChars="0"/>
      <w:jc w:val="center"/>
    </w:pPr>
    <w:rPr>
      <w:rFonts w:ascii="Cambria" w:hAnsi="Cambria"/>
      <w:bCs/>
      <w:kern w:val="28"/>
      <w:sz w:val="21"/>
      <w:szCs w:val="32"/>
    </w:rPr>
  </w:style>
  <w:style w:type="paragraph" w:styleId="60">
    <w:name w:val="List Number 5"/>
    <w:basedOn w:val="1"/>
    <w:qFormat/>
    <w:uiPriority w:val="0"/>
    <w:pPr>
      <w:tabs>
        <w:tab w:val="left" w:pos="360"/>
      </w:tabs>
      <w:spacing w:line="240" w:lineRule="auto"/>
      <w:ind w:left="360" w:hanging="360" w:firstLineChars="0"/>
      <w:jc w:val="center"/>
    </w:pPr>
    <w:rPr>
      <w:b/>
      <w:sz w:val="28"/>
    </w:rPr>
  </w:style>
  <w:style w:type="paragraph" w:styleId="61">
    <w:name w:val="List"/>
    <w:basedOn w:val="1"/>
    <w:link w:val="177"/>
    <w:qFormat/>
    <w:uiPriority w:val="0"/>
    <w:pPr>
      <w:spacing w:line="240" w:lineRule="auto"/>
      <w:ind w:left="200" w:hanging="200" w:hangingChars="200"/>
    </w:pPr>
    <w:rPr>
      <w:sz w:val="21"/>
    </w:rPr>
  </w:style>
  <w:style w:type="paragraph" w:styleId="62">
    <w:name w:val="footnote text"/>
    <w:basedOn w:val="1"/>
    <w:link w:val="178"/>
    <w:qFormat/>
    <w:uiPriority w:val="0"/>
    <w:pPr>
      <w:snapToGrid w:val="0"/>
      <w:spacing w:line="240" w:lineRule="auto"/>
      <w:ind w:firstLine="0" w:firstLineChars="0"/>
      <w:jc w:val="left"/>
    </w:pPr>
    <w:rPr>
      <w:sz w:val="18"/>
      <w:szCs w:val="18"/>
    </w:rPr>
  </w:style>
  <w:style w:type="paragraph" w:styleId="63">
    <w:name w:val="toc 6"/>
    <w:basedOn w:val="1"/>
    <w:next w:val="1"/>
    <w:qFormat/>
    <w:uiPriority w:val="39"/>
    <w:pPr>
      <w:spacing w:line="240" w:lineRule="auto"/>
      <w:ind w:left="2100" w:leftChars="1000" w:firstLine="0" w:firstLineChars="0"/>
    </w:pPr>
    <w:rPr>
      <w:sz w:val="21"/>
    </w:rPr>
  </w:style>
  <w:style w:type="paragraph" w:styleId="64">
    <w:name w:val="List 5"/>
    <w:basedOn w:val="1"/>
    <w:qFormat/>
    <w:uiPriority w:val="0"/>
    <w:pPr>
      <w:spacing w:line="240" w:lineRule="auto"/>
      <w:ind w:left="100" w:leftChars="800" w:hanging="200" w:hangingChars="200"/>
    </w:pPr>
    <w:rPr>
      <w:sz w:val="21"/>
    </w:rPr>
  </w:style>
  <w:style w:type="paragraph" w:styleId="65">
    <w:name w:val="Body Text Indent 3"/>
    <w:basedOn w:val="1"/>
    <w:link w:val="179"/>
    <w:unhideWhenUsed/>
    <w:qFormat/>
    <w:uiPriority w:val="0"/>
    <w:pPr>
      <w:spacing w:after="120" w:line="240" w:lineRule="auto"/>
      <w:ind w:left="420" w:leftChars="200" w:firstLine="0" w:firstLineChars="0"/>
    </w:pPr>
    <w:rPr>
      <w:sz w:val="16"/>
      <w:szCs w:val="16"/>
    </w:rPr>
  </w:style>
  <w:style w:type="paragraph" w:styleId="66">
    <w:name w:val="table of figures"/>
    <w:basedOn w:val="1"/>
    <w:next w:val="1"/>
    <w:qFormat/>
    <w:uiPriority w:val="0"/>
    <w:pPr>
      <w:ind w:leftChars="200" w:hanging="200" w:hangingChars="200"/>
    </w:pPr>
  </w:style>
  <w:style w:type="paragraph" w:styleId="67">
    <w:name w:val="toc 2"/>
    <w:basedOn w:val="1"/>
    <w:next w:val="1"/>
    <w:qFormat/>
    <w:uiPriority w:val="39"/>
    <w:pPr>
      <w:adjustRightInd w:val="0"/>
      <w:snapToGrid w:val="0"/>
      <w:spacing w:line="240" w:lineRule="auto"/>
    </w:pPr>
    <w:rPr>
      <w:rFonts w:ascii="仿宋_GB2312"/>
      <w:bCs/>
    </w:rPr>
  </w:style>
  <w:style w:type="paragraph" w:styleId="68">
    <w:name w:val="toc 9"/>
    <w:basedOn w:val="1"/>
    <w:next w:val="1"/>
    <w:qFormat/>
    <w:uiPriority w:val="39"/>
    <w:pPr>
      <w:spacing w:line="240" w:lineRule="auto"/>
      <w:ind w:left="3360" w:leftChars="1600" w:firstLine="0" w:firstLineChars="0"/>
    </w:pPr>
    <w:rPr>
      <w:sz w:val="21"/>
    </w:rPr>
  </w:style>
  <w:style w:type="paragraph" w:styleId="69">
    <w:name w:val="Body Text 2"/>
    <w:basedOn w:val="1"/>
    <w:link w:val="180"/>
    <w:qFormat/>
    <w:uiPriority w:val="99"/>
    <w:pPr>
      <w:widowControl/>
      <w:spacing w:line="440" w:lineRule="atLeast"/>
    </w:pPr>
    <w:rPr>
      <w:rFonts w:ascii="宋体"/>
      <w:kern w:val="0"/>
      <w:szCs w:val="20"/>
    </w:rPr>
  </w:style>
  <w:style w:type="paragraph" w:styleId="70">
    <w:name w:val="List 4"/>
    <w:basedOn w:val="1"/>
    <w:qFormat/>
    <w:uiPriority w:val="0"/>
    <w:pPr>
      <w:spacing w:line="240" w:lineRule="auto"/>
      <w:ind w:left="100" w:leftChars="600" w:hanging="200" w:hangingChars="200"/>
    </w:pPr>
    <w:rPr>
      <w:sz w:val="21"/>
    </w:rPr>
  </w:style>
  <w:style w:type="paragraph" w:styleId="71">
    <w:name w:val="List Continue 2"/>
    <w:basedOn w:val="1"/>
    <w:qFormat/>
    <w:uiPriority w:val="0"/>
    <w:pPr>
      <w:spacing w:after="120" w:line="240" w:lineRule="auto"/>
      <w:ind w:left="840" w:leftChars="400" w:firstLine="0" w:firstLineChars="0"/>
    </w:pPr>
    <w:rPr>
      <w:sz w:val="21"/>
    </w:rPr>
  </w:style>
  <w:style w:type="paragraph" w:styleId="72">
    <w:name w:val="Message Header"/>
    <w:basedOn w:val="1"/>
    <w:link w:val="181"/>
    <w:qFormat/>
    <w:uiPriority w:val="0"/>
    <w:pPr>
      <w:pBdr>
        <w:top w:val="single" w:color="auto" w:sz="6" w:space="1"/>
        <w:left w:val="single" w:color="auto" w:sz="6" w:space="1"/>
        <w:bottom w:val="single" w:color="auto" w:sz="6" w:space="1"/>
        <w:right w:val="single" w:color="auto" w:sz="6" w:space="1"/>
      </w:pBdr>
      <w:shd w:val="pct20" w:color="auto" w:fill="auto"/>
      <w:spacing w:line="240" w:lineRule="auto"/>
      <w:ind w:left="1080" w:leftChars="500" w:hanging="1080" w:hangingChars="500"/>
    </w:pPr>
    <w:rPr>
      <w:rFonts w:ascii="Arial" w:hAnsi="Arial"/>
    </w:rPr>
  </w:style>
  <w:style w:type="paragraph" w:styleId="73">
    <w:name w:val="HTML Preformatted"/>
    <w:basedOn w:val="1"/>
    <w:link w:val="182"/>
    <w:qFormat/>
    <w:uiPriority w:val="0"/>
    <w:pPr>
      <w:spacing w:line="240" w:lineRule="auto"/>
      <w:ind w:firstLine="0" w:firstLineChars="0"/>
    </w:pPr>
    <w:rPr>
      <w:rFonts w:ascii="Courier New" w:hAnsi="Courier New"/>
      <w:sz w:val="20"/>
      <w:szCs w:val="20"/>
    </w:rPr>
  </w:style>
  <w:style w:type="paragraph" w:styleId="74">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rPr>
  </w:style>
  <w:style w:type="paragraph" w:styleId="75">
    <w:name w:val="List Continue 3"/>
    <w:basedOn w:val="1"/>
    <w:qFormat/>
    <w:uiPriority w:val="0"/>
    <w:pPr>
      <w:spacing w:after="120" w:line="240" w:lineRule="auto"/>
      <w:ind w:left="1260" w:leftChars="600" w:firstLine="0" w:firstLineChars="0"/>
    </w:pPr>
    <w:rPr>
      <w:sz w:val="21"/>
    </w:rPr>
  </w:style>
  <w:style w:type="paragraph" w:styleId="76">
    <w:name w:val="Title"/>
    <w:basedOn w:val="1"/>
    <w:next w:val="1"/>
    <w:link w:val="183"/>
    <w:qFormat/>
    <w:uiPriority w:val="0"/>
    <w:pPr>
      <w:jc w:val="center"/>
    </w:pPr>
    <w:rPr>
      <w:rFonts w:ascii="Cambria" w:hAnsi="Cambria"/>
      <w:b/>
      <w:bCs/>
      <w:szCs w:val="32"/>
    </w:rPr>
  </w:style>
  <w:style w:type="paragraph" w:styleId="77">
    <w:name w:val="annotation subject"/>
    <w:basedOn w:val="25"/>
    <w:next w:val="25"/>
    <w:link w:val="184"/>
    <w:qFormat/>
    <w:uiPriority w:val="0"/>
    <w:rPr>
      <w:b/>
      <w:bCs/>
    </w:rPr>
  </w:style>
  <w:style w:type="paragraph" w:styleId="78">
    <w:name w:val="Body Text First Indent"/>
    <w:basedOn w:val="31"/>
    <w:next w:val="1"/>
    <w:link w:val="167"/>
    <w:qFormat/>
    <w:uiPriority w:val="0"/>
    <w:pPr>
      <w:ind w:firstLine="420" w:firstLineChars="100"/>
    </w:pPr>
    <w:rPr>
      <w:rFonts w:ascii="Times New Roman" w:hAnsi="Times New Roman"/>
      <w:szCs w:val="24"/>
      <w:lang w:val="zh-CN"/>
    </w:rPr>
  </w:style>
  <w:style w:type="paragraph" w:styleId="79">
    <w:name w:val="Body Text First Indent 2"/>
    <w:basedOn w:val="32"/>
    <w:next w:val="78"/>
    <w:link w:val="166"/>
    <w:qFormat/>
    <w:uiPriority w:val="0"/>
    <w:pPr>
      <w:widowControl w:val="0"/>
      <w:spacing w:after="120" w:line="360" w:lineRule="auto"/>
      <w:ind w:left="420" w:leftChars="200" w:firstLine="420" w:firstLineChars="200"/>
    </w:pPr>
    <w:rPr>
      <w:szCs w:val="24"/>
    </w:rPr>
  </w:style>
  <w:style w:type="table" w:styleId="81">
    <w:name w:val="Table Grid"/>
    <w:basedOn w:val="80"/>
    <w:qFormat/>
    <w:uiPriority w:val="39"/>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2">
    <w:name w:val="Table Theme"/>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3">
    <w:name w:val="Table Colorful 1"/>
    <w:basedOn w:val="80"/>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4">
    <w:name w:val="Table Colorful 2"/>
    <w:basedOn w:val="80"/>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5">
    <w:name w:val="Table Colorful 3"/>
    <w:basedOn w:val="80"/>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6">
    <w:name w:val="Table Elegant"/>
    <w:basedOn w:val="80"/>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7">
    <w:name w:val="Table Classic 1"/>
    <w:basedOn w:val="80"/>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8">
    <w:name w:val="Table Classic 2"/>
    <w:basedOn w:val="80"/>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9">
    <w:name w:val="Table Classic 3"/>
    <w:basedOn w:val="80"/>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0">
    <w:name w:val="Table Classic 4"/>
    <w:basedOn w:val="80"/>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1">
    <w:name w:val="Table Simple 1"/>
    <w:basedOn w:val="80"/>
    <w:qFormat/>
    <w:uiPriority w:val="0"/>
    <w:pPr>
      <w:widowControl w:val="0"/>
      <w:jc w:val="both"/>
    </w:pPr>
    <w:tblPr>
      <w:tblBorders>
        <w:top w:val="single" w:color="auto" w:sz="12" w:space="0"/>
        <w:bottom w:val="single" w:color="auto" w:sz="12" w:space="0"/>
        <w:insideH w:val="single" w:color="auto" w:sz="4" w:space="0"/>
        <w:insideV w:val="single" w:color="auto" w:sz="4"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2">
    <w:name w:val="Table Simple 2"/>
    <w:basedOn w:val="80"/>
    <w:qFormat/>
    <w:uiPriority w:val="0"/>
    <w:pPr>
      <w:widowControl w:val="0"/>
      <w:jc w:val="both"/>
    </w:p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Simple 3"/>
    <w:basedOn w:val="80"/>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4">
    <w:name w:val="Table Subtle 1"/>
    <w:basedOn w:val="80"/>
    <w:qFormat/>
    <w:uiPriority w:val="0"/>
    <w:pPr>
      <w:widowControl w:val="0"/>
      <w:jc w:val="both"/>
    </w:p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Subtle 2"/>
    <w:basedOn w:val="80"/>
    <w:qFormat/>
    <w:uiPriority w:val="0"/>
    <w:pPr>
      <w:widowControl w:val="0"/>
      <w:jc w:val="both"/>
    </w:p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3D effects 1"/>
    <w:basedOn w:val="80"/>
    <w:qFormat/>
    <w:uiPriority w:val="0"/>
    <w:pPr>
      <w:widowControl w:val="0"/>
      <w:jc w:val="both"/>
    </w:p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7">
    <w:name w:val="Table 3D effects 2"/>
    <w:basedOn w:val="80"/>
    <w:qFormat/>
    <w:uiPriority w:val="0"/>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3D effects 3"/>
    <w:basedOn w:val="80"/>
    <w:qFormat/>
    <w:uiPriority w:val="0"/>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1"/>
    <w:basedOn w:val="80"/>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List 2"/>
    <w:basedOn w:val="80"/>
    <w:qFormat/>
    <w:uiPriority w:val="0"/>
    <w:pPr>
      <w:widowControl w:val="0"/>
      <w:jc w:val="both"/>
    </w:p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1">
    <w:name w:val="Table List 3"/>
    <w:basedOn w:val="80"/>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2">
    <w:name w:val="Table List 4"/>
    <w:basedOn w:val="80"/>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3">
    <w:name w:val="Table List 5"/>
    <w:basedOn w:val="80"/>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4">
    <w:name w:val="Table List 6"/>
    <w:basedOn w:val="80"/>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5">
    <w:name w:val="Table List 7"/>
    <w:basedOn w:val="80"/>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6">
    <w:name w:val="Table List 8"/>
    <w:basedOn w:val="80"/>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7">
    <w:name w:val="Table Contemporary"/>
    <w:basedOn w:val="80"/>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8">
    <w:name w:val="Table Columns 1"/>
    <w:basedOn w:val="80"/>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Columns 2"/>
    <w:basedOn w:val="80"/>
    <w:qFormat/>
    <w:uiPriority w:val="0"/>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0">
    <w:name w:val="Table Columns 3"/>
    <w:basedOn w:val="80"/>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1">
    <w:name w:val="Table Columns 4"/>
    <w:basedOn w:val="80"/>
    <w:qFormat/>
    <w:uiPriority w:val="0"/>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2">
    <w:name w:val="Table Columns 5"/>
    <w:basedOn w:val="80"/>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3">
    <w:name w:val="Table Grid 1"/>
    <w:basedOn w:val="80"/>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4">
    <w:name w:val="Table Grid 2"/>
    <w:basedOn w:val="80"/>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5">
    <w:name w:val="Table Grid 3"/>
    <w:basedOn w:val="80"/>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6">
    <w:name w:val="Table Grid 4"/>
    <w:basedOn w:val="80"/>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7">
    <w:name w:val="Table Grid 5"/>
    <w:basedOn w:val="80"/>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6"/>
    <w:basedOn w:val="80"/>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9">
    <w:name w:val="Table Grid 7"/>
    <w:basedOn w:val="80"/>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0">
    <w:name w:val="Table Grid 8"/>
    <w:basedOn w:val="80"/>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1">
    <w:name w:val="Table Web 1"/>
    <w:basedOn w:val="80"/>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Web 2"/>
    <w:basedOn w:val="80"/>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3">
    <w:name w:val="Table Web 3"/>
    <w:basedOn w:val="80"/>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4">
    <w:name w:val="Table Professional"/>
    <w:basedOn w:val="80"/>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26">
    <w:name w:val="Strong"/>
    <w:qFormat/>
    <w:uiPriority w:val="22"/>
    <w:rPr>
      <w:b/>
      <w:bCs/>
    </w:rPr>
  </w:style>
  <w:style w:type="character" w:styleId="127">
    <w:name w:val="page number"/>
    <w:qFormat/>
    <w:uiPriority w:val="0"/>
  </w:style>
  <w:style w:type="character" w:styleId="128">
    <w:name w:val="FollowedHyperlink"/>
    <w:qFormat/>
    <w:uiPriority w:val="0"/>
    <w:rPr>
      <w:color w:val="800080"/>
      <w:u w:val="none"/>
    </w:rPr>
  </w:style>
  <w:style w:type="character" w:styleId="129">
    <w:name w:val="Emphasis"/>
    <w:qFormat/>
    <w:uiPriority w:val="20"/>
    <w:rPr>
      <w:color w:val="CC0000"/>
    </w:rPr>
  </w:style>
  <w:style w:type="character" w:styleId="130">
    <w:name w:val="line number"/>
    <w:qFormat/>
    <w:uiPriority w:val="0"/>
  </w:style>
  <w:style w:type="character" w:styleId="131">
    <w:name w:val="HTML Definition"/>
    <w:qFormat/>
    <w:uiPriority w:val="0"/>
    <w:rPr>
      <w:i/>
      <w:iCs/>
    </w:rPr>
  </w:style>
  <w:style w:type="character" w:styleId="132">
    <w:name w:val="HTML Typewriter"/>
    <w:qFormat/>
    <w:uiPriority w:val="0"/>
    <w:rPr>
      <w:rFonts w:ascii="Courier New" w:hAnsi="Courier New" w:cs="Courier New"/>
      <w:sz w:val="20"/>
      <w:szCs w:val="20"/>
    </w:rPr>
  </w:style>
  <w:style w:type="character" w:styleId="133">
    <w:name w:val="HTML Acronym"/>
    <w:qFormat/>
    <w:uiPriority w:val="0"/>
  </w:style>
  <w:style w:type="character" w:styleId="134">
    <w:name w:val="HTML Variable"/>
    <w:qFormat/>
    <w:uiPriority w:val="0"/>
    <w:rPr>
      <w:i/>
      <w:iCs/>
    </w:rPr>
  </w:style>
  <w:style w:type="character" w:styleId="135">
    <w:name w:val="Hyperlink"/>
    <w:qFormat/>
    <w:uiPriority w:val="99"/>
    <w:rPr>
      <w:color w:val="0000FF"/>
      <w:u w:val="none"/>
    </w:rPr>
  </w:style>
  <w:style w:type="character" w:styleId="136">
    <w:name w:val="HTML Code"/>
    <w:qFormat/>
    <w:uiPriority w:val="0"/>
    <w:rPr>
      <w:rFonts w:ascii="Courier New" w:hAnsi="Courier New" w:cs="Courier New"/>
      <w:sz w:val="20"/>
      <w:szCs w:val="20"/>
    </w:rPr>
  </w:style>
  <w:style w:type="character" w:styleId="137">
    <w:name w:val="annotation reference"/>
    <w:qFormat/>
    <w:uiPriority w:val="0"/>
    <w:rPr>
      <w:sz w:val="21"/>
      <w:szCs w:val="21"/>
    </w:rPr>
  </w:style>
  <w:style w:type="character" w:styleId="138">
    <w:name w:val="HTML Cite"/>
    <w:qFormat/>
    <w:uiPriority w:val="0"/>
    <w:rPr>
      <w:i/>
      <w:iCs/>
    </w:rPr>
  </w:style>
  <w:style w:type="character" w:styleId="139">
    <w:name w:val="footnote reference"/>
    <w:qFormat/>
    <w:uiPriority w:val="0"/>
    <w:rPr>
      <w:vertAlign w:val="superscript"/>
    </w:rPr>
  </w:style>
  <w:style w:type="character" w:styleId="140">
    <w:name w:val="HTML Keyboard"/>
    <w:qFormat/>
    <w:uiPriority w:val="0"/>
    <w:rPr>
      <w:rFonts w:ascii="Courier New" w:hAnsi="Courier New" w:cs="Courier New"/>
      <w:sz w:val="20"/>
      <w:szCs w:val="20"/>
    </w:rPr>
  </w:style>
  <w:style w:type="character" w:styleId="141">
    <w:name w:val="HTML Sample"/>
    <w:qFormat/>
    <w:uiPriority w:val="0"/>
    <w:rPr>
      <w:rFonts w:ascii="Courier New" w:hAnsi="Courier New" w:cs="Courier New"/>
    </w:rPr>
  </w:style>
  <w:style w:type="paragraph" w:customStyle="1" w:styleId="142">
    <w:name w:val="表头"/>
    <w:basedOn w:val="143"/>
    <w:next w:val="1"/>
    <w:qFormat/>
    <w:uiPriority w:val="0"/>
    <w:pPr>
      <w:spacing w:before="120" w:after="120"/>
      <w:jc w:val="center"/>
    </w:pPr>
    <w:rPr>
      <w:rFonts w:eastAsia="黑体"/>
      <w:sz w:val="24"/>
      <w:lang w:val="en-US" w:eastAsia="zh-CN" w:bidi="ar-SA"/>
    </w:rPr>
  </w:style>
  <w:style w:type="paragraph" w:customStyle="1" w:styleId="143">
    <w:name w:val="表文"/>
    <w:basedOn w:val="1"/>
    <w:qFormat/>
    <w:uiPriority w:val="0"/>
    <w:pPr>
      <w:spacing w:before="20" w:after="20" w:line="280" w:lineRule="exact"/>
      <w:ind w:firstLine="0" w:firstLineChars="0"/>
      <w:jc w:val="center"/>
    </w:pPr>
    <w:rPr>
      <w:rFonts w:ascii="黑体" w:hAnsi="宋体"/>
      <w:sz w:val="21"/>
      <w:szCs w:val="20"/>
    </w:rPr>
  </w:style>
  <w:style w:type="paragraph" w:customStyle="1" w:styleId="144">
    <w:name w:val="正文格式"/>
    <w:basedOn w:val="145"/>
    <w:link w:val="185"/>
    <w:qFormat/>
    <w:uiPriority w:val="0"/>
    <w:rPr>
      <w:rFonts w:ascii="宋体" w:hAnsi="宋体"/>
    </w:rPr>
  </w:style>
  <w:style w:type="paragraph" w:customStyle="1" w:styleId="145">
    <w:name w:val="lin正文"/>
    <w:basedOn w:val="31"/>
    <w:qFormat/>
    <w:uiPriority w:val="0"/>
    <w:pPr>
      <w:widowControl w:val="0"/>
      <w:spacing w:line="560" w:lineRule="exact"/>
      <w:ind w:firstLine="200" w:firstLineChars="200"/>
      <w:jc w:val="both"/>
    </w:pPr>
    <w:rPr>
      <w:rFonts w:ascii="Tahoma" w:hAnsi="Tahoma" w:eastAsia="宋体"/>
      <w:color w:val="000000"/>
      <w:spacing w:val="0"/>
      <w:szCs w:val="24"/>
    </w:rPr>
  </w:style>
  <w:style w:type="character" w:customStyle="1" w:styleId="146">
    <w:name w:val="标题 1 Char"/>
    <w:link w:val="2"/>
    <w:qFormat/>
    <w:uiPriority w:val="0"/>
    <w:rPr>
      <w:rFonts w:ascii="Times New Roman" w:hAnsi="Times New Roman" w:eastAsia="宋体"/>
      <w:b/>
      <w:bCs/>
      <w:snapToGrid w:val="0"/>
      <w:kern w:val="18"/>
      <w:sz w:val="32"/>
      <w:szCs w:val="24"/>
      <w:lang w:bidi="ar-SA"/>
    </w:rPr>
  </w:style>
  <w:style w:type="character" w:customStyle="1" w:styleId="147">
    <w:name w:val="标题 2 Char"/>
    <w:link w:val="3"/>
    <w:qFormat/>
    <w:uiPriority w:val="0"/>
    <w:rPr>
      <w:rFonts w:ascii="Times New Roman" w:hAnsi="Times New Roman" w:eastAsia="宋体"/>
      <w:b/>
      <w:bCs/>
      <w:snapToGrid w:val="0"/>
      <w:kern w:val="18"/>
      <w:sz w:val="30"/>
      <w:szCs w:val="32"/>
      <w:lang w:bidi="ar-SA"/>
    </w:rPr>
  </w:style>
  <w:style w:type="character" w:customStyle="1" w:styleId="148">
    <w:name w:val="标题 3 Char"/>
    <w:link w:val="4"/>
    <w:qFormat/>
    <w:uiPriority w:val="0"/>
    <w:rPr>
      <w:rFonts w:ascii="Times New Roman" w:hAnsi="Times New Roman" w:eastAsia="宋体"/>
      <w:b/>
      <w:bCs/>
      <w:kern w:val="2"/>
      <w:sz w:val="28"/>
      <w:szCs w:val="24"/>
      <w:lang w:val="en-US" w:eastAsia="zh-CN" w:bidi="ar-SA"/>
    </w:rPr>
  </w:style>
  <w:style w:type="character" w:customStyle="1" w:styleId="149">
    <w:name w:val="标题 4 Char2"/>
    <w:link w:val="5"/>
    <w:qFormat/>
    <w:uiPriority w:val="0"/>
    <w:rPr>
      <w:rFonts w:ascii="Times New Roman" w:hAnsi="Times New Roman" w:eastAsia="宋体"/>
      <w:b/>
      <w:bCs/>
      <w:snapToGrid w:val="0"/>
      <w:kern w:val="18"/>
      <w:sz w:val="24"/>
      <w:szCs w:val="24"/>
      <w:lang w:val="en-US" w:eastAsia="zh-CN" w:bidi="ar-SA"/>
    </w:rPr>
  </w:style>
  <w:style w:type="character" w:customStyle="1" w:styleId="150">
    <w:name w:val="标题 5 Char"/>
    <w:link w:val="6"/>
    <w:qFormat/>
    <w:uiPriority w:val="0"/>
    <w:rPr>
      <w:rFonts w:ascii="Times New Roman" w:hAnsi="Times New Roman" w:eastAsia="宋体"/>
      <w:b/>
      <w:bCs/>
      <w:kern w:val="2"/>
      <w:sz w:val="24"/>
      <w:szCs w:val="24"/>
    </w:rPr>
  </w:style>
  <w:style w:type="character" w:customStyle="1" w:styleId="151">
    <w:name w:val="标题 6 Char"/>
    <w:link w:val="7"/>
    <w:qFormat/>
    <w:uiPriority w:val="0"/>
    <w:rPr>
      <w:rFonts w:ascii="Cambria" w:hAnsi="Cambria"/>
      <w:b/>
      <w:bCs/>
      <w:kern w:val="2"/>
      <w:sz w:val="24"/>
      <w:szCs w:val="24"/>
    </w:rPr>
  </w:style>
  <w:style w:type="character" w:customStyle="1" w:styleId="152">
    <w:name w:val="标题 7 Char"/>
    <w:link w:val="8"/>
    <w:qFormat/>
    <w:uiPriority w:val="0"/>
    <w:rPr>
      <w:rFonts w:ascii="Times New Roman" w:hAnsi="Times New Roman" w:eastAsia="宋体"/>
      <w:b/>
      <w:bCs/>
      <w:kern w:val="2"/>
      <w:sz w:val="24"/>
      <w:szCs w:val="24"/>
    </w:rPr>
  </w:style>
  <w:style w:type="character" w:customStyle="1" w:styleId="153">
    <w:name w:val="标题 8 Char"/>
    <w:link w:val="9"/>
    <w:qFormat/>
    <w:uiPriority w:val="0"/>
    <w:rPr>
      <w:rFonts w:ascii="Times New Roman" w:hAnsi="Times New Roman" w:eastAsia="宋体"/>
      <w:kern w:val="2"/>
      <w:sz w:val="21"/>
      <w:szCs w:val="24"/>
    </w:rPr>
  </w:style>
  <w:style w:type="character" w:customStyle="1" w:styleId="154">
    <w:name w:val="标题 9 Char"/>
    <w:link w:val="10"/>
    <w:qFormat/>
    <w:uiPriority w:val="0"/>
    <w:rPr>
      <w:rFonts w:ascii="Cambria" w:hAnsi="Cambria"/>
      <w:kern w:val="2"/>
      <w:sz w:val="24"/>
      <w:szCs w:val="21"/>
    </w:rPr>
  </w:style>
  <w:style w:type="character" w:customStyle="1" w:styleId="155">
    <w:name w:val="注释标题 Char"/>
    <w:link w:val="15"/>
    <w:qFormat/>
    <w:uiPriority w:val="0"/>
    <w:rPr>
      <w:kern w:val="2"/>
      <w:sz w:val="21"/>
      <w:szCs w:val="24"/>
    </w:rPr>
  </w:style>
  <w:style w:type="character" w:customStyle="1" w:styleId="156">
    <w:name w:val="电子邮件签名 Char"/>
    <w:link w:val="17"/>
    <w:qFormat/>
    <w:uiPriority w:val="0"/>
    <w:rPr>
      <w:kern w:val="2"/>
      <w:sz w:val="21"/>
      <w:szCs w:val="24"/>
    </w:rPr>
  </w:style>
  <w:style w:type="character" w:customStyle="1" w:styleId="157">
    <w:name w:val="正文缩进 Char"/>
    <w:link w:val="19"/>
    <w:qFormat/>
    <w:uiPriority w:val="0"/>
    <w:rPr>
      <w:rFonts w:ascii="仿宋_GB2312" w:eastAsia="仿宋_GB2312"/>
      <w:spacing w:val="-18"/>
      <w:kern w:val="2"/>
      <w:sz w:val="28"/>
      <w:szCs w:val="24"/>
      <w:lang w:val="en-US" w:eastAsia="zh-CN" w:bidi="ar-SA"/>
    </w:rPr>
  </w:style>
  <w:style w:type="character" w:customStyle="1" w:styleId="158">
    <w:name w:val="题注 Char"/>
    <w:link w:val="20"/>
    <w:qFormat/>
    <w:uiPriority w:val="0"/>
    <w:rPr>
      <w:rFonts w:cs="Arial"/>
      <w:kern w:val="2"/>
      <w:sz w:val="24"/>
    </w:rPr>
  </w:style>
  <w:style w:type="character" w:customStyle="1" w:styleId="159">
    <w:name w:val="文档结构图 Char"/>
    <w:link w:val="23"/>
    <w:qFormat/>
    <w:uiPriority w:val="0"/>
    <w:rPr>
      <w:kern w:val="2"/>
      <w:sz w:val="21"/>
      <w:szCs w:val="24"/>
      <w:shd w:val="clear" w:color="auto" w:fill="000080"/>
    </w:rPr>
  </w:style>
  <w:style w:type="character" w:customStyle="1" w:styleId="160">
    <w:name w:val="批注文字 Char"/>
    <w:link w:val="25"/>
    <w:qFormat/>
    <w:uiPriority w:val="0"/>
    <w:rPr>
      <w:kern w:val="2"/>
      <w:sz w:val="24"/>
      <w:szCs w:val="24"/>
    </w:rPr>
  </w:style>
  <w:style w:type="character" w:customStyle="1" w:styleId="161">
    <w:name w:val="称呼 Char"/>
    <w:link w:val="27"/>
    <w:qFormat/>
    <w:uiPriority w:val="0"/>
    <w:rPr>
      <w:kern w:val="2"/>
      <w:sz w:val="21"/>
      <w:szCs w:val="24"/>
    </w:rPr>
  </w:style>
  <w:style w:type="character" w:customStyle="1" w:styleId="162">
    <w:name w:val="正文文本 3 Char"/>
    <w:link w:val="28"/>
    <w:qFormat/>
    <w:uiPriority w:val="0"/>
    <w:rPr>
      <w:kern w:val="2"/>
      <w:sz w:val="16"/>
      <w:szCs w:val="16"/>
    </w:rPr>
  </w:style>
  <w:style w:type="character" w:customStyle="1" w:styleId="163">
    <w:name w:val="结束语 Char"/>
    <w:link w:val="29"/>
    <w:qFormat/>
    <w:uiPriority w:val="0"/>
    <w:rPr>
      <w:kern w:val="2"/>
      <w:sz w:val="21"/>
      <w:szCs w:val="24"/>
    </w:rPr>
  </w:style>
  <w:style w:type="character" w:customStyle="1" w:styleId="164">
    <w:name w:val="正文文本 Char"/>
    <w:link w:val="31"/>
    <w:qFormat/>
    <w:uiPriority w:val="0"/>
    <w:rPr>
      <w:rFonts w:ascii="Calibri" w:hAnsi="Calibri"/>
      <w:kern w:val="2"/>
      <w:sz w:val="24"/>
      <w:szCs w:val="22"/>
    </w:rPr>
  </w:style>
  <w:style w:type="character" w:customStyle="1" w:styleId="165">
    <w:name w:val="正文文本缩进 Char"/>
    <w:link w:val="32"/>
    <w:qFormat/>
    <w:uiPriority w:val="0"/>
    <w:rPr>
      <w:color w:val="000000"/>
      <w:kern w:val="2"/>
      <w:sz w:val="24"/>
    </w:rPr>
  </w:style>
  <w:style w:type="character" w:customStyle="1" w:styleId="166">
    <w:name w:val="正文首行缩进 2 Char"/>
    <w:link w:val="79"/>
    <w:qFormat/>
    <w:uiPriority w:val="0"/>
    <w:rPr>
      <w:color w:val="000000"/>
      <w:kern w:val="2"/>
      <w:sz w:val="24"/>
      <w:szCs w:val="24"/>
    </w:rPr>
  </w:style>
  <w:style w:type="character" w:customStyle="1" w:styleId="167">
    <w:name w:val="正文首行缩进 Char1"/>
    <w:link w:val="78"/>
    <w:qFormat/>
    <w:uiPriority w:val="0"/>
    <w:rPr>
      <w:kern w:val="2"/>
      <w:sz w:val="24"/>
      <w:szCs w:val="24"/>
      <w:lang w:val="zh-CN"/>
    </w:rPr>
  </w:style>
  <w:style w:type="character" w:customStyle="1" w:styleId="168">
    <w:name w:val="HTML 地址 Char"/>
    <w:link w:val="39"/>
    <w:qFormat/>
    <w:uiPriority w:val="0"/>
    <w:rPr>
      <w:i/>
      <w:iCs/>
      <w:kern w:val="2"/>
      <w:sz w:val="21"/>
      <w:szCs w:val="24"/>
    </w:rPr>
  </w:style>
  <w:style w:type="character" w:customStyle="1" w:styleId="169">
    <w:name w:val="纯文本 Char"/>
    <w:link w:val="43"/>
    <w:qFormat/>
    <w:uiPriority w:val="0"/>
    <w:rPr>
      <w:rFonts w:ascii="宋体" w:hAnsi="Courier New" w:eastAsia="宋体"/>
      <w:kern w:val="2"/>
      <w:sz w:val="21"/>
      <w:lang w:val="en-US" w:eastAsia="zh-CN" w:bidi="ar-SA"/>
    </w:rPr>
  </w:style>
  <w:style w:type="character" w:customStyle="1" w:styleId="170">
    <w:name w:val="日期 Char"/>
    <w:link w:val="47"/>
    <w:qFormat/>
    <w:uiPriority w:val="0"/>
    <w:rPr>
      <w:kern w:val="2"/>
      <w:sz w:val="21"/>
    </w:rPr>
  </w:style>
  <w:style w:type="character" w:customStyle="1" w:styleId="171">
    <w:name w:val="正文文本缩进 2 Char"/>
    <w:link w:val="48"/>
    <w:qFormat/>
    <w:uiPriority w:val="0"/>
    <w:rPr>
      <w:kern w:val="2"/>
      <w:sz w:val="21"/>
      <w:szCs w:val="24"/>
    </w:rPr>
  </w:style>
  <w:style w:type="character" w:customStyle="1" w:styleId="172">
    <w:name w:val="批注框文本 Char"/>
    <w:link w:val="50"/>
    <w:qFormat/>
    <w:uiPriority w:val="0"/>
    <w:rPr>
      <w:kern w:val="2"/>
      <w:sz w:val="18"/>
      <w:szCs w:val="18"/>
    </w:rPr>
  </w:style>
  <w:style w:type="character" w:customStyle="1" w:styleId="173">
    <w:name w:val="页脚 Char"/>
    <w:link w:val="51"/>
    <w:qFormat/>
    <w:uiPriority w:val="99"/>
    <w:rPr>
      <w:kern w:val="2"/>
      <w:sz w:val="18"/>
      <w:szCs w:val="18"/>
    </w:rPr>
  </w:style>
  <w:style w:type="character" w:customStyle="1" w:styleId="174">
    <w:name w:val="页眉 Char"/>
    <w:link w:val="33"/>
    <w:qFormat/>
    <w:uiPriority w:val="0"/>
    <w:rPr>
      <w:kern w:val="2"/>
      <w:sz w:val="18"/>
      <w:szCs w:val="18"/>
    </w:rPr>
  </w:style>
  <w:style w:type="character" w:customStyle="1" w:styleId="175">
    <w:name w:val="签名 Char"/>
    <w:link w:val="53"/>
    <w:qFormat/>
    <w:uiPriority w:val="0"/>
    <w:rPr>
      <w:kern w:val="2"/>
      <w:sz w:val="21"/>
      <w:szCs w:val="24"/>
    </w:rPr>
  </w:style>
  <w:style w:type="character" w:customStyle="1" w:styleId="176">
    <w:name w:val="副标题 Char"/>
    <w:link w:val="59"/>
    <w:qFormat/>
    <w:uiPriority w:val="11"/>
    <w:rPr>
      <w:rFonts w:ascii="Cambria" w:hAnsi="Cambria"/>
      <w:bCs/>
      <w:kern w:val="28"/>
      <w:sz w:val="21"/>
      <w:szCs w:val="32"/>
    </w:rPr>
  </w:style>
  <w:style w:type="character" w:customStyle="1" w:styleId="177">
    <w:name w:val="列表 Char"/>
    <w:link w:val="61"/>
    <w:qFormat/>
    <w:uiPriority w:val="0"/>
    <w:rPr>
      <w:kern w:val="2"/>
      <w:sz w:val="21"/>
      <w:szCs w:val="24"/>
    </w:rPr>
  </w:style>
  <w:style w:type="character" w:customStyle="1" w:styleId="178">
    <w:name w:val="脚注文本 Char"/>
    <w:link w:val="62"/>
    <w:qFormat/>
    <w:uiPriority w:val="0"/>
    <w:rPr>
      <w:kern w:val="2"/>
      <w:sz w:val="18"/>
      <w:szCs w:val="18"/>
    </w:rPr>
  </w:style>
  <w:style w:type="character" w:customStyle="1" w:styleId="179">
    <w:name w:val="正文文本缩进 3 Char"/>
    <w:link w:val="65"/>
    <w:qFormat/>
    <w:uiPriority w:val="0"/>
    <w:rPr>
      <w:kern w:val="2"/>
      <w:sz w:val="16"/>
      <w:szCs w:val="16"/>
    </w:rPr>
  </w:style>
  <w:style w:type="character" w:customStyle="1" w:styleId="180">
    <w:name w:val="正文文本 2 Char"/>
    <w:link w:val="69"/>
    <w:qFormat/>
    <w:uiPriority w:val="99"/>
    <w:rPr>
      <w:rFonts w:ascii="宋体"/>
      <w:sz w:val="24"/>
    </w:rPr>
  </w:style>
  <w:style w:type="character" w:customStyle="1" w:styleId="181">
    <w:name w:val="信息标题 Char"/>
    <w:link w:val="72"/>
    <w:qFormat/>
    <w:uiPriority w:val="0"/>
    <w:rPr>
      <w:rFonts w:ascii="Arial" w:hAnsi="Arial" w:cs="Arial"/>
      <w:kern w:val="2"/>
      <w:sz w:val="24"/>
      <w:szCs w:val="24"/>
      <w:shd w:val="pct20" w:color="auto" w:fill="auto"/>
    </w:rPr>
  </w:style>
  <w:style w:type="character" w:customStyle="1" w:styleId="182">
    <w:name w:val="HTML 预设格式 Char"/>
    <w:link w:val="73"/>
    <w:qFormat/>
    <w:uiPriority w:val="0"/>
    <w:rPr>
      <w:rFonts w:ascii="Courier New" w:hAnsi="Courier New"/>
      <w:kern w:val="2"/>
    </w:rPr>
  </w:style>
  <w:style w:type="character" w:customStyle="1" w:styleId="183">
    <w:name w:val="标题 Char"/>
    <w:link w:val="76"/>
    <w:qFormat/>
    <w:uiPriority w:val="0"/>
    <w:rPr>
      <w:rFonts w:ascii="Cambria" w:hAnsi="Cambria"/>
      <w:b/>
      <w:bCs/>
      <w:kern w:val="2"/>
      <w:sz w:val="24"/>
      <w:szCs w:val="32"/>
    </w:rPr>
  </w:style>
  <w:style w:type="character" w:customStyle="1" w:styleId="184">
    <w:name w:val="批注主题 Char"/>
    <w:link w:val="77"/>
    <w:qFormat/>
    <w:uiPriority w:val="0"/>
    <w:rPr>
      <w:b/>
      <w:bCs/>
      <w:kern w:val="2"/>
      <w:sz w:val="24"/>
      <w:szCs w:val="24"/>
    </w:rPr>
  </w:style>
  <w:style w:type="character" w:customStyle="1" w:styleId="185">
    <w:name w:val="正文格式 Char Char"/>
    <w:link w:val="144"/>
    <w:qFormat/>
    <w:uiPriority w:val="0"/>
    <w:rPr>
      <w:rFonts w:ascii="宋体" w:hAnsi="宋体"/>
      <w:kern w:val="2"/>
      <w:sz w:val="24"/>
      <w:szCs w:val="24"/>
    </w:rPr>
  </w:style>
  <w:style w:type="character" w:customStyle="1" w:styleId="186">
    <w:name w:val="标题 4 Char"/>
    <w:link w:val="5"/>
    <w:qFormat/>
    <w:uiPriority w:val="0"/>
    <w:rPr>
      <w:rFonts w:eastAsia="宋体"/>
      <w:b/>
      <w:bCs/>
      <w:snapToGrid w:val="0"/>
      <w:kern w:val="18"/>
      <w:sz w:val="24"/>
      <w:szCs w:val="24"/>
      <w:lang w:bidi="ar-SA"/>
    </w:rPr>
  </w:style>
  <w:style w:type="paragraph" w:customStyle="1" w:styleId="187">
    <w:name w:val="xl27"/>
    <w:basedOn w:val="1"/>
    <w:semiHidden/>
    <w:qFormat/>
    <w:uiPriority w:val="0"/>
    <w:pPr>
      <w:widowControl/>
      <w:pBdr>
        <w:top w:val="single" w:color="auto" w:sz="12" w:space="0"/>
        <w:left w:val="single" w:color="auto" w:sz="4" w:space="0"/>
        <w:bottom w:val="single" w:color="auto" w:sz="4" w:space="0"/>
        <w:right w:val="single" w:color="auto" w:sz="4" w:space="0"/>
      </w:pBdr>
      <w:shd w:val="clear" w:color="auto" w:fill="CCCCFF"/>
      <w:spacing w:before="100" w:beforeAutospacing="1" w:after="100" w:afterAutospacing="1" w:line="240" w:lineRule="auto"/>
      <w:ind w:firstLine="0" w:firstLineChars="0"/>
      <w:jc w:val="center"/>
    </w:pPr>
    <w:rPr>
      <w:rFonts w:ascii="宋体" w:hAnsi="宋体"/>
      <w:kern w:val="0"/>
    </w:rPr>
  </w:style>
  <w:style w:type="paragraph" w:customStyle="1" w:styleId="18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9">
    <w:name w:val="报告书标题4（林） Char"/>
    <w:link w:val="190"/>
    <w:qFormat/>
    <w:uiPriority w:val="0"/>
    <w:rPr>
      <w:rFonts w:hAnsi="宋体" w:eastAsia="黑体"/>
      <w:b/>
      <w:bCs/>
      <w:color w:val="000000"/>
      <w:spacing w:val="-2"/>
      <w:kern w:val="28"/>
      <w:sz w:val="24"/>
      <w:szCs w:val="28"/>
    </w:rPr>
  </w:style>
  <w:style w:type="paragraph" w:customStyle="1" w:styleId="190">
    <w:name w:val="报告书标题4（林）"/>
    <w:basedOn w:val="5"/>
    <w:next w:val="1"/>
    <w:link w:val="189"/>
    <w:qFormat/>
    <w:uiPriority w:val="0"/>
    <w:pPr>
      <w:numPr>
        <w:ilvl w:val="3"/>
        <w:numId w:val="4"/>
      </w:numPr>
      <w:tabs>
        <w:tab w:val="left" w:pos="735"/>
      </w:tabs>
      <w:spacing w:before="50" w:beforeLines="50" w:after="50" w:afterLines="50"/>
    </w:pPr>
    <w:rPr>
      <w:rFonts w:hAnsi="宋体"/>
      <w:snapToGrid/>
      <w:color w:val="000000"/>
      <w:spacing w:val="-2"/>
      <w:kern w:val="28"/>
      <w:szCs w:val="28"/>
    </w:rPr>
  </w:style>
  <w:style w:type="character" w:customStyle="1" w:styleId="191">
    <w:name w:val="报告书标题3（林） Char"/>
    <w:link w:val="192"/>
    <w:qFormat/>
    <w:uiPriority w:val="0"/>
    <w:rPr>
      <w:rFonts w:hAnsi="宋体" w:eastAsia="黑体"/>
      <w:b/>
      <w:bCs/>
      <w:color w:val="000000"/>
      <w:sz w:val="24"/>
      <w:szCs w:val="28"/>
    </w:rPr>
  </w:style>
  <w:style w:type="paragraph" w:customStyle="1" w:styleId="192">
    <w:name w:val="报告书标题3（林）"/>
    <w:basedOn w:val="4"/>
    <w:next w:val="1"/>
    <w:link w:val="191"/>
    <w:qFormat/>
    <w:uiPriority w:val="0"/>
    <w:pPr>
      <w:widowControl w:val="0"/>
      <w:numPr>
        <w:ilvl w:val="2"/>
        <w:numId w:val="4"/>
      </w:numPr>
      <w:tabs>
        <w:tab w:val="left" w:pos="735"/>
        <w:tab w:val="clear" w:pos="816"/>
      </w:tabs>
      <w:spacing w:line="360" w:lineRule="auto"/>
    </w:pPr>
    <w:rPr>
      <w:rFonts w:hAnsi="宋体" w:eastAsia="黑体"/>
      <w:color w:val="000000"/>
      <w:kern w:val="0"/>
      <w:sz w:val="24"/>
      <w:szCs w:val="28"/>
    </w:rPr>
  </w:style>
  <w:style w:type="character" w:customStyle="1" w:styleId="193">
    <w:name w:val="G样式1 Char Char"/>
    <w:link w:val="194"/>
    <w:qFormat/>
    <w:uiPriority w:val="0"/>
    <w:rPr>
      <w:sz w:val="28"/>
      <w:szCs w:val="28"/>
    </w:rPr>
  </w:style>
  <w:style w:type="paragraph" w:customStyle="1" w:styleId="194">
    <w:name w:val="G样式1"/>
    <w:basedOn w:val="1"/>
    <w:link w:val="193"/>
    <w:qFormat/>
    <w:uiPriority w:val="0"/>
    <w:pPr>
      <w:spacing w:line="480" w:lineRule="exact"/>
    </w:pPr>
    <w:rPr>
      <w:kern w:val="0"/>
      <w:sz w:val="28"/>
      <w:szCs w:val="28"/>
    </w:rPr>
  </w:style>
  <w:style w:type="character" w:customStyle="1" w:styleId="195">
    <w:name w:val="批注框文本 Char1"/>
    <w:semiHidden/>
    <w:qFormat/>
    <w:uiPriority w:val="99"/>
    <w:rPr>
      <w:kern w:val="2"/>
      <w:sz w:val="18"/>
      <w:szCs w:val="18"/>
    </w:rPr>
  </w:style>
  <w:style w:type="character" w:customStyle="1" w:styleId="196">
    <w:name w:val="a二级标题 Char"/>
    <w:link w:val="197"/>
    <w:qFormat/>
    <w:uiPriority w:val="0"/>
    <w:rPr>
      <w:rFonts w:hAnsi="宋体" w:eastAsia="黑体"/>
      <w:b/>
      <w:bCs/>
      <w:kern w:val="2"/>
      <w:sz w:val="32"/>
      <w:szCs w:val="32"/>
    </w:rPr>
  </w:style>
  <w:style w:type="paragraph" w:customStyle="1" w:styleId="197">
    <w:name w:val="a二级标题"/>
    <w:basedOn w:val="3"/>
    <w:link w:val="196"/>
    <w:qFormat/>
    <w:uiPriority w:val="0"/>
    <w:pPr>
      <w:widowControl w:val="0"/>
      <w:numPr>
        <w:ilvl w:val="0"/>
        <w:numId w:val="0"/>
      </w:numPr>
      <w:tabs>
        <w:tab w:val="left" w:pos="576"/>
        <w:tab w:val="clear" w:pos="720"/>
      </w:tabs>
      <w:spacing w:before="260" w:beforeLines="50" w:after="260" w:afterLines="50" w:line="360" w:lineRule="auto"/>
      <w:ind w:left="576" w:hanging="576"/>
    </w:pPr>
    <w:rPr>
      <w:rFonts w:hAnsi="宋体" w:eastAsia="黑体"/>
      <w:snapToGrid/>
      <w:kern w:val="2"/>
      <w:sz w:val="32"/>
    </w:rPr>
  </w:style>
  <w:style w:type="character" w:customStyle="1" w:styleId="198">
    <w:name w:val="fj11"/>
    <w:qFormat/>
    <w:uiPriority w:val="0"/>
    <w:rPr>
      <w:rFonts w:hint="eastAsia" w:ascii="宋体" w:hAnsi="宋体" w:eastAsia="宋体"/>
      <w:sz w:val="21"/>
      <w:szCs w:val="21"/>
    </w:rPr>
  </w:style>
  <w:style w:type="character" w:customStyle="1" w:styleId="199">
    <w:name w:val="unnamed1"/>
    <w:qFormat/>
    <w:uiPriority w:val="0"/>
  </w:style>
  <w:style w:type="character" w:customStyle="1" w:styleId="200">
    <w:name w:val="正文文本 + 间距 2 pt"/>
    <w:qFormat/>
    <w:uiPriority w:val="0"/>
    <w:rPr>
      <w:rFonts w:ascii="MingLiU" w:hAnsi="MingLiU" w:eastAsia="MingLiU" w:cs="MingLiU"/>
      <w:color w:val="000000"/>
      <w:spacing w:val="50"/>
      <w:w w:val="100"/>
      <w:position w:val="0"/>
      <w:sz w:val="22"/>
      <w:szCs w:val="22"/>
      <w:u w:val="none"/>
      <w:shd w:val="clear" w:color="auto" w:fill="FFFFFF"/>
      <w:lang w:val="zh-TW"/>
    </w:rPr>
  </w:style>
  <w:style w:type="character" w:customStyle="1" w:styleId="201">
    <w:name w:val="标题 #4_"/>
    <w:link w:val="202"/>
    <w:qFormat/>
    <w:uiPriority w:val="0"/>
    <w:rPr>
      <w:rFonts w:ascii="MingLiU" w:hAnsi="MingLiU" w:eastAsia="MingLiU" w:cs="MingLiU"/>
      <w:sz w:val="30"/>
      <w:szCs w:val="30"/>
      <w:shd w:val="clear" w:color="auto" w:fill="FFFFFF"/>
    </w:rPr>
  </w:style>
  <w:style w:type="paragraph" w:customStyle="1" w:styleId="202">
    <w:name w:val="标题 #4"/>
    <w:basedOn w:val="1"/>
    <w:link w:val="201"/>
    <w:qFormat/>
    <w:uiPriority w:val="0"/>
    <w:pPr>
      <w:shd w:val="clear" w:color="auto" w:fill="FFFFFF"/>
      <w:spacing w:before="660" w:after="540" w:line="0" w:lineRule="atLeast"/>
      <w:ind w:firstLine="0" w:firstLineChars="0"/>
      <w:jc w:val="left"/>
      <w:outlineLvl w:val="3"/>
    </w:pPr>
    <w:rPr>
      <w:rFonts w:ascii="MingLiU" w:hAnsi="MingLiU" w:eastAsia="MingLiU"/>
      <w:kern w:val="0"/>
      <w:sz w:val="30"/>
      <w:szCs w:val="30"/>
    </w:rPr>
  </w:style>
  <w:style w:type="character" w:customStyle="1" w:styleId="203">
    <w:name w:val="批注文字 Char1"/>
    <w:qFormat/>
    <w:uiPriority w:val="0"/>
    <w:rPr>
      <w:kern w:val="2"/>
      <w:sz w:val="24"/>
      <w:szCs w:val="22"/>
    </w:rPr>
  </w:style>
  <w:style w:type="character" w:customStyle="1" w:styleId="204">
    <w:name w:val="环评文本 Char Char"/>
    <w:link w:val="205"/>
    <w:qFormat/>
    <w:uiPriority w:val="0"/>
    <w:rPr>
      <w:rFonts w:ascii="宋体" w:hAnsi="宋体"/>
      <w:snapToGrid/>
      <w:color w:val="000000"/>
      <w:kern w:val="2"/>
      <w:sz w:val="24"/>
      <w:szCs w:val="24"/>
    </w:rPr>
  </w:style>
  <w:style w:type="paragraph" w:customStyle="1" w:styleId="205">
    <w:name w:val="环评文本"/>
    <w:basedOn w:val="1"/>
    <w:link w:val="204"/>
    <w:qFormat/>
    <w:uiPriority w:val="0"/>
    <w:pPr>
      <w:spacing w:line="520" w:lineRule="exact"/>
      <w:ind w:firstLine="480"/>
    </w:pPr>
    <w:rPr>
      <w:rFonts w:ascii="宋体" w:hAnsi="宋体"/>
      <w:color w:val="000000"/>
    </w:rPr>
  </w:style>
  <w:style w:type="character" w:customStyle="1" w:styleId="206">
    <w:name w:val="规范正文 Char"/>
    <w:link w:val="207"/>
    <w:qFormat/>
    <w:uiPriority w:val="0"/>
    <w:rPr>
      <w:kern w:val="2"/>
      <w:sz w:val="24"/>
      <w:szCs w:val="22"/>
      <w:lang w:val="en-US" w:eastAsia="zh-CN" w:bidi="ar-SA"/>
    </w:rPr>
  </w:style>
  <w:style w:type="paragraph" w:customStyle="1" w:styleId="207">
    <w:name w:val="规范正文"/>
    <w:link w:val="206"/>
    <w:qFormat/>
    <w:uiPriority w:val="0"/>
    <w:pPr>
      <w:topLinePunct/>
      <w:spacing w:line="360" w:lineRule="auto"/>
      <w:ind w:firstLine="200" w:firstLineChars="200"/>
      <w:jc w:val="both"/>
      <w:textAlignment w:val="baseline"/>
    </w:pPr>
    <w:rPr>
      <w:rFonts w:ascii="Times New Roman" w:hAnsi="Times New Roman" w:eastAsia="宋体" w:cs="Times New Roman"/>
      <w:kern w:val="2"/>
      <w:sz w:val="24"/>
      <w:szCs w:val="22"/>
      <w:lang w:val="en-US" w:eastAsia="zh-CN" w:bidi="ar-SA"/>
    </w:rPr>
  </w:style>
  <w:style w:type="character" w:customStyle="1" w:styleId="208">
    <w:name w:val="标题 #5 + Batang"/>
    <w:qFormat/>
    <w:uiPriority w:val="0"/>
    <w:rPr>
      <w:rFonts w:ascii="Batang" w:hAnsi="Batang" w:eastAsia="Batang" w:cs="Batang"/>
      <w:b/>
      <w:bCs/>
      <w:color w:val="000000"/>
      <w:spacing w:val="0"/>
      <w:w w:val="100"/>
      <w:position w:val="0"/>
      <w:sz w:val="18"/>
      <w:szCs w:val="18"/>
      <w:u w:val="none"/>
      <w:lang w:val="en-US"/>
    </w:rPr>
  </w:style>
  <w:style w:type="character" w:customStyle="1" w:styleId="209">
    <w:name w:val="a三级 Char"/>
    <w:link w:val="210"/>
    <w:qFormat/>
    <w:uiPriority w:val="0"/>
    <w:rPr>
      <w:b/>
      <w:kern w:val="2"/>
      <w:sz w:val="28"/>
      <w:szCs w:val="30"/>
    </w:rPr>
  </w:style>
  <w:style w:type="paragraph" w:customStyle="1" w:styleId="210">
    <w:name w:val="a三级"/>
    <w:basedOn w:val="1"/>
    <w:link w:val="209"/>
    <w:qFormat/>
    <w:uiPriority w:val="0"/>
    <w:pPr>
      <w:numPr>
        <w:ilvl w:val="2"/>
        <w:numId w:val="0"/>
      </w:numPr>
      <w:spacing w:before="60" w:after="60"/>
      <w:jc w:val="left"/>
      <w:outlineLvl w:val="2"/>
    </w:pPr>
    <w:rPr>
      <w:b/>
      <w:sz w:val="28"/>
      <w:szCs w:val="30"/>
    </w:rPr>
  </w:style>
  <w:style w:type="character" w:customStyle="1" w:styleId="211">
    <w:name w:val="标题 #5_"/>
    <w:link w:val="212"/>
    <w:qFormat/>
    <w:uiPriority w:val="0"/>
    <w:rPr>
      <w:rFonts w:ascii="MingLiU" w:hAnsi="MingLiU" w:eastAsia="MingLiU" w:cs="MingLiU"/>
      <w:b/>
      <w:bCs/>
      <w:sz w:val="18"/>
      <w:szCs w:val="18"/>
      <w:shd w:val="clear" w:color="auto" w:fill="FFFFFF"/>
    </w:rPr>
  </w:style>
  <w:style w:type="paragraph" w:customStyle="1" w:styleId="212">
    <w:name w:val="标题 #5"/>
    <w:basedOn w:val="1"/>
    <w:link w:val="211"/>
    <w:qFormat/>
    <w:uiPriority w:val="0"/>
    <w:pPr>
      <w:shd w:val="clear" w:color="auto" w:fill="FFFFFF"/>
      <w:spacing w:line="466" w:lineRule="exact"/>
      <w:ind w:firstLine="500" w:firstLineChars="0"/>
      <w:outlineLvl w:val="4"/>
    </w:pPr>
    <w:rPr>
      <w:rFonts w:ascii="MingLiU" w:hAnsi="MingLiU" w:eastAsia="MingLiU"/>
      <w:b/>
      <w:bCs/>
      <w:kern w:val="0"/>
      <w:sz w:val="18"/>
      <w:szCs w:val="18"/>
    </w:rPr>
  </w:style>
  <w:style w:type="character" w:customStyle="1" w:styleId="213">
    <w:name w:val="正文1 Char Char"/>
    <w:link w:val="214"/>
    <w:qFormat/>
    <w:uiPriority w:val="0"/>
    <w:rPr>
      <w:rFonts w:eastAsia="楷体_GB2312"/>
      <w:kern w:val="2"/>
      <w:sz w:val="24"/>
    </w:rPr>
  </w:style>
  <w:style w:type="paragraph" w:customStyle="1" w:styleId="214">
    <w:name w:val="正文1"/>
    <w:basedOn w:val="32"/>
    <w:link w:val="213"/>
    <w:qFormat/>
    <w:uiPriority w:val="0"/>
    <w:pPr>
      <w:adjustRightInd w:val="0"/>
      <w:spacing w:line="240" w:lineRule="auto"/>
      <w:ind w:firstLine="0" w:firstLineChars="0"/>
    </w:pPr>
    <w:rPr>
      <w:rFonts w:eastAsia="楷体_GB2312"/>
      <w:szCs w:val="20"/>
    </w:rPr>
  </w:style>
  <w:style w:type="character" w:customStyle="1" w:styleId="215">
    <w:name w:val="页眉 Char1"/>
    <w:qFormat/>
    <w:uiPriority w:val="0"/>
    <w:rPr>
      <w:rFonts w:eastAsia="宋体"/>
      <w:kern w:val="2"/>
      <w:sz w:val="18"/>
      <w:szCs w:val="18"/>
      <w:lang w:val="en-US" w:eastAsia="zh-CN" w:bidi="ar-SA"/>
    </w:rPr>
  </w:style>
  <w:style w:type="character" w:customStyle="1" w:styleId="216">
    <w:name w:val="报告书正文（林） Char"/>
    <w:link w:val="217"/>
    <w:qFormat/>
    <w:uiPriority w:val="0"/>
    <w:rPr>
      <w:color w:val="000000"/>
      <w:kern w:val="2"/>
      <w:sz w:val="24"/>
      <w:szCs w:val="24"/>
    </w:rPr>
  </w:style>
  <w:style w:type="paragraph" w:customStyle="1" w:styleId="217">
    <w:name w:val="报告书正文（林）"/>
    <w:basedOn w:val="1"/>
    <w:link w:val="216"/>
    <w:qFormat/>
    <w:uiPriority w:val="0"/>
    <w:pPr>
      <w:topLinePunct/>
      <w:textAlignment w:val="baseline"/>
    </w:pPr>
    <w:rPr>
      <w:color w:val="000000"/>
    </w:rPr>
  </w:style>
  <w:style w:type="character" w:customStyle="1" w:styleId="218">
    <w:name w:val="表格标题 (3)_"/>
    <w:link w:val="219"/>
    <w:qFormat/>
    <w:uiPriority w:val="0"/>
    <w:rPr>
      <w:rFonts w:ascii="Batang" w:hAnsi="Batang" w:eastAsia="Batang" w:cs="Batang"/>
      <w:b/>
      <w:bCs/>
      <w:sz w:val="18"/>
      <w:szCs w:val="18"/>
      <w:shd w:val="clear" w:color="auto" w:fill="FFFFFF"/>
    </w:rPr>
  </w:style>
  <w:style w:type="paragraph" w:customStyle="1" w:styleId="219">
    <w:name w:val="表格标题 (3)"/>
    <w:basedOn w:val="1"/>
    <w:link w:val="218"/>
    <w:qFormat/>
    <w:uiPriority w:val="0"/>
    <w:pPr>
      <w:shd w:val="clear" w:color="auto" w:fill="FFFFFF"/>
      <w:spacing w:line="0" w:lineRule="atLeast"/>
      <w:ind w:firstLine="0" w:firstLineChars="0"/>
      <w:jc w:val="left"/>
    </w:pPr>
    <w:rPr>
      <w:rFonts w:ascii="Batang" w:hAnsi="Batang" w:eastAsia="Batang"/>
      <w:b/>
      <w:bCs/>
      <w:kern w:val="0"/>
      <w:sz w:val="18"/>
      <w:szCs w:val="18"/>
    </w:rPr>
  </w:style>
  <w:style w:type="character" w:customStyle="1" w:styleId="220">
    <w:name w:val="正文文本 (2)_"/>
    <w:link w:val="221"/>
    <w:qFormat/>
    <w:uiPriority w:val="0"/>
    <w:rPr>
      <w:rFonts w:ascii="MingLiU" w:hAnsi="MingLiU" w:eastAsia="MingLiU" w:cs="MingLiU"/>
      <w:b/>
      <w:bCs/>
      <w:sz w:val="18"/>
      <w:szCs w:val="18"/>
      <w:shd w:val="clear" w:color="auto" w:fill="FFFFFF"/>
    </w:rPr>
  </w:style>
  <w:style w:type="paragraph" w:customStyle="1" w:styleId="221">
    <w:name w:val="正文文本 (2)"/>
    <w:basedOn w:val="1"/>
    <w:link w:val="220"/>
    <w:qFormat/>
    <w:uiPriority w:val="0"/>
    <w:pPr>
      <w:shd w:val="clear" w:color="auto" w:fill="FFFFFF"/>
      <w:spacing w:after="120" w:line="0" w:lineRule="atLeast"/>
      <w:ind w:firstLine="0" w:firstLineChars="0"/>
      <w:jc w:val="center"/>
    </w:pPr>
    <w:rPr>
      <w:rFonts w:ascii="MingLiU" w:hAnsi="MingLiU" w:eastAsia="MingLiU"/>
      <w:b/>
      <w:bCs/>
      <w:kern w:val="0"/>
      <w:sz w:val="18"/>
      <w:szCs w:val="18"/>
    </w:rPr>
  </w:style>
  <w:style w:type="character" w:customStyle="1" w:styleId="222">
    <w:name w:val="表格标题 (3) + MingLiU"/>
    <w:qFormat/>
    <w:uiPriority w:val="0"/>
    <w:rPr>
      <w:rFonts w:ascii="MingLiU" w:hAnsi="MingLiU" w:eastAsia="MingLiU" w:cs="MingLiU"/>
      <w:b/>
      <w:bCs/>
      <w:color w:val="000000"/>
      <w:spacing w:val="0"/>
      <w:w w:val="100"/>
      <w:position w:val="0"/>
      <w:sz w:val="18"/>
      <w:szCs w:val="18"/>
      <w:u w:val="none"/>
      <w:lang w:val="zh-TW"/>
    </w:rPr>
  </w:style>
  <w:style w:type="character" w:customStyle="1" w:styleId="223">
    <w:name w:val="正文文本 (4)_"/>
    <w:link w:val="224"/>
    <w:qFormat/>
    <w:uiPriority w:val="0"/>
    <w:rPr>
      <w:rFonts w:ascii="Batang" w:hAnsi="Batang" w:eastAsia="Batang" w:cs="Batang"/>
      <w:b/>
      <w:bCs/>
      <w:sz w:val="18"/>
      <w:szCs w:val="18"/>
      <w:shd w:val="clear" w:color="auto" w:fill="FFFFFF"/>
    </w:rPr>
  </w:style>
  <w:style w:type="paragraph" w:customStyle="1" w:styleId="224">
    <w:name w:val="正文文本 (4)"/>
    <w:basedOn w:val="1"/>
    <w:link w:val="223"/>
    <w:qFormat/>
    <w:uiPriority w:val="0"/>
    <w:pPr>
      <w:shd w:val="clear" w:color="auto" w:fill="FFFFFF"/>
      <w:spacing w:after="120" w:line="461" w:lineRule="exact"/>
      <w:ind w:firstLine="0" w:firstLineChars="0"/>
      <w:jc w:val="center"/>
    </w:pPr>
    <w:rPr>
      <w:rFonts w:ascii="Batang" w:hAnsi="Batang" w:eastAsia="Batang"/>
      <w:b/>
      <w:bCs/>
      <w:kern w:val="0"/>
      <w:sz w:val="18"/>
      <w:szCs w:val="18"/>
    </w:rPr>
  </w:style>
  <w:style w:type="character" w:customStyle="1" w:styleId="225">
    <w:name w:val="报告 Char Char"/>
    <w:link w:val="226"/>
    <w:qFormat/>
    <w:uiPriority w:val="0"/>
    <w:rPr>
      <w:kern w:val="2"/>
      <w:sz w:val="24"/>
    </w:rPr>
  </w:style>
  <w:style w:type="paragraph" w:customStyle="1" w:styleId="226">
    <w:name w:val="报告"/>
    <w:basedOn w:val="1"/>
    <w:link w:val="225"/>
    <w:qFormat/>
    <w:uiPriority w:val="0"/>
    <w:pPr>
      <w:overflowPunct w:val="0"/>
      <w:autoSpaceDE w:val="0"/>
      <w:autoSpaceDN w:val="0"/>
      <w:adjustRightInd w:val="0"/>
      <w:spacing w:before="93" w:beforeLines="30" w:after="93" w:afterLines="30" w:line="400" w:lineRule="atLeast"/>
      <w:ind w:left="200" w:leftChars="200"/>
      <w:textAlignment w:val="baseline"/>
    </w:pPr>
    <w:rPr>
      <w:szCs w:val="20"/>
    </w:rPr>
  </w:style>
  <w:style w:type="character" w:customStyle="1" w:styleId="227">
    <w:name w:val="正文缩进1 Char1"/>
    <w:qFormat/>
    <w:uiPriority w:val="0"/>
    <w:rPr>
      <w:rFonts w:ascii="Times New Roman" w:hAnsi="Times New Roman"/>
      <w:kern w:val="1"/>
      <w:sz w:val="24"/>
      <w:lang w:eastAsia="ar-SA"/>
    </w:rPr>
  </w:style>
  <w:style w:type="character" w:customStyle="1" w:styleId="228">
    <w:name w:val="报告 Char"/>
    <w:qFormat/>
    <w:uiPriority w:val="0"/>
    <w:rPr>
      <w:rFonts w:eastAsia="宋体"/>
      <w:sz w:val="24"/>
      <w:lang w:val="en-US" w:eastAsia="zh-CN" w:bidi="ar-SA"/>
    </w:rPr>
  </w:style>
  <w:style w:type="character" w:customStyle="1" w:styleId="229">
    <w:name w:val="正文 首行缩进:  2 字符 Char"/>
    <w:link w:val="230"/>
    <w:qFormat/>
    <w:uiPriority w:val="0"/>
    <w:rPr>
      <w:rFonts w:cs="宋体"/>
      <w:kern w:val="2"/>
      <w:sz w:val="24"/>
    </w:rPr>
  </w:style>
  <w:style w:type="paragraph" w:customStyle="1" w:styleId="230">
    <w:name w:val="正文 首行缩进:  2 字符"/>
    <w:basedOn w:val="1"/>
    <w:link w:val="229"/>
    <w:qFormat/>
    <w:uiPriority w:val="0"/>
    <w:pPr>
      <w:widowControl/>
      <w:adjustRightInd w:val="0"/>
      <w:snapToGrid w:val="0"/>
      <w:spacing w:line="500" w:lineRule="exact"/>
      <w:ind w:firstLine="480"/>
      <w:jc w:val="left"/>
    </w:pPr>
    <w:rPr>
      <w:szCs w:val="20"/>
    </w:rPr>
  </w:style>
  <w:style w:type="character" w:customStyle="1" w:styleId="231">
    <w:name w:val="正文文本 + 9 pt"/>
    <w:qFormat/>
    <w:uiPriority w:val="0"/>
    <w:rPr>
      <w:rFonts w:ascii="MingLiU" w:hAnsi="MingLiU" w:eastAsia="MingLiU" w:cs="MingLiU"/>
      <w:b/>
      <w:bCs/>
      <w:color w:val="000000"/>
      <w:spacing w:val="0"/>
      <w:w w:val="100"/>
      <w:position w:val="0"/>
      <w:sz w:val="18"/>
      <w:szCs w:val="18"/>
      <w:u w:val="none"/>
      <w:lang w:val="zh-TW"/>
    </w:rPr>
  </w:style>
  <w:style w:type="character" w:customStyle="1" w:styleId="232">
    <w:name w:val="标题 3 Char Char"/>
    <w:qFormat/>
    <w:uiPriority w:val="0"/>
    <w:rPr>
      <w:rFonts w:eastAsia="仿宋_GB2312"/>
      <w:b/>
      <w:kern w:val="2"/>
      <w:sz w:val="24"/>
      <w:lang w:val="en-US" w:eastAsia="zh-CN" w:bidi="ar-SA"/>
    </w:rPr>
  </w:style>
  <w:style w:type="character" w:customStyle="1" w:styleId="233">
    <w:name w:val="(a表格标题 Char"/>
    <w:link w:val="234"/>
    <w:qFormat/>
    <w:uiPriority w:val="0"/>
    <w:rPr>
      <w:rFonts w:ascii="仿宋_GB2312" w:hAnsi="宋体" w:eastAsia="黑体" w:cs="宋体"/>
      <w:b/>
      <w:sz w:val="24"/>
      <w:szCs w:val="28"/>
    </w:rPr>
  </w:style>
  <w:style w:type="paragraph" w:customStyle="1" w:styleId="234">
    <w:name w:val="(a表格标题"/>
    <w:basedOn w:val="1"/>
    <w:link w:val="233"/>
    <w:qFormat/>
    <w:uiPriority w:val="0"/>
    <w:pPr>
      <w:widowControl/>
      <w:spacing w:line="400" w:lineRule="exact"/>
      <w:ind w:firstLine="0" w:firstLineChars="0"/>
      <w:jc w:val="center"/>
    </w:pPr>
    <w:rPr>
      <w:rFonts w:ascii="仿宋_GB2312" w:hAnsi="宋体" w:eastAsia="黑体"/>
      <w:b/>
      <w:kern w:val="0"/>
      <w:szCs w:val="28"/>
    </w:rPr>
  </w:style>
  <w:style w:type="character" w:customStyle="1" w:styleId="235">
    <w:name w:val="000正文abing(新) Char"/>
    <w:link w:val="236"/>
    <w:qFormat/>
    <w:uiPriority w:val="0"/>
    <w:rPr>
      <w:kern w:val="2"/>
      <w:sz w:val="24"/>
      <w:szCs w:val="24"/>
    </w:rPr>
  </w:style>
  <w:style w:type="paragraph" w:customStyle="1" w:styleId="236">
    <w:name w:val="000正文abing(新)"/>
    <w:basedOn w:val="1"/>
    <w:link w:val="235"/>
    <w:qFormat/>
    <w:uiPriority w:val="0"/>
    <w:pPr>
      <w:widowControl/>
      <w:spacing w:line="440" w:lineRule="exact"/>
      <w:ind w:firstLine="480"/>
    </w:pPr>
  </w:style>
  <w:style w:type="character" w:customStyle="1" w:styleId="237">
    <w:name w:val="第三标题 Char"/>
    <w:link w:val="238"/>
    <w:qFormat/>
    <w:uiPriority w:val="0"/>
    <w:rPr>
      <w:rFonts w:eastAsia="楷体_GB2312"/>
      <w:b/>
      <w:bCs/>
      <w:color w:val="000000"/>
      <w:kern w:val="2"/>
      <w:sz w:val="28"/>
      <w:szCs w:val="32"/>
    </w:rPr>
  </w:style>
  <w:style w:type="paragraph" w:customStyle="1" w:styleId="238">
    <w:name w:val="第三标题"/>
    <w:basedOn w:val="4"/>
    <w:link w:val="237"/>
    <w:qFormat/>
    <w:uiPriority w:val="0"/>
    <w:pPr>
      <w:widowControl w:val="0"/>
      <w:numPr>
        <w:ilvl w:val="0"/>
        <w:numId w:val="0"/>
      </w:numPr>
      <w:tabs>
        <w:tab w:val="clear" w:pos="816"/>
      </w:tabs>
      <w:spacing w:before="120" w:beforeLines="0" w:after="120" w:afterLines="0" w:line="360" w:lineRule="auto"/>
    </w:pPr>
    <w:rPr>
      <w:rFonts w:eastAsia="楷体_GB2312"/>
      <w:color w:val="000000"/>
      <w:szCs w:val="32"/>
    </w:rPr>
  </w:style>
  <w:style w:type="character" w:customStyle="1" w:styleId="239">
    <w:name w:val="正文四号 Char Char"/>
    <w:link w:val="240"/>
    <w:qFormat/>
    <w:uiPriority w:val="0"/>
    <w:rPr>
      <w:rFonts w:cs="宋体"/>
      <w:kern w:val="2"/>
      <w:sz w:val="28"/>
    </w:rPr>
  </w:style>
  <w:style w:type="paragraph" w:customStyle="1" w:styleId="240">
    <w:name w:val="正文四号"/>
    <w:basedOn w:val="1"/>
    <w:link w:val="239"/>
    <w:qFormat/>
    <w:uiPriority w:val="0"/>
    <w:rPr>
      <w:sz w:val="28"/>
      <w:szCs w:val="20"/>
    </w:rPr>
  </w:style>
  <w:style w:type="character" w:customStyle="1" w:styleId="241">
    <w:name w:val="正文(首行缩进) Char"/>
    <w:link w:val="242"/>
    <w:qFormat/>
    <w:uiPriority w:val="0"/>
    <w:rPr>
      <w:snapToGrid/>
      <w:sz w:val="28"/>
      <w:szCs w:val="28"/>
    </w:rPr>
  </w:style>
  <w:style w:type="paragraph" w:customStyle="1" w:styleId="242">
    <w:name w:val="正文(首行缩进)"/>
    <w:basedOn w:val="1"/>
    <w:link w:val="241"/>
    <w:qFormat/>
    <w:uiPriority w:val="0"/>
    <w:rPr>
      <w:kern w:val="0"/>
      <w:sz w:val="28"/>
      <w:szCs w:val="28"/>
    </w:rPr>
  </w:style>
  <w:style w:type="character" w:customStyle="1" w:styleId="243">
    <w:name w:val="正文文本_"/>
    <w:link w:val="244"/>
    <w:qFormat/>
    <w:uiPriority w:val="0"/>
    <w:rPr>
      <w:rFonts w:ascii="MingLiU" w:hAnsi="MingLiU" w:eastAsia="MingLiU" w:cs="MingLiU"/>
      <w:spacing w:val="10"/>
      <w:sz w:val="22"/>
      <w:szCs w:val="22"/>
      <w:shd w:val="clear" w:color="auto" w:fill="FFFFFF"/>
    </w:rPr>
  </w:style>
  <w:style w:type="paragraph" w:customStyle="1" w:styleId="244">
    <w:name w:val="正文文本5"/>
    <w:basedOn w:val="1"/>
    <w:link w:val="243"/>
    <w:qFormat/>
    <w:uiPriority w:val="0"/>
    <w:pPr>
      <w:shd w:val="clear" w:color="auto" w:fill="FFFFFF"/>
      <w:spacing w:before="480" w:line="466" w:lineRule="exact"/>
      <w:ind w:firstLine="0" w:firstLineChars="0"/>
      <w:jc w:val="distribute"/>
    </w:pPr>
    <w:rPr>
      <w:rFonts w:ascii="MingLiU" w:hAnsi="MingLiU" w:eastAsia="MingLiU"/>
      <w:spacing w:val="10"/>
      <w:kern w:val="0"/>
      <w:sz w:val="22"/>
      <w:szCs w:val="22"/>
    </w:rPr>
  </w:style>
  <w:style w:type="character" w:customStyle="1" w:styleId="245">
    <w:name w:val="表格 Char Char"/>
    <w:qFormat/>
    <w:uiPriority w:val="0"/>
    <w:rPr>
      <w:rFonts w:hAnsi="宋体" w:eastAsia="宋体"/>
      <w:kern w:val="2"/>
      <w:sz w:val="21"/>
      <w:szCs w:val="21"/>
      <w:lang w:val="en-US" w:eastAsia="zh-CN" w:bidi="ar-SA"/>
    </w:rPr>
  </w:style>
  <w:style w:type="character" w:customStyle="1" w:styleId="246">
    <w:name w:val="hl"/>
    <w:qFormat/>
    <w:uiPriority w:val="0"/>
  </w:style>
  <w:style w:type="character" w:customStyle="1" w:styleId="247">
    <w:name w:val="font1"/>
    <w:qFormat/>
    <w:uiPriority w:val="0"/>
    <w:rPr>
      <w:rFonts w:hint="eastAsia" w:ascii="宋体" w:hAnsi="宋体" w:eastAsia="宋体"/>
      <w:color w:val="333333"/>
      <w:sz w:val="22"/>
      <w:szCs w:val="22"/>
    </w:rPr>
  </w:style>
  <w:style w:type="character" w:customStyle="1" w:styleId="248">
    <w:name w:val="报告书标题2（林） Char"/>
    <w:link w:val="249"/>
    <w:qFormat/>
    <w:uiPriority w:val="0"/>
    <w:rPr>
      <w:rFonts w:eastAsia="黑体"/>
      <w:b/>
      <w:kern w:val="2"/>
      <w:sz w:val="28"/>
      <w:szCs w:val="28"/>
    </w:rPr>
  </w:style>
  <w:style w:type="paragraph" w:customStyle="1" w:styleId="249">
    <w:name w:val="报告书标题2（林）"/>
    <w:basedOn w:val="3"/>
    <w:next w:val="1"/>
    <w:link w:val="248"/>
    <w:qFormat/>
    <w:uiPriority w:val="0"/>
    <w:pPr>
      <w:widowControl w:val="0"/>
      <w:numPr>
        <w:ilvl w:val="1"/>
        <w:numId w:val="4"/>
      </w:numPr>
      <w:tabs>
        <w:tab w:val="left" w:pos="630"/>
        <w:tab w:val="clear" w:pos="720"/>
      </w:tabs>
      <w:spacing w:before="50" w:beforeLines="50" w:after="50" w:afterLines="50" w:line="360" w:lineRule="auto"/>
    </w:pPr>
    <w:rPr>
      <w:rFonts w:eastAsia="黑体"/>
      <w:bCs w:val="0"/>
      <w:snapToGrid/>
      <w:kern w:val="2"/>
      <w:sz w:val="28"/>
      <w:szCs w:val="28"/>
    </w:rPr>
  </w:style>
  <w:style w:type="character" w:customStyle="1" w:styleId="250">
    <w:name w:val="报告书表格目录（林） Char"/>
    <w:link w:val="251"/>
    <w:qFormat/>
    <w:uiPriority w:val="0"/>
    <w:rPr>
      <w:b/>
      <w:kern w:val="2"/>
      <w:sz w:val="24"/>
      <w:szCs w:val="28"/>
    </w:rPr>
  </w:style>
  <w:style w:type="paragraph" w:customStyle="1" w:styleId="251">
    <w:name w:val="报告书表格目录（林）"/>
    <w:basedOn w:val="66"/>
    <w:link w:val="250"/>
    <w:qFormat/>
    <w:uiPriority w:val="0"/>
    <w:pPr>
      <w:spacing w:before="50" w:beforeLines="50"/>
      <w:ind w:leftChars="0" w:firstLine="0" w:firstLineChars="0"/>
      <w:jc w:val="center"/>
    </w:pPr>
    <w:rPr>
      <w:b/>
      <w:szCs w:val="28"/>
    </w:rPr>
  </w:style>
  <w:style w:type="character" w:customStyle="1" w:styleId="252">
    <w:name w:val="表格 32 Char Char"/>
    <w:link w:val="253"/>
    <w:qFormat/>
    <w:uiPriority w:val="0"/>
    <w:rPr>
      <w:rFonts w:eastAsia="楷体_GB2312"/>
      <w:sz w:val="24"/>
    </w:rPr>
  </w:style>
  <w:style w:type="paragraph" w:customStyle="1" w:styleId="253">
    <w:name w:val="表格 32"/>
    <w:basedOn w:val="1"/>
    <w:link w:val="252"/>
    <w:qFormat/>
    <w:uiPriority w:val="0"/>
    <w:pPr>
      <w:autoSpaceDE w:val="0"/>
      <w:autoSpaceDN w:val="0"/>
      <w:adjustRightInd w:val="0"/>
      <w:spacing w:line="240" w:lineRule="auto"/>
      <w:ind w:firstLine="0" w:firstLineChars="0"/>
      <w:jc w:val="center"/>
    </w:pPr>
    <w:rPr>
      <w:rFonts w:eastAsia="楷体_GB2312"/>
      <w:kern w:val="0"/>
      <w:szCs w:val="20"/>
    </w:rPr>
  </w:style>
  <w:style w:type="character" w:customStyle="1" w:styleId="254">
    <w:name w:val="小标题 Char"/>
    <w:link w:val="255"/>
    <w:qFormat/>
    <w:uiPriority w:val="0"/>
    <w:rPr>
      <w:rFonts w:ascii="宋体" w:hAnsi="宋体" w:eastAsia="黑体"/>
      <w:b/>
      <w:kern w:val="21"/>
      <w:sz w:val="24"/>
      <w:szCs w:val="24"/>
    </w:rPr>
  </w:style>
  <w:style w:type="paragraph" w:customStyle="1" w:styleId="255">
    <w:name w:val="小标题"/>
    <w:basedOn w:val="1"/>
    <w:link w:val="254"/>
    <w:qFormat/>
    <w:uiPriority w:val="0"/>
    <w:pPr>
      <w:adjustRightInd w:val="0"/>
      <w:snapToGrid w:val="0"/>
      <w:ind w:firstLine="480"/>
    </w:pPr>
    <w:rPr>
      <w:rFonts w:ascii="宋体" w:hAnsi="宋体" w:eastAsia="黑体"/>
      <w:b/>
      <w:kern w:val="21"/>
    </w:rPr>
  </w:style>
  <w:style w:type="character" w:customStyle="1" w:styleId="256">
    <w:name w:val="正文首行缩进 Char"/>
    <w:qFormat/>
    <w:uiPriority w:val="0"/>
  </w:style>
  <w:style w:type="character" w:customStyle="1" w:styleId="257">
    <w:name w:val="正文文本 (2) + Batang"/>
    <w:qFormat/>
    <w:uiPriority w:val="0"/>
    <w:rPr>
      <w:rFonts w:ascii="Batang" w:hAnsi="Batang" w:eastAsia="Batang" w:cs="Batang"/>
      <w:b/>
      <w:bCs/>
      <w:color w:val="000000"/>
      <w:spacing w:val="0"/>
      <w:w w:val="100"/>
      <w:position w:val="0"/>
      <w:sz w:val="18"/>
      <w:szCs w:val="18"/>
      <w:u w:val="none"/>
      <w:lang w:val="en-US"/>
    </w:rPr>
  </w:style>
  <w:style w:type="character" w:customStyle="1" w:styleId="258">
    <w:name w:val="表格 Char"/>
    <w:link w:val="259"/>
    <w:qFormat/>
    <w:uiPriority w:val="0"/>
    <w:rPr>
      <w:rFonts w:eastAsia="楷体_GB2312"/>
      <w:sz w:val="21"/>
    </w:rPr>
  </w:style>
  <w:style w:type="paragraph" w:customStyle="1" w:styleId="259">
    <w:name w:val="表格"/>
    <w:basedOn w:val="1"/>
    <w:next w:val="1"/>
    <w:link w:val="258"/>
    <w:qFormat/>
    <w:uiPriority w:val="0"/>
    <w:pPr>
      <w:autoSpaceDE w:val="0"/>
      <w:autoSpaceDN w:val="0"/>
      <w:adjustRightInd w:val="0"/>
      <w:spacing w:line="240" w:lineRule="auto"/>
      <w:ind w:firstLine="0" w:firstLineChars="0"/>
      <w:jc w:val="center"/>
    </w:pPr>
    <w:rPr>
      <w:rFonts w:eastAsia="楷体_GB2312"/>
      <w:kern w:val="0"/>
      <w:sz w:val="21"/>
      <w:szCs w:val="20"/>
    </w:rPr>
  </w:style>
  <w:style w:type="character" w:customStyle="1" w:styleId="260">
    <w:name w:val="图名 Char"/>
    <w:link w:val="261"/>
    <w:qFormat/>
    <w:uiPriority w:val="0"/>
    <w:rPr>
      <w:b/>
      <w:kern w:val="2"/>
      <w:sz w:val="28"/>
      <w:szCs w:val="24"/>
    </w:rPr>
  </w:style>
  <w:style w:type="paragraph" w:customStyle="1" w:styleId="261">
    <w:name w:val="图名"/>
    <w:basedOn w:val="1"/>
    <w:next w:val="1"/>
    <w:link w:val="260"/>
    <w:qFormat/>
    <w:uiPriority w:val="0"/>
    <w:pPr>
      <w:widowControl/>
      <w:spacing w:before="50" w:beforeLines="50" w:after="50" w:afterLines="50"/>
      <w:ind w:firstLine="0" w:firstLineChars="0"/>
      <w:jc w:val="center"/>
    </w:pPr>
    <w:rPr>
      <w:b/>
      <w:sz w:val="28"/>
    </w:rPr>
  </w:style>
  <w:style w:type="character" w:customStyle="1" w:styleId="262">
    <w:name w:val="表头 Char"/>
    <w:qFormat/>
    <w:uiPriority w:val="0"/>
    <w:rPr>
      <w:rFonts w:eastAsia="黑体"/>
      <w:kern w:val="2"/>
      <w:sz w:val="24"/>
      <w:szCs w:val="24"/>
      <w:lang w:val="en-US" w:eastAsia="zh-CN" w:bidi="ar-SA"/>
      <w14:shadow w14:blurRad="50800" w14:dist="38100" w14:dir="2700000" w14:sx="100000" w14:sy="100000" w14:kx="0" w14:ky="0" w14:algn="tl">
        <w14:srgbClr w14:val="000000">
          <w14:alpha w14:val="60000"/>
        </w14:srgbClr>
      </w14:shadow>
    </w:rPr>
  </w:style>
  <w:style w:type="character" w:customStyle="1" w:styleId="263">
    <w:name w:val="正文文本 (4) + MingLiU"/>
    <w:qFormat/>
    <w:uiPriority w:val="0"/>
    <w:rPr>
      <w:rFonts w:ascii="MingLiU" w:hAnsi="MingLiU" w:eastAsia="MingLiU" w:cs="MingLiU"/>
      <w:b/>
      <w:bCs/>
      <w:color w:val="000000"/>
      <w:spacing w:val="0"/>
      <w:w w:val="100"/>
      <w:position w:val="0"/>
      <w:sz w:val="18"/>
      <w:szCs w:val="18"/>
      <w:u w:val="none"/>
      <w:lang w:val="zh-TW"/>
    </w:rPr>
  </w:style>
  <w:style w:type="character" w:customStyle="1" w:styleId="264">
    <w:name w:val="报告正文 Char"/>
    <w:link w:val="265"/>
    <w:qFormat/>
    <w:uiPriority w:val="0"/>
    <w:rPr>
      <w:rFonts w:ascii="宋体"/>
      <w:kern w:val="2"/>
      <w:sz w:val="24"/>
    </w:rPr>
  </w:style>
  <w:style w:type="paragraph" w:customStyle="1" w:styleId="265">
    <w:name w:val="报告正文"/>
    <w:basedOn w:val="1"/>
    <w:link w:val="264"/>
    <w:qFormat/>
    <w:uiPriority w:val="0"/>
    <w:pPr>
      <w:adjustRightInd w:val="0"/>
      <w:snapToGrid w:val="0"/>
    </w:pPr>
    <w:rPr>
      <w:rFonts w:ascii="宋体"/>
      <w:szCs w:val="20"/>
    </w:rPr>
  </w:style>
  <w:style w:type="character" w:customStyle="1" w:styleId="266">
    <w:name w:val="表名 Char1"/>
    <w:link w:val="267"/>
    <w:qFormat/>
    <w:uiPriority w:val="0"/>
    <w:rPr>
      <w:b/>
      <w:bCs/>
      <w:sz w:val="24"/>
    </w:rPr>
  </w:style>
  <w:style w:type="paragraph" w:customStyle="1" w:styleId="267">
    <w:name w:val="表名"/>
    <w:basedOn w:val="1"/>
    <w:link w:val="266"/>
    <w:qFormat/>
    <w:uiPriority w:val="0"/>
    <w:pPr>
      <w:adjustRightInd w:val="0"/>
      <w:spacing w:before="120" w:after="120" w:line="400" w:lineRule="atLeast"/>
      <w:ind w:firstLine="0" w:firstLineChars="0"/>
      <w:jc w:val="center"/>
      <w:textAlignment w:val="baseline"/>
    </w:pPr>
    <w:rPr>
      <w:b/>
      <w:bCs/>
      <w:kern w:val="0"/>
      <w:szCs w:val="20"/>
    </w:rPr>
  </w:style>
  <w:style w:type="character" w:customStyle="1" w:styleId="268">
    <w:name w:val="标题 2 Char Char Char Char Char Char Char1"/>
    <w:qFormat/>
    <w:uiPriority w:val="0"/>
    <w:rPr>
      <w:rFonts w:ascii="宋体" w:hAnsi="Arial" w:eastAsia="宋体"/>
      <w:b/>
      <w:kern w:val="2"/>
      <w:sz w:val="28"/>
      <w:lang w:val="en-US" w:eastAsia="zh-CN" w:bidi="ar-SA"/>
    </w:rPr>
  </w:style>
  <w:style w:type="character" w:customStyle="1" w:styleId="269">
    <w:name w:val="标题 #5 + 间距 1 pt"/>
    <w:qFormat/>
    <w:uiPriority w:val="0"/>
    <w:rPr>
      <w:rFonts w:ascii="MingLiU" w:hAnsi="MingLiU" w:eastAsia="MingLiU" w:cs="MingLiU"/>
      <w:b/>
      <w:bCs/>
      <w:color w:val="000000"/>
      <w:spacing w:val="30"/>
      <w:w w:val="100"/>
      <w:position w:val="0"/>
      <w:sz w:val="18"/>
      <w:szCs w:val="18"/>
      <w:u w:val="none"/>
      <w:lang w:val="zh-TW"/>
    </w:rPr>
  </w:style>
  <w:style w:type="character" w:customStyle="1" w:styleId="270">
    <w:name w:val="批注主题 Char1"/>
    <w:semiHidden/>
    <w:qFormat/>
    <w:uiPriority w:val="99"/>
    <w:rPr>
      <w:b/>
      <w:bCs/>
      <w:kern w:val="2"/>
      <w:sz w:val="24"/>
      <w:szCs w:val="22"/>
    </w:rPr>
  </w:style>
  <w:style w:type="character" w:customStyle="1" w:styleId="271">
    <w:name w:val="表题 Char"/>
    <w:link w:val="272"/>
    <w:qFormat/>
    <w:uiPriority w:val="0"/>
    <w:rPr>
      <w:rFonts w:ascii="Arial" w:hAnsi="Arial" w:eastAsia="黑体" w:cs="Arial"/>
      <w:kern w:val="2"/>
      <w:sz w:val="22"/>
      <w:szCs w:val="22"/>
      <w:lang w:val="en-US" w:eastAsia="zh-CN" w:bidi="ar-SA"/>
    </w:rPr>
  </w:style>
  <w:style w:type="paragraph" w:customStyle="1" w:styleId="272">
    <w:name w:val="表题"/>
    <w:basedOn w:val="20"/>
    <w:link w:val="271"/>
    <w:qFormat/>
    <w:uiPriority w:val="0"/>
    <w:pPr>
      <w:spacing w:before="152" w:after="160" w:line="240" w:lineRule="auto"/>
    </w:pPr>
    <w:rPr>
      <w:rFonts w:ascii="Arial" w:hAnsi="Arial" w:eastAsia="黑体" w:cs="Arial"/>
      <w:sz w:val="22"/>
      <w:szCs w:val="22"/>
      <w:lang w:val="en-US" w:eastAsia="zh-CN"/>
    </w:rPr>
  </w:style>
  <w:style w:type="character" w:customStyle="1" w:styleId="273">
    <w:name w:val="样式 报告 + 首行缩进:  2 字符 Char Char"/>
    <w:link w:val="274"/>
    <w:qFormat/>
    <w:uiPriority w:val="0"/>
    <w:rPr>
      <w:sz w:val="24"/>
    </w:rPr>
  </w:style>
  <w:style w:type="paragraph" w:customStyle="1" w:styleId="274">
    <w:name w:val="样式 报告 + 首行缩进:  2 字符"/>
    <w:basedOn w:val="1"/>
    <w:link w:val="273"/>
    <w:qFormat/>
    <w:uiPriority w:val="0"/>
    <w:pPr>
      <w:widowControl/>
      <w:overflowPunct w:val="0"/>
      <w:autoSpaceDE w:val="0"/>
      <w:autoSpaceDN w:val="0"/>
      <w:adjustRightInd w:val="0"/>
      <w:spacing w:before="120" w:after="120" w:line="400" w:lineRule="atLeast"/>
      <w:ind w:firstLine="480"/>
      <w:textAlignment w:val="baseline"/>
    </w:pPr>
    <w:rPr>
      <w:kern w:val="0"/>
      <w:szCs w:val="20"/>
    </w:rPr>
  </w:style>
  <w:style w:type="character" w:customStyle="1" w:styleId="275">
    <w:name w:val="f41"/>
    <w:qFormat/>
    <w:uiPriority w:val="0"/>
    <w:rPr>
      <w:color w:val="333333"/>
      <w:sz w:val="21"/>
      <w:szCs w:val="21"/>
    </w:rPr>
  </w:style>
  <w:style w:type="character" w:customStyle="1" w:styleId="276">
    <w:name w:val="图片标题 (2) Exact"/>
    <w:qFormat/>
    <w:uiPriority w:val="0"/>
    <w:rPr>
      <w:rFonts w:ascii="MingLiU" w:hAnsi="MingLiU" w:eastAsia="MingLiU" w:cs="MingLiU"/>
      <w:i/>
      <w:iCs/>
      <w:color w:val="000000"/>
      <w:spacing w:val="0"/>
      <w:w w:val="100"/>
      <w:position w:val="0"/>
      <w:sz w:val="17"/>
      <w:szCs w:val="17"/>
      <w:u w:val="none"/>
    </w:rPr>
  </w:style>
  <w:style w:type="character" w:customStyle="1" w:styleId="277">
    <w:name w:val="报告书表格文（林） Char"/>
    <w:link w:val="278"/>
    <w:qFormat/>
    <w:uiPriority w:val="0"/>
    <w:rPr>
      <w:kern w:val="2"/>
      <w:sz w:val="21"/>
      <w:szCs w:val="24"/>
    </w:rPr>
  </w:style>
  <w:style w:type="paragraph" w:customStyle="1" w:styleId="278">
    <w:name w:val="报告书表格文（林）"/>
    <w:basedOn w:val="1"/>
    <w:link w:val="277"/>
    <w:qFormat/>
    <w:uiPriority w:val="0"/>
    <w:pPr>
      <w:spacing w:line="280" w:lineRule="exact"/>
      <w:ind w:firstLine="0" w:firstLineChars="0"/>
      <w:jc w:val="center"/>
    </w:pPr>
    <w:rPr>
      <w:sz w:val="21"/>
    </w:rPr>
  </w:style>
  <w:style w:type="character" w:customStyle="1" w:styleId="279">
    <w:name w:val="表格正文 Char Char"/>
    <w:link w:val="280"/>
    <w:qFormat/>
    <w:uiPriority w:val="0"/>
    <w:rPr>
      <w:rFonts w:ascii="仿宋_GB2312" w:eastAsia="仿宋_GB2312"/>
      <w:snapToGrid/>
      <w:sz w:val="24"/>
    </w:rPr>
  </w:style>
  <w:style w:type="paragraph" w:customStyle="1" w:styleId="280">
    <w:name w:val="表格正文"/>
    <w:basedOn w:val="1"/>
    <w:link w:val="279"/>
    <w:qFormat/>
    <w:uiPriority w:val="0"/>
    <w:pPr>
      <w:snapToGrid w:val="0"/>
      <w:spacing w:line="240" w:lineRule="auto"/>
      <w:ind w:firstLine="0" w:firstLineChars="0"/>
    </w:pPr>
    <w:rPr>
      <w:rFonts w:ascii="仿宋_GB2312" w:eastAsia="仿宋_GB2312"/>
      <w:kern w:val="0"/>
      <w:szCs w:val="20"/>
    </w:rPr>
  </w:style>
  <w:style w:type="character" w:customStyle="1" w:styleId="281">
    <w:name w:val="标题 11 Char1"/>
    <w:link w:val="282"/>
    <w:qFormat/>
    <w:uiPriority w:val="0"/>
    <w:rPr>
      <w:rFonts w:ascii="Arial" w:hAnsi="Arial"/>
      <w:b/>
      <w:bCs/>
      <w:kern w:val="44"/>
      <w:sz w:val="36"/>
      <w:szCs w:val="44"/>
    </w:rPr>
  </w:style>
  <w:style w:type="paragraph" w:customStyle="1" w:styleId="282">
    <w:name w:val="标题 11"/>
    <w:basedOn w:val="1"/>
    <w:next w:val="1"/>
    <w:link w:val="281"/>
    <w:qFormat/>
    <w:uiPriority w:val="0"/>
    <w:pPr>
      <w:keepNext/>
      <w:keepLines/>
      <w:ind w:firstLine="0" w:firstLineChars="0"/>
      <w:outlineLvl w:val="0"/>
    </w:pPr>
    <w:rPr>
      <w:rFonts w:ascii="Arial" w:hAnsi="Arial"/>
      <w:b/>
      <w:bCs/>
      <w:kern w:val="44"/>
      <w:sz w:val="36"/>
      <w:szCs w:val="44"/>
    </w:rPr>
  </w:style>
  <w:style w:type="character" w:customStyle="1" w:styleId="283">
    <w:name w:val="正文11 Char Char"/>
    <w:link w:val="284"/>
    <w:qFormat/>
    <w:uiPriority w:val="0"/>
    <w:rPr>
      <w:sz w:val="24"/>
    </w:rPr>
  </w:style>
  <w:style w:type="paragraph" w:customStyle="1" w:styleId="284">
    <w:name w:val="正文11"/>
    <w:basedOn w:val="1"/>
    <w:link w:val="283"/>
    <w:qFormat/>
    <w:uiPriority w:val="0"/>
    <w:rPr>
      <w:kern w:val="0"/>
      <w:szCs w:val="20"/>
    </w:rPr>
  </w:style>
  <w:style w:type="character" w:customStyle="1" w:styleId="285">
    <w:name w:val="h5"/>
    <w:qFormat/>
    <w:uiPriority w:val="0"/>
  </w:style>
  <w:style w:type="character" w:customStyle="1" w:styleId="286">
    <w:name w:val="p141"/>
    <w:qFormat/>
    <w:uiPriority w:val="0"/>
    <w:rPr>
      <w:color w:val="333333"/>
      <w:sz w:val="21"/>
      <w:szCs w:val="21"/>
    </w:rPr>
  </w:style>
  <w:style w:type="character" w:customStyle="1" w:styleId="287">
    <w:name w:val="报告书标题1（林） Char"/>
    <w:link w:val="288"/>
    <w:qFormat/>
    <w:uiPriority w:val="0"/>
    <w:rPr>
      <w:rFonts w:eastAsia="黑体"/>
      <w:b/>
      <w:bCs/>
      <w:kern w:val="32"/>
      <w:sz w:val="32"/>
      <w:szCs w:val="44"/>
    </w:rPr>
  </w:style>
  <w:style w:type="paragraph" w:customStyle="1" w:styleId="288">
    <w:name w:val="报告书标题1（林）"/>
    <w:basedOn w:val="2"/>
    <w:next w:val="1"/>
    <w:link w:val="287"/>
    <w:qFormat/>
    <w:uiPriority w:val="0"/>
    <w:pPr>
      <w:pageBreakBefore/>
      <w:widowControl w:val="0"/>
      <w:numPr>
        <w:ilvl w:val="0"/>
        <w:numId w:val="4"/>
      </w:numPr>
      <w:tabs>
        <w:tab w:val="center" w:pos="210"/>
      </w:tabs>
      <w:spacing w:before="50" w:beforeLines="50" w:line="360" w:lineRule="auto"/>
      <w:jc w:val="center"/>
      <w:textAlignment w:val="center"/>
    </w:pPr>
    <w:rPr>
      <w:rFonts w:eastAsia="黑体"/>
      <w:snapToGrid/>
      <w:kern w:val="32"/>
      <w:szCs w:val="44"/>
    </w:rPr>
  </w:style>
  <w:style w:type="character" w:customStyle="1" w:styleId="289">
    <w:name w:val="东岭春晓文本 Char Char"/>
    <w:link w:val="290"/>
    <w:qFormat/>
    <w:uiPriority w:val="0"/>
    <w:rPr>
      <w:kern w:val="2"/>
      <w:sz w:val="24"/>
      <w:szCs w:val="24"/>
    </w:rPr>
  </w:style>
  <w:style w:type="paragraph" w:customStyle="1" w:styleId="290">
    <w:name w:val="东岭春晓文本"/>
    <w:basedOn w:val="1"/>
    <w:link w:val="289"/>
    <w:qFormat/>
    <w:uiPriority w:val="0"/>
    <w:pPr>
      <w:adjustRightInd w:val="0"/>
      <w:snapToGrid w:val="0"/>
    </w:pPr>
  </w:style>
  <w:style w:type="character" w:customStyle="1" w:styleId="291">
    <w:name w:val="表格内文字 Char"/>
    <w:link w:val="292"/>
    <w:qFormat/>
    <w:uiPriority w:val="0"/>
    <w:rPr>
      <w:rFonts w:hAnsi="宋体" w:eastAsia="宋体"/>
      <w:snapToGrid w:val="0"/>
      <w:sz w:val="21"/>
      <w:szCs w:val="21"/>
      <w:lang w:val="de-DE" w:eastAsia="zh-CN" w:bidi="ar-SA"/>
    </w:rPr>
  </w:style>
  <w:style w:type="paragraph" w:customStyle="1" w:styleId="292">
    <w:name w:val="表格内文字"/>
    <w:basedOn w:val="293"/>
    <w:next w:val="1"/>
    <w:link w:val="291"/>
    <w:qFormat/>
    <w:uiPriority w:val="0"/>
    <w:pPr>
      <w:tabs>
        <w:tab w:val="left" w:pos="0"/>
      </w:tabs>
      <w:adjustRightInd w:val="0"/>
      <w:snapToGrid w:val="0"/>
      <w:spacing w:line="240" w:lineRule="auto"/>
      <w:ind w:firstLine="0" w:firstLineChars="0"/>
      <w:jc w:val="center"/>
    </w:pPr>
    <w:rPr>
      <w:rFonts w:hAnsi="宋体"/>
      <w:snapToGrid w:val="0"/>
      <w:kern w:val="0"/>
      <w:sz w:val="21"/>
      <w:szCs w:val="21"/>
      <w:lang w:val="de-DE"/>
    </w:rPr>
  </w:style>
  <w:style w:type="paragraph" w:customStyle="1" w:styleId="293">
    <w:name w:val="表格名称"/>
    <w:basedOn w:val="142"/>
    <w:next w:val="1"/>
    <w:qFormat/>
    <w:uiPriority w:val="0"/>
    <w:pPr>
      <w:ind w:left="11" w:firstLine="0" w:firstLineChars="0"/>
      <w:jc w:val="center"/>
    </w:pPr>
    <w:rPr>
      <w:rFonts w:eastAsia="黑体"/>
      <w:b/>
      <w:snapToGrid w:val="0"/>
      <w:kern w:val="18"/>
    </w:rPr>
  </w:style>
  <w:style w:type="character" w:customStyle="1" w:styleId="294">
    <w:name w:val="金光华文本正文 Char Char"/>
    <w:link w:val="295"/>
    <w:qFormat/>
    <w:uiPriority w:val="0"/>
    <w:rPr>
      <w:rFonts w:ascii="宋体" w:hAnsi="宋体"/>
      <w:sz w:val="24"/>
      <w:szCs w:val="24"/>
    </w:rPr>
  </w:style>
  <w:style w:type="paragraph" w:customStyle="1" w:styleId="295">
    <w:name w:val="金光华文本正文"/>
    <w:basedOn w:val="1"/>
    <w:link w:val="294"/>
    <w:qFormat/>
    <w:uiPriority w:val="0"/>
    <w:pPr>
      <w:widowControl/>
      <w:tabs>
        <w:tab w:val="left" w:pos="6840"/>
      </w:tabs>
      <w:ind w:firstLine="510" w:firstLineChars="0"/>
      <w:jc w:val="left"/>
    </w:pPr>
    <w:rPr>
      <w:rFonts w:ascii="宋体" w:hAnsi="宋体"/>
      <w:kern w:val="0"/>
    </w:rPr>
  </w:style>
  <w:style w:type="character" w:customStyle="1" w:styleId="296">
    <w:name w:val="zhenwen141"/>
    <w:qFormat/>
    <w:uiPriority w:val="0"/>
    <w:rPr>
      <w:rFonts w:hint="default" w:ascii="ˎ̥" w:hAnsi="ˎ̥"/>
      <w:sz w:val="21"/>
      <w:szCs w:val="21"/>
    </w:rPr>
  </w:style>
  <w:style w:type="character" w:customStyle="1" w:styleId="297">
    <w:name w:val="报告书 Char"/>
    <w:link w:val="298"/>
    <w:qFormat/>
    <w:uiPriority w:val="0"/>
    <w:rPr>
      <w:rFonts w:ascii="楷体_GB2312" w:eastAsia="楷体_GB2312"/>
      <w:color w:val="FF0000"/>
      <w:sz w:val="24"/>
    </w:rPr>
  </w:style>
  <w:style w:type="paragraph" w:customStyle="1" w:styleId="298">
    <w:name w:val="报告书"/>
    <w:basedOn w:val="1"/>
    <w:link w:val="297"/>
    <w:qFormat/>
    <w:uiPriority w:val="0"/>
    <w:pPr>
      <w:autoSpaceDE w:val="0"/>
      <w:autoSpaceDN w:val="0"/>
      <w:adjustRightInd w:val="0"/>
      <w:ind w:firstLine="480"/>
      <w:jc w:val="left"/>
      <w:textAlignment w:val="bottom"/>
    </w:pPr>
    <w:rPr>
      <w:rFonts w:ascii="楷体_GB2312" w:eastAsia="楷体_GB2312"/>
      <w:color w:val="FF0000"/>
      <w:kern w:val="0"/>
      <w:szCs w:val="20"/>
    </w:rPr>
  </w:style>
  <w:style w:type="character" w:customStyle="1" w:styleId="299">
    <w:name w:val="表格 Char Char Char Char"/>
    <w:qFormat/>
    <w:uiPriority w:val="0"/>
    <w:rPr>
      <w:rFonts w:ascii="宋体" w:eastAsia="宋体"/>
      <w:sz w:val="18"/>
      <w:szCs w:val="18"/>
      <w:lang w:val="en-US" w:eastAsia="zh-CN" w:bidi="ar-SA"/>
    </w:rPr>
  </w:style>
  <w:style w:type="character" w:customStyle="1" w:styleId="300">
    <w:name w:val="大纲正文 Char"/>
    <w:link w:val="301"/>
    <w:qFormat/>
    <w:uiPriority w:val="0"/>
    <w:rPr>
      <w:rFonts w:cs="宋体"/>
      <w:kern w:val="2"/>
      <w:sz w:val="24"/>
    </w:rPr>
  </w:style>
  <w:style w:type="paragraph" w:customStyle="1" w:styleId="301">
    <w:name w:val="大纲正文"/>
    <w:basedOn w:val="1"/>
    <w:link w:val="300"/>
    <w:qFormat/>
    <w:uiPriority w:val="0"/>
    <w:pPr>
      <w:widowControl/>
      <w:adjustRightInd w:val="0"/>
      <w:snapToGrid w:val="0"/>
      <w:spacing w:afterLines="50" w:line="300" w:lineRule="auto"/>
      <w:ind w:firstLine="480"/>
    </w:pPr>
    <w:rPr>
      <w:szCs w:val="20"/>
    </w:rPr>
  </w:style>
  <w:style w:type="character" w:customStyle="1" w:styleId="302">
    <w:name w:val="文本 Char"/>
    <w:link w:val="303"/>
    <w:qFormat/>
    <w:uiPriority w:val="0"/>
    <w:rPr>
      <w:snapToGrid w:val="0"/>
      <w:color w:val="000000"/>
      <w:sz w:val="24"/>
      <w:lang w:val="en-US" w:eastAsia="zh-CN" w:bidi="ar-SA"/>
    </w:rPr>
  </w:style>
  <w:style w:type="paragraph" w:customStyle="1" w:styleId="303">
    <w:name w:val="文本"/>
    <w:link w:val="302"/>
    <w:qFormat/>
    <w:uiPriority w:val="0"/>
    <w:pPr>
      <w:widowControl w:val="0"/>
      <w:spacing w:line="360" w:lineRule="auto"/>
      <w:ind w:firstLine="480" w:firstLineChars="200"/>
      <w:jc w:val="both"/>
    </w:pPr>
    <w:rPr>
      <w:rFonts w:ascii="Times New Roman" w:hAnsi="Times New Roman" w:eastAsia="宋体" w:cs="Times New Roman"/>
      <w:snapToGrid w:val="0"/>
      <w:color w:val="000000"/>
      <w:sz w:val="24"/>
      <w:lang w:val="en-US" w:eastAsia="zh-CN" w:bidi="ar-SA"/>
    </w:rPr>
  </w:style>
  <w:style w:type="paragraph" w:customStyle="1" w:styleId="304">
    <w:name w:val="样式2"/>
    <w:basedOn w:val="40"/>
    <w:next w:val="5"/>
    <w:link w:val="305"/>
    <w:qFormat/>
    <w:uiPriority w:val="0"/>
    <w:pPr>
      <w:ind w:firstLine="480"/>
    </w:pPr>
    <w:rPr>
      <w:rFonts w:ascii="黑体" w:eastAsia="黑体"/>
    </w:rPr>
  </w:style>
  <w:style w:type="character" w:customStyle="1" w:styleId="305">
    <w:name w:val="样式2 Char"/>
    <w:link w:val="304"/>
    <w:qFormat/>
    <w:uiPriority w:val="0"/>
    <w:rPr>
      <w:rFonts w:ascii="黑体" w:eastAsia="黑体"/>
      <w:kern w:val="2"/>
      <w:sz w:val="24"/>
      <w:szCs w:val="24"/>
    </w:rPr>
  </w:style>
  <w:style w:type="paragraph" w:customStyle="1" w:styleId="306">
    <w:name w:val=" Char Char13 Char Char"/>
    <w:basedOn w:val="1"/>
    <w:qFormat/>
    <w:uiPriority w:val="0"/>
    <w:rPr>
      <w:rFonts w:ascii="宋体" w:hAnsi="宋体" w:cs="宋体"/>
    </w:rPr>
  </w:style>
  <w:style w:type="paragraph" w:customStyle="1" w:styleId="307">
    <w:name w:val="Char Char62"/>
    <w:basedOn w:val="1"/>
    <w:qFormat/>
    <w:uiPriority w:val="0"/>
    <w:pPr>
      <w:spacing w:line="240" w:lineRule="auto"/>
      <w:ind w:firstLine="0" w:firstLineChars="0"/>
    </w:pPr>
  </w:style>
  <w:style w:type="paragraph" w:customStyle="1" w:styleId="308">
    <w:name w:val="表格文字"/>
    <w:basedOn w:val="1"/>
    <w:link w:val="309"/>
    <w:qFormat/>
    <w:uiPriority w:val="0"/>
    <w:pPr>
      <w:adjustRightInd w:val="0"/>
      <w:snapToGrid w:val="0"/>
      <w:spacing w:line="240" w:lineRule="auto"/>
      <w:ind w:firstLine="0" w:firstLineChars="0"/>
      <w:jc w:val="center"/>
    </w:pPr>
    <w:rPr>
      <w:rFonts w:ascii="仿宋_GB2312" w:hAnsi="Arial Black" w:eastAsia="仿宋_GB2312"/>
      <w:kern w:val="44"/>
      <w:szCs w:val="20"/>
    </w:rPr>
  </w:style>
  <w:style w:type="character" w:customStyle="1" w:styleId="309">
    <w:name w:val="表格文字 Char Char1"/>
    <w:link w:val="308"/>
    <w:qFormat/>
    <w:uiPriority w:val="0"/>
    <w:rPr>
      <w:rFonts w:ascii="仿宋_GB2312" w:hAnsi="Arial Black" w:eastAsia="仿宋_GB2312"/>
      <w:kern w:val="44"/>
      <w:sz w:val="24"/>
    </w:rPr>
  </w:style>
  <w:style w:type="paragraph" w:customStyle="1" w:styleId="310">
    <w:name w:val="样式 行距: 1.5 倍行距"/>
    <w:basedOn w:val="1"/>
    <w:qFormat/>
    <w:uiPriority w:val="0"/>
    <w:pPr>
      <w:adjustRightInd w:val="0"/>
      <w:snapToGrid w:val="0"/>
      <w:ind w:firstLine="480"/>
    </w:pPr>
    <w:rPr>
      <w:rFonts w:ascii="宋体" w:hAnsi="宋体"/>
    </w:rPr>
  </w:style>
  <w:style w:type="paragraph" w:customStyle="1" w:styleId="311">
    <w:name w:val="reader-word-layer reader-word-s1-17"/>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312">
    <w:name w:val="正文标准样式"/>
    <w:basedOn w:val="1"/>
    <w:qFormat/>
    <w:uiPriority w:val="0"/>
    <w:pPr>
      <w:adjustRightInd w:val="0"/>
      <w:spacing w:line="300" w:lineRule="auto"/>
      <w:ind w:firstLine="482" w:firstLineChars="0"/>
      <w:textAlignment w:val="baseline"/>
    </w:pPr>
    <w:rPr>
      <w:kern w:val="0"/>
      <w:szCs w:val="20"/>
    </w:rPr>
  </w:style>
  <w:style w:type="paragraph" w:customStyle="1" w:styleId="313">
    <w:name w:val="Char"/>
    <w:basedOn w:val="1"/>
    <w:link w:val="314"/>
    <w:qFormat/>
    <w:uiPriority w:val="0"/>
    <w:pPr>
      <w:snapToGrid w:val="0"/>
      <w:ind w:firstLine="529"/>
    </w:pPr>
    <w:rPr>
      <w:rFonts w:ascii="宋体" w:hAnsi="宋体"/>
      <w:b/>
      <w:sz w:val="21"/>
    </w:rPr>
  </w:style>
  <w:style w:type="character" w:customStyle="1" w:styleId="314">
    <w:name w:val="Char Char1"/>
    <w:link w:val="313"/>
    <w:qFormat/>
    <w:uiPriority w:val="0"/>
    <w:rPr>
      <w:rFonts w:ascii="宋体" w:hAnsi="宋体"/>
      <w:b/>
      <w:kern w:val="2"/>
      <w:sz w:val="21"/>
      <w:szCs w:val="24"/>
    </w:rPr>
  </w:style>
  <w:style w:type="paragraph" w:customStyle="1" w:styleId="315">
    <w:name w:val=" Char Char1 Char"/>
    <w:basedOn w:val="1"/>
    <w:qFormat/>
    <w:uiPriority w:val="0"/>
    <w:pPr>
      <w:spacing w:line="240" w:lineRule="auto"/>
      <w:ind w:firstLine="0" w:firstLineChars="0"/>
    </w:pPr>
  </w:style>
  <w:style w:type="paragraph" w:customStyle="1" w:styleId="316">
    <w:name w:val="表格 23"/>
    <w:basedOn w:val="1"/>
    <w:qFormat/>
    <w:uiPriority w:val="0"/>
    <w:pPr>
      <w:spacing w:line="240" w:lineRule="auto"/>
      <w:ind w:firstLine="0" w:firstLineChars="0"/>
      <w:jc w:val="center"/>
    </w:pPr>
    <w:rPr>
      <w:rFonts w:ascii="宋体" w:hAnsi="宋体"/>
      <w:sz w:val="21"/>
      <w:szCs w:val="21"/>
    </w:rPr>
  </w:style>
  <w:style w:type="paragraph" w:customStyle="1" w:styleId="317">
    <w:name w:val="样式 标题 4 + (西文) Times New Roman (中文) 宋体 小四"/>
    <w:basedOn w:val="5"/>
    <w:qFormat/>
    <w:uiPriority w:val="0"/>
    <w:pPr>
      <w:widowControl w:val="0"/>
      <w:tabs>
        <w:tab w:val="left" w:pos="-44"/>
      </w:tabs>
      <w:snapToGrid w:val="0"/>
      <w:spacing w:before="78" w:beforeLines="25" w:after="78" w:afterLines="25"/>
      <w:ind w:left="864" w:hanging="864"/>
      <w:jc w:val="both"/>
    </w:pPr>
    <w:rPr>
      <w:rFonts w:ascii="Arial" w:hAnsi="Arial" w:cs="Arial"/>
      <w:bCs w:val="0"/>
      <w:snapToGrid/>
      <w:spacing w:val="4"/>
      <w:kern w:val="2"/>
      <w:szCs w:val="28"/>
      <w:lang w:val="zh-CN"/>
    </w:rPr>
  </w:style>
  <w:style w:type="paragraph" w:customStyle="1" w:styleId="318">
    <w:name w:val="Char Char Char1"/>
    <w:basedOn w:val="1"/>
    <w:qFormat/>
    <w:uiPriority w:val="0"/>
    <w:pPr>
      <w:spacing w:line="240" w:lineRule="auto"/>
      <w:ind w:firstLine="0" w:firstLineChars="0"/>
    </w:pPr>
    <w:rPr>
      <w:sz w:val="21"/>
    </w:rPr>
  </w:style>
  <w:style w:type="paragraph" w:customStyle="1" w:styleId="319">
    <w:name w:val="样式 样式 标题 4 + 加粗 + 黑色"/>
    <w:basedOn w:val="1"/>
    <w:qFormat/>
    <w:uiPriority w:val="0"/>
    <w:pPr>
      <w:keepNext/>
      <w:keepLines/>
      <w:ind w:left="709" w:hanging="709" w:firstLineChars="0"/>
      <w:outlineLvl w:val="3"/>
    </w:pPr>
    <w:rPr>
      <w:color w:val="000000"/>
      <w:szCs w:val="28"/>
    </w:rPr>
  </w:style>
  <w:style w:type="paragraph" w:customStyle="1" w:styleId="320">
    <w:name w:val="Char Char Char2"/>
    <w:basedOn w:val="1"/>
    <w:qFormat/>
    <w:uiPriority w:val="0"/>
    <w:pPr>
      <w:spacing w:line="240" w:lineRule="auto"/>
      <w:ind w:firstLine="0" w:firstLineChars="0"/>
    </w:pPr>
  </w:style>
  <w:style w:type="paragraph" w:customStyle="1" w:styleId="321">
    <w:name w:val="规范表格文"/>
    <w:basedOn w:val="31"/>
    <w:link w:val="322"/>
    <w:qFormat/>
    <w:uiPriority w:val="0"/>
    <w:pPr>
      <w:adjustRightInd w:val="0"/>
      <w:snapToGrid w:val="0"/>
      <w:spacing w:after="0" w:line="240" w:lineRule="auto"/>
      <w:ind w:firstLine="0" w:firstLineChars="0"/>
      <w:jc w:val="center"/>
    </w:pPr>
    <w:rPr>
      <w:sz w:val="21"/>
      <w:szCs w:val="24"/>
    </w:rPr>
  </w:style>
  <w:style w:type="character" w:customStyle="1" w:styleId="322">
    <w:name w:val="规范表格文 Char"/>
    <w:link w:val="321"/>
    <w:qFormat/>
    <w:uiPriority w:val="0"/>
    <w:rPr>
      <w:rFonts w:ascii="Calibri" w:hAnsi="Calibri"/>
      <w:kern w:val="2"/>
      <w:sz w:val="21"/>
      <w:szCs w:val="24"/>
    </w:rPr>
  </w:style>
  <w:style w:type="paragraph" w:customStyle="1" w:styleId="323">
    <w:name w:val="表格内容"/>
    <w:basedOn w:val="61"/>
    <w:next w:val="31"/>
    <w:qFormat/>
    <w:uiPriority w:val="0"/>
    <w:pPr>
      <w:widowControl w:val="0"/>
      <w:ind w:left="-84" w:leftChars="-30" w:right="-84" w:rightChars="-30"/>
      <w:jc w:val="center"/>
    </w:pPr>
    <w:rPr>
      <w:kern w:val="2"/>
      <w:sz w:val="21"/>
      <w:szCs w:val="21"/>
      <w:lang w:val="en-US" w:eastAsia="zh-CN" w:bidi="ar-SA"/>
    </w:rPr>
  </w:style>
  <w:style w:type="paragraph" w:customStyle="1" w:styleId="324">
    <w:name w:val="_Style 322"/>
    <w:qFormat/>
    <w:uiPriority w:val="0"/>
    <w:rPr>
      <w:rFonts w:ascii="Times New Roman" w:hAnsi="Times New Roman" w:eastAsia="宋体" w:cs="Times New Roman"/>
      <w:kern w:val="2"/>
      <w:sz w:val="24"/>
      <w:szCs w:val="24"/>
      <w:lang w:val="en-US" w:eastAsia="zh-CN" w:bidi="ar-SA"/>
    </w:rPr>
  </w:style>
  <w:style w:type="paragraph" w:customStyle="1" w:styleId="325">
    <w:name w:val="Char Char69"/>
    <w:basedOn w:val="1"/>
    <w:qFormat/>
    <w:uiPriority w:val="0"/>
    <w:pPr>
      <w:spacing w:line="240" w:lineRule="auto"/>
      <w:ind w:firstLine="0" w:firstLineChars="0"/>
    </w:pPr>
  </w:style>
  <w:style w:type="paragraph" w:customStyle="1" w:styleId="326">
    <w:name w:val="样式 (中文) 仿宋_GB2312 小四 行距: 1.5 倍行距1"/>
    <w:basedOn w:val="1"/>
    <w:qFormat/>
    <w:uiPriority w:val="0"/>
    <w:pPr>
      <w:jc w:val="center"/>
    </w:pPr>
    <w:rPr>
      <w:rFonts w:ascii="黑体" w:eastAsia="黑体" w:cs="宋体"/>
      <w:szCs w:val="21"/>
    </w:rPr>
  </w:style>
  <w:style w:type="paragraph" w:customStyle="1" w:styleId="327">
    <w:name w:val="流程图"/>
    <w:basedOn w:val="1"/>
    <w:qFormat/>
    <w:uiPriority w:val="0"/>
    <w:pPr>
      <w:widowControl/>
      <w:ind w:firstLine="0" w:firstLineChars="0"/>
      <w:jc w:val="center"/>
    </w:pPr>
  </w:style>
  <w:style w:type="paragraph" w:customStyle="1" w:styleId="328">
    <w:name w:val="Char Char"/>
    <w:basedOn w:val="1"/>
    <w:qFormat/>
    <w:uiPriority w:val="0"/>
    <w:pPr>
      <w:snapToGrid w:val="0"/>
      <w:ind w:firstLine="529"/>
    </w:pPr>
    <w:rPr>
      <w:rFonts w:ascii="宋体" w:hAnsi="宋体"/>
      <w:b/>
      <w:sz w:val="21"/>
    </w:rPr>
  </w:style>
  <w:style w:type="paragraph" w:customStyle="1" w:styleId="329">
    <w:name w:val="规范标题4"/>
    <w:basedOn w:val="5"/>
    <w:qFormat/>
    <w:uiPriority w:val="0"/>
    <w:pPr>
      <w:numPr>
        <w:ilvl w:val="3"/>
        <w:numId w:val="5"/>
      </w:numPr>
    </w:pPr>
    <w:rPr>
      <w:rFonts w:hAnsi="宋体" w:eastAsia="宋体"/>
      <w:snapToGrid/>
      <w:color w:val="000000"/>
      <w:spacing w:val="-2"/>
      <w:kern w:val="28"/>
      <w:sz w:val="21"/>
      <w:szCs w:val="28"/>
    </w:rPr>
  </w:style>
  <w:style w:type="paragraph" w:customStyle="1" w:styleId="330">
    <w:name w:val="Char Char68"/>
    <w:basedOn w:val="1"/>
    <w:qFormat/>
    <w:uiPriority w:val="0"/>
    <w:pPr>
      <w:spacing w:line="240" w:lineRule="auto"/>
      <w:ind w:firstLine="0" w:firstLineChars="0"/>
    </w:pPr>
  </w:style>
  <w:style w:type="paragraph" w:customStyle="1" w:styleId="331">
    <w:name w:val="lin表格目录"/>
    <w:basedOn w:val="66"/>
    <w:qFormat/>
    <w:uiPriority w:val="0"/>
    <w:pPr>
      <w:spacing w:beforeLines="50" w:line="240" w:lineRule="auto"/>
      <w:ind w:leftChars="0" w:firstLine="0" w:firstLineChars="0"/>
      <w:jc w:val="center"/>
    </w:pPr>
    <w:rPr>
      <w:rFonts w:ascii="Calibri" w:hAnsi="Calibri" w:eastAsia="黑体" w:cs="Times New Roman"/>
      <w:szCs w:val="28"/>
    </w:rPr>
  </w:style>
  <w:style w:type="paragraph" w:customStyle="1" w:styleId="332">
    <w:name w:val="表格1"/>
    <w:basedOn w:val="1"/>
    <w:link w:val="333"/>
    <w:qFormat/>
    <w:uiPriority w:val="0"/>
    <w:pPr>
      <w:spacing w:line="240" w:lineRule="auto"/>
      <w:ind w:firstLine="0" w:firstLineChars="0"/>
    </w:pPr>
    <w:rPr>
      <w:sz w:val="21"/>
    </w:rPr>
  </w:style>
  <w:style w:type="character" w:customStyle="1" w:styleId="333">
    <w:name w:val="表格1 Char"/>
    <w:link w:val="332"/>
    <w:qFormat/>
    <w:uiPriority w:val="0"/>
    <w:rPr>
      <w:kern w:val="2"/>
      <w:sz w:val="21"/>
      <w:szCs w:val="24"/>
    </w:rPr>
  </w:style>
  <w:style w:type="paragraph" w:customStyle="1" w:styleId="334">
    <w:name w:val=" Char Char6"/>
    <w:basedOn w:val="1"/>
    <w:qFormat/>
    <w:uiPriority w:val="0"/>
    <w:pPr>
      <w:spacing w:line="240" w:lineRule="auto"/>
      <w:ind w:firstLine="0" w:firstLineChars="0"/>
    </w:pPr>
  </w:style>
  <w:style w:type="paragraph" w:customStyle="1" w:styleId="335">
    <w:name w:val="Char2"/>
    <w:basedOn w:val="1"/>
    <w:qFormat/>
    <w:uiPriority w:val="0"/>
    <w:pPr>
      <w:keepNext/>
      <w:keepLines/>
      <w:spacing w:before="156" w:beforeLines="50" w:after="156" w:afterLines="50"/>
      <w:ind w:firstLine="0" w:firstLineChars="0"/>
      <w:outlineLvl w:val="1"/>
    </w:pPr>
    <w:rPr>
      <w:b/>
      <w:bCs/>
      <w:sz w:val="32"/>
      <w:szCs w:val="32"/>
    </w:rPr>
  </w:style>
  <w:style w:type="paragraph" w:customStyle="1" w:styleId="336">
    <w:name w:val="缩进"/>
    <w:basedOn w:val="1"/>
    <w:qFormat/>
    <w:uiPriority w:val="0"/>
    <w:pPr>
      <w:autoSpaceDE w:val="0"/>
      <w:autoSpaceDN w:val="0"/>
      <w:adjustRightInd w:val="0"/>
      <w:spacing w:line="400" w:lineRule="atLeast"/>
      <w:ind w:firstLine="425" w:firstLineChars="0"/>
      <w:textAlignment w:val="baseline"/>
    </w:pPr>
    <w:rPr>
      <w:kern w:val="0"/>
      <w:szCs w:val="20"/>
    </w:rPr>
  </w:style>
  <w:style w:type="paragraph" w:customStyle="1" w:styleId="337">
    <w:name w:val="表中正文"/>
    <w:basedOn w:val="1"/>
    <w:qFormat/>
    <w:uiPriority w:val="0"/>
    <w:pPr>
      <w:tabs>
        <w:tab w:val="left" w:pos="958"/>
        <w:tab w:val="left" w:pos="7320"/>
        <w:tab w:val="left" w:pos="8160"/>
      </w:tabs>
      <w:adjustRightInd w:val="0"/>
      <w:spacing w:line="360" w:lineRule="atLeast"/>
      <w:ind w:right="113" w:firstLine="0" w:firstLineChars="0"/>
      <w:jc w:val="center"/>
      <w:textAlignment w:val="baseline"/>
    </w:pPr>
    <w:rPr>
      <w:rFonts w:ascii="宋体" w:hAnsi="宋体"/>
      <w:spacing w:val="6"/>
      <w:kern w:val="20"/>
      <w:sz w:val="21"/>
    </w:rPr>
  </w:style>
  <w:style w:type="paragraph" w:customStyle="1" w:styleId="338">
    <w:name w:val="Char Char63"/>
    <w:basedOn w:val="1"/>
    <w:qFormat/>
    <w:uiPriority w:val="0"/>
    <w:pPr>
      <w:spacing w:line="240" w:lineRule="auto"/>
      <w:ind w:firstLine="0" w:firstLineChars="0"/>
    </w:pPr>
  </w:style>
  <w:style w:type="paragraph" w:customStyle="1" w:styleId="339">
    <w:name w:val="小五"/>
    <w:basedOn w:val="1"/>
    <w:qFormat/>
    <w:uiPriority w:val="0"/>
    <w:pPr>
      <w:spacing w:line="240" w:lineRule="auto"/>
      <w:ind w:firstLine="0" w:firstLineChars="0"/>
      <w:jc w:val="center"/>
    </w:pPr>
    <w:rPr>
      <w:sz w:val="18"/>
    </w:rPr>
  </w:style>
  <w:style w:type="paragraph" w:customStyle="1" w:styleId="340">
    <w:name w:val="Char Char Char2 Char"/>
    <w:basedOn w:val="1"/>
    <w:semiHidden/>
    <w:qFormat/>
    <w:uiPriority w:val="0"/>
    <w:pPr>
      <w:tabs>
        <w:tab w:val="left" w:pos="360"/>
      </w:tabs>
      <w:spacing w:line="240" w:lineRule="auto"/>
      <w:ind w:firstLine="0" w:firstLineChars="0"/>
    </w:pPr>
    <w:rPr>
      <w:sz w:val="21"/>
    </w:rPr>
  </w:style>
  <w:style w:type="paragraph" w:customStyle="1" w:styleId="341">
    <w:name w:val="表头样式1"/>
    <w:basedOn w:val="1"/>
    <w:link w:val="342"/>
    <w:qFormat/>
    <w:uiPriority w:val="0"/>
    <w:pPr>
      <w:spacing w:before="240" w:after="120" w:line="380" w:lineRule="atLeast"/>
      <w:ind w:firstLine="0" w:firstLineChars="0"/>
      <w:jc w:val="center"/>
    </w:pPr>
    <w:rPr>
      <w:rFonts w:eastAsia="黑体"/>
      <w:b/>
      <w:szCs w:val="20"/>
    </w:rPr>
  </w:style>
  <w:style w:type="character" w:customStyle="1" w:styleId="342">
    <w:name w:val="表头样式1 Char1"/>
    <w:link w:val="341"/>
    <w:qFormat/>
    <w:uiPriority w:val="0"/>
    <w:rPr>
      <w:rFonts w:eastAsia="黑体"/>
      <w:b/>
      <w:kern w:val="2"/>
      <w:sz w:val="24"/>
    </w:rPr>
  </w:style>
  <w:style w:type="paragraph" w:customStyle="1" w:styleId="343">
    <w:name w:val="表标题"/>
    <w:basedOn w:val="1"/>
    <w:qFormat/>
    <w:uiPriority w:val="0"/>
    <w:pPr>
      <w:adjustRightInd w:val="0"/>
      <w:snapToGrid w:val="0"/>
      <w:spacing w:before="120" w:line="320" w:lineRule="exact"/>
      <w:ind w:firstLine="0" w:firstLineChars="0"/>
      <w:jc w:val="center"/>
    </w:pPr>
    <w:rPr>
      <w:rFonts w:eastAsia="黑体"/>
      <w:bCs/>
    </w:rPr>
  </w:style>
  <w:style w:type="paragraph" w:customStyle="1" w:styleId="344">
    <w:name w:val="iw_poi_title"/>
    <w:basedOn w:val="1"/>
    <w:qFormat/>
    <w:uiPriority w:val="0"/>
    <w:pPr>
      <w:widowControl/>
      <w:spacing w:line="240" w:lineRule="auto"/>
      <w:ind w:firstLine="0" w:firstLineChars="0"/>
      <w:jc w:val="left"/>
    </w:pPr>
    <w:rPr>
      <w:rFonts w:ascii="宋体" w:hAnsi="宋体" w:cs="宋体"/>
      <w:b/>
      <w:bCs/>
      <w:color w:val="4D4D4D"/>
      <w:kern w:val="0"/>
      <w:sz w:val="21"/>
      <w:szCs w:val="21"/>
    </w:rPr>
  </w:style>
  <w:style w:type="paragraph" w:customStyle="1" w:styleId="345">
    <w:name w:val="啊啊正文"/>
    <w:basedOn w:val="37"/>
    <w:qFormat/>
    <w:uiPriority w:val="0"/>
    <w:pPr>
      <w:widowControl/>
      <w:spacing w:line="360" w:lineRule="auto"/>
      <w:ind w:left="0" w:right="0" w:firstLine="200" w:firstLineChars="200"/>
      <w:jc w:val="left"/>
      <w:textAlignment w:val="baseline"/>
    </w:pPr>
    <w:rPr>
      <w:color w:val="000000"/>
      <w:kern w:val="0"/>
      <w:sz w:val="24"/>
      <w:szCs w:val="28"/>
    </w:rPr>
  </w:style>
  <w:style w:type="paragraph" w:customStyle="1" w:styleId="346">
    <w:name w:val=" Char Char13"/>
    <w:basedOn w:val="1"/>
    <w:qFormat/>
    <w:uiPriority w:val="0"/>
    <w:pPr>
      <w:spacing w:line="360" w:lineRule="auto"/>
    </w:pPr>
    <w:rPr>
      <w:rFonts w:ascii="宋体" w:hAnsi="宋体" w:cs="宋体"/>
    </w:rPr>
  </w:style>
  <w:style w:type="paragraph" w:customStyle="1" w:styleId="347">
    <w:name w:val="规范标题1"/>
    <w:basedOn w:val="2"/>
    <w:next w:val="2"/>
    <w:qFormat/>
    <w:uiPriority w:val="0"/>
    <w:pPr>
      <w:widowControl w:val="0"/>
      <w:numPr>
        <w:ilvl w:val="0"/>
        <w:numId w:val="5"/>
      </w:numPr>
      <w:tabs>
        <w:tab w:val="left" w:pos="720"/>
      </w:tabs>
      <w:snapToGrid w:val="0"/>
      <w:spacing w:before="340" w:after="0" w:afterLines="0" w:line="240" w:lineRule="auto"/>
    </w:pPr>
    <w:rPr>
      <w:rFonts w:eastAsia="黑体"/>
      <w:snapToGrid/>
      <w:kern w:val="44"/>
      <w:szCs w:val="44"/>
    </w:rPr>
  </w:style>
  <w:style w:type="paragraph" w:customStyle="1" w:styleId="348">
    <w:name w:val="body"/>
    <w:basedOn w:val="1"/>
    <w:qFormat/>
    <w:uiPriority w:val="0"/>
    <w:pPr>
      <w:ind w:firstLine="0" w:firstLineChars="0"/>
    </w:pPr>
    <w:rPr>
      <w:rFonts w:ascii="宋体" w:hAnsi="宋体"/>
      <w:szCs w:val="20"/>
    </w:rPr>
  </w:style>
  <w:style w:type="paragraph" w:customStyle="1" w:styleId="349">
    <w:name w:val=" Char Char1 Char Char Char Char Char Char"/>
    <w:basedOn w:val="1"/>
    <w:qFormat/>
    <w:uiPriority w:val="0"/>
    <w:pPr>
      <w:spacing w:line="240" w:lineRule="auto"/>
      <w:ind w:firstLine="0" w:firstLineChars="0"/>
    </w:pPr>
    <w:rPr>
      <w:sz w:val="21"/>
      <w:szCs w:val="20"/>
    </w:rPr>
  </w:style>
  <w:style w:type="paragraph" w:customStyle="1" w:styleId="350">
    <w:name w:val="Char Char Char Char Char Char Char"/>
    <w:basedOn w:val="1"/>
    <w:qFormat/>
    <w:uiPriority w:val="0"/>
    <w:pPr>
      <w:adjustRightInd w:val="0"/>
      <w:ind w:firstLine="0" w:firstLineChars="0"/>
    </w:pPr>
    <w:rPr>
      <w:kern w:val="0"/>
      <w:szCs w:val="20"/>
    </w:rPr>
  </w:style>
  <w:style w:type="paragraph" w:customStyle="1" w:styleId="351">
    <w:name w:val="默认段落字体 Para Char Char Char Char"/>
    <w:basedOn w:val="1"/>
    <w:qFormat/>
    <w:uiPriority w:val="0"/>
    <w:pPr>
      <w:spacing w:line="240" w:lineRule="auto"/>
      <w:ind w:firstLine="0" w:firstLineChars="0"/>
    </w:pPr>
    <w:rPr>
      <w:sz w:val="21"/>
    </w:rPr>
  </w:style>
  <w:style w:type="paragraph" w:customStyle="1" w:styleId="352">
    <w:name w:val=" Char3 Char Char Char"/>
    <w:basedOn w:val="1"/>
    <w:semiHidden/>
    <w:qFormat/>
    <w:uiPriority w:val="0"/>
    <w:pPr>
      <w:spacing w:line="240" w:lineRule="auto"/>
      <w:ind w:firstLine="0" w:firstLineChars="0"/>
    </w:pPr>
  </w:style>
  <w:style w:type="paragraph" w:customStyle="1" w:styleId="353">
    <w:name w:val="样式 样式 样式1 + 居中 + 五号"/>
    <w:basedOn w:val="1"/>
    <w:qFormat/>
    <w:uiPriority w:val="0"/>
    <w:pPr>
      <w:spacing w:line="240" w:lineRule="auto"/>
      <w:ind w:left="-288" w:leftChars="-137" w:firstLine="288" w:firstLineChars="137"/>
      <w:jc w:val="center"/>
    </w:pPr>
    <w:rPr>
      <w:rFonts w:cs="宋体"/>
      <w:sz w:val="21"/>
      <w:szCs w:val="21"/>
    </w:rPr>
  </w:style>
  <w:style w:type="paragraph" w:customStyle="1" w:styleId="354">
    <w:name w:val="_Style 352"/>
    <w:basedOn w:val="2"/>
    <w:next w:val="1"/>
    <w:qFormat/>
    <w:uiPriority w:val="39"/>
    <w:pPr>
      <w:numPr>
        <w:ilvl w:val="0"/>
        <w:numId w:val="0"/>
      </w:numPr>
      <w:spacing w:before="480" w:beforeLines="0" w:after="0" w:afterLines="0" w:line="276" w:lineRule="auto"/>
      <w:outlineLvl w:val="9"/>
    </w:pPr>
    <w:rPr>
      <w:rFonts w:ascii="Cambria" w:hAnsi="Cambria" w:eastAsia="宋体" w:cs="Times New Roman"/>
      <w:snapToGrid/>
      <w:color w:val="365F91"/>
      <w:kern w:val="0"/>
      <w:sz w:val="28"/>
      <w:szCs w:val="28"/>
    </w:rPr>
  </w:style>
  <w:style w:type="paragraph" w:customStyle="1" w:styleId="355">
    <w:name w:val="样式 (中文) 仿宋_GB2312 居中1"/>
    <w:basedOn w:val="1"/>
    <w:qFormat/>
    <w:uiPriority w:val="0"/>
    <w:pPr>
      <w:jc w:val="center"/>
    </w:pPr>
    <w:rPr>
      <w:rFonts w:eastAsia="仿宋_GB2312" w:cs="宋体"/>
      <w:sz w:val="28"/>
      <w:szCs w:val="20"/>
    </w:rPr>
  </w:style>
  <w:style w:type="paragraph" w:customStyle="1" w:styleId="356">
    <w:name w:val="5文章"/>
    <w:basedOn w:val="1"/>
    <w:link w:val="357"/>
    <w:qFormat/>
    <w:uiPriority w:val="0"/>
    <w:pPr>
      <w:ind w:firstLine="480"/>
    </w:pPr>
    <w:rPr>
      <w:rFonts w:ascii="Arial" w:hAnsi="Arial"/>
      <w:szCs w:val="21"/>
    </w:rPr>
  </w:style>
  <w:style w:type="character" w:customStyle="1" w:styleId="357">
    <w:name w:val="5文章 Char"/>
    <w:link w:val="356"/>
    <w:qFormat/>
    <w:uiPriority w:val="0"/>
    <w:rPr>
      <w:rFonts w:ascii="Arial" w:hAnsi="Arial" w:cs="Tahoma"/>
      <w:kern w:val="2"/>
      <w:sz w:val="24"/>
      <w:szCs w:val="21"/>
    </w:rPr>
  </w:style>
  <w:style w:type="paragraph" w:customStyle="1" w:styleId="358">
    <w:name w:val="表标题（自定义）"/>
    <w:qFormat/>
    <w:uiPriority w:val="0"/>
    <w:pPr>
      <w:jc w:val="center"/>
    </w:pPr>
    <w:rPr>
      <w:rFonts w:ascii="宋体" w:hAnsi="宋体" w:eastAsia="宋体" w:cs="Times New Roman"/>
      <w:b/>
      <w:color w:val="000000"/>
      <w:sz w:val="24"/>
      <w:szCs w:val="24"/>
      <w:lang w:val="zh-CN" w:eastAsia="zh-CN" w:bidi="ar-SA"/>
    </w:rPr>
  </w:style>
  <w:style w:type="paragraph" w:customStyle="1" w:styleId="359">
    <w:name w:val="Char Char Char Char Char Char1"/>
    <w:basedOn w:val="1"/>
    <w:qFormat/>
    <w:uiPriority w:val="0"/>
    <w:pPr>
      <w:ind w:firstLine="480"/>
    </w:pPr>
    <w:rPr>
      <w:szCs w:val="18"/>
    </w:rPr>
  </w:style>
  <w:style w:type="paragraph" w:customStyle="1" w:styleId="360">
    <w:name w:val="样式 标题 3"/>
    <w:basedOn w:val="4"/>
    <w:next w:val="1"/>
    <w:qFormat/>
    <w:uiPriority w:val="0"/>
    <w:pPr>
      <w:keepLines w:val="0"/>
      <w:widowControl w:val="0"/>
      <w:numPr>
        <w:ilvl w:val="0"/>
        <w:numId w:val="0"/>
      </w:numPr>
      <w:tabs>
        <w:tab w:val="clear" w:pos="816"/>
      </w:tabs>
      <w:adjustRightInd w:val="0"/>
      <w:snapToGrid w:val="0"/>
      <w:spacing w:before="163" w:beforeLines="0" w:after="163" w:afterLines="0" w:line="0" w:lineRule="atLeast"/>
      <w:ind w:right="-510"/>
    </w:pPr>
    <w:rPr>
      <w:rFonts w:eastAsia="楷体_GB2312" w:cs="宋体"/>
      <w:b w:val="0"/>
      <w:szCs w:val="28"/>
    </w:rPr>
  </w:style>
  <w:style w:type="paragraph" w:customStyle="1" w:styleId="361">
    <w:name w:val="表标头"/>
    <w:basedOn w:val="1"/>
    <w:qFormat/>
    <w:uiPriority w:val="0"/>
    <w:pPr>
      <w:spacing w:before="60" w:after="60" w:line="240" w:lineRule="atLeast"/>
      <w:ind w:firstLine="0" w:firstLineChars="0"/>
      <w:jc w:val="center"/>
    </w:pPr>
    <w:rPr>
      <w:b/>
      <w:bCs/>
    </w:rPr>
  </w:style>
  <w:style w:type="paragraph" w:customStyle="1" w:styleId="362">
    <w:name w:val="Char Char610"/>
    <w:basedOn w:val="1"/>
    <w:qFormat/>
    <w:uiPriority w:val="0"/>
    <w:pPr>
      <w:spacing w:line="240" w:lineRule="auto"/>
      <w:ind w:firstLine="0" w:firstLineChars="0"/>
    </w:pPr>
  </w:style>
  <w:style w:type="paragraph" w:customStyle="1" w:styleId="363">
    <w:name w:val=" Char Char Char Char1"/>
    <w:basedOn w:val="1"/>
    <w:semiHidden/>
    <w:qFormat/>
    <w:uiPriority w:val="0"/>
    <w:pPr>
      <w:spacing w:line="240" w:lineRule="auto"/>
      <w:ind w:firstLine="0" w:firstLineChars="0"/>
    </w:pPr>
  </w:style>
  <w:style w:type="paragraph" w:customStyle="1" w:styleId="364">
    <w:name w:val="Char Char Char Char"/>
    <w:basedOn w:val="1"/>
    <w:qFormat/>
    <w:uiPriority w:val="0"/>
    <w:pPr>
      <w:spacing w:line="240" w:lineRule="auto"/>
      <w:ind w:firstLine="0" w:firstLineChars="0"/>
    </w:pPr>
  </w:style>
  <w:style w:type="paragraph" w:customStyle="1" w:styleId="365">
    <w:name w:val="Char Char6"/>
    <w:basedOn w:val="1"/>
    <w:qFormat/>
    <w:uiPriority w:val="0"/>
    <w:pPr>
      <w:spacing w:line="240" w:lineRule="auto"/>
      <w:ind w:firstLine="0" w:firstLineChars="0"/>
    </w:pPr>
  </w:style>
  <w:style w:type="paragraph" w:customStyle="1" w:styleId="366">
    <w:name w:val="表格文字（241）"/>
    <w:basedOn w:val="1"/>
    <w:qFormat/>
    <w:uiPriority w:val="0"/>
    <w:pPr>
      <w:autoSpaceDE w:val="0"/>
      <w:autoSpaceDN w:val="0"/>
      <w:adjustRightInd w:val="0"/>
      <w:spacing w:line="240" w:lineRule="auto"/>
      <w:ind w:firstLine="0" w:firstLineChars="0"/>
      <w:jc w:val="center"/>
      <w:textAlignment w:val="baseline"/>
    </w:pPr>
    <w:rPr>
      <w:bCs/>
      <w:kern w:val="0"/>
      <w:sz w:val="21"/>
      <w:szCs w:val="21"/>
    </w:rPr>
  </w:style>
  <w:style w:type="paragraph" w:customStyle="1" w:styleId="367">
    <w:name w:val="正文文字 3"/>
    <w:basedOn w:val="1"/>
    <w:semiHidden/>
    <w:qFormat/>
    <w:uiPriority w:val="0"/>
    <w:pPr>
      <w:spacing w:line="280" w:lineRule="exact"/>
      <w:ind w:firstLine="0" w:firstLineChars="0"/>
      <w:jc w:val="center"/>
    </w:pPr>
    <w:rPr>
      <w:rFonts w:ascii="仿宋_GB2312" w:hAnsi="Arial Black" w:eastAsia="仿宋_GB2312" w:cs="仿宋_GB2312"/>
      <w:sz w:val="21"/>
      <w:szCs w:val="21"/>
    </w:rPr>
  </w:style>
  <w:style w:type="paragraph" w:customStyle="1" w:styleId="368">
    <w:name w:val="Char Char64"/>
    <w:basedOn w:val="1"/>
    <w:qFormat/>
    <w:uiPriority w:val="0"/>
    <w:pPr>
      <w:spacing w:line="240" w:lineRule="auto"/>
      <w:ind w:firstLine="0" w:firstLineChars="0"/>
    </w:pPr>
  </w:style>
  <w:style w:type="paragraph" w:customStyle="1" w:styleId="369">
    <w:name w:val="xl26"/>
    <w:basedOn w:val="1"/>
    <w:qFormat/>
    <w:uiPriority w:val="0"/>
    <w:pPr>
      <w:widowControl/>
      <w:pBdr>
        <w:bottom w:val="single" w:color="000000" w:sz="4" w:space="0"/>
        <w:right w:val="single" w:color="000000" w:sz="4" w:space="0"/>
      </w:pBdr>
      <w:tabs>
        <w:tab w:val="right" w:pos="0"/>
      </w:tabs>
      <w:adjustRightInd w:val="0"/>
      <w:snapToGrid w:val="0"/>
      <w:spacing w:before="100" w:beforeAutospacing="1" w:after="100" w:afterAutospacing="1"/>
      <w:ind w:firstLine="0" w:firstLineChars="0"/>
      <w:textAlignment w:val="top"/>
    </w:pPr>
    <w:rPr>
      <w:rFonts w:ascii="Arial Unicode MS" w:hAnsi="Arial Unicode MS" w:eastAsia="Arial Unicode MS"/>
      <w:snapToGrid w:val="0"/>
      <w:kern w:val="0"/>
    </w:rPr>
  </w:style>
  <w:style w:type="paragraph" w:customStyle="1" w:styleId="370">
    <w:name w:val="默认段落字体 Para Char Char Char Char Char Char Char Char Char Char Char Char Char1 Char"/>
    <w:basedOn w:val="23"/>
    <w:qFormat/>
    <w:uiPriority w:val="0"/>
    <w:pPr>
      <w:adjustRightInd/>
      <w:snapToGrid/>
      <w:spacing w:line="240" w:lineRule="auto"/>
    </w:pPr>
    <w:rPr>
      <w:bCs/>
      <w:sz w:val="24"/>
    </w:rPr>
  </w:style>
  <w:style w:type="paragraph" w:customStyle="1" w:styleId="371">
    <w:name w:val="样式 行距: 固定值 28 磅"/>
    <w:basedOn w:val="1"/>
    <w:qFormat/>
    <w:uiPriority w:val="0"/>
    <w:pPr>
      <w:spacing w:line="560" w:lineRule="exact"/>
      <w:ind w:firstLine="420"/>
    </w:pPr>
    <w:rPr>
      <w:rFonts w:cs="宋体"/>
      <w:sz w:val="28"/>
      <w:szCs w:val="20"/>
    </w:rPr>
  </w:style>
  <w:style w:type="paragraph" w:customStyle="1" w:styleId="372">
    <w:name w:val="规范标题3"/>
    <w:basedOn w:val="4"/>
    <w:qFormat/>
    <w:uiPriority w:val="0"/>
    <w:pPr>
      <w:widowControl w:val="0"/>
      <w:numPr>
        <w:ilvl w:val="2"/>
        <w:numId w:val="5"/>
      </w:numPr>
      <w:tabs>
        <w:tab w:val="left" w:pos="927"/>
        <w:tab w:val="clear" w:pos="816"/>
      </w:tabs>
      <w:spacing w:before="0" w:beforeLines="0" w:after="0" w:afterLines="0" w:line="360" w:lineRule="auto"/>
    </w:pPr>
    <w:rPr>
      <w:rFonts w:hAnsi="宋体"/>
      <w:color w:val="000000"/>
      <w:sz w:val="24"/>
      <w:szCs w:val="28"/>
      <w:lang w:val="zh-TW"/>
    </w:rPr>
  </w:style>
  <w:style w:type="paragraph" w:customStyle="1" w:styleId="373">
    <w:name w:val="xl24"/>
    <w:basedOn w:val="1"/>
    <w:qFormat/>
    <w:uiPriority w:val="0"/>
    <w:pPr>
      <w:widowControl/>
      <w:spacing w:before="100" w:beforeAutospacing="1" w:after="100" w:afterAutospacing="1" w:line="240" w:lineRule="auto"/>
      <w:ind w:firstLine="0" w:firstLineChars="0"/>
      <w:jc w:val="center"/>
    </w:pPr>
    <w:rPr>
      <w:rFonts w:eastAsia="Arial Unicode MS"/>
      <w:kern w:val="0"/>
      <w:sz w:val="21"/>
      <w:szCs w:val="21"/>
    </w:rPr>
  </w:style>
  <w:style w:type="paragraph" w:customStyle="1" w:styleId="374">
    <w:name w:val="reader-word-layer reader-word-s1-6"/>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375">
    <w:name w:val="正文3"/>
    <w:basedOn w:val="31"/>
    <w:qFormat/>
    <w:uiPriority w:val="0"/>
    <w:pPr>
      <w:spacing w:after="0" w:line="240" w:lineRule="auto"/>
      <w:ind w:firstLine="0" w:firstLineChars="0"/>
    </w:pPr>
    <w:rPr>
      <w:rFonts w:ascii="Times New Roman" w:hAnsi="Times New Roman"/>
      <w:sz w:val="21"/>
      <w:szCs w:val="24"/>
    </w:rPr>
  </w:style>
  <w:style w:type="paragraph" w:customStyle="1" w:styleId="376">
    <w:name w:val="xl25"/>
    <w:basedOn w:val="1"/>
    <w:qFormat/>
    <w:uiPriority w:val="0"/>
    <w:pPr>
      <w:widowControl/>
      <w:pBdr>
        <w:bottom w:val="single" w:color="auto" w:sz="4" w:space="0"/>
        <w:right w:val="single" w:color="auto" w:sz="4" w:space="0"/>
      </w:pBdr>
      <w:adjustRightInd w:val="0"/>
      <w:spacing w:before="100" w:beforeAutospacing="1" w:after="100" w:afterAutospacing="1" w:line="240" w:lineRule="auto"/>
      <w:ind w:firstLine="562"/>
      <w:jc w:val="center"/>
    </w:pPr>
    <w:rPr>
      <w:rFonts w:ascii="宋体" w:hAnsi="宋体" w:eastAsia="仿宋_GB2312"/>
      <w:kern w:val="0"/>
      <w:sz w:val="28"/>
      <w:szCs w:val="21"/>
    </w:rPr>
  </w:style>
  <w:style w:type="paragraph" w:customStyle="1" w:styleId="377">
    <w:name w:val="Char Char65"/>
    <w:basedOn w:val="1"/>
    <w:qFormat/>
    <w:uiPriority w:val="0"/>
    <w:pPr>
      <w:spacing w:line="240" w:lineRule="auto"/>
      <w:ind w:firstLine="0" w:firstLineChars="0"/>
    </w:pPr>
  </w:style>
  <w:style w:type="paragraph" w:customStyle="1" w:styleId="378">
    <w:name w:val="样式 (符号) 宋体 行距: 1.5 倍行距"/>
    <w:basedOn w:val="1"/>
    <w:qFormat/>
    <w:uiPriority w:val="0"/>
    <w:pPr>
      <w:ind w:firstLine="0" w:firstLineChars="0"/>
    </w:pPr>
    <w:rPr>
      <w:rFonts w:hAnsi="宋体" w:cs="宋体"/>
      <w:szCs w:val="20"/>
    </w:rPr>
  </w:style>
  <w:style w:type="paragraph" w:customStyle="1" w:styleId="379">
    <w:name w:val="样式 标题 3标题 3 Char条标题1.1.1ReHead 3 WSAh3BSH-3H3b33rd leve..."/>
    <w:basedOn w:val="4"/>
    <w:qFormat/>
    <w:uiPriority w:val="0"/>
    <w:pPr>
      <w:keepNext w:val="0"/>
      <w:keepLines w:val="0"/>
      <w:widowControl w:val="0"/>
      <w:numPr>
        <w:ilvl w:val="2"/>
        <w:numId w:val="0"/>
      </w:numPr>
      <w:tabs>
        <w:tab w:val="left" w:pos="1418"/>
        <w:tab w:val="clear" w:pos="816"/>
      </w:tabs>
      <w:adjustRightInd w:val="0"/>
      <w:snapToGrid w:val="0"/>
      <w:spacing w:before="0" w:after="0" w:line="360" w:lineRule="auto"/>
      <w:ind w:right="-510"/>
    </w:pPr>
    <w:rPr>
      <w:rFonts w:eastAsia="楷体_GB2312" w:cs="宋体"/>
      <w:color w:val="000000"/>
    </w:rPr>
  </w:style>
  <w:style w:type="paragraph" w:customStyle="1" w:styleId="380">
    <w:name w:val="默认段落字体 Para Char Char Char1 Char Char Char Char Char Char Char Char Char Char"/>
    <w:basedOn w:val="1"/>
    <w:semiHidden/>
    <w:qFormat/>
    <w:uiPriority w:val="0"/>
    <w:pPr>
      <w:spacing w:line="240" w:lineRule="auto"/>
      <w:ind w:firstLine="0" w:firstLineChars="0"/>
    </w:pPr>
  </w:style>
  <w:style w:type="paragraph" w:customStyle="1" w:styleId="381">
    <w:name w:val="页面 7"/>
    <w:basedOn w:val="1"/>
    <w:qFormat/>
    <w:uiPriority w:val="0"/>
    <w:pPr>
      <w:autoSpaceDE w:val="0"/>
      <w:autoSpaceDN w:val="0"/>
      <w:adjustRightInd w:val="0"/>
      <w:spacing w:before="120" w:after="120" w:line="240" w:lineRule="auto"/>
      <w:ind w:firstLine="0" w:firstLineChars="0"/>
      <w:jc w:val="center"/>
      <w:textAlignment w:val="baseline"/>
    </w:pPr>
    <w:rPr>
      <w:rFonts w:ascii="宋体" w:hAnsi="Impact"/>
      <w:kern w:val="24"/>
      <w:sz w:val="32"/>
      <w:szCs w:val="20"/>
    </w:rPr>
  </w:style>
  <w:style w:type="paragraph" w:styleId="382">
    <w:name w:val="List Paragraph"/>
    <w:basedOn w:val="1"/>
    <w:qFormat/>
    <w:uiPriority w:val="34"/>
    <w:pPr>
      <w:spacing w:line="240" w:lineRule="auto"/>
      <w:ind w:firstLine="420"/>
    </w:pPr>
    <w:rPr>
      <w:sz w:val="21"/>
    </w:rPr>
  </w:style>
  <w:style w:type="paragraph" w:customStyle="1" w:styleId="383">
    <w:name w:val="2"/>
    <w:basedOn w:val="1"/>
    <w:next w:val="32"/>
    <w:qFormat/>
    <w:uiPriority w:val="0"/>
    <w:pPr>
      <w:spacing w:line="240" w:lineRule="auto"/>
      <w:ind w:firstLine="560"/>
    </w:pPr>
    <w:rPr>
      <w:sz w:val="28"/>
    </w:rPr>
  </w:style>
  <w:style w:type="paragraph" w:customStyle="1" w:styleId="384">
    <w:name w:val="Char Char Char"/>
    <w:basedOn w:val="1"/>
    <w:qFormat/>
    <w:uiPriority w:val="0"/>
  </w:style>
  <w:style w:type="paragraph" w:customStyle="1" w:styleId="385">
    <w:name w:val="纯文本2"/>
    <w:basedOn w:val="1"/>
    <w:qFormat/>
    <w:uiPriority w:val="0"/>
    <w:pPr>
      <w:adjustRightInd w:val="0"/>
      <w:spacing w:line="240" w:lineRule="auto"/>
      <w:ind w:firstLine="0" w:firstLineChars="0"/>
    </w:pPr>
    <w:rPr>
      <w:rFonts w:ascii="宋体" w:hAnsi="Courier New"/>
      <w:sz w:val="21"/>
      <w:szCs w:val="20"/>
    </w:rPr>
  </w:style>
  <w:style w:type="paragraph" w:customStyle="1" w:styleId="386">
    <w:name w:val="样式9"/>
    <w:basedOn w:val="1"/>
    <w:qFormat/>
    <w:uiPriority w:val="0"/>
    <w:pPr>
      <w:adjustRightInd w:val="0"/>
      <w:snapToGrid w:val="0"/>
      <w:spacing w:line="560" w:lineRule="exact"/>
      <w:ind w:firstLine="539" w:firstLineChars="0"/>
      <w:textAlignment w:val="baseline"/>
    </w:pPr>
    <w:rPr>
      <w:rFonts w:eastAsia="仿宋_GB2312"/>
      <w:sz w:val="28"/>
      <w:szCs w:val="20"/>
    </w:rPr>
  </w:style>
  <w:style w:type="paragraph" w:customStyle="1" w:styleId="387">
    <w:name w:val=" Char Char1 Char Char"/>
    <w:basedOn w:val="1"/>
    <w:qFormat/>
    <w:uiPriority w:val="0"/>
    <w:rPr>
      <w:rFonts w:ascii="Calibri" w:hAnsi="Calibri"/>
      <w:sz w:val="21"/>
      <w:szCs w:val="20"/>
    </w:rPr>
  </w:style>
  <w:style w:type="paragraph" w:customStyle="1" w:styleId="388">
    <w:name w:val="规范标题2"/>
    <w:basedOn w:val="3"/>
    <w:qFormat/>
    <w:uiPriority w:val="0"/>
    <w:pPr>
      <w:widowControl w:val="0"/>
      <w:numPr>
        <w:ilvl w:val="1"/>
        <w:numId w:val="5"/>
      </w:numPr>
      <w:tabs>
        <w:tab w:val="clear" w:pos="720"/>
      </w:tabs>
      <w:spacing w:before="0" w:beforeLines="0" w:after="0" w:afterLines="0" w:line="360" w:lineRule="auto"/>
    </w:pPr>
    <w:rPr>
      <w:snapToGrid/>
      <w:kern w:val="2"/>
      <w:sz w:val="28"/>
      <w:szCs w:val="28"/>
      <w:lang w:val="zh-TW"/>
    </w:rPr>
  </w:style>
  <w:style w:type="paragraph" w:customStyle="1" w:styleId="389">
    <w:name w:val="正文 32"/>
    <w:basedOn w:val="1"/>
    <w:qFormat/>
    <w:uiPriority w:val="0"/>
    <w:pPr>
      <w:autoSpaceDE w:val="0"/>
      <w:autoSpaceDN w:val="0"/>
      <w:adjustRightInd w:val="0"/>
      <w:spacing w:line="300" w:lineRule="auto"/>
      <w:ind w:firstLine="567" w:firstLineChars="0"/>
      <w:textAlignment w:val="baseline"/>
    </w:pPr>
    <w:rPr>
      <w:rFonts w:eastAsia="楷体_GB2312"/>
      <w:kern w:val="0"/>
      <w:szCs w:val="20"/>
    </w:rPr>
  </w:style>
  <w:style w:type="paragraph" w:customStyle="1" w:styleId="390">
    <w:name w:val="Char Char Char Char Char"/>
    <w:basedOn w:val="1"/>
    <w:qFormat/>
    <w:uiPriority w:val="0"/>
    <w:pPr>
      <w:tabs>
        <w:tab w:val="left" w:pos="420"/>
      </w:tabs>
      <w:spacing w:before="50" w:beforeLines="50" w:after="50" w:afterLines="50" w:line="312" w:lineRule="auto"/>
      <w:ind w:left="420" w:hanging="420" w:firstLineChars="0"/>
    </w:pPr>
    <w:rPr>
      <w:sz w:val="21"/>
    </w:rPr>
  </w:style>
  <w:style w:type="paragraph" w:customStyle="1" w:styleId="391">
    <w:name w:val=" Char Char1 Char Char Char Char Char Char Char Char Char Char Char Char Char Char Char Char Char Char Char Char1 Char"/>
    <w:basedOn w:val="1"/>
    <w:qFormat/>
    <w:uiPriority w:val="0"/>
    <w:rPr>
      <w:rFonts w:ascii="宋体" w:hAnsi="宋体" w:cs="宋体"/>
    </w:rPr>
  </w:style>
  <w:style w:type="paragraph" w:customStyle="1" w:styleId="392">
    <w:name w:val="中文报告书样式"/>
    <w:basedOn w:val="1"/>
    <w:qFormat/>
    <w:uiPriority w:val="0"/>
    <w:pPr>
      <w:adjustRightInd w:val="0"/>
      <w:spacing w:line="480" w:lineRule="atLeast"/>
      <w:ind w:firstLine="482" w:firstLineChars="0"/>
      <w:textAlignment w:val="baseline"/>
    </w:pPr>
    <w:rPr>
      <w:kern w:val="24"/>
      <w:szCs w:val="20"/>
    </w:rPr>
  </w:style>
  <w:style w:type="paragraph" w:customStyle="1" w:styleId="393">
    <w:name w:val="3"/>
    <w:basedOn w:val="1"/>
    <w:qFormat/>
    <w:uiPriority w:val="0"/>
    <w:pPr>
      <w:widowControl/>
      <w:spacing w:after="160" w:line="240" w:lineRule="exact"/>
      <w:ind w:firstLine="0" w:firstLineChars="0"/>
      <w:jc w:val="left"/>
    </w:pPr>
    <w:rPr>
      <w:rFonts w:ascii="Verdana" w:hAnsi="Verdana" w:eastAsia="Times New Roman"/>
      <w:kern w:val="0"/>
      <w:sz w:val="20"/>
      <w:szCs w:val="20"/>
      <w:lang w:eastAsia="en-US"/>
    </w:rPr>
  </w:style>
  <w:style w:type="paragraph" w:customStyle="1" w:styleId="394">
    <w:name w:val="样式33"/>
    <w:basedOn w:val="1"/>
    <w:qFormat/>
    <w:uiPriority w:val="0"/>
    <w:pPr>
      <w:ind w:firstLine="0" w:firstLineChars="0"/>
      <w:jc w:val="center"/>
    </w:pPr>
    <w:rPr>
      <w:rFonts w:ascii="宋体" w:hAnsi="宋体" w:cs="宋体"/>
      <w:b/>
      <w:bCs/>
      <w:sz w:val="21"/>
      <w:szCs w:val="20"/>
    </w:rPr>
  </w:style>
  <w:style w:type="paragraph" w:customStyle="1" w:styleId="39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96">
    <w:name w:val="表格2"/>
    <w:basedOn w:val="1"/>
    <w:next w:val="1"/>
    <w:qFormat/>
    <w:uiPriority w:val="0"/>
    <w:pPr>
      <w:autoSpaceDE w:val="0"/>
      <w:autoSpaceDN w:val="0"/>
      <w:adjustRightInd w:val="0"/>
      <w:spacing w:line="240" w:lineRule="auto"/>
      <w:ind w:firstLine="0" w:firstLineChars="0"/>
      <w:jc w:val="center"/>
      <w:textAlignment w:val="baseline"/>
    </w:pPr>
    <w:rPr>
      <w:rFonts w:ascii="宋体"/>
      <w:kern w:val="0"/>
      <w:position w:val="-28"/>
      <w:sz w:val="18"/>
      <w:szCs w:val="20"/>
    </w:rPr>
  </w:style>
  <w:style w:type="paragraph" w:customStyle="1" w:styleId="397">
    <w:name w:val="_Style 57"/>
    <w:basedOn w:val="1"/>
    <w:qFormat/>
    <w:uiPriority w:val="0"/>
    <w:pPr>
      <w:widowControl/>
      <w:spacing w:after="160" w:line="240" w:lineRule="exact"/>
      <w:ind w:firstLine="0" w:firstLineChars="0"/>
      <w:jc w:val="left"/>
    </w:pPr>
    <w:rPr>
      <w:rFonts w:ascii="Verdana" w:hAnsi="Verdana" w:eastAsia="Times New Roman"/>
      <w:kern w:val="0"/>
      <w:sz w:val="20"/>
      <w:szCs w:val="20"/>
      <w:lang w:eastAsia="en-US"/>
    </w:rPr>
  </w:style>
  <w:style w:type="paragraph" w:customStyle="1" w:styleId="398">
    <w:name w:val=" Char Char3 Char Char"/>
    <w:basedOn w:val="1"/>
    <w:next w:val="1"/>
    <w:semiHidden/>
    <w:qFormat/>
    <w:uiPriority w:val="0"/>
    <w:pPr>
      <w:widowControl/>
      <w:spacing w:after="160" w:line="240" w:lineRule="exact"/>
      <w:ind w:firstLine="0" w:firstLineChars="0"/>
      <w:jc w:val="left"/>
    </w:pPr>
    <w:rPr>
      <w:rFonts w:ascii="Arial" w:hAnsi="Arial" w:eastAsia="Times New Roman" w:cs="Verdana"/>
      <w:b/>
      <w:kern w:val="0"/>
      <w:szCs w:val="20"/>
      <w:lang w:eastAsia="en-US"/>
    </w:rPr>
  </w:style>
  <w:style w:type="paragraph" w:customStyle="1" w:styleId="399">
    <w:name w:val="Char Char66"/>
    <w:basedOn w:val="1"/>
    <w:qFormat/>
    <w:uiPriority w:val="0"/>
    <w:pPr>
      <w:spacing w:line="240" w:lineRule="auto"/>
      <w:ind w:firstLine="0" w:firstLineChars="0"/>
    </w:pPr>
  </w:style>
  <w:style w:type="paragraph" w:customStyle="1" w:styleId="400">
    <w:name w:val="封面正文"/>
    <w:qFormat/>
    <w:uiPriority w:val="0"/>
    <w:pPr>
      <w:jc w:val="both"/>
    </w:pPr>
    <w:rPr>
      <w:rFonts w:ascii="Times New Roman" w:hAnsi="Times New Roman" w:eastAsia="宋体" w:cs="Times New Roman"/>
      <w:lang w:val="en-US" w:eastAsia="zh-CN" w:bidi="ar-SA"/>
    </w:rPr>
  </w:style>
  <w:style w:type="paragraph" w:customStyle="1" w:styleId="401">
    <w:name w:val="reader-word-layer reader-word-s1-13"/>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402">
    <w:name w:val="表1表2"/>
    <w:basedOn w:val="1"/>
    <w:qFormat/>
    <w:uiPriority w:val="0"/>
    <w:pPr>
      <w:autoSpaceDE w:val="0"/>
      <w:autoSpaceDN w:val="0"/>
      <w:adjustRightInd w:val="0"/>
      <w:spacing w:line="240" w:lineRule="auto"/>
      <w:ind w:firstLine="0" w:firstLineChars="0"/>
      <w:jc w:val="center"/>
      <w:textAlignment w:val="center"/>
    </w:pPr>
    <w:rPr>
      <w:rFonts w:eastAsia="仿宋体"/>
      <w:kern w:val="0"/>
      <w:szCs w:val="20"/>
    </w:rPr>
  </w:style>
  <w:style w:type="paragraph" w:customStyle="1" w:styleId="403">
    <w:name w:val="Plain Text1"/>
    <w:basedOn w:val="1"/>
    <w:qFormat/>
    <w:uiPriority w:val="0"/>
    <w:pPr>
      <w:autoSpaceDE w:val="0"/>
      <w:autoSpaceDN w:val="0"/>
      <w:adjustRightInd w:val="0"/>
      <w:spacing w:line="240" w:lineRule="auto"/>
      <w:ind w:firstLine="0" w:firstLineChars="0"/>
      <w:textAlignment w:val="baseline"/>
    </w:pPr>
    <w:rPr>
      <w:rFonts w:ascii="宋体"/>
      <w:sz w:val="21"/>
      <w:szCs w:val="20"/>
    </w:rPr>
  </w:style>
  <w:style w:type="paragraph" w:customStyle="1" w:styleId="404">
    <w:name w:val="Char Char Char Char Char Char"/>
    <w:basedOn w:val="1"/>
    <w:qFormat/>
    <w:uiPriority w:val="0"/>
    <w:pPr>
      <w:snapToGrid w:val="0"/>
      <w:ind w:firstLine="529"/>
    </w:pPr>
    <w:rPr>
      <w:rFonts w:ascii="宋体" w:hAnsi="宋体"/>
      <w:b/>
      <w:sz w:val="21"/>
    </w:rPr>
  </w:style>
  <w:style w:type="paragraph" w:customStyle="1" w:styleId="405">
    <w:name w:val="纯文本3"/>
    <w:basedOn w:val="1"/>
    <w:qFormat/>
    <w:uiPriority w:val="0"/>
    <w:pPr>
      <w:adjustRightInd w:val="0"/>
      <w:spacing w:line="240" w:lineRule="auto"/>
      <w:ind w:firstLine="0" w:firstLineChars="0"/>
      <w:textAlignment w:val="baseline"/>
    </w:pPr>
    <w:rPr>
      <w:rFonts w:ascii="宋体" w:hAnsi="Courier New"/>
      <w:sz w:val="21"/>
      <w:szCs w:val="20"/>
    </w:rPr>
  </w:style>
  <w:style w:type="paragraph" w:customStyle="1" w:styleId="406">
    <w:name w:val="规范表格目录"/>
    <w:basedOn w:val="66"/>
    <w:qFormat/>
    <w:uiPriority w:val="0"/>
    <w:pPr>
      <w:spacing w:beforeLines="50" w:line="240" w:lineRule="auto"/>
      <w:ind w:leftChars="0" w:firstLine="0" w:firstLineChars="0"/>
      <w:jc w:val="center"/>
    </w:pPr>
    <w:rPr>
      <w:b/>
      <w:szCs w:val="28"/>
    </w:rPr>
  </w:style>
  <w:style w:type="paragraph" w:customStyle="1" w:styleId="407">
    <w:name w:val="样式1"/>
    <w:basedOn w:val="76"/>
    <w:link w:val="408"/>
    <w:qFormat/>
    <w:uiPriority w:val="0"/>
    <w:pPr>
      <w:ind w:firstLine="0" w:firstLineChars="0"/>
      <w:outlineLvl w:val="2"/>
    </w:pPr>
    <w:rPr>
      <w:rFonts w:ascii="Arial" w:hAnsi="Arial"/>
      <w:sz w:val="28"/>
    </w:rPr>
  </w:style>
  <w:style w:type="character" w:customStyle="1" w:styleId="408">
    <w:name w:val="样式1 Char"/>
    <w:link w:val="407"/>
    <w:qFormat/>
    <w:uiPriority w:val="0"/>
    <w:rPr>
      <w:rFonts w:ascii="Arial" w:hAnsi="Arial" w:cs="Arial"/>
      <w:b/>
      <w:bCs/>
      <w:kern w:val="2"/>
      <w:sz w:val="28"/>
      <w:szCs w:val="32"/>
    </w:rPr>
  </w:style>
  <w:style w:type="paragraph" w:customStyle="1" w:styleId="409">
    <w:name w:val="表文字"/>
    <w:basedOn w:val="1"/>
    <w:qFormat/>
    <w:uiPriority w:val="0"/>
    <w:pPr>
      <w:adjustRightInd w:val="0"/>
      <w:snapToGrid w:val="0"/>
      <w:spacing w:beforeLines="25" w:afterLines="25" w:line="240" w:lineRule="auto"/>
      <w:ind w:left="-20" w:leftChars="-20" w:right="-20" w:rightChars="-20" w:firstLine="0" w:firstLineChars="0"/>
      <w:jc w:val="center"/>
      <w:textAlignment w:val="baseline"/>
    </w:pPr>
    <w:rPr>
      <w:color w:val="000000"/>
      <w:kern w:val="0"/>
      <w:sz w:val="21"/>
      <w:szCs w:val="20"/>
    </w:rPr>
  </w:style>
  <w:style w:type="paragraph" w:customStyle="1" w:styleId="410">
    <w:name w:val="Char Char Char Char Char Char Char Char Char1"/>
    <w:basedOn w:val="1"/>
    <w:qFormat/>
    <w:uiPriority w:val="0"/>
    <w:pPr>
      <w:snapToGrid w:val="0"/>
      <w:ind w:firstLine="529"/>
    </w:pPr>
    <w:rPr>
      <w:rFonts w:ascii="宋体" w:hAnsi="宋体"/>
      <w:b/>
      <w:sz w:val="21"/>
    </w:rPr>
  </w:style>
  <w:style w:type="paragraph" w:customStyle="1" w:styleId="411">
    <w:name w:val="Char Char61"/>
    <w:basedOn w:val="1"/>
    <w:qFormat/>
    <w:uiPriority w:val="0"/>
    <w:pPr>
      <w:spacing w:line="240" w:lineRule="auto"/>
      <w:ind w:firstLine="0" w:firstLineChars="0"/>
    </w:pPr>
  </w:style>
  <w:style w:type="paragraph" w:customStyle="1" w:styleId="412">
    <w:name w:val="文本正文"/>
    <w:basedOn w:val="1"/>
    <w:qFormat/>
    <w:uiPriority w:val="0"/>
    <w:pPr>
      <w:snapToGrid w:val="0"/>
      <w:ind w:firstLine="510" w:firstLineChars="0"/>
      <w:jc w:val="left"/>
    </w:pPr>
    <w:rPr>
      <w:rFonts w:ascii="宋体"/>
      <w:spacing w:val="4"/>
      <w:kern w:val="24"/>
      <w:lang w:val="zh-CN"/>
    </w:rPr>
  </w:style>
  <w:style w:type="paragraph" w:customStyle="1" w:styleId="413">
    <w:name w:val="正文样式3"/>
    <w:basedOn w:val="1"/>
    <w:qFormat/>
    <w:uiPriority w:val="0"/>
    <w:pPr>
      <w:adjustRightInd w:val="0"/>
      <w:spacing w:line="20" w:lineRule="atLeast"/>
      <w:ind w:firstLine="0" w:firstLineChars="0"/>
      <w:jc w:val="center"/>
      <w:textAlignment w:val="baseline"/>
    </w:pPr>
    <w:rPr>
      <w:kern w:val="0"/>
      <w:szCs w:val="20"/>
    </w:rPr>
  </w:style>
  <w:style w:type="paragraph" w:customStyle="1" w:styleId="414">
    <w:name w:val="Char1"/>
    <w:basedOn w:val="23"/>
    <w:qFormat/>
    <w:uiPriority w:val="0"/>
    <w:pPr>
      <w:adjustRightInd/>
      <w:snapToGrid/>
      <w:spacing w:line="240" w:lineRule="auto"/>
    </w:pPr>
    <w:rPr>
      <w:rFonts w:ascii="Tahoma" w:hAnsi="Tahoma"/>
      <w:sz w:val="24"/>
      <w:lang w:val="en-US" w:eastAsia="zh-CN"/>
    </w:rPr>
  </w:style>
  <w:style w:type="paragraph" w:customStyle="1" w:styleId="415">
    <w:name w:val="样式 五号 左侧:  0.99 厘米"/>
    <w:basedOn w:val="1"/>
    <w:qFormat/>
    <w:uiPriority w:val="0"/>
    <w:pPr>
      <w:tabs>
        <w:tab w:val="left" w:pos="378"/>
      </w:tabs>
      <w:adjustRightInd w:val="0"/>
      <w:snapToGrid w:val="0"/>
      <w:spacing w:line="240" w:lineRule="auto"/>
      <w:ind w:firstLine="0" w:firstLineChars="0"/>
      <w:jc w:val="center"/>
    </w:pPr>
    <w:rPr>
      <w:rFonts w:cs="宋体"/>
      <w:sz w:val="21"/>
      <w:szCs w:val="20"/>
    </w:rPr>
  </w:style>
  <w:style w:type="paragraph" w:customStyle="1" w:styleId="416">
    <w:name w:val="规范图目录"/>
    <w:basedOn w:val="406"/>
    <w:qFormat/>
    <w:uiPriority w:val="0"/>
    <w:pPr>
      <w:spacing w:beforeLines="0" w:afterLines="50"/>
    </w:pPr>
    <w:rPr>
      <w:rFonts w:cs="Times New Roman"/>
    </w:rPr>
  </w:style>
  <w:style w:type="paragraph" w:customStyle="1" w:styleId="417">
    <w:name w:val="表内格式"/>
    <w:basedOn w:val="1"/>
    <w:link w:val="418"/>
    <w:qFormat/>
    <w:uiPriority w:val="0"/>
    <w:pPr>
      <w:spacing w:line="240" w:lineRule="auto"/>
      <w:ind w:firstLine="0" w:firstLineChars="0"/>
      <w:jc w:val="center"/>
    </w:pPr>
    <w:rPr>
      <w:sz w:val="18"/>
      <w:szCs w:val="20"/>
    </w:rPr>
  </w:style>
  <w:style w:type="character" w:customStyle="1" w:styleId="418">
    <w:name w:val="表内格式 Char1"/>
    <w:link w:val="417"/>
    <w:qFormat/>
    <w:uiPriority w:val="0"/>
    <w:rPr>
      <w:kern w:val="2"/>
      <w:sz w:val="18"/>
    </w:rPr>
  </w:style>
  <w:style w:type="paragraph" w:customStyle="1" w:styleId="419">
    <w:name w:val="Char Char67"/>
    <w:basedOn w:val="1"/>
    <w:qFormat/>
    <w:uiPriority w:val="0"/>
    <w:pPr>
      <w:spacing w:line="240" w:lineRule="auto"/>
      <w:ind w:firstLine="0" w:firstLineChars="0"/>
    </w:pPr>
  </w:style>
  <w:style w:type="paragraph" w:customStyle="1" w:styleId="420">
    <w:name w:val="xl31"/>
    <w:basedOn w:val="1"/>
    <w:qFormat/>
    <w:uiPriority w:val="0"/>
    <w:pPr>
      <w:widowControl/>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421">
    <w:name w:val="报告表正文"/>
    <w:basedOn w:val="1"/>
    <w:qFormat/>
    <w:uiPriority w:val="0"/>
    <w:pPr>
      <w:adjustRightInd w:val="0"/>
      <w:spacing w:line="312" w:lineRule="auto"/>
      <w:ind w:left="113" w:right="113" w:firstLine="482" w:firstLineChars="0"/>
      <w:jc w:val="left"/>
      <w:textAlignment w:val="baseline"/>
    </w:pPr>
    <w:rPr>
      <w:kern w:val="0"/>
      <w:szCs w:val="20"/>
    </w:rPr>
  </w:style>
  <w:style w:type="paragraph" w:customStyle="1" w:styleId="422">
    <w:name w:val="Char Char Char Char Char Char1 Char"/>
    <w:basedOn w:val="1"/>
    <w:qFormat/>
    <w:uiPriority w:val="0"/>
    <w:pPr>
      <w:ind w:firstLine="0" w:firstLineChars="0"/>
    </w:pPr>
  </w:style>
  <w:style w:type="paragraph" w:customStyle="1" w:styleId="423">
    <w:name w:val="默认段落字体 Para Char"/>
    <w:basedOn w:val="1"/>
    <w:qFormat/>
    <w:uiPriority w:val="0"/>
    <w:pPr>
      <w:spacing w:line="240" w:lineRule="auto"/>
      <w:ind w:firstLine="0" w:firstLineChars="0"/>
    </w:pPr>
    <w:rPr>
      <w:rFonts w:ascii="宋体"/>
      <w:sz w:val="28"/>
    </w:rPr>
  </w:style>
  <w:style w:type="paragraph" w:customStyle="1" w:styleId="424">
    <w:name w:val="我的正文"/>
    <w:qFormat/>
    <w:uiPriority w:val="0"/>
    <w:pPr>
      <w:spacing w:line="360" w:lineRule="auto"/>
      <w:jc w:val="both"/>
    </w:pPr>
    <w:rPr>
      <w:rFonts w:ascii="Times New Roman" w:hAnsi="Times New Roman" w:eastAsia="宋体" w:cs="Times New Roman"/>
      <w:kern w:val="2"/>
      <w:sz w:val="24"/>
      <w:szCs w:val="24"/>
      <w:lang w:val="en-US" w:eastAsia="zh-CN" w:bidi="ar-SA"/>
    </w:rPr>
  </w:style>
  <w:style w:type="paragraph" w:customStyle="1" w:styleId="425">
    <w:name w:val="Char Char611"/>
    <w:basedOn w:val="1"/>
    <w:qFormat/>
    <w:uiPriority w:val="0"/>
    <w:pPr>
      <w:spacing w:line="240" w:lineRule="auto"/>
      <w:ind w:firstLine="0" w:firstLineChars="0"/>
    </w:pPr>
  </w:style>
  <w:style w:type="paragraph" w:customStyle="1" w:styleId="426">
    <w:name w:val="Char Char Char Char Char Char Char Char Char Char"/>
    <w:basedOn w:val="1"/>
    <w:qFormat/>
    <w:uiPriority w:val="0"/>
    <w:pPr>
      <w:adjustRightInd w:val="0"/>
      <w:ind w:firstLine="0" w:firstLineChars="0"/>
    </w:pPr>
    <w:rPr>
      <w:kern w:val="0"/>
      <w:szCs w:val="20"/>
    </w:rPr>
  </w:style>
  <w:style w:type="paragraph" w:customStyle="1" w:styleId="427">
    <w:name w:val="一级条标题"/>
    <w:basedOn w:val="1"/>
    <w:next w:val="1"/>
    <w:qFormat/>
    <w:uiPriority w:val="0"/>
    <w:pPr>
      <w:widowControl/>
      <w:tabs>
        <w:tab w:val="left" w:pos="360"/>
        <w:tab w:val="left" w:pos="1260"/>
      </w:tabs>
      <w:spacing w:line="240" w:lineRule="auto"/>
      <w:ind w:left="1260" w:hanging="420" w:firstLineChars="0"/>
      <w:outlineLvl w:val="2"/>
    </w:pPr>
    <w:rPr>
      <w:rFonts w:ascii="黑体" w:eastAsia="黑体"/>
      <w:kern w:val="0"/>
      <w:sz w:val="21"/>
      <w:szCs w:val="20"/>
    </w:rPr>
  </w:style>
  <w:style w:type="paragraph" w:customStyle="1" w:styleId="428">
    <w:name w:val="样式 表格 + 宋体 五号"/>
    <w:basedOn w:val="259"/>
    <w:qFormat/>
    <w:uiPriority w:val="0"/>
    <w:pPr>
      <w:keepNext/>
      <w:textAlignment w:val="baseline"/>
    </w:pPr>
    <w:rPr>
      <w:rFonts w:ascii="宋体" w:hAnsi="宋体" w:eastAsia="宋体"/>
      <w:lang w:val="sq-AL"/>
    </w:rPr>
  </w:style>
  <w:style w:type="paragraph" w:customStyle="1" w:styleId="429">
    <w:name w:val="样式3"/>
    <w:basedOn w:val="1"/>
    <w:qFormat/>
    <w:uiPriority w:val="0"/>
    <w:pPr>
      <w:ind w:firstLine="480"/>
    </w:pPr>
    <w:rPr>
      <w:rFonts w:ascii="黑体" w:eastAsia="黑体"/>
    </w:rPr>
  </w:style>
  <w:style w:type="paragraph" w:customStyle="1" w:styleId="430">
    <w:name w:val="二级无标题条"/>
    <w:basedOn w:val="1"/>
    <w:semiHidden/>
    <w:qFormat/>
    <w:uiPriority w:val="0"/>
    <w:pPr>
      <w:spacing w:line="240" w:lineRule="auto"/>
      <w:ind w:firstLine="0" w:firstLineChars="0"/>
    </w:pPr>
    <w:rPr>
      <w:sz w:val="21"/>
    </w:rPr>
  </w:style>
  <w:style w:type="paragraph" w:customStyle="1" w:styleId="431">
    <w:name w:val="样式 正文首行缩进:  2 字符 + 首行缩进:  2 字符"/>
    <w:basedOn w:val="1"/>
    <w:qFormat/>
    <w:uiPriority w:val="0"/>
    <w:pPr>
      <w:ind w:firstLine="480"/>
    </w:pPr>
    <w:rPr>
      <w:rFonts w:cs="宋体"/>
      <w:szCs w:val="20"/>
    </w:rPr>
  </w:style>
  <w:style w:type="table" w:customStyle="1" w:styleId="432">
    <w:name w:val="(环评报告表）1"/>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3">
    <w:name w:val="网格型1"/>
    <w:basedOn w:val="80"/>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4">
    <w:name w:val="标题1111"/>
    <w:basedOn w:val="288"/>
    <w:link w:val="435"/>
    <w:qFormat/>
    <w:uiPriority w:val="0"/>
    <w:pPr>
      <w:spacing w:before="163" w:after="326"/>
    </w:pPr>
    <w:rPr>
      <w:b w:val="0"/>
      <w:color w:val="0000FF"/>
    </w:rPr>
  </w:style>
  <w:style w:type="character" w:customStyle="1" w:styleId="435">
    <w:name w:val="标题1111 Char"/>
    <w:link w:val="434"/>
    <w:qFormat/>
    <w:uiPriority w:val="0"/>
    <w:rPr>
      <w:rFonts w:eastAsia="黑体"/>
      <w:bCs/>
      <w:color w:val="0000FF"/>
      <w:kern w:val="32"/>
      <w:sz w:val="32"/>
      <w:szCs w:val="44"/>
    </w:rPr>
  </w:style>
  <w:style w:type="paragraph" w:customStyle="1" w:styleId="436">
    <w:name w:val="标题111"/>
    <w:basedOn w:val="434"/>
    <w:link w:val="437"/>
    <w:qFormat/>
    <w:uiPriority w:val="0"/>
    <w:pPr>
      <w:numPr>
        <w:ilvl w:val="0"/>
        <w:numId w:val="0"/>
      </w:numPr>
      <w:adjustRightInd w:val="0"/>
      <w:snapToGrid w:val="0"/>
      <w:spacing w:before="0" w:beforeLines="0" w:after="0" w:afterLines="0"/>
      <w:jc w:val="left"/>
    </w:pPr>
  </w:style>
  <w:style w:type="character" w:customStyle="1" w:styleId="437">
    <w:name w:val="标题111 Char"/>
    <w:link w:val="436"/>
    <w:qFormat/>
    <w:uiPriority w:val="0"/>
  </w:style>
  <w:style w:type="paragraph" w:customStyle="1" w:styleId="438">
    <w:name w:val="标题222"/>
    <w:basedOn w:val="249"/>
    <w:link w:val="439"/>
    <w:qFormat/>
    <w:uiPriority w:val="0"/>
    <w:pPr>
      <w:numPr>
        <w:ilvl w:val="0"/>
        <w:numId w:val="0"/>
      </w:numPr>
      <w:adjustRightInd w:val="0"/>
      <w:snapToGrid w:val="0"/>
      <w:spacing w:before="0" w:beforeLines="0" w:after="0" w:afterLines="0"/>
    </w:pPr>
    <w:rPr>
      <w:b w:val="0"/>
      <w:sz w:val="30"/>
      <w:szCs w:val="30"/>
    </w:rPr>
  </w:style>
  <w:style w:type="character" w:customStyle="1" w:styleId="439">
    <w:name w:val="标题222 Char"/>
    <w:link w:val="438"/>
    <w:qFormat/>
    <w:uiPriority w:val="0"/>
    <w:rPr>
      <w:rFonts w:eastAsia="黑体"/>
      <w:kern w:val="2"/>
      <w:sz w:val="30"/>
      <w:szCs w:val="30"/>
    </w:rPr>
  </w:style>
  <w:style w:type="character" w:customStyle="1" w:styleId="440">
    <w:name w:val="111正文格式111 Char"/>
    <w:link w:val="441"/>
    <w:qFormat/>
    <w:uiPriority w:val="0"/>
    <w:rPr>
      <w:bCs/>
      <w:kern w:val="2"/>
      <w:sz w:val="24"/>
      <w:szCs w:val="24"/>
    </w:rPr>
  </w:style>
  <w:style w:type="paragraph" w:customStyle="1" w:styleId="441">
    <w:name w:val="111正文格式111"/>
    <w:basedOn w:val="1"/>
    <w:link w:val="440"/>
    <w:qFormat/>
    <w:uiPriority w:val="0"/>
    <w:pPr>
      <w:adjustRightInd w:val="0"/>
      <w:snapToGrid w:val="0"/>
    </w:pPr>
    <w:rPr>
      <w:bCs/>
    </w:rPr>
  </w:style>
  <w:style w:type="paragraph" w:customStyle="1" w:styleId="442">
    <w:name w:val="表头111"/>
    <w:basedOn w:val="251"/>
    <w:link w:val="443"/>
    <w:qFormat/>
    <w:uiPriority w:val="0"/>
    <w:pPr>
      <w:adjustRightInd w:val="0"/>
      <w:snapToGrid w:val="0"/>
      <w:spacing w:before="0" w:beforeLines="0" w:line="240" w:lineRule="auto"/>
    </w:pPr>
    <w:rPr>
      <w:rFonts w:eastAsia="黑体"/>
      <w:b w:val="0"/>
    </w:rPr>
  </w:style>
  <w:style w:type="character" w:customStyle="1" w:styleId="443">
    <w:name w:val="表头111 Char"/>
    <w:link w:val="442"/>
    <w:qFormat/>
    <w:uiPriority w:val="0"/>
    <w:rPr>
      <w:rFonts w:eastAsia="黑体"/>
      <w:kern w:val="2"/>
      <w:sz w:val="24"/>
      <w:szCs w:val="28"/>
    </w:rPr>
  </w:style>
  <w:style w:type="paragraph" w:customStyle="1" w:styleId="444">
    <w:name w:val="标题333"/>
    <w:basedOn w:val="249"/>
    <w:link w:val="445"/>
    <w:qFormat/>
    <w:uiPriority w:val="0"/>
    <w:pPr>
      <w:numPr>
        <w:ilvl w:val="0"/>
        <w:numId w:val="0"/>
      </w:numPr>
      <w:adjustRightInd w:val="0"/>
      <w:snapToGrid w:val="0"/>
      <w:spacing w:before="0" w:beforeLines="0" w:after="0" w:afterLines="0"/>
      <w:outlineLvl w:val="2"/>
    </w:pPr>
    <w:rPr>
      <w:b w:val="0"/>
    </w:rPr>
  </w:style>
  <w:style w:type="character" w:customStyle="1" w:styleId="445">
    <w:name w:val="标题333 Char"/>
    <w:link w:val="444"/>
    <w:qFormat/>
    <w:uiPriority w:val="0"/>
    <w:rPr>
      <w:rFonts w:eastAsia="黑体"/>
      <w:kern w:val="2"/>
      <w:sz w:val="28"/>
      <w:szCs w:val="28"/>
    </w:rPr>
  </w:style>
  <w:style w:type="paragraph" w:customStyle="1" w:styleId="446">
    <w:name w:val="样式 首行缩进:  2 字符1"/>
    <w:basedOn w:val="1"/>
    <w:link w:val="447"/>
    <w:qFormat/>
    <w:uiPriority w:val="0"/>
    <w:pPr>
      <w:spacing w:line="500" w:lineRule="exact"/>
    </w:pPr>
    <w:rPr>
      <w:rFonts w:eastAsia="楷体_GB2312"/>
    </w:rPr>
  </w:style>
  <w:style w:type="character" w:customStyle="1" w:styleId="447">
    <w:name w:val="样式 首行缩进:  2 字符1 Char Char"/>
    <w:link w:val="446"/>
    <w:qFormat/>
    <w:uiPriority w:val="0"/>
    <w:rPr>
      <w:rFonts w:eastAsia="楷体_GB2312"/>
      <w:kern w:val="2"/>
      <w:sz w:val="24"/>
      <w:szCs w:val="24"/>
    </w:rPr>
  </w:style>
  <w:style w:type="paragraph" w:customStyle="1" w:styleId="448">
    <w:name w:val="111表格的格式"/>
    <w:basedOn w:val="321"/>
    <w:link w:val="449"/>
    <w:qFormat/>
    <w:uiPriority w:val="0"/>
  </w:style>
  <w:style w:type="character" w:customStyle="1" w:styleId="449">
    <w:name w:val="111表格的格式 Char"/>
    <w:link w:val="448"/>
    <w:qFormat/>
    <w:uiPriority w:val="0"/>
  </w:style>
  <w:style w:type="paragraph" w:customStyle="1" w:styleId="450">
    <w:name w:val="正文的格式"/>
    <w:basedOn w:val="1"/>
    <w:link w:val="451"/>
    <w:qFormat/>
    <w:uiPriority w:val="0"/>
    <w:pPr>
      <w:ind w:firstLine="480"/>
    </w:pPr>
  </w:style>
  <w:style w:type="character" w:customStyle="1" w:styleId="451">
    <w:name w:val="正文的格式 Char"/>
    <w:link w:val="450"/>
    <w:qFormat/>
    <w:uiPriority w:val="0"/>
    <w:rPr>
      <w:kern w:val="2"/>
      <w:sz w:val="24"/>
      <w:szCs w:val="24"/>
    </w:rPr>
  </w:style>
  <w:style w:type="paragraph" w:customStyle="1" w:styleId="452">
    <w:name w:val="标题444"/>
    <w:basedOn w:val="217"/>
    <w:link w:val="453"/>
    <w:qFormat/>
    <w:uiPriority w:val="0"/>
    <w:pPr>
      <w:adjustRightInd w:val="0"/>
      <w:snapToGrid w:val="0"/>
      <w:ind w:firstLine="0" w:firstLineChars="0"/>
      <w:outlineLvl w:val="3"/>
    </w:pPr>
    <w:rPr>
      <w:rFonts w:eastAsia="黑体"/>
    </w:rPr>
  </w:style>
  <w:style w:type="character" w:customStyle="1" w:styleId="453">
    <w:name w:val="标题444 Char"/>
    <w:link w:val="452"/>
    <w:qFormat/>
    <w:uiPriority w:val="0"/>
    <w:rPr>
      <w:rFonts w:eastAsia="黑体"/>
      <w:color w:val="000000"/>
      <w:kern w:val="2"/>
      <w:sz w:val="24"/>
      <w:szCs w:val="24"/>
    </w:rPr>
  </w:style>
  <w:style w:type="paragraph" w:customStyle="1" w:styleId="454">
    <w:name w:val="啊啊表格内容"/>
    <w:basedOn w:val="4"/>
    <w:qFormat/>
    <w:uiPriority w:val="0"/>
    <w:pPr>
      <w:keepNext w:val="0"/>
      <w:keepLines w:val="0"/>
      <w:widowControl w:val="0"/>
      <w:numPr>
        <w:ilvl w:val="0"/>
        <w:numId w:val="0"/>
      </w:numPr>
      <w:tabs>
        <w:tab w:val="clear" w:pos="720"/>
        <w:tab w:val="clear" w:pos="816"/>
      </w:tabs>
      <w:spacing w:before="0" w:beforeLines="0" w:after="0" w:afterLines="0" w:line="340" w:lineRule="exact"/>
      <w:jc w:val="center"/>
      <w:outlineLvl w:val="9"/>
    </w:pPr>
    <w:rPr>
      <w:rFonts w:ascii="Calibri" w:hAnsi="Calibri"/>
      <w:b w:val="0"/>
      <w:bCs w:val="0"/>
      <w:sz w:val="21"/>
    </w:rPr>
  </w:style>
  <w:style w:type="character" w:customStyle="1" w:styleId="455">
    <w:name w:val="表表表表 Char"/>
    <w:link w:val="456"/>
    <w:qFormat/>
    <w:uiPriority w:val="0"/>
    <w:rPr>
      <w:rFonts w:eastAsia="方正楷体简体"/>
      <w:kern w:val="2"/>
      <w:sz w:val="21"/>
      <w:szCs w:val="21"/>
    </w:rPr>
  </w:style>
  <w:style w:type="paragraph" w:customStyle="1" w:styleId="456">
    <w:name w:val="表表表表"/>
    <w:basedOn w:val="308"/>
    <w:link w:val="455"/>
    <w:qFormat/>
    <w:uiPriority w:val="0"/>
    <w:pPr>
      <w:adjustRightInd/>
      <w:snapToGrid/>
    </w:pPr>
    <w:rPr>
      <w:rFonts w:ascii="Times New Roman" w:hAnsi="Times New Roman" w:eastAsia="方正楷体简体"/>
      <w:kern w:val="2"/>
      <w:sz w:val="21"/>
      <w:szCs w:val="21"/>
    </w:rPr>
  </w:style>
  <w:style w:type="paragraph" w:customStyle="1" w:styleId="457">
    <w:name w:val="11111表土"/>
    <w:basedOn w:val="1"/>
    <w:link w:val="458"/>
    <w:qFormat/>
    <w:uiPriority w:val="0"/>
    <w:pPr>
      <w:widowControl/>
      <w:adjustRightInd w:val="0"/>
      <w:snapToGrid w:val="0"/>
      <w:spacing w:line="240" w:lineRule="auto"/>
      <w:ind w:firstLine="0" w:firstLineChars="0"/>
      <w:jc w:val="center"/>
    </w:pPr>
    <w:rPr>
      <w:rFonts w:eastAsia="黑体"/>
      <w:kern w:val="0"/>
    </w:rPr>
  </w:style>
  <w:style w:type="character" w:customStyle="1" w:styleId="458">
    <w:name w:val="11111表土 Char"/>
    <w:link w:val="457"/>
    <w:qFormat/>
    <w:uiPriority w:val="0"/>
    <w:rPr>
      <w:rFonts w:eastAsia="黑体"/>
      <w:sz w:val="24"/>
      <w:szCs w:val="24"/>
    </w:rPr>
  </w:style>
  <w:style w:type="character" w:customStyle="1" w:styleId="459">
    <w:name w:val="样式12君邦正文 Char"/>
    <w:link w:val="460"/>
    <w:qFormat/>
    <w:uiPriority w:val="0"/>
    <w:rPr>
      <w:bCs/>
      <w:snapToGrid/>
      <w:sz w:val="24"/>
      <w:szCs w:val="24"/>
    </w:rPr>
  </w:style>
  <w:style w:type="paragraph" w:customStyle="1" w:styleId="460">
    <w:name w:val="样式12君邦正文"/>
    <w:basedOn w:val="1"/>
    <w:link w:val="459"/>
    <w:qFormat/>
    <w:uiPriority w:val="0"/>
    <w:pPr>
      <w:widowControl/>
      <w:spacing w:after="60"/>
      <w:ind w:firstLine="480"/>
    </w:pPr>
    <w:rPr>
      <w:bCs/>
      <w:snapToGrid w:val="0"/>
      <w:kern w:val="0"/>
    </w:rPr>
  </w:style>
  <w:style w:type="character" w:customStyle="1" w:styleId="461">
    <w:name w:val="Char Char7"/>
    <w:qFormat/>
    <w:uiPriority w:val="0"/>
    <w:rPr>
      <w:rFonts w:eastAsia="宋体"/>
      <w:kern w:val="2"/>
      <w:sz w:val="21"/>
      <w:szCs w:val="24"/>
      <w:lang w:val="en-US" w:eastAsia="zh-CN" w:bidi="ar-SA"/>
    </w:rPr>
  </w:style>
  <w:style w:type="character" w:customStyle="1" w:styleId="462">
    <w:name w:val="表头 ylp Char Char"/>
    <w:link w:val="463"/>
    <w:qFormat/>
    <w:uiPriority w:val="0"/>
    <w:rPr>
      <w:rFonts w:eastAsia="黑体"/>
      <w:color w:val="0000FF"/>
      <w:kern w:val="2"/>
      <w:sz w:val="24"/>
      <w:szCs w:val="24"/>
      <w:lang w:bidi="he-IL"/>
    </w:rPr>
  </w:style>
  <w:style w:type="paragraph" w:customStyle="1" w:styleId="463">
    <w:name w:val="表头 ylp"/>
    <w:basedOn w:val="1"/>
    <w:link w:val="462"/>
    <w:qFormat/>
    <w:uiPriority w:val="0"/>
    <w:pPr>
      <w:adjustRightInd w:val="0"/>
      <w:snapToGrid w:val="0"/>
      <w:spacing w:before="50" w:beforeLines="50" w:line="240" w:lineRule="auto"/>
      <w:ind w:firstLine="0" w:firstLineChars="0"/>
      <w:jc w:val="center"/>
    </w:pPr>
    <w:rPr>
      <w:rFonts w:eastAsia="黑体"/>
      <w:color w:val="0000FF"/>
      <w:lang w:bidi="he-IL"/>
    </w:rPr>
  </w:style>
  <w:style w:type="character" w:customStyle="1" w:styleId="464">
    <w:name w:val="文本样式 Char"/>
    <w:link w:val="465"/>
    <w:qFormat/>
    <w:uiPriority w:val="0"/>
    <w:rPr>
      <w:rFonts w:cs="宋体"/>
      <w:kern w:val="2"/>
      <w:sz w:val="24"/>
    </w:rPr>
  </w:style>
  <w:style w:type="paragraph" w:customStyle="1" w:styleId="465">
    <w:name w:val="文本样式"/>
    <w:basedOn w:val="1"/>
    <w:link w:val="464"/>
    <w:qFormat/>
    <w:uiPriority w:val="0"/>
    <w:rPr>
      <w:szCs w:val="20"/>
    </w:rPr>
  </w:style>
  <w:style w:type="character" w:customStyle="1" w:styleId="466">
    <w:name w:val="表哥的格式 Char"/>
    <w:link w:val="467"/>
    <w:qFormat/>
    <w:uiPriority w:val="0"/>
    <w:rPr>
      <w:sz w:val="21"/>
      <w:szCs w:val="21"/>
    </w:rPr>
  </w:style>
  <w:style w:type="paragraph" w:customStyle="1" w:styleId="467">
    <w:name w:val="表哥的格式"/>
    <w:basedOn w:val="1"/>
    <w:link w:val="466"/>
    <w:qFormat/>
    <w:uiPriority w:val="0"/>
    <w:pPr>
      <w:autoSpaceDE w:val="0"/>
      <w:autoSpaceDN w:val="0"/>
      <w:adjustRightInd w:val="0"/>
      <w:snapToGrid w:val="0"/>
      <w:spacing w:line="240" w:lineRule="auto"/>
      <w:ind w:firstLine="0" w:firstLineChars="0"/>
      <w:jc w:val="center"/>
    </w:pPr>
    <w:rPr>
      <w:kern w:val="0"/>
      <w:sz w:val="21"/>
      <w:szCs w:val="21"/>
    </w:rPr>
  </w:style>
  <w:style w:type="paragraph" w:customStyle="1" w:styleId="468">
    <w:name w:val="Plain Text2"/>
    <w:basedOn w:val="1"/>
    <w:qFormat/>
    <w:uiPriority w:val="0"/>
    <w:pPr>
      <w:numPr>
        <w:ilvl w:val="0"/>
        <w:numId w:val="6"/>
      </w:numPr>
      <w:autoSpaceDE w:val="0"/>
      <w:autoSpaceDN w:val="0"/>
      <w:adjustRightInd w:val="0"/>
      <w:spacing w:line="240" w:lineRule="auto"/>
      <w:ind w:firstLineChars="0"/>
      <w:textAlignment w:val="baseline"/>
    </w:pPr>
    <w:rPr>
      <w:rFonts w:ascii="宋体" w:hAnsi="Tms Rmn"/>
      <w:kern w:val="0"/>
      <w:sz w:val="21"/>
      <w:szCs w:val="20"/>
    </w:rPr>
  </w:style>
  <w:style w:type="paragraph" w:customStyle="1" w:styleId="469">
    <w:name w:val="正文的格式52"/>
    <w:basedOn w:val="1"/>
    <w:link w:val="470"/>
    <w:qFormat/>
    <w:uiPriority w:val="0"/>
    <w:rPr>
      <w:szCs w:val="20"/>
    </w:rPr>
  </w:style>
  <w:style w:type="character" w:customStyle="1" w:styleId="470">
    <w:name w:val="正文的格式52 Char"/>
    <w:link w:val="469"/>
    <w:qFormat/>
    <w:uiPriority w:val="0"/>
    <w:rPr>
      <w:kern w:val="2"/>
      <w:sz w:val="24"/>
    </w:rPr>
  </w:style>
  <w:style w:type="paragraph" w:customStyle="1" w:styleId="471">
    <w:name w:val="6表格"/>
    <w:link w:val="472"/>
    <w:qFormat/>
    <w:uiPriority w:val="0"/>
    <w:pPr>
      <w:widowControl w:val="0"/>
      <w:jc w:val="center"/>
    </w:pPr>
    <w:rPr>
      <w:rFonts w:ascii="Times New Roman" w:hAnsi="Times New Roman" w:eastAsia="宋体" w:cs="Times New Roman"/>
      <w:color w:val="FF0000"/>
      <w:sz w:val="21"/>
      <w:szCs w:val="18"/>
      <w:lang w:val="en-US" w:eastAsia="zh-CN" w:bidi="ar-SA"/>
    </w:rPr>
  </w:style>
  <w:style w:type="character" w:customStyle="1" w:styleId="472">
    <w:name w:val="6表格 Char"/>
    <w:link w:val="471"/>
    <w:qFormat/>
    <w:uiPriority w:val="0"/>
    <w:rPr>
      <w:color w:val="FF0000"/>
      <w:sz w:val="21"/>
      <w:szCs w:val="18"/>
      <w:lang w:bidi="ar-SA"/>
    </w:rPr>
  </w:style>
  <w:style w:type="paragraph" w:customStyle="1" w:styleId="473">
    <w:name w:val="君邦正文"/>
    <w:link w:val="474"/>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474">
    <w:name w:val="君邦正文 Char2"/>
    <w:link w:val="473"/>
    <w:qFormat/>
    <w:uiPriority w:val="0"/>
    <w:rPr>
      <w:bCs/>
      <w:snapToGrid w:val="0"/>
      <w:sz w:val="24"/>
      <w:lang w:bidi="ar-SA"/>
    </w:rPr>
  </w:style>
  <w:style w:type="paragraph" w:customStyle="1" w:styleId="475">
    <w:name w:val="宋体四号"/>
    <w:qFormat/>
    <w:uiPriority w:val="0"/>
    <w:pPr>
      <w:widowControl w:val="0"/>
      <w:adjustRightInd w:val="0"/>
      <w:snapToGrid w:val="0"/>
      <w:spacing w:line="360" w:lineRule="auto"/>
      <w:ind w:firstLine="480" w:firstLineChars="200"/>
      <w:jc w:val="both"/>
    </w:pPr>
    <w:rPr>
      <w:rFonts w:ascii="Times New Roman" w:hAnsi="Times New Roman" w:eastAsia="宋体" w:cs="Times New Roman"/>
      <w:sz w:val="24"/>
      <w:szCs w:val="28"/>
      <w:lang w:val="en-US" w:eastAsia="zh-CN" w:bidi="ar-SA"/>
    </w:rPr>
  </w:style>
  <w:style w:type="paragraph" w:customStyle="1" w:styleId="476">
    <w:name w:val="6表(图)头"/>
    <w:next w:val="1"/>
    <w:link w:val="477"/>
    <w:qFormat/>
    <w:uiPriority w:val="0"/>
    <w:pPr>
      <w:widowControl w:val="0"/>
      <w:jc w:val="center"/>
    </w:pPr>
    <w:rPr>
      <w:rFonts w:ascii="Times New Roman" w:hAnsi="Times New Roman" w:eastAsia="宋体" w:cs="Times New Roman"/>
      <w:b/>
      <w:sz w:val="24"/>
      <w:szCs w:val="28"/>
      <w:lang w:val="en-US" w:eastAsia="zh-CN" w:bidi="ar-SA"/>
    </w:rPr>
  </w:style>
  <w:style w:type="character" w:customStyle="1" w:styleId="477">
    <w:name w:val="6表(图)头 Char"/>
    <w:link w:val="476"/>
    <w:qFormat/>
    <w:uiPriority w:val="0"/>
    <w:rPr>
      <w:b/>
      <w:sz w:val="24"/>
      <w:szCs w:val="28"/>
      <w:lang w:bidi="ar-SA"/>
    </w:rPr>
  </w:style>
  <w:style w:type="character" w:customStyle="1" w:styleId="478">
    <w:name w:val="标题 1 Char1"/>
    <w:qFormat/>
    <w:uiPriority w:val="0"/>
    <w:rPr>
      <w:rFonts w:eastAsia="宋体"/>
      <w:b/>
      <w:kern w:val="44"/>
      <w:sz w:val="32"/>
      <w:lang w:val="en-US" w:eastAsia="zh-CN" w:bidi="ar-SA"/>
    </w:rPr>
  </w:style>
  <w:style w:type="character" w:customStyle="1" w:styleId="479">
    <w:name w:val="标题 9 Char1"/>
    <w:qFormat/>
    <w:uiPriority w:val="0"/>
    <w:rPr>
      <w:rFonts w:ascii="Arial" w:hAnsi="Arial" w:eastAsia="黑体"/>
      <w:sz w:val="24"/>
    </w:rPr>
  </w:style>
  <w:style w:type="character" w:customStyle="1" w:styleId="480">
    <w:name w:val="ttl1"/>
    <w:qFormat/>
    <w:uiPriority w:val="0"/>
  </w:style>
  <w:style w:type="character" w:customStyle="1" w:styleId="481">
    <w:name w:val="Plain Text Char"/>
    <w:qFormat/>
    <w:uiPriority w:val="0"/>
    <w:rPr>
      <w:rFonts w:ascii="宋体" w:hAnsi="Courier New" w:eastAsia="宋体"/>
      <w:kern w:val="2"/>
      <w:sz w:val="21"/>
      <w:lang w:val="en-US" w:eastAsia="zh-CN" w:bidi="ar-SA"/>
    </w:rPr>
  </w:style>
  <w:style w:type="character" w:customStyle="1" w:styleId="482">
    <w:name w:val="xxxxxx"/>
    <w:qFormat/>
    <w:uiPriority w:val="0"/>
    <w:rPr>
      <w:rFonts w:eastAsia="黑体"/>
      <w:kern w:val="2"/>
      <w:sz w:val="30"/>
      <w:szCs w:val="30"/>
      <w:lang w:val="en-US" w:eastAsia="zh-CN" w:bidi="ar-SA"/>
    </w:rPr>
  </w:style>
  <w:style w:type="character" w:customStyle="1" w:styleId="483">
    <w:name w:val="hb1 Char"/>
    <w:link w:val="484"/>
    <w:qFormat/>
    <w:uiPriority w:val="0"/>
    <w:rPr>
      <w:rFonts w:ascii="宋体" w:hAnsi="宋体"/>
      <w:color w:val="000000"/>
      <w:kern w:val="2"/>
      <w:sz w:val="24"/>
    </w:rPr>
  </w:style>
  <w:style w:type="paragraph" w:customStyle="1" w:styleId="484">
    <w:name w:val="hb1"/>
    <w:basedOn w:val="31"/>
    <w:link w:val="483"/>
    <w:qFormat/>
    <w:uiPriority w:val="0"/>
    <w:pPr>
      <w:spacing w:after="0" w:line="460" w:lineRule="exact"/>
      <w:ind w:firstLine="482" w:firstLineChars="0"/>
    </w:pPr>
    <w:rPr>
      <w:rFonts w:ascii="宋体" w:hAnsi="宋体"/>
      <w:color w:val="000000"/>
      <w:szCs w:val="20"/>
    </w:rPr>
  </w:style>
  <w:style w:type="character" w:customStyle="1" w:styleId="485">
    <w:name w:val="postbody1"/>
    <w:qFormat/>
    <w:uiPriority w:val="0"/>
    <w:rPr>
      <w:sz w:val="21"/>
      <w:szCs w:val="21"/>
    </w:rPr>
  </w:style>
  <w:style w:type="character" w:customStyle="1" w:styleId="486">
    <w:name w:val="zhou11"/>
    <w:semiHidden/>
    <w:qFormat/>
    <w:uiPriority w:val="0"/>
    <w:rPr>
      <w:color w:val="000000"/>
      <w:sz w:val="21"/>
      <w:szCs w:val="21"/>
    </w:rPr>
  </w:style>
  <w:style w:type="character" w:customStyle="1" w:styleId="487">
    <w:name w:val="headline-content2"/>
    <w:qFormat/>
    <w:uiPriority w:val="0"/>
  </w:style>
  <w:style w:type="character" w:customStyle="1" w:styleId="488">
    <w:name w:val="废物方框 Char"/>
    <w:link w:val="489"/>
    <w:qFormat/>
    <w:uiPriority w:val="0"/>
    <w:rPr>
      <w:rFonts w:ascii="宋体"/>
      <w:snapToGrid/>
      <w:spacing w:val="4"/>
      <w:kern w:val="2"/>
      <w:sz w:val="18"/>
      <w:szCs w:val="18"/>
    </w:rPr>
  </w:style>
  <w:style w:type="paragraph" w:customStyle="1" w:styleId="489">
    <w:name w:val="废物方框"/>
    <w:basedOn w:val="142"/>
    <w:link w:val="488"/>
    <w:qFormat/>
    <w:uiPriority w:val="0"/>
    <w:pPr>
      <w:widowControl w:val="0"/>
      <w:tabs>
        <w:tab w:val="left" w:pos="432"/>
      </w:tabs>
      <w:adjustRightInd w:val="0"/>
      <w:snapToGrid w:val="0"/>
      <w:spacing w:after="60"/>
      <w:textAlignment w:val="baseline"/>
    </w:pPr>
    <w:rPr>
      <w:rFonts w:ascii="宋体" w:eastAsia="宋体"/>
      <w:snapToGrid w:val="0"/>
      <w:spacing w:val="4"/>
      <w:kern w:val="2"/>
      <w:sz w:val="18"/>
      <w:szCs w:val="18"/>
    </w:rPr>
  </w:style>
  <w:style w:type="character" w:customStyle="1" w:styleId="490">
    <w:name w:val="smll"/>
    <w:qFormat/>
    <w:uiPriority w:val="0"/>
  </w:style>
  <w:style w:type="character" w:customStyle="1" w:styleId="491">
    <w:name w:val="附录图标题 Char"/>
    <w:link w:val="492"/>
    <w:qFormat/>
    <w:uiPriority w:val="0"/>
    <w:rPr>
      <w:rFonts w:ascii="黑体" w:eastAsia="黑体"/>
      <w:sz w:val="21"/>
      <w:lang w:val="en-US" w:eastAsia="zh-CN" w:bidi="ar-SA"/>
    </w:rPr>
  </w:style>
  <w:style w:type="paragraph" w:customStyle="1" w:styleId="492">
    <w:name w:val="附录图标题"/>
    <w:next w:val="5"/>
    <w:link w:val="491"/>
    <w:qFormat/>
    <w:uiPriority w:val="0"/>
    <w:pPr>
      <w:tabs>
        <w:tab w:val="left" w:pos="360"/>
      </w:tabs>
      <w:jc w:val="center"/>
    </w:pPr>
    <w:rPr>
      <w:rFonts w:ascii="黑体" w:hAnsi="Times New Roman" w:eastAsia="黑体" w:cs="Times New Roman"/>
      <w:sz w:val="21"/>
      <w:lang w:val="en-US" w:eastAsia="zh-CN" w:bidi="ar-SA"/>
    </w:rPr>
  </w:style>
  <w:style w:type="character" w:customStyle="1" w:styleId="493">
    <w:name w:val="列表1 C"/>
    <w:qFormat/>
    <w:uiPriority w:val="0"/>
    <w:rPr>
      <w:rFonts w:eastAsia="黑体"/>
      <w:kern w:val="2"/>
      <w:sz w:val="22"/>
      <w:szCs w:val="22"/>
      <w:lang w:val="en-US" w:eastAsia="zh-CN" w:bidi="ar-SA"/>
    </w:rPr>
  </w:style>
  <w:style w:type="character" w:customStyle="1" w:styleId="494">
    <w:name w:val="hangju"/>
    <w:qFormat/>
    <w:uiPriority w:val="0"/>
  </w:style>
  <w:style w:type="character" w:customStyle="1" w:styleId="495">
    <w:name w:val="样式 表头样式1 + 非加粗 Char"/>
    <w:link w:val="496"/>
    <w:qFormat/>
    <w:uiPriority w:val="0"/>
  </w:style>
  <w:style w:type="paragraph" w:customStyle="1" w:styleId="496">
    <w:name w:val="样式 表头样式1 + 非加粗"/>
    <w:basedOn w:val="341"/>
    <w:link w:val="495"/>
    <w:qFormat/>
    <w:uiPriority w:val="0"/>
    <w:pPr>
      <w:spacing w:before="120" w:beforeLines="50" w:after="0" w:line="240" w:lineRule="auto"/>
    </w:pPr>
  </w:style>
  <w:style w:type="character" w:customStyle="1" w:styleId="497">
    <w:name w:val="unnamed11"/>
    <w:qFormat/>
    <w:uiPriority w:val="0"/>
    <w:rPr>
      <w:color w:val="333333"/>
      <w:sz w:val="18"/>
      <w:szCs w:val="18"/>
      <w:u w:val="none"/>
    </w:rPr>
  </w:style>
  <w:style w:type="character" w:customStyle="1" w:styleId="498">
    <w:name w:val="zhengwen1"/>
    <w:semiHidden/>
    <w:qFormat/>
    <w:uiPriority w:val="0"/>
    <w:rPr>
      <w:rFonts w:hint="default"/>
      <w:sz w:val="18"/>
      <w:szCs w:val="18"/>
      <w:u w:val="none"/>
    </w:rPr>
  </w:style>
  <w:style w:type="character" w:customStyle="1" w:styleId="499">
    <w:name w:val="五号 Char"/>
    <w:semiHidden/>
    <w:qFormat/>
    <w:uiPriority w:val="0"/>
    <w:rPr>
      <w:rFonts w:eastAsia="宋体"/>
      <w:kern w:val="2"/>
      <w:sz w:val="21"/>
      <w:szCs w:val="24"/>
      <w:lang w:val="en-US" w:eastAsia="zh-CN" w:bidi="ar-SA"/>
    </w:rPr>
  </w:style>
  <w:style w:type="character" w:customStyle="1" w:styleId="500">
    <w:name w:val="标题4 Char Char"/>
    <w:semiHidden/>
    <w:qFormat/>
    <w:uiPriority w:val="0"/>
    <w:rPr>
      <w:rFonts w:eastAsia="宋体"/>
      <w:b/>
      <w:kern w:val="2"/>
      <w:sz w:val="24"/>
      <w:szCs w:val="24"/>
      <w:lang w:val="en-US" w:eastAsia="zh-CN" w:bidi="ar-SA"/>
    </w:rPr>
  </w:style>
  <w:style w:type="character" w:customStyle="1" w:styleId="501">
    <w:name w:val="表头样式1 Char"/>
    <w:semiHidden/>
    <w:qFormat/>
    <w:uiPriority w:val="0"/>
    <w:rPr>
      <w:rFonts w:eastAsia="黑体"/>
      <w:b/>
      <w:kern w:val="2"/>
      <w:sz w:val="24"/>
      <w:lang w:val="en-US" w:eastAsia="zh-CN" w:bidi="ar-SA"/>
    </w:rPr>
  </w:style>
  <w:style w:type="character" w:customStyle="1" w:styleId="502">
    <w:name w:val="文本框 Char"/>
    <w:semiHidden/>
    <w:qFormat/>
    <w:uiPriority w:val="0"/>
    <w:rPr>
      <w:rFonts w:ascii="宋体" w:hAnsi="宋体" w:eastAsia="宋体"/>
      <w:kern w:val="2"/>
      <w:sz w:val="21"/>
      <w:szCs w:val="24"/>
      <w:lang w:val="en-US" w:eastAsia="zh-CN" w:bidi="ar-SA"/>
    </w:rPr>
  </w:style>
  <w:style w:type="character" w:customStyle="1" w:styleId="503">
    <w:name w:val="标题 5 Char1"/>
    <w:qFormat/>
    <w:uiPriority w:val="0"/>
    <w:rPr>
      <w:rFonts w:eastAsia="宋体"/>
      <w:b/>
      <w:kern w:val="2"/>
      <w:sz w:val="24"/>
      <w:lang w:val="en-US" w:eastAsia="zh-CN" w:bidi="ar-SA"/>
    </w:rPr>
  </w:style>
  <w:style w:type="character" w:customStyle="1" w:styleId="504">
    <w:name w:val="君邦正文 Char1"/>
    <w:qFormat/>
    <w:uiPriority w:val="0"/>
    <w:rPr>
      <w:rFonts w:eastAsia="宋体"/>
      <w:bCs/>
      <w:snapToGrid w:val="0"/>
      <w:sz w:val="24"/>
      <w:lang w:val="en-US" w:eastAsia="zh-CN" w:bidi="ar-SA"/>
    </w:rPr>
  </w:style>
  <w:style w:type="character" w:customStyle="1" w:styleId="505">
    <w:name w:val="9p1"/>
    <w:qFormat/>
    <w:uiPriority w:val="0"/>
    <w:rPr>
      <w:sz w:val="18"/>
      <w:szCs w:val="18"/>
    </w:rPr>
  </w:style>
  <w:style w:type="character" w:customStyle="1" w:styleId="506">
    <w:name w:val="样式 标题 2Paragrafo + Times New Roman 非加粗 左侧:  0 厘米 首行缩进:  0 厘米... Char"/>
    <w:link w:val="507"/>
    <w:qFormat/>
    <w:uiPriority w:val="0"/>
    <w:rPr>
      <w:rFonts w:eastAsia="黑体" w:cs="宋体"/>
      <w:b/>
      <w:kern w:val="2"/>
      <w:sz w:val="30"/>
    </w:rPr>
  </w:style>
  <w:style w:type="paragraph" w:customStyle="1" w:styleId="507">
    <w:name w:val="样式 标题 2Paragrafo + Times New Roman 非加粗 左侧:  0 厘米 首行缩进:  0 厘米..."/>
    <w:basedOn w:val="3"/>
    <w:link w:val="506"/>
    <w:qFormat/>
    <w:uiPriority w:val="0"/>
    <w:pPr>
      <w:widowControl w:val="0"/>
      <w:numPr>
        <w:ilvl w:val="0"/>
        <w:numId w:val="0"/>
      </w:numPr>
      <w:tabs>
        <w:tab w:val="left" w:pos="567"/>
        <w:tab w:val="clear" w:pos="720"/>
      </w:tabs>
      <w:spacing w:before="120" w:beforeLines="0" w:after="120" w:afterLines="0" w:line="360" w:lineRule="auto"/>
      <w:jc w:val="both"/>
    </w:pPr>
    <w:rPr>
      <w:rFonts w:eastAsia="黑体"/>
      <w:bCs w:val="0"/>
      <w:snapToGrid/>
      <w:kern w:val="2"/>
      <w:szCs w:val="20"/>
    </w:rPr>
  </w:style>
  <w:style w:type="character" w:customStyle="1" w:styleId="508">
    <w:name w:val="环科所表内格式 Char"/>
    <w:link w:val="509"/>
    <w:qFormat/>
    <w:uiPriority w:val="0"/>
    <w:rPr>
      <w:rFonts w:eastAsia="仿宋_GB2312"/>
      <w:kern w:val="2"/>
      <w:sz w:val="18"/>
    </w:rPr>
  </w:style>
  <w:style w:type="paragraph" w:customStyle="1" w:styleId="509">
    <w:name w:val="环科所表内格式"/>
    <w:basedOn w:val="417"/>
    <w:link w:val="508"/>
    <w:qFormat/>
    <w:uiPriority w:val="0"/>
    <w:rPr>
      <w:rFonts w:eastAsia="仿宋_GB2312"/>
    </w:rPr>
  </w:style>
  <w:style w:type="character" w:customStyle="1" w:styleId="510">
    <w:name w:val="表名称 Char"/>
    <w:qFormat/>
    <w:uiPriority w:val="0"/>
    <w:rPr>
      <w:rFonts w:ascii="黑体" w:eastAsia="黑体"/>
      <w:kern w:val="2"/>
      <w:sz w:val="24"/>
      <w:szCs w:val="28"/>
      <w:lang w:val="en-US" w:eastAsia="zh-CN" w:bidi="ar-SA"/>
    </w:rPr>
  </w:style>
  <w:style w:type="character" w:customStyle="1" w:styleId="511">
    <w:name w:val="test"/>
    <w:qFormat/>
    <w:uiPriority w:val="0"/>
  </w:style>
  <w:style w:type="character" w:customStyle="1" w:styleId="512">
    <w:name w:val="列表 Char Char"/>
    <w:qFormat/>
    <w:uiPriority w:val="0"/>
    <w:rPr>
      <w:rFonts w:eastAsia="黑体"/>
      <w:kern w:val="2"/>
      <w:sz w:val="24"/>
      <w:szCs w:val="22"/>
      <w:lang w:val="en-US" w:eastAsia="zh-CN" w:bidi="ar-SA"/>
    </w:rPr>
  </w:style>
  <w:style w:type="character" w:customStyle="1" w:styleId="513">
    <w:name w:val="标题 21"/>
    <w:qFormat/>
    <w:uiPriority w:val="0"/>
    <w:rPr>
      <w:rFonts w:ascii="黑体" w:hAnsi="Arial" w:eastAsia="黑体"/>
      <w:kern w:val="2"/>
      <w:sz w:val="30"/>
      <w:szCs w:val="30"/>
      <w:lang w:val="en-US" w:eastAsia="zh-CN" w:bidi="ar-SA"/>
    </w:rPr>
  </w:style>
  <w:style w:type="character" w:customStyle="1" w:styleId="514">
    <w:name w:val="正文1 Char Char2"/>
    <w:qFormat/>
    <w:uiPriority w:val="0"/>
    <w:rPr>
      <w:rFonts w:eastAsia="仿宋_GB2312"/>
      <w:kern w:val="2"/>
      <w:sz w:val="28"/>
      <w:szCs w:val="28"/>
      <w:lang w:val="en-US" w:eastAsia="zh-CN" w:bidi="ar-SA"/>
    </w:rPr>
  </w:style>
  <w:style w:type="character" w:customStyle="1" w:styleId="515">
    <w:name w:val="puntext"/>
    <w:qFormat/>
    <w:uiPriority w:val="0"/>
    <w:rPr>
      <w:rFonts w:eastAsia="黑体"/>
      <w:kern w:val="2"/>
      <w:sz w:val="30"/>
      <w:szCs w:val="30"/>
      <w:lang w:val="en-US" w:eastAsia="zh-CN" w:bidi="ar-SA"/>
    </w:rPr>
  </w:style>
  <w:style w:type="character" w:customStyle="1" w:styleId="516">
    <w:name w:val="正文1 Char Char4"/>
    <w:qFormat/>
    <w:uiPriority w:val="0"/>
    <w:rPr>
      <w:rFonts w:eastAsia="宋体"/>
      <w:kern w:val="2"/>
      <w:sz w:val="24"/>
      <w:szCs w:val="28"/>
      <w:lang w:val="en-US" w:eastAsia="zh-CN" w:bidi="ar-SA"/>
    </w:rPr>
  </w:style>
  <w:style w:type="character" w:customStyle="1" w:styleId="517">
    <w:name w:val="强制性条文 Char Char"/>
    <w:link w:val="518"/>
    <w:qFormat/>
    <w:uiPriority w:val="0"/>
    <w:rPr>
      <w:rFonts w:ascii="黑体" w:hAnsi="黑体" w:eastAsia="黑体" w:cs="宋体"/>
      <w:b/>
      <w:kern w:val="2"/>
      <w:sz w:val="24"/>
    </w:rPr>
  </w:style>
  <w:style w:type="paragraph" w:customStyle="1" w:styleId="518">
    <w:name w:val="强制性条文"/>
    <w:basedOn w:val="519"/>
    <w:link w:val="517"/>
    <w:qFormat/>
    <w:uiPriority w:val="0"/>
    <w:pPr>
      <w:ind w:firstLine="482"/>
    </w:pPr>
    <w:rPr>
      <w:rFonts w:ascii="黑体" w:hAnsi="黑体" w:eastAsia="黑体"/>
      <w:b/>
    </w:rPr>
  </w:style>
  <w:style w:type="paragraph" w:customStyle="1" w:styleId="519">
    <w:name w:val="正文缩进1 Char Char Char Char Char Char Char"/>
    <w:basedOn w:val="1"/>
    <w:link w:val="520"/>
    <w:qFormat/>
    <w:uiPriority w:val="0"/>
    <w:rPr>
      <w:szCs w:val="20"/>
    </w:rPr>
  </w:style>
  <w:style w:type="character" w:customStyle="1" w:styleId="520">
    <w:name w:val="正文缩进1 Char Char Char Char Char Char Char Char"/>
    <w:link w:val="519"/>
    <w:qFormat/>
    <w:uiPriority w:val="0"/>
    <w:rPr>
      <w:rFonts w:cs="宋体"/>
      <w:kern w:val="2"/>
      <w:sz w:val="24"/>
    </w:rPr>
  </w:style>
  <w:style w:type="character" w:customStyle="1" w:styleId="521">
    <w:name w:val="top-main1"/>
    <w:qFormat/>
    <w:uiPriority w:val="0"/>
    <w:rPr>
      <w:rFonts w:hint="default" w:ascii="Arial" w:hAnsi="Arial" w:cs="Arial"/>
      <w:color w:val="000000"/>
      <w:sz w:val="18"/>
      <w:szCs w:val="18"/>
      <w:u w:val="none"/>
    </w:rPr>
  </w:style>
  <w:style w:type="character" w:customStyle="1" w:styleId="522">
    <w:name w:val="style81"/>
    <w:qFormat/>
    <w:uiPriority w:val="0"/>
    <w:rPr>
      <w:sz w:val="21"/>
      <w:szCs w:val="21"/>
    </w:rPr>
  </w:style>
  <w:style w:type="character" w:customStyle="1" w:styleId="523">
    <w:name w:val="样式 环科所表内格式 + 五号 Char"/>
    <w:link w:val="524"/>
    <w:qFormat/>
    <w:uiPriority w:val="0"/>
    <w:rPr>
      <w:rFonts w:eastAsia="仿宋_GB2312"/>
      <w:kern w:val="2"/>
      <w:sz w:val="21"/>
      <w:szCs w:val="21"/>
    </w:rPr>
  </w:style>
  <w:style w:type="paragraph" w:customStyle="1" w:styleId="524">
    <w:name w:val="样式 环科所表内格式 + 五号"/>
    <w:basedOn w:val="509"/>
    <w:link w:val="523"/>
    <w:qFormat/>
    <w:uiPriority w:val="0"/>
    <w:rPr>
      <w:sz w:val="21"/>
      <w:szCs w:val="21"/>
    </w:rPr>
  </w:style>
  <w:style w:type="character" w:customStyle="1" w:styleId="525">
    <w:name w:val="header odd Char1"/>
    <w:qFormat/>
    <w:uiPriority w:val="0"/>
    <w:rPr>
      <w:rFonts w:eastAsia="宋体"/>
      <w:kern w:val="2"/>
      <w:sz w:val="18"/>
      <w:szCs w:val="18"/>
      <w:lang w:val="en-US" w:eastAsia="zh-CN" w:bidi="ar-SA"/>
    </w:rPr>
  </w:style>
  <w:style w:type="character" w:customStyle="1" w:styleId="526">
    <w:name w:val="样式 表内格式 + 左  -0.5 字符 Char"/>
    <w:link w:val="527"/>
    <w:qFormat/>
    <w:uiPriority w:val="0"/>
    <w:rPr>
      <w:kern w:val="2"/>
      <w:sz w:val="18"/>
      <w:szCs w:val="18"/>
    </w:rPr>
  </w:style>
  <w:style w:type="paragraph" w:customStyle="1" w:styleId="527">
    <w:name w:val="样式 表内格式 + 左  -0.5 字符"/>
    <w:basedOn w:val="417"/>
    <w:link w:val="526"/>
    <w:qFormat/>
    <w:uiPriority w:val="0"/>
    <w:pPr>
      <w:spacing w:line="0" w:lineRule="atLeast"/>
      <w:ind w:left="-105" w:leftChars="-50" w:right="-105" w:rightChars="-50"/>
    </w:pPr>
    <w:rPr>
      <w:szCs w:val="18"/>
    </w:rPr>
  </w:style>
  <w:style w:type="character" w:customStyle="1" w:styleId="528">
    <w:name w:val="f9wen1"/>
    <w:qFormat/>
    <w:uiPriority w:val="0"/>
    <w:rPr>
      <w:spacing w:val="13"/>
      <w:sz w:val="18"/>
      <w:szCs w:val="18"/>
      <w:u w:val="none"/>
    </w:rPr>
  </w:style>
  <w:style w:type="character" w:customStyle="1" w:styleId="529">
    <w:name w:val="表内格式 Char Char"/>
    <w:qFormat/>
    <w:uiPriority w:val="0"/>
    <w:rPr>
      <w:rFonts w:eastAsia="宋体"/>
      <w:kern w:val="2"/>
      <w:sz w:val="18"/>
      <w:lang w:val="en-US" w:eastAsia="zh-CN" w:bidi="ar-SA"/>
    </w:rPr>
  </w:style>
  <w:style w:type="character" w:customStyle="1" w:styleId="530">
    <w:name w:val="三级标题 Char"/>
    <w:qFormat/>
    <w:uiPriority w:val="0"/>
    <w:rPr>
      <w:rFonts w:ascii="宋体" w:hAnsi="宋体" w:eastAsia="黑体" w:cs="Arial"/>
      <w:b/>
      <w:bCs/>
      <w:color w:val="000000"/>
      <w:kern w:val="2"/>
      <w:sz w:val="24"/>
      <w:szCs w:val="28"/>
      <w:lang w:val="en-US" w:eastAsia="zh-CN" w:bidi="ar-SA"/>
    </w:rPr>
  </w:style>
  <w:style w:type="character" w:customStyle="1" w:styleId="531">
    <w:name w:val="样式 标题 5一级项1b5 sub-bulletsb4 Char Char4 Char五1)项标5 Cha... Char"/>
    <w:link w:val="532"/>
    <w:qFormat/>
    <w:uiPriority w:val="0"/>
    <w:rPr>
      <w:b/>
      <w:bCs/>
      <w:kern w:val="2"/>
      <w:sz w:val="24"/>
    </w:rPr>
  </w:style>
  <w:style w:type="paragraph" w:customStyle="1" w:styleId="532">
    <w:name w:val="样式 标题 5一级项1b5 sub-bulletsb4 Char Char4 Char五1)项标5 Cha..."/>
    <w:basedOn w:val="6"/>
    <w:link w:val="531"/>
    <w:qFormat/>
    <w:uiPriority w:val="0"/>
    <w:pPr>
      <w:keepLines w:val="0"/>
      <w:numPr>
        <w:ilvl w:val="4"/>
        <w:numId w:val="1"/>
      </w:numPr>
      <w:autoSpaceDE/>
      <w:autoSpaceDN/>
      <w:spacing w:after="60"/>
      <w:ind w:left="720" w:hanging="720"/>
      <w:jc w:val="both"/>
    </w:pPr>
    <w:rPr>
      <w:szCs w:val="20"/>
    </w:rPr>
  </w:style>
  <w:style w:type="character" w:customStyle="1" w:styleId="533">
    <w:name w:val="Char Char10"/>
    <w:semiHidden/>
    <w:qFormat/>
    <w:uiPriority w:val="0"/>
    <w:rPr>
      <w:rFonts w:eastAsia="宋体"/>
      <w:kern w:val="2"/>
      <w:sz w:val="16"/>
      <w:szCs w:val="16"/>
      <w:lang w:val="en-US" w:eastAsia="zh-CN" w:bidi="ar-SA"/>
    </w:rPr>
  </w:style>
  <w:style w:type="character" w:customStyle="1" w:styleId="534">
    <w:name w:val="timu1"/>
    <w:qFormat/>
    <w:uiPriority w:val="0"/>
    <w:rPr>
      <w:rFonts w:eastAsia="黑体"/>
      <w:kern w:val="2"/>
      <w:sz w:val="24"/>
      <w:szCs w:val="24"/>
      <w:lang w:val="en-US" w:eastAsia="zh-CN" w:bidi="ar-SA"/>
    </w:rPr>
  </w:style>
  <w:style w:type="character" w:customStyle="1" w:styleId="535">
    <w:name w:val="列表 Char1"/>
    <w:qFormat/>
    <w:uiPriority w:val="0"/>
    <w:rPr>
      <w:rFonts w:eastAsia="黑体"/>
      <w:kern w:val="2"/>
      <w:sz w:val="22"/>
      <w:szCs w:val="22"/>
      <w:lang w:val="en-US" w:eastAsia="zh-CN" w:bidi="ar-SA"/>
    </w:rPr>
  </w:style>
  <w:style w:type="character" w:customStyle="1" w:styleId="536">
    <w:name w:val="列表名称 Char Char Char Char Char"/>
    <w:qFormat/>
    <w:uiPriority w:val="99"/>
    <w:rPr>
      <w:rFonts w:eastAsia="黑体"/>
      <w:bCs/>
      <w:kern w:val="2"/>
      <w:sz w:val="24"/>
      <w:szCs w:val="24"/>
      <w:lang w:val="en-US" w:eastAsia="zh-CN" w:bidi="ar-SA"/>
    </w:rPr>
  </w:style>
  <w:style w:type="character" w:customStyle="1" w:styleId="537">
    <w:name w:val="样式 列表列表 Char列表 Char Char Char Char Char1列表 Char Char Char Cha... Char Char"/>
    <w:qFormat/>
    <w:uiPriority w:val="0"/>
    <w:rPr>
      <w:rFonts w:eastAsia="黑体"/>
      <w:kern w:val="2"/>
      <w:sz w:val="24"/>
      <w:szCs w:val="24"/>
      <w:lang w:val="en-US" w:eastAsia="zh-CN" w:bidi="ar-SA"/>
    </w:rPr>
  </w:style>
  <w:style w:type="character" w:customStyle="1" w:styleId="538">
    <w:name w:val="正文1 Char Char Char Char1 Char Char"/>
    <w:qFormat/>
    <w:uiPriority w:val="0"/>
    <w:rPr>
      <w:rFonts w:eastAsia="宋体"/>
      <w:kern w:val="2"/>
      <w:sz w:val="24"/>
      <w:szCs w:val="28"/>
      <w:lang w:val="en-US" w:eastAsia="zh-CN" w:bidi="ar-SA"/>
    </w:rPr>
  </w:style>
  <w:style w:type="character" w:customStyle="1" w:styleId="539">
    <w:name w:val="正文1 Char Char Char1"/>
    <w:qFormat/>
    <w:uiPriority w:val="0"/>
    <w:rPr>
      <w:rFonts w:eastAsia="仿宋_GB2312"/>
      <w:color w:val="000000"/>
      <w:kern w:val="2"/>
      <w:sz w:val="28"/>
      <w:szCs w:val="28"/>
      <w:lang w:val="en-US" w:eastAsia="zh-CN" w:bidi="ar-SA"/>
    </w:rPr>
  </w:style>
  <w:style w:type="character" w:customStyle="1" w:styleId="540">
    <w:name w:val="正文1 Char Char3"/>
    <w:qFormat/>
    <w:uiPriority w:val="0"/>
    <w:rPr>
      <w:rFonts w:eastAsia="仿宋_GB2312"/>
      <w:kern w:val="2"/>
      <w:sz w:val="28"/>
      <w:szCs w:val="28"/>
      <w:lang w:val="en-US" w:eastAsia="zh-CN" w:bidi="ar-SA"/>
    </w:rPr>
  </w:style>
  <w:style w:type="character" w:customStyle="1" w:styleId="541">
    <w:name w:val="列表名称 Char Char Char"/>
    <w:qFormat/>
    <w:uiPriority w:val="0"/>
    <w:rPr>
      <w:rFonts w:eastAsia="黑体"/>
      <w:bCs/>
      <w:kern w:val="2"/>
      <w:sz w:val="24"/>
      <w:szCs w:val="24"/>
      <w:lang w:val="en-US" w:eastAsia="zh-CN" w:bidi="ar-SA"/>
    </w:rPr>
  </w:style>
  <w:style w:type="character" w:customStyle="1" w:styleId="542">
    <w:name w:val="8 Char1 Char"/>
    <w:link w:val="543"/>
    <w:semiHidden/>
    <w:qFormat/>
    <w:uiPriority w:val="0"/>
    <w:rPr>
      <w:kern w:val="10"/>
      <w:sz w:val="24"/>
      <w:szCs w:val="24"/>
    </w:rPr>
  </w:style>
  <w:style w:type="paragraph" w:customStyle="1" w:styleId="543">
    <w:name w:val="8 Char1"/>
    <w:basedOn w:val="1"/>
    <w:link w:val="542"/>
    <w:semiHidden/>
    <w:qFormat/>
    <w:uiPriority w:val="0"/>
    <w:pPr>
      <w:ind w:firstLine="480"/>
    </w:pPr>
    <w:rPr>
      <w:kern w:val="10"/>
    </w:rPr>
  </w:style>
  <w:style w:type="character" w:customStyle="1" w:styleId="544">
    <w:name w:val="表格文字1 Char Char Char Char Char"/>
    <w:link w:val="545"/>
    <w:semiHidden/>
    <w:qFormat/>
    <w:uiPriority w:val="0"/>
    <w:rPr>
      <w:rFonts w:ascii="宋体" w:hAnsi="宋体" w:eastAsia="宋体-方正超大字符集"/>
      <w:kern w:val="2"/>
      <w:sz w:val="21"/>
      <w:szCs w:val="21"/>
    </w:rPr>
  </w:style>
  <w:style w:type="paragraph" w:customStyle="1" w:styleId="545">
    <w:name w:val="表格文字1 Char Char Char Char"/>
    <w:basedOn w:val="1"/>
    <w:link w:val="544"/>
    <w:semiHidden/>
    <w:qFormat/>
    <w:uiPriority w:val="0"/>
    <w:pPr>
      <w:adjustRightInd w:val="0"/>
      <w:snapToGrid w:val="0"/>
      <w:spacing w:line="240" w:lineRule="auto"/>
      <w:ind w:firstLine="0" w:firstLineChars="0"/>
      <w:jc w:val="center"/>
    </w:pPr>
    <w:rPr>
      <w:rFonts w:ascii="宋体" w:hAnsi="宋体" w:eastAsia="宋体-方正超大字符集"/>
      <w:sz w:val="21"/>
      <w:szCs w:val="21"/>
    </w:rPr>
  </w:style>
  <w:style w:type="character" w:customStyle="1" w:styleId="546">
    <w:name w:val="search_content1"/>
    <w:qFormat/>
    <w:uiPriority w:val="0"/>
    <w:rPr>
      <w:sz w:val="20"/>
      <w:szCs w:val="20"/>
    </w:rPr>
  </w:style>
  <w:style w:type="character" w:customStyle="1" w:styleId="547">
    <w:name w:val="richtextmngstyle1"/>
    <w:qFormat/>
    <w:uiPriority w:val="0"/>
    <w:rPr>
      <w:color w:val="000000"/>
      <w:spacing w:val="18"/>
      <w:sz w:val="25"/>
      <w:szCs w:val="25"/>
      <w:u w:val="none"/>
    </w:rPr>
  </w:style>
  <w:style w:type="character" w:customStyle="1" w:styleId="548">
    <w:name w:val="11p1"/>
    <w:qFormat/>
    <w:uiPriority w:val="0"/>
    <w:rPr>
      <w:sz w:val="24"/>
      <w:szCs w:val="24"/>
    </w:rPr>
  </w:style>
  <w:style w:type="character" w:customStyle="1" w:styleId="549">
    <w:name w:val="text11"/>
    <w:qFormat/>
    <w:uiPriority w:val="0"/>
    <w:rPr>
      <w:sz w:val="25"/>
      <w:szCs w:val="25"/>
    </w:rPr>
  </w:style>
  <w:style w:type="character" w:customStyle="1" w:styleId="550">
    <w:name w:val="图题 Char"/>
    <w:link w:val="551"/>
    <w:qFormat/>
    <w:uiPriority w:val="0"/>
    <w:rPr>
      <w:rFonts w:ascii="宋体" w:hAnsi="宋体"/>
      <w:sz w:val="25"/>
      <w:szCs w:val="25"/>
      <w:lang w:val="en-US" w:eastAsia="zh-CN" w:bidi="ar-SA"/>
    </w:rPr>
  </w:style>
  <w:style w:type="paragraph" w:customStyle="1" w:styleId="551">
    <w:name w:val="图题"/>
    <w:link w:val="550"/>
    <w:qFormat/>
    <w:uiPriority w:val="0"/>
    <w:pPr>
      <w:tabs>
        <w:tab w:val="left" w:pos="480"/>
      </w:tabs>
      <w:spacing w:beforeLines="50" w:afterLines="50"/>
      <w:jc w:val="center"/>
    </w:pPr>
    <w:rPr>
      <w:rFonts w:ascii="宋体" w:hAnsi="宋体" w:eastAsia="宋体" w:cs="Times New Roman"/>
      <w:sz w:val="25"/>
      <w:szCs w:val="25"/>
      <w:lang w:val="en-US" w:eastAsia="zh-CN" w:bidi="ar-SA"/>
    </w:rPr>
  </w:style>
  <w:style w:type="character" w:customStyle="1" w:styleId="552">
    <w:name w:val="图标准 Char"/>
    <w:link w:val="553"/>
    <w:qFormat/>
    <w:uiPriority w:val="0"/>
    <w:rPr>
      <w:rFonts w:ascii="仿宋_GB2312" w:eastAsia="黑体"/>
      <w:b/>
      <w:snapToGrid/>
      <w:spacing w:val="4"/>
      <w:sz w:val="24"/>
      <w:szCs w:val="28"/>
    </w:rPr>
  </w:style>
  <w:style w:type="paragraph" w:customStyle="1" w:styleId="553">
    <w:name w:val="图标准"/>
    <w:basedOn w:val="554"/>
    <w:link w:val="552"/>
    <w:qFormat/>
    <w:uiPriority w:val="0"/>
    <w:pPr>
      <w:tabs>
        <w:tab w:val="left" w:pos="0"/>
      </w:tabs>
      <w:spacing w:beforeLines="100" w:line="360" w:lineRule="auto"/>
    </w:pPr>
    <w:rPr>
      <w:szCs w:val="28"/>
    </w:rPr>
  </w:style>
  <w:style w:type="paragraph" w:customStyle="1" w:styleId="554">
    <w:name w:val="表格标题新"/>
    <w:basedOn w:val="292"/>
    <w:link w:val="555"/>
    <w:qFormat/>
    <w:uiPriority w:val="0"/>
    <w:pPr>
      <w:spacing w:before="80" w:beforeLines="50"/>
      <w:ind w:firstLine="562"/>
    </w:pPr>
    <w:rPr>
      <w:rFonts w:ascii="仿宋_GB2312" w:hAnsi="Times New Roman" w:eastAsia="黑体"/>
      <w:b w:val="0"/>
      <w:spacing w:val="4"/>
      <w:sz w:val="24"/>
      <w:szCs w:val="24"/>
    </w:rPr>
  </w:style>
  <w:style w:type="character" w:customStyle="1" w:styleId="555">
    <w:name w:val="表格标题新 Char"/>
    <w:link w:val="554"/>
    <w:qFormat/>
    <w:uiPriority w:val="0"/>
    <w:rPr>
      <w:rFonts w:ascii="仿宋_GB2312" w:eastAsia="黑体"/>
      <w:b/>
      <w:snapToGrid/>
      <w:spacing w:val="4"/>
      <w:sz w:val="24"/>
      <w:szCs w:val="24"/>
    </w:rPr>
  </w:style>
  <w:style w:type="character" w:customStyle="1" w:styleId="556">
    <w:name w:val="样式 表格标题新 + (西文) Times New Roman Char"/>
    <w:link w:val="557"/>
    <w:qFormat/>
    <w:uiPriority w:val="0"/>
    <w:rPr>
      <w:rFonts w:ascii="仿宋_GB2312" w:eastAsia="黑体"/>
      <w:b/>
      <w:bCs/>
      <w:snapToGrid/>
      <w:spacing w:val="4"/>
      <w:sz w:val="24"/>
      <w:szCs w:val="24"/>
    </w:rPr>
  </w:style>
  <w:style w:type="paragraph" w:customStyle="1" w:styleId="557">
    <w:name w:val="样式 表格标题新 + (西文) Times New Roman"/>
    <w:basedOn w:val="554"/>
    <w:link w:val="556"/>
    <w:qFormat/>
    <w:uiPriority w:val="0"/>
    <w:pPr>
      <w:spacing w:beforeLines="0"/>
      <w:ind w:firstLine="561"/>
    </w:pPr>
    <w:rPr>
      <w:bCs/>
    </w:rPr>
  </w:style>
  <w:style w:type="character" w:customStyle="1" w:styleId="558">
    <w:name w:val="正文-1 Char"/>
    <w:link w:val="559"/>
    <w:qFormat/>
    <w:uiPriority w:val="0"/>
    <w:rPr>
      <w:spacing w:val="4"/>
      <w:kern w:val="18"/>
      <w:sz w:val="24"/>
      <w:szCs w:val="30"/>
    </w:rPr>
  </w:style>
  <w:style w:type="paragraph" w:customStyle="1" w:styleId="559">
    <w:name w:val="正文-1"/>
    <w:basedOn w:val="32"/>
    <w:link w:val="558"/>
    <w:qFormat/>
    <w:uiPriority w:val="0"/>
    <w:pPr>
      <w:widowControl w:val="0"/>
      <w:snapToGrid w:val="0"/>
      <w:spacing w:line="360" w:lineRule="auto"/>
      <w:ind w:firstLine="180" w:firstLineChars="180"/>
    </w:pPr>
    <w:rPr>
      <w:color w:val="auto"/>
      <w:spacing w:val="4"/>
      <w:kern w:val="18"/>
      <w:szCs w:val="30"/>
    </w:rPr>
  </w:style>
  <w:style w:type="character" w:customStyle="1" w:styleId="560">
    <w:name w:val="正文1 Char Char5"/>
    <w:qFormat/>
    <w:uiPriority w:val="0"/>
    <w:rPr>
      <w:rFonts w:ascii="宋体" w:hAnsi="宋体" w:eastAsia="宋体"/>
      <w:kern w:val="2"/>
      <w:sz w:val="21"/>
      <w:szCs w:val="21"/>
      <w:lang w:val="en-US" w:eastAsia="zh-CN" w:bidi="ar-SA"/>
    </w:rPr>
  </w:style>
  <w:style w:type="character" w:customStyle="1" w:styleId="561">
    <w:name w:val="图 Char"/>
    <w:qFormat/>
    <w:uiPriority w:val="0"/>
    <w:rPr>
      <w:rFonts w:eastAsia="仿宋_GB2312"/>
      <w:w w:val="90"/>
      <w:kern w:val="2"/>
      <w:sz w:val="21"/>
      <w:szCs w:val="21"/>
      <w:lang w:val="en-US" w:eastAsia="zh-CN" w:bidi="ar-SA"/>
    </w:rPr>
  </w:style>
  <w:style w:type="character" w:customStyle="1" w:styleId="562">
    <w:name w:val="样式 正文1 Char Char + 字距调整七号 Char Char Char"/>
    <w:qFormat/>
    <w:uiPriority w:val="0"/>
    <w:rPr>
      <w:rFonts w:eastAsia="宋体"/>
      <w:kern w:val="11"/>
      <w:sz w:val="24"/>
      <w:szCs w:val="28"/>
      <w:lang w:val="en-US" w:eastAsia="zh-CN" w:bidi="ar-SA"/>
    </w:rPr>
  </w:style>
  <w:style w:type="character" w:customStyle="1" w:styleId="563">
    <w:name w:val="正文1 Char Char Char Char Char Char"/>
    <w:qFormat/>
    <w:uiPriority w:val="0"/>
    <w:rPr>
      <w:rFonts w:eastAsia="宋体"/>
      <w:kern w:val="2"/>
      <w:sz w:val="24"/>
      <w:szCs w:val="28"/>
      <w:lang w:val="en-US" w:eastAsia="zh-CN" w:bidi="ar-SA"/>
    </w:rPr>
  </w:style>
  <w:style w:type="character" w:customStyle="1" w:styleId="564">
    <w:name w:val="表名 Char Char"/>
    <w:link w:val="565"/>
    <w:qFormat/>
    <w:uiPriority w:val="0"/>
    <w:rPr>
      <w:rFonts w:eastAsia="黑体"/>
      <w:kern w:val="2"/>
      <w:sz w:val="24"/>
      <w:szCs w:val="24"/>
    </w:rPr>
  </w:style>
  <w:style w:type="paragraph" w:customStyle="1" w:styleId="565">
    <w:name w:val="表名 Char"/>
    <w:basedOn w:val="1"/>
    <w:link w:val="564"/>
    <w:qFormat/>
    <w:uiPriority w:val="0"/>
    <w:pPr>
      <w:spacing w:line="480" w:lineRule="exact"/>
      <w:ind w:firstLine="0" w:firstLineChars="0"/>
      <w:jc w:val="center"/>
    </w:pPr>
    <w:rPr>
      <w:rFonts w:eastAsia="黑体"/>
    </w:rPr>
  </w:style>
  <w:style w:type="character" w:customStyle="1" w:styleId="566">
    <w:name w:val="Char Char18"/>
    <w:qFormat/>
    <w:uiPriority w:val="0"/>
    <w:rPr>
      <w:rFonts w:ascii="Arial" w:hAnsi="Arial" w:eastAsia="宋体"/>
      <w:b/>
      <w:bCs/>
      <w:kern w:val="2"/>
      <w:sz w:val="32"/>
      <w:szCs w:val="32"/>
      <w:lang w:val="en-US" w:eastAsia="zh-CN" w:bidi="ar-SA"/>
    </w:rPr>
  </w:style>
  <w:style w:type="character" w:customStyle="1" w:styleId="567">
    <w:name w:val="二级标题 Char"/>
    <w:link w:val="568"/>
    <w:qFormat/>
    <w:uiPriority w:val="0"/>
    <w:rPr>
      <w:rFonts w:cs="Arial"/>
      <w:bCs/>
      <w:color w:val="000000"/>
      <w:kern w:val="44"/>
      <w:sz w:val="28"/>
      <w:szCs w:val="28"/>
    </w:rPr>
  </w:style>
  <w:style w:type="paragraph" w:customStyle="1" w:styleId="568">
    <w:name w:val="二级标题"/>
    <w:basedOn w:val="2"/>
    <w:link w:val="567"/>
    <w:qFormat/>
    <w:uiPriority w:val="0"/>
    <w:pPr>
      <w:widowControl w:val="0"/>
      <w:numPr>
        <w:ilvl w:val="0"/>
        <w:numId w:val="0"/>
      </w:numPr>
      <w:tabs>
        <w:tab w:val="left" w:pos="567"/>
      </w:tabs>
      <w:spacing w:before="240" w:beforeLines="200" w:after="0" w:afterLines="0" w:line="360" w:lineRule="auto"/>
      <w:ind w:left="567" w:hanging="567"/>
      <w:jc w:val="center"/>
    </w:pPr>
    <w:rPr>
      <w:b w:val="0"/>
      <w:snapToGrid/>
      <w:color w:val="000000"/>
      <w:kern w:val="44"/>
      <w:sz w:val="28"/>
      <w:szCs w:val="28"/>
    </w:rPr>
  </w:style>
  <w:style w:type="character" w:customStyle="1" w:styleId="569">
    <w:name w:val="表 头 Char"/>
    <w:link w:val="570"/>
    <w:qFormat/>
    <w:uiPriority w:val="0"/>
    <w:rPr>
      <w:rFonts w:ascii="Arial" w:eastAsia="黑体" w:cs="Arial"/>
      <w:b/>
      <w:sz w:val="21"/>
      <w:szCs w:val="21"/>
    </w:rPr>
  </w:style>
  <w:style w:type="paragraph" w:customStyle="1" w:styleId="570">
    <w:name w:val="表 头"/>
    <w:basedOn w:val="1"/>
    <w:next w:val="571"/>
    <w:link w:val="569"/>
    <w:qFormat/>
    <w:uiPriority w:val="0"/>
    <w:pPr>
      <w:numPr>
        <w:ilvl w:val="3"/>
        <w:numId w:val="0"/>
      </w:numPr>
      <w:tabs>
        <w:tab w:val="left" w:pos="1418"/>
      </w:tabs>
      <w:adjustRightInd w:val="0"/>
      <w:spacing w:before="120" w:after="120" w:line="360" w:lineRule="atLeast"/>
      <w:ind w:right="-120"/>
      <w:jc w:val="center"/>
    </w:pPr>
    <w:rPr>
      <w:rFonts w:ascii="Arial" w:eastAsia="黑体"/>
      <w:b/>
      <w:kern w:val="0"/>
      <w:sz w:val="21"/>
      <w:szCs w:val="21"/>
    </w:rPr>
  </w:style>
  <w:style w:type="paragraph" w:customStyle="1" w:styleId="571">
    <w:name w:val="【正文】"/>
    <w:basedOn w:val="1"/>
    <w:qFormat/>
    <w:uiPriority w:val="0"/>
    <w:pPr>
      <w:adjustRightInd w:val="0"/>
      <w:snapToGrid w:val="0"/>
    </w:pPr>
    <w:rPr>
      <w:szCs w:val="20"/>
    </w:rPr>
  </w:style>
  <w:style w:type="character" w:customStyle="1" w:styleId="572">
    <w:name w:val="text1"/>
    <w:qFormat/>
    <w:uiPriority w:val="0"/>
  </w:style>
  <w:style w:type="character" w:customStyle="1" w:styleId="573">
    <w:name w:val="text_new"/>
    <w:qFormat/>
    <w:uiPriority w:val="0"/>
  </w:style>
  <w:style w:type="character" w:customStyle="1" w:styleId="574">
    <w:name w:val="fontblue1"/>
    <w:qFormat/>
    <w:uiPriority w:val="0"/>
    <w:rPr>
      <w:rFonts w:hint="default" w:ascii="ˎ̥" w:hAnsi="ˎ̥"/>
      <w:color w:val="0000FF"/>
      <w:sz w:val="18"/>
      <w:szCs w:val="18"/>
    </w:rPr>
  </w:style>
  <w:style w:type="character" w:customStyle="1" w:styleId="575">
    <w:name w:val="h21"/>
    <w:qFormat/>
    <w:uiPriority w:val="0"/>
  </w:style>
  <w:style w:type="character" w:customStyle="1" w:styleId="576">
    <w:name w:val="fontgray1"/>
    <w:qFormat/>
    <w:uiPriority w:val="0"/>
    <w:rPr>
      <w:rFonts w:hint="default"/>
      <w:color w:val="666666"/>
      <w:sz w:val="18"/>
      <w:szCs w:val="18"/>
    </w:rPr>
  </w:style>
  <w:style w:type="character" w:customStyle="1" w:styleId="577">
    <w:name w:val="表蕊 Char1"/>
    <w:link w:val="578"/>
    <w:qFormat/>
    <w:uiPriority w:val="0"/>
    <w:rPr>
      <w:rFonts w:eastAsia="楷体_GB2312"/>
      <w:spacing w:val="-12"/>
      <w:sz w:val="21"/>
    </w:rPr>
  </w:style>
  <w:style w:type="paragraph" w:customStyle="1" w:styleId="578">
    <w:name w:val="表蕊"/>
    <w:basedOn w:val="1"/>
    <w:link w:val="577"/>
    <w:qFormat/>
    <w:uiPriority w:val="0"/>
    <w:pPr>
      <w:adjustRightInd w:val="0"/>
      <w:spacing w:line="320" w:lineRule="atLeast"/>
      <w:ind w:firstLine="0" w:firstLineChars="0"/>
      <w:jc w:val="left"/>
      <w:textAlignment w:val="baseline"/>
    </w:pPr>
    <w:rPr>
      <w:rFonts w:eastAsia="楷体_GB2312"/>
      <w:spacing w:val="-12"/>
      <w:kern w:val="0"/>
      <w:sz w:val="21"/>
      <w:szCs w:val="20"/>
    </w:rPr>
  </w:style>
  <w:style w:type="character" w:customStyle="1" w:styleId="579">
    <w:name w:val="正文1-1 Char"/>
    <w:link w:val="580"/>
    <w:qFormat/>
    <w:uiPriority w:val="0"/>
    <w:rPr>
      <w:rFonts w:ascii="宋体" w:hAnsi="宋体" w:eastAsia="仿宋_GB2312" w:cs="宋体"/>
      <w:sz w:val="28"/>
      <w:szCs w:val="24"/>
    </w:rPr>
  </w:style>
  <w:style w:type="paragraph" w:customStyle="1" w:styleId="580">
    <w:name w:val="正文1-1"/>
    <w:basedOn w:val="1"/>
    <w:link w:val="579"/>
    <w:qFormat/>
    <w:uiPriority w:val="0"/>
    <w:pPr>
      <w:widowControl/>
      <w:snapToGrid w:val="0"/>
      <w:jc w:val="left"/>
    </w:pPr>
    <w:rPr>
      <w:rFonts w:ascii="宋体" w:hAnsi="宋体" w:eastAsia="仿宋_GB2312"/>
      <w:kern w:val="0"/>
      <w:sz w:val="28"/>
    </w:rPr>
  </w:style>
  <w:style w:type="character" w:customStyle="1" w:styleId="581">
    <w:name w:val="表格标题-1"/>
    <w:qFormat/>
    <w:uiPriority w:val="0"/>
    <w:rPr>
      <w:rFonts w:eastAsia="宋体"/>
      <w:kern w:val="0"/>
      <w:sz w:val="24"/>
    </w:rPr>
  </w:style>
  <w:style w:type="character" w:customStyle="1" w:styleId="582">
    <w:name w:val="dectext1"/>
    <w:qFormat/>
    <w:uiPriority w:val="0"/>
    <w:rPr>
      <w:rFonts w:hint="eastAsia" w:ascii="宋体" w:hAnsi="宋体" w:eastAsia="宋体"/>
      <w:color w:val="333333"/>
      <w:kern w:val="2"/>
      <w:sz w:val="21"/>
      <w:szCs w:val="21"/>
      <w:u w:val="none"/>
      <w:lang w:val="en-US" w:eastAsia="zh-CN" w:bidi="ar-SA"/>
    </w:rPr>
  </w:style>
  <w:style w:type="character" w:customStyle="1" w:styleId="583">
    <w:name w:val="工艺方框 Char"/>
    <w:link w:val="584"/>
    <w:qFormat/>
    <w:uiPriority w:val="0"/>
    <w:rPr>
      <w:rFonts w:ascii="宋体"/>
      <w:snapToGrid/>
      <w:kern w:val="2"/>
      <w:sz w:val="21"/>
      <w:szCs w:val="21"/>
    </w:rPr>
  </w:style>
  <w:style w:type="paragraph" w:customStyle="1" w:styleId="584">
    <w:name w:val="工艺方框"/>
    <w:basedOn w:val="142"/>
    <w:link w:val="583"/>
    <w:qFormat/>
    <w:uiPriority w:val="0"/>
    <w:pPr>
      <w:widowControl w:val="0"/>
      <w:tabs>
        <w:tab w:val="left" w:pos="432"/>
      </w:tabs>
      <w:adjustRightInd w:val="0"/>
      <w:snapToGrid w:val="0"/>
      <w:spacing w:beforeLines="50" w:after="60"/>
      <w:textAlignment w:val="baseline"/>
    </w:pPr>
    <w:rPr>
      <w:rFonts w:ascii="宋体" w:eastAsia="宋体"/>
      <w:snapToGrid w:val="0"/>
      <w:kern w:val="2"/>
      <w:sz w:val="21"/>
      <w:szCs w:val="21"/>
    </w:rPr>
  </w:style>
  <w:style w:type="character" w:customStyle="1" w:styleId="585">
    <w:name w:val="p121"/>
    <w:semiHidden/>
    <w:qFormat/>
    <w:uiPriority w:val="0"/>
    <w:rPr>
      <w:rFonts w:hint="eastAsia" w:ascii="宋体" w:eastAsia="宋体"/>
      <w:b/>
      <w:bCs/>
      <w:color w:val="000000"/>
      <w:sz w:val="18"/>
      <w:szCs w:val="18"/>
    </w:rPr>
  </w:style>
  <w:style w:type="character" w:customStyle="1" w:styleId="586">
    <w:name w:val="标题 3 正式 Char"/>
    <w:qFormat/>
    <w:uiPriority w:val="0"/>
    <w:rPr>
      <w:rFonts w:ascii="Arial" w:hAnsi="Arial" w:eastAsia="黑体"/>
      <w:b/>
      <w:bCs/>
      <w:snapToGrid w:val="0"/>
      <w:spacing w:val="4"/>
      <w:sz w:val="28"/>
      <w:szCs w:val="28"/>
      <w:lang w:val="en-US" w:eastAsia="zh-CN" w:bidi="ar-SA"/>
    </w:rPr>
  </w:style>
  <w:style w:type="character" w:customStyle="1" w:styleId="587">
    <w:name w:val="text_edit editable-title"/>
    <w:qFormat/>
    <w:uiPriority w:val="0"/>
  </w:style>
  <w:style w:type="character" w:customStyle="1" w:styleId="588">
    <w:name w:val="Char Char9"/>
    <w:qFormat/>
    <w:uiPriority w:val="0"/>
    <w:rPr>
      <w:rFonts w:ascii="Arial" w:hAnsi="Arial" w:eastAsia="黑体"/>
      <w:sz w:val="24"/>
    </w:rPr>
  </w:style>
  <w:style w:type="character" w:customStyle="1" w:styleId="589">
    <w:name w:val="君邦正文 Char"/>
    <w:semiHidden/>
    <w:qFormat/>
    <w:uiPriority w:val="0"/>
    <w:rPr>
      <w:rFonts w:eastAsia="宋体"/>
      <w:bCs/>
      <w:snapToGrid w:val="0"/>
      <w:sz w:val="24"/>
      <w:lang w:val="en-US" w:eastAsia="zh-CN" w:bidi="ar-SA"/>
    </w:rPr>
  </w:style>
  <w:style w:type="character" w:customStyle="1" w:styleId="590">
    <w:name w:val="报告表正文 Char"/>
    <w:semiHidden/>
    <w:qFormat/>
    <w:uiPriority w:val="0"/>
    <w:rPr>
      <w:rFonts w:eastAsia="楷体_GB2312"/>
      <w:kern w:val="2"/>
      <w:sz w:val="24"/>
      <w:szCs w:val="24"/>
      <w:lang w:val="en-US" w:eastAsia="zh-CN" w:bidi="ar-SA"/>
    </w:rPr>
  </w:style>
  <w:style w:type="character" w:customStyle="1" w:styleId="591">
    <w:name w:val="标题 2 Char1"/>
    <w:link w:val="592"/>
    <w:qFormat/>
    <w:uiPriority w:val="0"/>
    <w:rPr>
      <w:rFonts w:ascii="Arial" w:hAnsi="Arial" w:eastAsia="黑体"/>
      <w:b/>
      <w:bCs/>
      <w:kern w:val="2"/>
      <w:sz w:val="28"/>
      <w:szCs w:val="32"/>
      <w:lang w:val="en-US" w:eastAsia="zh-CN" w:bidi="ar-SA"/>
    </w:rPr>
  </w:style>
  <w:style w:type="paragraph" w:customStyle="1" w:styleId="592">
    <w:name w:val="标题2"/>
    <w:basedOn w:val="14"/>
    <w:link w:val="591"/>
    <w:qFormat/>
    <w:uiPriority w:val="0"/>
    <w:pPr>
      <w:spacing w:line="360" w:lineRule="auto"/>
      <w:outlineLvl w:val="1"/>
    </w:pPr>
    <w:rPr>
      <w:rFonts w:ascii="Arial" w:hAnsi="Arial" w:eastAsia="黑体"/>
      <w:b/>
      <w:bCs/>
      <w:sz w:val="28"/>
      <w:szCs w:val="32"/>
    </w:rPr>
  </w:style>
  <w:style w:type="character" w:customStyle="1" w:styleId="593">
    <w:name w:val="标题 3 Char Char1"/>
    <w:semiHidden/>
    <w:qFormat/>
    <w:uiPriority w:val="0"/>
    <w:rPr>
      <w:rFonts w:ascii="Arial" w:hAnsi="Arial" w:eastAsia="宋体"/>
      <w:b/>
      <w:bCs/>
      <w:kern w:val="2"/>
      <w:sz w:val="28"/>
      <w:szCs w:val="28"/>
      <w:lang w:val="en-US" w:eastAsia="zh-CN" w:bidi="ar-SA"/>
    </w:rPr>
  </w:style>
  <w:style w:type="character" w:customStyle="1" w:styleId="594">
    <w:name w:val="标题 4 Char1"/>
    <w:qFormat/>
    <w:uiPriority w:val="0"/>
    <w:rPr>
      <w:rFonts w:eastAsia="宋体"/>
      <w:b/>
      <w:kern w:val="2"/>
      <w:sz w:val="24"/>
      <w:lang w:val="en-US" w:eastAsia="zh-CN" w:bidi="ar-SA"/>
    </w:rPr>
  </w:style>
  <w:style w:type="character" w:customStyle="1" w:styleId="595">
    <w:name w:val="表内格式 Char"/>
    <w:qFormat/>
    <w:uiPriority w:val="0"/>
    <w:rPr>
      <w:rFonts w:eastAsia="宋体"/>
      <w:kern w:val="2"/>
      <w:sz w:val="18"/>
      <w:lang w:val="en-US" w:eastAsia="zh-CN" w:bidi="ar-SA"/>
    </w:rPr>
  </w:style>
  <w:style w:type="character" w:customStyle="1" w:styleId="596">
    <w:name w:val="正文1 Char"/>
    <w:qFormat/>
    <w:uiPriority w:val="0"/>
    <w:rPr>
      <w:rFonts w:eastAsia="宋体"/>
      <w:kern w:val="2"/>
      <w:sz w:val="24"/>
      <w:lang w:val="en-US" w:eastAsia="zh-CN" w:bidi="ar-SA"/>
    </w:rPr>
  </w:style>
  <w:style w:type="character" w:customStyle="1" w:styleId="597">
    <w:name w:val="表头字体 Char1"/>
    <w:link w:val="598"/>
    <w:semiHidden/>
    <w:qFormat/>
    <w:uiPriority w:val="0"/>
    <w:rPr>
      <w:rFonts w:eastAsia="黑体"/>
      <w:b/>
      <w:bCs/>
      <w:color w:val="000000"/>
      <w:sz w:val="24"/>
      <w:szCs w:val="24"/>
      <w:lang w:val="zh-CN"/>
    </w:rPr>
  </w:style>
  <w:style w:type="paragraph" w:customStyle="1" w:styleId="598">
    <w:name w:val="表头字体"/>
    <w:basedOn w:val="5"/>
    <w:next w:val="473"/>
    <w:link w:val="597"/>
    <w:semiHidden/>
    <w:qFormat/>
    <w:uiPriority w:val="0"/>
    <w:pPr>
      <w:keepNext w:val="0"/>
      <w:keepLines w:val="0"/>
      <w:widowControl w:val="0"/>
      <w:numPr>
        <w:ilvl w:val="0"/>
        <w:numId w:val="0"/>
      </w:numPr>
      <w:tabs>
        <w:tab w:val="clear" w:pos="864"/>
      </w:tabs>
      <w:snapToGrid w:val="0"/>
      <w:spacing w:line="240" w:lineRule="auto"/>
      <w:jc w:val="center"/>
      <w:outlineLvl w:val="9"/>
    </w:pPr>
    <w:rPr>
      <w:snapToGrid/>
      <w:color w:val="000000"/>
      <w:kern w:val="0"/>
      <w:lang w:val="zh-CN"/>
    </w:rPr>
  </w:style>
  <w:style w:type="character" w:customStyle="1" w:styleId="599">
    <w:name w:val="正文小四 Char"/>
    <w:link w:val="600"/>
    <w:qFormat/>
    <w:uiPriority w:val="0"/>
    <w:rPr>
      <w:snapToGrid/>
      <w:sz w:val="24"/>
    </w:rPr>
  </w:style>
  <w:style w:type="paragraph" w:customStyle="1" w:styleId="600">
    <w:name w:val="正文小四"/>
    <w:basedOn w:val="1"/>
    <w:link w:val="599"/>
    <w:qFormat/>
    <w:uiPriority w:val="0"/>
    <w:pPr>
      <w:adjustRightInd w:val="0"/>
      <w:snapToGrid w:val="0"/>
      <w:ind w:firstLine="482"/>
      <w:textAlignment w:val="baseline"/>
    </w:pPr>
    <w:rPr>
      <w:snapToGrid w:val="0"/>
      <w:kern w:val="0"/>
      <w:szCs w:val="20"/>
    </w:rPr>
  </w:style>
  <w:style w:type="character" w:customStyle="1" w:styleId="601">
    <w:name w:val="表格（可改） Char Char"/>
    <w:link w:val="602"/>
    <w:qFormat/>
    <w:uiPriority w:val="0"/>
    <w:rPr>
      <w:rFonts w:eastAsia="Arial"/>
      <w:kern w:val="2"/>
      <w:sz w:val="21"/>
      <w:szCs w:val="21"/>
    </w:rPr>
  </w:style>
  <w:style w:type="paragraph" w:customStyle="1" w:styleId="602">
    <w:name w:val="表格（可改）"/>
    <w:basedOn w:val="1"/>
    <w:link w:val="601"/>
    <w:qFormat/>
    <w:uiPriority w:val="0"/>
    <w:pPr>
      <w:spacing w:line="360" w:lineRule="exact"/>
      <w:ind w:firstLine="0" w:firstLineChars="0"/>
      <w:jc w:val="center"/>
    </w:pPr>
    <w:rPr>
      <w:rFonts w:eastAsia="Arial"/>
      <w:sz w:val="21"/>
      <w:szCs w:val="21"/>
    </w:rPr>
  </w:style>
  <w:style w:type="character" w:customStyle="1" w:styleId="603">
    <w:name w:val="link_w1"/>
    <w:qFormat/>
    <w:uiPriority w:val="0"/>
    <w:rPr>
      <w:color w:val="FFFFFF"/>
      <w:sz w:val="18"/>
      <w:szCs w:val="18"/>
    </w:rPr>
  </w:style>
  <w:style w:type="character" w:customStyle="1" w:styleId="604">
    <w:name w:val="style51"/>
    <w:qFormat/>
    <w:uiPriority w:val="0"/>
    <w:rPr>
      <w:b/>
      <w:bCs/>
      <w:color w:val="FF0000"/>
      <w:sz w:val="24"/>
      <w:szCs w:val="24"/>
    </w:rPr>
  </w:style>
  <w:style w:type="character" w:customStyle="1" w:styleId="605">
    <w:name w:val="style21"/>
    <w:qFormat/>
    <w:uiPriority w:val="0"/>
    <w:rPr>
      <w:sz w:val="21"/>
      <w:szCs w:val="21"/>
    </w:rPr>
  </w:style>
  <w:style w:type="character" w:customStyle="1" w:styleId="606">
    <w:name w:val="title"/>
    <w:qFormat/>
    <w:uiPriority w:val="0"/>
  </w:style>
  <w:style w:type="character" w:customStyle="1" w:styleId="607">
    <w:name w:val="ps01"/>
    <w:qFormat/>
    <w:uiPriority w:val="0"/>
  </w:style>
  <w:style w:type="character" w:customStyle="1" w:styleId="608">
    <w:name w:val="user0011"/>
    <w:qFormat/>
    <w:uiPriority w:val="0"/>
    <w:rPr>
      <w:sz w:val="18"/>
      <w:szCs w:val="18"/>
    </w:rPr>
  </w:style>
  <w:style w:type="character" w:customStyle="1" w:styleId="609">
    <w:name w:val="style11"/>
    <w:qFormat/>
    <w:uiPriority w:val="0"/>
    <w:rPr>
      <w:color w:val="FF0000"/>
    </w:rPr>
  </w:style>
  <w:style w:type="character" w:customStyle="1" w:styleId="610">
    <w:name w:val="normal--char1"/>
    <w:qFormat/>
    <w:uiPriority w:val="0"/>
    <w:rPr>
      <w:rFonts w:hint="default" w:ascii="Times New Roman" w:hAnsi="Times New Roman" w:cs="Times New Roman"/>
      <w:sz w:val="20"/>
      <w:szCs w:val="20"/>
      <w:u w:val="none"/>
    </w:rPr>
  </w:style>
  <w:style w:type="character" w:customStyle="1" w:styleId="611">
    <w:name w:val="报告表正文 Char Char"/>
    <w:qFormat/>
    <w:uiPriority w:val="0"/>
    <w:rPr>
      <w:rFonts w:eastAsia="楷体_GB2312"/>
      <w:kern w:val="2"/>
      <w:sz w:val="24"/>
      <w:szCs w:val="24"/>
      <w:lang w:val="en-US" w:eastAsia="zh-CN" w:bidi="ar-SA"/>
    </w:rPr>
  </w:style>
  <w:style w:type="character" w:customStyle="1" w:styleId="612">
    <w:name w:val="Char Char2"/>
    <w:qFormat/>
    <w:uiPriority w:val="0"/>
    <w:rPr>
      <w:rFonts w:eastAsia="宋体"/>
      <w:kern w:val="2"/>
      <w:sz w:val="18"/>
      <w:lang w:val="en-US" w:eastAsia="zh-CN" w:bidi="ar-SA"/>
    </w:rPr>
  </w:style>
  <w:style w:type="character" w:customStyle="1" w:styleId="613">
    <w:name w:val="abstract_page_text"/>
    <w:qFormat/>
    <w:uiPriority w:val="0"/>
  </w:style>
  <w:style w:type="character" w:customStyle="1" w:styleId="614">
    <w:name w:val="h31"/>
    <w:qFormat/>
    <w:uiPriority w:val="0"/>
    <w:rPr>
      <w:sz w:val="21"/>
      <w:szCs w:val="21"/>
    </w:rPr>
  </w:style>
  <w:style w:type="character" w:customStyle="1" w:styleId="615">
    <w:name w:val="tpc_content"/>
    <w:qFormat/>
    <w:uiPriority w:val="0"/>
  </w:style>
  <w:style w:type="character" w:customStyle="1" w:styleId="616">
    <w:name w:val="Char Char3"/>
    <w:semiHidden/>
    <w:qFormat/>
    <w:uiPriority w:val="0"/>
    <w:rPr>
      <w:kern w:val="2"/>
      <w:sz w:val="21"/>
      <w:szCs w:val="24"/>
    </w:rPr>
  </w:style>
  <w:style w:type="character" w:customStyle="1" w:styleId="617">
    <w:name w:val="文本条款 Char"/>
    <w:qFormat/>
    <w:uiPriority w:val="0"/>
    <w:rPr>
      <w:rFonts w:eastAsia="宋体"/>
      <w:kern w:val="2"/>
      <w:sz w:val="24"/>
      <w:lang w:val="en-US" w:eastAsia="zh-CN" w:bidi="ar-SA"/>
    </w:rPr>
  </w:style>
  <w:style w:type="character" w:customStyle="1" w:styleId="618">
    <w:name w:val="样式 首行缩进:  2 字符 Char Char Char Char"/>
    <w:link w:val="619"/>
    <w:qFormat/>
    <w:uiPriority w:val="0"/>
    <w:rPr>
      <w:rFonts w:eastAsia="创艺简仿宋"/>
      <w:kern w:val="2"/>
      <w:sz w:val="24"/>
      <w:szCs w:val="24"/>
    </w:rPr>
  </w:style>
  <w:style w:type="paragraph" w:customStyle="1" w:styleId="619">
    <w:name w:val="样式 首行缩进:  2 字符 Char Char Char"/>
    <w:basedOn w:val="1"/>
    <w:link w:val="618"/>
    <w:qFormat/>
    <w:uiPriority w:val="0"/>
    <w:pPr>
      <w:widowControl/>
      <w:topLinePunct/>
    </w:pPr>
    <w:rPr>
      <w:rFonts w:eastAsia="创艺简仿宋"/>
    </w:rPr>
  </w:style>
  <w:style w:type="character" w:customStyle="1" w:styleId="620">
    <w:name w:val="纯文本 Char1"/>
    <w:qFormat/>
    <w:uiPriority w:val="0"/>
    <w:rPr>
      <w:rFonts w:ascii="宋体" w:hAnsi="Courier New" w:eastAsia="宋体"/>
      <w:kern w:val="2"/>
      <w:sz w:val="21"/>
      <w:lang w:val="en-US" w:eastAsia="zh-CN" w:bidi="ar-SA"/>
    </w:rPr>
  </w:style>
  <w:style w:type="character" w:customStyle="1" w:styleId="621">
    <w:name w:val="君邦正文 Char4"/>
    <w:qFormat/>
    <w:uiPriority w:val="0"/>
    <w:rPr>
      <w:rFonts w:ascii="宋体" w:hAnsi="宋体" w:eastAsia="宋体" w:cs="宋体"/>
      <w:kern w:val="2"/>
      <w:sz w:val="24"/>
      <w:szCs w:val="24"/>
      <w:lang w:val="en-US" w:eastAsia="zh-CN" w:bidi="ar-SA"/>
    </w:rPr>
  </w:style>
  <w:style w:type="character" w:customStyle="1" w:styleId="622">
    <w:name w:val="表头字体 Char Char"/>
    <w:link w:val="623"/>
    <w:qFormat/>
    <w:uiPriority w:val="0"/>
    <w:rPr>
      <w:rFonts w:eastAsia="黑体"/>
      <w:b/>
      <w:kern w:val="2"/>
      <w:sz w:val="24"/>
      <w:szCs w:val="24"/>
    </w:rPr>
  </w:style>
  <w:style w:type="paragraph" w:customStyle="1" w:styleId="623">
    <w:name w:val="表头字体 Char"/>
    <w:basedOn w:val="1"/>
    <w:next w:val="1"/>
    <w:link w:val="622"/>
    <w:qFormat/>
    <w:uiPriority w:val="0"/>
    <w:pPr>
      <w:spacing w:line="240" w:lineRule="auto"/>
      <w:ind w:firstLine="0" w:firstLineChars="0"/>
      <w:jc w:val="center"/>
    </w:pPr>
    <w:rPr>
      <w:rFonts w:eastAsia="黑体"/>
      <w:b/>
    </w:rPr>
  </w:style>
  <w:style w:type="character" w:customStyle="1" w:styleId="624">
    <w:name w:val="textcontents"/>
    <w:qFormat/>
    <w:uiPriority w:val="0"/>
  </w:style>
  <w:style w:type="character" w:customStyle="1" w:styleId="625">
    <w:name w:val="biaoge"/>
    <w:qFormat/>
    <w:uiPriority w:val="0"/>
  </w:style>
  <w:style w:type="character" w:customStyle="1" w:styleId="626">
    <w:name w:val="ec_mean1"/>
    <w:qFormat/>
    <w:uiPriority w:val="0"/>
  </w:style>
  <w:style w:type="character" w:customStyle="1" w:styleId="627">
    <w:name w:val="style31"/>
    <w:qFormat/>
    <w:uiPriority w:val="0"/>
    <w:rPr>
      <w:b/>
      <w:bCs/>
      <w:color w:val="3795D2"/>
      <w:sz w:val="21"/>
      <w:szCs w:val="21"/>
    </w:rPr>
  </w:style>
  <w:style w:type="character" w:customStyle="1" w:styleId="628">
    <w:name w:val="表头 Char Char"/>
    <w:qFormat/>
    <w:uiPriority w:val="0"/>
    <w:rPr>
      <w:rFonts w:ascii="黑体" w:eastAsia="黑体"/>
      <w:bCs/>
      <w:sz w:val="24"/>
      <w:lang w:val="en-US" w:eastAsia="zh-CN" w:bidi="ar-SA"/>
    </w:rPr>
  </w:style>
  <w:style w:type="character" w:customStyle="1" w:styleId="629">
    <w:name w:val="样式1 Char Char"/>
    <w:qFormat/>
    <w:uiPriority w:val="0"/>
    <w:rPr>
      <w:rFonts w:ascii="仿宋_GB2312" w:eastAsia="仿宋_GB2312"/>
      <w:sz w:val="28"/>
      <w:lang w:val="en-US" w:eastAsia="zh-CN" w:bidi="ar-SA"/>
    </w:rPr>
  </w:style>
  <w:style w:type="character" w:customStyle="1" w:styleId="630">
    <w:name w:val="Char Char Char Char1"/>
    <w:qFormat/>
    <w:uiPriority w:val="0"/>
    <w:rPr>
      <w:rFonts w:eastAsia="宋体"/>
      <w:color w:val="000000"/>
      <w:kern w:val="2"/>
      <w:sz w:val="18"/>
      <w:szCs w:val="24"/>
      <w:lang w:val="en-US" w:eastAsia="zh-CN" w:bidi="ar-SA"/>
    </w:rPr>
  </w:style>
  <w:style w:type="character" w:customStyle="1" w:styleId="631">
    <w:name w:val="topic21"/>
    <w:qFormat/>
    <w:uiPriority w:val="0"/>
    <w:rPr>
      <w:b/>
      <w:bCs/>
      <w:color w:val="FFFFFF"/>
      <w:sz w:val="24"/>
      <w:szCs w:val="24"/>
      <w:u w:val="none"/>
    </w:rPr>
  </w:style>
  <w:style w:type="character" w:customStyle="1" w:styleId="632">
    <w:name w:val="unnamed2"/>
    <w:qFormat/>
    <w:uiPriority w:val="0"/>
  </w:style>
  <w:style w:type="character" w:customStyle="1" w:styleId="633">
    <w:name w:val="content11"/>
    <w:qFormat/>
    <w:uiPriority w:val="0"/>
    <w:rPr>
      <w:sz w:val="16"/>
      <w:szCs w:val="16"/>
    </w:rPr>
  </w:style>
  <w:style w:type="character" w:customStyle="1" w:styleId="634">
    <w:name w:val="asg"/>
    <w:qFormat/>
    <w:uiPriority w:val="0"/>
  </w:style>
  <w:style w:type="character" w:customStyle="1" w:styleId="635">
    <w:name w:val="图框 Char"/>
    <w:link w:val="636"/>
    <w:semiHidden/>
    <w:qFormat/>
    <w:uiPriority w:val="0"/>
    <w:rPr>
      <w:rFonts w:ascii="仿宋_GB2312" w:eastAsia="仿宋_GB2312"/>
      <w:kern w:val="2"/>
      <w:szCs w:val="24"/>
    </w:rPr>
  </w:style>
  <w:style w:type="paragraph" w:customStyle="1" w:styleId="636">
    <w:name w:val="图框"/>
    <w:basedOn w:val="1"/>
    <w:link w:val="635"/>
    <w:semiHidden/>
    <w:qFormat/>
    <w:uiPriority w:val="0"/>
    <w:pPr>
      <w:spacing w:line="240" w:lineRule="auto"/>
      <w:ind w:firstLine="0" w:firstLineChars="0"/>
      <w:jc w:val="center"/>
    </w:pPr>
    <w:rPr>
      <w:rFonts w:ascii="仿宋_GB2312" w:eastAsia="仿宋_GB2312"/>
      <w:sz w:val="20"/>
    </w:rPr>
  </w:style>
  <w:style w:type="character" w:customStyle="1" w:styleId="637">
    <w:name w:val="表内字体 Char"/>
    <w:link w:val="638"/>
    <w:semiHidden/>
    <w:qFormat/>
    <w:uiPriority w:val="0"/>
    <w:rPr>
      <w:sz w:val="18"/>
      <w:szCs w:val="18"/>
    </w:rPr>
  </w:style>
  <w:style w:type="paragraph" w:customStyle="1" w:styleId="638">
    <w:name w:val="表内字体"/>
    <w:basedOn w:val="639"/>
    <w:next w:val="473"/>
    <w:link w:val="637"/>
    <w:semiHidden/>
    <w:qFormat/>
    <w:uiPriority w:val="0"/>
    <w:pPr>
      <w:spacing w:line="240" w:lineRule="auto"/>
    </w:pPr>
    <w:rPr>
      <w:b w:val="0"/>
      <w:sz w:val="18"/>
      <w:szCs w:val="18"/>
    </w:rPr>
  </w:style>
  <w:style w:type="paragraph" w:customStyle="1" w:styleId="639">
    <w:name w:val="表头文字"/>
    <w:basedOn w:val="1"/>
    <w:semiHidden/>
    <w:qFormat/>
    <w:uiPriority w:val="0"/>
    <w:pPr>
      <w:adjustRightInd w:val="0"/>
      <w:snapToGrid w:val="0"/>
      <w:spacing w:line="400" w:lineRule="exact"/>
      <w:ind w:firstLine="0" w:firstLineChars="0"/>
      <w:jc w:val="center"/>
      <w:textAlignment w:val="baseline"/>
    </w:pPr>
    <w:rPr>
      <w:b/>
      <w:kern w:val="0"/>
      <w:sz w:val="21"/>
      <w:szCs w:val="20"/>
    </w:rPr>
  </w:style>
  <w:style w:type="character" w:customStyle="1" w:styleId="640">
    <w:name w:val="普通文字 Char Char Char"/>
    <w:qFormat/>
    <w:uiPriority w:val="0"/>
    <w:rPr>
      <w:rFonts w:ascii="宋体" w:hAnsi="Courier New" w:eastAsia="宋体"/>
      <w:kern w:val="2"/>
      <w:sz w:val="21"/>
      <w:lang w:val="en-US" w:eastAsia="zh-CN" w:bidi="ar-SA"/>
    </w:rPr>
  </w:style>
  <w:style w:type="character" w:customStyle="1" w:styleId="641">
    <w:name w:val="p111"/>
    <w:qFormat/>
    <w:uiPriority w:val="0"/>
    <w:rPr>
      <w:color w:val="000000"/>
      <w:sz w:val="18"/>
      <w:szCs w:val="18"/>
    </w:rPr>
  </w:style>
  <w:style w:type="character" w:customStyle="1" w:styleId="642">
    <w:name w:val="表头样式 Char"/>
    <w:link w:val="643"/>
    <w:semiHidden/>
    <w:qFormat/>
    <w:uiPriority w:val="0"/>
    <w:rPr>
      <w:rFonts w:eastAsia="楷体_GB2312"/>
      <w:b/>
      <w:kern w:val="2"/>
      <w:sz w:val="24"/>
      <w:szCs w:val="24"/>
    </w:rPr>
  </w:style>
  <w:style w:type="paragraph" w:customStyle="1" w:styleId="643">
    <w:name w:val="表头样式"/>
    <w:basedOn w:val="1"/>
    <w:next w:val="1"/>
    <w:link w:val="642"/>
    <w:semiHidden/>
    <w:qFormat/>
    <w:uiPriority w:val="0"/>
    <w:pPr>
      <w:snapToGrid w:val="0"/>
      <w:spacing w:line="240" w:lineRule="auto"/>
      <w:ind w:firstLine="0" w:firstLineChars="0"/>
      <w:jc w:val="center"/>
    </w:pPr>
    <w:rPr>
      <w:rFonts w:eastAsia="楷体_GB2312"/>
      <w:b/>
    </w:rPr>
  </w:style>
  <w:style w:type="character" w:customStyle="1" w:styleId="644">
    <w:name w:val="上标 Char"/>
    <w:link w:val="645"/>
    <w:qFormat/>
    <w:uiPriority w:val="0"/>
    <w:rPr>
      <w:rFonts w:ascii="宋体"/>
      <w:kern w:val="2"/>
      <w:sz w:val="28"/>
      <w:szCs w:val="28"/>
      <w:vertAlign w:val="superscript"/>
    </w:rPr>
  </w:style>
  <w:style w:type="paragraph" w:customStyle="1" w:styleId="645">
    <w:name w:val="上标"/>
    <w:basedOn w:val="1"/>
    <w:link w:val="644"/>
    <w:qFormat/>
    <w:uiPriority w:val="0"/>
    <w:pPr>
      <w:ind w:firstLine="480"/>
    </w:pPr>
    <w:rPr>
      <w:rFonts w:ascii="宋体"/>
      <w:sz w:val="28"/>
      <w:szCs w:val="28"/>
      <w:vertAlign w:val="superscript"/>
    </w:rPr>
  </w:style>
  <w:style w:type="character" w:customStyle="1" w:styleId="646">
    <w:name w:val="nfont14black"/>
    <w:qFormat/>
    <w:uiPriority w:val="0"/>
  </w:style>
  <w:style w:type="character" w:customStyle="1" w:styleId="647">
    <w:name w:val="郭彬 Char"/>
    <w:link w:val="648"/>
    <w:qFormat/>
    <w:uiPriority w:val="0"/>
    <w:rPr>
      <w:rFonts w:ascii="宋体" w:hAnsi="宋体"/>
      <w:kern w:val="2"/>
      <w:sz w:val="24"/>
      <w:szCs w:val="24"/>
    </w:rPr>
  </w:style>
  <w:style w:type="paragraph" w:customStyle="1" w:styleId="648">
    <w:name w:val="郭彬"/>
    <w:basedOn w:val="1"/>
    <w:link w:val="647"/>
    <w:qFormat/>
    <w:uiPriority w:val="0"/>
    <w:pPr>
      <w:spacing w:line="600" w:lineRule="exact"/>
      <w:ind w:firstLine="0" w:firstLineChars="0"/>
      <w:jc w:val="center"/>
    </w:pPr>
    <w:rPr>
      <w:rFonts w:ascii="宋体" w:hAnsi="宋体"/>
    </w:rPr>
  </w:style>
  <w:style w:type="character" w:customStyle="1" w:styleId="649">
    <w:name w:val="title detail style10"/>
    <w:qFormat/>
    <w:uiPriority w:val="0"/>
  </w:style>
  <w:style w:type="character" w:customStyle="1" w:styleId="650">
    <w:name w:val="表内字体 Char Char"/>
    <w:qFormat/>
    <w:uiPriority w:val="0"/>
    <w:rPr>
      <w:rFonts w:eastAsia="宋体"/>
      <w:kern w:val="2"/>
      <w:sz w:val="18"/>
      <w:szCs w:val="24"/>
      <w:lang w:val="en-US" w:eastAsia="zh-CN" w:bidi="ar-SA"/>
    </w:rPr>
  </w:style>
  <w:style w:type="character" w:customStyle="1" w:styleId="651">
    <w:name w:val="样式 环科院正文 Char Char + Times New Roman Char"/>
    <w:link w:val="652"/>
    <w:qFormat/>
    <w:uiPriority w:val="0"/>
    <w:rPr>
      <w:bCs/>
      <w:sz w:val="24"/>
      <w:szCs w:val="24"/>
    </w:rPr>
  </w:style>
  <w:style w:type="paragraph" w:customStyle="1" w:styleId="652">
    <w:name w:val="样式 环科院正文 Char Char + Times New Roman"/>
    <w:basedOn w:val="1"/>
    <w:link w:val="651"/>
    <w:qFormat/>
    <w:uiPriority w:val="0"/>
    <w:pPr>
      <w:spacing w:line="300" w:lineRule="auto"/>
    </w:pPr>
    <w:rPr>
      <w:bCs/>
      <w:kern w:val="0"/>
    </w:rPr>
  </w:style>
  <w:style w:type="character" w:customStyle="1" w:styleId="653">
    <w:name w:val="zw1"/>
    <w:qFormat/>
    <w:uiPriority w:val="0"/>
    <w:rPr>
      <w:rFonts w:hint="eastAsia" w:ascii="宋体" w:hAnsi="宋体" w:eastAsia="宋体"/>
      <w:sz w:val="22"/>
      <w:szCs w:val="22"/>
    </w:rPr>
  </w:style>
  <w:style w:type="character" w:customStyle="1" w:styleId="654">
    <w:name w:val="style421"/>
    <w:qFormat/>
    <w:uiPriority w:val="0"/>
    <w:rPr>
      <w:b/>
      <w:bCs/>
      <w:sz w:val="36"/>
      <w:szCs w:val="36"/>
    </w:rPr>
  </w:style>
  <w:style w:type="character" w:customStyle="1" w:styleId="655">
    <w:name w:val="标准条文 Char Char"/>
    <w:link w:val="656"/>
    <w:qFormat/>
    <w:uiPriority w:val="0"/>
    <w:rPr>
      <w:rFonts w:eastAsia="Times New Roman"/>
      <w:kern w:val="2"/>
      <w:sz w:val="21"/>
      <w:lang w:val="en-US" w:eastAsia="zh-CN" w:bidi="ar-SA"/>
    </w:rPr>
  </w:style>
  <w:style w:type="paragraph" w:customStyle="1" w:styleId="656">
    <w:name w:val="标准条文"/>
    <w:link w:val="655"/>
    <w:qFormat/>
    <w:uiPriority w:val="0"/>
    <w:pPr>
      <w:spacing w:beforeLines="20" w:afterLines="20"/>
      <w:ind w:firstLine="200" w:firstLineChars="200"/>
    </w:pPr>
    <w:rPr>
      <w:rFonts w:ascii="Times New Roman" w:hAnsi="Times New Roman" w:eastAsia="Times New Roman" w:cs="Times New Roman"/>
      <w:kern w:val="2"/>
      <w:sz w:val="21"/>
      <w:lang w:val="en-US" w:eastAsia="zh-CN" w:bidi="ar-SA"/>
    </w:rPr>
  </w:style>
  <w:style w:type="character" w:customStyle="1" w:styleId="657">
    <w:name w:val="样式 表标8.2 + 黑体 四号 Char"/>
    <w:link w:val="658"/>
    <w:qFormat/>
    <w:uiPriority w:val="0"/>
    <w:rPr>
      <w:rFonts w:ascii="黑体" w:hAnsi="黑体" w:eastAsia="黑体"/>
      <w:b/>
      <w:color w:val="000000"/>
      <w:kern w:val="2"/>
      <w:sz w:val="28"/>
    </w:rPr>
  </w:style>
  <w:style w:type="paragraph" w:customStyle="1" w:styleId="658">
    <w:name w:val="样式 表标8.2 + 黑体 四号"/>
    <w:basedOn w:val="1"/>
    <w:link w:val="657"/>
    <w:qFormat/>
    <w:uiPriority w:val="0"/>
    <w:pPr>
      <w:widowControl/>
      <w:tabs>
        <w:tab w:val="left" w:pos="360"/>
        <w:tab w:val="left" w:pos="1341"/>
        <w:tab w:val="left" w:pos="8207"/>
      </w:tabs>
      <w:adjustRightInd w:val="0"/>
      <w:snapToGrid w:val="0"/>
      <w:spacing w:before="120" w:line="0" w:lineRule="atLeast"/>
      <w:ind w:left="1341" w:firstLine="0" w:firstLineChars="0"/>
      <w:jc w:val="center"/>
      <w:textAlignment w:val="baseline"/>
    </w:pPr>
    <w:rPr>
      <w:rFonts w:ascii="黑体" w:hAnsi="黑体" w:eastAsia="黑体"/>
      <w:b/>
      <w:color w:val="000000"/>
      <w:sz w:val="28"/>
      <w:szCs w:val="20"/>
    </w:rPr>
  </w:style>
  <w:style w:type="character" w:customStyle="1" w:styleId="659">
    <w:name w:val="样式 标题 4 + 左侧:  0 厘米 悬挂缩进: 8.64 字符 段前: 6 磅 段后: 6 磅 行距: 单倍行距 Char Char"/>
    <w:link w:val="660"/>
    <w:qFormat/>
    <w:uiPriority w:val="0"/>
    <w:rPr>
      <w:rFonts w:ascii="Arial" w:hAnsi="Arial" w:eastAsia="黑体"/>
      <w:b/>
      <w:kern w:val="2"/>
      <w:sz w:val="24"/>
    </w:rPr>
  </w:style>
  <w:style w:type="paragraph" w:customStyle="1" w:styleId="660">
    <w:name w:val="样式 标题 4 + 左侧:  0 厘米 悬挂缩进: 8.64 字符 段前: 6 磅 段后: 6 磅 行距: 单倍行距"/>
    <w:basedOn w:val="5"/>
    <w:link w:val="659"/>
    <w:qFormat/>
    <w:uiPriority w:val="0"/>
    <w:pPr>
      <w:widowControl w:val="0"/>
      <w:numPr>
        <w:ilvl w:val="0"/>
        <w:numId w:val="0"/>
      </w:numPr>
      <w:tabs>
        <w:tab w:val="left" w:pos="0"/>
        <w:tab w:val="left" w:pos="592"/>
        <w:tab w:val="left" w:pos="2152"/>
        <w:tab w:val="clear" w:pos="864"/>
      </w:tabs>
      <w:adjustRightInd w:val="0"/>
      <w:snapToGrid w:val="0"/>
      <w:spacing w:before="120" w:after="120" w:line="312" w:lineRule="auto"/>
      <w:ind w:left="2152" w:hanging="420"/>
      <w:jc w:val="both"/>
    </w:pPr>
    <w:rPr>
      <w:rFonts w:ascii="Arial" w:hAnsi="Arial"/>
      <w:bCs w:val="0"/>
      <w:snapToGrid/>
      <w:kern w:val="2"/>
      <w:szCs w:val="20"/>
    </w:rPr>
  </w:style>
  <w:style w:type="character" w:customStyle="1" w:styleId="661">
    <w:name w:val="样式 题注 + 首行缩进:  2 字符2 Char"/>
    <w:link w:val="662"/>
    <w:qFormat/>
    <w:uiPriority w:val="0"/>
    <w:rPr>
      <w:rFonts w:ascii="黑体" w:hAnsi="宋体" w:eastAsia="黑体"/>
      <w:kern w:val="2"/>
      <w:sz w:val="24"/>
    </w:rPr>
  </w:style>
  <w:style w:type="paragraph" w:customStyle="1" w:styleId="662">
    <w:name w:val="样式 题注 + 首行缩进:  2 字符2"/>
    <w:basedOn w:val="20"/>
    <w:link w:val="661"/>
    <w:qFormat/>
    <w:uiPriority w:val="0"/>
    <w:pPr>
      <w:keepNext/>
      <w:adjustRightInd w:val="0"/>
      <w:snapToGrid w:val="0"/>
      <w:spacing w:before="0" w:after="0" w:line="240" w:lineRule="auto"/>
    </w:pPr>
    <w:rPr>
      <w:rFonts w:ascii="黑体" w:hAnsi="宋体" w:eastAsia="黑体"/>
    </w:rPr>
  </w:style>
  <w:style w:type="character" w:customStyle="1" w:styleId="663">
    <w:name w:val="图表标题 Char"/>
    <w:link w:val="664"/>
    <w:qFormat/>
    <w:uiPriority w:val="0"/>
    <w:rPr>
      <w:rFonts w:ascii="黑体" w:eastAsia="黑体"/>
      <w:b/>
      <w:color w:val="000000"/>
      <w:kern w:val="2"/>
      <w:sz w:val="24"/>
    </w:rPr>
  </w:style>
  <w:style w:type="paragraph" w:customStyle="1" w:styleId="664">
    <w:name w:val="图表标题"/>
    <w:basedOn w:val="308"/>
    <w:link w:val="663"/>
    <w:qFormat/>
    <w:uiPriority w:val="0"/>
    <w:pPr>
      <w:spacing w:line="360" w:lineRule="auto"/>
    </w:pPr>
    <w:rPr>
      <w:rFonts w:ascii="黑体" w:hAnsi="Times New Roman" w:eastAsia="黑体"/>
      <w:b/>
      <w:color w:val="000000"/>
      <w:kern w:val="2"/>
    </w:rPr>
  </w:style>
  <w:style w:type="character" w:customStyle="1" w:styleId="665">
    <w:name w:val="正文文字 Char Char"/>
    <w:qFormat/>
    <w:uiPriority w:val="0"/>
    <w:rPr>
      <w:rFonts w:ascii="Times" w:hAnsi="Times" w:eastAsia="宋体"/>
      <w:kern w:val="24"/>
      <w:sz w:val="24"/>
      <w:szCs w:val="24"/>
      <w:lang w:val="en-US" w:eastAsia="zh-CN" w:bidi="ar-SA"/>
    </w:rPr>
  </w:style>
  <w:style w:type="character" w:customStyle="1" w:styleId="666">
    <w:name w:val="表格标题 Char"/>
    <w:link w:val="667"/>
    <w:qFormat/>
    <w:uiPriority w:val="0"/>
    <w:rPr>
      <w:rFonts w:ascii="黑体" w:eastAsia="黑体"/>
      <w:color w:val="000000"/>
      <w:sz w:val="28"/>
      <w:szCs w:val="28"/>
    </w:rPr>
  </w:style>
  <w:style w:type="paragraph" w:customStyle="1" w:styleId="667">
    <w:name w:val="表格标题"/>
    <w:basedOn w:val="31"/>
    <w:next w:val="1"/>
    <w:link w:val="666"/>
    <w:qFormat/>
    <w:uiPriority w:val="0"/>
    <w:pPr>
      <w:autoSpaceDE w:val="0"/>
      <w:autoSpaceDN w:val="0"/>
      <w:adjustRightInd w:val="0"/>
      <w:spacing w:beforeLines="50" w:afterLines="50" w:line="240" w:lineRule="auto"/>
      <w:ind w:firstLine="0" w:firstLineChars="0"/>
      <w:jc w:val="center"/>
    </w:pPr>
    <w:rPr>
      <w:rFonts w:ascii="黑体" w:eastAsia="黑体"/>
      <w:color w:val="000000"/>
      <w:kern w:val="0"/>
      <w:sz w:val="28"/>
      <w:szCs w:val="28"/>
    </w:rPr>
  </w:style>
  <w:style w:type="character" w:customStyle="1" w:styleId="668">
    <w:name w:val="apple-style-span"/>
    <w:qFormat/>
    <w:uiPriority w:val="0"/>
  </w:style>
  <w:style w:type="character" w:customStyle="1" w:styleId="669">
    <w:name w:val="Char Char5"/>
    <w:qFormat/>
    <w:uiPriority w:val="0"/>
    <w:rPr>
      <w:rFonts w:eastAsia="PMingLiU"/>
      <w:b/>
      <w:kern w:val="2"/>
      <w:sz w:val="32"/>
      <w:szCs w:val="24"/>
      <w:lang w:val="en-US" w:eastAsia="zh-TW" w:bidi="ar-SA"/>
    </w:rPr>
  </w:style>
  <w:style w:type="character" w:customStyle="1" w:styleId="670">
    <w:name w:val="main_tdbg_800"/>
    <w:qFormat/>
    <w:uiPriority w:val="0"/>
  </w:style>
  <w:style w:type="character" w:customStyle="1" w:styleId="671">
    <w:name w:val="样式 君邦正文 + 蓝色1 Char"/>
    <w:link w:val="672"/>
    <w:qFormat/>
    <w:uiPriority w:val="0"/>
    <w:rPr>
      <w:snapToGrid/>
      <w:color w:val="0000FF"/>
      <w:sz w:val="24"/>
    </w:rPr>
  </w:style>
  <w:style w:type="paragraph" w:customStyle="1" w:styleId="672">
    <w:name w:val="样式 君邦正文 + 蓝色1"/>
    <w:basedOn w:val="473"/>
    <w:link w:val="671"/>
    <w:qFormat/>
    <w:uiPriority w:val="0"/>
    <w:rPr>
      <w:bCs w:val="0"/>
      <w:color w:val="0000FF"/>
    </w:rPr>
  </w:style>
  <w:style w:type="character" w:customStyle="1" w:styleId="673">
    <w:name w:val="main_matter_td_41"/>
    <w:qFormat/>
    <w:uiPriority w:val="0"/>
    <w:rPr>
      <w:color w:val="0D357E"/>
      <w:sz w:val="18"/>
      <w:szCs w:val="18"/>
    </w:rPr>
  </w:style>
  <w:style w:type="character" w:customStyle="1" w:styleId="674">
    <w:name w:val="环科院表格标题 Char"/>
    <w:link w:val="675"/>
    <w:qFormat/>
    <w:uiPriority w:val="0"/>
    <w:rPr>
      <w:rFonts w:eastAsia="黑体"/>
      <w:kern w:val="2"/>
      <w:sz w:val="24"/>
      <w:szCs w:val="24"/>
    </w:rPr>
  </w:style>
  <w:style w:type="paragraph" w:customStyle="1" w:styleId="675">
    <w:name w:val="环科院表格标题"/>
    <w:basedOn w:val="1"/>
    <w:link w:val="674"/>
    <w:qFormat/>
    <w:uiPriority w:val="0"/>
    <w:pPr>
      <w:widowControl/>
      <w:topLinePunct/>
      <w:spacing w:beforeLines="50" w:line="240" w:lineRule="auto"/>
      <w:ind w:firstLine="0" w:firstLineChars="0"/>
      <w:jc w:val="center"/>
    </w:pPr>
    <w:rPr>
      <w:rFonts w:eastAsia="黑体"/>
    </w:rPr>
  </w:style>
  <w:style w:type="character" w:customStyle="1" w:styleId="676">
    <w:name w:val="环科院正文 Char"/>
    <w:link w:val="677"/>
    <w:qFormat/>
    <w:uiPriority w:val="0"/>
    <w:rPr>
      <w:rFonts w:ascii="宋体" w:hAnsi="宋体"/>
      <w:sz w:val="24"/>
      <w:szCs w:val="24"/>
      <w:u w:val="none" w:color="000000"/>
    </w:rPr>
  </w:style>
  <w:style w:type="paragraph" w:customStyle="1" w:styleId="677">
    <w:name w:val="环科院正文"/>
    <w:basedOn w:val="1"/>
    <w:link w:val="676"/>
    <w:qFormat/>
    <w:uiPriority w:val="0"/>
    <w:pPr>
      <w:spacing w:line="300" w:lineRule="auto"/>
      <w:ind w:firstLine="425" w:firstLineChars="177"/>
    </w:pPr>
    <w:rPr>
      <w:rFonts w:ascii="宋体" w:hAnsi="宋体"/>
      <w:kern w:val="0"/>
      <w:u w:val="none" w:color="000000"/>
    </w:rPr>
  </w:style>
  <w:style w:type="character" w:customStyle="1" w:styleId="678">
    <w:name w:val="环科院标题4 Char"/>
    <w:link w:val="679"/>
    <w:qFormat/>
    <w:uiPriority w:val="0"/>
    <w:rPr>
      <w:rFonts w:hAnsi="宋体"/>
      <w:kern w:val="2"/>
      <w:sz w:val="24"/>
      <w:szCs w:val="24"/>
    </w:rPr>
  </w:style>
  <w:style w:type="paragraph" w:customStyle="1" w:styleId="679">
    <w:name w:val="环科院标题4"/>
    <w:basedOn w:val="1"/>
    <w:link w:val="678"/>
    <w:qFormat/>
    <w:uiPriority w:val="0"/>
    <w:pPr>
      <w:spacing w:line="300" w:lineRule="auto"/>
      <w:ind w:firstLine="425" w:firstLineChars="177"/>
    </w:pPr>
    <w:rPr>
      <w:rFonts w:hAnsi="宋体"/>
    </w:rPr>
  </w:style>
  <w:style w:type="character" w:customStyle="1" w:styleId="680">
    <w:name w:val="t_tag"/>
    <w:qFormat/>
    <w:uiPriority w:val="0"/>
  </w:style>
  <w:style w:type="character" w:customStyle="1" w:styleId="681">
    <w:name w:val="样式 环科 所正文 + Times New Roman Char"/>
    <w:link w:val="682"/>
    <w:qFormat/>
    <w:uiPriority w:val="0"/>
    <w:rPr>
      <w:rFonts w:eastAsia="仿宋_GB2312" w:cs="宋体"/>
      <w:sz w:val="24"/>
      <w:szCs w:val="24"/>
    </w:rPr>
  </w:style>
  <w:style w:type="paragraph" w:customStyle="1" w:styleId="682">
    <w:name w:val="样式 环科 所正文 + Times New Roman"/>
    <w:basedOn w:val="1"/>
    <w:link w:val="681"/>
    <w:qFormat/>
    <w:uiPriority w:val="0"/>
    <w:rPr>
      <w:rFonts w:eastAsia="仿宋_GB2312"/>
      <w:kern w:val="0"/>
    </w:rPr>
  </w:style>
  <w:style w:type="character" w:customStyle="1" w:styleId="683">
    <w:name w:val="正文（首行缩进两字）1 Char Char Char Char Char Char"/>
    <w:qFormat/>
    <w:uiPriority w:val="0"/>
    <w:rPr>
      <w:rFonts w:eastAsia="仿宋_GB2312"/>
      <w:kern w:val="2"/>
      <w:sz w:val="28"/>
      <w:szCs w:val="28"/>
      <w:lang w:val="en-US" w:eastAsia="zh-CN" w:bidi="ar-SA"/>
    </w:rPr>
  </w:style>
  <w:style w:type="character" w:customStyle="1" w:styleId="684">
    <w:name w:val="样式 正文1 Char Char + 字距调整七号 Char1 Char Char"/>
    <w:qFormat/>
    <w:uiPriority w:val="0"/>
    <w:rPr>
      <w:rFonts w:eastAsia="宋体"/>
      <w:kern w:val="11"/>
      <w:sz w:val="24"/>
      <w:szCs w:val="28"/>
      <w:lang w:val="en-US" w:eastAsia="zh-CN" w:bidi="ar-SA"/>
    </w:rPr>
  </w:style>
  <w:style w:type="character" w:customStyle="1" w:styleId="685">
    <w:name w:val="正文1 Char Char1"/>
    <w:qFormat/>
    <w:uiPriority w:val="0"/>
    <w:rPr>
      <w:rFonts w:eastAsia="仿宋_GB2312"/>
      <w:snapToGrid w:val="0"/>
      <w:kern w:val="2"/>
      <w:sz w:val="28"/>
      <w:szCs w:val="28"/>
      <w:lang w:val="en-US" w:eastAsia="zh-CN" w:bidi="ar-SA"/>
    </w:rPr>
  </w:style>
  <w:style w:type="character" w:customStyle="1" w:styleId="686">
    <w:name w:val="表头 Char1"/>
    <w:qFormat/>
    <w:uiPriority w:val="0"/>
    <w:rPr>
      <w:rFonts w:ascii="黑体" w:eastAsia="黑体"/>
      <w:kern w:val="2"/>
      <w:sz w:val="24"/>
      <w:szCs w:val="24"/>
      <w:lang w:val="en-US" w:eastAsia="zh-CN" w:bidi="ar-SA"/>
    </w:rPr>
  </w:style>
  <w:style w:type="character" w:customStyle="1" w:styleId="687">
    <w:name w:val="Header Char"/>
    <w:semiHidden/>
    <w:qFormat/>
    <w:uiPriority w:val="0"/>
    <w:rPr>
      <w:rFonts w:cs="Times New Roman"/>
      <w:sz w:val="18"/>
      <w:szCs w:val="18"/>
    </w:rPr>
  </w:style>
  <w:style w:type="character" w:customStyle="1" w:styleId="688">
    <w:name w:val="1. Char"/>
    <w:link w:val="689"/>
    <w:qFormat/>
    <w:uiPriority w:val="0"/>
    <w:rPr>
      <w:rFonts w:ascii="Arial" w:hAnsi="Arial" w:eastAsia="MS Gothic"/>
      <w:sz w:val="24"/>
      <w:lang w:eastAsia="ja-JP"/>
    </w:rPr>
  </w:style>
  <w:style w:type="paragraph" w:customStyle="1" w:styleId="689">
    <w:name w:val="1."/>
    <w:basedOn w:val="1"/>
    <w:link w:val="688"/>
    <w:qFormat/>
    <w:uiPriority w:val="0"/>
    <w:pPr>
      <w:tabs>
        <w:tab w:val="left" w:pos="805"/>
        <w:tab w:val="left" w:pos="4536"/>
        <w:tab w:val="left" w:pos="4820"/>
      </w:tabs>
      <w:adjustRightInd w:val="0"/>
      <w:spacing w:line="368" w:lineRule="exact"/>
      <w:ind w:left="567" w:hanging="567" w:firstLineChars="0"/>
      <w:textAlignment w:val="baseline"/>
    </w:pPr>
    <w:rPr>
      <w:rFonts w:ascii="Arial" w:hAnsi="Arial" w:eastAsia="MS Gothic"/>
      <w:kern w:val="0"/>
      <w:szCs w:val="20"/>
      <w:lang w:eastAsia="ja-JP"/>
    </w:rPr>
  </w:style>
  <w:style w:type="character" w:customStyle="1" w:styleId="690">
    <w:name w:val="text"/>
    <w:qFormat/>
    <w:uiPriority w:val="0"/>
  </w:style>
  <w:style w:type="character" w:customStyle="1" w:styleId="691">
    <w:name w:val="数据来源 Char"/>
    <w:link w:val="692"/>
    <w:qFormat/>
    <w:uiPriority w:val="0"/>
    <w:rPr>
      <w:rFonts w:ascii="宋体" w:hAnsi="宋体" w:eastAsia="楷体_GB2312"/>
      <w:sz w:val="18"/>
      <w:szCs w:val="24"/>
    </w:rPr>
  </w:style>
  <w:style w:type="paragraph" w:customStyle="1" w:styleId="692">
    <w:name w:val="数据来源"/>
    <w:basedOn w:val="1"/>
    <w:next w:val="1"/>
    <w:link w:val="691"/>
    <w:qFormat/>
    <w:uiPriority w:val="0"/>
    <w:pPr>
      <w:tabs>
        <w:tab w:val="left" w:pos="1440"/>
      </w:tabs>
      <w:spacing w:line="240" w:lineRule="atLeast"/>
      <w:ind w:left="960" w:leftChars="400" w:firstLine="0" w:firstLineChars="0"/>
    </w:pPr>
    <w:rPr>
      <w:rFonts w:ascii="宋体" w:hAnsi="宋体" w:eastAsia="楷体_GB2312"/>
      <w:kern w:val="0"/>
      <w:sz w:val="18"/>
    </w:rPr>
  </w:style>
  <w:style w:type="character" w:customStyle="1" w:styleId="693">
    <w:name w:val="注释 Char"/>
    <w:link w:val="694"/>
    <w:qFormat/>
    <w:uiPriority w:val="0"/>
    <w:rPr>
      <w:rFonts w:ascii="Arial" w:hAnsi="Arial"/>
      <w:color w:val="000000"/>
      <w:kern w:val="2"/>
      <w:sz w:val="18"/>
      <w:szCs w:val="18"/>
    </w:rPr>
  </w:style>
  <w:style w:type="paragraph" w:customStyle="1" w:styleId="694">
    <w:name w:val="注释"/>
    <w:basedOn w:val="259"/>
    <w:link w:val="693"/>
    <w:qFormat/>
    <w:uiPriority w:val="0"/>
    <w:pPr>
      <w:tabs>
        <w:tab w:val="left" w:pos="432"/>
      </w:tabs>
      <w:autoSpaceDE/>
      <w:autoSpaceDN/>
      <w:adjustRightInd/>
      <w:spacing w:line="360" w:lineRule="exact"/>
      <w:jc w:val="both"/>
    </w:pPr>
    <w:rPr>
      <w:rFonts w:ascii="Arial" w:hAnsi="Arial" w:eastAsia="宋体"/>
      <w:color w:val="000000"/>
      <w:kern w:val="2"/>
      <w:sz w:val="18"/>
      <w:szCs w:val="18"/>
    </w:rPr>
  </w:style>
  <w:style w:type="paragraph" w:customStyle="1" w:styleId="695">
    <w:name w:val="本文１"/>
    <w:basedOn w:val="1"/>
    <w:qFormat/>
    <w:uiPriority w:val="0"/>
    <w:pPr>
      <w:spacing w:line="240" w:lineRule="auto"/>
      <w:ind w:firstLine="0" w:firstLineChars="0"/>
    </w:pPr>
    <w:rPr>
      <w:rFonts w:ascii="Century" w:hAnsi="Century" w:eastAsia="MS Mincho"/>
      <w:sz w:val="21"/>
      <w:szCs w:val="20"/>
      <w:lang w:eastAsia="ja-JP"/>
    </w:rPr>
  </w:style>
  <w:style w:type="paragraph" w:customStyle="1" w:styleId="696">
    <w:name w:val="Norm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697">
    <w:name w:val="样式 标题 3条标题1.1.1h3H3level_3PIM 3Level 3 HeadHeading 3 - ol..."/>
    <w:basedOn w:val="4"/>
    <w:qFormat/>
    <w:uiPriority w:val="0"/>
    <w:pPr>
      <w:widowControl w:val="0"/>
      <w:numPr>
        <w:ilvl w:val="0"/>
        <w:numId w:val="0"/>
      </w:numPr>
      <w:tabs>
        <w:tab w:val="clear" w:pos="816"/>
      </w:tabs>
      <w:adjustRightInd w:val="0"/>
      <w:snapToGrid w:val="0"/>
      <w:spacing w:before="0" w:beforeLines="0" w:after="0" w:afterLines="0" w:line="360" w:lineRule="auto"/>
      <w:jc w:val="both"/>
      <w:textAlignment w:val="baseline"/>
    </w:pPr>
    <w:rPr>
      <w:rFonts w:eastAsia="仿宋_GB2312" w:cs="宋体"/>
      <w:kern w:val="0"/>
      <w:szCs w:val="28"/>
    </w:rPr>
  </w:style>
  <w:style w:type="paragraph" w:customStyle="1" w:styleId="698">
    <w:name w:val=".."/>
    <w:basedOn w:val="1"/>
    <w:next w:val="1"/>
    <w:qFormat/>
    <w:uiPriority w:val="0"/>
    <w:pPr>
      <w:autoSpaceDE w:val="0"/>
      <w:autoSpaceDN w:val="0"/>
      <w:adjustRightInd w:val="0"/>
      <w:spacing w:line="240" w:lineRule="auto"/>
      <w:ind w:firstLine="0" w:firstLineChars="0"/>
      <w:jc w:val="left"/>
    </w:pPr>
    <w:rPr>
      <w:rFonts w:ascii="宋体"/>
      <w:kern w:val="0"/>
    </w:rPr>
  </w:style>
  <w:style w:type="paragraph" w:customStyle="1" w:styleId="699">
    <w:name w:val="正文居中"/>
    <w:basedOn w:val="1"/>
    <w:next w:val="1"/>
    <w:semiHidden/>
    <w:qFormat/>
    <w:uiPriority w:val="0"/>
    <w:pPr>
      <w:widowControl/>
      <w:snapToGrid w:val="0"/>
      <w:ind w:firstLine="0" w:firstLineChars="0"/>
      <w:jc w:val="center"/>
    </w:pPr>
    <w:rPr>
      <w:rFonts w:ascii="宋体" w:hAnsi="宋体"/>
      <w:spacing w:val="8"/>
      <w:kern w:val="21"/>
      <w:szCs w:val="20"/>
    </w:rPr>
  </w:style>
  <w:style w:type="paragraph" w:customStyle="1" w:styleId="700">
    <w:name w:val="样式 首行缩进:  2 字符"/>
    <w:basedOn w:val="1"/>
    <w:link w:val="701"/>
    <w:qFormat/>
    <w:uiPriority w:val="0"/>
    <w:pPr>
      <w:spacing w:beforeLines="50" w:afterLines="50"/>
    </w:pPr>
    <w:rPr>
      <w:szCs w:val="20"/>
    </w:rPr>
  </w:style>
  <w:style w:type="character" w:customStyle="1" w:styleId="701">
    <w:name w:val="样式 首行缩进:  2 字符 Char"/>
    <w:link w:val="700"/>
    <w:qFormat/>
    <w:uiPriority w:val="0"/>
    <w:rPr>
      <w:kern w:val="2"/>
      <w:sz w:val="24"/>
    </w:rPr>
  </w:style>
  <w:style w:type="paragraph" w:customStyle="1" w:styleId="702">
    <w:name w:val="font8"/>
    <w:basedOn w:val="1"/>
    <w:qFormat/>
    <w:uiPriority w:val="0"/>
    <w:pPr>
      <w:widowControl/>
      <w:spacing w:before="100" w:beforeAutospacing="1" w:after="100" w:afterAutospacing="1" w:line="240" w:lineRule="auto"/>
      <w:ind w:firstLine="0" w:firstLineChars="0"/>
      <w:jc w:val="left"/>
    </w:pPr>
    <w:rPr>
      <w:rFonts w:hint="eastAsia" w:ascii="宋体" w:hAnsi="宋体" w:cs="Arial Unicode MS"/>
      <w:kern w:val="0"/>
      <w:sz w:val="16"/>
      <w:szCs w:val="16"/>
    </w:rPr>
  </w:style>
  <w:style w:type="paragraph" w:customStyle="1" w:styleId="703">
    <w:name w:val="表的内容"/>
    <w:basedOn w:val="1"/>
    <w:next w:val="1"/>
    <w:qFormat/>
    <w:uiPriority w:val="0"/>
    <w:pPr>
      <w:spacing w:line="240" w:lineRule="auto"/>
      <w:ind w:firstLine="0" w:firstLineChars="0"/>
    </w:pPr>
    <w:rPr>
      <w:position w:val="-20"/>
      <w:sz w:val="21"/>
    </w:rPr>
  </w:style>
  <w:style w:type="paragraph" w:customStyle="1" w:styleId="704">
    <w:name w:val="正文文本 21"/>
    <w:basedOn w:val="1"/>
    <w:semiHidden/>
    <w:qFormat/>
    <w:uiPriority w:val="0"/>
    <w:pPr>
      <w:autoSpaceDE w:val="0"/>
      <w:autoSpaceDN w:val="0"/>
      <w:adjustRightInd w:val="0"/>
      <w:spacing w:line="360" w:lineRule="atLeast"/>
      <w:ind w:firstLine="454"/>
      <w:jc w:val="left"/>
      <w:textAlignment w:val="baseline"/>
    </w:pPr>
    <w:rPr>
      <w:rFonts w:ascii="宋体" w:hAnsi="Tms Rmn" w:eastAsia="仿宋_GB2312"/>
      <w:spacing w:val="4"/>
      <w:kern w:val="0"/>
      <w:sz w:val="28"/>
      <w:szCs w:val="20"/>
    </w:rPr>
  </w:style>
  <w:style w:type="paragraph" w:customStyle="1" w:styleId="705">
    <w:name w:val="样式 标题 3 + 行距: 固定值 30 磅"/>
    <w:basedOn w:val="4"/>
    <w:qFormat/>
    <w:uiPriority w:val="0"/>
    <w:pPr>
      <w:widowControl w:val="0"/>
      <w:numPr>
        <w:ilvl w:val="0"/>
        <w:numId w:val="0"/>
      </w:numPr>
      <w:tabs>
        <w:tab w:val="left" w:pos="486"/>
        <w:tab w:val="left" w:pos="709"/>
        <w:tab w:val="clear" w:pos="720"/>
        <w:tab w:val="clear" w:pos="816"/>
      </w:tabs>
      <w:adjustRightInd w:val="0"/>
      <w:spacing w:before="0" w:beforeLines="0" w:after="60" w:afterLines="0" w:line="600" w:lineRule="exact"/>
      <w:ind w:left="567" w:hanging="709"/>
    </w:pPr>
    <w:rPr>
      <w:rFonts w:eastAsia="黑体" w:cs="宋体"/>
      <w:szCs w:val="20"/>
    </w:rPr>
  </w:style>
  <w:style w:type="paragraph" w:customStyle="1" w:styleId="706">
    <w:name w:val="插图1"/>
    <w:basedOn w:val="1"/>
    <w:qFormat/>
    <w:uiPriority w:val="0"/>
    <w:pPr>
      <w:suppressLineNumbers/>
      <w:suppressAutoHyphens/>
      <w:topLinePunct/>
      <w:adjustRightInd w:val="0"/>
      <w:snapToGrid w:val="0"/>
      <w:spacing w:beforeLines="20"/>
      <w:ind w:firstLine="0" w:firstLineChars="0"/>
      <w:jc w:val="center"/>
    </w:pPr>
    <w:rPr>
      <w:b/>
      <w:sz w:val="21"/>
      <w:szCs w:val="21"/>
    </w:rPr>
  </w:style>
  <w:style w:type="paragraph" w:customStyle="1" w:styleId="707">
    <w:name w:val="Char Char2 Char"/>
    <w:basedOn w:val="1"/>
    <w:qFormat/>
    <w:uiPriority w:val="0"/>
    <w:rPr>
      <w:rFonts w:ascii="宋体" w:hAnsi="宋体" w:cs="宋体"/>
    </w:rPr>
  </w:style>
  <w:style w:type="paragraph" w:customStyle="1" w:styleId="708">
    <w:name w:val="CM12"/>
    <w:basedOn w:val="188"/>
    <w:next w:val="188"/>
    <w:qFormat/>
    <w:uiPriority w:val="0"/>
    <w:pPr>
      <w:spacing w:line="626" w:lineRule="atLeast"/>
    </w:pPr>
    <w:rPr>
      <w:rFonts w:ascii="宋体"/>
      <w:color w:val="auto"/>
    </w:rPr>
  </w:style>
  <w:style w:type="paragraph" w:customStyle="1" w:styleId="709">
    <w:name w:val="xl67"/>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710">
    <w:name w:val="Char4"/>
    <w:basedOn w:val="1"/>
    <w:qFormat/>
    <w:uiPriority w:val="0"/>
    <w:rPr>
      <w:rFonts w:ascii="宋体" w:hAnsi="宋体" w:cs="宋体"/>
    </w:rPr>
  </w:style>
  <w:style w:type="paragraph" w:customStyle="1" w:styleId="711">
    <w:name w:val="列表名称 Char Char Char Char"/>
    <w:basedOn w:val="1"/>
    <w:qFormat/>
    <w:uiPriority w:val="0"/>
    <w:pPr>
      <w:tabs>
        <w:tab w:val="left" w:pos="3777"/>
        <w:tab w:val="left" w:pos="5106"/>
        <w:tab w:val="left" w:pos="6313"/>
        <w:tab w:val="left" w:pos="7998"/>
        <w:tab w:val="left" w:pos="9238"/>
      </w:tabs>
      <w:spacing w:line="480" w:lineRule="exact"/>
      <w:ind w:firstLine="0" w:firstLineChars="0"/>
      <w:jc w:val="center"/>
    </w:pPr>
    <w:rPr>
      <w:rFonts w:eastAsia="黑体"/>
      <w:bCs/>
    </w:rPr>
  </w:style>
  <w:style w:type="paragraph" w:customStyle="1" w:styleId="712">
    <w:name w:val="正文（行首缩进）"/>
    <w:basedOn w:val="1"/>
    <w:qFormat/>
    <w:uiPriority w:val="0"/>
    <w:pPr>
      <w:spacing w:afterLines="50"/>
    </w:pPr>
    <w:rPr>
      <w:kern w:val="0"/>
      <w:szCs w:val="20"/>
    </w:rPr>
  </w:style>
  <w:style w:type="paragraph" w:customStyle="1" w:styleId="713">
    <w:name w:val="xl86"/>
    <w:basedOn w:val="1"/>
    <w:qFormat/>
    <w:uiPriority w:val="0"/>
    <w:pPr>
      <w:widowControl/>
      <w:spacing w:before="100" w:beforeAutospacing="1" w:after="100" w:afterAutospacing="1" w:line="240" w:lineRule="auto"/>
      <w:ind w:firstLine="0" w:firstLineChars="0"/>
      <w:jc w:val="center"/>
    </w:pPr>
    <w:rPr>
      <w:rFonts w:ascii="宋体" w:hAnsi="宋体" w:cs="宋体"/>
      <w:color w:val="0000FF"/>
      <w:kern w:val="0"/>
      <w:sz w:val="18"/>
      <w:szCs w:val="18"/>
    </w:rPr>
  </w:style>
  <w:style w:type="paragraph" w:customStyle="1" w:styleId="714">
    <w:name w:val="图头"/>
    <w:basedOn w:val="1"/>
    <w:qFormat/>
    <w:uiPriority w:val="0"/>
    <w:pPr>
      <w:spacing w:beforeLines="50" w:afterLines="50" w:line="520" w:lineRule="exact"/>
    </w:pPr>
    <w:rPr>
      <w:rFonts w:ascii="黑体" w:eastAsia="黑体"/>
      <w:b/>
      <w:bCs/>
    </w:rPr>
  </w:style>
  <w:style w:type="paragraph" w:customStyle="1" w:styleId="715">
    <w:name w:val="样式 标题 4 + 宋体"/>
    <w:basedOn w:val="5"/>
    <w:semiHidden/>
    <w:qFormat/>
    <w:uiPriority w:val="0"/>
    <w:pPr>
      <w:widowControl w:val="0"/>
      <w:numPr>
        <w:ilvl w:val="0"/>
        <w:numId w:val="0"/>
      </w:numPr>
      <w:tabs>
        <w:tab w:val="clear" w:pos="864"/>
      </w:tabs>
      <w:spacing w:line="240" w:lineRule="auto"/>
      <w:jc w:val="both"/>
    </w:pPr>
    <w:rPr>
      <w:rFonts w:ascii="宋体" w:hAnsi="宋体" w:eastAsia="宋体"/>
      <w:b w:val="0"/>
      <w:snapToGrid/>
      <w:color w:val="000000"/>
      <w:kern w:val="0"/>
      <w:sz w:val="28"/>
      <w:szCs w:val="28"/>
    </w:rPr>
  </w:style>
  <w:style w:type="paragraph" w:customStyle="1" w:styleId="716">
    <w:name w:val="表内-文字"/>
    <w:basedOn w:val="1"/>
    <w:qFormat/>
    <w:uiPriority w:val="0"/>
    <w:pPr>
      <w:widowControl/>
      <w:topLinePunct/>
      <w:spacing w:line="320" w:lineRule="exact"/>
      <w:ind w:firstLine="0" w:firstLineChars="0"/>
      <w:jc w:val="center"/>
    </w:pPr>
    <w:rPr>
      <w:rFonts w:eastAsia="楷体_GB2312" w:cs="宋体"/>
      <w:bCs/>
      <w:color w:val="000000"/>
      <w:szCs w:val="21"/>
    </w:rPr>
  </w:style>
  <w:style w:type="paragraph" w:customStyle="1" w:styleId="717">
    <w:name w:val="自定义正文"/>
    <w:basedOn w:val="1"/>
    <w:qFormat/>
    <w:uiPriority w:val="0"/>
    <w:pPr>
      <w:adjustRightInd w:val="0"/>
      <w:ind w:firstLine="560"/>
      <w:textAlignment w:val="baseline"/>
    </w:pPr>
    <w:rPr>
      <w:kern w:val="0"/>
      <w:sz w:val="28"/>
      <w:szCs w:val="20"/>
    </w:rPr>
  </w:style>
  <w:style w:type="paragraph" w:customStyle="1" w:styleId="718">
    <w:name w:val="表格2（柞行）"/>
    <w:basedOn w:val="259"/>
    <w:qFormat/>
    <w:uiPriority w:val="0"/>
    <w:pPr>
      <w:tabs>
        <w:tab w:val="left" w:pos="432"/>
      </w:tabs>
      <w:autoSpaceDE/>
      <w:autoSpaceDN/>
      <w:adjustRightInd/>
      <w:spacing w:line="320" w:lineRule="exact"/>
      <w:ind w:left="-10" w:leftChars="-20" w:right="-10" w:rightChars="-20"/>
    </w:pPr>
    <w:rPr>
      <w:rFonts w:ascii="Arial" w:hAnsi="Arial" w:eastAsia="宋体"/>
      <w:kern w:val="2"/>
      <w:szCs w:val="21"/>
      <w:lang w:val="en-US" w:eastAsia="zh-CN"/>
    </w:rPr>
  </w:style>
  <w:style w:type="paragraph" w:customStyle="1" w:styleId="719">
    <w:name w:val="样式 标题 1 + 加粗 首行缩进:  0 厘米"/>
    <w:basedOn w:val="2"/>
    <w:qFormat/>
    <w:uiPriority w:val="0"/>
    <w:pPr>
      <w:numPr>
        <w:ilvl w:val="0"/>
        <w:numId w:val="0"/>
      </w:numPr>
      <w:tabs>
        <w:tab w:val="left" w:pos="1800"/>
      </w:tabs>
      <w:spacing w:before="240" w:beforeLines="200" w:after="360" w:afterLines="0" w:line="480" w:lineRule="atLeast"/>
      <w:jc w:val="center"/>
    </w:pPr>
    <w:rPr>
      <w:rFonts w:cs="宋体"/>
      <w:b w:val="0"/>
      <w:snapToGrid/>
      <w:kern w:val="44"/>
      <w:sz w:val="44"/>
      <w:szCs w:val="44"/>
    </w:rPr>
  </w:style>
  <w:style w:type="paragraph" w:customStyle="1" w:styleId="720">
    <w:name w:val="WPS Plain"/>
    <w:qFormat/>
    <w:uiPriority w:val="0"/>
    <w:rPr>
      <w:rFonts w:ascii="Times New Roman" w:hAnsi="Times New Roman" w:eastAsia="宋体" w:cs="Times New Roman"/>
      <w:lang w:val="en-US" w:eastAsia="zh-CN" w:bidi="ar-SA"/>
    </w:rPr>
  </w:style>
  <w:style w:type="paragraph" w:customStyle="1" w:styleId="721">
    <w:name w:val="LY标题1"/>
    <w:basedOn w:val="2"/>
    <w:next w:val="722"/>
    <w:qFormat/>
    <w:uiPriority w:val="0"/>
    <w:pPr>
      <w:widowControl w:val="0"/>
      <w:numPr>
        <w:ilvl w:val="0"/>
        <w:numId w:val="0"/>
      </w:numPr>
      <w:adjustRightInd w:val="0"/>
      <w:spacing w:before="120" w:beforeLines="0" w:after="120" w:afterLines="0" w:line="400" w:lineRule="atLeast"/>
      <w:ind w:firstLine="288"/>
      <w:jc w:val="center"/>
      <w:textAlignment w:val="baseline"/>
      <w:outlineLvl w:val="9"/>
    </w:pPr>
    <w:rPr>
      <w:rFonts w:ascii="宋体"/>
      <w:bCs w:val="0"/>
      <w:snapToGrid/>
      <w:spacing w:val="10"/>
      <w:kern w:val="0"/>
      <w:sz w:val="28"/>
      <w:szCs w:val="20"/>
    </w:rPr>
  </w:style>
  <w:style w:type="paragraph" w:customStyle="1" w:styleId="722">
    <w:name w:val="LY标题2"/>
    <w:basedOn w:val="3"/>
    <w:next w:val="723"/>
    <w:qFormat/>
    <w:uiPriority w:val="0"/>
    <w:pPr>
      <w:keepLines w:val="0"/>
      <w:widowControl w:val="0"/>
      <w:numPr>
        <w:ilvl w:val="0"/>
        <w:numId w:val="0"/>
      </w:numPr>
      <w:tabs>
        <w:tab w:val="left" w:pos="567"/>
        <w:tab w:val="clear" w:pos="720"/>
      </w:tabs>
      <w:adjustRightInd w:val="0"/>
      <w:spacing w:before="0" w:beforeLines="0" w:after="0" w:afterLines="0" w:line="360" w:lineRule="atLeast"/>
      <w:jc w:val="center"/>
      <w:textAlignment w:val="baseline"/>
      <w:outlineLvl w:val="9"/>
    </w:pPr>
    <w:rPr>
      <w:rFonts w:ascii="宋体"/>
      <w:bCs w:val="0"/>
      <w:snapToGrid/>
      <w:spacing w:val="10"/>
      <w:kern w:val="0"/>
      <w:sz w:val="24"/>
      <w:szCs w:val="20"/>
    </w:rPr>
  </w:style>
  <w:style w:type="paragraph" w:customStyle="1" w:styleId="723">
    <w:name w:val="LY正文"/>
    <w:basedOn w:val="1"/>
    <w:qFormat/>
    <w:uiPriority w:val="0"/>
    <w:pPr>
      <w:adjustRightInd w:val="0"/>
      <w:spacing w:line="360" w:lineRule="atLeast"/>
      <w:ind w:firstLine="510" w:firstLineChars="0"/>
      <w:jc w:val="left"/>
      <w:textAlignment w:val="baseline"/>
    </w:pPr>
    <w:rPr>
      <w:rFonts w:eastAsia="楷体_GB2312"/>
      <w:spacing w:val="10"/>
      <w:kern w:val="0"/>
      <w:szCs w:val="20"/>
    </w:rPr>
  </w:style>
  <w:style w:type="paragraph" w:customStyle="1" w:styleId="724">
    <w:name w:val="图标题"/>
    <w:basedOn w:val="1"/>
    <w:qFormat/>
    <w:uiPriority w:val="0"/>
    <w:pPr>
      <w:widowControl/>
      <w:topLinePunct/>
      <w:adjustRightInd w:val="0"/>
      <w:ind w:firstLine="0" w:firstLineChars="0"/>
      <w:jc w:val="center"/>
      <w:textAlignment w:val="baseline"/>
    </w:pPr>
    <w:rPr>
      <w:b/>
    </w:rPr>
  </w:style>
  <w:style w:type="paragraph" w:customStyle="1" w:styleId="725">
    <w:name w:val="样式 表名1 + 段前: 0.3 行"/>
    <w:basedOn w:val="726"/>
    <w:qFormat/>
    <w:uiPriority w:val="0"/>
    <w:pPr>
      <w:spacing w:beforeLines="40"/>
    </w:pPr>
    <w:rPr>
      <w:rFonts w:cs="宋体"/>
      <w:bCs w:val="0"/>
      <w:szCs w:val="20"/>
    </w:rPr>
  </w:style>
  <w:style w:type="paragraph" w:customStyle="1" w:styleId="726">
    <w:name w:val="表名1"/>
    <w:basedOn w:val="1"/>
    <w:qFormat/>
    <w:uiPriority w:val="0"/>
    <w:pPr>
      <w:adjustRightInd w:val="0"/>
      <w:snapToGrid w:val="0"/>
      <w:spacing w:beforeLines="30" w:line="300" w:lineRule="auto"/>
      <w:ind w:firstLine="0" w:firstLineChars="0"/>
      <w:jc w:val="center"/>
    </w:pPr>
    <w:rPr>
      <w:rFonts w:eastAsia="黑体"/>
      <w:bCs/>
    </w:rPr>
  </w:style>
  <w:style w:type="paragraph" w:customStyle="1" w:styleId="727">
    <w:name w:val="xl66"/>
    <w:basedOn w:val="1"/>
    <w:qFormat/>
    <w:uiPriority w:val="0"/>
    <w:pPr>
      <w:widowControl/>
      <w:spacing w:before="100" w:beforeAutospacing="1" w:after="100" w:afterAutospacing="1" w:line="240" w:lineRule="auto"/>
      <w:ind w:firstLine="0" w:firstLineChars="0"/>
      <w:jc w:val="center"/>
    </w:pPr>
    <w:rPr>
      <w:kern w:val="0"/>
      <w:sz w:val="18"/>
      <w:szCs w:val="18"/>
    </w:rPr>
  </w:style>
  <w:style w:type="paragraph" w:customStyle="1" w:styleId="728">
    <w:name w:val="表格居中"/>
    <w:basedOn w:val="1"/>
    <w:semiHidden/>
    <w:qFormat/>
    <w:uiPriority w:val="0"/>
    <w:pPr>
      <w:spacing w:line="240" w:lineRule="auto"/>
      <w:ind w:firstLine="0" w:firstLineChars="0"/>
      <w:jc w:val="center"/>
    </w:pPr>
    <w:rPr>
      <w:szCs w:val="20"/>
    </w:rPr>
  </w:style>
  <w:style w:type="paragraph" w:customStyle="1" w:styleId="729">
    <w:name w:val="插表名称"/>
    <w:basedOn w:val="730"/>
    <w:qFormat/>
    <w:uiPriority w:val="0"/>
    <w:rPr>
      <w:rFonts w:ascii="Times New Roman"/>
    </w:rPr>
  </w:style>
  <w:style w:type="paragraph" w:customStyle="1" w:styleId="730">
    <w:name w:val="表名称"/>
    <w:basedOn w:val="1"/>
    <w:qFormat/>
    <w:uiPriority w:val="0"/>
    <w:pPr>
      <w:suppressLineNumbers/>
      <w:suppressAutoHyphens/>
      <w:topLinePunct/>
      <w:adjustRightInd w:val="0"/>
      <w:snapToGrid w:val="0"/>
      <w:spacing w:beforeLines="50" w:afterLines="30" w:line="240" w:lineRule="auto"/>
      <w:ind w:firstLine="480"/>
    </w:pPr>
    <w:rPr>
      <w:rFonts w:ascii="黑体" w:eastAsia="黑体"/>
    </w:rPr>
  </w:style>
  <w:style w:type="paragraph" w:customStyle="1" w:styleId="731">
    <w:name w:val="xl43"/>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 w:val="22"/>
      <w:szCs w:val="22"/>
    </w:rPr>
  </w:style>
  <w:style w:type="paragraph" w:customStyle="1" w:styleId="732">
    <w:name w:val="xl88"/>
    <w:basedOn w:val="1"/>
    <w:qFormat/>
    <w:uiPriority w:val="0"/>
    <w:pPr>
      <w:widowControl/>
      <w:shd w:val="clear" w:color="000000" w:fill="FDE9D9"/>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733">
    <w:name w:val="标题 4 黑体 四号 行距: 1.5 倍行距"/>
    <w:basedOn w:val="734"/>
    <w:qFormat/>
    <w:uiPriority w:val="0"/>
    <w:pPr>
      <w:tabs>
        <w:tab w:val="left" w:pos="720"/>
      </w:tabs>
      <w:spacing w:before="156"/>
    </w:pPr>
    <w:rPr>
      <w:rFonts w:cs="宋体"/>
      <w:b/>
    </w:rPr>
  </w:style>
  <w:style w:type="paragraph" w:customStyle="1" w:styleId="734">
    <w:name w:val="样式 标题 3Sottoparagrafo标题 3 Char + Times New Roman"/>
    <w:basedOn w:val="4"/>
    <w:qFormat/>
    <w:uiPriority w:val="0"/>
    <w:pPr>
      <w:widowControl w:val="0"/>
      <w:numPr>
        <w:ilvl w:val="0"/>
        <w:numId w:val="0"/>
      </w:numPr>
      <w:tabs>
        <w:tab w:val="clear" w:pos="816"/>
      </w:tabs>
      <w:spacing w:before="0" w:after="0" w:afterLines="0" w:line="360" w:lineRule="auto"/>
      <w:jc w:val="both"/>
    </w:pPr>
    <w:rPr>
      <w:rFonts w:eastAsia="黑体"/>
      <w:b w:val="0"/>
      <w:bCs w:val="0"/>
      <w:szCs w:val="20"/>
    </w:rPr>
  </w:style>
  <w:style w:type="paragraph" w:customStyle="1" w:styleId="735">
    <w:name w:val="Char3"/>
    <w:basedOn w:val="1"/>
    <w:qFormat/>
    <w:uiPriority w:val="0"/>
    <w:rPr>
      <w:szCs w:val="20"/>
    </w:rPr>
  </w:style>
  <w:style w:type="paragraph" w:customStyle="1" w:styleId="736">
    <w:name w:val="样式 标题 4 + 段前: 0.5 行"/>
    <w:basedOn w:val="5"/>
    <w:qFormat/>
    <w:uiPriority w:val="0"/>
    <w:pPr>
      <w:keepNext w:val="0"/>
      <w:keepLines w:val="0"/>
      <w:widowControl w:val="0"/>
      <w:numPr>
        <w:ilvl w:val="0"/>
        <w:numId w:val="0"/>
      </w:numPr>
      <w:tabs>
        <w:tab w:val="left" w:pos="1680"/>
        <w:tab w:val="clear" w:pos="864"/>
      </w:tabs>
      <w:adjustRightInd w:val="0"/>
      <w:snapToGrid w:val="0"/>
      <w:spacing w:beforeLines="50"/>
      <w:ind w:left="1680" w:hanging="420" w:firstLineChars="200"/>
      <w:jc w:val="both"/>
    </w:pPr>
    <w:rPr>
      <w:rFonts w:cs="宋体"/>
      <w:b w:val="0"/>
      <w:bCs w:val="0"/>
      <w:snapToGrid/>
      <w:kern w:val="2"/>
      <w:szCs w:val="20"/>
    </w:rPr>
  </w:style>
  <w:style w:type="paragraph" w:customStyle="1" w:styleId="737">
    <w:name w:val="君邦标题3"/>
    <w:basedOn w:val="1"/>
    <w:semiHidden/>
    <w:qFormat/>
    <w:uiPriority w:val="0"/>
    <w:pPr>
      <w:numPr>
        <w:ilvl w:val="2"/>
        <w:numId w:val="0"/>
      </w:numPr>
      <w:spacing w:line="240" w:lineRule="auto"/>
    </w:pPr>
    <w:rPr>
      <w:sz w:val="21"/>
    </w:rPr>
  </w:style>
  <w:style w:type="paragraph" w:customStyle="1" w:styleId="738">
    <w:name w:val="默认段落字体 Para Char Char Char"/>
    <w:basedOn w:val="1"/>
    <w:qFormat/>
    <w:uiPriority w:val="0"/>
    <w:pPr>
      <w:spacing w:line="240" w:lineRule="auto"/>
      <w:ind w:firstLine="0" w:firstLineChars="0"/>
    </w:pPr>
    <w:rPr>
      <w:rFonts w:ascii="宋体"/>
      <w:sz w:val="28"/>
    </w:rPr>
  </w:style>
  <w:style w:type="paragraph" w:customStyle="1" w:styleId="739">
    <w:name w:val="居中表内文 Char Char Char Char3 Char Char"/>
    <w:basedOn w:val="1"/>
    <w:qFormat/>
    <w:uiPriority w:val="0"/>
    <w:pPr>
      <w:spacing w:line="240" w:lineRule="exact"/>
      <w:ind w:firstLine="0" w:firstLineChars="0"/>
      <w:jc w:val="center"/>
    </w:pPr>
    <w:rPr>
      <w:rFonts w:cs="宋体"/>
      <w:sz w:val="18"/>
    </w:rPr>
  </w:style>
  <w:style w:type="paragraph" w:customStyle="1" w:styleId="740">
    <w:name w:val="样式 标题 3 + 黑色"/>
    <w:basedOn w:val="4"/>
    <w:qFormat/>
    <w:uiPriority w:val="0"/>
    <w:pPr>
      <w:widowControl w:val="0"/>
      <w:numPr>
        <w:ilvl w:val="0"/>
        <w:numId w:val="0"/>
      </w:numPr>
      <w:tabs>
        <w:tab w:val="left" w:pos="486"/>
        <w:tab w:val="left" w:pos="709"/>
        <w:tab w:val="clear" w:pos="720"/>
        <w:tab w:val="clear" w:pos="816"/>
      </w:tabs>
      <w:adjustRightInd w:val="0"/>
      <w:spacing w:before="260" w:beforeLines="0" w:after="260" w:afterLines="0" w:line="600" w:lineRule="exact"/>
      <w:ind w:left="567" w:hanging="709"/>
    </w:pPr>
    <w:rPr>
      <w:rFonts w:eastAsia="黑体"/>
      <w:color w:val="000000"/>
      <w:szCs w:val="32"/>
    </w:rPr>
  </w:style>
  <w:style w:type="paragraph" w:customStyle="1" w:styleId="741">
    <w:name w:val="标题3 Char Char Char Char"/>
    <w:basedOn w:val="1"/>
    <w:qFormat/>
    <w:uiPriority w:val="0"/>
    <w:pPr>
      <w:spacing w:afterLines="50" w:line="560" w:lineRule="exact"/>
      <w:ind w:right="1224" w:rightChars="583" w:firstLine="600" w:firstLineChars="250"/>
    </w:pPr>
    <w:rPr>
      <w:rFonts w:eastAsia="黑体"/>
      <w:sz w:val="30"/>
      <w:szCs w:val="30"/>
    </w:rPr>
  </w:style>
  <w:style w:type="paragraph" w:customStyle="1" w:styleId="742">
    <w:name w:val="样式 正文1 Char Char + 字距调整七号"/>
    <w:basedOn w:val="1"/>
    <w:qFormat/>
    <w:uiPriority w:val="0"/>
    <w:pPr>
      <w:suppressLineNumbers/>
      <w:suppressAutoHyphens/>
      <w:topLinePunct/>
      <w:adjustRightInd w:val="0"/>
      <w:snapToGrid w:val="0"/>
      <w:ind w:firstLine="480"/>
    </w:pPr>
    <w:rPr>
      <w:kern w:val="11"/>
    </w:rPr>
  </w:style>
  <w:style w:type="paragraph" w:customStyle="1" w:styleId="743">
    <w:name w:val="君邦目录"/>
    <w:qFormat/>
    <w:uiPriority w:val="0"/>
    <w:pPr>
      <w:pBdr>
        <w:bottom w:val="single" w:color="auto" w:sz="12" w:space="1"/>
      </w:pBdr>
      <w:spacing w:before="960" w:after="960"/>
      <w:ind w:left="567" w:hanging="567"/>
      <w:jc w:val="right"/>
      <w:outlineLvl w:val="1"/>
    </w:pPr>
    <w:rPr>
      <w:rFonts w:ascii="Times New Roman" w:hAnsi="Times New Roman" w:eastAsia="黑体" w:cs="Times New Roman"/>
      <w:b/>
      <w:sz w:val="32"/>
      <w:lang w:val="en-US" w:eastAsia="zh-CN" w:bidi="ar-SA"/>
    </w:rPr>
  </w:style>
  <w:style w:type="paragraph" w:customStyle="1" w:styleId="744">
    <w:name w:val="Char3 Char Char Char Char Char Char"/>
    <w:basedOn w:val="1"/>
    <w:qFormat/>
    <w:uiPriority w:val="0"/>
    <w:rPr>
      <w:rFonts w:ascii="宋体" w:hAnsi="宋体" w:cs="宋体"/>
    </w:rPr>
  </w:style>
  <w:style w:type="paragraph" w:customStyle="1" w:styleId="745">
    <w:name w:val="样式 正文缩进 + 首行缩进:  2 字符"/>
    <w:basedOn w:val="19"/>
    <w:qFormat/>
    <w:uiPriority w:val="0"/>
    <w:pPr>
      <w:snapToGrid w:val="0"/>
      <w:spacing w:line="360" w:lineRule="auto"/>
      <w:ind w:firstLine="560"/>
    </w:pPr>
    <w:rPr>
      <w:rFonts w:ascii="宋体" w:hAnsi="宋体" w:eastAsia="宋体" w:cs="宋体"/>
      <w:spacing w:val="0"/>
      <w:szCs w:val="28"/>
    </w:rPr>
  </w:style>
  <w:style w:type="paragraph" w:customStyle="1" w:styleId="746">
    <w:name w:val="样式 表名称 + 首行缩进:  2 字符 段前: 0.5 行 段后: 0.3 行"/>
    <w:basedOn w:val="730"/>
    <w:qFormat/>
    <w:uiPriority w:val="0"/>
    <w:pPr>
      <w:suppressLineNumbers w:val="0"/>
      <w:suppressAutoHyphens w:val="0"/>
      <w:spacing w:beforeLines="30" w:after="30"/>
      <w:ind w:firstLine="200"/>
    </w:pPr>
    <w:rPr>
      <w:szCs w:val="20"/>
    </w:rPr>
  </w:style>
  <w:style w:type="paragraph" w:customStyle="1" w:styleId="747">
    <w:name w:val="段标"/>
    <w:basedOn w:val="1"/>
    <w:semiHidden/>
    <w:qFormat/>
    <w:uiPriority w:val="0"/>
    <w:pPr>
      <w:widowControl/>
      <w:adjustRightInd w:val="0"/>
      <w:ind w:firstLine="0" w:firstLineChars="0"/>
      <w:jc w:val="left"/>
      <w:textAlignment w:val="baseline"/>
    </w:pPr>
    <w:rPr>
      <w:kern w:val="0"/>
      <w:sz w:val="28"/>
      <w:szCs w:val="20"/>
    </w:rPr>
  </w:style>
  <w:style w:type="paragraph" w:customStyle="1" w:styleId="748">
    <w:name w:val="6"/>
    <w:basedOn w:val="1"/>
    <w:next w:val="65"/>
    <w:qFormat/>
    <w:uiPriority w:val="0"/>
    <w:pPr>
      <w:spacing w:after="80" w:line="480" w:lineRule="atLeast"/>
      <w:ind w:firstLine="560" w:firstLineChars="0"/>
    </w:pPr>
    <w:rPr>
      <w:szCs w:val="20"/>
    </w:rPr>
  </w:style>
  <w:style w:type="paragraph" w:customStyle="1" w:styleId="749">
    <w:name w:val="样式 标题 3 + 小三 黑色"/>
    <w:basedOn w:val="4"/>
    <w:qFormat/>
    <w:uiPriority w:val="0"/>
    <w:pPr>
      <w:widowControl w:val="0"/>
      <w:numPr>
        <w:ilvl w:val="0"/>
        <w:numId w:val="0"/>
      </w:numPr>
      <w:tabs>
        <w:tab w:val="clear" w:pos="816"/>
      </w:tabs>
      <w:spacing w:before="260" w:beforeLines="0" w:after="260" w:afterLines="0" w:line="416" w:lineRule="auto"/>
      <w:jc w:val="both"/>
    </w:pPr>
    <w:rPr>
      <w:color w:val="000000"/>
      <w:sz w:val="30"/>
      <w:szCs w:val="30"/>
    </w:rPr>
  </w:style>
  <w:style w:type="paragraph" w:customStyle="1" w:styleId="750">
    <w:name w:val="1.1.1"/>
    <w:basedOn w:val="1"/>
    <w:qFormat/>
    <w:uiPriority w:val="0"/>
    <w:pPr>
      <w:spacing w:line="240" w:lineRule="auto"/>
      <w:ind w:firstLine="0" w:firstLineChars="0"/>
    </w:pPr>
    <w:rPr>
      <w:rFonts w:ascii="黑体"/>
    </w:rPr>
  </w:style>
  <w:style w:type="paragraph" w:customStyle="1" w:styleId="751">
    <w:name w:val="常用文本"/>
    <w:basedOn w:val="1"/>
    <w:qFormat/>
    <w:uiPriority w:val="0"/>
    <w:pPr>
      <w:spacing w:after="120" w:line="240" w:lineRule="auto"/>
    </w:pPr>
    <w:rPr>
      <w:rFonts w:ascii="Arial" w:hAnsi="Arial"/>
    </w:rPr>
  </w:style>
  <w:style w:type="paragraph" w:customStyle="1" w:styleId="752">
    <w:name w:val="5Char"/>
    <w:basedOn w:val="6"/>
    <w:qFormat/>
    <w:uiPriority w:val="0"/>
    <w:pPr>
      <w:keepLines w:val="0"/>
      <w:tabs>
        <w:tab w:val="left" w:pos="726"/>
        <w:tab w:val="clear" w:pos="700"/>
      </w:tabs>
      <w:autoSpaceDE/>
      <w:autoSpaceDN/>
      <w:adjustRightInd w:val="0"/>
      <w:spacing w:before="280" w:after="290" w:line="436" w:lineRule="exact"/>
      <w:ind w:left="0"/>
      <w:jc w:val="both"/>
    </w:pPr>
    <w:rPr>
      <w:rFonts w:ascii="Tahoma" w:hAnsi="Tahoma"/>
      <w:b w:val="0"/>
      <w:sz w:val="28"/>
      <w:szCs w:val="28"/>
    </w:rPr>
  </w:style>
  <w:style w:type="paragraph" w:customStyle="1" w:styleId="753">
    <w:name w:val="表格文字左"/>
    <w:basedOn w:val="754"/>
    <w:semiHidden/>
    <w:qFormat/>
    <w:uiPriority w:val="0"/>
    <w:pPr>
      <w:ind w:right="0" w:rightChars="0"/>
      <w:jc w:val="left"/>
    </w:pPr>
    <w:rPr>
      <w:color w:val="000000"/>
    </w:rPr>
  </w:style>
  <w:style w:type="paragraph" w:customStyle="1" w:styleId="754">
    <w:name w:val="表格文字居中"/>
    <w:basedOn w:val="1"/>
    <w:semiHidden/>
    <w:qFormat/>
    <w:uiPriority w:val="0"/>
    <w:pPr>
      <w:widowControl/>
      <w:adjustRightInd w:val="0"/>
      <w:spacing w:line="240" w:lineRule="auto"/>
      <w:ind w:right="-31" w:rightChars="-11" w:firstLine="0" w:firstLineChars="0"/>
      <w:jc w:val="center"/>
    </w:pPr>
    <w:rPr>
      <w:rFonts w:ascii="宋体" w:hAnsi="宋体"/>
      <w:szCs w:val="20"/>
    </w:rPr>
  </w:style>
  <w:style w:type="paragraph" w:customStyle="1" w:styleId="755">
    <w:name w:val="Char Char1 Char Char Char Char Char Char Char Char Char Char"/>
    <w:basedOn w:val="1"/>
    <w:qFormat/>
    <w:uiPriority w:val="0"/>
    <w:rPr>
      <w:rFonts w:ascii="宋体" w:hAnsi="宋体" w:cs="宋体"/>
    </w:rPr>
  </w:style>
  <w:style w:type="paragraph" w:customStyle="1" w:styleId="756">
    <w:name w:val="工艺题目"/>
    <w:basedOn w:val="1"/>
    <w:semiHidden/>
    <w:qFormat/>
    <w:uiPriority w:val="0"/>
    <w:pPr>
      <w:adjustRightInd w:val="0"/>
      <w:snapToGrid w:val="0"/>
      <w:ind w:firstLine="0" w:firstLineChars="0"/>
    </w:pPr>
    <w:rPr>
      <w:b/>
      <w:sz w:val="28"/>
    </w:rPr>
  </w:style>
  <w:style w:type="paragraph" w:customStyle="1" w:styleId="757">
    <w:name w:val="标题03"/>
    <w:basedOn w:val="1"/>
    <w:next w:val="1"/>
    <w:semiHidden/>
    <w:qFormat/>
    <w:uiPriority w:val="0"/>
    <w:pPr>
      <w:spacing w:line="480" w:lineRule="atLeast"/>
      <w:ind w:firstLine="480" w:firstLineChars="0"/>
    </w:pPr>
    <w:rPr>
      <w:b/>
      <w:szCs w:val="20"/>
    </w:rPr>
  </w:style>
  <w:style w:type="paragraph" w:customStyle="1" w:styleId="758">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customStyle="1" w:styleId="759">
    <w:name w:val="xl70"/>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760">
    <w:name w:val="文字框"/>
    <w:basedOn w:val="1"/>
    <w:qFormat/>
    <w:uiPriority w:val="0"/>
    <w:pPr>
      <w:spacing w:line="240" w:lineRule="auto"/>
      <w:ind w:left="-21" w:leftChars="-10" w:right="-21" w:rightChars="-10" w:firstLine="0" w:firstLineChars="0"/>
      <w:jc w:val="center"/>
    </w:pPr>
    <w:rPr>
      <w:rFonts w:eastAsia="仿宋_GB2312"/>
      <w:sz w:val="21"/>
      <w:szCs w:val="20"/>
    </w:rPr>
  </w:style>
  <w:style w:type="paragraph" w:customStyle="1" w:styleId="761">
    <w:name w:val="样式 标题 1 + 首行缩进:  0 厘米 段前: 6 磅 段后: 6 磅 行距: 固定值 28 磅"/>
    <w:basedOn w:val="2"/>
    <w:qFormat/>
    <w:uiPriority w:val="0"/>
    <w:pPr>
      <w:pageBreakBefore/>
      <w:numPr>
        <w:ilvl w:val="0"/>
        <w:numId w:val="0"/>
      </w:numPr>
      <w:tabs>
        <w:tab w:val="left" w:pos="1800"/>
      </w:tabs>
      <w:spacing w:before="240" w:beforeLines="200" w:after="120" w:afterLines="0" w:line="560" w:lineRule="exact"/>
      <w:jc w:val="center"/>
    </w:pPr>
    <w:rPr>
      <w:rFonts w:ascii="黑体" w:eastAsia="黑体" w:cs="宋体"/>
      <w:b w:val="0"/>
      <w:snapToGrid/>
      <w:color w:val="000000"/>
      <w:kern w:val="44"/>
      <w:szCs w:val="32"/>
      <w:u w:val="none" w:color="000000"/>
    </w:rPr>
  </w:style>
  <w:style w:type="paragraph" w:customStyle="1" w:styleId="762">
    <w:name w:val="列表项目符号1."/>
    <w:basedOn w:val="1"/>
    <w:semiHidden/>
    <w:qFormat/>
    <w:uiPriority w:val="0"/>
    <w:pPr>
      <w:widowControl/>
      <w:adjustRightInd w:val="0"/>
      <w:spacing w:line="312" w:lineRule="atLeast"/>
      <w:ind w:left="425" w:hanging="425" w:firstLineChars="0"/>
      <w:jc w:val="left"/>
      <w:textAlignment w:val="baseline"/>
    </w:pPr>
    <w:rPr>
      <w:kern w:val="0"/>
      <w:sz w:val="21"/>
      <w:szCs w:val="20"/>
    </w:rPr>
  </w:style>
  <w:style w:type="paragraph" w:customStyle="1" w:styleId="763">
    <w:name w:val="加粗"/>
    <w:basedOn w:val="1"/>
    <w:semiHidden/>
    <w:qFormat/>
    <w:uiPriority w:val="0"/>
    <w:pPr>
      <w:keepNext/>
      <w:spacing w:line="560" w:lineRule="atLeast"/>
    </w:pPr>
    <w:rPr>
      <w:rFonts w:eastAsia="仿宋_GB2312"/>
      <w:b/>
      <w:sz w:val="28"/>
      <w:szCs w:val="18"/>
    </w:rPr>
  </w:style>
  <w:style w:type="paragraph" w:customStyle="1" w:styleId="764">
    <w:name w:val="xl71"/>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765">
    <w:name w:val="contentlabel"/>
    <w:basedOn w:val="1"/>
    <w:qFormat/>
    <w:uiPriority w:val="0"/>
    <w:pPr>
      <w:widowControl/>
      <w:spacing w:before="30" w:after="100" w:afterAutospacing="1" w:line="240" w:lineRule="auto"/>
      <w:ind w:left="90" w:firstLine="0" w:firstLineChars="0"/>
      <w:jc w:val="left"/>
    </w:pPr>
    <w:rPr>
      <w:rFonts w:ascii="宋体" w:hAnsi="宋体"/>
      <w:color w:val="336666"/>
      <w:kern w:val="0"/>
      <w:sz w:val="18"/>
      <w:szCs w:val="18"/>
    </w:rPr>
  </w:style>
  <w:style w:type="paragraph" w:customStyle="1" w:styleId="766">
    <w:name w:val="CM79"/>
    <w:basedOn w:val="1"/>
    <w:next w:val="1"/>
    <w:qFormat/>
    <w:uiPriority w:val="0"/>
    <w:pPr>
      <w:autoSpaceDE w:val="0"/>
      <w:autoSpaceDN w:val="0"/>
      <w:adjustRightInd w:val="0"/>
      <w:spacing w:after="135" w:line="240" w:lineRule="auto"/>
      <w:ind w:firstLine="0" w:firstLineChars="0"/>
      <w:jc w:val="left"/>
    </w:pPr>
    <w:rPr>
      <w:rFonts w:ascii="楷体_GB2312" w:eastAsia="楷体_GB2312"/>
      <w:kern w:val="0"/>
      <w:lang w:eastAsia="zh-TW"/>
    </w:rPr>
  </w:style>
  <w:style w:type="paragraph" w:customStyle="1" w:styleId="767">
    <w:name w:val="附件"/>
    <w:basedOn w:val="1"/>
    <w:qFormat/>
    <w:uiPriority w:val="0"/>
    <w:pPr>
      <w:suppressLineNumbers/>
      <w:suppressAutoHyphens/>
      <w:topLinePunct/>
      <w:adjustRightInd w:val="0"/>
      <w:snapToGrid w:val="0"/>
      <w:ind w:firstLine="560"/>
    </w:pPr>
    <w:rPr>
      <w:rFonts w:eastAsia="黑体"/>
    </w:rPr>
  </w:style>
  <w:style w:type="paragraph" w:customStyle="1" w:styleId="768">
    <w:name w:val="表头1"/>
    <w:basedOn w:val="1"/>
    <w:qFormat/>
    <w:uiPriority w:val="0"/>
    <w:pPr>
      <w:tabs>
        <w:tab w:val="left" w:pos="540"/>
        <w:tab w:val="left" w:pos="2880"/>
      </w:tabs>
      <w:spacing w:beforeLines="50" w:line="480" w:lineRule="exact"/>
      <w:ind w:left="2880" w:hanging="360" w:firstLineChars="0"/>
      <w:jc w:val="center"/>
    </w:pPr>
    <w:rPr>
      <w:rFonts w:ascii="黑体" w:hAnsi="华文细黑" w:eastAsia="黑体"/>
      <w:b/>
      <w:color w:val="000000"/>
      <w:kern w:val="24"/>
    </w:rPr>
  </w:style>
  <w:style w:type="paragraph" w:customStyle="1" w:styleId="769">
    <w:name w:val="标题样式4"/>
    <w:basedOn w:val="1"/>
    <w:next w:val="1"/>
    <w:semiHidden/>
    <w:qFormat/>
    <w:uiPriority w:val="0"/>
    <w:pPr>
      <w:tabs>
        <w:tab w:val="left" w:pos="720"/>
      </w:tabs>
      <w:ind w:left="720" w:hanging="720" w:firstLineChars="0"/>
      <w:textAlignment w:val="baseline"/>
      <w:outlineLvl w:val="3"/>
    </w:pPr>
  </w:style>
  <w:style w:type="paragraph" w:customStyle="1" w:styleId="770">
    <w:name w:val="图片文字"/>
    <w:basedOn w:val="1"/>
    <w:semiHidden/>
    <w:qFormat/>
    <w:uiPriority w:val="0"/>
    <w:pPr>
      <w:spacing w:line="240" w:lineRule="auto"/>
      <w:ind w:firstLine="0" w:firstLineChars="0"/>
      <w:jc w:val="center"/>
    </w:pPr>
    <w:rPr>
      <w:sz w:val="21"/>
    </w:rPr>
  </w:style>
  <w:style w:type="paragraph" w:customStyle="1" w:styleId="771">
    <w:name w:val="样式4"/>
    <w:basedOn w:val="4"/>
    <w:qFormat/>
    <w:uiPriority w:val="0"/>
    <w:pPr>
      <w:widowControl w:val="0"/>
      <w:numPr>
        <w:ilvl w:val="0"/>
        <w:numId w:val="0"/>
      </w:numPr>
      <w:tabs>
        <w:tab w:val="left" w:pos="3794"/>
        <w:tab w:val="clear" w:pos="816"/>
      </w:tabs>
      <w:spacing w:before="0" w:beforeLines="0" w:after="0" w:afterLines="0" w:line="240" w:lineRule="atLeast"/>
      <w:jc w:val="center"/>
    </w:pPr>
    <w:rPr>
      <w:rFonts w:ascii="宋体" w:hAnsi="宋体"/>
      <w:b w:val="0"/>
      <w:bCs w:val="0"/>
      <w:sz w:val="21"/>
      <w:szCs w:val="21"/>
    </w:rPr>
  </w:style>
  <w:style w:type="paragraph" w:customStyle="1" w:styleId="772">
    <w:name w:val="news_content"/>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773">
    <w:name w:val="xl40"/>
    <w:basedOn w:val="1"/>
    <w:semiHidden/>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774">
    <w:name w:val="样式6"/>
    <w:basedOn w:val="417"/>
    <w:qFormat/>
    <w:uiPriority w:val="0"/>
    <w:pPr>
      <w:adjustRightInd w:val="0"/>
      <w:snapToGrid w:val="0"/>
      <w:spacing w:line="360" w:lineRule="auto"/>
    </w:pPr>
    <w:rPr>
      <w:szCs w:val="18"/>
    </w:rPr>
  </w:style>
  <w:style w:type="paragraph" w:customStyle="1" w:styleId="775">
    <w:name w:val="表格文字2"/>
    <w:basedOn w:val="1"/>
    <w:qFormat/>
    <w:uiPriority w:val="0"/>
    <w:pPr>
      <w:tabs>
        <w:tab w:val="left" w:pos="277"/>
        <w:tab w:val="left" w:pos="600"/>
        <w:tab w:val="left" w:pos="780"/>
        <w:tab w:val="left" w:pos="2517"/>
      </w:tabs>
      <w:adjustRightInd w:val="0"/>
      <w:spacing w:before="60" w:line="240" w:lineRule="auto"/>
      <w:ind w:firstLine="0" w:firstLineChars="0"/>
      <w:jc w:val="center"/>
      <w:textAlignment w:val="baseline"/>
    </w:pPr>
    <w:rPr>
      <w:kern w:val="0"/>
      <w:sz w:val="21"/>
      <w:szCs w:val="21"/>
    </w:rPr>
  </w:style>
  <w:style w:type="paragraph" w:customStyle="1" w:styleId="776">
    <w:name w:val="样式 列表列表 Char列表 Char Char Char Char Char1列表 Char Char Char Cha..."/>
    <w:basedOn w:val="61"/>
    <w:qFormat/>
    <w:uiPriority w:val="0"/>
    <w:pPr>
      <w:spacing w:line="500" w:lineRule="exact"/>
      <w:ind w:left="0" w:firstLine="200" w:firstLineChars="200"/>
      <w:jc w:val="center"/>
    </w:pPr>
    <w:rPr>
      <w:rFonts w:eastAsia="黑体"/>
      <w:sz w:val="24"/>
    </w:rPr>
  </w:style>
  <w:style w:type="paragraph" w:customStyle="1" w:styleId="777">
    <w:name w:val="Char2 Char Char Char"/>
    <w:basedOn w:val="4"/>
    <w:qFormat/>
    <w:uiPriority w:val="0"/>
    <w:pPr>
      <w:widowControl w:val="0"/>
      <w:numPr>
        <w:ilvl w:val="0"/>
        <w:numId w:val="0"/>
      </w:numPr>
      <w:tabs>
        <w:tab w:val="left" w:pos="360"/>
        <w:tab w:val="left" w:pos="900"/>
        <w:tab w:val="clear" w:pos="816"/>
      </w:tabs>
      <w:adjustRightInd w:val="0"/>
      <w:snapToGrid w:val="0"/>
      <w:spacing w:before="120" w:beforeLines="0" w:after="120" w:afterLines="0" w:line="360" w:lineRule="auto"/>
      <w:ind w:left="542" w:leftChars="-12" w:firstLine="200" w:firstLineChars="200"/>
      <w:jc w:val="both"/>
    </w:pPr>
    <w:rPr>
      <w:rFonts w:eastAsia="黑体"/>
      <w:b w:val="0"/>
      <w:bCs w:val="0"/>
      <w:snapToGrid w:val="0"/>
      <w:sz w:val="24"/>
    </w:rPr>
  </w:style>
  <w:style w:type="paragraph" w:customStyle="1" w:styleId="778">
    <w:name w:val="样式 标题 2 + 首行缩进:  2 字符"/>
    <w:basedOn w:val="3"/>
    <w:qFormat/>
    <w:uiPriority w:val="0"/>
    <w:pPr>
      <w:numPr>
        <w:ilvl w:val="0"/>
        <w:numId w:val="0"/>
      </w:numPr>
      <w:tabs>
        <w:tab w:val="left" w:pos="567"/>
        <w:tab w:val="clear" w:pos="720"/>
      </w:tabs>
      <w:spacing w:before="0" w:beforeLines="0" w:after="0" w:afterLines="0" w:line="360" w:lineRule="auto"/>
      <w:ind w:firstLine="100" w:firstLineChars="100"/>
    </w:pPr>
    <w:rPr>
      <w:rFonts w:eastAsia="黑体" w:cs="宋体"/>
      <w:b w:val="0"/>
      <w:bCs w:val="0"/>
      <w:snapToGrid/>
      <w:kern w:val="0"/>
      <w:szCs w:val="20"/>
    </w:rPr>
  </w:style>
  <w:style w:type="paragraph" w:customStyle="1" w:styleId="779">
    <w:name w:val="xl72"/>
    <w:basedOn w:val="1"/>
    <w:qFormat/>
    <w:uiPriority w:val="0"/>
    <w:pPr>
      <w:widowControl/>
      <w:shd w:val="clear" w:color="000000" w:fill="FFC7CE"/>
      <w:spacing w:before="100" w:beforeAutospacing="1" w:after="100" w:afterAutospacing="1" w:line="240" w:lineRule="auto"/>
      <w:ind w:firstLine="0" w:firstLineChars="0"/>
      <w:jc w:val="center"/>
      <w:textAlignment w:val="center"/>
    </w:pPr>
    <w:rPr>
      <w:rFonts w:ascii="宋体" w:hAnsi="宋体" w:cs="宋体"/>
      <w:color w:val="9C0006"/>
      <w:kern w:val="0"/>
      <w:sz w:val="22"/>
      <w:szCs w:val="22"/>
    </w:rPr>
  </w:style>
  <w:style w:type="paragraph" w:customStyle="1" w:styleId="780">
    <w:name w:val="样式 样式 标题 1 + (中文) 黑体 段前: 15.6 磅 段后: 15.6 磅 行距: 最小值 12 磅 + 两端对齐"/>
    <w:basedOn w:val="1"/>
    <w:qFormat/>
    <w:uiPriority w:val="0"/>
    <w:pPr>
      <w:keepNext/>
      <w:keepLines/>
      <w:adjustRightInd w:val="0"/>
      <w:snapToGrid w:val="0"/>
      <w:spacing w:after="312" w:line="240" w:lineRule="auto"/>
      <w:ind w:firstLine="0" w:firstLineChars="0"/>
      <w:outlineLvl w:val="0"/>
    </w:pPr>
    <w:rPr>
      <w:rFonts w:eastAsia="黑体" w:cs="宋体"/>
      <w:kern w:val="44"/>
      <w:sz w:val="32"/>
      <w:szCs w:val="20"/>
    </w:rPr>
  </w:style>
  <w:style w:type="paragraph" w:customStyle="1" w:styleId="781">
    <w:name w:val="xl81"/>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782">
    <w:name w:val="font9"/>
    <w:basedOn w:val="1"/>
    <w:qFormat/>
    <w:uiPriority w:val="0"/>
    <w:pPr>
      <w:widowControl/>
      <w:spacing w:before="100" w:beforeAutospacing="1" w:after="100" w:afterAutospacing="1" w:line="240" w:lineRule="auto"/>
      <w:ind w:firstLine="0" w:firstLineChars="0"/>
      <w:jc w:val="left"/>
    </w:pPr>
    <w:rPr>
      <w:rFonts w:eastAsia="Arial Unicode MS"/>
      <w:kern w:val="0"/>
      <w:sz w:val="16"/>
      <w:szCs w:val="16"/>
    </w:rPr>
  </w:style>
  <w:style w:type="paragraph" w:customStyle="1" w:styleId="783">
    <w:name w:val="xl79"/>
    <w:basedOn w:val="1"/>
    <w:qFormat/>
    <w:uiPriority w:val="0"/>
    <w:pPr>
      <w:widowControl/>
      <w:shd w:val="clear" w:color="000000" w:fill="FFC7CE"/>
      <w:spacing w:before="100" w:beforeAutospacing="1" w:after="100" w:afterAutospacing="1" w:line="240" w:lineRule="auto"/>
      <w:ind w:firstLine="0" w:firstLineChars="0"/>
      <w:jc w:val="center"/>
      <w:textAlignment w:val="center"/>
    </w:pPr>
    <w:rPr>
      <w:rFonts w:ascii="宋体" w:hAnsi="宋体" w:cs="宋体"/>
      <w:color w:val="9C0006"/>
      <w:kern w:val="0"/>
      <w:sz w:val="22"/>
      <w:szCs w:val="22"/>
    </w:rPr>
  </w:style>
  <w:style w:type="paragraph" w:customStyle="1" w:styleId="784">
    <w:name w:val="郧西正文"/>
    <w:basedOn w:val="1"/>
    <w:qFormat/>
    <w:uiPriority w:val="0"/>
    <w:pPr>
      <w:spacing w:line="440" w:lineRule="exact"/>
    </w:pPr>
    <w:rPr>
      <w:rFonts w:ascii="Arial" w:hAnsi="Arial" w:cs="宋体"/>
    </w:rPr>
  </w:style>
  <w:style w:type="paragraph" w:customStyle="1" w:styleId="785">
    <w:name w:val="xl69"/>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786">
    <w:name w:val="工艺题目5级"/>
    <w:basedOn w:val="787"/>
    <w:semiHidden/>
    <w:qFormat/>
    <w:uiPriority w:val="0"/>
    <w:pPr>
      <w:tabs>
        <w:tab w:val="left" w:pos="1260"/>
      </w:tabs>
      <w:ind w:left="1260" w:hanging="720"/>
    </w:pPr>
  </w:style>
  <w:style w:type="paragraph" w:customStyle="1" w:styleId="787">
    <w:name w:val="工艺正文"/>
    <w:basedOn w:val="1"/>
    <w:semiHidden/>
    <w:qFormat/>
    <w:uiPriority w:val="0"/>
    <w:pPr>
      <w:adjustRightInd w:val="0"/>
      <w:snapToGrid w:val="0"/>
      <w:ind w:firstLine="578" w:firstLineChars="0"/>
    </w:pPr>
    <w:rPr>
      <w:rFonts w:ascii="宋体"/>
      <w:sz w:val="28"/>
      <w:szCs w:val="20"/>
    </w:rPr>
  </w:style>
  <w:style w:type="paragraph" w:customStyle="1" w:styleId="788">
    <w:name w:val="样式 样式1 + 首行缩进:  2 字符"/>
    <w:basedOn w:val="407"/>
    <w:qFormat/>
    <w:uiPriority w:val="0"/>
    <w:pPr>
      <w:tabs>
        <w:tab w:val="left" w:pos="432"/>
      </w:tabs>
      <w:spacing w:after="60" w:line="500" w:lineRule="exact"/>
      <w:ind w:firstLine="480" w:firstLineChars="200"/>
      <w:jc w:val="both"/>
      <w:outlineLvl w:val="9"/>
    </w:pPr>
    <w:rPr>
      <w:rFonts w:ascii="仿宋_GB2312" w:hAnsi="Times New Roman" w:eastAsia="仿宋_GB2312" w:cs="宋体"/>
      <w:b w:val="0"/>
      <w:bCs w:val="0"/>
      <w:kern w:val="0"/>
      <w:sz w:val="24"/>
      <w:szCs w:val="20"/>
      <w:lang w:val="en-US" w:eastAsia="zh-CN"/>
    </w:rPr>
  </w:style>
  <w:style w:type="paragraph" w:customStyle="1" w:styleId="789">
    <w:name w:val="编号1"/>
    <w:basedOn w:val="1"/>
    <w:qFormat/>
    <w:uiPriority w:val="0"/>
    <w:pPr>
      <w:tabs>
        <w:tab w:val="left" w:pos="540"/>
      </w:tabs>
      <w:spacing w:line="240" w:lineRule="auto"/>
      <w:ind w:firstLine="179" w:firstLineChars="64"/>
    </w:pPr>
    <w:rPr>
      <w:sz w:val="28"/>
    </w:rPr>
  </w:style>
  <w:style w:type="paragraph" w:customStyle="1" w:styleId="790">
    <w:name w:val="xl68"/>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0000FF"/>
      <w:kern w:val="0"/>
      <w:sz w:val="18"/>
      <w:szCs w:val="18"/>
    </w:rPr>
  </w:style>
  <w:style w:type="paragraph" w:customStyle="1" w:styleId="791">
    <w:name w:val="列表 Char列表"/>
    <w:basedOn w:val="61"/>
    <w:next w:val="35"/>
    <w:qFormat/>
    <w:uiPriority w:val="0"/>
    <w:pPr>
      <w:spacing w:line="480" w:lineRule="exact"/>
      <w:ind w:left="0" w:firstLine="0" w:firstLineChars="0"/>
      <w:jc w:val="center"/>
    </w:pPr>
    <w:rPr>
      <w:rFonts w:eastAsia="黑体"/>
      <w:sz w:val="24"/>
    </w:rPr>
  </w:style>
  <w:style w:type="paragraph" w:customStyle="1" w:styleId="792">
    <w:name w:val="列表名称 Char Char"/>
    <w:basedOn w:val="1"/>
    <w:qFormat/>
    <w:uiPriority w:val="0"/>
    <w:pPr>
      <w:tabs>
        <w:tab w:val="left" w:pos="3777"/>
        <w:tab w:val="left" w:pos="5106"/>
        <w:tab w:val="left" w:pos="6313"/>
        <w:tab w:val="left" w:pos="7998"/>
        <w:tab w:val="left" w:pos="9238"/>
      </w:tabs>
      <w:spacing w:line="480" w:lineRule="exact"/>
      <w:ind w:firstLine="0" w:firstLineChars="0"/>
      <w:jc w:val="center"/>
    </w:pPr>
    <w:rPr>
      <w:rFonts w:eastAsia="黑体"/>
      <w:bCs/>
    </w:rPr>
  </w:style>
  <w:style w:type="paragraph" w:customStyle="1" w:styleId="793">
    <w:name w:val="环科院标题2"/>
    <w:basedOn w:val="3"/>
    <w:qFormat/>
    <w:uiPriority w:val="0"/>
    <w:pPr>
      <w:widowControl w:val="0"/>
      <w:numPr>
        <w:ilvl w:val="0"/>
        <w:numId w:val="0"/>
      </w:numPr>
      <w:tabs>
        <w:tab w:val="left" w:pos="567"/>
        <w:tab w:val="clear" w:pos="720"/>
      </w:tabs>
      <w:spacing w:before="960" w:beforeLines="50" w:after="960" w:afterLines="50" w:line="240" w:lineRule="auto"/>
      <w:ind w:left="567" w:hanging="567"/>
      <w:jc w:val="both"/>
    </w:pPr>
    <w:rPr>
      <w:rFonts w:eastAsia="华文中宋"/>
      <w:snapToGrid/>
      <w:kern w:val="2"/>
      <w:sz w:val="32"/>
    </w:rPr>
  </w:style>
  <w:style w:type="paragraph" w:customStyle="1" w:styleId="794">
    <w:name w:val="xl47"/>
    <w:basedOn w:val="1"/>
    <w:qFormat/>
    <w:uiPriority w:val="0"/>
    <w:pPr>
      <w:widowControl/>
      <w:pBdr>
        <w:bottom w:val="single" w:color="auto" w:sz="4" w:space="0"/>
      </w:pBdr>
      <w:spacing w:before="100" w:beforeAutospacing="1" w:after="100" w:afterAutospacing="1" w:line="240" w:lineRule="auto"/>
      <w:ind w:firstLine="0" w:firstLineChars="0"/>
      <w:jc w:val="center"/>
      <w:textAlignment w:val="center"/>
    </w:pPr>
    <w:rPr>
      <w:b/>
      <w:bCs/>
      <w:kern w:val="0"/>
    </w:rPr>
  </w:style>
  <w:style w:type="paragraph" w:customStyle="1" w:styleId="795">
    <w:name w:val="日期1"/>
    <w:basedOn w:val="1"/>
    <w:next w:val="1"/>
    <w:semiHidden/>
    <w:qFormat/>
    <w:uiPriority w:val="0"/>
    <w:pPr>
      <w:adjustRightInd w:val="0"/>
      <w:ind w:firstLine="576"/>
      <w:jc w:val="left"/>
      <w:textAlignment w:val="baseline"/>
    </w:pPr>
    <w:rPr>
      <w:rFonts w:ascii="仿宋_GB2312" w:eastAsia="仿宋_GB2312"/>
      <w:spacing w:val="4"/>
      <w:kern w:val="18"/>
      <w:sz w:val="28"/>
      <w:szCs w:val="20"/>
    </w:rPr>
  </w:style>
  <w:style w:type="paragraph" w:customStyle="1" w:styleId="796">
    <w:name w:val="样式 表格标题新 + (西文) Times New Roman (中文) 仿宋_GB2312 黑色"/>
    <w:basedOn w:val="1"/>
    <w:qFormat/>
    <w:uiPriority w:val="0"/>
    <w:pPr>
      <w:tabs>
        <w:tab w:val="left" w:pos="0"/>
      </w:tabs>
      <w:adjustRightInd w:val="0"/>
      <w:snapToGrid w:val="0"/>
      <w:spacing w:line="500" w:lineRule="exact"/>
      <w:ind w:firstLine="480" w:firstLineChars="0"/>
      <w:jc w:val="center"/>
    </w:pPr>
    <w:rPr>
      <w:rFonts w:hAnsi="黑体" w:eastAsia="黑体"/>
      <w:b/>
      <w:bCs/>
      <w:snapToGrid w:val="0"/>
      <w:spacing w:val="4"/>
      <w:kern w:val="0"/>
    </w:rPr>
  </w:style>
  <w:style w:type="paragraph" w:customStyle="1" w:styleId="797">
    <w:name w:val="表心"/>
    <w:basedOn w:val="1"/>
    <w:qFormat/>
    <w:uiPriority w:val="0"/>
    <w:pPr>
      <w:widowControl/>
      <w:topLinePunct/>
      <w:adjustRightInd w:val="0"/>
      <w:spacing w:line="360" w:lineRule="exact"/>
      <w:ind w:left="-63" w:leftChars="-30" w:right="-63" w:rightChars="-30" w:firstLine="0" w:firstLineChars="0"/>
      <w:jc w:val="center"/>
      <w:textAlignment w:val="baseline"/>
    </w:pPr>
    <w:rPr>
      <w:rFonts w:ascii="华文新魏" w:eastAsia="华文新魏"/>
    </w:rPr>
  </w:style>
  <w:style w:type="paragraph" w:customStyle="1" w:styleId="798">
    <w:name w:val="CM100"/>
    <w:basedOn w:val="188"/>
    <w:next w:val="188"/>
    <w:qFormat/>
    <w:uiPriority w:val="0"/>
    <w:pPr>
      <w:spacing w:after="88"/>
    </w:pPr>
    <w:rPr>
      <w:rFonts w:ascii="楷体_GB2312" w:eastAsia="楷体_GB2312"/>
      <w:color w:val="auto"/>
    </w:rPr>
  </w:style>
  <w:style w:type="paragraph" w:customStyle="1" w:styleId="799">
    <w:name w:val="样式 正文1 Char + 仿宋_GB2312 四号 首行缩进:  2 字符 Char Char"/>
    <w:basedOn w:val="1"/>
    <w:qFormat/>
    <w:uiPriority w:val="0"/>
    <w:pPr>
      <w:suppressLineNumbers/>
      <w:suppressAutoHyphens/>
      <w:topLinePunct/>
      <w:adjustRightInd w:val="0"/>
      <w:snapToGrid w:val="0"/>
      <w:ind w:firstLine="560"/>
    </w:pPr>
    <w:rPr>
      <w:rFonts w:ascii="宋体" w:hAnsi="宋体" w:cs="宋体"/>
      <w:sz w:val="28"/>
      <w:szCs w:val="28"/>
    </w:rPr>
  </w:style>
  <w:style w:type="paragraph" w:customStyle="1" w:styleId="800">
    <w:name w:val="正文1 Char Char Char"/>
    <w:basedOn w:val="1"/>
    <w:qFormat/>
    <w:uiPriority w:val="0"/>
    <w:pPr>
      <w:suppressLineNumbers/>
      <w:suppressAutoHyphens/>
      <w:topLinePunct/>
      <w:adjustRightInd w:val="0"/>
      <w:snapToGrid w:val="0"/>
      <w:ind w:firstLine="480"/>
    </w:pPr>
  </w:style>
  <w:style w:type="paragraph" w:customStyle="1" w:styleId="801">
    <w:name w:val="表格文字小四"/>
    <w:basedOn w:val="1"/>
    <w:semiHidden/>
    <w:qFormat/>
    <w:uiPriority w:val="0"/>
    <w:pPr>
      <w:spacing w:line="240" w:lineRule="auto"/>
      <w:ind w:firstLine="0" w:firstLineChars="0"/>
      <w:jc w:val="center"/>
    </w:pPr>
    <w:rPr>
      <w:rFonts w:ascii="Times" w:hAnsi="Times"/>
      <w:kern w:val="24"/>
    </w:rPr>
  </w:style>
  <w:style w:type="paragraph" w:customStyle="1" w:styleId="802">
    <w:name w:val="批注框文本1"/>
    <w:basedOn w:val="1"/>
    <w:semiHidden/>
    <w:qFormat/>
    <w:uiPriority w:val="0"/>
    <w:pPr>
      <w:spacing w:line="240" w:lineRule="auto"/>
      <w:ind w:firstLine="0" w:firstLineChars="0"/>
    </w:pPr>
    <w:rPr>
      <w:rFonts w:ascii="Tahoma" w:hAnsi="Tahoma" w:cs="Tahoma"/>
      <w:sz w:val="16"/>
      <w:szCs w:val="16"/>
    </w:rPr>
  </w:style>
  <w:style w:type="paragraph" w:customStyle="1" w:styleId="803">
    <w:name w:val="样式8"/>
    <w:basedOn w:val="3"/>
    <w:qFormat/>
    <w:uiPriority w:val="0"/>
    <w:pPr>
      <w:keepNext w:val="0"/>
      <w:widowControl w:val="0"/>
      <w:numPr>
        <w:ilvl w:val="0"/>
        <w:numId w:val="0"/>
      </w:numPr>
      <w:pBdr>
        <w:bottom w:val="single" w:color="auto" w:sz="12" w:space="1"/>
      </w:pBdr>
      <w:tabs>
        <w:tab w:val="left" w:pos="567"/>
        <w:tab w:val="clear" w:pos="720"/>
      </w:tabs>
      <w:spacing w:before="960" w:beforeLines="0" w:after="960" w:afterLines="0" w:line="240" w:lineRule="auto"/>
      <w:jc w:val="both"/>
    </w:pPr>
    <w:rPr>
      <w:rFonts w:eastAsia="黑体"/>
      <w:bCs w:val="0"/>
      <w:snapToGrid/>
      <w:kern w:val="2"/>
      <w:sz w:val="32"/>
      <w:szCs w:val="20"/>
    </w:rPr>
  </w:style>
  <w:style w:type="paragraph" w:customStyle="1" w:styleId="804">
    <w:name w:val="样式 首行缩进  2 字符 + 首行缩进:  5 字符"/>
    <w:basedOn w:val="805"/>
    <w:qFormat/>
    <w:uiPriority w:val="0"/>
    <w:pPr>
      <w:ind w:firstLine="1200" w:firstLineChars="500"/>
    </w:pPr>
    <w:rPr>
      <w:szCs w:val="20"/>
    </w:rPr>
  </w:style>
  <w:style w:type="paragraph" w:customStyle="1" w:styleId="805">
    <w:name w:val="首行缩进  2 字符"/>
    <w:basedOn w:val="1"/>
    <w:qFormat/>
    <w:uiPriority w:val="0"/>
    <w:pPr>
      <w:widowControl/>
      <w:topLinePunct/>
      <w:spacing w:line="480" w:lineRule="exact"/>
      <w:ind w:firstLine="480"/>
    </w:pPr>
    <w:rPr>
      <w:rFonts w:ascii="宋体" w:hAnsi="宋体" w:cs="宋体"/>
      <w:kern w:val="0"/>
    </w:rPr>
  </w:style>
  <w:style w:type="paragraph" w:customStyle="1" w:styleId="806">
    <w:name w:val="样式 标题 1 + Times New Roman 非加粗"/>
    <w:basedOn w:val="2"/>
    <w:qFormat/>
    <w:uiPriority w:val="0"/>
    <w:pPr>
      <w:widowControl w:val="0"/>
      <w:numPr>
        <w:ilvl w:val="0"/>
        <w:numId w:val="0"/>
      </w:numPr>
      <w:shd w:val="clear" w:color="auto" w:fill="FFFFFF"/>
      <w:spacing w:before="240" w:beforeLines="200" w:after="120" w:afterLines="0" w:line="560" w:lineRule="exact"/>
      <w:jc w:val="center"/>
    </w:pPr>
    <w:rPr>
      <w:rFonts w:ascii="黑体" w:hAnsi="Arial" w:eastAsia="黑体" w:cs="Arial"/>
      <w:b w:val="0"/>
      <w:bCs w:val="0"/>
      <w:snapToGrid/>
      <w:kern w:val="32"/>
    </w:rPr>
  </w:style>
  <w:style w:type="paragraph" w:customStyle="1" w:styleId="807">
    <w:name w:val="样式 标题 4款标题1.1.1段款标题1.1.1.1四四级标题Heading4Subsection4 dash...1"/>
    <w:basedOn w:val="5"/>
    <w:qFormat/>
    <w:uiPriority w:val="0"/>
    <w:pPr>
      <w:keepNext w:val="0"/>
      <w:keepLines w:val="0"/>
      <w:widowControl w:val="0"/>
      <w:numPr>
        <w:ilvl w:val="0"/>
        <w:numId w:val="0"/>
      </w:numPr>
      <w:tabs>
        <w:tab w:val="left" w:pos="288"/>
        <w:tab w:val="clear" w:pos="864"/>
      </w:tabs>
      <w:spacing w:beforeLines="50" w:after="60"/>
      <w:ind w:left="720" w:hanging="720"/>
      <w:jc w:val="both"/>
    </w:pPr>
    <w:rPr>
      <w:rFonts w:eastAsia="宋体" w:cs="宋体"/>
      <w:snapToGrid/>
      <w:kern w:val="2"/>
      <w:szCs w:val="20"/>
    </w:rPr>
  </w:style>
  <w:style w:type="paragraph" w:customStyle="1" w:styleId="808">
    <w:name w:val="xl32"/>
    <w:basedOn w:val="1"/>
    <w:semiHidden/>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Courier New" w:hAnsi="Courier New" w:eastAsia="Arial Unicode MS" w:cs="Courier New"/>
      <w:kern w:val="0"/>
      <w:sz w:val="22"/>
      <w:szCs w:val="22"/>
    </w:rPr>
  </w:style>
  <w:style w:type="paragraph" w:customStyle="1" w:styleId="809">
    <w:name w:val="样式 表头样式1 + 段前: 0.5 行"/>
    <w:basedOn w:val="341"/>
    <w:qFormat/>
    <w:uiPriority w:val="0"/>
    <w:pPr>
      <w:spacing w:before="120" w:beforeLines="50" w:after="0" w:line="240" w:lineRule="auto"/>
    </w:pPr>
    <w:rPr>
      <w:rFonts w:cs="宋体"/>
      <w:bCs/>
    </w:rPr>
  </w:style>
  <w:style w:type="paragraph" w:customStyle="1" w:styleId="810">
    <w:name w:val="样式 (中文) 华文楷体 四号"/>
    <w:basedOn w:val="1"/>
    <w:qFormat/>
    <w:uiPriority w:val="0"/>
    <w:pPr>
      <w:adjustRightInd w:val="0"/>
      <w:spacing w:line="300" w:lineRule="auto"/>
      <w:ind w:firstLine="0" w:firstLineChars="0"/>
      <w:textAlignment w:val="baseline"/>
    </w:pPr>
    <w:rPr>
      <w:rFonts w:eastAsia="华文楷体" w:cs="宋体"/>
      <w:kern w:val="0"/>
      <w:sz w:val="28"/>
      <w:szCs w:val="20"/>
    </w:rPr>
  </w:style>
  <w:style w:type="paragraph" w:customStyle="1" w:styleId="811">
    <w:name w:val="xl28"/>
    <w:basedOn w:val="1"/>
    <w:semiHidden/>
    <w:qFormat/>
    <w:uiPriority w:val="0"/>
    <w:pPr>
      <w:widowControl/>
      <w:pBdr>
        <w:top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812">
    <w:name w:val="默认段落字体 Para Char Char Char Char Char Char Char Char Char Char"/>
    <w:basedOn w:val="4"/>
    <w:qFormat/>
    <w:uiPriority w:val="0"/>
    <w:pPr>
      <w:widowControl w:val="0"/>
      <w:numPr>
        <w:ilvl w:val="0"/>
        <w:numId w:val="0"/>
      </w:numPr>
      <w:tabs>
        <w:tab w:val="left" w:pos="360"/>
        <w:tab w:val="left" w:pos="900"/>
        <w:tab w:val="clear" w:pos="816"/>
      </w:tabs>
      <w:snapToGrid w:val="0"/>
      <w:spacing w:before="120" w:beforeLines="0" w:after="120" w:afterLines="0" w:line="360" w:lineRule="auto"/>
      <w:ind w:left="542" w:leftChars="-12" w:firstLine="200" w:firstLineChars="200"/>
    </w:pPr>
    <w:rPr>
      <w:rFonts w:eastAsia="黑体"/>
      <w:b w:val="0"/>
      <w:bCs w:val="0"/>
      <w:snapToGrid w:val="0"/>
      <w:sz w:val="24"/>
    </w:rPr>
  </w:style>
  <w:style w:type="paragraph" w:customStyle="1" w:styleId="813">
    <w:name w:val="样式 标题 2H2Heading 2 HiddenHeading 2 CCBS2nd levelh22Header..."/>
    <w:basedOn w:val="3"/>
    <w:qFormat/>
    <w:uiPriority w:val="0"/>
    <w:pPr>
      <w:widowControl w:val="0"/>
      <w:numPr>
        <w:ilvl w:val="0"/>
        <w:numId w:val="0"/>
      </w:numPr>
      <w:tabs>
        <w:tab w:val="left" w:pos="567"/>
        <w:tab w:val="clear" w:pos="720"/>
      </w:tabs>
      <w:spacing w:before="120" w:beforeLines="0" w:after="120" w:afterLines="0" w:line="440" w:lineRule="exact"/>
    </w:pPr>
    <w:rPr>
      <w:rFonts w:ascii="Arial" w:hAnsi="Arial" w:eastAsia="黑体" w:cs="宋体"/>
      <w:snapToGrid/>
      <w:kern w:val="2"/>
      <w:sz w:val="24"/>
      <w:szCs w:val="20"/>
    </w:rPr>
  </w:style>
  <w:style w:type="paragraph" w:customStyle="1" w:styleId="814">
    <w:name w:val="样式 题注 + 小四"/>
    <w:basedOn w:val="20"/>
    <w:semiHidden/>
    <w:qFormat/>
    <w:uiPriority w:val="0"/>
    <w:pPr>
      <w:keepNext/>
      <w:spacing w:before="0" w:after="0" w:line="360" w:lineRule="auto"/>
      <w:jc w:val="both"/>
    </w:pPr>
    <w:rPr>
      <w:b/>
    </w:rPr>
  </w:style>
  <w:style w:type="paragraph" w:customStyle="1" w:styleId="815">
    <w:name w:val="font11"/>
    <w:basedOn w:val="1"/>
    <w:qFormat/>
    <w:uiPriority w:val="0"/>
    <w:pPr>
      <w:widowControl/>
      <w:spacing w:before="100" w:beforeAutospacing="1" w:after="100" w:afterAutospacing="1" w:line="240" w:lineRule="auto"/>
      <w:ind w:firstLine="0" w:firstLineChars="0"/>
      <w:jc w:val="left"/>
    </w:pPr>
    <w:rPr>
      <w:rFonts w:ascii="Arial" w:hAnsi="Arial" w:cs="Arial"/>
      <w:b/>
      <w:bCs/>
      <w:kern w:val="0"/>
    </w:rPr>
  </w:style>
  <w:style w:type="paragraph" w:customStyle="1" w:styleId="816">
    <w:name w:val="xl44"/>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hint="eastAsia" w:ascii="宋体" w:hAnsi="宋体" w:cs="Arial Unicode MS"/>
      <w:kern w:val="0"/>
      <w:sz w:val="22"/>
      <w:szCs w:val="22"/>
    </w:rPr>
  </w:style>
  <w:style w:type="paragraph" w:customStyle="1" w:styleId="817">
    <w:name w:val="样式 正文文本缩进正文文字缩进正文文字缩进1 + 首行缩进:  0.98 厘米"/>
    <w:basedOn w:val="32"/>
    <w:semiHidden/>
    <w:qFormat/>
    <w:uiPriority w:val="0"/>
    <w:pPr>
      <w:widowControl w:val="0"/>
      <w:snapToGrid w:val="0"/>
      <w:spacing w:line="460" w:lineRule="exact"/>
      <w:ind w:firstLine="556"/>
    </w:pPr>
    <w:rPr>
      <w:rFonts w:ascii="楷体_GB2312" w:eastAsia="楷体_GB2312"/>
      <w:bCs/>
      <w:kern w:val="0"/>
      <w:sz w:val="28"/>
      <w:szCs w:val="28"/>
    </w:rPr>
  </w:style>
  <w:style w:type="paragraph" w:customStyle="1" w:styleId="818">
    <w:name w:val="样式 (中文) 黑体 三号 加粗 段前: 48 磅 段后: 48 磅 底端: (单实线 自动设置  1.5 磅 行...1"/>
    <w:basedOn w:val="2"/>
    <w:qFormat/>
    <w:uiPriority w:val="0"/>
    <w:pPr>
      <w:widowControl w:val="0"/>
      <w:numPr>
        <w:ilvl w:val="0"/>
        <w:numId w:val="0"/>
      </w:numPr>
      <w:pBdr>
        <w:bottom w:val="single" w:color="auto" w:sz="12" w:space="1"/>
      </w:pBdr>
      <w:spacing w:before="960" w:beforeLines="0" w:after="960" w:afterLines="0" w:line="578" w:lineRule="auto"/>
      <w:jc w:val="both"/>
    </w:pPr>
    <w:rPr>
      <w:rFonts w:eastAsia="黑体" w:cs="宋体"/>
      <w:b w:val="0"/>
      <w:bCs w:val="0"/>
      <w:snapToGrid/>
      <w:kern w:val="44"/>
      <w:szCs w:val="20"/>
    </w:rPr>
  </w:style>
  <w:style w:type="paragraph" w:customStyle="1" w:styleId="819">
    <w:name w:val="样式 标题 3头小标题小节标题Sottoparagrafo标题 3 Char3标题 3 Char1 Char1So..."/>
    <w:basedOn w:val="4"/>
    <w:qFormat/>
    <w:uiPriority w:val="0"/>
    <w:pPr>
      <w:widowControl w:val="0"/>
      <w:numPr>
        <w:ilvl w:val="0"/>
        <w:numId w:val="0"/>
      </w:numPr>
      <w:tabs>
        <w:tab w:val="clear" w:pos="816"/>
      </w:tabs>
      <w:snapToGrid w:val="0"/>
      <w:spacing w:before="240" w:beforeLines="0" w:after="240" w:afterLines="0" w:line="480" w:lineRule="exact"/>
      <w:jc w:val="both"/>
    </w:pPr>
    <w:rPr>
      <w:rFonts w:eastAsia="黑体"/>
      <w:b w:val="0"/>
      <w:bCs w:val="0"/>
      <w:kern w:val="0"/>
      <w:szCs w:val="20"/>
    </w:rPr>
  </w:style>
  <w:style w:type="paragraph" w:customStyle="1" w:styleId="820">
    <w:name w:val="－正文"/>
    <w:basedOn w:val="1"/>
    <w:qFormat/>
    <w:uiPriority w:val="0"/>
    <w:pPr>
      <w:spacing w:line="540" w:lineRule="atLeast"/>
      <w:ind w:firstLineChars="0"/>
      <w:jc w:val="left"/>
    </w:pPr>
    <w:rPr>
      <w:spacing w:val="8"/>
      <w:sz w:val="28"/>
      <w:szCs w:val="20"/>
    </w:rPr>
  </w:style>
  <w:style w:type="paragraph" w:customStyle="1" w:styleId="821">
    <w:name w:val="列表标题"/>
    <w:basedOn w:val="1"/>
    <w:next w:val="1"/>
    <w:qFormat/>
    <w:uiPriority w:val="0"/>
    <w:pPr>
      <w:spacing w:line="240" w:lineRule="auto"/>
      <w:ind w:firstLine="0" w:firstLineChars="0"/>
      <w:jc w:val="center"/>
    </w:pPr>
    <w:rPr>
      <w:szCs w:val="20"/>
    </w:rPr>
  </w:style>
  <w:style w:type="paragraph" w:customStyle="1" w:styleId="822">
    <w:name w:val="CM29"/>
    <w:basedOn w:val="188"/>
    <w:next w:val="188"/>
    <w:qFormat/>
    <w:uiPriority w:val="0"/>
    <w:rPr>
      <w:rFonts w:ascii="宋体"/>
      <w:color w:val="auto"/>
    </w:rPr>
  </w:style>
  <w:style w:type="paragraph" w:customStyle="1" w:styleId="823">
    <w:name w:val="gray"/>
    <w:basedOn w:val="1"/>
    <w:qFormat/>
    <w:uiPriority w:val="0"/>
    <w:pPr>
      <w:widowControl/>
      <w:spacing w:before="100" w:beforeAutospacing="1" w:after="100" w:afterAutospacing="1" w:line="301" w:lineRule="atLeast"/>
      <w:ind w:firstLine="0" w:firstLineChars="0"/>
      <w:jc w:val="left"/>
    </w:pPr>
    <w:rPr>
      <w:rFonts w:ascii="宋体" w:hAnsi="宋体"/>
      <w:color w:val="737373"/>
      <w:kern w:val="0"/>
      <w:sz w:val="20"/>
      <w:szCs w:val="20"/>
    </w:rPr>
  </w:style>
  <w:style w:type="paragraph" w:customStyle="1" w:styleId="824">
    <w:name w:val="xl75"/>
    <w:basedOn w:val="1"/>
    <w:qFormat/>
    <w:uiPriority w:val="0"/>
    <w:pPr>
      <w:widowControl/>
      <w:shd w:val="clear" w:color="000000" w:fill="FFC7CE"/>
      <w:spacing w:before="100" w:beforeAutospacing="1" w:after="100" w:afterAutospacing="1" w:line="240" w:lineRule="auto"/>
      <w:ind w:firstLine="0" w:firstLineChars="0"/>
      <w:jc w:val="left"/>
    </w:pPr>
    <w:rPr>
      <w:rFonts w:ascii="宋体" w:hAnsi="宋体" w:cs="宋体"/>
      <w:color w:val="9C0006"/>
      <w:kern w:val="0"/>
      <w:sz w:val="18"/>
      <w:szCs w:val="18"/>
    </w:rPr>
  </w:style>
  <w:style w:type="paragraph" w:customStyle="1" w:styleId="825">
    <w:name w:val="表前文字"/>
    <w:basedOn w:val="1"/>
    <w:semiHidden/>
    <w:qFormat/>
    <w:uiPriority w:val="0"/>
    <w:pPr>
      <w:ind w:firstLine="0" w:firstLineChars="0"/>
      <w:jc w:val="center"/>
    </w:pPr>
    <w:rPr>
      <w:b/>
      <w:bCs/>
      <w:szCs w:val="21"/>
    </w:rPr>
  </w:style>
  <w:style w:type="paragraph" w:customStyle="1" w:styleId="826">
    <w:name w:val="10"/>
    <w:basedOn w:val="1"/>
    <w:next w:val="32"/>
    <w:qFormat/>
    <w:uiPriority w:val="0"/>
    <w:pPr>
      <w:tabs>
        <w:tab w:val="left" w:pos="1280"/>
      </w:tabs>
      <w:adjustRightInd w:val="0"/>
      <w:snapToGrid w:val="0"/>
      <w:ind w:firstLine="560"/>
    </w:pPr>
    <w:rPr>
      <w:rFonts w:ascii="仿宋_GB2312" w:eastAsia="仿宋_GB2312"/>
      <w:sz w:val="28"/>
      <w:szCs w:val="28"/>
    </w:rPr>
  </w:style>
  <w:style w:type="paragraph" w:customStyle="1" w:styleId="827">
    <w:name w:val="xl38"/>
    <w:basedOn w:val="1"/>
    <w:semiHidden/>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828">
    <w:name w:val="样式 目录 1 + 首行缩进:  2 字符1"/>
    <w:basedOn w:val="54"/>
    <w:qFormat/>
    <w:uiPriority w:val="0"/>
    <w:pPr>
      <w:tabs>
        <w:tab w:val="right" w:leader="dot" w:pos="8720"/>
      </w:tabs>
      <w:spacing w:before="120" w:after="120" w:line="480" w:lineRule="exact"/>
      <w:jc w:val="left"/>
    </w:pPr>
    <w:rPr>
      <w:rFonts w:ascii="Comic Sans MS" w:hAnsi="Comic Sans MS" w:eastAsia="楷体_GB2312" w:cs="宋体"/>
      <w:b w:val="0"/>
      <w:bCs/>
      <w:caps/>
      <w:sz w:val="20"/>
      <w:szCs w:val="20"/>
    </w:rPr>
  </w:style>
  <w:style w:type="paragraph" w:customStyle="1" w:styleId="829">
    <w:name w:val="表字五号缩进"/>
    <w:basedOn w:val="830"/>
    <w:qFormat/>
    <w:uiPriority w:val="0"/>
    <w:pPr>
      <w:spacing w:before="31" w:after="31"/>
      <w:ind w:firstLine="420" w:firstLineChars="200"/>
      <w:jc w:val="both"/>
    </w:pPr>
    <w:rPr>
      <w:color w:val="000000"/>
    </w:rPr>
  </w:style>
  <w:style w:type="paragraph" w:customStyle="1" w:styleId="830">
    <w:name w:val="表字五号"/>
    <w:basedOn w:val="1"/>
    <w:qFormat/>
    <w:uiPriority w:val="0"/>
    <w:pPr>
      <w:autoSpaceDE w:val="0"/>
      <w:autoSpaceDN w:val="0"/>
      <w:adjustRightInd w:val="0"/>
      <w:snapToGrid w:val="0"/>
      <w:spacing w:beforeLines="10" w:afterLines="10" w:line="240" w:lineRule="auto"/>
      <w:ind w:firstLine="0" w:firstLineChars="0"/>
      <w:jc w:val="center"/>
      <w:textAlignment w:val="bottom"/>
    </w:pPr>
    <w:rPr>
      <w:kern w:val="0"/>
      <w:sz w:val="21"/>
      <w:szCs w:val="20"/>
    </w:rPr>
  </w:style>
  <w:style w:type="paragraph" w:customStyle="1" w:styleId="831">
    <w:name w:val="图形"/>
    <w:basedOn w:val="19"/>
    <w:qFormat/>
    <w:uiPriority w:val="0"/>
    <w:pPr>
      <w:adjustRightInd w:val="0"/>
      <w:snapToGrid w:val="0"/>
      <w:spacing w:line="348" w:lineRule="auto"/>
      <w:ind w:firstLine="0" w:firstLineChars="0"/>
      <w:jc w:val="left"/>
      <w:textAlignment w:val="baseline"/>
    </w:pPr>
    <w:rPr>
      <w:rFonts w:ascii="宋体" w:eastAsia="楷体_GB2312"/>
      <w:spacing w:val="8"/>
      <w:kern w:val="0"/>
      <w:szCs w:val="20"/>
    </w:rPr>
  </w:style>
  <w:style w:type="paragraph" w:customStyle="1" w:styleId="832">
    <w:name w:val="文本框文字"/>
    <w:basedOn w:val="1"/>
    <w:qFormat/>
    <w:uiPriority w:val="0"/>
    <w:pPr>
      <w:spacing w:line="240" w:lineRule="auto"/>
      <w:ind w:firstLine="0" w:firstLineChars="0"/>
      <w:jc w:val="center"/>
    </w:pPr>
    <w:rPr>
      <w:sz w:val="21"/>
    </w:rPr>
  </w:style>
  <w:style w:type="paragraph" w:customStyle="1" w:styleId="833">
    <w:name w:val="xl39"/>
    <w:basedOn w:val="1"/>
    <w:semiHidden/>
    <w:qFormat/>
    <w:uiPriority w:val="0"/>
    <w:pPr>
      <w:widowControl/>
      <w:pBdr>
        <w:bottom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834">
    <w:name w:val="表中文字1"/>
    <w:semiHidden/>
    <w:qFormat/>
    <w:uiPriority w:val="0"/>
    <w:pPr>
      <w:widowControl w:val="0"/>
      <w:adjustRightInd w:val="0"/>
      <w:snapToGrid w:val="0"/>
      <w:jc w:val="center"/>
    </w:pPr>
    <w:rPr>
      <w:rFonts w:ascii="仿宋_GB2312" w:hAnsi="华文仿宋" w:eastAsia="仿宋_GB2312" w:cs="Times New Roman"/>
      <w:b/>
      <w:kern w:val="2"/>
      <w:sz w:val="21"/>
      <w:szCs w:val="21"/>
      <w:lang w:val="en-US" w:eastAsia="zh-CN" w:bidi="ar-SA"/>
    </w:rPr>
  </w:style>
  <w:style w:type="paragraph" w:customStyle="1" w:styleId="835">
    <w:name w:val="xl82"/>
    <w:basedOn w:val="1"/>
    <w:qFormat/>
    <w:uiPriority w:val="0"/>
    <w:pPr>
      <w:widowControl/>
      <w:spacing w:before="100" w:beforeAutospacing="1" w:after="100" w:afterAutospacing="1" w:line="240" w:lineRule="auto"/>
      <w:ind w:firstLine="0" w:firstLineChars="0"/>
      <w:jc w:val="left"/>
    </w:pPr>
    <w:rPr>
      <w:kern w:val="0"/>
      <w:sz w:val="18"/>
      <w:szCs w:val="18"/>
    </w:rPr>
  </w:style>
  <w:style w:type="paragraph" w:customStyle="1" w:styleId="836">
    <w:name w:val="xl84"/>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837">
    <w:name w:val="样式 君邦正文 + 小五 段后: 0 磅 行距: 单倍行距"/>
    <w:basedOn w:val="473"/>
    <w:qFormat/>
    <w:uiPriority w:val="0"/>
    <w:pPr>
      <w:spacing w:after="0" w:line="240" w:lineRule="auto"/>
      <w:ind w:firstLine="0" w:firstLineChars="0"/>
    </w:pPr>
    <w:rPr>
      <w:rFonts w:cs="宋体"/>
      <w:bCs w:val="0"/>
      <w:sz w:val="18"/>
    </w:rPr>
  </w:style>
  <w:style w:type="paragraph" w:customStyle="1" w:styleId="838">
    <w:name w:val="正文大"/>
    <w:basedOn w:val="1"/>
    <w:qFormat/>
    <w:uiPriority w:val="0"/>
    <w:pPr>
      <w:spacing w:line="480" w:lineRule="auto"/>
      <w:ind w:firstLine="539" w:firstLineChars="0"/>
    </w:pPr>
    <w:rPr>
      <w:b/>
    </w:rPr>
  </w:style>
  <w:style w:type="paragraph" w:customStyle="1" w:styleId="839">
    <w:name w:val="样式 表字五号 + 段前: 0.1 行 段后: 0.1 行"/>
    <w:basedOn w:val="830"/>
    <w:qFormat/>
    <w:uiPriority w:val="0"/>
    <w:pPr>
      <w:spacing w:before="31" w:after="31"/>
    </w:pPr>
    <w:rPr>
      <w:rFonts w:cs="宋体"/>
      <w:szCs w:val="21"/>
    </w:rPr>
  </w:style>
  <w:style w:type="paragraph" w:customStyle="1" w:styleId="840">
    <w:name w:val="目录1"/>
    <w:basedOn w:val="1"/>
    <w:next w:val="1"/>
    <w:semiHidden/>
    <w:qFormat/>
    <w:uiPriority w:val="0"/>
    <w:pPr>
      <w:adjustRightInd w:val="0"/>
      <w:snapToGrid w:val="0"/>
      <w:spacing w:before="120" w:after="120" w:line="420" w:lineRule="atLeast"/>
      <w:ind w:firstLine="0" w:firstLineChars="0"/>
    </w:pPr>
    <w:rPr>
      <w:b/>
      <w:szCs w:val="20"/>
    </w:rPr>
  </w:style>
  <w:style w:type="paragraph" w:customStyle="1" w:styleId="841">
    <w:name w:val="font5"/>
    <w:basedOn w:val="1"/>
    <w:qFormat/>
    <w:uiPriority w:val="0"/>
    <w:pPr>
      <w:widowControl/>
      <w:spacing w:before="100" w:beforeAutospacing="1" w:after="100" w:afterAutospacing="1" w:line="240" w:lineRule="auto"/>
      <w:ind w:firstLine="0" w:firstLineChars="0"/>
      <w:jc w:val="left"/>
    </w:pPr>
    <w:rPr>
      <w:rFonts w:hint="eastAsia" w:ascii="宋体" w:hAnsi="宋体" w:cs="Arial Unicode MS"/>
      <w:kern w:val="0"/>
    </w:rPr>
  </w:style>
  <w:style w:type="paragraph" w:customStyle="1" w:styleId="842">
    <w:name w:val="表中"/>
    <w:qFormat/>
    <w:uiPriority w:val="0"/>
    <w:pPr>
      <w:spacing w:line="280" w:lineRule="exact"/>
      <w:jc w:val="center"/>
    </w:pPr>
    <w:rPr>
      <w:rFonts w:ascii="Times New Roman" w:hAnsi="Times New Roman" w:eastAsia="宋体" w:cs="Times New Roman"/>
      <w:color w:val="000000"/>
      <w:spacing w:val="20"/>
      <w:kern w:val="44"/>
      <w:sz w:val="18"/>
      <w:lang w:val="en-US" w:eastAsia="zh-CN" w:bidi="ar-SA"/>
    </w:rPr>
  </w:style>
  <w:style w:type="paragraph" w:customStyle="1" w:styleId="843">
    <w:name w:val="tdbg_mainall"/>
    <w:basedOn w:val="1"/>
    <w:qFormat/>
    <w:uiPriority w:val="0"/>
    <w:pPr>
      <w:widowControl/>
      <w:spacing w:before="100" w:beforeAutospacing="1" w:after="100" w:afterAutospacing="1" w:line="240" w:lineRule="auto"/>
      <w:ind w:firstLine="0" w:firstLineChars="0"/>
      <w:jc w:val="left"/>
    </w:pPr>
    <w:rPr>
      <w:rFonts w:ascii="Arial Unicode MS" w:hAnsi="Arial Unicode MS" w:eastAsia="Arial Unicode MS" w:cs="Arial Unicode MS"/>
      <w:kern w:val="0"/>
    </w:rPr>
  </w:style>
  <w:style w:type="paragraph" w:customStyle="1" w:styleId="844">
    <w:name w:val="样式 正文1 Char Char + 字距调整七号 Char"/>
    <w:basedOn w:val="1"/>
    <w:qFormat/>
    <w:uiPriority w:val="0"/>
    <w:pPr>
      <w:suppressLineNumbers/>
      <w:suppressAutoHyphens/>
      <w:topLinePunct/>
      <w:adjustRightInd w:val="0"/>
      <w:snapToGrid w:val="0"/>
      <w:ind w:firstLine="480"/>
    </w:pPr>
    <w:rPr>
      <w:kern w:val="11"/>
    </w:rPr>
  </w:style>
  <w:style w:type="paragraph" w:customStyle="1" w:styleId="845">
    <w:name w:val="样式11"/>
    <w:basedOn w:val="6"/>
    <w:qFormat/>
    <w:uiPriority w:val="0"/>
    <w:pPr>
      <w:keepLines w:val="0"/>
      <w:tabs>
        <w:tab w:val="left" w:pos="1008"/>
      </w:tabs>
      <w:autoSpaceDE/>
      <w:autoSpaceDN/>
      <w:spacing w:after="60"/>
      <w:ind w:left="1008" w:hanging="1008"/>
      <w:jc w:val="both"/>
    </w:pPr>
    <w:rPr>
      <w:bCs w:val="0"/>
      <w:szCs w:val="20"/>
    </w:rPr>
  </w:style>
  <w:style w:type="paragraph" w:customStyle="1" w:styleId="846">
    <w:name w:val="xl42"/>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 w:val="22"/>
      <w:szCs w:val="22"/>
    </w:rPr>
  </w:style>
  <w:style w:type="paragraph" w:customStyle="1" w:styleId="847">
    <w:name w:val="s标题2"/>
    <w:basedOn w:val="3"/>
    <w:qFormat/>
    <w:uiPriority w:val="0"/>
    <w:pPr>
      <w:keepNext w:val="0"/>
      <w:keepLines w:val="0"/>
      <w:widowControl w:val="0"/>
      <w:numPr>
        <w:ilvl w:val="0"/>
        <w:numId w:val="0"/>
      </w:numPr>
      <w:tabs>
        <w:tab w:val="left" w:pos="567"/>
        <w:tab w:val="clear" w:pos="720"/>
      </w:tabs>
      <w:adjustRightInd w:val="0"/>
      <w:snapToGrid w:val="0"/>
      <w:spacing w:before="0" w:beforeLines="0" w:after="0" w:afterLines="0" w:line="360" w:lineRule="auto"/>
    </w:pPr>
    <w:rPr>
      <w:rFonts w:eastAsia="黑体"/>
      <w:bCs w:val="0"/>
      <w:snapToGrid/>
      <w:kern w:val="2"/>
      <w:sz w:val="24"/>
      <w:szCs w:val="24"/>
    </w:rPr>
  </w:style>
  <w:style w:type="paragraph" w:customStyle="1" w:styleId="848">
    <w:name w:val="样式 样式 宋体 小三 首行缩进:  2 字符 + 首行缩进:  2 字符"/>
    <w:basedOn w:val="1"/>
    <w:semiHidden/>
    <w:qFormat/>
    <w:uiPriority w:val="0"/>
    <w:rPr>
      <w:rFonts w:hint="eastAsia" w:ascii="宋体" w:hAnsi="宋体"/>
      <w:sz w:val="28"/>
      <w:szCs w:val="20"/>
    </w:rPr>
  </w:style>
  <w:style w:type="paragraph" w:customStyle="1" w:styleId="849">
    <w:name w:val="Puce fleche"/>
    <w:basedOn w:val="31"/>
    <w:qFormat/>
    <w:uiPriority w:val="0"/>
    <w:pPr>
      <w:widowControl/>
      <w:tabs>
        <w:tab w:val="left" w:pos="851"/>
      </w:tabs>
      <w:spacing w:before="60" w:after="0" w:line="240" w:lineRule="auto"/>
      <w:ind w:left="851" w:hanging="851" w:firstLineChars="0"/>
    </w:pPr>
    <w:rPr>
      <w:rFonts w:ascii="Arial" w:hAnsi="Arial"/>
      <w:kern w:val="0"/>
      <w:sz w:val="20"/>
      <w:szCs w:val="20"/>
      <w:lang w:val="en-GB" w:eastAsia="fr-FR"/>
    </w:rPr>
  </w:style>
  <w:style w:type="paragraph" w:customStyle="1" w:styleId="850">
    <w:name w:val="插表文字五号"/>
    <w:basedOn w:val="830"/>
    <w:qFormat/>
    <w:uiPriority w:val="0"/>
  </w:style>
  <w:style w:type="paragraph" w:customStyle="1" w:styleId="851">
    <w:name w:val="纯文本1"/>
    <w:basedOn w:val="1"/>
    <w:qFormat/>
    <w:uiPriority w:val="0"/>
    <w:pPr>
      <w:autoSpaceDE w:val="0"/>
      <w:autoSpaceDN w:val="0"/>
      <w:adjustRightInd w:val="0"/>
      <w:spacing w:line="240" w:lineRule="auto"/>
      <w:ind w:firstLine="0" w:firstLineChars="0"/>
      <w:textAlignment w:val="baseline"/>
    </w:pPr>
    <w:rPr>
      <w:rFonts w:ascii="宋体" w:hAnsi="Tms Rmn"/>
      <w:kern w:val="0"/>
      <w:sz w:val="21"/>
      <w:szCs w:val="20"/>
    </w:rPr>
  </w:style>
  <w:style w:type="paragraph" w:customStyle="1" w:styleId="852">
    <w:name w:val="样式 正文1 Char Char + 字距调整七号 Char1"/>
    <w:basedOn w:val="1"/>
    <w:qFormat/>
    <w:uiPriority w:val="0"/>
    <w:pPr>
      <w:suppressLineNumbers/>
      <w:suppressAutoHyphens/>
      <w:topLinePunct/>
      <w:adjustRightInd w:val="0"/>
      <w:snapToGrid w:val="0"/>
      <w:ind w:firstLine="480"/>
    </w:pPr>
    <w:rPr>
      <w:kern w:val="11"/>
    </w:rPr>
  </w:style>
  <w:style w:type="paragraph" w:customStyle="1" w:styleId="853">
    <w:name w:val="样式 标题 2标题 2 Char Char + 段前: 0.3 行"/>
    <w:basedOn w:val="3"/>
    <w:qFormat/>
    <w:uiPriority w:val="0"/>
    <w:pPr>
      <w:keepNext w:val="0"/>
      <w:keepLines w:val="0"/>
      <w:widowControl w:val="0"/>
      <w:numPr>
        <w:ilvl w:val="0"/>
        <w:numId w:val="0"/>
      </w:numPr>
      <w:tabs>
        <w:tab w:val="left" w:pos="567"/>
        <w:tab w:val="left" w:pos="1425"/>
        <w:tab w:val="clear" w:pos="720"/>
      </w:tabs>
      <w:adjustRightInd w:val="0"/>
      <w:snapToGrid w:val="0"/>
      <w:spacing w:before="960" w:beforeLines="50" w:after="0" w:afterLines="0" w:line="360" w:lineRule="auto"/>
      <w:ind w:left="1425" w:hanging="1005"/>
      <w:jc w:val="both"/>
    </w:pPr>
    <w:rPr>
      <w:rFonts w:ascii="黑体" w:hAnsi="Arial" w:eastAsia="黑体" w:cs="宋体"/>
      <w:b w:val="0"/>
      <w:bCs w:val="0"/>
      <w:snapToGrid/>
      <w:kern w:val="2"/>
      <w:sz w:val="28"/>
      <w:szCs w:val="28"/>
    </w:rPr>
  </w:style>
  <w:style w:type="paragraph" w:customStyle="1" w:styleId="854">
    <w:name w:val="wenzi"/>
    <w:basedOn w:val="1"/>
    <w:qFormat/>
    <w:uiPriority w:val="0"/>
    <w:pPr>
      <w:widowControl/>
      <w:topLinePunct/>
      <w:spacing w:before="100" w:beforeAutospacing="1" w:after="100" w:afterAutospacing="1"/>
      <w:ind w:firstLine="0" w:firstLineChars="0"/>
      <w:jc w:val="left"/>
    </w:pPr>
    <w:rPr>
      <w:rFonts w:ascii="宋体" w:hAnsi="宋体"/>
      <w:color w:val="000000"/>
      <w:kern w:val="0"/>
      <w:sz w:val="18"/>
      <w:szCs w:val="18"/>
    </w:rPr>
  </w:style>
  <w:style w:type="paragraph" w:customStyle="1" w:styleId="855">
    <w:name w:val="xl45"/>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hint="eastAsia" w:ascii="宋体" w:hAnsi="宋体" w:cs="Arial Unicode MS"/>
      <w:kern w:val="0"/>
      <w:sz w:val="22"/>
      <w:szCs w:val="22"/>
    </w:rPr>
  </w:style>
  <w:style w:type="paragraph" w:customStyle="1" w:styleId="856">
    <w:name w:val="样式 仿宋_GB2312 小四 加粗"/>
    <w:qFormat/>
    <w:uiPriority w:val="0"/>
    <w:pPr>
      <w:spacing w:line="360" w:lineRule="auto"/>
      <w:ind w:firstLine="482" w:firstLineChars="200"/>
      <w:jc w:val="both"/>
    </w:pPr>
    <w:rPr>
      <w:rFonts w:ascii="仿宋_GB2312" w:hAnsi="Times New Roman" w:eastAsia="仿宋_GB2312" w:cs="宋体"/>
      <w:b/>
      <w:bCs/>
      <w:kern w:val="2"/>
      <w:sz w:val="24"/>
      <w:lang w:val="en-US" w:eastAsia="zh-CN" w:bidi="ar-SA"/>
    </w:rPr>
  </w:style>
  <w:style w:type="paragraph" w:customStyle="1" w:styleId="857">
    <w:name w:val="基准页脚样式"/>
    <w:basedOn w:val="31"/>
    <w:qFormat/>
    <w:uiPriority w:val="0"/>
    <w:pPr>
      <w:snapToGrid w:val="0"/>
      <w:spacing w:after="0" w:line="240" w:lineRule="exact"/>
      <w:ind w:left="-101" w:leftChars="-48" w:right="-122" w:rightChars="-58" w:firstLine="0" w:firstLineChars="0"/>
      <w:jc w:val="center"/>
    </w:pPr>
    <w:rPr>
      <w:rFonts w:ascii="Times New Roman" w:hAnsi="Times New Roman"/>
      <w:sz w:val="18"/>
      <w:szCs w:val="20"/>
      <w:lang w:val="en-US" w:eastAsia="zh-CN"/>
    </w:rPr>
  </w:style>
  <w:style w:type="paragraph" w:customStyle="1" w:styleId="858">
    <w:name w:val="CM5"/>
    <w:basedOn w:val="1"/>
    <w:next w:val="1"/>
    <w:qFormat/>
    <w:uiPriority w:val="0"/>
    <w:pPr>
      <w:autoSpaceDE w:val="0"/>
      <w:autoSpaceDN w:val="0"/>
      <w:adjustRightInd w:val="0"/>
      <w:spacing w:line="480" w:lineRule="atLeast"/>
      <w:ind w:firstLine="0" w:firstLineChars="0"/>
      <w:jc w:val="left"/>
    </w:pPr>
    <w:rPr>
      <w:rFonts w:ascii="黑体" w:eastAsia="黑体"/>
      <w:kern w:val="0"/>
    </w:rPr>
  </w:style>
  <w:style w:type="paragraph" w:customStyle="1" w:styleId="859">
    <w:name w:val="xl30"/>
    <w:basedOn w:val="1"/>
    <w:semiHidden/>
    <w:qFormat/>
    <w:uiPriority w:val="0"/>
    <w:pPr>
      <w:widowControl/>
      <w:spacing w:before="100" w:beforeAutospacing="1" w:after="100" w:afterAutospacing="1" w:line="240" w:lineRule="auto"/>
      <w:ind w:firstLine="0" w:firstLineChars="0"/>
      <w:jc w:val="left"/>
      <w:textAlignment w:val="center"/>
    </w:pPr>
    <w:rPr>
      <w:rFonts w:ascii="Courier New" w:hAnsi="Courier New" w:eastAsia="Arial Unicode MS" w:cs="Courier New"/>
      <w:kern w:val="0"/>
      <w:sz w:val="22"/>
      <w:szCs w:val="22"/>
    </w:rPr>
  </w:style>
  <w:style w:type="paragraph" w:customStyle="1" w:styleId="860">
    <w:name w:val="Char1 Char Char Char"/>
    <w:basedOn w:val="1"/>
    <w:qFormat/>
    <w:uiPriority w:val="0"/>
    <w:pPr>
      <w:widowControl/>
      <w:spacing w:after="160" w:line="240" w:lineRule="exact"/>
      <w:ind w:firstLine="0" w:firstLineChars="0"/>
      <w:jc w:val="left"/>
    </w:pPr>
    <w:rPr>
      <w:rFonts w:ascii="Arial" w:hAnsi="Arial" w:eastAsia="Times New Roman" w:cs="Verdana"/>
      <w:b/>
      <w:kern w:val="0"/>
      <w:lang w:eastAsia="en-US"/>
    </w:rPr>
  </w:style>
  <w:style w:type="paragraph" w:customStyle="1" w:styleId="861">
    <w:name w:val="Char Char1 Char2 Char Char Char"/>
    <w:basedOn w:val="1"/>
    <w:qFormat/>
    <w:uiPriority w:val="0"/>
    <w:rPr>
      <w:rFonts w:ascii="宋体" w:hAnsi="宋体" w:cs="宋体"/>
    </w:rPr>
  </w:style>
  <w:style w:type="paragraph" w:customStyle="1" w:styleId="862">
    <w:name w:val="报告表格"/>
    <w:basedOn w:val="1"/>
    <w:next w:val="1"/>
    <w:qFormat/>
    <w:uiPriority w:val="0"/>
    <w:pPr>
      <w:autoSpaceDE w:val="0"/>
      <w:autoSpaceDN w:val="0"/>
      <w:adjustRightInd w:val="0"/>
      <w:spacing w:line="318" w:lineRule="atLeast"/>
      <w:ind w:firstLine="0" w:firstLineChars="0"/>
      <w:jc w:val="center"/>
      <w:textAlignment w:val="bottom"/>
    </w:pPr>
    <w:rPr>
      <w:kern w:val="0"/>
      <w:szCs w:val="20"/>
    </w:rPr>
  </w:style>
  <w:style w:type="paragraph" w:customStyle="1" w:styleId="863">
    <w:name w:val="表中居中文字"/>
    <w:basedOn w:val="1"/>
    <w:semiHidden/>
    <w:qFormat/>
    <w:uiPriority w:val="0"/>
    <w:pPr>
      <w:widowControl/>
      <w:spacing w:line="240" w:lineRule="auto"/>
      <w:ind w:right="-58" w:rightChars="-24" w:firstLine="0" w:firstLineChars="0"/>
    </w:pPr>
    <w:rPr>
      <w:rFonts w:ascii="宋体" w:hAnsi="宋体" w:cs="Arial"/>
      <w:kern w:val="0"/>
    </w:rPr>
  </w:style>
  <w:style w:type="paragraph" w:customStyle="1" w:styleId="864">
    <w:name w:val="表格标题居中"/>
    <w:basedOn w:val="754"/>
    <w:semiHidden/>
    <w:qFormat/>
    <w:uiPriority w:val="0"/>
    <w:pPr>
      <w:ind w:right="0" w:rightChars="0"/>
    </w:pPr>
    <w:rPr>
      <w:rFonts w:eastAsia="黑体"/>
    </w:rPr>
  </w:style>
  <w:style w:type="paragraph" w:customStyle="1" w:styleId="865">
    <w:name w:val="样式 样式 标题 2标题 2 Char Char + 段前: 0.3 行 + 段前: 0.5 行"/>
    <w:basedOn w:val="853"/>
    <w:qFormat/>
    <w:uiPriority w:val="0"/>
    <w:pPr>
      <w:spacing w:before="156"/>
    </w:pPr>
  </w:style>
  <w:style w:type="paragraph" w:customStyle="1" w:styleId="866">
    <w:name w:val="LY标题3"/>
    <w:basedOn w:val="723"/>
    <w:next w:val="723"/>
    <w:qFormat/>
    <w:uiPriority w:val="0"/>
  </w:style>
  <w:style w:type="paragraph" w:customStyle="1" w:styleId="867">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Courier New" w:hAnsi="Courier New" w:eastAsia="Arial Unicode MS" w:cs="Courier New"/>
      <w:kern w:val="0"/>
      <w:sz w:val="22"/>
      <w:szCs w:val="22"/>
    </w:rPr>
  </w:style>
  <w:style w:type="paragraph" w:customStyle="1" w:styleId="868">
    <w:name w:val="样式"/>
    <w:basedOn w:val="1"/>
    <w:next w:val="65"/>
    <w:qFormat/>
    <w:uiPriority w:val="0"/>
    <w:pPr>
      <w:tabs>
        <w:tab w:val="left" w:pos="6720"/>
      </w:tabs>
      <w:ind w:firstLine="480"/>
    </w:pPr>
    <w:rPr>
      <w:rFonts w:ascii="楷体_GB2312" w:eastAsia="楷体_GB2312"/>
    </w:rPr>
  </w:style>
  <w:style w:type="paragraph" w:customStyle="1" w:styleId="869">
    <w:name w:val="图文框"/>
    <w:basedOn w:val="1"/>
    <w:qFormat/>
    <w:uiPriority w:val="0"/>
    <w:pPr>
      <w:framePr w:hSpace="180" w:wrap="around" w:vAnchor="text" w:hAnchor="margin" w:y="207"/>
      <w:spacing w:line="240" w:lineRule="auto"/>
      <w:ind w:firstLine="0" w:firstLineChars="0"/>
      <w:jc w:val="center"/>
    </w:pPr>
    <w:rPr>
      <w:rFonts w:ascii="宋体" w:hAnsi="宋体"/>
      <w:color w:val="000000"/>
      <w:sz w:val="18"/>
      <w:szCs w:val="18"/>
    </w:rPr>
  </w:style>
  <w:style w:type="paragraph" w:customStyle="1" w:styleId="870">
    <w:name w:val="Char Char1 Char Char Char Char Char Char Char Char Char Char Char Char Char Char Char Char Char Char Char Char1 Char"/>
    <w:basedOn w:val="1"/>
    <w:qFormat/>
    <w:uiPriority w:val="0"/>
    <w:rPr>
      <w:rFonts w:ascii="宋体" w:hAnsi="宋体" w:cs="宋体"/>
    </w:rPr>
  </w:style>
  <w:style w:type="paragraph" w:customStyle="1" w:styleId="871">
    <w:name w:val="样式 正文1 Char + 宋体 小四 首行缩进:  2 字符"/>
    <w:basedOn w:val="1"/>
    <w:qFormat/>
    <w:uiPriority w:val="0"/>
    <w:pPr>
      <w:suppressLineNumbers/>
      <w:suppressAutoHyphens/>
      <w:topLinePunct/>
      <w:adjustRightInd w:val="0"/>
      <w:snapToGrid w:val="0"/>
      <w:ind w:firstLine="480"/>
    </w:pPr>
    <w:rPr>
      <w:rFonts w:cs="宋体"/>
      <w:kern w:val="0"/>
    </w:rPr>
  </w:style>
  <w:style w:type="paragraph" w:customStyle="1" w:styleId="872">
    <w:name w:val="表格1(窄）"/>
    <w:basedOn w:val="1"/>
    <w:qFormat/>
    <w:uiPriority w:val="0"/>
    <w:pPr>
      <w:spacing w:line="320" w:lineRule="exact"/>
      <w:ind w:left="-10" w:leftChars="-10" w:right="-10" w:rightChars="-10" w:firstLine="0" w:firstLineChars="0"/>
    </w:pPr>
    <w:rPr>
      <w:rFonts w:ascii="Arial" w:hAnsi="Arial"/>
      <w:kern w:val="0"/>
      <w:sz w:val="21"/>
      <w:szCs w:val="21"/>
    </w:rPr>
  </w:style>
  <w:style w:type="paragraph" w:customStyle="1" w:styleId="87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2"/>
      <w:szCs w:val="22"/>
    </w:rPr>
  </w:style>
  <w:style w:type="paragraph" w:customStyle="1" w:styleId="874">
    <w:name w:val="xl50"/>
    <w:basedOn w:val="1"/>
    <w:qFormat/>
    <w:uiPriority w:val="0"/>
    <w:pPr>
      <w:widowControl/>
      <w:pBdr>
        <w:left w:val="single" w:color="auto" w:sz="4" w:space="0"/>
        <w:right w:val="single" w:color="auto" w:sz="4" w:space="0"/>
      </w:pBdr>
      <w:spacing w:before="100" w:after="100" w:line="240" w:lineRule="auto"/>
      <w:ind w:firstLine="0" w:firstLineChars="0"/>
      <w:jc w:val="center"/>
      <w:textAlignment w:val="center"/>
    </w:pPr>
    <w:rPr>
      <w:rFonts w:ascii="宋体" w:hAnsi="宋体"/>
      <w:kern w:val="0"/>
      <w:szCs w:val="20"/>
    </w:rPr>
  </w:style>
  <w:style w:type="paragraph" w:customStyle="1" w:styleId="875">
    <w:name w:val="小标题2"/>
    <w:basedOn w:val="1"/>
    <w:next w:val="1"/>
    <w:qFormat/>
    <w:uiPriority w:val="0"/>
    <w:pPr>
      <w:tabs>
        <w:tab w:val="left" w:pos="1174"/>
      </w:tabs>
      <w:adjustRightInd w:val="0"/>
      <w:snapToGrid w:val="0"/>
      <w:spacing w:beforeLines="50"/>
      <w:ind w:firstLine="454" w:firstLineChars="0"/>
      <w:jc w:val="left"/>
    </w:pPr>
    <w:rPr>
      <w:rFonts w:ascii="宋体"/>
    </w:rPr>
  </w:style>
  <w:style w:type="paragraph" w:customStyle="1" w:styleId="876">
    <w:name w:val="xl34"/>
    <w:basedOn w:val="1"/>
    <w:semiHidden/>
    <w:qFormat/>
    <w:uiPriority w:val="0"/>
    <w:pPr>
      <w:widowControl/>
      <w:spacing w:before="100" w:beforeAutospacing="1" w:after="100" w:afterAutospacing="1" w:line="240" w:lineRule="auto"/>
      <w:ind w:firstLine="0" w:firstLineChars="0"/>
      <w:jc w:val="left"/>
      <w:textAlignment w:val="center"/>
    </w:pPr>
    <w:rPr>
      <w:rFonts w:ascii="Arial Unicode MS" w:hAnsi="Arial Unicode MS" w:eastAsia="Arial Unicode MS"/>
      <w:kern w:val="0"/>
    </w:rPr>
  </w:style>
  <w:style w:type="paragraph" w:customStyle="1" w:styleId="877">
    <w:name w:val="In Table"/>
    <w:basedOn w:val="1"/>
    <w:qFormat/>
    <w:uiPriority w:val="0"/>
    <w:pPr>
      <w:tabs>
        <w:tab w:val="left" w:pos="2200"/>
        <w:tab w:val="left" w:pos="3960"/>
        <w:tab w:val="left" w:pos="5280"/>
      </w:tabs>
      <w:spacing w:before="96" w:after="96" w:line="0" w:lineRule="atLeast"/>
      <w:ind w:firstLine="0" w:firstLineChars="0"/>
      <w:jc w:val="center"/>
    </w:pPr>
    <w:rPr>
      <w:rFonts w:ascii="Tahoma" w:hAnsi="Tahoma" w:eastAsia="华文中宋"/>
      <w:sz w:val="21"/>
      <w:szCs w:val="20"/>
    </w:rPr>
  </w:style>
  <w:style w:type="paragraph" w:customStyle="1" w:styleId="878">
    <w:name w:val="xl74"/>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879">
    <w:name w:val="font6"/>
    <w:basedOn w:val="1"/>
    <w:next w:val="67"/>
    <w:qFormat/>
    <w:uiPriority w:val="0"/>
    <w:pPr>
      <w:widowControl/>
      <w:spacing w:before="100" w:beforeAutospacing="1" w:after="100" w:afterAutospacing="1" w:line="240" w:lineRule="auto"/>
      <w:ind w:firstLine="0" w:firstLineChars="0"/>
      <w:jc w:val="left"/>
    </w:pPr>
    <w:rPr>
      <w:rFonts w:hint="eastAsia" w:ascii="宋体" w:hAnsi="宋体" w:cs="Arial Unicode MS"/>
      <w:kern w:val="0"/>
      <w:sz w:val="18"/>
      <w:szCs w:val="18"/>
    </w:rPr>
  </w:style>
  <w:style w:type="paragraph" w:customStyle="1" w:styleId="880">
    <w:name w:val="表格，五宋"/>
    <w:qFormat/>
    <w:uiPriority w:val="0"/>
    <w:pPr>
      <w:adjustRightInd w:val="0"/>
      <w:spacing w:line="360" w:lineRule="exact"/>
      <w:jc w:val="center"/>
    </w:pPr>
    <w:rPr>
      <w:rFonts w:ascii="Times New Roman" w:hAnsi="Times New Roman" w:eastAsia="宋体" w:cs="Times New Roman"/>
      <w:sz w:val="21"/>
      <w:lang w:val="en-US" w:eastAsia="zh-CN" w:bidi="ar-SA"/>
    </w:rPr>
  </w:style>
  <w:style w:type="paragraph" w:customStyle="1" w:styleId="881">
    <w:name w:val="工艺流程图"/>
    <w:basedOn w:val="1"/>
    <w:qFormat/>
    <w:uiPriority w:val="0"/>
    <w:pPr>
      <w:adjustRightInd w:val="0"/>
      <w:snapToGrid w:val="0"/>
      <w:spacing w:line="340" w:lineRule="atLeast"/>
      <w:ind w:firstLine="0" w:firstLineChars="0"/>
      <w:jc w:val="center"/>
    </w:pPr>
    <w:rPr>
      <w:color w:val="FF0000"/>
      <w:kern w:val="18"/>
      <w:sz w:val="21"/>
      <w:szCs w:val="28"/>
    </w:rPr>
  </w:style>
  <w:style w:type="paragraph" w:customStyle="1" w:styleId="882">
    <w:name w:val="君邦-标题1"/>
    <w:basedOn w:val="2"/>
    <w:next w:val="1"/>
    <w:qFormat/>
    <w:uiPriority w:val="0"/>
    <w:pPr>
      <w:pageBreakBefore/>
      <w:widowControl w:val="0"/>
      <w:numPr>
        <w:ilvl w:val="0"/>
        <w:numId w:val="0"/>
      </w:numPr>
      <w:tabs>
        <w:tab w:val="left" w:pos="360"/>
        <w:tab w:val="left" w:pos="900"/>
      </w:tabs>
      <w:snapToGrid w:val="0"/>
      <w:spacing w:before="960" w:beforeLines="0" w:after="960" w:afterLines="0" w:line="240" w:lineRule="auto"/>
      <w:ind w:left="-12" w:leftChars="-12" w:firstLine="200" w:firstLineChars="200"/>
      <w:jc w:val="both"/>
    </w:pPr>
    <w:rPr>
      <w:rFonts w:ascii="楷体_GB2312" w:eastAsia="黑体"/>
      <w:b w:val="0"/>
      <w:bCs w:val="0"/>
      <w:kern w:val="44"/>
    </w:rPr>
  </w:style>
  <w:style w:type="paragraph" w:customStyle="1" w:styleId="883">
    <w:name w:val="标题4"/>
    <w:basedOn w:val="1"/>
    <w:next w:val="473"/>
    <w:link w:val="884"/>
    <w:qFormat/>
    <w:uiPriority w:val="0"/>
    <w:pPr>
      <w:tabs>
        <w:tab w:val="left" w:pos="851"/>
      </w:tabs>
      <w:spacing w:after="60"/>
      <w:ind w:left="851" w:hanging="851" w:firstLineChars="0"/>
      <w:outlineLvl w:val="3"/>
    </w:pPr>
    <w:rPr>
      <w:b/>
    </w:rPr>
  </w:style>
  <w:style w:type="character" w:customStyle="1" w:styleId="884">
    <w:name w:val="标题4 字符"/>
    <w:link w:val="883"/>
    <w:qFormat/>
    <w:uiPriority w:val="0"/>
    <w:rPr>
      <w:b/>
      <w:kern w:val="2"/>
      <w:sz w:val="24"/>
      <w:szCs w:val="24"/>
    </w:rPr>
  </w:style>
  <w:style w:type="paragraph" w:customStyle="1" w:styleId="885">
    <w:name w:val="样式 标题 2 + Times New Roman 非加粗 段前: 0 磅 段后: 0 磅 行距: 固定值 26 磅"/>
    <w:basedOn w:val="3"/>
    <w:semiHidden/>
    <w:qFormat/>
    <w:uiPriority w:val="0"/>
    <w:pPr>
      <w:widowControl w:val="0"/>
      <w:numPr>
        <w:ilvl w:val="0"/>
        <w:numId w:val="0"/>
      </w:numPr>
      <w:tabs>
        <w:tab w:val="left" w:pos="567"/>
        <w:tab w:val="clear" w:pos="720"/>
      </w:tabs>
      <w:spacing w:before="0" w:beforeLines="0" w:after="0" w:afterLines="0" w:line="520" w:lineRule="exact"/>
      <w:jc w:val="both"/>
    </w:pPr>
    <w:rPr>
      <w:rFonts w:eastAsia="仿宋_GB2312"/>
      <w:bCs w:val="0"/>
      <w:snapToGrid/>
      <w:kern w:val="2"/>
      <w:szCs w:val="20"/>
    </w:rPr>
  </w:style>
  <w:style w:type="paragraph" w:customStyle="1" w:styleId="886">
    <w:name w:val="样式 标题 1 + 段后: 0.3 行"/>
    <w:basedOn w:val="2"/>
    <w:qFormat/>
    <w:uiPriority w:val="0"/>
    <w:pPr>
      <w:keepNext w:val="0"/>
      <w:keepLines w:val="0"/>
      <w:widowControl w:val="0"/>
      <w:numPr>
        <w:ilvl w:val="0"/>
        <w:numId w:val="0"/>
      </w:numPr>
      <w:tabs>
        <w:tab w:val="left" w:pos="0"/>
        <w:tab w:val="left" w:pos="1800"/>
      </w:tabs>
      <w:spacing w:before="240" w:beforeLines="50" w:after="240" w:afterLines="30" w:line="300" w:lineRule="auto"/>
      <w:ind w:firstLine="709"/>
      <w:jc w:val="center"/>
    </w:pPr>
    <w:rPr>
      <w:rFonts w:ascii="黑体" w:eastAsia="黑体" w:cs="Arial"/>
      <w:bCs w:val="0"/>
      <w:snapToGrid/>
      <w:kern w:val="44"/>
      <w:sz w:val="30"/>
      <w:szCs w:val="30"/>
    </w:rPr>
  </w:style>
  <w:style w:type="paragraph" w:customStyle="1" w:styleId="887">
    <w:name w:val="Char3 Char Char Char"/>
    <w:basedOn w:val="1"/>
    <w:qFormat/>
    <w:uiPriority w:val="0"/>
    <w:rPr>
      <w:rFonts w:ascii="宋体" w:hAnsi="宋体" w:cs="宋体"/>
    </w:rPr>
  </w:style>
  <w:style w:type="paragraph" w:customStyle="1" w:styleId="888">
    <w:name w:val="表后正文"/>
    <w:basedOn w:val="1"/>
    <w:qFormat/>
    <w:uiPriority w:val="0"/>
    <w:pPr>
      <w:suppressLineNumbers/>
      <w:suppressAutoHyphens/>
      <w:topLinePunct/>
      <w:adjustRightInd w:val="0"/>
      <w:snapToGrid w:val="0"/>
      <w:spacing w:beforeLines="70"/>
      <w:ind w:firstLine="560"/>
    </w:pPr>
  </w:style>
  <w:style w:type="paragraph" w:customStyle="1" w:styleId="889">
    <w:name w:val="样式 小五 首行缩进:  2 字符"/>
    <w:basedOn w:val="1"/>
    <w:qFormat/>
    <w:uiPriority w:val="0"/>
    <w:pPr>
      <w:spacing w:line="240" w:lineRule="auto"/>
      <w:ind w:firstLine="0" w:firstLineChars="0"/>
    </w:pPr>
    <w:rPr>
      <w:rFonts w:cs="宋体"/>
      <w:sz w:val="18"/>
      <w:szCs w:val="20"/>
    </w:rPr>
  </w:style>
  <w:style w:type="paragraph" w:customStyle="1" w:styleId="890">
    <w:name w:val="Char Char Char1 Char Char Char"/>
    <w:basedOn w:val="1"/>
    <w:qFormat/>
    <w:uiPriority w:val="0"/>
    <w:rPr>
      <w:rFonts w:ascii="宋体" w:hAnsi="宋体" w:cs="宋体"/>
    </w:rPr>
  </w:style>
  <w:style w:type="paragraph" w:customStyle="1" w:styleId="891">
    <w:name w:val="xl35"/>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w:hAnsi="Arial" w:eastAsia="Arial Unicode MS" w:cs="Arial"/>
      <w:kern w:val="0"/>
    </w:rPr>
  </w:style>
  <w:style w:type="paragraph" w:customStyle="1" w:styleId="892">
    <w:name w:val="表字1"/>
    <w:basedOn w:val="1"/>
    <w:qFormat/>
    <w:uiPriority w:val="0"/>
    <w:pPr>
      <w:adjustRightInd w:val="0"/>
      <w:ind w:firstLine="0" w:firstLineChars="0"/>
      <w:jc w:val="center"/>
      <w:textAlignment w:val="baseline"/>
    </w:pPr>
    <w:rPr>
      <w:rFonts w:ascii="宋体" w:cs="宋体"/>
      <w:kern w:val="0"/>
      <w:sz w:val="21"/>
      <w:szCs w:val="20"/>
    </w:rPr>
  </w:style>
  <w:style w:type="paragraph" w:customStyle="1" w:styleId="893">
    <w:name w:val="表格文字五号"/>
    <w:basedOn w:val="1"/>
    <w:semiHidden/>
    <w:qFormat/>
    <w:uiPriority w:val="0"/>
    <w:pPr>
      <w:spacing w:line="240" w:lineRule="auto"/>
      <w:ind w:firstLine="0" w:firstLineChars="0"/>
      <w:jc w:val="center"/>
    </w:pPr>
    <w:rPr>
      <w:bCs/>
      <w:sz w:val="21"/>
    </w:rPr>
  </w:style>
  <w:style w:type="paragraph" w:customStyle="1" w:styleId="894">
    <w:name w:val="xl77"/>
    <w:basedOn w:val="1"/>
    <w:qFormat/>
    <w:uiPriority w:val="0"/>
    <w:pPr>
      <w:widowControl/>
      <w:spacing w:before="100" w:beforeAutospacing="1" w:after="100" w:afterAutospacing="1" w:line="240" w:lineRule="auto"/>
      <w:ind w:firstLine="0" w:firstLineChars="0"/>
      <w:jc w:val="left"/>
    </w:pPr>
    <w:rPr>
      <w:kern w:val="0"/>
      <w:sz w:val="18"/>
      <w:szCs w:val="18"/>
    </w:rPr>
  </w:style>
  <w:style w:type="paragraph" w:customStyle="1" w:styleId="895">
    <w:name w:val="君邦正文 Char Char"/>
    <w:basedOn w:val="1"/>
    <w:qFormat/>
    <w:uiPriority w:val="0"/>
    <w:pPr>
      <w:spacing w:after="60"/>
    </w:pPr>
  </w:style>
  <w:style w:type="paragraph" w:customStyle="1" w:styleId="896">
    <w:name w:val="TabHead"/>
    <w:basedOn w:val="1"/>
    <w:qFormat/>
    <w:uiPriority w:val="0"/>
    <w:pPr>
      <w:ind w:firstLine="480"/>
      <w:jc w:val="center"/>
    </w:pPr>
  </w:style>
  <w:style w:type="paragraph" w:customStyle="1" w:styleId="897">
    <w:name w:val="样式 列表列表 Char列表 Char Char Char Char Char1列表 Char Char Char Cha... Char"/>
    <w:basedOn w:val="61"/>
    <w:qFormat/>
    <w:uiPriority w:val="0"/>
    <w:pPr>
      <w:spacing w:line="500" w:lineRule="exact"/>
      <w:ind w:left="0" w:firstLine="200" w:firstLineChars="200"/>
      <w:jc w:val="center"/>
    </w:pPr>
    <w:rPr>
      <w:rFonts w:eastAsia="黑体"/>
      <w:sz w:val="24"/>
    </w:rPr>
  </w:style>
  <w:style w:type="paragraph" w:customStyle="1" w:styleId="898">
    <w:name w:val="目录"/>
    <w:basedOn w:val="473"/>
    <w:next w:val="473"/>
    <w:semiHidden/>
    <w:qFormat/>
    <w:uiPriority w:val="0"/>
    <w:pPr>
      <w:widowControl w:val="0"/>
      <w:pBdr>
        <w:bottom w:val="single" w:color="auto" w:sz="12" w:space="1"/>
      </w:pBdr>
      <w:spacing w:before="960" w:after="960"/>
      <w:ind w:firstLine="0" w:firstLineChars="0"/>
      <w:jc w:val="right"/>
    </w:pPr>
    <w:rPr>
      <w:rFonts w:eastAsia="黑体"/>
      <w:b/>
      <w:bCs w:val="0"/>
      <w:i/>
      <w:snapToGrid/>
      <w:kern w:val="2"/>
      <w:sz w:val="32"/>
    </w:rPr>
  </w:style>
  <w:style w:type="paragraph" w:customStyle="1" w:styleId="899">
    <w:name w:val="图表"/>
    <w:basedOn w:val="61"/>
    <w:qFormat/>
    <w:uiPriority w:val="0"/>
    <w:pPr>
      <w:spacing w:before="240" w:line="360" w:lineRule="auto"/>
      <w:ind w:left="0" w:firstLine="0" w:firstLineChars="0"/>
      <w:jc w:val="center"/>
    </w:pPr>
    <w:rPr>
      <w:rFonts w:ascii="宋体"/>
      <w:color w:val="FF0000"/>
      <w:sz w:val="28"/>
      <w:szCs w:val="28"/>
    </w:rPr>
  </w:style>
  <w:style w:type="paragraph" w:customStyle="1" w:styleId="900">
    <w:name w:val="正文 1"/>
    <w:basedOn w:val="1"/>
    <w:semiHidden/>
    <w:qFormat/>
    <w:uiPriority w:val="0"/>
    <w:pPr>
      <w:adjustRightInd w:val="0"/>
      <w:spacing w:line="480" w:lineRule="exact"/>
      <w:ind w:firstLine="567" w:firstLineChars="0"/>
      <w:textAlignment w:val="baseline"/>
    </w:pPr>
    <w:rPr>
      <w:kern w:val="0"/>
      <w:sz w:val="28"/>
      <w:szCs w:val="20"/>
    </w:rPr>
  </w:style>
  <w:style w:type="paragraph" w:customStyle="1" w:styleId="901">
    <w:name w:val="contentnoteheader"/>
    <w:basedOn w:val="1"/>
    <w:qFormat/>
    <w:uiPriority w:val="0"/>
    <w:pPr>
      <w:widowControl/>
      <w:spacing w:before="30" w:after="100" w:afterAutospacing="1" w:line="240" w:lineRule="auto"/>
      <w:ind w:left="90" w:firstLine="0" w:firstLineChars="0"/>
      <w:jc w:val="left"/>
    </w:pPr>
    <w:rPr>
      <w:rFonts w:ascii="宋体" w:hAnsi="宋体"/>
      <w:b/>
      <w:bCs/>
      <w:color w:val="990000"/>
      <w:kern w:val="0"/>
      <w:sz w:val="18"/>
      <w:szCs w:val="18"/>
    </w:rPr>
  </w:style>
  <w:style w:type="paragraph" w:customStyle="1" w:styleId="902">
    <w:name w:val="样式 表内文字 + 10 磅 首行缩进:  0.63 厘米"/>
    <w:basedOn w:val="43"/>
    <w:qFormat/>
    <w:uiPriority w:val="0"/>
    <w:pPr>
      <w:adjustRightInd w:val="0"/>
      <w:snapToGrid w:val="0"/>
      <w:spacing w:line="320" w:lineRule="exact"/>
      <w:ind w:firstLine="360"/>
      <w:jc w:val="center"/>
    </w:pPr>
    <w:rPr>
      <w:rFonts w:ascii="Times New Roman" w:hAnsi="Times New Roman" w:eastAsia="楷体_GB2312"/>
      <w:kern w:val="0"/>
      <w:sz w:val="20"/>
    </w:rPr>
  </w:style>
  <w:style w:type="paragraph" w:customStyle="1" w:styleId="903">
    <w:name w:val="样式 表内-文字 +"/>
    <w:basedOn w:val="716"/>
    <w:qFormat/>
    <w:uiPriority w:val="0"/>
    <w:pPr>
      <w:widowControl w:val="0"/>
      <w:tabs>
        <w:tab w:val="left" w:pos="1280"/>
      </w:tabs>
      <w:topLinePunct w:val="0"/>
    </w:pPr>
    <w:rPr>
      <w:bCs w:val="0"/>
      <w:kern w:val="0"/>
      <w:sz w:val="21"/>
    </w:rPr>
  </w:style>
  <w:style w:type="paragraph" w:customStyle="1" w:styleId="904">
    <w:name w:val="正文1 Char Char1 Char"/>
    <w:basedOn w:val="1"/>
    <w:qFormat/>
    <w:uiPriority w:val="0"/>
    <w:pPr>
      <w:adjustRightInd w:val="0"/>
      <w:snapToGrid w:val="0"/>
      <w:spacing w:line="516" w:lineRule="exact"/>
    </w:pPr>
    <w:rPr>
      <w:rFonts w:eastAsia="楷体_GB2312"/>
      <w:sz w:val="26"/>
      <w:szCs w:val="26"/>
    </w:rPr>
  </w:style>
  <w:style w:type="paragraph" w:customStyle="1" w:styleId="905">
    <w:name w:val="样式 楷体_GB2312 四号 行距: 固定值 24 磅"/>
    <w:basedOn w:val="1"/>
    <w:qFormat/>
    <w:uiPriority w:val="0"/>
    <w:pPr>
      <w:spacing w:line="300" w:lineRule="auto"/>
    </w:pPr>
    <w:rPr>
      <w:rFonts w:ascii="楷体_GB2312" w:eastAsia="楷体_GB2312" w:cs="宋体"/>
      <w:sz w:val="28"/>
      <w:szCs w:val="20"/>
    </w:rPr>
  </w:style>
  <w:style w:type="paragraph" w:customStyle="1" w:styleId="906">
    <w:name w:val="xl41"/>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 w:val="22"/>
      <w:szCs w:val="22"/>
    </w:rPr>
  </w:style>
  <w:style w:type="paragraph" w:customStyle="1" w:styleId="907">
    <w:name w:val="封面"/>
    <w:basedOn w:val="1"/>
    <w:next w:val="31"/>
    <w:qFormat/>
    <w:uiPriority w:val="0"/>
    <w:pPr>
      <w:suppressLineNumbers/>
      <w:suppressAutoHyphens/>
      <w:topLinePunct/>
      <w:adjustRightInd w:val="0"/>
      <w:snapToGrid w:val="0"/>
      <w:ind w:firstLine="480"/>
      <w:jc w:val="center"/>
    </w:pPr>
    <w:rPr>
      <w:rFonts w:ascii="宋体"/>
      <w:b/>
      <w:color w:val="000000"/>
      <w:sz w:val="32"/>
    </w:rPr>
  </w:style>
  <w:style w:type="paragraph" w:customStyle="1" w:styleId="908">
    <w:name w:val="xl83"/>
    <w:basedOn w:val="1"/>
    <w:qFormat/>
    <w:uiPriority w:val="0"/>
    <w:pPr>
      <w:widowControl/>
      <w:spacing w:before="100" w:beforeAutospacing="1" w:after="100" w:afterAutospacing="1" w:line="240" w:lineRule="auto"/>
      <w:ind w:firstLine="0" w:firstLineChars="0"/>
      <w:jc w:val="right"/>
    </w:pPr>
    <w:rPr>
      <w:rFonts w:ascii="宋体" w:hAnsi="宋体" w:cs="宋体"/>
      <w:kern w:val="0"/>
      <w:sz w:val="18"/>
      <w:szCs w:val="18"/>
    </w:rPr>
  </w:style>
  <w:style w:type="paragraph" w:customStyle="1" w:styleId="909">
    <w:name w:val="样式 样式 正文文本缩进 + 楷体_GB2312 首行缩进:  2 字符 段后: 0.3 行 行距: 1.5 倍行距 + 首行缩..."/>
    <w:basedOn w:val="1"/>
    <w:qFormat/>
    <w:uiPriority w:val="0"/>
    <w:pPr>
      <w:spacing w:afterLines="30"/>
    </w:pPr>
    <w:rPr>
      <w:rFonts w:ascii="楷体_GB2312" w:hAnsi="楷体_GB2312" w:eastAsia="楷体_GB2312" w:cs="宋体"/>
      <w:szCs w:val="20"/>
    </w:rPr>
  </w:style>
  <w:style w:type="paragraph" w:customStyle="1" w:styleId="910">
    <w:name w:val="标准"/>
    <w:basedOn w:val="1"/>
    <w:qFormat/>
    <w:uiPriority w:val="0"/>
    <w:pPr>
      <w:widowControl/>
      <w:topLinePunct/>
      <w:adjustRightInd w:val="0"/>
      <w:spacing w:line="240" w:lineRule="atLeast"/>
      <w:ind w:firstLine="0" w:firstLineChars="0"/>
      <w:textAlignment w:val="baseline"/>
    </w:pPr>
    <w:rPr>
      <w:rFonts w:ascii="仿宋_GB2312" w:eastAsia="仿宋_GB2312"/>
      <w:kern w:val="0"/>
      <w:szCs w:val="20"/>
    </w:rPr>
  </w:style>
  <w:style w:type="paragraph" w:customStyle="1" w:styleId="911">
    <w:name w:val="样式 小五 居中 首行缩进:  2 字符"/>
    <w:basedOn w:val="1"/>
    <w:qFormat/>
    <w:uiPriority w:val="0"/>
    <w:pPr>
      <w:spacing w:line="240" w:lineRule="auto"/>
      <w:ind w:firstLine="0" w:firstLineChars="0"/>
      <w:jc w:val="center"/>
    </w:pPr>
    <w:rPr>
      <w:rFonts w:cs="宋体"/>
      <w:sz w:val="18"/>
      <w:szCs w:val="20"/>
    </w:rPr>
  </w:style>
  <w:style w:type="paragraph" w:customStyle="1" w:styleId="912">
    <w:name w:val="表中文字"/>
    <w:basedOn w:val="1"/>
    <w:qFormat/>
    <w:uiPriority w:val="0"/>
    <w:pPr>
      <w:adjustRightInd w:val="0"/>
      <w:spacing w:line="240" w:lineRule="auto"/>
      <w:ind w:left="4" w:leftChars="2" w:firstLine="0" w:firstLineChars="0"/>
      <w:jc w:val="center"/>
      <w:textAlignment w:val="baseline"/>
    </w:pPr>
    <w:rPr>
      <w:kern w:val="0"/>
      <w:sz w:val="21"/>
      <w:szCs w:val="20"/>
    </w:rPr>
  </w:style>
  <w:style w:type="paragraph" w:customStyle="1" w:styleId="913">
    <w:name w:val="样式 样式 样式 段前: 0.5 行 段后: 0.5 行 + 首行缩进:  2 字符 段前: 0.5 行 段后: 0.5 行 +..."/>
    <w:basedOn w:val="1"/>
    <w:qFormat/>
    <w:uiPriority w:val="0"/>
    <w:pPr>
      <w:snapToGrid w:val="0"/>
      <w:spacing w:beforeLines="50" w:afterLines="50"/>
      <w:ind w:firstLine="480"/>
    </w:pPr>
    <w:rPr>
      <w:rFonts w:cs="宋体"/>
      <w:sz w:val="21"/>
      <w:szCs w:val="20"/>
    </w:rPr>
  </w:style>
  <w:style w:type="paragraph" w:customStyle="1" w:styleId="914">
    <w:name w:val="宏福正文-2"/>
    <w:basedOn w:val="78"/>
    <w:qFormat/>
    <w:uiPriority w:val="0"/>
    <w:pPr>
      <w:snapToGrid w:val="0"/>
      <w:spacing w:before="240" w:after="0" w:line="400" w:lineRule="atLeast"/>
      <w:ind w:firstLine="567" w:firstLineChars="0"/>
    </w:pPr>
    <w:rPr>
      <w:sz w:val="28"/>
      <w:szCs w:val="20"/>
      <w:lang w:val="en-US" w:eastAsia="zh-CN"/>
    </w:rPr>
  </w:style>
  <w:style w:type="paragraph" w:customStyle="1" w:styleId="915">
    <w:name w:val="报告书表格"/>
    <w:basedOn w:val="1"/>
    <w:qFormat/>
    <w:uiPriority w:val="0"/>
    <w:pPr>
      <w:adjustRightInd w:val="0"/>
      <w:spacing w:before="60" w:after="60" w:line="240" w:lineRule="atLeast"/>
      <w:ind w:firstLine="0" w:firstLineChars="0"/>
      <w:jc w:val="center"/>
      <w:textAlignment w:val="baseline"/>
    </w:pPr>
    <w:rPr>
      <w:kern w:val="0"/>
      <w:sz w:val="21"/>
      <w:szCs w:val="20"/>
    </w:rPr>
  </w:style>
  <w:style w:type="paragraph" w:customStyle="1" w:styleId="916">
    <w:name w:val="图片"/>
    <w:basedOn w:val="1"/>
    <w:semiHidden/>
    <w:qFormat/>
    <w:uiPriority w:val="0"/>
    <w:pPr>
      <w:adjustRightInd w:val="0"/>
      <w:snapToGrid w:val="0"/>
      <w:spacing w:beforeLines="50" w:afterLines="50" w:line="240" w:lineRule="auto"/>
      <w:ind w:firstLine="0" w:firstLineChars="0"/>
      <w:jc w:val="center"/>
    </w:pPr>
    <w:rPr>
      <w:rFonts w:ascii="宋体" w:hAnsi="宋体"/>
      <w:color w:val="000000"/>
    </w:rPr>
  </w:style>
  <w:style w:type="paragraph" w:customStyle="1" w:styleId="917">
    <w:name w:val="nt"/>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918">
    <w:name w:val="Balloon Text1"/>
    <w:basedOn w:val="1"/>
    <w:semiHidden/>
    <w:qFormat/>
    <w:uiPriority w:val="0"/>
    <w:pPr>
      <w:spacing w:line="240" w:lineRule="auto"/>
      <w:ind w:firstLine="0" w:firstLineChars="0"/>
    </w:pPr>
    <w:rPr>
      <w:rFonts w:ascii="Tahoma" w:hAnsi="Tahoma" w:cs="Tahoma"/>
      <w:sz w:val="16"/>
      <w:szCs w:val="16"/>
    </w:rPr>
  </w:style>
  <w:style w:type="paragraph" w:customStyle="1" w:styleId="919">
    <w:name w:val="_Style 917"/>
    <w:basedOn w:val="1"/>
    <w:next w:val="1"/>
    <w:link w:val="920"/>
    <w:qFormat/>
    <w:uiPriority w:val="0"/>
    <w:pPr>
      <w:widowControl/>
      <w:pBdr>
        <w:bottom w:val="single" w:color="auto" w:sz="6" w:space="1"/>
      </w:pBdr>
      <w:spacing w:line="240" w:lineRule="auto"/>
      <w:ind w:firstLine="0" w:firstLineChars="0"/>
      <w:jc w:val="center"/>
    </w:pPr>
    <w:rPr>
      <w:rFonts w:ascii="Arial" w:hAnsi="Arial"/>
      <w:vanish/>
      <w:kern w:val="0"/>
      <w:sz w:val="16"/>
      <w:szCs w:val="16"/>
    </w:rPr>
  </w:style>
  <w:style w:type="character" w:customStyle="1" w:styleId="920">
    <w:name w:val="z-窗体顶端 Char"/>
    <w:link w:val="919"/>
    <w:qFormat/>
    <w:uiPriority w:val="0"/>
    <w:rPr>
      <w:rFonts w:ascii="Arial" w:hAnsi="Arial" w:cs="Arial"/>
      <w:vanish/>
      <w:sz w:val="16"/>
      <w:szCs w:val="16"/>
    </w:rPr>
  </w:style>
  <w:style w:type="paragraph" w:customStyle="1" w:styleId="921">
    <w:name w:val="a"/>
    <w:basedOn w:val="1"/>
    <w:qFormat/>
    <w:uiPriority w:val="0"/>
    <w:pPr>
      <w:widowControl/>
      <w:spacing w:after="75" w:line="240" w:lineRule="auto"/>
      <w:ind w:firstLine="0" w:firstLineChars="0"/>
      <w:jc w:val="left"/>
    </w:pPr>
    <w:rPr>
      <w:rFonts w:ascii="宋体" w:hAnsi="宋体" w:cs="宋体"/>
      <w:kern w:val="0"/>
    </w:rPr>
  </w:style>
  <w:style w:type="paragraph" w:customStyle="1" w:styleId="922">
    <w:name w:val="正文001"/>
    <w:basedOn w:val="1"/>
    <w:semiHidden/>
    <w:qFormat/>
    <w:uiPriority w:val="0"/>
    <w:pPr>
      <w:spacing w:before="60" w:line="420" w:lineRule="exact"/>
      <w:ind w:firstLine="482" w:firstLineChars="0"/>
    </w:pPr>
    <w:rPr>
      <w:szCs w:val="20"/>
    </w:rPr>
  </w:style>
  <w:style w:type="paragraph" w:customStyle="1" w:styleId="923">
    <w:name w:val="正文1 Char Char Char Char Char"/>
    <w:basedOn w:val="1"/>
    <w:qFormat/>
    <w:uiPriority w:val="0"/>
    <w:pPr>
      <w:suppressLineNumbers/>
      <w:suppressAutoHyphens/>
      <w:topLinePunct/>
      <w:adjustRightInd w:val="0"/>
      <w:snapToGrid w:val="0"/>
      <w:ind w:firstLine="480"/>
    </w:pPr>
  </w:style>
  <w:style w:type="paragraph" w:customStyle="1" w:styleId="924">
    <w:name w:val="简单回函地址"/>
    <w:basedOn w:val="1"/>
    <w:qFormat/>
    <w:uiPriority w:val="0"/>
    <w:pPr>
      <w:spacing w:line="240" w:lineRule="auto"/>
      <w:ind w:firstLine="0" w:firstLineChars="0"/>
    </w:pPr>
    <w:rPr>
      <w:sz w:val="21"/>
    </w:rPr>
  </w:style>
  <w:style w:type="paragraph" w:customStyle="1" w:styleId="925">
    <w:name w:val="表格样式"/>
    <w:basedOn w:val="1"/>
    <w:next w:val="1"/>
    <w:semiHidden/>
    <w:qFormat/>
    <w:uiPriority w:val="0"/>
    <w:pPr>
      <w:adjustRightInd w:val="0"/>
      <w:snapToGrid w:val="0"/>
      <w:spacing w:line="240" w:lineRule="auto"/>
      <w:ind w:firstLine="0" w:firstLineChars="0"/>
      <w:jc w:val="center"/>
      <w:textAlignment w:val="baseline"/>
    </w:pPr>
    <w:rPr>
      <w:rFonts w:ascii="宋体"/>
      <w:snapToGrid w:val="0"/>
      <w:color w:val="000000"/>
      <w:kern w:val="0"/>
      <w:szCs w:val="20"/>
    </w:rPr>
  </w:style>
  <w:style w:type="paragraph" w:customStyle="1" w:styleId="926">
    <w:name w:val="默认段落字体 Para Char Char Char Char Char Char Char Char Char Char Char"/>
    <w:basedOn w:val="4"/>
    <w:qFormat/>
    <w:uiPriority w:val="0"/>
    <w:pPr>
      <w:keepNext w:val="0"/>
      <w:keepLines w:val="0"/>
      <w:widowControl w:val="0"/>
      <w:numPr>
        <w:ilvl w:val="0"/>
        <w:numId w:val="0"/>
      </w:numPr>
      <w:tabs>
        <w:tab w:val="left" w:pos="360"/>
        <w:tab w:val="left" w:pos="900"/>
        <w:tab w:val="clear" w:pos="816"/>
      </w:tabs>
      <w:snapToGrid w:val="0"/>
      <w:spacing w:before="120" w:beforeLines="0" w:after="120" w:afterLines="0" w:line="360" w:lineRule="auto"/>
      <w:ind w:left="542" w:leftChars="-12" w:firstLine="200" w:firstLineChars="200"/>
      <w:jc w:val="both"/>
    </w:pPr>
    <w:rPr>
      <w:rFonts w:ascii="楷体_GB2312" w:eastAsia="黑体"/>
      <w:b w:val="0"/>
      <w:bCs w:val="0"/>
      <w:snapToGrid w:val="0"/>
      <w:color w:val="FF0000"/>
      <w:sz w:val="24"/>
    </w:rPr>
  </w:style>
  <w:style w:type="paragraph" w:customStyle="1" w:styleId="927">
    <w:name w:val="五号"/>
    <w:basedOn w:val="1"/>
    <w:semiHidden/>
    <w:qFormat/>
    <w:uiPriority w:val="0"/>
    <w:pPr>
      <w:spacing w:line="240" w:lineRule="auto"/>
      <w:ind w:firstLine="0" w:firstLineChars="0"/>
    </w:pPr>
    <w:rPr>
      <w:sz w:val="21"/>
    </w:rPr>
  </w:style>
  <w:style w:type="paragraph" w:customStyle="1" w:styleId="928">
    <w:name w:val="正文1 Char Char Char Char1 Char"/>
    <w:basedOn w:val="1"/>
    <w:qFormat/>
    <w:uiPriority w:val="0"/>
    <w:pPr>
      <w:suppressLineNumbers/>
      <w:suppressAutoHyphens/>
      <w:topLinePunct/>
      <w:adjustRightInd w:val="0"/>
      <w:snapToGrid w:val="0"/>
      <w:ind w:firstLine="480"/>
    </w:pPr>
  </w:style>
  <w:style w:type="paragraph" w:customStyle="1" w:styleId="929">
    <w:name w:val="文档一级标题"/>
    <w:basedOn w:val="1"/>
    <w:qFormat/>
    <w:uiPriority w:val="0"/>
    <w:pPr>
      <w:spacing w:line="240" w:lineRule="auto"/>
      <w:ind w:firstLine="0" w:firstLineChars="0"/>
    </w:pPr>
    <w:rPr>
      <w:rFonts w:ascii="黑体" w:hAnsi="华文仿宋" w:eastAsia="黑体"/>
      <w:sz w:val="28"/>
      <w:szCs w:val="20"/>
    </w:rPr>
  </w:style>
  <w:style w:type="paragraph" w:customStyle="1" w:styleId="930">
    <w:name w:val="正文Normal"/>
    <w:basedOn w:val="1"/>
    <w:semiHidden/>
    <w:qFormat/>
    <w:uiPriority w:val="0"/>
    <w:pPr>
      <w:adjustRightInd w:val="0"/>
      <w:snapToGrid w:val="0"/>
      <w:spacing w:line="450" w:lineRule="atLeast"/>
      <w:ind w:firstLine="0" w:firstLineChars="0"/>
    </w:pPr>
    <w:rPr>
      <w:rFonts w:ascii="宋体"/>
      <w:snapToGrid w:val="0"/>
      <w:spacing w:val="10"/>
      <w:kern w:val="0"/>
      <w:sz w:val="28"/>
      <w:szCs w:val="20"/>
    </w:rPr>
  </w:style>
  <w:style w:type="paragraph" w:customStyle="1" w:styleId="931">
    <w:name w:val="font7"/>
    <w:basedOn w:val="1"/>
    <w:qFormat/>
    <w:uiPriority w:val="0"/>
    <w:pPr>
      <w:widowControl/>
      <w:spacing w:before="100" w:beforeAutospacing="1" w:after="100" w:afterAutospacing="1" w:line="240" w:lineRule="auto"/>
      <w:ind w:firstLine="0" w:firstLineChars="0"/>
      <w:jc w:val="left"/>
    </w:pPr>
    <w:rPr>
      <w:rFonts w:eastAsia="Arial Unicode MS"/>
      <w:kern w:val="0"/>
      <w:sz w:val="18"/>
      <w:szCs w:val="18"/>
    </w:rPr>
  </w:style>
  <w:style w:type="paragraph" w:customStyle="1" w:styleId="932">
    <w:name w:val="xl65"/>
    <w:basedOn w:val="1"/>
    <w:qFormat/>
    <w:uiPriority w:val="0"/>
    <w:pPr>
      <w:widowControl/>
      <w:spacing w:before="100" w:beforeAutospacing="1" w:after="100" w:afterAutospacing="1" w:line="240" w:lineRule="auto"/>
      <w:ind w:firstLine="0" w:firstLineChars="0"/>
      <w:jc w:val="left"/>
    </w:pPr>
    <w:rPr>
      <w:kern w:val="0"/>
      <w:sz w:val="18"/>
      <w:szCs w:val="18"/>
    </w:rPr>
  </w:style>
  <w:style w:type="paragraph" w:customStyle="1" w:styleId="933">
    <w:name w:val="样式 标题 4 + 行距: 多倍行距 1.25 字行"/>
    <w:basedOn w:val="5"/>
    <w:semiHidden/>
    <w:qFormat/>
    <w:uiPriority w:val="0"/>
    <w:pPr>
      <w:widowControl w:val="0"/>
      <w:numPr>
        <w:ilvl w:val="0"/>
        <w:numId w:val="0"/>
      </w:numPr>
      <w:tabs>
        <w:tab w:val="left" w:pos="0"/>
        <w:tab w:val="left" w:pos="210"/>
        <w:tab w:val="left" w:pos="851"/>
        <w:tab w:val="clear" w:pos="864"/>
      </w:tabs>
      <w:spacing w:line="300" w:lineRule="auto"/>
      <w:ind w:left="851" w:hanging="851"/>
      <w:jc w:val="both"/>
    </w:pPr>
    <w:rPr>
      <w:rFonts w:ascii="Arial" w:hAnsi="Arial" w:eastAsia="宋体"/>
      <w:snapToGrid/>
      <w:color w:val="000000"/>
      <w:kern w:val="0"/>
      <w:szCs w:val="20"/>
    </w:rPr>
  </w:style>
  <w:style w:type="paragraph" w:customStyle="1" w:styleId="934">
    <w:name w:val="xl33"/>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Courier New" w:hAnsi="Courier New" w:eastAsia="Arial Unicode MS" w:cs="Courier New"/>
      <w:kern w:val="0"/>
      <w:sz w:val="22"/>
      <w:szCs w:val="22"/>
    </w:rPr>
  </w:style>
  <w:style w:type="paragraph" w:customStyle="1" w:styleId="935">
    <w:name w:val="环科院标题3"/>
    <w:basedOn w:val="4"/>
    <w:qFormat/>
    <w:uiPriority w:val="0"/>
    <w:pPr>
      <w:widowControl w:val="0"/>
      <w:numPr>
        <w:ilvl w:val="0"/>
        <w:numId w:val="0"/>
      </w:numPr>
      <w:tabs>
        <w:tab w:val="clear" w:pos="816"/>
      </w:tabs>
      <w:spacing w:before="120" w:beforeLines="0" w:after="120" w:afterLines="0" w:line="240" w:lineRule="auto"/>
      <w:ind w:left="2194" w:hanging="918"/>
      <w:jc w:val="both"/>
    </w:pPr>
    <w:rPr>
      <w:rFonts w:hAnsi="华文中宋" w:eastAsia="华文中宋" w:cs="宋体"/>
      <w:kern w:val="0"/>
      <w:szCs w:val="28"/>
    </w:rPr>
  </w:style>
  <w:style w:type="paragraph" w:customStyle="1" w:styleId="936">
    <w:name w:val="样式 表名1 + 段前: 0.3 行1"/>
    <w:basedOn w:val="726"/>
    <w:qFormat/>
    <w:uiPriority w:val="0"/>
    <w:rPr>
      <w:rFonts w:cs="宋体"/>
      <w:bCs w:val="0"/>
    </w:rPr>
  </w:style>
  <w:style w:type="paragraph" w:customStyle="1" w:styleId="937">
    <w:name w:val="Puce2-8pts"/>
    <w:basedOn w:val="1"/>
    <w:qFormat/>
    <w:uiPriority w:val="0"/>
    <w:pPr>
      <w:keepLines/>
      <w:widowControl/>
      <w:tabs>
        <w:tab w:val="left" w:pos="-283"/>
        <w:tab w:val="left" w:pos="1200"/>
      </w:tabs>
      <w:spacing w:before="160" w:line="240" w:lineRule="auto"/>
      <w:ind w:left="1701" w:hanging="720" w:firstLineChars="0"/>
    </w:pPr>
    <w:rPr>
      <w:rFonts w:ascii="Arial" w:hAnsi="Arial"/>
      <w:kern w:val="0"/>
      <w:sz w:val="20"/>
      <w:szCs w:val="20"/>
      <w:lang w:eastAsia="fr-FR"/>
    </w:rPr>
  </w:style>
  <w:style w:type="paragraph" w:customStyle="1" w:styleId="938">
    <w:name w:val="列出段落1"/>
    <w:basedOn w:val="1"/>
    <w:qFormat/>
    <w:uiPriority w:val="0"/>
    <w:pPr>
      <w:spacing w:line="240" w:lineRule="auto"/>
      <w:ind w:left="480" w:leftChars="200" w:firstLine="0" w:firstLineChars="0"/>
      <w:jc w:val="left"/>
    </w:pPr>
    <w:rPr>
      <w:rFonts w:ascii="Calibri" w:hAnsi="Calibri" w:eastAsia="PMingLiU"/>
      <w:szCs w:val="22"/>
      <w:lang w:eastAsia="zh-TW"/>
    </w:rPr>
  </w:style>
  <w:style w:type="paragraph" w:customStyle="1" w:styleId="939">
    <w:name w:val="北正文1"/>
    <w:basedOn w:val="1"/>
    <w:qFormat/>
    <w:uiPriority w:val="0"/>
    <w:pPr>
      <w:adjustRightInd w:val="0"/>
      <w:spacing w:before="40" w:after="40" w:line="300" w:lineRule="auto"/>
      <w:ind w:firstLine="510" w:firstLineChars="0"/>
      <w:textAlignment w:val="baseline"/>
    </w:pPr>
    <w:rPr>
      <w:kern w:val="0"/>
      <w:szCs w:val="20"/>
    </w:rPr>
  </w:style>
  <w:style w:type="paragraph" w:customStyle="1" w:styleId="940">
    <w:name w:val="备注"/>
    <w:basedOn w:val="1"/>
    <w:qFormat/>
    <w:uiPriority w:val="0"/>
    <w:pPr>
      <w:spacing w:line="240" w:lineRule="auto"/>
      <w:ind w:firstLine="420"/>
    </w:pPr>
    <w:rPr>
      <w:sz w:val="18"/>
      <w:szCs w:val="20"/>
    </w:rPr>
  </w:style>
  <w:style w:type="paragraph" w:customStyle="1" w:styleId="941">
    <w:name w:val="表1"/>
    <w:basedOn w:val="1"/>
    <w:semiHidden/>
    <w:qFormat/>
    <w:uiPriority w:val="0"/>
    <w:pPr>
      <w:adjustRightInd w:val="0"/>
      <w:spacing w:line="0" w:lineRule="atLeast"/>
      <w:ind w:firstLine="0" w:firstLineChars="0"/>
      <w:jc w:val="center"/>
      <w:textAlignment w:val="baseline"/>
    </w:pPr>
    <w:rPr>
      <w:kern w:val="0"/>
      <w:sz w:val="28"/>
      <w:szCs w:val="20"/>
    </w:rPr>
  </w:style>
  <w:style w:type="paragraph" w:customStyle="1" w:styleId="942">
    <w:name w:val="基准页眉样式"/>
    <w:basedOn w:val="31"/>
    <w:qFormat/>
    <w:uiPriority w:val="0"/>
    <w:pPr>
      <w:spacing w:after="0" w:line="240" w:lineRule="atLeast"/>
      <w:ind w:firstLine="0" w:firstLineChars="0"/>
      <w:jc w:val="center"/>
    </w:pPr>
    <w:rPr>
      <w:rFonts w:ascii="宋体" w:hAnsi="Times New Roman"/>
      <w:color w:val="000000"/>
      <w:sz w:val="21"/>
      <w:szCs w:val="20"/>
      <w:lang w:val="en-US" w:eastAsia="zh-CN"/>
    </w:rPr>
  </w:style>
  <w:style w:type="paragraph" w:customStyle="1" w:styleId="943">
    <w:name w:val="font10"/>
    <w:basedOn w:val="1"/>
    <w:qFormat/>
    <w:uiPriority w:val="0"/>
    <w:pPr>
      <w:widowControl/>
      <w:spacing w:before="100" w:beforeAutospacing="1" w:after="100" w:afterAutospacing="1" w:line="240" w:lineRule="auto"/>
      <w:ind w:firstLine="0" w:firstLineChars="0"/>
      <w:jc w:val="left"/>
    </w:pPr>
    <w:rPr>
      <w:rFonts w:eastAsia="Arial Unicode MS"/>
      <w:kern w:val="0"/>
      <w:sz w:val="16"/>
      <w:szCs w:val="16"/>
    </w:rPr>
  </w:style>
  <w:style w:type="paragraph" w:customStyle="1" w:styleId="944">
    <w:name w:val="Char Char Char Char Char Char Char Char Char Char Char Char Char Char Char Char"/>
    <w:basedOn w:val="1"/>
    <w:qFormat/>
    <w:uiPriority w:val="0"/>
    <w:rPr>
      <w:rFonts w:ascii="宋体" w:hAnsi="宋体" w:cs="宋体"/>
    </w:rPr>
  </w:style>
  <w:style w:type="paragraph" w:customStyle="1" w:styleId="945">
    <w:name w:val="签署页标题"/>
    <w:basedOn w:val="1"/>
    <w:semiHidden/>
    <w:qFormat/>
    <w:uiPriority w:val="0"/>
    <w:pPr>
      <w:widowControl/>
      <w:ind w:firstLine="3600" w:firstLineChars="0"/>
    </w:pPr>
    <w:rPr>
      <w:rFonts w:ascii="黑体" w:eastAsia="黑体"/>
      <w:b/>
      <w:bCs/>
      <w:sz w:val="28"/>
      <w:szCs w:val="16"/>
    </w:rPr>
  </w:style>
  <w:style w:type="paragraph" w:customStyle="1" w:styleId="946">
    <w:name w:val="Char Char Char1 Char Char Char Char Char Char Char Char Char Char"/>
    <w:basedOn w:val="1"/>
    <w:qFormat/>
    <w:uiPriority w:val="0"/>
    <w:pPr>
      <w:spacing w:line="240" w:lineRule="auto"/>
      <w:ind w:firstLine="0" w:firstLineChars="0"/>
    </w:pPr>
    <w:rPr>
      <w:sz w:val="21"/>
    </w:rPr>
  </w:style>
  <w:style w:type="paragraph" w:customStyle="1" w:styleId="947">
    <w:name w:val="_Style 945"/>
    <w:basedOn w:val="1"/>
    <w:next w:val="1"/>
    <w:link w:val="948"/>
    <w:qFormat/>
    <w:uiPriority w:val="0"/>
    <w:pPr>
      <w:widowControl/>
      <w:pBdr>
        <w:top w:val="single" w:color="auto" w:sz="6" w:space="1"/>
      </w:pBdr>
      <w:spacing w:line="240" w:lineRule="auto"/>
      <w:ind w:firstLine="0" w:firstLineChars="0"/>
      <w:jc w:val="center"/>
    </w:pPr>
    <w:rPr>
      <w:rFonts w:ascii="Arial" w:hAnsi="Arial"/>
      <w:vanish/>
      <w:kern w:val="0"/>
      <w:sz w:val="16"/>
      <w:szCs w:val="16"/>
    </w:rPr>
  </w:style>
  <w:style w:type="character" w:customStyle="1" w:styleId="948">
    <w:name w:val="z-窗体底端 Char"/>
    <w:link w:val="947"/>
    <w:qFormat/>
    <w:uiPriority w:val="0"/>
    <w:rPr>
      <w:rFonts w:ascii="Arial" w:hAnsi="Arial" w:cs="Arial"/>
      <w:vanish/>
      <w:sz w:val="16"/>
      <w:szCs w:val="16"/>
    </w:rPr>
  </w:style>
  <w:style w:type="paragraph" w:customStyle="1" w:styleId="949">
    <w:name w:val="a3"/>
    <w:basedOn w:val="1"/>
    <w:qFormat/>
    <w:uiPriority w:val="0"/>
    <w:pPr>
      <w:widowControl/>
      <w:topLinePunct/>
      <w:spacing w:before="100" w:beforeAutospacing="1" w:after="100" w:afterAutospacing="1" w:line="240" w:lineRule="auto"/>
      <w:ind w:firstLine="0" w:firstLineChars="0"/>
      <w:jc w:val="left"/>
    </w:pPr>
    <w:rPr>
      <w:rFonts w:ascii="宋体" w:hAnsi="宋体"/>
      <w:color w:val="000000"/>
      <w:kern w:val="0"/>
    </w:rPr>
  </w:style>
  <w:style w:type="paragraph" w:customStyle="1" w:styleId="950">
    <w:name w:val="普通(Web)1"/>
    <w:basedOn w:val="1"/>
    <w:qFormat/>
    <w:uiPriority w:val="0"/>
    <w:pPr>
      <w:widowControl/>
      <w:spacing w:before="75" w:after="100" w:afterAutospacing="1" w:line="240" w:lineRule="auto"/>
      <w:ind w:firstLine="0" w:firstLineChars="0"/>
      <w:jc w:val="left"/>
    </w:pPr>
    <w:rPr>
      <w:rFonts w:ascii="宋体" w:hAnsi="宋体" w:cs="宋体"/>
      <w:kern w:val="0"/>
    </w:rPr>
  </w:style>
  <w:style w:type="paragraph" w:customStyle="1" w:styleId="951">
    <w:name w:val="CM93"/>
    <w:basedOn w:val="1"/>
    <w:next w:val="1"/>
    <w:qFormat/>
    <w:uiPriority w:val="0"/>
    <w:pPr>
      <w:autoSpaceDE w:val="0"/>
      <w:autoSpaceDN w:val="0"/>
      <w:adjustRightInd w:val="0"/>
      <w:spacing w:after="233" w:line="240" w:lineRule="auto"/>
      <w:ind w:firstLine="0" w:firstLineChars="0"/>
      <w:jc w:val="left"/>
    </w:pPr>
    <w:rPr>
      <w:rFonts w:ascii="黑体" w:eastAsia="黑体" w:cs="黑体"/>
      <w:kern w:val="0"/>
    </w:rPr>
  </w:style>
  <w:style w:type="paragraph" w:customStyle="1" w:styleId="952">
    <w:name w:val="样式 样式 首行缩进:  2 字符 + 首行缩进:  2 字符"/>
    <w:basedOn w:val="1"/>
    <w:qFormat/>
    <w:uiPriority w:val="0"/>
    <w:pPr>
      <w:spacing w:line="480" w:lineRule="exact"/>
    </w:pPr>
    <w:rPr>
      <w:rFonts w:cs="宋体"/>
      <w:szCs w:val="20"/>
    </w:rPr>
  </w:style>
  <w:style w:type="paragraph" w:customStyle="1" w:styleId="953">
    <w:name w:val="样式 (中文) 黑体 三号 加粗 段前: 48 磅 段后: 48 磅 底端: (单实线 自动设置  1.5 磅 行..."/>
    <w:basedOn w:val="54"/>
    <w:qFormat/>
    <w:uiPriority w:val="0"/>
    <w:pPr>
      <w:pBdr>
        <w:bottom w:val="single" w:color="auto" w:sz="12" w:space="1"/>
      </w:pBdr>
      <w:tabs>
        <w:tab w:val="right" w:leader="dot" w:pos="9652"/>
      </w:tabs>
      <w:spacing w:before="960" w:after="960" w:line="240" w:lineRule="auto"/>
      <w:jc w:val="left"/>
    </w:pPr>
    <w:rPr>
      <w:rFonts w:ascii="Arial" w:hAnsi="Arial" w:eastAsia="黑体" w:cs="宋体"/>
      <w:b w:val="0"/>
      <w:sz w:val="32"/>
      <w:szCs w:val="20"/>
    </w:rPr>
  </w:style>
  <w:style w:type="paragraph" w:customStyle="1" w:styleId="954">
    <w:name w:val="正文特点"/>
    <w:basedOn w:val="1"/>
    <w:qFormat/>
    <w:uiPriority w:val="0"/>
    <w:pPr>
      <w:spacing w:line="240" w:lineRule="auto"/>
      <w:ind w:firstLine="0" w:firstLineChars="0"/>
    </w:pPr>
  </w:style>
  <w:style w:type="paragraph" w:customStyle="1" w:styleId="955">
    <w:name w:val="目录2"/>
    <w:basedOn w:val="67"/>
    <w:qFormat/>
    <w:uiPriority w:val="0"/>
    <w:pPr>
      <w:tabs>
        <w:tab w:val="right" w:leader="dot" w:pos="8835"/>
      </w:tabs>
      <w:spacing w:line="360" w:lineRule="auto"/>
      <w:ind w:firstLine="480"/>
      <w:jc w:val="left"/>
    </w:pPr>
    <w:rPr>
      <w:rFonts w:ascii="Times New Roman" w:eastAsia="楷体_GB2312"/>
      <w:bCs w:val="0"/>
      <w:smallCaps/>
      <w:spacing w:val="4"/>
      <w:kern w:val="18"/>
      <w:szCs w:val="20"/>
    </w:rPr>
  </w:style>
  <w:style w:type="paragraph" w:customStyle="1" w:styleId="956">
    <w:name w:val="xl85"/>
    <w:basedOn w:val="1"/>
    <w:qFormat/>
    <w:uiPriority w:val="0"/>
    <w:pPr>
      <w:widowControl/>
      <w:shd w:val="clear" w:color="000000" w:fill="FDE9D9"/>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957">
    <w:name w:val="正文1 Char Char Char Char"/>
    <w:basedOn w:val="1"/>
    <w:qFormat/>
    <w:uiPriority w:val="0"/>
    <w:pPr>
      <w:suppressLineNumbers/>
      <w:suppressAutoHyphens/>
      <w:topLinePunct/>
      <w:adjustRightInd w:val="0"/>
      <w:snapToGrid w:val="0"/>
      <w:ind w:firstLine="480"/>
    </w:pPr>
  </w:style>
  <w:style w:type="paragraph" w:customStyle="1" w:styleId="958">
    <w:name w:val="xl52"/>
    <w:basedOn w:val="1"/>
    <w:qFormat/>
    <w:uiPriority w:val="0"/>
    <w:pPr>
      <w:widowControl/>
      <w:spacing w:before="100" w:beforeAutospacing="1" w:after="100" w:afterAutospacing="1" w:line="240" w:lineRule="auto"/>
      <w:ind w:firstLine="0" w:firstLineChars="0"/>
      <w:jc w:val="left"/>
      <w:textAlignment w:val="center"/>
    </w:pPr>
    <w:rPr>
      <w:rFonts w:ascii="宋体" w:hAnsi="宋体"/>
      <w:i/>
      <w:iCs/>
      <w:kern w:val="0"/>
    </w:rPr>
  </w:style>
  <w:style w:type="paragraph" w:customStyle="1" w:styleId="959">
    <w:name w:val="小标题3"/>
    <w:basedOn w:val="875"/>
    <w:qFormat/>
    <w:uiPriority w:val="0"/>
    <w:pPr>
      <w:spacing w:beforeLines="0"/>
    </w:pPr>
  </w:style>
  <w:style w:type="paragraph" w:customStyle="1" w:styleId="960">
    <w:name w:val="表格小五"/>
    <w:basedOn w:val="1"/>
    <w:qFormat/>
    <w:uiPriority w:val="0"/>
    <w:pPr>
      <w:adjustRightInd w:val="0"/>
      <w:snapToGrid w:val="0"/>
      <w:spacing w:line="320" w:lineRule="exact"/>
      <w:ind w:left="-42" w:leftChars="-20" w:right="-42" w:rightChars="-20" w:firstLine="0" w:firstLineChars="0"/>
      <w:jc w:val="center"/>
      <w:textAlignment w:val="baseline"/>
    </w:pPr>
    <w:rPr>
      <w:snapToGrid w:val="0"/>
      <w:color w:val="000000"/>
      <w:kern w:val="40"/>
      <w:sz w:val="18"/>
      <w:szCs w:val="20"/>
    </w:rPr>
  </w:style>
  <w:style w:type="paragraph" w:customStyle="1" w:styleId="961">
    <w:name w:val="正文文字缩进 2"/>
    <w:basedOn w:val="1"/>
    <w:next w:val="1"/>
    <w:qFormat/>
    <w:uiPriority w:val="0"/>
    <w:pPr>
      <w:autoSpaceDE w:val="0"/>
      <w:autoSpaceDN w:val="0"/>
      <w:adjustRightInd w:val="0"/>
      <w:spacing w:line="240" w:lineRule="auto"/>
      <w:ind w:firstLine="0" w:firstLineChars="0"/>
      <w:jc w:val="left"/>
    </w:pPr>
    <w:rPr>
      <w:rFonts w:ascii="宋体"/>
      <w:kern w:val="0"/>
    </w:rPr>
  </w:style>
  <w:style w:type="paragraph" w:customStyle="1" w:styleId="962">
    <w:name w:val="样式 样式 首行缩进:  2 字符1 + 首行缩进:  2 字符"/>
    <w:basedOn w:val="1"/>
    <w:semiHidden/>
    <w:qFormat/>
    <w:uiPriority w:val="0"/>
    <w:pPr>
      <w:spacing w:line="480" w:lineRule="exact"/>
    </w:pPr>
    <w:rPr>
      <w:rFonts w:eastAsia="楷体_GB2312"/>
      <w:szCs w:val="20"/>
    </w:rPr>
  </w:style>
  <w:style w:type="paragraph" w:customStyle="1" w:styleId="963">
    <w:name w:val="样式 首行缩进:  2 字符2"/>
    <w:basedOn w:val="1"/>
    <w:qFormat/>
    <w:uiPriority w:val="0"/>
    <w:pPr>
      <w:spacing w:line="480" w:lineRule="exact"/>
    </w:pPr>
    <w:rPr>
      <w:rFonts w:eastAsia="楷体_GB2312" w:cs="宋体"/>
      <w:szCs w:val="20"/>
    </w:rPr>
  </w:style>
  <w:style w:type="paragraph" w:customStyle="1" w:styleId="964">
    <w:name w:val="文本框"/>
    <w:basedOn w:val="927"/>
    <w:semiHidden/>
    <w:qFormat/>
    <w:uiPriority w:val="0"/>
    <w:pPr>
      <w:widowControl/>
    </w:pPr>
    <w:rPr>
      <w:rFonts w:ascii="宋体" w:hAnsi="宋体"/>
    </w:rPr>
  </w:style>
  <w:style w:type="paragraph" w:customStyle="1" w:styleId="965">
    <w:name w:val="列表项目 Char"/>
    <w:basedOn w:val="1"/>
    <w:qFormat/>
    <w:uiPriority w:val="0"/>
    <w:pPr>
      <w:tabs>
        <w:tab w:val="left" w:pos="1080"/>
      </w:tabs>
      <w:spacing w:line="280" w:lineRule="atLeast"/>
      <w:ind w:left="567" w:hanging="567" w:firstLineChars="0"/>
    </w:pPr>
    <w:rPr>
      <w:sz w:val="21"/>
    </w:rPr>
  </w:style>
  <w:style w:type="paragraph" w:customStyle="1" w:styleId="966">
    <w:name w:val="font0"/>
    <w:basedOn w:val="1"/>
    <w:qFormat/>
    <w:uiPriority w:val="0"/>
    <w:pPr>
      <w:widowControl/>
      <w:spacing w:before="100" w:beforeAutospacing="1" w:after="100" w:afterAutospacing="1" w:line="240" w:lineRule="auto"/>
      <w:ind w:firstLine="0" w:firstLineChars="0"/>
      <w:jc w:val="left"/>
    </w:pPr>
    <w:rPr>
      <w:rFonts w:eastAsia="Arial Unicode MS"/>
      <w:kern w:val="0"/>
    </w:rPr>
  </w:style>
  <w:style w:type="paragraph" w:customStyle="1" w:styleId="967">
    <w:name w:val="表"/>
    <w:basedOn w:val="1"/>
    <w:link w:val="968"/>
    <w:qFormat/>
    <w:uiPriority w:val="0"/>
    <w:pPr>
      <w:snapToGrid w:val="0"/>
      <w:spacing w:line="240" w:lineRule="auto"/>
      <w:ind w:firstLine="0" w:firstLineChars="0"/>
      <w:jc w:val="center"/>
    </w:pPr>
    <w:rPr>
      <w:spacing w:val="2"/>
      <w:sz w:val="21"/>
      <w:szCs w:val="20"/>
    </w:rPr>
  </w:style>
  <w:style w:type="character" w:customStyle="1" w:styleId="968">
    <w:name w:val="表 Char"/>
    <w:link w:val="967"/>
    <w:qFormat/>
    <w:uiPriority w:val="0"/>
    <w:rPr>
      <w:spacing w:val="2"/>
      <w:kern w:val="2"/>
      <w:sz w:val="21"/>
    </w:rPr>
  </w:style>
  <w:style w:type="paragraph" w:customStyle="1" w:styleId="969">
    <w:name w:val="xl36"/>
    <w:basedOn w:val="1"/>
    <w:qFormat/>
    <w:uiPriority w:val="0"/>
    <w:pPr>
      <w:widowControl/>
      <w:spacing w:before="100" w:beforeAutospacing="1" w:after="100" w:afterAutospacing="1" w:line="240" w:lineRule="auto"/>
      <w:ind w:firstLine="0" w:firstLineChars="0"/>
      <w:jc w:val="center"/>
    </w:pPr>
    <w:rPr>
      <w:rFonts w:ascii="宋体" w:hAnsi="宋体"/>
      <w:kern w:val="0"/>
    </w:rPr>
  </w:style>
  <w:style w:type="paragraph" w:customStyle="1" w:styleId="970">
    <w:name w:val="正文2"/>
    <w:basedOn w:val="69"/>
    <w:semiHidden/>
    <w:qFormat/>
    <w:uiPriority w:val="0"/>
    <w:pPr>
      <w:widowControl w:val="0"/>
      <w:spacing w:after="120" w:line="480" w:lineRule="atLeast"/>
      <w:ind w:firstLine="567" w:firstLineChars="0"/>
    </w:pPr>
    <w:rPr>
      <w:rFonts w:ascii="Times New Roman"/>
      <w:spacing w:val="5"/>
      <w:kern w:val="2"/>
      <w:sz w:val="28"/>
      <w:lang w:val="en-US" w:eastAsia="zh-CN"/>
    </w:rPr>
  </w:style>
  <w:style w:type="paragraph" w:customStyle="1" w:styleId="971">
    <w:name w:val="价格变化趋"/>
    <w:basedOn w:val="1"/>
    <w:qFormat/>
    <w:uiPriority w:val="0"/>
    <w:pPr>
      <w:adjustRightInd w:val="0"/>
      <w:spacing w:line="315" w:lineRule="atLeast"/>
      <w:ind w:firstLine="0" w:firstLineChars="0"/>
      <w:jc w:val="left"/>
      <w:textAlignment w:val="baseline"/>
    </w:pPr>
    <w:rPr>
      <w:rFonts w:ascii="宋体"/>
      <w:kern w:val="0"/>
      <w:sz w:val="21"/>
      <w:szCs w:val="20"/>
    </w:rPr>
  </w:style>
  <w:style w:type="paragraph" w:customStyle="1" w:styleId="972">
    <w:name w:val="样式7"/>
    <w:basedOn w:val="771"/>
    <w:qFormat/>
    <w:uiPriority w:val="0"/>
    <w:pPr>
      <w:keepNext w:val="0"/>
      <w:keepLines w:val="0"/>
      <w:tabs>
        <w:tab w:val="left" w:pos="486"/>
        <w:tab w:val="left" w:pos="1259"/>
        <w:tab w:val="left" w:pos="1418"/>
        <w:tab w:val="left" w:pos="1701"/>
        <w:tab w:val="clear" w:pos="3794"/>
      </w:tabs>
      <w:adjustRightInd w:val="0"/>
      <w:snapToGrid w:val="0"/>
      <w:spacing w:afterLines="50" w:line="336" w:lineRule="auto"/>
      <w:ind w:firstLine="539" w:firstLineChars="200"/>
      <w:jc w:val="both"/>
      <w:outlineLvl w:val="9"/>
    </w:pPr>
    <w:rPr>
      <w:rFonts w:ascii="Times New Roman" w:hAnsi="Times New Roman"/>
      <w:color w:val="000000"/>
      <w:spacing w:val="10"/>
      <w:szCs w:val="20"/>
    </w:rPr>
  </w:style>
  <w:style w:type="paragraph" w:customStyle="1" w:styleId="973">
    <w:name w:val="表格（5号）"/>
    <w:basedOn w:val="1"/>
    <w:qFormat/>
    <w:uiPriority w:val="0"/>
    <w:pPr>
      <w:spacing w:line="360" w:lineRule="exact"/>
      <w:ind w:left="-113" w:right="-113" w:firstLine="0" w:firstLineChars="0"/>
      <w:jc w:val="center"/>
    </w:pPr>
    <w:rPr>
      <w:rFonts w:ascii="宋体" w:hAnsi="宋体" w:cs="Courier New"/>
      <w:color w:val="000000"/>
      <w:sz w:val="18"/>
      <w:szCs w:val="20"/>
    </w:rPr>
  </w:style>
  <w:style w:type="paragraph" w:customStyle="1" w:styleId="974">
    <w:name w:val="xl53"/>
    <w:basedOn w:val="1"/>
    <w:qFormat/>
    <w:uiPriority w:val="0"/>
    <w:pPr>
      <w:widowControl/>
      <w:pBdr>
        <w:left w:val="single" w:color="auto" w:sz="4" w:space="0"/>
        <w:bottom w:val="single" w:color="auto" w:sz="4" w:space="0"/>
      </w:pBdr>
      <w:spacing w:before="100" w:beforeAutospacing="1" w:after="100" w:afterAutospacing="1" w:line="240" w:lineRule="auto"/>
      <w:ind w:firstLine="0" w:firstLineChars="0"/>
      <w:jc w:val="left"/>
      <w:textAlignment w:val="center"/>
    </w:pPr>
    <w:rPr>
      <w:rFonts w:ascii="宋体" w:hAnsi="宋体"/>
      <w:i/>
      <w:iCs/>
      <w:kern w:val="0"/>
    </w:rPr>
  </w:style>
  <w:style w:type="paragraph" w:customStyle="1" w:styleId="975">
    <w:name w:val="xl23"/>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1"/>
      <w:szCs w:val="21"/>
    </w:rPr>
  </w:style>
  <w:style w:type="paragraph" w:customStyle="1" w:styleId="976">
    <w:name w:val="样式 正文文本缩进正文文字缩进正文文字缩进1 + 首行缩进:  0.98 厘米 Char"/>
    <w:basedOn w:val="32"/>
    <w:semiHidden/>
    <w:qFormat/>
    <w:uiPriority w:val="0"/>
    <w:pPr>
      <w:widowControl w:val="0"/>
      <w:snapToGrid w:val="0"/>
      <w:spacing w:line="460" w:lineRule="exact"/>
      <w:ind w:firstLine="556"/>
    </w:pPr>
    <w:rPr>
      <w:rFonts w:ascii="楷体_GB2312" w:eastAsia="楷体_GB2312"/>
      <w:bCs/>
      <w:sz w:val="28"/>
      <w:szCs w:val="28"/>
    </w:rPr>
  </w:style>
  <w:style w:type="paragraph" w:customStyle="1" w:styleId="977">
    <w:name w:val="图"/>
    <w:basedOn w:val="1"/>
    <w:semiHidden/>
    <w:qFormat/>
    <w:uiPriority w:val="0"/>
    <w:pPr>
      <w:snapToGrid w:val="0"/>
      <w:spacing w:line="240" w:lineRule="auto"/>
      <w:ind w:left="8" w:leftChars="4" w:firstLine="106" w:firstLineChars="49"/>
    </w:pPr>
    <w:rPr>
      <w:rFonts w:eastAsia="仿宋_GB2312"/>
      <w:color w:val="000000"/>
      <w:w w:val="90"/>
      <w:szCs w:val="21"/>
    </w:rPr>
  </w:style>
  <w:style w:type="paragraph" w:customStyle="1" w:styleId="978">
    <w:name w:val="xl78"/>
    <w:basedOn w:val="1"/>
    <w:qFormat/>
    <w:uiPriority w:val="0"/>
    <w:pPr>
      <w:widowControl/>
      <w:spacing w:before="100" w:beforeAutospacing="1" w:after="100" w:afterAutospacing="1" w:line="240" w:lineRule="auto"/>
      <w:ind w:firstLine="0" w:firstLineChars="0"/>
      <w:jc w:val="left"/>
    </w:pPr>
    <w:rPr>
      <w:kern w:val="0"/>
      <w:sz w:val="18"/>
      <w:szCs w:val="18"/>
    </w:rPr>
  </w:style>
  <w:style w:type="paragraph" w:customStyle="1" w:styleId="979">
    <w:name w:val="Char Char1 Char"/>
    <w:basedOn w:val="1"/>
    <w:qFormat/>
    <w:uiPriority w:val="0"/>
    <w:rPr>
      <w:rFonts w:ascii="宋体" w:hAnsi="宋体" w:cs="宋体"/>
    </w:rPr>
  </w:style>
  <w:style w:type="paragraph" w:customStyle="1" w:styleId="980">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eastAsia="仿宋_GB2312" w:cs="宋体"/>
      <w:color w:val="000000"/>
      <w:kern w:val="0"/>
      <w:sz w:val="21"/>
      <w:szCs w:val="21"/>
    </w:rPr>
  </w:style>
  <w:style w:type="paragraph" w:customStyle="1" w:styleId="981">
    <w:name w:val="表格样式（武华）"/>
    <w:basedOn w:val="31"/>
    <w:qFormat/>
    <w:uiPriority w:val="0"/>
    <w:pPr>
      <w:adjustRightInd w:val="0"/>
      <w:snapToGrid w:val="0"/>
      <w:spacing w:after="0" w:line="340" w:lineRule="exact"/>
      <w:ind w:firstLine="0" w:firstLineChars="0"/>
      <w:jc w:val="center"/>
    </w:pPr>
    <w:rPr>
      <w:rFonts w:ascii="宋体" w:hAnsi="宋体"/>
      <w:kern w:val="20"/>
      <w:sz w:val="18"/>
      <w:szCs w:val="18"/>
      <w:lang w:val="en-US" w:eastAsia="zh-CN"/>
    </w:rPr>
  </w:style>
  <w:style w:type="paragraph" w:customStyle="1" w:styleId="982">
    <w:name w:val="style2"/>
    <w:basedOn w:val="1"/>
    <w:qFormat/>
    <w:uiPriority w:val="0"/>
    <w:pPr>
      <w:widowControl/>
      <w:spacing w:before="100" w:beforeAutospacing="1" w:after="100" w:afterAutospacing="1" w:line="240" w:lineRule="auto"/>
      <w:ind w:firstLine="0" w:firstLineChars="0"/>
      <w:jc w:val="left"/>
    </w:pPr>
    <w:rPr>
      <w:rFonts w:ascii="宋体" w:hAnsi="宋体"/>
      <w:kern w:val="0"/>
      <w:szCs w:val="28"/>
    </w:rPr>
  </w:style>
  <w:style w:type="paragraph" w:customStyle="1" w:styleId="983">
    <w:name w:val="文档二级标题"/>
    <w:basedOn w:val="1"/>
    <w:qFormat/>
    <w:uiPriority w:val="0"/>
    <w:pPr>
      <w:spacing w:line="240" w:lineRule="auto"/>
      <w:ind w:firstLine="0" w:firstLineChars="0"/>
    </w:pPr>
    <w:rPr>
      <w:rFonts w:ascii="楷体_GB2312" w:hAnsi="华文仿宋" w:eastAsia="楷体_GB2312"/>
      <w:sz w:val="28"/>
      <w:szCs w:val="20"/>
    </w:rPr>
  </w:style>
  <w:style w:type="paragraph" w:customStyle="1" w:styleId="984">
    <w:name w:val="样式 表名 + 段前: 0.5 行"/>
    <w:basedOn w:val="1"/>
    <w:qFormat/>
    <w:uiPriority w:val="0"/>
    <w:pPr>
      <w:spacing w:before="156" w:afterLines="30" w:line="360" w:lineRule="exact"/>
      <w:ind w:firstLine="0" w:firstLineChars="0"/>
      <w:jc w:val="center"/>
    </w:pPr>
    <w:rPr>
      <w:rFonts w:eastAsia="黑体" w:cs="宋体"/>
      <w:szCs w:val="20"/>
    </w:rPr>
  </w:style>
  <w:style w:type="paragraph" w:customStyle="1" w:styleId="985">
    <w:name w:val="Char31"/>
    <w:basedOn w:val="3"/>
    <w:qFormat/>
    <w:uiPriority w:val="0"/>
    <w:pPr>
      <w:keepNext w:val="0"/>
      <w:widowControl w:val="0"/>
      <w:numPr>
        <w:ilvl w:val="1"/>
        <w:numId w:val="0"/>
      </w:numPr>
      <w:pBdr>
        <w:bottom w:val="single" w:color="auto" w:sz="12" w:space="1"/>
      </w:pBdr>
      <w:tabs>
        <w:tab w:val="left" w:pos="576"/>
        <w:tab w:val="clear" w:pos="720"/>
      </w:tabs>
      <w:spacing w:before="100" w:beforeLines="0" w:beforeAutospacing="1" w:after="960" w:afterLines="0" w:line="360" w:lineRule="auto"/>
      <w:ind w:left="576" w:firstLine="200" w:firstLineChars="200"/>
      <w:jc w:val="both"/>
    </w:pPr>
    <w:rPr>
      <w:rFonts w:ascii="黑体" w:eastAsia="黑体"/>
      <w:bCs w:val="0"/>
      <w:snapToGrid/>
      <w:kern w:val="2"/>
      <w:sz w:val="28"/>
      <w:szCs w:val="20"/>
    </w:rPr>
  </w:style>
  <w:style w:type="paragraph" w:customStyle="1" w:styleId="986">
    <w:name w:val="表格小五（1）"/>
    <w:basedOn w:val="1"/>
    <w:qFormat/>
    <w:uiPriority w:val="0"/>
    <w:pPr>
      <w:adjustRightInd w:val="0"/>
      <w:snapToGrid w:val="0"/>
      <w:spacing w:line="320" w:lineRule="exact"/>
      <w:ind w:firstLine="0" w:firstLineChars="0"/>
    </w:pPr>
    <w:rPr>
      <w:rFonts w:ascii="宋体" w:hAnsi="宋体"/>
      <w:sz w:val="18"/>
      <w:szCs w:val="18"/>
    </w:rPr>
  </w:style>
  <w:style w:type="paragraph" w:customStyle="1" w:styleId="987">
    <w:name w:val="Char Char Char Char2"/>
    <w:basedOn w:val="4"/>
    <w:qFormat/>
    <w:uiPriority w:val="0"/>
    <w:pPr>
      <w:widowControl w:val="0"/>
      <w:numPr>
        <w:ilvl w:val="0"/>
        <w:numId w:val="0"/>
      </w:numPr>
      <w:tabs>
        <w:tab w:val="left" w:pos="360"/>
        <w:tab w:val="left" w:pos="900"/>
        <w:tab w:val="clear" w:pos="816"/>
      </w:tabs>
      <w:adjustRightInd w:val="0"/>
      <w:snapToGrid w:val="0"/>
      <w:spacing w:before="120" w:beforeLines="0" w:after="120" w:afterLines="0" w:line="360" w:lineRule="auto"/>
      <w:ind w:left="542" w:leftChars="-12" w:firstLine="200" w:firstLineChars="200"/>
      <w:jc w:val="both"/>
    </w:pPr>
    <w:rPr>
      <w:rFonts w:eastAsia="黑体"/>
      <w:b w:val="0"/>
      <w:bCs w:val="0"/>
      <w:snapToGrid w:val="0"/>
      <w:sz w:val="24"/>
    </w:rPr>
  </w:style>
  <w:style w:type="paragraph" w:customStyle="1" w:styleId="988">
    <w:name w:val="l18"/>
    <w:basedOn w:val="1"/>
    <w:qFormat/>
    <w:uiPriority w:val="0"/>
    <w:pPr>
      <w:widowControl/>
      <w:spacing w:before="30" w:after="100" w:afterAutospacing="1" w:line="270" w:lineRule="atLeast"/>
      <w:ind w:left="90" w:firstLine="0" w:firstLineChars="0"/>
      <w:jc w:val="left"/>
    </w:pPr>
    <w:rPr>
      <w:rFonts w:ascii="宋体" w:hAnsi="宋体"/>
      <w:color w:val="000000"/>
      <w:kern w:val="0"/>
      <w:sz w:val="18"/>
      <w:szCs w:val="18"/>
    </w:rPr>
  </w:style>
  <w:style w:type="paragraph" w:customStyle="1" w:styleId="989">
    <w:name w:val="样式 正文1 Char Char + 字距调整七号 Char Char"/>
    <w:basedOn w:val="1"/>
    <w:qFormat/>
    <w:uiPriority w:val="0"/>
    <w:pPr>
      <w:suppressLineNumbers/>
      <w:suppressAutoHyphens/>
      <w:topLinePunct/>
      <w:adjustRightInd w:val="0"/>
      <w:snapToGrid w:val="0"/>
      <w:ind w:firstLine="480"/>
    </w:pPr>
    <w:rPr>
      <w:kern w:val="11"/>
    </w:rPr>
  </w:style>
  <w:style w:type="paragraph" w:customStyle="1" w:styleId="990">
    <w:name w:val="表X－X"/>
    <w:basedOn w:val="1"/>
    <w:qFormat/>
    <w:uiPriority w:val="0"/>
    <w:pPr>
      <w:spacing w:line="240" w:lineRule="auto"/>
      <w:ind w:firstLine="0" w:firstLineChars="0"/>
      <w:jc w:val="center"/>
    </w:pPr>
    <w:rPr>
      <w:rFonts w:ascii="黑体" w:hAnsi="华文仿宋" w:eastAsia="黑体"/>
      <w:sz w:val="28"/>
    </w:rPr>
  </w:style>
  <w:style w:type="paragraph" w:customStyle="1" w:styleId="991">
    <w:name w:val="Body Text First Indent1"/>
    <w:basedOn w:val="31"/>
    <w:qFormat/>
    <w:uiPriority w:val="0"/>
    <w:pPr>
      <w:adjustRightInd w:val="0"/>
      <w:spacing w:line="312" w:lineRule="atLeast"/>
      <w:ind w:firstLine="420" w:firstLineChars="0"/>
      <w:textAlignment w:val="baseline"/>
    </w:pPr>
    <w:rPr>
      <w:rFonts w:ascii="Times New Roman" w:hAnsi="Times New Roman"/>
      <w:kern w:val="0"/>
      <w:sz w:val="27"/>
      <w:szCs w:val="20"/>
      <w:lang w:val="en-US" w:eastAsia="zh-CN"/>
    </w:rPr>
  </w:style>
  <w:style w:type="paragraph" w:customStyle="1" w:styleId="992">
    <w:name w:val="表格文字1"/>
    <w:basedOn w:val="1"/>
    <w:semiHidden/>
    <w:qFormat/>
    <w:uiPriority w:val="0"/>
    <w:pPr>
      <w:tabs>
        <w:tab w:val="left" w:pos="0"/>
      </w:tabs>
      <w:autoSpaceDE w:val="0"/>
      <w:autoSpaceDN w:val="0"/>
      <w:adjustRightInd w:val="0"/>
      <w:spacing w:before="60" w:line="240" w:lineRule="auto"/>
      <w:ind w:left="57" w:right="57" w:firstLine="0" w:firstLineChars="0"/>
      <w:jc w:val="center"/>
      <w:textAlignment w:val="baseline"/>
    </w:pPr>
    <w:rPr>
      <w:rFonts w:ascii="宋体"/>
      <w:sz w:val="21"/>
      <w:szCs w:val="20"/>
    </w:rPr>
  </w:style>
  <w:style w:type="paragraph" w:customStyle="1" w:styleId="993">
    <w:name w:val="Numéro-8pts"/>
    <w:basedOn w:val="1"/>
    <w:qFormat/>
    <w:uiPriority w:val="0"/>
    <w:pPr>
      <w:keepLines/>
      <w:widowControl/>
      <w:tabs>
        <w:tab w:val="left" w:pos="0"/>
      </w:tabs>
      <w:spacing w:before="160" w:line="240" w:lineRule="auto"/>
      <w:ind w:left="1418" w:hanging="284" w:firstLineChars="0"/>
    </w:pPr>
    <w:rPr>
      <w:rFonts w:ascii="Arial" w:hAnsi="Arial"/>
      <w:spacing w:val="-2"/>
      <w:kern w:val="0"/>
      <w:sz w:val="20"/>
      <w:szCs w:val="20"/>
      <w:lang w:eastAsia="fr-FR"/>
    </w:rPr>
  </w:style>
  <w:style w:type="paragraph" w:customStyle="1" w:styleId="994">
    <w:name w:val="标题5"/>
    <w:basedOn w:val="5"/>
    <w:next w:val="1"/>
    <w:qFormat/>
    <w:uiPriority w:val="0"/>
    <w:pPr>
      <w:numPr>
        <w:ilvl w:val="0"/>
        <w:numId w:val="0"/>
      </w:numPr>
      <w:tabs>
        <w:tab w:val="left" w:pos="592"/>
        <w:tab w:val="clear" w:pos="864"/>
      </w:tabs>
      <w:adjustRightInd w:val="0"/>
      <w:snapToGrid w:val="0"/>
      <w:spacing w:before="280" w:after="290" w:line="240" w:lineRule="auto"/>
    </w:pPr>
    <w:rPr>
      <w:rFonts w:ascii="黑体" w:hAnsi="Arial" w:cs="Arial"/>
      <w:b w:val="0"/>
      <w:snapToGrid/>
      <w:kern w:val="44"/>
    </w:rPr>
  </w:style>
  <w:style w:type="paragraph" w:customStyle="1" w:styleId="995">
    <w:name w:val="1样式1"/>
    <w:basedOn w:val="2"/>
    <w:qFormat/>
    <w:uiPriority w:val="0"/>
    <w:pPr>
      <w:widowControl w:val="0"/>
      <w:numPr>
        <w:ilvl w:val="0"/>
        <w:numId w:val="0"/>
      </w:numPr>
      <w:tabs>
        <w:tab w:val="left" w:pos="360"/>
      </w:tabs>
      <w:snapToGrid w:val="0"/>
      <w:spacing w:before="120" w:beforeLines="0" w:after="60" w:afterLines="0" w:line="288" w:lineRule="auto"/>
      <w:ind w:left="1770" w:hanging="1770"/>
      <w:jc w:val="both"/>
      <w:textAlignment w:val="baseline"/>
    </w:pPr>
    <w:rPr>
      <w:bCs w:val="0"/>
      <w:snapToGrid/>
      <w:kern w:val="44"/>
      <w:szCs w:val="20"/>
    </w:rPr>
  </w:style>
  <w:style w:type="paragraph" w:customStyle="1" w:styleId="996">
    <w:name w:val="图文字"/>
    <w:basedOn w:val="1"/>
    <w:qFormat/>
    <w:uiPriority w:val="0"/>
    <w:pPr>
      <w:widowControl/>
      <w:topLinePunct/>
      <w:spacing w:line="280" w:lineRule="exact"/>
      <w:ind w:firstLine="0" w:firstLineChars="0"/>
      <w:jc w:val="center"/>
    </w:pPr>
    <w:rPr>
      <w:rFonts w:ascii="宋体" w:hAnsi="宋体"/>
    </w:rPr>
  </w:style>
  <w:style w:type="paragraph" w:customStyle="1" w:styleId="997">
    <w:name w:val="样式 目录 1 + 首行缩进:  2 字符"/>
    <w:basedOn w:val="54"/>
    <w:qFormat/>
    <w:uiPriority w:val="0"/>
    <w:pPr>
      <w:tabs>
        <w:tab w:val="right" w:leader="dot" w:pos="8720"/>
      </w:tabs>
      <w:spacing w:before="120" w:after="120" w:line="480" w:lineRule="exact"/>
      <w:jc w:val="left"/>
    </w:pPr>
    <w:rPr>
      <w:rFonts w:ascii="Comic Sans MS" w:hAnsi="Comic Sans MS" w:eastAsia="楷体_GB2312" w:cs="宋体"/>
      <w:b w:val="0"/>
      <w:bCs/>
      <w:caps/>
      <w:sz w:val="20"/>
      <w:szCs w:val="20"/>
    </w:rPr>
  </w:style>
  <w:style w:type="paragraph" w:customStyle="1" w:styleId="998">
    <w:name w:val="4"/>
    <w:basedOn w:val="1"/>
    <w:next w:val="65"/>
    <w:qFormat/>
    <w:uiPriority w:val="0"/>
    <w:pPr>
      <w:spacing w:after="80" w:line="480" w:lineRule="atLeast"/>
      <w:ind w:firstLine="560" w:firstLineChars="0"/>
    </w:pPr>
    <w:rPr>
      <w:szCs w:val="20"/>
    </w:rPr>
  </w:style>
  <w:style w:type="paragraph" w:customStyle="1" w:styleId="999">
    <w:name w:val="插图"/>
    <w:basedOn w:val="66"/>
    <w:next w:val="1"/>
    <w:qFormat/>
    <w:uiPriority w:val="0"/>
    <w:pPr>
      <w:widowControl/>
      <w:topLinePunct/>
      <w:spacing w:after="120" w:line="240" w:lineRule="auto"/>
      <w:ind w:leftChars="0" w:firstLine="0" w:firstLineChars="0"/>
      <w:jc w:val="center"/>
    </w:pPr>
    <w:rPr>
      <w:b/>
      <w:sz w:val="28"/>
      <w:szCs w:val="20"/>
    </w:rPr>
  </w:style>
  <w:style w:type="paragraph" w:customStyle="1" w:styleId="1000">
    <w:name w:val="君邦正文04"/>
    <w:basedOn w:val="1"/>
    <w:qFormat/>
    <w:uiPriority w:val="0"/>
    <w:pPr>
      <w:spacing w:after="60"/>
      <w:ind w:firstLine="480"/>
      <w:jc w:val="left"/>
    </w:pPr>
    <w:rPr>
      <w:rFonts w:eastAsia="Times New Roman"/>
      <w:kern w:val="0"/>
    </w:rPr>
  </w:style>
  <w:style w:type="paragraph" w:customStyle="1" w:styleId="1001">
    <w:name w:val="样式5"/>
    <w:basedOn w:val="142"/>
    <w:qFormat/>
    <w:uiPriority w:val="0"/>
    <w:pPr>
      <w:widowControl w:val="0"/>
      <w:tabs>
        <w:tab w:val="left" w:pos="432"/>
      </w:tabs>
      <w:adjustRightInd w:val="0"/>
      <w:spacing w:beforeLines="30" w:after="60" w:afterLines="30" w:line="360" w:lineRule="auto"/>
      <w:textAlignment w:val="baseline"/>
    </w:pPr>
    <w:rPr>
      <w:b/>
      <w:kern w:val="2"/>
      <w:szCs w:val="24"/>
    </w:rPr>
  </w:style>
  <w:style w:type="paragraph" w:customStyle="1" w:styleId="1002">
    <w:name w:val="表格（第一行）"/>
    <w:basedOn w:val="259"/>
    <w:next w:val="259"/>
    <w:qFormat/>
    <w:uiPriority w:val="0"/>
    <w:pPr>
      <w:widowControl/>
      <w:tabs>
        <w:tab w:val="left" w:pos="432"/>
      </w:tabs>
      <w:topLinePunct/>
      <w:autoSpaceDE/>
      <w:autoSpaceDN/>
      <w:adjustRightInd/>
      <w:spacing w:line="360" w:lineRule="exact"/>
    </w:pPr>
    <w:rPr>
      <w:rFonts w:ascii="Arial" w:hAnsi="Arial" w:eastAsia="宋体"/>
      <w:b/>
      <w:color w:val="000000"/>
      <w:kern w:val="2"/>
      <w:szCs w:val="18"/>
      <w:lang w:val="en-US" w:eastAsia="zh-CN"/>
    </w:rPr>
  </w:style>
  <w:style w:type="paragraph" w:customStyle="1" w:styleId="1003">
    <w:name w:val="表体"/>
    <w:basedOn w:val="1"/>
    <w:qFormat/>
    <w:uiPriority w:val="0"/>
    <w:pPr>
      <w:adjustRightInd w:val="0"/>
      <w:snapToGrid w:val="0"/>
      <w:spacing w:line="240" w:lineRule="atLeast"/>
      <w:ind w:firstLine="0" w:firstLineChars="0"/>
      <w:jc w:val="center"/>
    </w:pPr>
    <w:rPr>
      <w:rFonts w:ascii="仿宋_GB2312" w:eastAsia="仿宋_GB2312"/>
      <w:szCs w:val="20"/>
    </w:rPr>
  </w:style>
  <w:style w:type="paragraph" w:customStyle="1" w:styleId="1004">
    <w:name w:val="表字小五"/>
    <w:basedOn w:val="1"/>
    <w:qFormat/>
    <w:uiPriority w:val="0"/>
    <w:pPr>
      <w:autoSpaceDE w:val="0"/>
      <w:autoSpaceDN w:val="0"/>
      <w:adjustRightInd w:val="0"/>
      <w:snapToGrid w:val="0"/>
      <w:spacing w:beforeLines="10" w:afterLines="10" w:line="240" w:lineRule="auto"/>
      <w:ind w:firstLine="0" w:firstLineChars="0"/>
      <w:jc w:val="center"/>
      <w:textAlignment w:val="bottom"/>
    </w:pPr>
    <w:rPr>
      <w:kern w:val="0"/>
      <w:sz w:val="18"/>
      <w:szCs w:val="18"/>
    </w:rPr>
  </w:style>
  <w:style w:type="paragraph" w:customStyle="1" w:styleId="1005">
    <w:name w:val="xl76"/>
    <w:basedOn w:val="1"/>
    <w:semiHidden/>
    <w:qFormat/>
    <w:uiPriority w:val="0"/>
    <w:pPr>
      <w:widowControl/>
      <w:spacing w:before="100" w:after="100" w:line="240" w:lineRule="auto"/>
      <w:ind w:firstLine="0" w:firstLineChars="0"/>
      <w:jc w:val="center"/>
    </w:pPr>
    <w:rPr>
      <w:rFonts w:ascii="Arial" w:hAnsi="Arial"/>
      <w:kern w:val="0"/>
      <w:sz w:val="28"/>
      <w:szCs w:val="20"/>
    </w:rPr>
  </w:style>
  <w:style w:type="paragraph" w:customStyle="1" w:styleId="1006">
    <w:name w:val="题注1"/>
    <w:basedOn w:val="20"/>
    <w:semiHidden/>
    <w:qFormat/>
    <w:uiPriority w:val="0"/>
    <w:pPr>
      <w:keepNext/>
      <w:widowControl/>
      <w:tabs>
        <w:tab w:val="left" w:pos="1727"/>
        <w:tab w:val="left" w:pos="1884"/>
      </w:tabs>
      <w:spacing w:before="0" w:after="0" w:line="360" w:lineRule="auto"/>
    </w:pPr>
    <w:rPr>
      <w:rFonts w:ascii="Arial" w:hAnsi="Arial" w:eastAsia="黑体"/>
    </w:rPr>
  </w:style>
  <w:style w:type="paragraph" w:customStyle="1" w:styleId="1007">
    <w:name w:val="CM4"/>
    <w:basedOn w:val="1"/>
    <w:next w:val="1"/>
    <w:qFormat/>
    <w:uiPriority w:val="0"/>
    <w:pPr>
      <w:autoSpaceDE w:val="0"/>
      <w:autoSpaceDN w:val="0"/>
      <w:adjustRightInd w:val="0"/>
      <w:spacing w:line="480" w:lineRule="atLeast"/>
      <w:ind w:firstLine="0" w:firstLineChars="0"/>
      <w:jc w:val="left"/>
    </w:pPr>
    <w:rPr>
      <w:rFonts w:ascii="黑体" w:eastAsia="黑体"/>
      <w:kern w:val="0"/>
    </w:rPr>
  </w:style>
  <w:style w:type="paragraph" w:customStyle="1" w:styleId="1008">
    <w:name w:val="xl87"/>
    <w:basedOn w:val="1"/>
    <w:qFormat/>
    <w:uiPriority w:val="0"/>
    <w:pPr>
      <w:widowControl/>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009">
    <w:name w:val="Char Char1 Char1"/>
    <w:basedOn w:val="1"/>
    <w:qFormat/>
    <w:uiPriority w:val="0"/>
    <w:rPr>
      <w:rFonts w:ascii="宋体" w:hAnsi="宋体" w:cs="宋体"/>
    </w:rPr>
  </w:style>
  <w:style w:type="paragraph" w:customStyle="1" w:styleId="1010">
    <w:name w:val="样式 样式 正文1 + 首行缩进:  2 字符2 + 首行缩进:  2 字符"/>
    <w:basedOn w:val="1"/>
    <w:qFormat/>
    <w:uiPriority w:val="0"/>
    <w:pPr>
      <w:suppressLineNumbers/>
      <w:suppressAutoHyphens/>
      <w:adjustRightInd w:val="0"/>
      <w:snapToGrid w:val="0"/>
      <w:spacing w:beforeLines="10" w:afterLines="10"/>
      <w:ind w:firstLine="480"/>
    </w:pPr>
    <w:rPr>
      <w:color w:val="000000"/>
    </w:rPr>
  </w:style>
  <w:style w:type="paragraph" w:customStyle="1" w:styleId="1011">
    <w:name w:val="质报书正文"/>
    <w:basedOn w:val="1"/>
    <w:qFormat/>
    <w:uiPriority w:val="0"/>
    <w:pPr>
      <w:spacing w:line="240" w:lineRule="auto"/>
      <w:ind w:firstLine="0" w:firstLineChars="0"/>
    </w:pPr>
    <w:rPr>
      <w:kern w:val="0"/>
    </w:rPr>
  </w:style>
  <w:style w:type="paragraph" w:customStyle="1" w:styleId="1012">
    <w:name w:val="xl80"/>
    <w:basedOn w:val="1"/>
    <w:qFormat/>
    <w:uiPriority w:val="0"/>
    <w:pPr>
      <w:widowControl/>
      <w:spacing w:before="100" w:beforeAutospacing="1" w:after="100" w:afterAutospacing="1" w:line="240" w:lineRule="auto"/>
      <w:ind w:firstLine="0" w:firstLineChars="0"/>
      <w:jc w:val="left"/>
      <w:textAlignment w:val="center"/>
    </w:pPr>
    <w:rPr>
      <w:rFonts w:ascii="宋体" w:hAnsi="宋体" w:cs="宋体"/>
      <w:kern w:val="0"/>
      <w:sz w:val="18"/>
      <w:szCs w:val="18"/>
    </w:rPr>
  </w:style>
  <w:style w:type="paragraph" w:customStyle="1" w:styleId="1013">
    <w:name w:val="Char Char3 Char"/>
    <w:basedOn w:val="1"/>
    <w:qFormat/>
    <w:uiPriority w:val="0"/>
    <w:rPr>
      <w:rFonts w:ascii="宋体" w:hAnsi="宋体" w:cs="宋体"/>
    </w:rPr>
  </w:style>
  <w:style w:type="paragraph" w:customStyle="1" w:styleId="1014">
    <w:name w:val="首缩"/>
    <w:basedOn w:val="1"/>
    <w:qFormat/>
    <w:uiPriority w:val="0"/>
    <w:pPr>
      <w:adjustRightInd w:val="0"/>
      <w:snapToGrid w:val="0"/>
      <w:spacing w:line="500" w:lineRule="exact"/>
    </w:pPr>
    <w:rPr>
      <w:rFonts w:eastAsia="仿宋_GB2312"/>
      <w:snapToGrid w:val="0"/>
      <w:kern w:val="0"/>
      <w:sz w:val="28"/>
      <w:szCs w:val="20"/>
    </w:rPr>
  </w:style>
  <w:style w:type="paragraph" w:customStyle="1" w:styleId="1015">
    <w:name w:val="标题4 Char"/>
    <w:basedOn w:val="1"/>
    <w:next w:val="473"/>
    <w:semiHidden/>
    <w:qFormat/>
    <w:uiPriority w:val="0"/>
    <w:pPr>
      <w:tabs>
        <w:tab w:val="left" w:leader="dot" w:pos="0"/>
        <w:tab w:val="left" w:pos="720"/>
      </w:tabs>
      <w:spacing w:after="60"/>
      <w:ind w:left="720" w:hanging="720" w:firstLineChars="0"/>
      <w:outlineLvl w:val="3"/>
    </w:pPr>
    <w:rPr>
      <w:b/>
    </w:rPr>
  </w:style>
  <w:style w:type="paragraph" w:customStyle="1" w:styleId="1016">
    <w:name w:val="CM11"/>
    <w:basedOn w:val="1"/>
    <w:next w:val="1"/>
    <w:qFormat/>
    <w:uiPriority w:val="0"/>
    <w:pPr>
      <w:autoSpaceDE w:val="0"/>
      <w:autoSpaceDN w:val="0"/>
      <w:adjustRightInd w:val="0"/>
      <w:spacing w:line="480" w:lineRule="atLeast"/>
      <w:ind w:firstLine="0" w:firstLineChars="0"/>
      <w:jc w:val="left"/>
    </w:pPr>
    <w:rPr>
      <w:rFonts w:ascii="黑体" w:eastAsia="黑体"/>
      <w:kern w:val="0"/>
    </w:rPr>
  </w:style>
  <w:style w:type="paragraph" w:customStyle="1" w:styleId="1017">
    <w:name w:val="xl49"/>
    <w:basedOn w:val="1"/>
    <w:qFormat/>
    <w:uiPriority w:val="0"/>
    <w:pPr>
      <w:widowControl/>
      <w:pBdr>
        <w:top w:val="single" w:color="auto" w:sz="4" w:space="0"/>
        <w:left w:val="single" w:color="auto" w:sz="4" w:space="0"/>
      </w:pBdr>
      <w:spacing w:before="100" w:beforeAutospacing="1" w:after="100" w:afterAutospacing="1" w:line="240" w:lineRule="auto"/>
      <w:ind w:firstLine="0" w:firstLineChars="0"/>
      <w:jc w:val="left"/>
      <w:textAlignment w:val="center"/>
    </w:pPr>
    <w:rPr>
      <w:rFonts w:ascii="宋体" w:hAnsi="宋体"/>
      <w:i/>
      <w:iCs/>
      <w:kern w:val="0"/>
    </w:rPr>
  </w:style>
  <w:style w:type="paragraph" w:customStyle="1" w:styleId="1018">
    <w:name w:val="xl37"/>
    <w:basedOn w:val="1"/>
    <w:semiHidden/>
    <w:qFormat/>
    <w:uiPriority w:val="0"/>
    <w:pPr>
      <w:widowControl/>
      <w:pBdr>
        <w:bottom w:val="single" w:color="auto" w:sz="4" w:space="0"/>
      </w:pBdr>
      <w:spacing w:before="100" w:beforeAutospacing="1" w:after="100" w:afterAutospacing="1" w:line="240" w:lineRule="auto"/>
      <w:ind w:firstLine="0" w:firstLineChars="0"/>
      <w:jc w:val="center"/>
      <w:textAlignment w:val="center"/>
    </w:pPr>
    <w:rPr>
      <w:rFonts w:ascii="Arial Unicode MS" w:hAnsi="Arial Unicode MS" w:eastAsia="Arial Unicode MS"/>
      <w:kern w:val="0"/>
    </w:rPr>
  </w:style>
  <w:style w:type="paragraph" w:customStyle="1" w:styleId="1019">
    <w:name w:val="正文首行缩进1"/>
    <w:basedOn w:val="31"/>
    <w:qFormat/>
    <w:uiPriority w:val="0"/>
    <w:pPr>
      <w:adjustRightInd w:val="0"/>
      <w:spacing w:line="312" w:lineRule="atLeast"/>
      <w:ind w:firstLine="420" w:firstLineChars="0"/>
      <w:textAlignment w:val="baseline"/>
    </w:pPr>
    <w:rPr>
      <w:rFonts w:ascii="Times New Roman" w:hAnsi="Times New Roman"/>
      <w:kern w:val="0"/>
      <w:sz w:val="27"/>
      <w:szCs w:val="20"/>
      <w:lang w:val="en-US" w:eastAsia="zh-CN"/>
    </w:rPr>
  </w:style>
  <w:style w:type="paragraph" w:customStyle="1" w:styleId="1020">
    <w:name w:val="xl51"/>
    <w:basedOn w:val="1"/>
    <w:qFormat/>
    <w:uiPriority w:val="0"/>
    <w:pPr>
      <w:widowControl/>
      <w:pBdr>
        <w:left w:val="single" w:color="auto" w:sz="4" w:space="0"/>
      </w:pBdr>
      <w:spacing w:before="100" w:beforeAutospacing="1" w:after="100" w:afterAutospacing="1" w:line="240" w:lineRule="auto"/>
      <w:ind w:firstLine="0" w:firstLineChars="0"/>
      <w:jc w:val="left"/>
      <w:textAlignment w:val="center"/>
    </w:pPr>
    <w:rPr>
      <w:rFonts w:ascii="宋体" w:hAnsi="宋体"/>
      <w:i/>
      <w:iCs/>
      <w:kern w:val="0"/>
    </w:rPr>
  </w:style>
  <w:style w:type="paragraph" w:customStyle="1" w:styleId="1021">
    <w:name w:val="xl46"/>
    <w:basedOn w:val="1"/>
    <w:semiHidden/>
    <w:qFormat/>
    <w:uiPriority w:val="0"/>
    <w:pPr>
      <w:widowControl/>
      <w:pBdr>
        <w:left w:val="single" w:color="auto" w:sz="4" w:space="0"/>
      </w:pBdr>
      <w:spacing w:before="100" w:beforeAutospacing="1" w:after="100" w:afterAutospacing="1" w:line="240" w:lineRule="auto"/>
      <w:ind w:firstLine="0" w:firstLineChars="0"/>
      <w:jc w:val="left"/>
    </w:pPr>
    <w:rPr>
      <w:rFonts w:ascii="Arial Unicode MS" w:hAnsi="Arial Unicode MS" w:eastAsia="Arial Unicode MS" w:cs="Arial Unicode MS"/>
      <w:kern w:val="0"/>
    </w:rPr>
  </w:style>
  <w:style w:type="paragraph" w:customStyle="1" w:styleId="1022">
    <w:name w:val="表格头"/>
    <w:basedOn w:val="259"/>
    <w:qFormat/>
    <w:uiPriority w:val="0"/>
    <w:pPr>
      <w:tabs>
        <w:tab w:val="left" w:pos="432"/>
      </w:tabs>
      <w:autoSpaceDE/>
      <w:autoSpaceDN/>
      <w:adjustRightInd/>
      <w:spacing w:line="280" w:lineRule="exact"/>
      <w:ind w:left="-20" w:leftChars="-20" w:right="-20" w:rightChars="-20"/>
    </w:pPr>
    <w:rPr>
      <w:rFonts w:ascii="Arial" w:hAnsi="Arial" w:eastAsia="宋体"/>
      <w:kern w:val="2"/>
      <w:szCs w:val="21"/>
      <w:lang w:val="en-US" w:eastAsia="zh-CN"/>
    </w:rPr>
  </w:style>
  <w:style w:type="paragraph" w:customStyle="1" w:styleId="1023">
    <w:name w:val="CM94"/>
    <w:basedOn w:val="188"/>
    <w:next w:val="188"/>
    <w:qFormat/>
    <w:uiPriority w:val="0"/>
    <w:pPr>
      <w:spacing w:after="358"/>
    </w:pPr>
    <w:rPr>
      <w:rFonts w:ascii="楷体_GB2312" w:eastAsia="楷体_GB2312"/>
      <w:color w:val="auto"/>
    </w:rPr>
  </w:style>
  <w:style w:type="paragraph" w:customStyle="1" w:styleId="1024">
    <w:name w:val="Body Text 21"/>
    <w:basedOn w:val="1"/>
    <w:qFormat/>
    <w:uiPriority w:val="0"/>
    <w:pPr>
      <w:adjustRightInd w:val="0"/>
      <w:spacing w:line="240" w:lineRule="auto"/>
      <w:ind w:firstLine="0" w:firstLineChars="0"/>
      <w:textAlignment w:val="baseline"/>
    </w:pPr>
    <w:rPr>
      <w:szCs w:val="20"/>
    </w:rPr>
  </w:style>
  <w:style w:type="paragraph" w:customStyle="1" w:styleId="1025">
    <w:name w:val="环科院标题1"/>
    <w:basedOn w:val="2"/>
    <w:qFormat/>
    <w:uiPriority w:val="0"/>
    <w:pPr>
      <w:widowControl w:val="0"/>
      <w:numPr>
        <w:ilvl w:val="0"/>
        <w:numId w:val="0"/>
      </w:numPr>
      <w:tabs>
        <w:tab w:val="left" w:pos="425"/>
      </w:tabs>
      <w:spacing w:before="240" w:beforeLines="0" w:after="120" w:afterLines="0" w:line="240" w:lineRule="auto"/>
      <w:ind w:left="425" w:hanging="425"/>
      <w:jc w:val="both"/>
    </w:pPr>
    <w:rPr>
      <w:rFonts w:eastAsia="华文中宋"/>
      <w:snapToGrid/>
      <w:kern w:val="44"/>
      <w:sz w:val="44"/>
      <w:szCs w:val="44"/>
    </w:rPr>
  </w:style>
  <w:style w:type="paragraph" w:customStyle="1" w:styleId="1026">
    <w:name w:val="xl73"/>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027">
    <w:name w:val="style15"/>
    <w:basedOn w:val="1"/>
    <w:qFormat/>
    <w:uiPriority w:val="0"/>
    <w:pPr>
      <w:widowControl/>
      <w:spacing w:before="100" w:beforeAutospacing="1" w:after="100" w:afterAutospacing="1" w:line="240" w:lineRule="auto"/>
      <w:ind w:firstLine="0" w:firstLineChars="0"/>
      <w:jc w:val="left"/>
    </w:pPr>
    <w:rPr>
      <w:rFonts w:ascii="Arial Unicode MS" w:hAnsi="Arial Unicode MS" w:eastAsia="Arial Unicode MS" w:cs="Arial Unicode MS"/>
      <w:kern w:val="0"/>
    </w:rPr>
  </w:style>
  <w:style w:type="paragraph" w:customStyle="1" w:styleId="1028">
    <w:name w:val="ST20_1"/>
    <w:basedOn w:val="1"/>
    <w:qFormat/>
    <w:uiPriority w:val="0"/>
    <w:pPr>
      <w:autoSpaceDE w:val="0"/>
      <w:autoSpaceDN w:val="0"/>
      <w:adjustRightInd w:val="0"/>
      <w:spacing w:line="312" w:lineRule="atLeast"/>
      <w:ind w:firstLine="0" w:firstLineChars="0"/>
      <w:jc w:val="center"/>
      <w:textAlignment w:val="baseline"/>
    </w:pPr>
    <w:rPr>
      <w:rFonts w:ascii="宋体" w:hAnsi="Tms Rmn"/>
      <w:kern w:val="0"/>
      <w:szCs w:val="20"/>
    </w:rPr>
  </w:style>
  <w:style w:type="paragraph" w:customStyle="1" w:styleId="1029">
    <w:name w:val="样式 表内格式 + 黑色 两端对齐"/>
    <w:basedOn w:val="417"/>
    <w:qFormat/>
    <w:uiPriority w:val="0"/>
    <w:pPr>
      <w:jc w:val="both"/>
    </w:pPr>
    <w:rPr>
      <w:rFonts w:cs="宋体"/>
      <w:color w:val="000000"/>
    </w:rPr>
  </w:style>
  <w:style w:type="paragraph" w:customStyle="1" w:styleId="1030">
    <w:name w:val="样式 左侧:  0.85 厘米 首行缩进:  2 字符"/>
    <w:basedOn w:val="1"/>
    <w:qFormat/>
    <w:uiPriority w:val="0"/>
    <w:pPr>
      <w:spacing w:line="480" w:lineRule="exact"/>
    </w:pPr>
    <w:rPr>
      <w:rFonts w:cs="宋体"/>
      <w:szCs w:val="20"/>
    </w:rPr>
  </w:style>
  <w:style w:type="paragraph" w:customStyle="1" w:styleId="1031">
    <w:name w:val="C"/>
    <w:basedOn w:val="4"/>
    <w:qFormat/>
    <w:uiPriority w:val="0"/>
    <w:pPr>
      <w:widowControl w:val="0"/>
      <w:numPr>
        <w:ilvl w:val="0"/>
        <w:numId w:val="0"/>
      </w:numPr>
      <w:tabs>
        <w:tab w:val="left" w:pos="3752"/>
        <w:tab w:val="clear" w:pos="816"/>
      </w:tabs>
      <w:spacing w:before="120" w:beforeLines="0" w:after="120" w:afterLines="0" w:line="360" w:lineRule="auto"/>
      <w:jc w:val="both"/>
    </w:pPr>
    <w:rPr>
      <w:rFonts w:ascii="Arial" w:hAnsi="Arial" w:eastAsia="黑体"/>
      <w:color w:val="000000"/>
      <w:szCs w:val="28"/>
    </w:rPr>
  </w:style>
  <w:style w:type="paragraph" w:customStyle="1" w:styleId="1032">
    <w:name w:val="表格（小）"/>
    <w:basedOn w:val="1"/>
    <w:qFormat/>
    <w:uiPriority w:val="0"/>
    <w:pPr>
      <w:adjustRightInd w:val="0"/>
      <w:snapToGrid w:val="0"/>
      <w:spacing w:line="240" w:lineRule="auto"/>
      <w:ind w:firstLine="0" w:firstLineChars="0"/>
    </w:pPr>
    <w:rPr>
      <w:snapToGrid w:val="0"/>
      <w:kern w:val="0"/>
      <w:sz w:val="21"/>
      <w:szCs w:val="20"/>
    </w:rPr>
  </w:style>
  <w:style w:type="paragraph" w:customStyle="1" w:styleId="1033">
    <w:name w:val="样式 正文1 Char Char + 字距调整七号 Char1 Char"/>
    <w:basedOn w:val="1"/>
    <w:qFormat/>
    <w:uiPriority w:val="0"/>
    <w:pPr>
      <w:suppressLineNumbers/>
      <w:suppressAutoHyphens/>
      <w:topLinePunct/>
      <w:adjustRightInd w:val="0"/>
      <w:snapToGrid w:val="0"/>
      <w:ind w:firstLine="480"/>
    </w:pPr>
    <w:rPr>
      <w:kern w:val="11"/>
    </w:rPr>
  </w:style>
  <w:style w:type="paragraph" w:customStyle="1" w:styleId="1034">
    <w:name w:val="Char5"/>
    <w:basedOn w:val="1"/>
    <w:qFormat/>
    <w:uiPriority w:val="0"/>
    <w:pPr>
      <w:ind w:firstLine="0" w:firstLineChars="0"/>
      <w:jc w:val="left"/>
    </w:pPr>
    <w:rPr>
      <w:rFonts w:ascii="宋体" w:hAnsi="宋体" w:cs="宋体"/>
    </w:rPr>
  </w:style>
  <w:style w:type="paragraph" w:customStyle="1" w:styleId="1035">
    <w:name w:val="样式 标题 3Sottoparagrafo + 段前: 0.5 行"/>
    <w:basedOn w:val="4"/>
    <w:qFormat/>
    <w:uiPriority w:val="0"/>
    <w:pPr>
      <w:keepNext w:val="0"/>
      <w:keepLines w:val="0"/>
      <w:widowControl w:val="0"/>
      <w:numPr>
        <w:ilvl w:val="0"/>
        <w:numId w:val="0"/>
      </w:numPr>
      <w:tabs>
        <w:tab w:val="left" w:pos="1260"/>
        <w:tab w:val="clear" w:pos="816"/>
      </w:tabs>
      <w:adjustRightInd w:val="0"/>
      <w:snapToGrid w:val="0"/>
      <w:spacing w:before="0" w:beforeLines="0" w:after="0" w:afterLines="0" w:line="360" w:lineRule="auto"/>
      <w:ind w:left="1260" w:hanging="420" w:firstLineChars="200"/>
      <w:jc w:val="both"/>
    </w:pPr>
    <w:rPr>
      <w:rFonts w:eastAsia="黑体" w:cs="宋体"/>
      <w:b w:val="0"/>
      <w:bCs w:val="0"/>
      <w:szCs w:val="20"/>
    </w:rPr>
  </w:style>
  <w:style w:type="paragraph" w:customStyle="1" w:styleId="1036">
    <w:name w:val="列表名称 Char"/>
    <w:basedOn w:val="1"/>
    <w:qFormat/>
    <w:uiPriority w:val="0"/>
    <w:pPr>
      <w:tabs>
        <w:tab w:val="left" w:pos="3777"/>
        <w:tab w:val="left" w:pos="5106"/>
        <w:tab w:val="left" w:pos="6313"/>
        <w:tab w:val="left" w:pos="7998"/>
        <w:tab w:val="left" w:pos="9238"/>
      </w:tabs>
      <w:spacing w:line="480" w:lineRule="exact"/>
      <w:ind w:firstLine="0" w:firstLineChars="0"/>
      <w:jc w:val="center"/>
    </w:pPr>
    <w:rPr>
      <w:rFonts w:eastAsia="黑体"/>
      <w:bCs/>
    </w:rPr>
  </w:style>
  <w:style w:type="paragraph" w:customStyle="1" w:styleId="1037">
    <w:name w:val="正文1 Char Char Char Char1"/>
    <w:basedOn w:val="1"/>
    <w:qFormat/>
    <w:uiPriority w:val="0"/>
    <w:pPr>
      <w:suppressLineNumbers/>
      <w:suppressAutoHyphens/>
      <w:topLinePunct/>
      <w:adjustRightInd w:val="0"/>
      <w:snapToGrid w:val="0"/>
      <w:ind w:firstLine="480"/>
    </w:pPr>
  </w:style>
  <w:style w:type="paragraph" w:customStyle="1" w:styleId="1038">
    <w:name w:val="Lettre-8pts"/>
    <w:basedOn w:val="1"/>
    <w:qFormat/>
    <w:uiPriority w:val="0"/>
    <w:pPr>
      <w:keepLines/>
      <w:widowControl/>
      <w:tabs>
        <w:tab w:val="left" w:pos="1280"/>
      </w:tabs>
      <w:spacing w:before="160" w:line="240" w:lineRule="auto"/>
      <w:ind w:left="1280" w:hanging="720" w:firstLineChars="0"/>
    </w:pPr>
    <w:rPr>
      <w:rFonts w:ascii="Arial" w:hAnsi="Arial"/>
      <w:kern w:val="0"/>
      <w:sz w:val="20"/>
      <w:szCs w:val="20"/>
      <w:lang w:eastAsia="fr-FR"/>
    </w:rPr>
  </w:style>
  <w:style w:type="paragraph" w:customStyle="1" w:styleId="1039">
    <w:name w:val="Puce1-8 pts"/>
    <w:basedOn w:val="1040"/>
    <w:qFormat/>
    <w:uiPriority w:val="0"/>
    <w:pPr>
      <w:keepLines/>
      <w:tabs>
        <w:tab w:val="left" w:pos="0"/>
        <w:tab w:val="left" w:pos="851"/>
        <w:tab w:val="left" w:pos="1560"/>
      </w:tabs>
      <w:spacing w:before="160"/>
      <w:ind w:left="851" w:hanging="851"/>
    </w:pPr>
    <w:rPr>
      <w:lang w:eastAsia="zh-CN"/>
    </w:rPr>
  </w:style>
  <w:style w:type="paragraph" w:customStyle="1" w:styleId="1040">
    <w:name w:val="puce1-3pts"/>
    <w:basedOn w:val="1"/>
    <w:qFormat/>
    <w:uiPriority w:val="0"/>
    <w:pPr>
      <w:widowControl/>
      <w:tabs>
        <w:tab w:val="left" w:pos="0"/>
        <w:tab w:val="left" w:pos="1560"/>
      </w:tabs>
      <w:spacing w:before="60" w:line="240" w:lineRule="auto"/>
      <w:ind w:left="1559" w:hanging="425" w:firstLineChars="0"/>
    </w:pPr>
    <w:rPr>
      <w:rFonts w:ascii="Arial" w:hAnsi="Arial" w:eastAsia="MS Mincho"/>
      <w:kern w:val="0"/>
      <w:sz w:val="20"/>
      <w:szCs w:val="20"/>
      <w:lang w:eastAsia="fr-FR"/>
    </w:rPr>
  </w:style>
  <w:style w:type="paragraph" w:customStyle="1" w:styleId="1041">
    <w:name w:val="Puce2-3pts"/>
    <w:basedOn w:val="1"/>
    <w:qFormat/>
    <w:uiPriority w:val="0"/>
    <w:pPr>
      <w:keepLines/>
      <w:widowControl/>
      <w:tabs>
        <w:tab w:val="left" w:pos="1200"/>
        <w:tab w:val="left" w:pos="1843"/>
      </w:tabs>
      <w:spacing w:before="60" w:line="240" w:lineRule="auto"/>
      <w:ind w:left="1843" w:hanging="720" w:firstLineChars="0"/>
    </w:pPr>
    <w:rPr>
      <w:rFonts w:ascii="Arial" w:hAnsi="Arial" w:eastAsia="MS Mincho"/>
      <w:kern w:val="0"/>
      <w:sz w:val="20"/>
      <w:szCs w:val="20"/>
      <w:lang w:eastAsia="fr-FR"/>
    </w:rPr>
  </w:style>
  <w:style w:type="paragraph" w:customStyle="1" w:styleId="1042">
    <w:name w:val="样式 标题 1 + 首行缩进:  0 厘米 段前: 6 磅 段后: 12 磅 行距: 最小值 28 磅"/>
    <w:basedOn w:val="2"/>
    <w:qFormat/>
    <w:uiPriority w:val="0"/>
    <w:pPr>
      <w:pageBreakBefore/>
      <w:numPr>
        <w:ilvl w:val="0"/>
        <w:numId w:val="0"/>
      </w:numPr>
      <w:tabs>
        <w:tab w:val="left" w:pos="1800"/>
      </w:tabs>
      <w:spacing w:before="240" w:beforeLines="200" w:after="624" w:afterLines="0" w:line="560" w:lineRule="exact"/>
      <w:jc w:val="center"/>
    </w:pPr>
    <w:rPr>
      <w:rFonts w:ascii="黑体" w:eastAsia="黑体" w:cs="宋体"/>
      <w:b w:val="0"/>
      <w:snapToGrid/>
      <w:color w:val="000000"/>
      <w:kern w:val="44"/>
      <w:szCs w:val="32"/>
      <w:u w:val="none" w:color="000000"/>
    </w:rPr>
  </w:style>
  <w:style w:type="paragraph" w:customStyle="1" w:styleId="1043">
    <w:name w:val="正文1 Char Char2 Char"/>
    <w:basedOn w:val="1"/>
    <w:qFormat/>
    <w:uiPriority w:val="0"/>
    <w:pPr>
      <w:adjustRightInd w:val="0"/>
      <w:snapToGrid w:val="0"/>
      <w:spacing w:line="516" w:lineRule="exact"/>
    </w:pPr>
    <w:rPr>
      <w:rFonts w:eastAsia="仿宋_GB2312"/>
      <w:sz w:val="26"/>
      <w:szCs w:val="26"/>
    </w:rPr>
  </w:style>
  <w:style w:type="paragraph" w:customStyle="1" w:styleId="1044">
    <w:name w:val="标题3 Char Char Char Char Char Char1 Char"/>
    <w:basedOn w:val="1"/>
    <w:qFormat/>
    <w:uiPriority w:val="0"/>
    <w:pPr>
      <w:spacing w:afterLines="50" w:line="560" w:lineRule="exact"/>
      <w:ind w:firstLine="0" w:firstLineChars="0"/>
    </w:pPr>
    <w:rPr>
      <w:rFonts w:eastAsia="黑体"/>
      <w:sz w:val="30"/>
      <w:szCs w:val="30"/>
    </w:rPr>
  </w:style>
  <w:style w:type="paragraph" w:customStyle="1" w:styleId="1045">
    <w:name w:val="样式 表名1 + 段前: 0.3 行2"/>
    <w:basedOn w:val="1"/>
    <w:qFormat/>
    <w:uiPriority w:val="0"/>
    <w:pPr>
      <w:adjustRightInd w:val="0"/>
      <w:snapToGrid w:val="0"/>
      <w:spacing w:beforeLines="30" w:afterLines="20" w:line="240" w:lineRule="auto"/>
      <w:ind w:firstLine="0" w:firstLineChars="0"/>
      <w:jc w:val="center"/>
    </w:pPr>
    <w:rPr>
      <w:rFonts w:eastAsia="黑体" w:cs="宋体"/>
      <w:color w:val="000000"/>
      <w:szCs w:val="20"/>
    </w:rPr>
  </w:style>
  <w:style w:type="paragraph" w:customStyle="1" w:styleId="1046">
    <w:name w:val="标题3 Char Char Char"/>
    <w:basedOn w:val="1"/>
    <w:qFormat/>
    <w:uiPriority w:val="0"/>
    <w:pPr>
      <w:spacing w:afterLines="50" w:line="560" w:lineRule="exact"/>
      <w:ind w:firstLine="0" w:firstLineChars="0"/>
    </w:pPr>
    <w:rPr>
      <w:rFonts w:eastAsia="黑体"/>
      <w:sz w:val="30"/>
      <w:szCs w:val="30"/>
    </w:rPr>
  </w:style>
  <w:style w:type="paragraph" w:customStyle="1" w:styleId="1047">
    <w:name w:val="正文改动"/>
    <w:basedOn w:val="1"/>
    <w:qFormat/>
    <w:uiPriority w:val="0"/>
    <w:pPr>
      <w:spacing w:line="240" w:lineRule="auto"/>
      <w:ind w:firstLine="0" w:firstLineChars="0"/>
    </w:pPr>
    <w:rPr>
      <w:color w:val="0000FF"/>
      <w:sz w:val="21"/>
    </w:rPr>
  </w:style>
  <w:style w:type="paragraph" w:customStyle="1" w:styleId="1048">
    <w:name w:val="标题3 Char Char Char Char Char Char1 Char Char Char"/>
    <w:basedOn w:val="1"/>
    <w:qFormat/>
    <w:uiPriority w:val="0"/>
    <w:pPr>
      <w:spacing w:afterLines="50" w:line="560" w:lineRule="exact"/>
      <w:ind w:firstLine="0" w:firstLineChars="0"/>
    </w:pPr>
    <w:rPr>
      <w:rFonts w:eastAsia="黑体"/>
      <w:sz w:val="30"/>
      <w:szCs w:val="30"/>
    </w:rPr>
  </w:style>
  <w:style w:type="paragraph" w:customStyle="1" w:styleId="1049">
    <w:name w:val="8"/>
    <w:basedOn w:val="1"/>
    <w:qFormat/>
    <w:uiPriority w:val="0"/>
    <w:pPr>
      <w:ind w:firstLine="480"/>
    </w:pPr>
    <w:rPr>
      <w:kern w:val="10"/>
    </w:rPr>
  </w:style>
  <w:style w:type="paragraph" w:customStyle="1" w:styleId="1050">
    <w:name w:val="公式"/>
    <w:basedOn w:val="1"/>
    <w:qFormat/>
    <w:uiPriority w:val="0"/>
    <w:pPr>
      <w:numPr>
        <w:ilvl w:val="0"/>
        <w:numId w:val="7"/>
      </w:numPr>
      <w:tabs>
        <w:tab w:val="clear" w:pos="720"/>
      </w:tabs>
      <w:ind w:firstLine="482" w:firstLineChars="0"/>
      <w:jc w:val="center"/>
    </w:pPr>
    <w:rPr>
      <w:rFonts w:ascii="Arial" w:cs="Arial"/>
    </w:rPr>
  </w:style>
  <w:style w:type="paragraph" w:customStyle="1" w:styleId="1051">
    <w:name w:val="样式 标题 3小标题标题 3 Char头小节标题 + 段前: 12 磅 段后: 18 磅 行距: 固定值 25 磅"/>
    <w:basedOn w:val="4"/>
    <w:qFormat/>
    <w:uiPriority w:val="0"/>
    <w:pPr>
      <w:widowControl w:val="0"/>
      <w:numPr>
        <w:ilvl w:val="2"/>
        <w:numId w:val="0"/>
      </w:numPr>
      <w:tabs>
        <w:tab w:val="clear" w:pos="816"/>
      </w:tabs>
      <w:spacing w:before="120" w:beforeLines="0" w:after="120" w:afterLines="0" w:line="440" w:lineRule="exact"/>
      <w:jc w:val="both"/>
    </w:pPr>
    <w:rPr>
      <w:rFonts w:ascii="Arial" w:eastAsia="黑体" w:cs="宋体"/>
      <w:sz w:val="24"/>
      <w:szCs w:val="20"/>
    </w:rPr>
  </w:style>
  <w:style w:type="paragraph" w:customStyle="1" w:styleId="1052">
    <w:name w:val="样式 表格 + 左侧:  0.85 厘米"/>
    <w:basedOn w:val="259"/>
    <w:qFormat/>
    <w:uiPriority w:val="0"/>
    <w:pPr>
      <w:tabs>
        <w:tab w:val="left" w:pos="432"/>
      </w:tabs>
      <w:autoSpaceDE/>
      <w:autoSpaceDN/>
      <w:adjustRightInd/>
      <w:jc w:val="both"/>
    </w:pPr>
    <w:rPr>
      <w:rFonts w:ascii="宋体" w:hAnsi="宋体" w:eastAsia="宋体" w:cs="宋体"/>
      <w:color w:val="000000"/>
      <w:kern w:val="2"/>
      <w:sz w:val="18"/>
      <w:lang w:val="en-US" w:eastAsia="zh-CN"/>
    </w:rPr>
  </w:style>
  <w:style w:type="paragraph" w:customStyle="1" w:styleId="1053">
    <w:name w:val="样式 表格1 + 左侧:  0.85 厘米"/>
    <w:basedOn w:val="332"/>
    <w:qFormat/>
    <w:uiPriority w:val="0"/>
    <w:pPr>
      <w:adjustRightInd w:val="0"/>
      <w:snapToGrid w:val="0"/>
      <w:jc w:val="center"/>
    </w:pPr>
    <w:rPr>
      <w:rFonts w:ascii="宋体" w:hAnsi="宋体" w:cs="宋体"/>
      <w:color w:val="000000"/>
      <w:sz w:val="18"/>
      <w:szCs w:val="20"/>
    </w:rPr>
  </w:style>
  <w:style w:type="paragraph" w:customStyle="1" w:styleId="1054">
    <w:name w:val="样式 表格 + 段后: 6 磅3"/>
    <w:basedOn w:val="259"/>
    <w:qFormat/>
    <w:uiPriority w:val="0"/>
    <w:pPr>
      <w:tabs>
        <w:tab w:val="left" w:pos="432"/>
      </w:tabs>
      <w:autoSpaceDE/>
      <w:autoSpaceDN/>
      <w:adjustRightInd/>
      <w:jc w:val="both"/>
    </w:pPr>
    <w:rPr>
      <w:rFonts w:ascii="宋体" w:hAnsi="宋体" w:eastAsia="宋体" w:cs="宋体"/>
      <w:color w:val="000000"/>
      <w:kern w:val="2"/>
      <w:sz w:val="18"/>
      <w:lang w:val="en-US" w:eastAsia="zh-CN"/>
    </w:rPr>
  </w:style>
  <w:style w:type="paragraph" w:customStyle="1" w:styleId="1055">
    <w:name w:val="Body Text Indent 21"/>
    <w:basedOn w:val="1"/>
    <w:qFormat/>
    <w:uiPriority w:val="0"/>
    <w:pPr>
      <w:adjustRightInd w:val="0"/>
      <w:ind w:firstLine="480" w:firstLineChars="0"/>
      <w:textAlignment w:val="baseline"/>
    </w:pPr>
    <w:rPr>
      <w:rFonts w:ascii="宋体"/>
      <w:kern w:val="0"/>
      <w:szCs w:val="20"/>
    </w:rPr>
  </w:style>
  <w:style w:type="paragraph" w:customStyle="1" w:styleId="1056">
    <w:name w:val="A"/>
    <w:basedOn w:val="2"/>
    <w:qFormat/>
    <w:uiPriority w:val="0"/>
    <w:pPr>
      <w:widowControl w:val="0"/>
      <w:numPr>
        <w:ilvl w:val="0"/>
        <w:numId w:val="0"/>
      </w:numPr>
      <w:tabs>
        <w:tab w:val="left" w:pos="3752"/>
      </w:tabs>
      <w:spacing w:before="340" w:beforeLines="0" w:after="330" w:afterLines="0" w:line="578" w:lineRule="auto"/>
      <w:jc w:val="center"/>
    </w:pPr>
    <w:rPr>
      <w:rFonts w:eastAsia="黑体"/>
      <w:snapToGrid/>
      <w:color w:val="000000"/>
      <w:kern w:val="44"/>
      <w:sz w:val="44"/>
      <w:szCs w:val="44"/>
    </w:rPr>
  </w:style>
  <w:style w:type="paragraph" w:customStyle="1" w:styleId="1057">
    <w:name w:val="xl537"/>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058">
    <w:name w:val="B"/>
    <w:basedOn w:val="3"/>
    <w:qFormat/>
    <w:uiPriority w:val="0"/>
    <w:pPr>
      <w:widowControl w:val="0"/>
      <w:numPr>
        <w:ilvl w:val="0"/>
        <w:numId w:val="0"/>
      </w:numPr>
      <w:tabs>
        <w:tab w:val="left" w:pos="567"/>
        <w:tab w:val="left" w:pos="3752"/>
        <w:tab w:val="clear" w:pos="720"/>
      </w:tabs>
      <w:spacing w:before="260" w:beforeLines="0" w:after="260" w:afterLines="0" w:line="415" w:lineRule="auto"/>
    </w:pPr>
    <w:rPr>
      <w:rFonts w:ascii="Arial" w:hAnsi="Arial" w:eastAsia="黑体"/>
      <w:snapToGrid/>
      <w:color w:val="000000"/>
      <w:kern w:val="2"/>
      <w:sz w:val="32"/>
    </w:rPr>
  </w:style>
  <w:style w:type="paragraph" w:customStyle="1" w:styleId="1059">
    <w:name w:val="D"/>
    <w:basedOn w:val="5"/>
    <w:qFormat/>
    <w:uiPriority w:val="0"/>
    <w:pPr>
      <w:widowControl w:val="0"/>
      <w:numPr>
        <w:ilvl w:val="0"/>
        <w:numId w:val="0"/>
      </w:numPr>
      <w:tabs>
        <w:tab w:val="clear" w:pos="864"/>
      </w:tabs>
      <w:spacing w:before="120" w:after="120"/>
      <w:jc w:val="both"/>
    </w:pPr>
    <w:rPr>
      <w:rFonts w:ascii="Arial" w:hAnsi="Arial" w:eastAsia="宋体"/>
      <w:snapToGrid/>
      <w:color w:val="000000"/>
      <w:kern w:val="2"/>
    </w:rPr>
  </w:style>
  <w:style w:type="paragraph" w:customStyle="1" w:styleId="1060">
    <w:name w:val="xl5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061">
    <w:name w:val="E"/>
    <w:basedOn w:val="6"/>
    <w:qFormat/>
    <w:uiPriority w:val="0"/>
    <w:pPr>
      <w:tabs>
        <w:tab w:val="clear" w:pos="700"/>
      </w:tabs>
      <w:autoSpaceDE/>
      <w:autoSpaceDN/>
      <w:ind w:left="0"/>
      <w:jc w:val="both"/>
    </w:pPr>
    <w:rPr>
      <w:rFonts w:ascii="Arial" w:hAnsi="Arial"/>
      <w:b w:val="0"/>
      <w:bCs w:val="0"/>
      <w:color w:val="000000"/>
    </w:rPr>
  </w:style>
  <w:style w:type="paragraph" w:customStyle="1" w:styleId="1062">
    <w:name w:val="Standardeinz"/>
    <w:basedOn w:val="1"/>
    <w:next w:val="65"/>
    <w:qFormat/>
    <w:uiPriority w:val="0"/>
    <w:pPr>
      <w:numPr>
        <w:ilvl w:val="5"/>
        <w:numId w:val="8"/>
      </w:numPr>
      <w:tabs>
        <w:tab w:val="clear" w:pos="1134"/>
      </w:tabs>
      <w:spacing w:line="460" w:lineRule="exact"/>
      <w:ind w:left="1079" w:leftChars="514" w:firstLine="541" w:firstLineChars="0"/>
    </w:pPr>
    <w:rPr>
      <w:rFonts w:ascii="宋体" w:hAnsi="宋体"/>
    </w:rPr>
  </w:style>
  <w:style w:type="paragraph" w:customStyle="1" w:styleId="1063">
    <w:name w:val="xl5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064">
    <w:name w:val="Char Char Char Char Char Char1 Char Char Char Char"/>
    <w:basedOn w:val="1"/>
    <w:qFormat/>
    <w:uiPriority w:val="0"/>
    <w:pPr>
      <w:spacing w:line="240" w:lineRule="auto"/>
      <w:ind w:firstLine="0" w:firstLineChars="0"/>
    </w:pPr>
    <w:rPr>
      <w:rFonts w:ascii="Tahoma" w:hAnsi="Tahoma"/>
      <w:szCs w:val="20"/>
    </w:rPr>
  </w:style>
  <w:style w:type="paragraph" w:customStyle="1" w:styleId="1065">
    <w:name w:val="样式 正文首行缩进 + 首行缩进:  1 字符"/>
    <w:basedOn w:val="78"/>
    <w:qFormat/>
    <w:uiPriority w:val="0"/>
    <w:pPr>
      <w:snapToGrid w:val="0"/>
      <w:spacing w:line="240" w:lineRule="auto"/>
      <w:ind w:firstLine="100"/>
      <w:contextualSpacing/>
    </w:pPr>
    <w:rPr>
      <w:rFonts w:cs="宋体"/>
      <w:sz w:val="32"/>
      <w:szCs w:val="20"/>
      <w:lang w:val="en-US" w:eastAsia="zh-CN"/>
    </w:rPr>
  </w:style>
  <w:style w:type="paragraph" w:customStyle="1" w:styleId="1066">
    <w:name w:val="环科 所正文"/>
    <w:basedOn w:val="1"/>
    <w:qFormat/>
    <w:uiPriority w:val="0"/>
    <w:rPr>
      <w:rFonts w:ascii="宋体" w:hAnsi="宋体" w:eastAsia="仿宋_GB2312" w:cs="宋体"/>
    </w:rPr>
  </w:style>
  <w:style w:type="paragraph" w:customStyle="1" w:styleId="1067">
    <w:name w:val="xl546"/>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068">
    <w:name w:val="xl538"/>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069">
    <w:name w:val="样式 标题 2 + 两端对齐"/>
    <w:basedOn w:val="3"/>
    <w:qFormat/>
    <w:uiPriority w:val="0"/>
    <w:pPr>
      <w:keepNext w:val="0"/>
      <w:keepLines w:val="0"/>
      <w:widowControl w:val="0"/>
      <w:numPr>
        <w:ilvl w:val="0"/>
        <w:numId w:val="0"/>
      </w:numPr>
      <w:tabs>
        <w:tab w:val="clear" w:pos="720"/>
      </w:tabs>
      <w:spacing w:beforeLines="0" w:afterLines="0" w:line="360" w:lineRule="auto"/>
      <w:ind w:left="846" w:hanging="846"/>
      <w:jc w:val="both"/>
    </w:pPr>
    <w:rPr>
      <w:rFonts w:cs="宋体"/>
      <w:snapToGrid/>
      <w:kern w:val="2"/>
      <w:szCs w:val="20"/>
    </w:rPr>
  </w:style>
  <w:style w:type="paragraph" w:customStyle="1" w:styleId="1070">
    <w:name w:val="Char11"/>
    <w:basedOn w:val="1"/>
    <w:semiHidden/>
    <w:qFormat/>
    <w:uiPriority w:val="0"/>
    <w:pPr>
      <w:spacing w:line="240" w:lineRule="auto"/>
      <w:ind w:firstLine="0" w:firstLineChars="0"/>
    </w:pPr>
  </w:style>
  <w:style w:type="paragraph" w:customStyle="1" w:styleId="1071">
    <w:name w:val="表前文"/>
    <w:basedOn w:val="1"/>
    <w:qFormat/>
    <w:uiPriority w:val="0"/>
    <w:pPr>
      <w:tabs>
        <w:tab w:val="left" w:pos="780"/>
      </w:tabs>
      <w:adjustRightInd w:val="0"/>
      <w:spacing w:after="120" w:line="312" w:lineRule="atLeast"/>
      <w:ind w:left="780" w:firstLine="0" w:firstLineChars="0"/>
      <w:textAlignment w:val="baseline"/>
    </w:pPr>
    <w:rPr>
      <w:kern w:val="0"/>
      <w:sz w:val="21"/>
      <w:szCs w:val="20"/>
    </w:rPr>
  </w:style>
  <w:style w:type="paragraph" w:customStyle="1" w:styleId="1072">
    <w:name w:val="xl545"/>
    <w:basedOn w:val="1"/>
    <w:qFormat/>
    <w:uiPriority w:val="0"/>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073">
    <w:name w:val="正文编号"/>
    <w:basedOn w:val="1"/>
    <w:qFormat/>
    <w:uiPriority w:val="0"/>
    <w:pPr>
      <w:tabs>
        <w:tab w:val="left" w:pos="425"/>
      </w:tabs>
      <w:adjustRightInd w:val="0"/>
      <w:spacing w:line="360" w:lineRule="atLeast"/>
      <w:ind w:left="425" w:hanging="425" w:firstLineChars="0"/>
      <w:textAlignment w:val="baseline"/>
    </w:pPr>
    <w:rPr>
      <w:rFonts w:eastAsia="楷体_GB2312"/>
      <w:color w:val="000000"/>
      <w:spacing w:val="8"/>
      <w:kern w:val="0"/>
      <w:sz w:val="28"/>
      <w:szCs w:val="20"/>
    </w:rPr>
  </w:style>
  <w:style w:type="paragraph" w:customStyle="1" w:styleId="1074">
    <w:name w:val="xl544"/>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075">
    <w:name w:val="标题 B"/>
    <w:basedOn w:val="3"/>
    <w:qFormat/>
    <w:uiPriority w:val="0"/>
    <w:pPr>
      <w:keepLines w:val="0"/>
      <w:widowControl w:val="0"/>
      <w:numPr>
        <w:ilvl w:val="0"/>
        <w:numId w:val="0"/>
      </w:numPr>
      <w:tabs>
        <w:tab w:val="left" w:pos="567"/>
        <w:tab w:val="clear" w:pos="720"/>
      </w:tabs>
      <w:adjustRightInd w:val="0"/>
      <w:spacing w:before="840" w:beforeLines="0" w:after="240" w:afterLines="0"/>
      <w:jc w:val="center"/>
      <w:textAlignment w:val="baseline"/>
      <w:outlineLvl w:val="9"/>
    </w:pPr>
    <w:rPr>
      <w:rFonts w:ascii="宋体"/>
      <w:b w:val="0"/>
      <w:bCs w:val="0"/>
      <w:snapToGrid/>
      <w:spacing w:val="8"/>
      <w:kern w:val="0"/>
      <w:szCs w:val="20"/>
    </w:rPr>
  </w:style>
  <w:style w:type="paragraph" w:customStyle="1" w:styleId="1076">
    <w:name w:val="表后"/>
    <w:basedOn w:val="1"/>
    <w:qFormat/>
    <w:uiPriority w:val="0"/>
    <w:pPr>
      <w:adjustRightInd w:val="0"/>
      <w:spacing w:before="120" w:line="400" w:lineRule="exact"/>
      <w:ind w:firstLine="601" w:firstLineChars="0"/>
      <w:jc w:val="left"/>
      <w:textAlignment w:val="baseline"/>
    </w:pPr>
    <w:rPr>
      <w:rFonts w:eastAsia="楷体_GB2312"/>
      <w:spacing w:val="8"/>
      <w:kern w:val="0"/>
      <w:sz w:val="28"/>
      <w:szCs w:val="20"/>
    </w:rPr>
  </w:style>
  <w:style w:type="paragraph" w:customStyle="1" w:styleId="1077">
    <w:name w:val="表后文"/>
    <w:basedOn w:val="1"/>
    <w:qFormat/>
    <w:uiPriority w:val="0"/>
    <w:pPr>
      <w:adjustRightInd w:val="0"/>
      <w:spacing w:before="120" w:line="440" w:lineRule="exact"/>
      <w:ind w:firstLine="624" w:firstLineChars="0"/>
    </w:pPr>
    <w:rPr>
      <w:snapToGrid w:val="0"/>
      <w:kern w:val="0"/>
      <w:sz w:val="25"/>
      <w:szCs w:val="20"/>
    </w:rPr>
  </w:style>
  <w:style w:type="paragraph" w:customStyle="1" w:styleId="1078">
    <w:name w:val="正文B"/>
    <w:basedOn w:val="1"/>
    <w:qFormat/>
    <w:uiPriority w:val="0"/>
    <w:pPr>
      <w:adjustRightInd w:val="0"/>
      <w:spacing w:line="390" w:lineRule="exact"/>
      <w:ind w:firstLine="601" w:firstLineChars="0"/>
      <w:textAlignment w:val="baseline"/>
    </w:pPr>
    <w:rPr>
      <w:rFonts w:eastAsia="楷体_GB2312"/>
      <w:spacing w:val="8"/>
      <w:kern w:val="0"/>
      <w:sz w:val="28"/>
      <w:szCs w:val="20"/>
    </w:rPr>
  </w:style>
  <w:style w:type="paragraph" w:customStyle="1" w:styleId="1079">
    <w:name w:val="－列表"/>
    <w:basedOn w:val="61"/>
    <w:qFormat/>
    <w:uiPriority w:val="0"/>
    <w:pPr>
      <w:widowControl/>
      <w:overflowPunct w:val="0"/>
      <w:autoSpaceDE w:val="0"/>
      <w:autoSpaceDN w:val="0"/>
      <w:adjustRightInd w:val="0"/>
      <w:snapToGrid w:val="0"/>
      <w:ind w:left="0" w:firstLine="0" w:firstLineChars="0"/>
      <w:textAlignment w:val="baseline"/>
    </w:pPr>
    <w:rPr>
      <w:rFonts w:ascii="宋体" w:hAnsi="Arial"/>
      <w:snapToGrid w:val="0"/>
      <w:spacing w:val="-4"/>
      <w:kern w:val="0"/>
      <w:sz w:val="22"/>
      <w:szCs w:val="20"/>
    </w:rPr>
  </w:style>
  <w:style w:type="paragraph" w:customStyle="1" w:styleId="1080">
    <w:name w:val="Date1"/>
    <w:basedOn w:val="1"/>
    <w:next w:val="1"/>
    <w:qFormat/>
    <w:uiPriority w:val="0"/>
    <w:pPr>
      <w:adjustRightInd w:val="0"/>
      <w:spacing w:line="240" w:lineRule="auto"/>
      <w:ind w:firstLine="0" w:firstLineChars="0"/>
      <w:textAlignment w:val="baseline"/>
    </w:pPr>
    <w:rPr>
      <w:sz w:val="21"/>
      <w:szCs w:val="20"/>
    </w:rPr>
  </w:style>
  <w:style w:type="paragraph" w:customStyle="1" w:styleId="1081">
    <w:name w:val="圖標"/>
    <w:basedOn w:val="1"/>
    <w:qFormat/>
    <w:uiPriority w:val="0"/>
    <w:pPr>
      <w:tabs>
        <w:tab w:val="right" w:pos="4176"/>
        <w:tab w:val="right" w:pos="6960"/>
      </w:tabs>
      <w:wordWrap w:val="0"/>
      <w:adjustRightInd w:val="0"/>
      <w:spacing w:after="540" w:line="432" w:lineRule="exact"/>
      <w:ind w:firstLine="0" w:firstLineChars="0"/>
      <w:jc w:val="center"/>
      <w:textAlignment w:val="baseline"/>
    </w:pPr>
    <w:rPr>
      <w:rFonts w:ascii="Arial" w:hAnsi="Arial" w:eastAsia="華康粗黑體"/>
      <w:szCs w:val="20"/>
      <w:lang w:eastAsia="zh-TW"/>
    </w:rPr>
  </w:style>
  <w:style w:type="paragraph" w:customStyle="1" w:styleId="1082">
    <w:name w:val="表序号"/>
    <w:basedOn w:val="6"/>
    <w:qFormat/>
    <w:uiPriority w:val="0"/>
    <w:pPr>
      <w:tabs>
        <w:tab w:val="left" w:pos="1134"/>
        <w:tab w:val="left" w:pos="1200"/>
        <w:tab w:val="clear" w:pos="700"/>
      </w:tabs>
      <w:autoSpaceDE/>
      <w:autoSpaceDN/>
      <w:ind w:left="1200" w:hanging="360"/>
      <w:jc w:val="center"/>
    </w:pPr>
    <w:rPr>
      <w:rFonts w:ascii="仿宋_GB2312" w:hAnsi="Arial" w:eastAsia="仿宋_GB2312"/>
      <w:bCs w:val="0"/>
      <w:kern w:val="44"/>
      <w:sz w:val="28"/>
      <w:szCs w:val="20"/>
    </w:rPr>
  </w:style>
  <w:style w:type="paragraph" w:customStyle="1" w:styleId="1083">
    <w:name w:val="字元 字元"/>
    <w:basedOn w:val="1"/>
    <w:semiHidden/>
    <w:qFormat/>
    <w:uiPriority w:val="0"/>
    <w:pPr>
      <w:spacing w:line="240" w:lineRule="auto"/>
      <w:ind w:firstLine="0" w:firstLineChars="0"/>
    </w:pPr>
  </w:style>
  <w:style w:type="paragraph" w:customStyle="1" w:styleId="1084">
    <w:name w:val="xl551"/>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18"/>
      <w:szCs w:val="18"/>
    </w:rPr>
  </w:style>
  <w:style w:type="paragraph" w:customStyle="1" w:styleId="1085">
    <w:name w:val="摘要图体"/>
    <w:basedOn w:val="1"/>
    <w:qFormat/>
    <w:uiPriority w:val="0"/>
    <w:pPr>
      <w:widowControl/>
      <w:tabs>
        <w:tab w:val="left" w:pos="480"/>
      </w:tabs>
      <w:spacing w:beforeLines="50" w:afterLines="50" w:line="240" w:lineRule="auto"/>
      <w:ind w:firstLine="0" w:firstLineChars="0"/>
      <w:jc w:val="center"/>
    </w:pPr>
    <w:rPr>
      <w:rFonts w:ascii="宋体" w:hAnsi="宋体"/>
      <w:kern w:val="0"/>
      <w:sz w:val="25"/>
      <w:szCs w:val="25"/>
    </w:rPr>
  </w:style>
  <w:style w:type="paragraph" w:customStyle="1" w:styleId="1086">
    <w:name w:val="字元 字元1"/>
    <w:basedOn w:val="1"/>
    <w:qFormat/>
    <w:uiPriority w:val="0"/>
    <w:pPr>
      <w:widowControl/>
      <w:spacing w:after="160" w:line="240" w:lineRule="exact"/>
      <w:ind w:firstLine="0" w:firstLineChars="0"/>
      <w:jc w:val="left"/>
    </w:pPr>
    <w:rPr>
      <w:rFonts w:ascii="Verdana" w:hAnsi="Verdana"/>
      <w:kern w:val="0"/>
      <w:sz w:val="20"/>
      <w:szCs w:val="20"/>
      <w:lang w:eastAsia="en-US"/>
    </w:rPr>
  </w:style>
  <w:style w:type="paragraph" w:customStyle="1" w:styleId="1087">
    <w:name w:val="正文文本缩进 21"/>
    <w:basedOn w:val="1"/>
    <w:semiHidden/>
    <w:qFormat/>
    <w:uiPriority w:val="0"/>
    <w:pPr>
      <w:autoSpaceDE w:val="0"/>
      <w:autoSpaceDN w:val="0"/>
      <w:adjustRightInd w:val="0"/>
      <w:ind w:firstLine="570"/>
      <w:jc w:val="left"/>
      <w:textAlignment w:val="baseline"/>
    </w:pPr>
    <w:rPr>
      <w:rFonts w:ascii="宋体" w:hAnsi="Tms Rmn" w:eastAsia="仿宋_GB2312"/>
      <w:spacing w:val="4"/>
      <w:kern w:val="0"/>
      <w:sz w:val="28"/>
      <w:szCs w:val="20"/>
    </w:rPr>
  </w:style>
  <w:style w:type="paragraph" w:customStyle="1" w:styleId="1088">
    <w:name w:val="样式 表格标题新 + 段前: 0.5 行"/>
    <w:basedOn w:val="554"/>
    <w:qFormat/>
    <w:uiPriority w:val="0"/>
    <w:pPr>
      <w:widowControl/>
      <w:adjustRightInd/>
      <w:spacing w:before="249"/>
    </w:pPr>
    <w:rPr>
      <w:rFonts w:hAnsi="宋体" w:cs="宋体"/>
      <w:bCs/>
      <w:spacing w:val="0"/>
    </w:rPr>
  </w:style>
  <w:style w:type="paragraph" w:customStyle="1" w:styleId="1089">
    <w:name w:val="正文内容"/>
    <w:basedOn w:val="1"/>
    <w:semiHidden/>
    <w:qFormat/>
    <w:uiPriority w:val="0"/>
    <w:pPr>
      <w:adjustRightInd w:val="0"/>
      <w:snapToGrid w:val="0"/>
      <w:ind w:firstLine="510"/>
      <w:jc w:val="left"/>
    </w:pPr>
    <w:rPr>
      <w:rFonts w:ascii="宋体" w:hAnsi="宋体" w:eastAsia="仿宋_GB2312"/>
      <w:snapToGrid w:val="0"/>
      <w:spacing w:val="4"/>
      <w:kern w:val="0"/>
      <w:szCs w:val="20"/>
    </w:rPr>
  </w:style>
  <w:style w:type="paragraph" w:customStyle="1" w:styleId="1090">
    <w:name w:val="正文文本缩进 31"/>
    <w:basedOn w:val="1"/>
    <w:semiHidden/>
    <w:qFormat/>
    <w:uiPriority w:val="0"/>
    <w:pPr>
      <w:autoSpaceDE w:val="0"/>
      <w:autoSpaceDN w:val="0"/>
      <w:adjustRightInd w:val="0"/>
      <w:spacing w:line="520" w:lineRule="exact"/>
      <w:ind w:firstLine="540"/>
      <w:jc w:val="left"/>
      <w:textAlignment w:val="baseline"/>
    </w:pPr>
    <w:rPr>
      <w:rFonts w:ascii="宋体" w:hAnsi="Tms Rmn" w:eastAsia="仿宋_GB2312"/>
      <w:spacing w:val="4"/>
      <w:kern w:val="0"/>
      <w:sz w:val="28"/>
      <w:szCs w:val="20"/>
    </w:rPr>
  </w:style>
  <w:style w:type="paragraph" w:customStyle="1" w:styleId="1091">
    <w:name w:val="ST20_2"/>
    <w:basedOn w:val="1"/>
    <w:semiHidden/>
    <w:qFormat/>
    <w:uiPriority w:val="0"/>
    <w:pPr>
      <w:autoSpaceDE w:val="0"/>
      <w:autoSpaceDN w:val="0"/>
      <w:adjustRightInd w:val="0"/>
      <w:spacing w:line="360" w:lineRule="atLeast"/>
      <w:ind w:firstLine="576"/>
      <w:jc w:val="left"/>
      <w:textAlignment w:val="baseline"/>
    </w:pPr>
    <w:rPr>
      <w:rFonts w:ascii="宋体" w:hAnsi="Tms Rmn" w:eastAsia="仿宋_GB2312"/>
      <w:spacing w:val="4"/>
      <w:kern w:val="0"/>
      <w:sz w:val="28"/>
      <w:szCs w:val="20"/>
    </w:rPr>
  </w:style>
  <w:style w:type="paragraph" w:customStyle="1" w:styleId="1092">
    <w:name w:val="p9copy"/>
    <w:basedOn w:val="1"/>
    <w:semiHidden/>
    <w:qFormat/>
    <w:uiPriority w:val="0"/>
    <w:pPr>
      <w:widowControl/>
      <w:adjustRightInd w:val="0"/>
      <w:spacing w:before="100" w:beforeAutospacing="1" w:after="100" w:afterAutospacing="1"/>
      <w:ind w:firstLine="576"/>
      <w:jc w:val="left"/>
    </w:pPr>
    <w:rPr>
      <w:rFonts w:hint="eastAsia" w:ascii="宋体" w:hAnsi="Arial Unicode MS" w:eastAsia="仿宋_GB2312" w:cs="Arial Unicode MS"/>
      <w:color w:val="000000"/>
      <w:spacing w:val="4"/>
      <w:kern w:val="0"/>
      <w:sz w:val="18"/>
      <w:szCs w:val="18"/>
    </w:rPr>
  </w:style>
  <w:style w:type="paragraph" w:customStyle="1" w:styleId="1093">
    <w:name w:val="大标题"/>
    <w:basedOn w:val="5"/>
    <w:qFormat/>
    <w:uiPriority w:val="0"/>
    <w:pPr>
      <w:widowControl w:val="0"/>
      <w:numPr>
        <w:ilvl w:val="0"/>
        <w:numId w:val="0"/>
      </w:numPr>
      <w:tabs>
        <w:tab w:val="left" w:pos="240"/>
        <w:tab w:val="left" w:pos="360"/>
        <w:tab w:val="clear" w:pos="864"/>
      </w:tabs>
      <w:autoSpaceDE w:val="0"/>
      <w:autoSpaceDN w:val="0"/>
      <w:adjustRightInd w:val="0"/>
      <w:spacing w:beforeLines="50" w:line="324" w:lineRule="auto"/>
      <w:jc w:val="both"/>
    </w:pPr>
    <w:rPr>
      <w:rFonts w:ascii="Arial" w:eastAsia="宋体" w:cs="Arial"/>
      <w:bCs w:val="0"/>
      <w:color w:val="000000"/>
      <w:kern w:val="2"/>
      <w:sz w:val="28"/>
      <w:szCs w:val="28"/>
      <w:shd w:val="pct10" w:color="auto" w:fill="FFFFFF"/>
      <w:lang w:val="zh-CN"/>
    </w:rPr>
  </w:style>
  <w:style w:type="paragraph" w:customStyle="1" w:styleId="1094">
    <w:name w:val="小四表文左齐"/>
    <w:basedOn w:val="1"/>
    <w:qFormat/>
    <w:uiPriority w:val="0"/>
    <w:pPr>
      <w:spacing w:line="240" w:lineRule="auto"/>
      <w:ind w:firstLine="0" w:firstLineChars="0"/>
      <w:jc w:val="center"/>
    </w:pPr>
    <w:rPr>
      <w:rFonts w:ascii="仿宋_GB2312" w:hAnsi="宋体" w:eastAsia="仿宋_GB2312"/>
      <w:sz w:val="21"/>
      <w:szCs w:val="21"/>
    </w:rPr>
  </w:style>
  <w:style w:type="paragraph" w:customStyle="1" w:styleId="1095">
    <w:name w:val="正文楷体"/>
    <w:basedOn w:val="1"/>
    <w:qFormat/>
    <w:uiPriority w:val="0"/>
    <w:pPr>
      <w:spacing w:line="240" w:lineRule="auto"/>
      <w:ind w:firstLine="0" w:firstLineChars="0"/>
    </w:pPr>
    <w:rPr>
      <w:rFonts w:eastAsia="楷体_GB2312"/>
      <w:sz w:val="21"/>
    </w:rPr>
  </w:style>
  <w:style w:type="paragraph" w:customStyle="1" w:styleId="1096">
    <w:name w:val="小4仿宋居中行1"/>
    <w:qFormat/>
    <w:uiPriority w:val="0"/>
    <w:pPr>
      <w:widowControl w:val="0"/>
      <w:ind w:left="-573" w:right="-59" w:firstLine="494"/>
      <w:jc w:val="center"/>
    </w:pPr>
    <w:rPr>
      <w:rFonts w:ascii="Times New Roman" w:hAnsi="Times New Roman" w:eastAsia="仿宋_GB2312" w:cs="Times New Roman"/>
      <w:sz w:val="24"/>
      <w:lang w:val="en-US" w:eastAsia="zh-CN" w:bidi="ar-SA"/>
    </w:rPr>
  </w:style>
  <w:style w:type="paragraph" w:customStyle="1" w:styleId="1097">
    <w:name w:val="英方字母"/>
    <w:basedOn w:val="1"/>
    <w:qFormat/>
    <w:uiPriority w:val="0"/>
    <w:pPr>
      <w:tabs>
        <w:tab w:val="left" w:pos="360"/>
      </w:tabs>
      <w:autoSpaceDE w:val="0"/>
      <w:autoSpaceDN w:val="0"/>
      <w:adjustRightInd w:val="0"/>
      <w:ind w:firstLine="0" w:firstLineChars="0"/>
    </w:pPr>
    <w:rPr>
      <w:rFonts w:ascii="Bookman Old Style" w:hAnsi="Bookman Old Style" w:cs="Arial"/>
      <w:kern w:val="0"/>
      <w:szCs w:val="20"/>
    </w:rPr>
  </w:style>
  <w:style w:type="paragraph" w:customStyle="1" w:styleId="1098">
    <w:name w:val="污水处理3"/>
    <w:basedOn w:val="1"/>
    <w:qFormat/>
    <w:uiPriority w:val="0"/>
    <w:pPr>
      <w:adjustRightInd w:val="0"/>
      <w:spacing w:line="0" w:lineRule="atLeast"/>
      <w:ind w:firstLine="0" w:firstLineChars="0"/>
      <w:jc w:val="center"/>
    </w:pPr>
    <w:rPr>
      <w:rFonts w:eastAsia="Times New Roman"/>
      <w:spacing w:val="4"/>
      <w:kern w:val="18"/>
      <w:sz w:val="15"/>
      <w:szCs w:val="28"/>
    </w:rPr>
  </w:style>
  <w:style w:type="paragraph" w:customStyle="1" w:styleId="1099">
    <w:name w:val="污水处理1"/>
    <w:basedOn w:val="1"/>
    <w:qFormat/>
    <w:uiPriority w:val="0"/>
    <w:pPr>
      <w:adjustRightInd w:val="0"/>
      <w:ind w:firstLine="0" w:firstLineChars="0"/>
      <w:jc w:val="center"/>
    </w:pPr>
    <w:rPr>
      <w:rFonts w:ascii="仿宋_GB2312"/>
      <w:b/>
      <w:bCs/>
      <w:spacing w:val="4"/>
      <w:kern w:val="18"/>
      <w:sz w:val="21"/>
      <w:szCs w:val="28"/>
    </w:rPr>
  </w:style>
  <w:style w:type="paragraph" w:customStyle="1" w:styleId="1100">
    <w:name w:val="污水处理2"/>
    <w:basedOn w:val="1"/>
    <w:qFormat/>
    <w:uiPriority w:val="0"/>
    <w:pPr>
      <w:adjustRightInd w:val="0"/>
      <w:ind w:firstLine="0" w:firstLineChars="0"/>
      <w:jc w:val="center"/>
    </w:pPr>
    <w:rPr>
      <w:rFonts w:ascii="仿宋_GB2312"/>
      <w:spacing w:val="4"/>
      <w:kern w:val="18"/>
      <w:sz w:val="21"/>
      <w:szCs w:val="28"/>
    </w:rPr>
  </w:style>
  <w:style w:type="paragraph" w:customStyle="1" w:styleId="1101">
    <w:name w:val="样式 标题 3标题 3 正式 + (西文) Times New Roman2"/>
    <w:basedOn w:val="4"/>
    <w:qFormat/>
    <w:uiPriority w:val="0"/>
    <w:pPr>
      <w:widowControl w:val="0"/>
      <w:numPr>
        <w:ilvl w:val="0"/>
        <w:numId w:val="0"/>
      </w:numPr>
      <w:tabs>
        <w:tab w:val="left" w:pos="0"/>
        <w:tab w:val="clear" w:pos="720"/>
        <w:tab w:val="clear" w:pos="816"/>
      </w:tabs>
      <w:adjustRightInd w:val="0"/>
      <w:snapToGrid w:val="0"/>
      <w:spacing w:before="120" w:beforeLines="0" w:after="120" w:afterLines="0" w:line="360" w:lineRule="auto"/>
      <w:ind w:firstLine="200"/>
    </w:pPr>
    <w:rPr>
      <w:rFonts w:eastAsia="黑体"/>
      <w:snapToGrid w:val="0"/>
      <w:spacing w:val="4"/>
      <w:kern w:val="0"/>
      <w:szCs w:val="28"/>
    </w:rPr>
  </w:style>
  <w:style w:type="paragraph" w:customStyle="1" w:styleId="1102">
    <w:name w:val="标题 3-1"/>
    <w:basedOn w:val="4"/>
    <w:qFormat/>
    <w:uiPriority w:val="0"/>
    <w:pPr>
      <w:widowControl w:val="0"/>
      <w:numPr>
        <w:ilvl w:val="0"/>
        <w:numId w:val="0"/>
      </w:numPr>
      <w:tabs>
        <w:tab w:val="clear" w:pos="816"/>
      </w:tabs>
      <w:adjustRightInd w:val="0"/>
      <w:spacing w:before="120" w:beforeLines="0" w:after="120" w:afterLines="0" w:line="500" w:lineRule="exact"/>
      <w:ind w:firstLine="200" w:firstLineChars="200"/>
      <w:jc w:val="both"/>
    </w:pPr>
    <w:rPr>
      <w:rFonts w:eastAsia="黑体"/>
      <w:b w:val="0"/>
      <w:bCs w:val="0"/>
      <w:szCs w:val="20"/>
    </w:rPr>
  </w:style>
  <w:style w:type="paragraph" w:customStyle="1" w:styleId="1103">
    <w:name w:val="xl539"/>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04">
    <w:name w:val="统一正文"/>
    <w:basedOn w:val="1"/>
    <w:qFormat/>
    <w:uiPriority w:val="0"/>
    <w:pPr>
      <w:autoSpaceDE w:val="0"/>
      <w:autoSpaceDN w:val="0"/>
      <w:textAlignment w:val="baseline"/>
    </w:pPr>
    <w:rPr>
      <w:rFonts w:eastAsia="仿宋_GB2312"/>
      <w:kern w:val="0"/>
      <w:sz w:val="28"/>
      <w:szCs w:val="20"/>
      <w:lang w:bidi="he-IL"/>
    </w:rPr>
  </w:style>
  <w:style w:type="paragraph" w:customStyle="1" w:styleId="1105">
    <w:name w:val="污水处理"/>
    <w:basedOn w:val="704"/>
    <w:qFormat/>
    <w:uiPriority w:val="0"/>
    <w:pPr>
      <w:adjustRightInd/>
      <w:spacing w:line="240" w:lineRule="auto"/>
      <w:ind w:firstLine="0" w:firstLineChars="0"/>
      <w:jc w:val="center"/>
      <w:textAlignment w:val="auto"/>
    </w:pPr>
    <w:rPr>
      <w:kern w:val="2"/>
      <w:sz w:val="24"/>
      <w:szCs w:val="24"/>
    </w:rPr>
  </w:style>
  <w:style w:type="paragraph" w:customStyle="1" w:styleId="1106">
    <w:name w:val="表标"/>
    <w:basedOn w:val="1"/>
    <w:next w:val="1"/>
    <w:qFormat/>
    <w:uiPriority w:val="0"/>
    <w:pPr>
      <w:adjustRightInd w:val="0"/>
      <w:snapToGrid w:val="0"/>
      <w:spacing w:line="240" w:lineRule="auto"/>
      <w:ind w:firstLine="0" w:firstLineChars="0"/>
      <w:jc w:val="center"/>
      <w:textAlignment w:val="baseline"/>
    </w:pPr>
    <w:rPr>
      <w:szCs w:val="20"/>
    </w:rPr>
  </w:style>
  <w:style w:type="paragraph" w:customStyle="1" w:styleId="1107">
    <w:name w:val="font12"/>
    <w:basedOn w:val="1"/>
    <w:qFormat/>
    <w:uiPriority w:val="0"/>
    <w:pPr>
      <w:widowControl/>
      <w:spacing w:before="100" w:beforeAutospacing="1" w:after="100" w:afterAutospacing="1" w:line="240" w:lineRule="auto"/>
      <w:ind w:firstLine="0" w:firstLineChars="0"/>
      <w:jc w:val="left"/>
    </w:pPr>
    <w:rPr>
      <w:rFonts w:ascii="Courier New" w:hAnsi="Courier New" w:cs="Courier New"/>
      <w:b/>
      <w:bCs/>
      <w:color w:val="000000"/>
      <w:kern w:val="0"/>
      <w:sz w:val="18"/>
      <w:szCs w:val="18"/>
    </w:rPr>
  </w:style>
  <w:style w:type="paragraph" w:customStyle="1" w:styleId="1108">
    <w:name w:val="xl1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09">
    <w:name w:val="xl1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10">
    <w:name w:val="xl1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Arial" w:hAnsi="Arial" w:cs="Arial"/>
      <w:kern w:val="0"/>
      <w:sz w:val="20"/>
      <w:szCs w:val="20"/>
    </w:rPr>
  </w:style>
  <w:style w:type="paragraph" w:customStyle="1" w:styleId="1111">
    <w:name w:val="xl1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Arial" w:hAnsi="Arial" w:cs="Arial"/>
      <w:kern w:val="0"/>
      <w:sz w:val="20"/>
      <w:szCs w:val="20"/>
    </w:rPr>
  </w:style>
  <w:style w:type="paragraph" w:customStyle="1" w:styleId="1112">
    <w:name w:val="xl188"/>
    <w:basedOn w:val="1"/>
    <w:qFormat/>
    <w:uiPriority w:val="0"/>
    <w:pPr>
      <w:widowControl/>
      <w:numPr>
        <w:ilvl w:val="0"/>
        <w:numId w:val="9"/>
      </w:numPr>
      <w:pBdr>
        <w:top w:val="single" w:color="auto" w:sz="4" w:space="0"/>
        <w:left w:val="single" w:color="auto" w:sz="4" w:space="0"/>
        <w:bottom w:val="single" w:color="auto" w:sz="4" w:space="0"/>
        <w:right w:val="single" w:color="auto" w:sz="4" w:space="0"/>
      </w:pBdr>
      <w:shd w:val="clear" w:color="auto" w:fill="FFFFFF"/>
      <w:tabs>
        <w:tab w:val="clear" w:pos="360"/>
      </w:tabs>
      <w:spacing w:before="100" w:beforeAutospacing="1" w:after="100" w:afterAutospacing="1" w:line="240" w:lineRule="auto"/>
      <w:ind w:firstLineChars="0"/>
      <w:jc w:val="left"/>
    </w:pPr>
    <w:rPr>
      <w:rFonts w:ascii="Arial" w:hAnsi="Arial" w:cs="Arial"/>
      <w:kern w:val="0"/>
      <w:sz w:val="20"/>
      <w:szCs w:val="20"/>
    </w:rPr>
  </w:style>
  <w:style w:type="paragraph" w:customStyle="1" w:styleId="1113">
    <w:name w:val="xl1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Arial" w:hAnsi="Arial" w:cs="Arial"/>
      <w:kern w:val="0"/>
      <w:sz w:val="20"/>
      <w:szCs w:val="20"/>
    </w:rPr>
  </w:style>
  <w:style w:type="paragraph" w:customStyle="1" w:styleId="1114">
    <w:name w:val="xl1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宋体" w:hAnsi="宋体" w:cs="宋体"/>
      <w:kern w:val="0"/>
      <w:sz w:val="20"/>
      <w:szCs w:val="20"/>
    </w:rPr>
  </w:style>
  <w:style w:type="paragraph" w:customStyle="1" w:styleId="1115">
    <w:name w:val="xl19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16">
    <w:name w:val="xl1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17">
    <w:name w:val="xl193"/>
    <w:basedOn w:val="1"/>
    <w:qFormat/>
    <w:uiPriority w:val="0"/>
    <w:pPr>
      <w:widowControl/>
      <w:pBdr>
        <w:left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18">
    <w:name w:val="font13"/>
    <w:basedOn w:val="1"/>
    <w:qFormat/>
    <w:uiPriority w:val="0"/>
    <w:pPr>
      <w:widowControl/>
      <w:spacing w:before="100" w:beforeAutospacing="1" w:after="100" w:afterAutospacing="1" w:line="240" w:lineRule="auto"/>
      <w:ind w:firstLine="0" w:firstLineChars="0"/>
      <w:jc w:val="left"/>
    </w:pPr>
    <w:rPr>
      <w:rFonts w:ascii="宋体" w:hAnsi="宋体" w:cs="宋体"/>
      <w:kern w:val="0"/>
      <w:sz w:val="20"/>
      <w:szCs w:val="20"/>
    </w:rPr>
  </w:style>
  <w:style w:type="paragraph" w:customStyle="1" w:styleId="1119">
    <w:name w:val="环科所-标题1"/>
    <w:basedOn w:val="43"/>
    <w:next w:val="1"/>
    <w:qFormat/>
    <w:uiPriority w:val="0"/>
    <w:pPr>
      <w:pageBreakBefore/>
      <w:tabs>
        <w:tab w:val="left" w:pos="360"/>
        <w:tab w:val="left" w:pos="900"/>
      </w:tabs>
      <w:snapToGrid w:val="0"/>
      <w:spacing w:before="960" w:after="960"/>
      <w:ind w:left="-12" w:leftChars="-12"/>
    </w:pPr>
    <w:rPr>
      <w:rFonts w:hAnsi="宋体" w:eastAsia="仿宋_GB2312" w:cs="宋体"/>
      <w:sz w:val="24"/>
      <w:szCs w:val="24"/>
    </w:rPr>
  </w:style>
  <w:style w:type="paragraph" w:customStyle="1" w:styleId="1120">
    <w:name w:val="前言、引言标题"/>
    <w:next w:val="1"/>
    <w:qFormat/>
    <w:uiPriority w:val="0"/>
    <w:pPr>
      <w:shd w:val="clear" w:color="FFFFFF" w:fill="FFFFFF"/>
      <w:tabs>
        <w:tab w:val="left" w:pos="432"/>
      </w:tabs>
      <w:spacing w:before="640" w:after="560"/>
      <w:ind w:left="432" w:hanging="432"/>
      <w:jc w:val="center"/>
      <w:outlineLvl w:val="0"/>
    </w:pPr>
    <w:rPr>
      <w:rFonts w:ascii="黑体" w:hAnsi="Times New Roman" w:eastAsia="黑体" w:cs="Times New Roman"/>
      <w:sz w:val="32"/>
      <w:lang w:val="en-US" w:eastAsia="zh-CN" w:bidi="ar-SA"/>
    </w:rPr>
  </w:style>
  <w:style w:type="paragraph" w:customStyle="1" w:styleId="1121">
    <w:name w:val="二级条标题"/>
    <w:basedOn w:val="427"/>
    <w:next w:val="5"/>
    <w:qFormat/>
    <w:uiPriority w:val="0"/>
    <w:pPr>
      <w:tabs>
        <w:tab w:val="clear" w:pos="360"/>
        <w:tab w:val="clear" w:pos="1260"/>
      </w:tabs>
      <w:ind w:left="0" w:firstLine="0"/>
      <w:jc w:val="left"/>
      <w:outlineLvl w:val="3"/>
    </w:pPr>
    <w:rPr>
      <w:rFonts w:ascii="Times New Roman"/>
    </w:rPr>
  </w:style>
  <w:style w:type="paragraph" w:customStyle="1" w:styleId="1122">
    <w:name w:val="实施日期"/>
    <w:basedOn w:val="1"/>
    <w:qFormat/>
    <w:uiPriority w:val="0"/>
    <w:pPr>
      <w:framePr w:w="4000" w:h="473" w:hRule="exact" w:vSpace="180" w:wrap="around" w:vAnchor="margin" w:hAnchor="margin" w:xAlign="right" w:y="13511" w:anchorLock="1"/>
      <w:widowControl/>
      <w:spacing w:line="240" w:lineRule="auto"/>
      <w:ind w:firstLine="0" w:firstLineChars="0"/>
      <w:jc w:val="right"/>
    </w:pPr>
    <w:rPr>
      <w:rFonts w:eastAsia="黑体"/>
      <w:kern w:val="0"/>
      <w:sz w:val="28"/>
      <w:szCs w:val="20"/>
    </w:rPr>
  </w:style>
  <w:style w:type="paragraph" w:customStyle="1" w:styleId="1123">
    <w:name w:val="Char Char Char Char Char Char Char1 Char Char Char"/>
    <w:basedOn w:val="1"/>
    <w:qFormat/>
    <w:uiPriority w:val="0"/>
    <w:pPr>
      <w:widowControl/>
      <w:ind w:firstLine="0" w:firstLineChars="0"/>
      <w:jc w:val="left"/>
    </w:pPr>
    <w:rPr>
      <w:rFonts w:ascii="宋体" w:hAnsi="宋体" w:cs="宋体"/>
      <w:kern w:val="0"/>
      <w:szCs w:val="21"/>
    </w:rPr>
  </w:style>
  <w:style w:type="paragraph" w:customStyle="1" w:styleId="1124">
    <w:name w:val="xl541"/>
    <w:basedOn w:val="1"/>
    <w:qFormat/>
    <w:uiPriority w:val="0"/>
    <w:pPr>
      <w:widowControl/>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25">
    <w:name w:val="xl543"/>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26">
    <w:name w:val="xl547"/>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27">
    <w:name w:val="xl548"/>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28">
    <w:name w:val="xl549"/>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29">
    <w:name w:val="xl550"/>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30">
    <w:name w:val="xl55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31">
    <w:name w:val="xl55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32">
    <w:name w:val="xl554"/>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rPr>
  </w:style>
  <w:style w:type="paragraph" w:customStyle="1" w:styleId="1133">
    <w:name w:val="xl555"/>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34">
    <w:name w:val="xl556"/>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35">
    <w:name w:val="xl557"/>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36">
    <w:name w:val="xl5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137">
    <w:name w:val="xl559"/>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38">
    <w:name w:val="xl560"/>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39">
    <w:name w:val="xl561"/>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40">
    <w:name w:val="xl56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41">
    <w:name w:val="xl56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42">
    <w:name w:val="xl564"/>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rPr>
  </w:style>
  <w:style w:type="paragraph" w:customStyle="1" w:styleId="1143">
    <w:name w:val="xl565"/>
    <w:basedOn w:val="1"/>
    <w:qFormat/>
    <w:uiPriority w:val="0"/>
    <w:pPr>
      <w:widowControl/>
      <w:pBdr>
        <w:left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44">
    <w:name w:val="xl566"/>
    <w:basedOn w:val="1"/>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20"/>
      <w:szCs w:val="20"/>
    </w:rPr>
  </w:style>
  <w:style w:type="paragraph" w:customStyle="1" w:styleId="1145">
    <w:name w:val="xl567"/>
    <w:basedOn w:val="1"/>
    <w:qFormat/>
    <w:uiPriority w:val="0"/>
    <w:pPr>
      <w:widowControl/>
      <w:pBdr>
        <w:top w:val="single" w:color="auto" w:sz="4" w:space="0"/>
        <w:left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146">
    <w:name w:val="xl568"/>
    <w:basedOn w:val="1"/>
    <w:qFormat/>
    <w:uiPriority w:val="0"/>
    <w:pPr>
      <w:widowControl/>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47">
    <w:name w:val="xl569"/>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48">
    <w:name w:val="xl570"/>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rPr>
  </w:style>
  <w:style w:type="paragraph" w:customStyle="1" w:styleId="1149">
    <w:name w:val="xl5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50">
    <w:name w:val="xl57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18"/>
      <w:szCs w:val="18"/>
    </w:rPr>
  </w:style>
  <w:style w:type="paragraph" w:customStyle="1" w:styleId="1151">
    <w:name w:val="xl57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52">
    <w:name w:val="xl574"/>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kern w:val="0"/>
      <w:sz w:val="18"/>
      <w:szCs w:val="18"/>
    </w:rPr>
  </w:style>
  <w:style w:type="paragraph" w:customStyle="1" w:styleId="1153">
    <w:name w:val="xl575"/>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54">
    <w:name w:val="xl576"/>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55">
    <w:name w:val="xl577"/>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56">
    <w:name w:val="xl578"/>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57">
    <w:name w:val="xl579"/>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58">
    <w:name w:val="xl5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59">
    <w:name w:val="xl581"/>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60">
    <w:name w:val="xl582"/>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61">
    <w:name w:val="xl583"/>
    <w:basedOn w:val="1"/>
    <w:qFormat/>
    <w:uiPriority w:val="0"/>
    <w:pPr>
      <w:widowControl/>
      <w:shd w:val="clear" w:color="auto" w:fill="CCFFFF"/>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62">
    <w:name w:val="xl584"/>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3">
    <w:name w:val="xl585"/>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4">
    <w:name w:val="xl58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5">
    <w:name w:val="xl587"/>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6">
    <w:name w:val="xl588"/>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kern w:val="0"/>
      <w:sz w:val="18"/>
      <w:szCs w:val="18"/>
    </w:rPr>
  </w:style>
  <w:style w:type="paragraph" w:customStyle="1" w:styleId="1167">
    <w:name w:val="xl589"/>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8">
    <w:name w:val="xl590"/>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color w:val="000000"/>
      <w:kern w:val="0"/>
      <w:sz w:val="18"/>
      <w:szCs w:val="18"/>
    </w:rPr>
  </w:style>
  <w:style w:type="paragraph" w:customStyle="1" w:styleId="1169">
    <w:name w:val="xl591"/>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Arial" w:hAnsi="Arial" w:cs="Arial"/>
      <w:kern w:val="0"/>
      <w:sz w:val="18"/>
      <w:szCs w:val="18"/>
    </w:rPr>
  </w:style>
  <w:style w:type="paragraph" w:customStyle="1" w:styleId="1170">
    <w:name w:val="xl592"/>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1171">
    <w:name w:val="xl593"/>
    <w:basedOn w:val="1"/>
    <w:qFormat/>
    <w:uiPriority w:val="0"/>
    <w:pPr>
      <w:widowControl/>
      <w:spacing w:before="100" w:beforeAutospacing="1" w:after="100" w:afterAutospacing="1" w:line="240" w:lineRule="auto"/>
      <w:ind w:firstLine="0" w:firstLineChars="0"/>
      <w:jc w:val="left"/>
    </w:pPr>
    <w:rPr>
      <w:rFonts w:ascii="Verdana" w:hAnsi="Verdana" w:cs="宋体"/>
      <w:color w:val="333333"/>
      <w:kern w:val="0"/>
      <w:sz w:val="18"/>
      <w:szCs w:val="18"/>
    </w:rPr>
  </w:style>
  <w:style w:type="paragraph" w:customStyle="1" w:styleId="1172">
    <w:name w:val="xl5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DFKai-SB" w:hAnsi="宋体" w:eastAsia="DFKai-SB" w:cs="宋体"/>
      <w:kern w:val="0"/>
      <w:sz w:val="20"/>
      <w:szCs w:val="20"/>
    </w:rPr>
  </w:style>
  <w:style w:type="paragraph" w:customStyle="1" w:styleId="1173">
    <w:name w:val="xl54"/>
    <w:basedOn w:val="1"/>
    <w:qFormat/>
    <w:uiPriority w:val="0"/>
    <w:pPr>
      <w:widowControl/>
      <w:pBdr>
        <w:left w:val="single" w:color="auto" w:sz="4" w:space="0"/>
      </w:pBdr>
      <w:shd w:val="clear" w:color="auto" w:fill="FFFF00"/>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74">
    <w:name w:val="xl55"/>
    <w:basedOn w:val="1"/>
    <w:qFormat/>
    <w:uiPriority w:val="0"/>
    <w:pPr>
      <w:widowControl/>
      <w:pBdr>
        <w:top w:val="single" w:color="auto" w:sz="4" w:space="0"/>
        <w:lef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75">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FF00FF"/>
      <w:spacing w:before="100" w:beforeAutospacing="1" w:after="100" w:afterAutospacing="1" w:line="240" w:lineRule="auto"/>
      <w:ind w:firstLine="0" w:firstLineChars="0"/>
      <w:jc w:val="center"/>
    </w:pPr>
    <w:rPr>
      <w:kern w:val="0"/>
      <w:sz w:val="18"/>
      <w:szCs w:val="18"/>
    </w:rPr>
  </w:style>
  <w:style w:type="paragraph" w:customStyle="1" w:styleId="1176">
    <w:name w:val="xl57"/>
    <w:basedOn w:val="1"/>
    <w:qFormat/>
    <w:uiPriority w:val="0"/>
    <w:pPr>
      <w:widowControl/>
      <w:pBdr>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77">
    <w:name w:val="xl58"/>
    <w:basedOn w:val="1"/>
    <w:qFormat/>
    <w:uiPriority w:val="0"/>
    <w:pPr>
      <w:widowControl/>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178">
    <w:name w:val="xl59"/>
    <w:basedOn w:val="1"/>
    <w:qFormat/>
    <w:uiPriority w:val="0"/>
    <w:pPr>
      <w:widowControl/>
      <w:pBdr>
        <w:right w:val="single" w:color="auto" w:sz="4" w:space="0"/>
      </w:pBdr>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179">
    <w:name w:val="xl60"/>
    <w:basedOn w:val="1"/>
    <w:qFormat/>
    <w:uiPriority w:val="0"/>
    <w:pPr>
      <w:widowControl/>
      <w:pBdr>
        <w:top w:val="single" w:color="auto" w:sz="12" w:space="0"/>
        <w:bottom w:val="single" w:color="auto" w:sz="8" w:space="0"/>
      </w:pBdr>
      <w:spacing w:before="100" w:beforeAutospacing="1" w:after="100" w:afterAutospacing="1" w:line="240" w:lineRule="auto"/>
      <w:ind w:firstLine="0" w:firstLineChars="0"/>
      <w:jc w:val="center"/>
    </w:pPr>
    <w:rPr>
      <w:kern w:val="0"/>
      <w:sz w:val="18"/>
      <w:szCs w:val="18"/>
    </w:rPr>
  </w:style>
  <w:style w:type="paragraph" w:customStyle="1" w:styleId="1180">
    <w:name w:val="xl61"/>
    <w:basedOn w:val="1"/>
    <w:qFormat/>
    <w:uiPriority w:val="0"/>
    <w:pPr>
      <w:widowControl/>
      <w:pBdr>
        <w:top w:val="single" w:color="auto" w:sz="8" w:space="0"/>
        <w:bottom w:val="single" w:color="auto" w:sz="8" w:space="0"/>
      </w:pBdr>
      <w:spacing w:before="100" w:beforeAutospacing="1" w:after="100" w:afterAutospacing="1" w:line="240" w:lineRule="auto"/>
      <w:ind w:firstLine="0" w:firstLineChars="0"/>
      <w:jc w:val="center"/>
    </w:pPr>
    <w:rPr>
      <w:kern w:val="0"/>
      <w:sz w:val="18"/>
      <w:szCs w:val="18"/>
    </w:rPr>
  </w:style>
  <w:style w:type="paragraph" w:customStyle="1" w:styleId="1181">
    <w:name w:val="xl62"/>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center"/>
    </w:pPr>
    <w:rPr>
      <w:kern w:val="0"/>
      <w:sz w:val="18"/>
      <w:szCs w:val="18"/>
    </w:rPr>
  </w:style>
  <w:style w:type="paragraph" w:customStyle="1" w:styleId="1182">
    <w:name w:val="xl63"/>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center"/>
    </w:pPr>
    <w:rPr>
      <w:kern w:val="0"/>
      <w:sz w:val="18"/>
      <w:szCs w:val="18"/>
    </w:rPr>
  </w:style>
  <w:style w:type="paragraph" w:customStyle="1" w:styleId="1183">
    <w:name w:val="xl64"/>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center"/>
    </w:pPr>
    <w:rPr>
      <w:kern w:val="0"/>
      <w:sz w:val="18"/>
      <w:szCs w:val="18"/>
    </w:rPr>
  </w:style>
  <w:style w:type="paragraph" w:customStyle="1" w:styleId="1184">
    <w:name w:val="xl89"/>
    <w:basedOn w:val="1"/>
    <w:qFormat/>
    <w:uiPriority w:val="0"/>
    <w:pPr>
      <w:widowControl/>
      <w:shd w:val="clear" w:color="auto" w:fill="FFFF00"/>
      <w:spacing w:before="100" w:beforeAutospacing="1" w:after="100" w:afterAutospacing="1" w:line="240" w:lineRule="auto"/>
      <w:ind w:firstLine="0" w:firstLineChars="0"/>
      <w:jc w:val="center"/>
    </w:pPr>
    <w:rPr>
      <w:kern w:val="0"/>
      <w:sz w:val="18"/>
      <w:szCs w:val="18"/>
    </w:rPr>
  </w:style>
  <w:style w:type="paragraph" w:customStyle="1" w:styleId="1185">
    <w:name w:val="xl90"/>
    <w:basedOn w:val="1"/>
    <w:qFormat/>
    <w:uiPriority w:val="0"/>
    <w:pPr>
      <w:widowControl/>
      <w:pBdr>
        <w:top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1186">
    <w:name w:val="xl91"/>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1187">
    <w:name w:val="xl92"/>
    <w:basedOn w:val="1"/>
    <w:qFormat/>
    <w:uiPriority w:val="0"/>
    <w:pPr>
      <w:widowControl/>
      <w:spacing w:before="100" w:beforeAutospacing="1" w:after="100" w:afterAutospacing="1" w:line="240" w:lineRule="auto"/>
      <w:ind w:firstLine="0" w:firstLineChars="0"/>
      <w:jc w:val="center"/>
    </w:pPr>
    <w:rPr>
      <w:rFonts w:ascii="宋体" w:hAnsi="宋体" w:cs="宋体"/>
      <w:kern w:val="0"/>
    </w:rPr>
  </w:style>
  <w:style w:type="table" w:customStyle="1" w:styleId="1188">
    <w:name w:val="君邦1"/>
    <w:basedOn w:val="117"/>
    <w:qFormat/>
    <w:uiPriority w:val="0"/>
    <w:tblPr>
      <w:tblBorders>
        <w:top w:val="single" w:color="000000" w:sz="12" w:space="0"/>
        <w:bottom w:val="single" w:color="000000" w:sz="12" w:space="0"/>
        <w:insideH w:val="single" w:color="000000" w:sz="6" w:space="0"/>
        <w:insideV w:val="single" w:color="000000" w:sz="6" w:space="0"/>
      </w:tblBorders>
    </w:tblPr>
    <w:tblStylePr w:type="firstRow">
      <w:tcPr>
        <w:tcBorders>
          <w:top w:val="nil"/>
          <w:left w:val="single" w:color="000000" w:sz="12" w:space="0"/>
          <w:bottom w:val="nil"/>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189">
    <w:name w:val="表格样式2"/>
    <w:basedOn w:val="117"/>
    <w:qFormat/>
    <w:uiPriority w:val="0"/>
    <w:tblPr>
      <w:tblBorders>
        <w:top w:val="single" w:color="000000" w:sz="12" w:space="0"/>
        <w:bottom w:val="single" w:color="000000" w:sz="12" w:space="0"/>
        <w:insideH w:val="single" w:color="000000" w:sz="6" w:space="0"/>
        <w:insideV w:val="single" w:color="000000" w:sz="6" w:space="0"/>
      </w:tblBorders>
    </w:tblPr>
    <w:tblStylePr w:type="firstRow">
      <w:tcPr>
        <w:tcBorders>
          <w:top w:val="nil"/>
          <w:left w:val="single" w:color="000000" w:sz="12" w:space="0"/>
          <w:bottom w:val="nil"/>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190">
    <w:name w:val="表格样式1"/>
    <w:basedOn w:val="80"/>
    <w:qFormat/>
    <w:uiPriority w:val="0"/>
    <w:tblPr>
      <w:tblBorders>
        <w:top w:val="single" w:color="auto" w:sz="4" w:space="0"/>
        <w:bottom w:val="single" w:color="auto" w:sz="4" w:space="0"/>
        <w:insideH w:val="single" w:color="auto" w:sz="4" w:space="0"/>
        <w:insideV w:val="single" w:color="auto" w:sz="4" w:space="0"/>
      </w:tblBorders>
    </w:tblPr>
  </w:style>
  <w:style w:type="table" w:customStyle="1" w:styleId="1191">
    <w:name w:val="君邦专用"/>
    <w:basedOn w:val="80"/>
    <w:qFormat/>
    <w:uiPriority w:val="0"/>
    <w:pPr>
      <w:widowControl w:val="0"/>
      <w:jc w:val="both"/>
    </w:pPr>
    <w:tblPr>
      <w:tblBorders>
        <w:top w:val="single" w:color="auto" w:sz="12" w:space="0"/>
        <w:bottom w:val="single" w:color="auto" w:sz="12" w:space="0"/>
        <w:insideH w:val="single" w:color="auto" w:sz="4" w:space="0"/>
        <w:insideV w:val="single" w:color="auto" w:sz="4" w:space="0"/>
      </w:tblBorders>
    </w:tblPr>
  </w:style>
  <w:style w:type="paragraph" w:customStyle="1" w:styleId="1192">
    <w:name w:val="5文章(治)"/>
    <w:basedOn w:val="1193"/>
    <w:link w:val="1194"/>
    <w:qFormat/>
    <w:uiPriority w:val="0"/>
    <w:pPr>
      <w:spacing w:line="336" w:lineRule="auto"/>
      <w:ind w:firstLine="560"/>
    </w:pPr>
    <w:rPr>
      <w:rFonts w:eastAsia="楷体_GB2312"/>
      <w:color w:val="000000"/>
      <w:sz w:val="28"/>
      <w:szCs w:val="20"/>
    </w:rPr>
  </w:style>
  <w:style w:type="paragraph" w:customStyle="1" w:styleId="1193">
    <w:name w:val="5文章正文"/>
    <w:basedOn w:val="1"/>
    <w:next w:val="1"/>
    <w:link w:val="1376"/>
    <w:qFormat/>
    <w:uiPriority w:val="0"/>
    <w:pPr>
      <w:widowControl/>
      <w:jc w:val="left"/>
    </w:pPr>
    <w:rPr>
      <w:rFonts w:ascii="宋体" w:hAnsi="宋体" w:eastAsia="Times New Roman"/>
      <w:kern w:val="0"/>
    </w:rPr>
  </w:style>
  <w:style w:type="character" w:customStyle="1" w:styleId="1194">
    <w:name w:val="5文章(治) Char1"/>
    <w:link w:val="1192"/>
    <w:qFormat/>
    <w:uiPriority w:val="0"/>
    <w:rPr>
      <w:rFonts w:eastAsia="楷体_GB2312"/>
      <w:color w:val="000000"/>
      <w:kern w:val="2"/>
      <w:sz w:val="28"/>
    </w:rPr>
  </w:style>
  <w:style w:type="paragraph" w:customStyle="1" w:styleId="1195">
    <w:name w:val="L4"/>
    <w:basedOn w:val="1"/>
    <w:qFormat/>
    <w:uiPriority w:val="0"/>
    <w:pPr>
      <w:spacing w:line="480" w:lineRule="exact"/>
      <w:ind w:firstLine="496"/>
    </w:pPr>
    <w:rPr>
      <w:rFonts w:ascii="宋体" w:hAnsi="宋体" w:eastAsia="Times New Roman"/>
      <w:spacing w:val="4"/>
    </w:rPr>
  </w:style>
  <w:style w:type="paragraph" w:customStyle="1" w:styleId="1196">
    <w:name w:val="样式 小四 行距: 1.5 倍行距"/>
    <w:basedOn w:val="1"/>
    <w:qFormat/>
    <w:uiPriority w:val="0"/>
    <w:pPr>
      <w:tabs>
        <w:tab w:val="left" w:pos="5220"/>
      </w:tabs>
      <w:spacing w:line="240" w:lineRule="auto"/>
      <w:ind w:firstLine="480" w:firstLineChars="0"/>
    </w:pPr>
    <w:rPr>
      <w:rFonts w:ascii="宋体" w:hAnsi="宋体"/>
      <w:bCs/>
      <w:szCs w:val="22"/>
    </w:rPr>
  </w:style>
  <w:style w:type="paragraph" w:customStyle="1" w:styleId="1197">
    <w:name w:val="@ 二级标题"/>
    <w:basedOn w:val="3"/>
    <w:link w:val="1198"/>
    <w:qFormat/>
    <w:uiPriority w:val="0"/>
    <w:pPr>
      <w:numPr>
        <w:ilvl w:val="0"/>
        <w:numId w:val="0"/>
      </w:numPr>
      <w:tabs>
        <w:tab w:val="clear" w:pos="720"/>
      </w:tabs>
      <w:spacing w:before="960" w:beforeLines="50" w:after="960" w:afterLines="50" w:line="360" w:lineRule="auto"/>
    </w:pPr>
    <w:rPr>
      <w:snapToGrid/>
      <w:kern w:val="0"/>
      <w:szCs w:val="30"/>
    </w:rPr>
  </w:style>
  <w:style w:type="character" w:customStyle="1" w:styleId="1198">
    <w:name w:val="@ 二级标题 Char"/>
    <w:link w:val="1197"/>
    <w:qFormat/>
    <w:uiPriority w:val="0"/>
    <w:rPr>
      <w:b/>
      <w:bCs/>
      <w:sz w:val="30"/>
      <w:szCs w:val="30"/>
    </w:rPr>
  </w:style>
  <w:style w:type="character" w:customStyle="1" w:styleId="1199">
    <w:name w:val="5文章(治) Char"/>
    <w:qFormat/>
    <w:uiPriority w:val="0"/>
    <w:rPr>
      <w:snapToGrid w:val="0"/>
      <w:sz w:val="24"/>
      <w:szCs w:val="21"/>
    </w:rPr>
  </w:style>
  <w:style w:type="paragraph" w:customStyle="1" w:styleId="1200">
    <w:name w:val="啊啊三级标题"/>
    <w:basedOn w:val="19"/>
    <w:qFormat/>
    <w:uiPriority w:val="0"/>
    <w:pPr>
      <w:spacing w:line="360" w:lineRule="auto"/>
      <w:ind w:firstLine="0" w:firstLineChars="0"/>
      <w:jc w:val="left"/>
      <w:outlineLvl w:val="2"/>
    </w:pPr>
    <w:rPr>
      <w:rFonts w:ascii="Calibri" w:hAnsi="Calibri" w:eastAsia="宋体"/>
      <w:b/>
      <w:bCs/>
      <w:spacing w:val="0"/>
      <w:sz w:val="24"/>
      <w:szCs w:val="22"/>
    </w:rPr>
  </w:style>
  <w:style w:type="paragraph" w:customStyle="1" w:styleId="1201">
    <w:name w:val="啊啊表头"/>
    <w:basedOn w:val="1"/>
    <w:qFormat/>
    <w:uiPriority w:val="0"/>
    <w:pPr>
      <w:spacing w:beforeLines="50" w:line="240" w:lineRule="auto"/>
      <w:ind w:firstLine="0" w:firstLineChars="0"/>
      <w:jc w:val="center"/>
    </w:pPr>
    <w:rPr>
      <w:rFonts w:ascii="Calibri" w:hAnsi="Calibri" w:eastAsia="黑体"/>
      <w:bCs/>
      <w:szCs w:val="22"/>
    </w:rPr>
  </w:style>
  <w:style w:type="paragraph" w:customStyle="1" w:styleId="1202">
    <w:name w:val="@ 正文"/>
    <w:basedOn w:val="1"/>
    <w:link w:val="1203"/>
    <w:qFormat/>
    <w:uiPriority w:val="0"/>
    <w:pPr>
      <w:tabs>
        <w:tab w:val="left" w:pos="1980"/>
        <w:tab w:val="left" w:pos="3825"/>
        <w:tab w:val="left" w:pos="4680"/>
      </w:tabs>
      <w:jc w:val="left"/>
    </w:pPr>
    <w:rPr>
      <w:rFonts w:hAnsi="宋体" w:eastAsia="Times New Roman"/>
      <w:szCs w:val="21"/>
    </w:rPr>
  </w:style>
  <w:style w:type="character" w:customStyle="1" w:styleId="1203">
    <w:name w:val="@ 正文 Char"/>
    <w:link w:val="1202"/>
    <w:qFormat/>
    <w:uiPriority w:val="0"/>
    <w:rPr>
      <w:rFonts w:hAnsi="宋体" w:eastAsia="Times New Roman"/>
      <w:kern w:val="2"/>
      <w:sz w:val="24"/>
      <w:szCs w:val="21"/>
    </w:rPr>
  </w:style>
  <w:style w:type="paragraph" w:customStyle="1" w:styleId="1204">
    <w:name w:val="1表格头"/>
    <w:basedOn w:val="1"/>
    <w:semiHidden/>
    <w:qFormat/>
    <w:uiPriority w:val="0"/>
    <w:pPr>
      <w:snapToGrid w:val="0"/>
      <w:ind w:firstLine="0" w:firstLineChars="0"/>
      <w:jc w:val="center"/>
    </w:pPr>
    <w:rPr>
      <w:b/>
      <w:spacing w:val="4"/>
    </w:rPr>
  </w:style>
  <w:style w:type="paragraph" w:customStyle="1" w:styleId="1205">
    <w:name w:val="L表"/>
    <w:basedOn w:val="1"/>
    <w:qFormat/>
    <w:uiPriority w:val="0"/>
    <w:pPr>
      <w:spacing w:line="480" w:lineRule="exact"/>
      <w:ind w:firstLine="0" w:firstLineChars="0"/>
      <w:jc w:val="center"/>
    </w:pPr>
    <w:rPr>
      <w:b/>
      <w:snapToGrid w:val="0"/>
      <w:spacing w:val="4"/>
    </w:rPr>
  </w:style>
  <w:style w:type="paragraph" w:customStyle="1" w:styleId="1206">
    <w:name w:val="zhang正文"/>
    <w:basedOn w:val="32"/>
    <w:next w:val="1"/>
    <w:link w:val="1207"/>
    <w:qFormat/>
    <w:uiPriority w:val="99"/>
    <w:pPr>
      <w:widowControl w:val="0"/>
      <w:autoSpaceDE w:val="0"/>
      <w:autoSpaceDN w:val="0"/>
      <w:adjustRightInd w:val="0"/>
      <w:snapToGrid w:val="0"/>
      <w:spacing w:line="500" w:lineRule="exact"/>
      <w:ind w:firstLine="539"/>
      <w:textAlignment w:val="baseline"/>
    </w:pPr>
    <w:rPr>
      <w:rFonts w:eastAsia="楷体_GB2312"/>
      <w:color w:val="auto"/>
      <w:kern w:val="0"/>
      <w:sz w:val="28"/>
    </w:rPr>
  </w:style>
  <w:style w:type="character" w:customStyle="1" w:styleId="1207">
    <w:name w:val="zhang正文 Char1"/>
    <w:link w:val="1206"/>
    <w:qFormat/>
    <w:uiPriority w:val="0"/>
    <w:rPr>
      <w:rFonts w:eastAsia="楷体_GB2312"/>
      <w:sz w:val="28"/>
    </w:rPr>
  </w:style>
  <w:style w:type="paragraph" w:customStyle="1" w:styleId="1208">
    <w:name w:val="表格的字"/>
    <w:basedOn w:val="1"/>
    <w:link w:val="1209"/>
    <w:qFormat/>
    <w:uiPriority w:val="0"/>
    <w:pPr>
      <w:spacing w:line="240" w:lineRule="auto"/>
      <w:ind w:firstLine="0" w:firstLineChars="0"/>
      <w:jc w:val="center"/>
    </w:pPr>
    <w:rPr>
      <w:sz w:val="21"/>
    </w:rPr>
  </w:style>
  <w:style w:type="character" w:customStyle="1" w:styleId="1209">
    <w:name w:val="表格的字 Char"/>
    <w:link w:val="1208"/>
    <w:qFormat/>
    <w:uiPriority w:val="0"/>
    <w:rPr>
      <w:kern w:val="2"/>
      <w:sz w:val="21"/>
      <w:szCs w:val="24"/>
    </w:rPr>
  </w:style>
  <w:style w:type="paragraph" w:customStyle="1" w:styleId="1210">
    <w:name w:val="@三级标题"/>
    <w:basedOn w:val="1"/>
    <w:link w:val="1211"/>
    <w:qFormat/>
    <w:uiPriority w:val="0"/>
    <w:pPr>
      <w:tabs>
        <w:tab w:val="left" w:pos="1980"/>
        <w:tab w:val="left" w:pos="3825"/>
        <w:tab w:val="left" w:pos="4680"/>
      </w:tabs>
      <w:spacing w:beforeLines="50" w:afterLines="50"/>
      <w:ind w:firstLine="0" w:firstLineChars="0"/>
      <w:jc w:val="left"/>
      <w:outlineLvl w:val="2"/>
    </w:pPr>
    <w:rPr>
      <w:b/>
    </w:rPr>
  </w:style>
  <w:style w:type="character" w:customStyle="1" w:styleId="1211">
    <w:name w:val="@三级标题 Char"/>
    <w:link w:val="1210"/>
    <w:qFormat/>
    <w:uiPriority w:val="0"/>
    <w:rPr>
      <w:b/>
      <w:kern w:val="2"/>
      <w:sz w:val="24"/>
      <w:szCs w:val="24"/>
    </w:rPr>
  </w:style>
  <w:style w:type="character" w:customStyle="1" w:styleId="1212">
    <w:name w:val="纯文本 Char2"/>
    <w:qFormat/>
    <w:uiPriority w:val="0"/>
    <w:rPr>
      <w:rFonts w:ascii="宋体" w:hAnsi="Courier New" w:cs="Courier New"/>
      <w:kern w:val="2"/>
      <w:sz w:val="21"/>
      <w:szCs w:val="21"/>
    </w:rPr>
  </w:style>
  <w:style w:type="paragraph" w:customStyle="1" w:styleId="1213">
    <w:name w:val="表格标题标题"/>
    <w:basedOn w:val="1"/>
    <w:link w:val="1214"/>
    <w:qFormat/>
    <w:uiPriority w:val="0"/>
    <w:pPr>
      <w:adjustRightInd w:val="0"/>
      <w:snapToGrid w:val="0"/>
      <w:spacing w:line="240" w:lineRule="auto"/>
      <w:ind w:firstLine="0" w:firstLineChars="0"/>
      <w:jc w:val="center"/>
    </w:pPr>
    <w:rPr>
      <w:rFonts w:eastAsia="黑体"/>
      <w:b/>
      <w:kern w:val="18"/>
    </w:rPr>
  </w:style>
  <w:style w:type="character" w:customStyle="1" w:styleId="1214">
    <w:name w:val="表格标题标题 Char"/>
    <w:link w:val="1213"/>
    <w:qFormat/>
    <w:uiPriority w:val="0"/>
    <w:rPr>
      <w:rFonts w:eastAsia="黑体"/>
      <w:b/>
      <w:kern w:val="18"/>
      <w:sz w:val="24"/>
      <w:szCs w:val="24"/>
    </w:rPr>
  </w:style>
  <w:style w:type="paragraph" w:customStyle="1" w:styleId="1215">
    <w:name w:val="正本文字"/>
    <w:basedOn w:val="1"/>
    <w:link w:val="1216"/>
    <w:qFormat/>
    <w:uiPriority w:val="0"/>
    <w:pPr>
      <w:adjustRightInd w:val="0"/>
      <w:snapToGrid w:val="0"/>
      <w:spacing w:line="240" w:lineRule="auto"/>
      <w:ind w:firstLine="480" w:firstLineChars="0"/>
    </w:pPr>
    <w:rPr>
      <w:kern w:val="18"/>
    </w:rPr>
  </w:style>
  <w:style w:type="character" w:customStyle="1" w:styleId="1216">
    <w:name w:val="正本文字 Char"/>
    <w:link w:val="1215"/>
    <w:qFormat/>
    <w:uiPriority w:val="0"/>
    <w:rPr>
      <w:kern w:val="18"/>
      <w:sz w:val="24"/>
      <w:szCs w:val="24"/>
    </w:rPr>
  </w:style>
  <w:style w:type="paragraph" w:customStyle="1" w:styleId="1217">
    <w:name w:val="表格中文字"/>
    <w:basedOn w:val="1"/>
    <w:link w:val="1218"/>
    <w:qFormat/>
    <w:uiPriority w:val="0"/>
    <w:pPr>
      <w:adjustRightInd w:val="0"/>
      <w:snapToGrid w:val="0"/>
      <w:spacing w:line="240" w:lineRule="auto"/>
      <w:ind w:firstLine="0" w:firstLineChars="0"/>
      <w:jc w:val="center"/>
    </w:pPr>
    <w:rPr>
      <w:kern w:val="18"/>
      <w:sz w:val="21"/>
      <w:szCs w:val="21"/>
    </w:rPr>
  </w:style>
  <w:style w:type="character" w:customStyle="1" w:styleId="1218">
    <w:name w:val="表格中文字 Char"/>
    <w:link w:val="1217"/>
    <w:qFormat/>
    <w:uiPriority w:val="0"/>
    <w:rPr>
      <w:kern w:val="18"/>
      <w:sz w:val="21"/>
      <w:szCs w:val="21"/>
    </w:rPr>
  </w:style>
  <w:style w:type="paragraph" w:customStyle="1" w:styleId="1219">
    <w:name w:val="7表格"/>
    <w:qFormat/>
    <w:uiPriority w:val="0"/>
    <w:pPr>
      <w:jc w:val="center"/>
    </w:pPr>
    <w:rPr>
      <w:rFonts w:ascii="Times New Roman" w:hAnsi="Times New Roman" w:eastAsia="宋体" w:cs="Times New Roman"/>
      <w:sz w:val="21"/>
      <w:lang w:val="en-US" w:eastAsia="zh-CN" w:bidi="ar-SA"/>
    </w:rPr>
  </w:style>
  <w:style w:type="character" w:styleId="1220">
    <w:name w:val="Placeholder Text"/>
    <w:unhideWhenUsed/>
    <w:qFormat/>
    <w:uiPriority w:val="99"/>
    <w:rPr>
      <w:color w:val="808080"/>
    </w:rPr>
  </w:style>
  <w:style w:type="paragraph" w:customStyle="1" w:styleId="1221">
    <w:name w:val="2标题"/>
    <w:basedOn w:val="3"/>
    <w:qFormat/>
    <w:uiPriority w:val="0"/>
    <w:pPr>
      <w:widowControl w:val="0"/>
      <w:numPr>
        <w:ilvl w:val="0"/>
        <w:numId w:val="0"/>
      </w:numPr>
      <w:tabs>
        <w:tab w:val="clear" w:pos="720"/>
      </w:tabs>
      <w:spacing w:before="0" w:beforeLines="0" w:after="0" w:afterLines="0" w:line="360" w:lineRule="auto"/>
      <w:jc w:val="both"/>
    </w:pPr>
    <w:rPr>
      <w:rFonts w:eastAsia="黑体"/>
      <w:bCs w:val="0"/>
      <w:snapToGrid/>
      <w:kern w:val="2"/>
      <w:sz w:val="32"/>
      <w:szCs w:val="20"/>
    </w:rPr>
  </w:style>
  <w:style w:type="paragraph" w:customStyle="1" w:styleId="1222">
    <w:name w:val="3标题"/>
    <w:basedOn w:val="4"/>
    <w:qFormat/>
    <w:uiPriority w:val="0"/>
    <w:pPr>
      <w:numPr>
        <w:ilvl w:val="0"/>
        <w:numId w:val="0"/>
      </w:numPr>
      <w:tabs>
        <w:tab w:val="clear" w:pos="720"/>
        <w:tab w:val="clear" w:pos="816"/>
      </w:tabs>
      <w:adjustRightInd w:val="0"/>
      <w:spacing w:before="0" w:beforeLines="0" w:after="0" w:afterLines="0" w:line="360" w:lineRule="auto"/>
      <w:textAlignment w:val="baseline"/>
    </w:pPr>
    <w:rPr>
      <w:rFonts w:eastAsia="黑体"/>
      <w:bCs w:val="0"/>
      <w:kern w:val="0"/>
      <w:szCs w:val="28"/>
    </w:rPr>
  </w:style>
  <w:style w:type="paragraph" w:customStyle="1" w:styleId="1223">
    <w:name w:val="4文章"/>
    <w:basedOn w:val="1"/>
    <w:qFormat/>
    <w:uiPriority w:val="0"/>
    <w:pPr>
      <w:ind w:firstLine="0" w:firstLineChars="0"/>
    </w:pPr>
    <w:rPr>
      <w:color w:val="FF0000"/>
      <w:szCs w:val="21"/>
    </w:rPr>
  </w:style>
  <w:style w:type="paragraph" w:customStyle="1" w:styleId="1224">
    <w:name w:val="5表(图)头"/>
    <w:next w:val="1223"/>
    <w:qFormat/>
    <w:uiPriority w:val="0"/>
    <w:pPr>
      <w:widowControl w:val="0"/>
      <w:adjustRightInd w:val="0"/>
      <w:snapToGrid w:val="0"/>
      <w:spacing w:line="360" w:lineRule="auto"/>
      <w:jc w:val="center"/>
    </w:pPr>
    <w:rPr>
      <w:rFonts w:ascii="Times New Roman" w:hAnsi="Times New Roman" w:eastAsia="宋体" w:cs="Times New Roman"/>
      <w:b/>
      <w:bCs/>
      <w:color w:val="00B050"/>
      <w:sz w:val="24"/>
      <w:lang w:val="en-US" w:eastAsia="zh-CN" w:bidi="ar-SA"/>
    </w:rPr>
  </w:style>
  <w:style w:type="paragraph" w:customStyle="1" w:styleId="1225">
    <w:name w:val="Char Char Char Char4"/>
    <w:basedOn w:val="1"/>
    <w:qFormat/>
    <w:uiPriority w:val="0"/>
    <w:rPr>
      <w:rFonts w:ascii="宋体" w:hAnsi="宋体" w:cs="宋体"/>
    </w:rPr>
  </w:style>
  <w:style w:type="paragraph" w:customStyle="1" w:styleId="1226">
    <w:name w:val="4标题"/>
    <w:basedOn w:val="1"/>
    <w:next w:val="1"/>
    <w:link w:val="1227"/>
    <w:qFormat/>
    <w:uiPriority w:val="0"/>
    <w:pPr>
      <w:adjustRightInd w:val="0"/>
      <w:snapToGrid w:val="0"/>
      <w:ind w:firstLine="0" w:firstLineChars="0"/>
      <w:outlineLvl w:val="3"/>
    </w:pPr>
    <w:rPr>
      <w:rFonts w:eastAsia="黑体"/>
      <w:kern w:val="0"/>
      <w:sz w:val="28"/>
      <w:szCs w:val="20"/>
    </w:rPr>
  </w:style>
  <w:style w:type="character" w:customStyle="1" w:styleId="1227">
    <w:name w:val="4标题 Char Char"/>
    <w:link w:val="1226"/>
    <w:qFormat/>
    <w:uiPriority w:val="0"/>
    <w:rPr>
      <w:rFonts w:eastAsia="黑体"/>
      <w:sz w:val="28"/>
    </w:rPr>
  </w:style>
  <w:style w:type="paragraph" w:customStyle="1" w:styleId="1228">
    <w:name w:val="Char Char Char Char3"/>
    <w:basedOn w:val="1"/>
    <w:qFormat/>
    <w:uiPriority w:val="0"/>
    <w:rPr>
      <w:rFonts w:ascii="宋体" w:hAnsi="宋体" w:cs="宋体"/>
    </w:rPr>
  </w:style>
  <w:style w:type="paragraph" w:customStyle="1" w:styleId="1229">
    <w:name w:val="正文文字"/>
    <w:basedOn w:val="1"/>
    <w:link w:val="1230"/>
    <w:qFormat/>
    <w:uiPriority w:val="0"/>
    <w:pPr>
      <w:adjustRightInd w:val="0"/>
      <w:snapToGrid w:val="0"/>
      <w:ind w:firstLine="480"/>
    </w:pPr>
  </w:style>
  <w:style w:type="character" w:customStyle="1" w:styleId="1230">
    <w:name w:val="正文文字 Char"/>
    <w:link w:val="1229"/>
    <w:qFormat/>
    <w:uiPriority w:val="0"/>
    <w:rPr>
      <w:kern w:val="2"/>
      <w:sz w:val="24"/>
      <w:szCs w:val="24"/>
    </w:rPr>
  </w:style>
  <w:style w:type="paragraph" w:customStyle="1" w:styleId="1231">
    <w:name w:val="z正文"/>
    <w:basedOn w:val="32"/>
    <w:qFormat/>
    <w:uiPriority w:val="0"/>
    <w:pPr>
      <w:autoSpaceDE w:val="0"/>
      <w:autoSpaceDN w:val="0"/>
      <w:adjustRightInd w:val="0"/>
      <w:snapToGrid w:val="0"/>
      <w:spacing w:line="360" w:lineRule="auto"/>
      <w:ind w:firstLine="200" w:firstLineChars="200"/>
      <w:textAlignment w:val="baseline"/>
    </w:pPr>
    <w:rPr>
      <w:rFonts w:ascii="宋体"/>
      <w:color w:val="auto"/>
      <w:kern w:val="0"/>
    </w:rPr>
  </w:style>
  <w:style w:type="paragraph" w:customStyle="1" w:styleId="1232">
    <w:name w:val="1表格"/>
    <w:basedOn w:val="1"/>
    <w:qFormat/>
    <w:uiPriority w:val="0"/>
    <w:pPr>
      <w:snapToGrid w:val="0"/>
      <w:spacing w:line="240" w:lineRule="auto"/>
      <w:ind w:firstLine="0" w:firstLineChars="0"/>
      <w:jc w:val="center"/>
    </w:pPr>
    <w:rPr>
      <w:sz w:val="21"/>
      <w:szCs w:val="21"/>
    </w:rPr>
  </w:style>
  <w:style w:type="paragraph" w:customStyle="1" w:styleId="1233">
    <w:name w:val="Char Char Char Char Char Char Char Char Char Char Char Char Char Char Char Char Char Char Char Char Char Char Char Char Char"/>
    <w:basedOn w:val="1"/>
    <w:qFormat/>
    <w:uiPriority w:val="0"/>
    <w:pPr>
      <w:widowControl/>
      <w:spacing w:line="240" w:lineRule="auto"/>
      <w:ind w:firstLine="0" w:firstLineChars="0"/>
      <w:jc w:val="left"/>
    </w:pPr>
    <w:rPr>
      <w:rFonts w:ascii="Calibri" w:hAnsi="Calibri"/>
    </w:rPr>
  </w:style>
  <w:style w:type="paragraph" w:customStyle="1" w:styleId="1234">
    <w:name w:val="啊啊一级标题"/>
    <w:basedOn w:val="19"/>
    <w:qFormat/>
    <w:uiPriority w:val="0"/>
    <w:pPr>
      <w:widowControl/>
      <w:spacing w:before="240" w:after="360" w:line="360" w:lineRule="auto"/>
      <w:ind w:firstLine="0" w:firstLineChars="0"/>
      <w:jc w:val="center"/>
      <w:outlineLvl w:val="0"/>
    </w:pPr>
    <w:rPr>
      <w:rFonts w:ascii="Calibri" w:hAnsi="Calibri" w:eastAsia="宋体"/>
      <w:b/>
      <w:bCs/>
      <w:spacing w:val="0"/>
      <w:sz w:val="30"/>
    </w:rPr>
  </w:style>
  <w:style w:type="paragraph" w:customStyle="1" w:styleId="1235">
    <w:name w:val="1章"/>
    <w:basedOn w:val="1"/>
    <w:next w:val="1"/>
    <w:qFormat/>
    <w:uiPriority w:val="0"/>
    <w:pPr>
      <w:widowControl/>
      <w:ind w:firstLine="0" w:firstLineChars="0"/>
      <w:jc w:val="center"/>
      <w:outlineLvl w:val="0"/>
    </w:pPr>
    <w:rPr>
      <w:rFonts w:ascii="黑体" w:hAnsi="宋体" w:eastAsia="黑体"/>
      <w:b/>
      <w:bCs/>
      <w:sz w:val="44"/>
      <w:szCs w:val="44"/>
    </w:rPr>
  </w:style>
  <w:style w:type="paragraph" w:customStyle="1" w:styleId="1236">
    <w:name w:val="陈图例"/>
    <w:basedOn w:val="1"/>
    <w:qFormat/>
    <w:uiPriority w:val="0"/>
    <w:pPr>
      <w:widowControl/>
      <w:spacing w:beforeLines="50"/>
      <w:ind w:firstLine="0" w:firstLineChars="0"/>
      <w:jc w:val="center"/>
    </w:pPr>
    <w:rPr>
      <w:rFonts w:ascii="Calibri" w:hAnsi="Calibri" w:eastAsia="黑体"/>
      <w:color w:val="000000"/>
      <w:kern w:val="0"/>
      <w:sz w:val="28"/>
      <w:szCs w:val="20"/>
    </w:rPr>
  </w:style>
  <w:style w:type="paragraph" w:customStyle="1" w:styleId="1237">
    <w:name w:val="p0"/>
    <w:basedOn w:val="1"/>
    <w:qFormat/>
    <w:uiPriority w:val="0"/>
    <w:pPr>
      <w:widowControl/>
      <w:spacing w:line="240" w:lineRule="auto"/>
      <w:ind w:firstLine="0" w:firstLineChars="0"/>
      <w:jc w:val="left"/>
    </w:pPr>
    <w:rPr>
      <w:rFonts w:ascii="宋体" w:hAnsi="宋体" w:cs="宋体"/>
      <w:kern w:val="0"/>
    </w:rPr>
  </w:style>
  <w:style w:type="paragraph" w:customStyle="1" w:styleId="1238">
    <w:name w:val="正文（小四）"/>
    <w:qFormat/>
    <w:uiPriority w:val="0"/>
    <w:pPr>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1239">
    <w:name w:val="样式 样式 样式 首行缩进:  2 字符 + 居中 + 行距: 固定值 17 磅"/>
    <w:basedOn w:val="1"/>
    <w:qFormat/>
    <w:uiPriority w:val="0"/>
    <w:pPr>
      <w:widowControl/>
      <w:adjustRightInd w:val="0"/>
      <w:snapToGrid w:val="0"/>
      <w:spacing w:line="340" w:lineRule="exact"/>
      <w:ind w:firstLine="0" w:firstLineChars="0"/>
      <w:jc w:val="center"/>
    </w:pPr>
    <w:rPr>
      <w:rFonts w:ascii="宋体" w:hAnsi="Calibri"/>
      <w:color w:val="000000"/>
      <w:sz w:val="21"/>
      <w:szCs w:val="20"/>
    </w:rPr>
  </w:style>
  <w:style w:type="paragraph" w:customStyle="1" w:styleId="1240">
    <w:name w:val="样式 宋体 黑色 居中"/>
    <w:basedOn w:val="1"/>
    <w:qFormat/>
    <w:uiPriority w:val="0"/>
    <w:pPr>
      <w:widowControl/>
      <w:ind w:firstLine="0" w:firstLineChars="0"/>
      <w:jc w:val="center"/>
    </w:pPr>
    <w:rPr>
      <w:rFonts w:ascii="宋体" w:hAnsi="宋体" w:eastAsia="黑体"/>
      <w:bCs/>
    </w:rPr>
  </w:style>
  <w:style w:type="character" w:customStyle="1" w:styleId="1241">
    <w:name w:val="正文 Char"/>
    <w:qFormat/>
    <w:uiPriority w:val="0"/>
    <w:rPr>
      <w:kern w:val="2"/>
      <w:sz w:val="21"/>
      <w:szCs w:val="21"/>
      <w:lang w:bidi="ar-SA"/>
    </w:rPr>
  </w:style>
  <w:style w:type="paragraph" w:customStyle="1" w:styleId="1242">
    <w:name w:val="7表格(治)"/>
    <w:link w:val="1243"/>
    <w:qFormat/>
    <w:uiPriority w:val="0"/>
    <w:pPr>
      <w:jc w:val="center"/>
    </w:pPr>
    <w:rPr>
      <w:rFonts w:ascii="Times New Roman" w:hAnsi="Times New Roman" w:eastAsia="宋体" w:cs="Times New Roman"/>
      <w:sz w:val="21"/>
      <w:lang w:val="en-US" w:eastAsia="zh-CN" w:bidi="ar-SA"/>
    </w:rPr>
  </w:style>
  <w:style w:type="character" w:customStyle="1" w:styleId="1243">
    <w:name w:val="7表格(治) Char"/>
    <w:link w:val="1242"/>
    <w:qFormat/>
    <w:uiPriority w:val="0"/>
    <w:rPr>
      <w:sz w:val="21"/>
      <w:lang w:bidi="ar-SA"/>
    </w:rPr>
  </w:style>
  <w:style w:type="paragraph" w:customStyle="1" w:styleId="1244">
    <w:name w:val="1文章"/>
    <w:basedOn w:val="1"/>
    <w:qFormat/>
    <w:uiPriority w:val="0"/>
    <w:pPr>
      <w:snapToGrid w:val="0"/>
      <w:spacing w:line="420" w:lineRule="auto"/>
      <w:ind w:firstLine="454" w:firstLineChars="0"/>
      <w:outlineLvl w:val="4"/>
    </w:pPr>
    <w:rPr>
      <w:spacing w:val="4"/>
    </w:rPr>
  </w:style>
  <w:style w:type="character" w:customStyle="1" w:styleId="1245">
    <w:name w:val="apple-converted-space"/>
    <w:qFormat/>
    <w:uiPriority w:val="0"/>
  </w:style>
  <w:style w:type="paragraph" w:customStyle="1" w:styleId="1246">
    <w:name w:val="文"/>
    <w:qFormat/>
    <w:uiPriority w:val="0"/>
    <w:pPr>
      <w:spacing w:line="360" w:lineRule="auto"/>
      <w:ind w:firstLine="200" w:firstLineChars="200"/>
      <w:jc w:val="both"/>
    </w:pPr>
    <w:rPr>
      <w:rFonts w:ascii="宋体" w:hAnsi="Times New Roman" w:eastAsia="宋体" w:cs="Times New Roman"/>
      <w:bCs/>
      <w:sz w:val="24"/>
      <w:szCs w:val="28"/>
      <w:lang w:val="en-US" w:eastAsia="zh-CN" w:bidi="ar-SA"/>
    </w:rPr>
  </w:style>
  <w:style w:type="character" w:customStyle="1" w:styleId="1247">
    <w:name w:val="bjh-p"/>
    <w:qFormat/>
    <w:uiPriority w:val="0"/>
  </w:style>
  <w:style w:type="character" w:customStyle="1" w:styleId="1248">
    <w:name w:val="环评文本 Char"/>
    <w:qFormat/>
    <w:uiPriority w:val="0"/>
    <w:rPr>
      <w:rFonts w:ascii="宋体" w:hAnsi="宋体"/>
      <w:kern w:val="2"/>
      <w:sz w:val="24"/>
      <w:szCs w:val="24"/>
    </w:rPr>
  </w:style>
  <w:style w:type="paragraph" w:customStyle="1" w:styleId="1249">
    <w:name w:val="规划正文"/>
    <w:basedOn w:val="1"/>
    <w:qFormat/>
    <w:uiPriority w:val="0"/>
    <w:pPr>
      <w:adjustRightInd w:val="0"/>
      <w:ind w:firstLine="539" w:firstLineChars="0"/>
    </w:pPr>
    <w:rPr>
      <w:rFonts w:ascii="宋体" w:hAnsi="宋体" w:eastAsia="仿宋_GB2312"/>
      <w:kern w:val="0"/>
      <w:sz w:val="28"/>
      <w:szCs w:val="20"/>
    </w:rPr>
  </w:style>
  <w:style w:type="paragraph" w:customStyle="1" w:styleId="1250">
    <w:name w:val="Char Char Char Char Char Char Char Char Char Char Char Char Char"/>
    <w:basedOn w:val="1"/>
    <w:qFormat/>
    <w:uiPriority w:val="0"/>
    <w:rPr>
      <w:rFonts w:ascii="宋体" w:hAnsi="宋体" w:cs="宋体"/>
    </w:rPr>
  </w:style>
  <w:style w:type="paragraph" w:customStyle="1" w:styleId="1251">
    <w:name w:val="Title.3"/>
    <w:next w:val="1"/>
    <w:qFormat/>
    <w:uiPriority w:val="0"/>
    <w:pPr>
      <w:keepNext/>
      <w:keepLines/>
      <w:spacing w:beforeLines="50" w:line="360" w:lineRule="auto"/>
      <w:outlineLvl w:val="2"/>
    </w:pPr>
    <w:rPr>
      <w:rFonts w:ascii="Times New Roman" w:hAnsi="Times New Roman" w:eastAsia="仿宋_GB2312" w:cs="Times New Roman"/>
      <w:sz w:val="28"/>
      <w:lang w:val="en-US" w:eastAsia="zh-CN" w:bidi="ar-SA"/>
    </w:rPr>
  </w:style>
  <w:style w:type="paragraph" w:customStyle="1" w:styleId="1252">
    <w:name w:val="批注框文本 Char Char"/>
    <w:basedOn w:val="1"/>
    <w:qFormat/>
    <w:uiPriority w:val="0"/>
    <w:pPr>
      <w:ind w:firstLine="0" w:firstLineChars="0"/>
    </w:pPr>
    <w:rPr>
      <w:rFonts w:ascii="宋体" w:hAnsi="宋体"/>
      <w:sz w:val="18"/>
      <w:szCs w:val="20"/>
    </w:rPr>
  </w:style>
  <w:style w:type="paragraph" w:customStyle="1" w:styleId="1253">
    <w:name w:val="MTDisplayEquation"/>
    <w:basedOn w:val="1"/>
    <w:next w:val="1"/>
    <w:qFormat/>
    <w:uiPriority w:val="0"/>
    <w:pPr>
      <w:tabs>
        <w:tab w:val="center" w:pos="4160"/>
        <w:tab w:val="right" w:pos="8300"/>
      </w:tabs>
      <w:spacing w:line="460" w:lineRule="exact"/>
      <w:ind w:firstLine="480"/>
    </w:pPr>
  </w:style>
  <w:style w:type="paragraph" w:customStyle="1" w:styleId="1254">
    <w:name w:val="az"/>
    <w:basedOn w:val="1"/>
    <w:qFormat/>
    <w:uiPriority w:val="0"/>
    <w:pPr>
      <w:spacing w:line="240" w:lineRule="auto"/>
      <w:outlineLvl w:val="2"/>
    </w:pPr>
  </w:style>
  <w:style w:type="character" w:customStyle="1" w:styleId="1255">
    <w:name w:val="1正文段落 Char"/>
    <w:link w:val="1256"/>
    <w:qFormat/>
    <w:uiPriority w:val="0"/>
    <w:rPr>
      <w:rFonts w:ascii="宋体" w:hAnsi="宋体"/>
      <w:snapToGrid/>
      <w:sz w:val="24"/>
      <w:szCs w:val="24"/>
    </w:rPr>
  </w:style>
  <w:style w:type="paragraph" w:customStyle="1" w:styleId="1256">
    <w:name w:val="1正文段落"/>
    <w:basedOn w:val="1"/>
    <w:link w:val="1255"/>
    <w:qFormat/>
    <w:uiPriority w:val="0"/>
    <w:pPr>
      <w:snapToGrid w:val="0"/>
      <w:jc w:val="left"/>
    </w:pPr>
    <w:rPr>
      <w:rFonts w:ascii="宋体" w:hAnsi="宋体"/>
      <w:snapToGrid w:val="0"/>
      <w:kern w:val="0"/>
    </w:rPr>
  </w:style>
  <w:style w:type="paragraph" w:customStyle="1" w:styleId="1257">
    <w:name w:val="Char Char11"/>
    <w:basedOn w:val="1"/>
    <w:qFormat/>
    <w:uiPriority w:val="0"/>
    <w:pPr>
      <w:spacing w:line="240" w:lineRule="auto"/>
      <w:ind w:firstLine="0" w:firstLineChars="0"/>
    </w:pPr>
    <w:rPr>
      <w:sz w:val="21"/>
      <w:szCs w:val="21"/>
    </w:rPr>
  </w:style>
  <w:style w:type="paragraph" w:customStyle="1" w:styleId="1258">
    <w:name w:val="_Style 11"/>
    <w:basedOn w:val="1"/>
    <w:next w:val="1"/>
    <w:qFormat/>
    <w:uiPriority w:val="0"/>
    <w:pPr>
      <w:spacing w:after="120" w:line="480" w:lineRule="auto"/>
      <w:ind w:firstLine="0" w:firstLineChars="0"/>
    </w:pPr>
    <w:rPr>
      <w:sz w:val="21"/>
      <w:szCs w:val="20"/>
    </w:rPr>
  </w:style>
  <w:style w:type="paragraph" w:customStyle="1" w:styleId="1259">
    <w:name w:val="Default Paragraph Font Para Char Char Char"/>
    <w:basedOn w:val="1"/>
    <w:qFormat/>
    <w:uiPriority w:val="0"/>
    <w:pPr>
      <w:widowControl/>
      <w:spacing w:after="160" w:line="240" w:lineRule="exact"/>
      <w:ind w:firstLine="0" w:firstLineChars="0"/>
      <w:jc w:val="left"/>
    </w:pPr>
    <w:rPr>
      <w:rFonts w:ascii="Verdana" w:hAnsi="Verdana" w:eastAsia="Times New Roman"/>
      <w:kern w:val="0"/>
      <w:sz w:val="20"/>
      <w:szCs w:val="20"/>
      <w:lang w:eastAsia="en-US"/>
    </w:rPr>
  </w:style>
  <w:style w:type="paragraph" w:customStyle="1" w:styleId="1260">
    <w:name w:val="样式 标题 1 + 小二"/>
    <w:basedOn w:val="2"/>
    <w:qFormat/>
    <w:uiPriority w:val="0"/>
    <w:pPr>
      <w:widowControl w:val="0"/>
      <w:numPr>
        <w:ilvl w:val="0"/>
        <w:numId w:val="0"/>
      </w:numPr>
      <w:tabs>
        <w:tab w:val="left" w:pos="360"/>
      </w:tabs>
      <w:spacing w:before="240" w:beforeLines="0" w:after="120" w:afterLines="0" w:line="480" w:lineRule="auto"/>
    </w:pPr>
    <w:rPr>
      <w:rFonts w:ascii="黑体" w:hAnsi="Arial" w:eastAsia="黑体" w:cs="Arial"/>
      <w:snapToGrid/>
      <w:kern w:val="44"/>
      <w:sz w:val="36"/>
      <w:szCs w:val="30"/>
    </w:rPr>
  </w:style>
  <w:style w:type="paragraph" w:customStyle="1" w:styleId="1261">
    <w:name w:val="Char Char Char Char Char Char Char Char Char1 Char Char Char Char Char Char Char"/>
    <w:basedOn w:val="1"/>
    <w:qFormat/>
    <w:uiPriority w:val="0"/>
    <w:pPr>
      <w:snapToGrid w:val="0"/>
      <w:spacing w:line="240" w:lineRule="auto"/>
      <w:ind w:left="360" w:hangingChars="150" w:firstLine="0"/>
    </w:pPr>
    <w:rPr>
      <w:rFonts w:ascii="仿宋_GB2312" w:hAnsi="宋体" w:eastAsia="仿宋_GB2312"/>
      <w:b/>
      <w:color w:val="000000"/>
      <w:spacing w:val="-2"/>
      <w:sz w:val="32"/>
      <w:szCs w:val="32"/>
    </w:rPr>
  </w:style>
  <w:style w:type="paragraph" w:customStyle="1" w:styleId="1262">
    <w:name w:val="Char Char Char Char Char Char1 Char Char Char1 Char"/>
    <w:basedOn w:val="1"/>
    <w:qFormat/>
    <w:uiPriority w:val="0"/>
    <w:pPr>
      <w:widowControl/>
      <w:spacing w:after="160" w:line="240" w:lineRule="exact"/>
      <w:ind w:firstLine="0" w:firstLineChars="0"/>
      <w:jc w:val="left"/>
    </w:pPr>
    <w:rPr>
      <w:sz w:val="21"/>
      <w:szCs w:val="20"/>
    </w:rPr>
  </w:style>
  <w:style w:type="character" w:customStyle="1" w:styleId="1263">
    <w:name w:val="表头图头 Char"/>
    <w:link w:val="1264"/>
    <w:qFormat/>
    <w:uiPriority w:val="0"/>
    <w:rPr>
      <w:rFonts w:ascii="宋体" w:hAnsi="宋体"/>
      <w:b/>
      <w:color w:val="000000"/>
      <w:kern w:val="2"/>
      <w:sz w:val="24"/>
      <w:szCs w:val="24"/>
    </w:rPr>
  </w:style>
  <w:style w:type="paragraph" w:customStyle="1" w:styleId="1264">
    <w:name w:val="表头图头"/>
    <w:basedOn w:val="31"/>
    <w:next w:val="1"/>
    <w:link w:val="1263"/>
    <w:qFormat/>
    <w:uiPriority w:val="0"/>
    <w:pPr>
      <w:keepLines/>
      <w:widowControl/>
      <w:spacing w:line="240" w:lineRule="auto"/>
      <w:ind w:firstLine="0" w:firstLineChars="0"/>
      <w:jc w:val="center"/>
      <w:outlineLvl w:val="3"/>
    </w:pPr>
    <w:rPr>
      <w:rFonts w:ascii="宋体" w:hAnsi="宋体"/>
      <w:b/>
      <w:color w:val="000000"/>
      <w:szCs w:val="24"/>
    </w:rPr>
  </w:style>
  <w:style w:type="paragraph" w:customStyle="1" w:styleId="1265">
    <w:name w:val="三级标题"/>
    <w:basedOn w:val="1"/>
    <w:next w:val="1"/>
    <w:qFormat/>
    <w:uiPriority w:val="0"/>
    <w:pPr>
      <w:spacing w:line="240" w:lineRule="auto"/>
      <w:ind w:firstLine="0" w:firstLineChars="0"/>
      <w:outlineLvl w:val="2"/>
    </w:pPr>
    <w:rPr>
      <w:rFonts w:ascii="Plotter" w:hAnsi="Plotter"/>
      <w:sz w:val="21"/>
      <w:szCs w:val="20"/>
    </w:rPr>
  </w:style>
  <w:style w:type="paragraph" w:customStyle="1" w:styleId="1266">
    <w:name w:val="样式 题注 + (中文) 华文仿宋 加粗"/>
    <w:basedOn w:val="20"/>
    <w:qFormat/>
    <w:uiPriority w:val="0"/>
    <w:pPr>
      <w:spacing w:before="0" w:after="0" w:line="240" w:lineRule="auto"/>
      <w:ind w:firstLine="480"/>
    </w:pPr>
    <w:rPr>
      <w:rFonts w:hAnsi="华文仿宋" w:eastAsia="华文仿宋"/>
      <w:b/>
      <w:bCs/>
      <w:sz w:val="21"/>
      <w:szCs w:val="21"/>
    </w:rPr>
  </w:style>
  <w:style w:type="paragraph" w:customStyle="1" w:styleId="1267">
    <w:name w:val="表格内容五号"/>
    <w:basedOn w:val="1"/>
    <w:qFormat/>
    <w:uiPriority w:val="0"/>
    <w:pPr>
      <w:ind w:firstLine="0" w:firstLineChars="0"/>
      <w:jc w:val="center"/>
    </w:pPr>
    <w:rPr>
      <w:rFonts w:ascii="宋体" w:hAnsi="宋体"/>
      <w:sz w:val="21"/>
      <w:szCs w:val="20"/>
    </w:rPr>
  </w:style>
  <w:style w:type="character" w:customStyle="1" w:styleId="1268">
    <w:name w:val="表格标题 Char Char"/>
    <w:qFormat/>
    <w:uiPriority w:val="0"/>
    <w:rPr>
      <w:rFonts w:ascii="宋体" w:hAnsi="宋体" w:eastAsia="宋体"/>
      <w:b/>
      <w:sz w:val="24"/>
      <w:lang w:val="en-US" w:eastAsia="zh-CN" w:bidi="ar-SA"/>
    </w:rPr>
  </w:style>
  <w:style w:type="paragraph" w:customStyle="1" w:styleId="1269">
    <w:name w:val="正式文字"/>
    <w:basedOn w:val="1"/>
    <w:qFormat/>
    <w:uiPriority w:val="0"/>
    <w:pPr>
      <w:adjustRightInd w:val="0"/>
      <w:snapToGrid w:val="0"/>
      <w:ind w:firstLine="567" w:firstLineChars="0"/>
    </w:pPr>
    <w:rPr>
      <w:rFonts w:ascii="宋体"/>
      <w:color w:val="000000"/>
      <w:kern w:val="0"/>
      <w:sz w:val="28"/>
      <w:szCs w:val="30"/>
    </w:rPr>
  </w:style>
  <w:style w:type="character" w:customStyle="1" w:styleId="1270">
    <w:name w:val="1正文1 Char"/>
    <w:link w:val="1271"/>
    <w:qFormat/>
    <w:uiPriority w:val="0"/>
    <w:rPr>
      <w:rFonts w:ascii="宋体" w:hAnsi="宋体"/>
      <w:kern w:val="2"/>
      <w:sz w:val="28"/>
      <w:szCs w:val="24"/>
    </w:rPr>
  </w:style>
  <w:style w:type="paragraph" w:customStyle="1" w:styleId="1271">
    <w:name w:val="1正文1"/>
    <w:basedOn w:val="1"/>
    <w:link w:val="1270"/>
    <w:qFormat/>
    <w:uiPriority w:val="0"/>
    <w:pPr>
      <w:tabs>
        <w:tab w:val="left" w:pos="5430"/>
      </w:tabs>
      <w:adjustRightInd w:val="0"/>
      <w:snapToGrid w:val="0"/>
    </w:pPr>
    <w:rPr>
      <w:rFonts w:ascii="宋体" w:hAnsi="宋体"/>
      <w:sz w:val="28"/>
    </w:rPr>
  </w:style>
  <w:style w:type="paragraph" w:customStyle="1" w:styleId="1272">
    <w:name w:val="样式 正文（首行缩进两字） + 行距: 固定值 20 磅"/>
    <w:basedOn w:val="19"/>
    <w:qFormat/>
    <w:uiPriority w:val="0"/>
    <w:pPr>
      <w:spacing w:afterLines="20" w:line="400" w:lineRule="exact"/>
      <w:ind w:firstLine="480"/>
    </w:pPr>
    <w:rPr>
      <w:rFonts w:ascii="Times New Roman" w:eastAsia="宋体" w:cs="宋体"/>
      <w:spacing w:val="0"/>
      <w:sz w:val="24"/>
      <w:szCs w:val="20"/>
    </w:rPr>
  </w:style>
  <w:style w:type="paragraph" w:customStyle="1" w:styleId="1273">
    <w:name w:val="表内容"/>
    <w:basedOn w:val="1"/>
    <w:qFormat/>
    <w:uiPriority w:val="99"/>
    <w:pPr>
      <w:widowControl/>
      <w:adjustRightInd w:val="0"/>
      <w:snapToGrid w:val="0"/>
      <w:spacing w:line="240" w:lineRule="auto"/>
      <w:ind w:firstLine="0" w:firstLineChars="0"/>
      <w:jc w:val="center"/>
    </w:pPr>
    <w:rPr>
      <w:kern w:val="0"/>
      <w:sz w:val="21"/>
    </w:rPr>
  </w:style>
  <w:style w:type="paragraph" w:customStyle="1" w:styleId="1274">
    <w:name w:val="T表头"/>
    <w:next w:val="1"/>
    <w:qFormat/>
    <w:uiPriority w:val="0"/>
    <w:pPr>
      <w:keepNext/>
      <w:keepLines/>
      <w:spacing w:line="360" w:lineRule="auto"/>
      <w:jc w:val="center"/>
    </w:pPr>
    <w:rPr>
      <w:rFonts w:ascii="Times New Roman" w:hAnsi="Times New Roman" w:eastAsia="黑体" w:cs="Times New Roman"/>
      <w:sz w:val="28"/>
      <w:lang w:val="en-US" w:eastAsia="zh-CN" w:bidi="ar-SA"/>
    </w:rPr>
  </w:style>
  <w:style w:type="paragraph" w:customStyle="1" w:styleId="1275">
    <w:name w:val="1"/>
    <w:basedOn w:val="1"/>
    <w:next w:val="37"/>
    <w:qFormat/>
    <w:uiPriority w:val="0"/>
    <w:pPr>
      <w:spacing w:line="300" w:lineRule="exact"/>
      <w:ind w:left="-57" w:right="-57" w:firstLine="0" w:firstLineChars="0"/>
      <w:jc w:val="center"/>
    </w:pPr>
    <w:rPr>
      <w:rFonts w:ascii="宋体" w:hAnsi="宋体"/>
      <w:bCs/>
      <w:color w:val="000000"/>
      <w:sz w:val="18"/>
    </w:rPr>
  </w:style>
  <w:style w:type="paragraph" w:customStyle="1" w:styleId="1276">
    <w:name w:val="样式 四号"/>
    <w:basedOn w:val="1"/>
    <w:qFormat/>
    <w:uiPriority w:val="0"/>
    <w:pPr>
      <w:spacing w:line="240" w:lineRule="auto"/>
      <w:ind w:firstLine="560"/>
    </w:pPr>
    <w:rPr>
      <w:szCs w:val="20"/>
    </w:rPr>
  </w:style>
  <w:style w:type="paragraph" w:customStyle="1" w:styleId="1277">
    <w:name w:val="样式 标题 3 + Times New Roman Char Char Char"/>
    <w:basedOn w:val="4"/>
    <w:qFormat/>
    <w:uiPriority w:val="0"/>
    <w:pPr>
      <w:widowControl w:val="0"/>
      <w:numPr>
        <w:ilvl w:val="0"/>
        <w:numId w:val="0"/>
      </w:numPr>
      <w:tabs>
        <w:tab w:val="left" w:pos="360"/>
        <w:tab w:val="clear" w:pos="816"/>
      </w:tabs>
      <w:adjustRightInd w:val="0"/>
      <w:snapToGrid w:val="0"/>
      <w:spacing w:before="0" w:beforeLines="100" w:after="0" w:line="412" w:lineRule="auto"/>
      <w:jc w:val="both"/>
    </w:pPr>
    <w:rPr>
      <w:rFonts w:ascii="宋体" w:hAnsi="宋体" w:cs="Arial"/>
      <w:b w:val="0"/>
      <w:kern w:val="0"/>
      <w:szCs w:val="30"/>
    </w:rPr>
  </w:style>
  <w:style w:type="paragraph" w:customStyle="1" w:styleId="1278">
    <w:name w:val="样式 四号 行距: 1.5 倍行距"/>
    <w:basedOn w:val="1"/>
    <w:qFormat/>
    <w:uiPriority w:val="0"/>
    <w:pPr>
      <w:ind w:firstLine="560"/>
    </w:pPr>
    <w:rPr>
      <w:szCs w:val="20"/>
    </w:rPr>
  </w:style>
  <w:style w:type="paragraph" w:customStyle="1" w:styleId="1279">
    <w:name w:val="图表头"/>
    <w:basedOn w:val="1"/>
    <w:qFormat/>
    <w:uiPriority w:val="0"/>
    <w:pPr>
      <w:adjustRightInd w:val="0"/>
      <w:ind w:firstLine="0" w:firstLineChars="0"/>
      <w:jc w:val="center"/>
    </w:pPr>
    <w:rPr>
      <w:rFonts w:ascii="黑体" w:eastAsia="黑体"/>
      <w:spacing w:val="5"/>
      <w:kern w:val="0"/>
      <w:sz w:val="21"/>
      <w:szCs w:val="20"/>
    </w:rPr>
  </w:style>
  <w:style w:type="paragraph" w:customStyle="1" w:styleId="1280">
    <w:name w:val="Char Char Char Char Char Char Char Char Char Char Char Char Char Char Char Char Char Char Char Char Char Char Char Char Char Char Char"/>
    <w:basedOn w:val="1"/>
    <w:qFormat/>
    <w:uiPriority w:val="0"/>
    <w:pPr>
      <w:spacing w:line="240" w:lineRule="auto"/>
      <w:ind w:firstLine="0" w:firstLineChars="0"/>
    </w:pPr>
    <w:rPr>
      <w:rFonts w:ascii="仿宋_GB2312" w:eastAsia="仿宋_GB2312"/>
      <w:b/>
      <w:sz w:val="32"/>
      <w:szCs w:val="32"/>
    </w:rPr>
  </w:style>
  <w:style w:type="character" w:customStyle="1" w:styleId="1281">
    <w:name w:val="EIA文本样式 Char"/>
    <w:link w:val="1282"/>
    <w:qFormat/>
    <w:uiPriority w:val="0"/>
    <w:rPr>
      <w:rFonts w:ascii="宋体" w:hAnsi="宋体"/>
      <w:color w:val="000000"/>
      <w:spacing w:val="-6"/>
      <w:kern w:val="2"/>
      <w:sz w:val="24"/>
      <w:szCs w:val="21"/>
    </w:rPr>
  </w:style>
  <w:style w:type="paragraph" w:customStyle="1" w:styleId="1282">
    <w:name w:val="EIA文本样式"/>
    <w:basedOn w:val="1"/>
    <w:link w:val="1281"/>
    <w:qFormat/>
    <w:uiPriority w:val="0"/>
    <w:pPr>
      <w:tabs>
        <w:tab w:val="left" w:pos="0"/>
        <w:tab w:val="left" w:pos="540"/>
      </w:tabs>
      <w:ind w:firstLine="456"/>
      <w:jc w:val="left"/>
    </w:pPr>
    <w:rPr>
      <w:rFonts w:ascii="宋体" w:hAnsi="宋体"/>
      <w:color w:val="000000"/>
      <w:spacing w:val="-6"/>
      <w:szCs w:val="21"/>
    </w:rPr>
  </w:style>
  <w:style w:type="paragraph" w:customStyle="1" w:styleId="1283">
    <w:name w:val="标题44"/>
    <w:basedOn w:val="883"/>
    <w:qFormat/>
    <w:uiPriority w:val="0"/>
    <w:pPr>
      <w:tabs>
        <w:tab w:val="clear" w:pos="851"/>
      </w:tabs>
      <w:snapToGrid w:val="0"/>
      <w:spacing w:after="0" w:line="120" w:lineRule="auto"/>
      <w:ind w:left="0" w:firstLine="0"/>
      <w:outlineLvl w:val="9"/>
    </w:pPr>
    <w:rPr>
      <w:b w:val="0"/>
      <w:bCs/>
      <w:szCs w:val="32"/>
    </w:rPr>
  </w:style>
  <w:style w:type="paragraph" w:customStyle="1" w:styleId="1284">
    <w:name w:val="书正文(不缩进)"/>
    <w:basedOn w:val="1"/>
    <w:qFormat/>
    <w:uiPriority w:val="0"/>
    <w:pPr>
      <w:spacing w:line="420" w:lineRule="exact"/>
      <w:ind w:firstLine="0" w:firstLineChars="0"/>
      <w:jc w:val="center"/>
    </w:pPr>
    <w:rPr>
      <w:sz w:val="28"/>
    </w:rPr>
  </w:style>
  <w:style w:type="paragraph" w:customStyle="1" w:styleId="1285">
    <w:name w:val="表格式"/>
    <w:basedOn w:val="1"/>
    <w:qFormat/>
    <w:uiPriority w:val="0"/>
    <w:pPr>
      <w:spacing w:line="480" w:lineRule="exact"/>
      <w:ind w:firstLine="0" w:firstLineChars="0"/>
      <w:jc w:val="center"/>
    </w:pPr>
    <w:rPr>
      <w:rFonts w:ascii="宋体"/>
      <w:sz w:val="21"/>
      <w:szCs w:val="20"/>
    </w:rPr>
  </w:style>
  <w:style w:type="paragraph" w:customStyle="1" w:styleId="1286">
    <w:name w:val="T表格"/>
    <w:link w:val="1287"/>
    <w:qFormat/>
    <w:uiPriority w:val="0"/>
    <w:pPr>
      <w:jc w:val="center"/>
    </w:pPr>
    <w:rPr>
      <w:rFonts w:ascii="Times New Roman" w:hAnsi="Times New Roman" w:eastAsia="宋体" w:cs="Times New Roman"/>
      <w:sz w:val="21"/>
      <w:lang w:val="en-US" w:eastAsia="zh-CN" w:bidi="ar-SA"/>
    </w:rPr>
  </w:style>
  <w:style w:type="character" w:customStyle="1" w:styleId="1287">
    <w:name w:val="T表格 Char"/>
    <w:link w:val="1286"/>
    <w:qFormat/>
    <w:uiPriority w:val="0"/>
    <w:rPr>
      <w:sz w:val="21"/>
      <w:lang w:bidi="ar-SA"/>
    </w:rPr>
  </w:style>
  <w:style w:type="paragraph" w:customStyle="1" w:styleId="1288">
    <w:name w:val="c"/>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1289">
    <w:name w:val="表格字体"/>
    <w:basedOn w:val="1"/>
    <w:link w:val="1290"/>
    <w:qFormat/>
    <w:uiPriority w:val="0"/>
    <w:pPr>
      <w:snapToGrid w:val="0"/>
      <w:spacing w:line="400" w:lineRule="exact"/>
      <w:ind w:firstLine="0"/>
      <w:jc w:val="center"/>
    </w:pPr>
    <w:rPr>
      <w:rFonts w:ascii="仿宋_GB2312" w:eastAsia="仿宋_GB2312"/>
      <w:spacing w:val="2"/>
      <w:kern w:val="0"/>
      <w:sz w:val="21"/>
      <w:szCs w:val="20"/>
    </w:rPr>
  </w:style>
  <w:style w:type="character" w:customStyle="1" w:styleId="1290">
    <w:name w:val="表格字体 Char"/>
    <w:link w:val="1289"/>
    <w:qFormat/>
    <w:uiPriority w:val="0"/>
    <w:rPr>
      <w:rFonts w:ascii="仿宋_GB2312" w:eastAsia="仿宋_GB2312"/>
      <w:spacing w:val="2"/>
      <w:sz w:val="21"/>
    </w:rPr>
  </w:style>
  <w:style w:type="paragraph" w:customStyle="1" w:styleId="1291">
    <w:name w:val="表内式样"/>
    <w:qFormat/>
    <w:uiPriority w:val="0"/>
    <w:pPr>
      <w:keepLines/>
      <w:widowControl w:val="0"/>
      <w:kinsoku w:val="0"/>
      <w:overflowPunct w:val="0"/>
      <w:adjustRightInd w:val="0"/>
      <w:jc w:val="center"/>
    </w:pPr>
    <w:rPr>
      <w:rFonts w:ascii="宋体" w:hAnsi="Times New Roman" w:eastAsia="宋体" w:cs="Times New Roman"/>
      <w:sz w:val="21"/>
      <w:szCs w:val="21"/>
      <w:lang w:val="en-US" w:eastAsia="zh-CN" w:bidi="ar-SA"/>
    </w:rPr>
  </w:style>
  <w:style w:type="paragraph" w:customStyle="1" w:styleId="1292">
    <w:name w:val="表格名称6"/>
    <w:basedOn w:val="1"/>
    <w:qFormat/>
    <w:uiPriority w:val="0"/>
    <w:pPr>
      <w:tabs>
        <w:tab w:val="left" w:pos="900"/>
      </w:tabs>
      <w:spacing w:beforeLines="20" w:afterLines="20"/>
      <w:ind w:left="900" w:hanging="420" w:firstLineChars="0"/>
      <w:jc w:val="center"/>
    </w:pPr>
    <w:rPr>
      <w:b/>
      <w:szCs w:val="20"/>
    </w:rPr>
  </w:style>
  <w:style w:type="paragraph" w:customStyle="1" w:styleId="1293">
    <w:name w:val="样式 标题 3H3B Head条标题1.1.1ReHead 3 WSAh3三级 标题 3三级 + 四号 黑色"/>
    <w:basedOn w:val="4"/>
    <w:qFormat/>
    <w:uiPriority w:val="0"/>
    <w:pPr>
      <w:keepNext w:val="0"/>
      <w:keepLines w:val="0"/>
      <w:widowControl w:val="0"/>
      <w:numPr>
        <w:ilvl w:val="0"/>
        <w:numId w:val="0"/>
      </w:numPr>
      <w:tabs>
        <w:tab w:val="clear" w:pos="816"/>
      </w:tabs>
      <w:snapToGrid w:val="0"/>
      <w:spacing w:before="120" w:beforeLines="0" w:after="0" w:afterLines="0" w:line="360" w:lineRule="auto"/>
      <w:ind w:left="720" w:hanging="720"/>
    </w:pPr>
    <w:rPr>
      <w:rFonts w:ascii="宋体" w:hAnsi="宋体" w:cs="Arial"/>
      <w:color w:val="000000"/>
      <w:szCs w:val="30"/>
    </w:rPr>
  </w:style>
  <w:style w:type="paragraph" w:customStyle="1" w:styleId="1294">
    <w:name w:val="文章正文 Char"/>
    <w:basedOn w:val="19"/>
    <w:qFormat/>
    <w:uiPriority w:val="0"/>
    <w:pPr>
      <w:spacing w:line="520" w:lineRule="exact"/>
      <w:ind w:firstLine="200"/>
    </w:pPr>
    <w:rPr>
      <w:rFonts w:ascii="宋体" w:hAnsi="宋体" w:eastAsia="宋体"/>
      <w:spacing w:val="0"/>
      <w:sz w:val="24"/>
      <w:szCs w:val="20"/>
    </w:rPr>
  </w:style>
  <w:style w:type="paragraph" w:customStyle="1" w:styleId="1295">
    <w:name w:val="样式 标题 2标题二 + 段前: 0.5 行 段后: 0.5 行"/>
    <w:basedOn w:val="3"/>
    <w:qFormat/>
    <w:uiPriority w:val="0"/>
    <w:pPr>
      <w:widowControl w:val="0"/>
      <w:numPr>
        <w:ilvl w:val="0"/>
        <w:numId w:val="0"/>
      </w:numPr>
      <w:tabs>
        <w:tab w:val="left" w:pos="360"/>
        <w:tab w:val="clear" w:pos="720"/>
      </w:tabs>
      <w:spacing w:before="0" w:beforeLines="50" w:after="0" w:afterLines="50" w:line="360" w:lineRule="auto"/>
      <w:jc w:val="both"/>
    </w:pPr>
    <w:rPr>
      <w:rFonts w:ascii="黑体" w:hAnsi="宋体" w:eastAsia="黑体" w:cs="宋体"/>
      <w:snapToGrid/>
      <w:kern w:val="0"/>
      <w:szCs w:val="20"/>
    </w:rPr>
  </w:style>
  <w:style w:type="paragraph" w:customStyle="1" w:styleId="1296">
    <w:name w:val="Char Char Char Char Char2 Char Char Char1 Char Char Char1 Char Char Char Char Char Char1 Char Char Char1 Char Char Char Char 字元 字元"/>
    <w:basedOn w:val="1"/>
    <w:qFormat/>
    <w:uiPriority w:val="0"/>
    <w:rPr>
      <w:rFonts w:ascii="宋体" w:hAnsi="宋体" w:cs="宋体"/>
    </w:rPr>
  </w:style>
  <w:style w:type="character" w:customStyle="1" w:styleId="1297">
    <w:name w:val="下标"/>
    <w:qFormat/>
    <w:uiPriority w:val="0"/>
    <w:rPr>
      <w:rFonts w:hint="default" w:ascii="Times New Roman" w:hAnsi="Times New Roman" w:eastAsia="宋体" w:cs="Times New Roman"/>
      <w:spacing w:val="0"/>
      <w:position w:val="-7"/>
      <w:sz w:val="18"/>
    </w:rPr>
  </w:style>
  <w:style w:type="character" w:customStyle="1" w:styleId="1298">
    <w:name w:val="表格头 Char"/>
    <w:qFormat/>
    <w:uiPriority w:val="0"/>
    <w:rPr>
      <w:rFonts w:hint="eastAsia" w:ascii="黑体" w:hAnsi="宋体" w:eastAsia="黑体"/>
      <w:kern w:val="2"/>
      <w:sz w:val="24"/>
      <w:lang w:val="en-US" w:eastAsia="zh-CN" w:bidi="ar-SA"/>
    </w:rPr>
  </w:style>
  <w:style w:type="character" w:customStyle="1" w:styleId="1299">
    <w:name w:val="ca-1"/>
    <w:qFormat/>
    <w:uiPriority w:val="0"/>
  </w:style>
  <w:style w:type="paragraph" w:customStyle="1" w:styleId="1300">
    <w:name w:val="表格内容5号不居中"/>
    <w:basedOn w:val="1267"/>
    <w:qFormat/>
    <w:uiPriority w:val="0"/>
    <w:pPr>
      <w:spacing w:line="240" w:lineRule="auto"/>
      <w:jc w:val="left"/>
    </w:pPr>
    <w:rPr>
      <w:rFonts w:ascii="仿宋_GB2312"/>
      <w:color w:val="000000"/>
      <w:szCs w:val="24"/>
    </w:rPr>
  </w:style>
  <w:style w:type="paragraph" w:customStyle="1" w:styleId="1301">
    <w:name w:val=" Char2"/>
    <w:basedOn w:val="1"/>
    <w:qFormat/>
    <w:uiPriority w:val="0"/>
    <w:pPr>
      <w:snapToGrid w:val="0"/>
      <w:spacing w:line="440" w:lineRule="atLeast"/>
    </w:pPr>
    <w:rPr>
      <w:rFonts w:ascii="宋体"/>
    </w:rPr>
  </w:style>
  <w:style w:type="character" w:customStyle="1" w:styleId="1302">
    <w:name w:val="4正文 Char Char"/>
    <w:link w:val="1303"/>
    <w:qFormat/>
    <w:uiPriority w:val="0"/>
    <w:rPr>
      <w:rFonts w:cs="宋体"/>
      <w:kern w:val="2"/>
      <w:sz w:val="24"/>
    </w:rPr>
  </w:style>
  <w:style w:type="paragraph" w:customStyle="1" w:styleId="1303">
    <w:name w:val="4正文"/>
    <w:basedOn w:val="1"/>
    <w:link w:val="1302"/>
    <w:qFormat/>
    <w:uiPriority w:val="0"/>
    <w:pPr>
      <w:ind w:firstLine="480"/>
    </w:pPr>
    <w:rPr>
      <w:szCs w:val="20"/>
    </w:rPr>
  </w:style>
  <w:style w:type="paragraph" w:customStyle="1" w:styleId="1304">
    <w:name w:val="a表格"/>
    <w:basedOn w:val="1"/>
    <w:qFormat/>
    <w:uiPriority w:val="0"/>
    <w:pPr>
      <w:widowControl/>
      <w:snapToGrid w:val="0"/>
      <w:spacing w:line="240" w:lineRule="auto"/>
      <w:ind w:firstLine="0" w:firstLineChars="0"/>
      <w:jc w:val="center"/>
    </w:pPr>
    <w:rPr>
      <w:rFonts w:ascii="宋体" w:hAnsi="宋体" w:cs="宋体"/>
      <w:kern w:val="0"/>
      <w:szCs w:val="21"/>
    </w:rPr>
  </w:style>
  <w:style w:type="paragraph" w:customStyle="1" w:styleId="1305">
    <w:name w:val="表内样式"/>
    <w:basedOn w:val="1"/>
    <w:next w:val="1"/>
    <w:qFormat/>
    <w:uiPriority w:val="0"/>
    <w:pPr>
      <w:spacing w:line="240" w:lineRule="auto"/>
      <w:ind w:firstLine="0" w:firstLineChars="0"/>
      <w:jc w:val="center"/>
    </w:pPr>
    <w:rPr>
      <w:kern w:val="0"/>
      <w:sz w:val="21"/>
    </w:rPr>
  </w:style>
  <w:style w:type="character" w:customStyle="1" w:styleId="1306">
    <w:name w:val="标题33 Char"/>
    <w:link w:val="1307"/>
    <w:qFormat/>
    <w:uiPriority w:val="0"/>
    <w:rPr>
      <w:rFonts w:eastAsia="黑体"/>
      <w:sz w:val="28"/>
      <w:szCs w:val="30"/>
    </w:rPr>
  </w:style>
  <w:style w:type="paragraph" w:customStyle="1" w:styleId="1307">
    <w:name w:val="标题33"/>
    <w:basedOn w:val="1"/>
    <w:link w:val="1306"/>
    <w:qFormat/>
    <w:uiPriority w:val="0"/>
    <w:pPr>
      <w:tabs>
        <w:tab w:val="left" w:pos="3840"/>
      </w:tabs>
      <w:ind w:firstLine="0" w:firstLineChars="0"/>
      <w:outlineLvl w:val="2"/>
    </w:pPr>
    <w:rPr>
      <w:rFonts w:eastAsia="黑体"/>
      <w:kern w:val="0"/>
      <w:sz w:val="28"/>
      <w:szCs w:val="30"/>
    </w:rPr>
  </w:style>
  <w:style w:type="paragraph" w:customStyle="1" w:styleId="1308">
    <w:name w:val="表格5号"/>
    <w:basedOn w:val="1"/>
    <w:qFormat/>
    <w:uiPriority w:val="0"/>
    <w:pPr>
      <w:widowControl/>
      <w:autoSpaceDE w:val="0"/>
      <w:autoSpaceDN w:val="0"/>
      <w:adjustRightInd w:val="0"/>
      <w:spacing w:line="300" w:lineRule="exact"/>
      <w:ind w:firstLine="0" w:firstLineChars="0"/>
      <w:jc w:val="center"/>
    </w:pPr>
    <w:rPr>
      <w:rFonts w:ascii="宋体"/>
      <w:kern w:val="0"/>
      <w:sz w:val="21"/>
      <w:szCs w:val="19"/>
    </w:rPr>
  </w:style>
  <w:style w:type="character" w:customStyle="1" w:styleId="1309">
    <w:name w:val="5文章(治) Char Char"/>
    <w:qFormat/>
    <w:uiPriority w:val="0"/>
    <w:rPr>
      <w:rFonts w:eastAsia="宋体" w:cs="Tahoma"/>
      <w:snapToGrid w:val="0"/>
      <w:sz w:val="24"/>
      <w:szCs w:val="21"/>
      <w:lang w:val="en-US" w:eastAsia="zh-CN" w:bidi="ar-SA"/>
    </w:rPr>
  </w:style>
  <w:style w:type="character" w:customStyle="1" w:styleId="1310">
    <w:name w:val="4正文 Char"/>
    <w:qFormat/>
    <w:uiPriority w:val="0"/>
    <w:rPr>
      <w:rFonts w:ascii="Times New Roman" w:hAnsi="Times New Roman" w:eastAsia="宋体" w:cs="宋体"/>
      <w:sz w:val="24"/>
      <w:szCs w:val="20"/>
    </w:rPr>
  </w:style>
  <w:style w:type="table" w:customStyle="1" w:styleId="1311">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1312">
    <w:name w:val="Table Paragraph"/>
    <w:basedOn w:val="1"/>
    <w:qFormat/>
    <w:uiPriority w:val="1"/>
    <w:pPr>
      <w:autoSpaceDE w:val="0"/>
      <w:autoSpaceDN w:val="0"/>
      <w:spacing w:line="240" w:lineRule="auto"/>
      <w:ind w:firstLine="0" w:firstLineChars="0"/>
      <w:jc w:val="center"/>
    </w:pPr>
    <w:rPr>
      <w:rFonts w:ascii="宋体" w:hAnsi="宋体" w:cs="宋体"/>
      <w:kern w:val="0"/>
      <w:sz w:val="22"/>
      <w:szCs w:val="22"/>
      <w:lang w:eastAsia="en-US"/>
    </w:rPr>
  </w:style>
  <w:style w:type="character" w:customStyle="1" w:styleId="1313">
    <w:name w:val="表格的格式 Char"/>
    <w:link w:val="1314"/>
    <w:qFormat/>
    <w:uiPriority w:val="0"/>
    <w:rPr>
      <w:sz w:val="21"/>
      <w:szCs w:val="21"/>
    </w:rPr>
  </w:style>
  <w:style w:type="paragraph" w:customStyle="1" w:styleId="1314">
    <w:name w:val="表格的格式"/>
    <w:basedOn w:val="1"/>
    <w:link w:val="1313"/>
    <w:qFormat/>
    <w:uiPriority w:val="0"/>
    <w:pPr>
      <w:spacing w:line="240" w:lineRule="auto"/>
      <w:ind w:firstLine="0" w:firstLineChars="0"/>
      <w:jc w:val="center"/>
    </w:pPr>
    <w:rPr>
      <w:kern w:val="0"/>
      <w:sz w:val="21"/>
      <w:szCs w:val="21"/>
    </w:rPr>
  </w:style>
  <w:style w:type="table" w:customStyle="1" w:styleId="1315">
    <w:name w:val="报告表格1"/>
    <w:basedOn w:val="80"/>
    <w:qFormat/>
    <w:uiPriority w:val="0"/>
    <w:pPr>
      <w:jc w:val="center"/>
    </w:pPr>
    <w:rPr>
      <w:sz w:val="21"/>
      <w:szCs w:val="21"/>
    </w:rPr>
    <w:tblPr>
      <w:tblBorders>
        <w:top w:val="single" w:color="auto" w:sz="12" w:space="0"/>
        <w:bottom w:val="single" w:color="auto" w:sz="12" w:space="0"/>
        <w:insideH w:val="single" w:color="auto" w:sz="6" w:space="0"/>
        <w:insideV w:val="single" w:color="auto" w:sz="6" w:space="0"/>
      </w:tblBorders>
    </w:tblPr>
    <w:tcPr>
      <w:shd w:val="clear" w:color="auto" w:fill="auto"/>
      <w:vAlign w:val="center"/>
    </w:tcPr>
  </w:style>
  <w:style w:type="character" w:customStyle="1" w:styleId="1316">
    <w:name w:val="fontstyle01"/>
    <w:qFormat/>
    <w:uiPriority w:val="0"/>
    <w:rPr>
      <w:rFonts w:hint="eastAsia" w:ascii="宋体" w:hAnsi="宋体" w:eastAsia="宋体"/>
      <w:color w:val="000000"/>
      <w:sz w:val="24"/>
      <w:szCs w:val="24"/>
    </w:rPr>
  </w:style>
  <w:style w:type="character" w:customStyle="1" w:styleId="1317">
    <w:name w:val="fontstyle21"/>
    <w:qFormat/>
    <w:uiPriority w:val="0"/>
    <w:rPr>
      <w:rFonts w:hint="default" w:ascii="TimesNewRomanPSMT" w:hAnsi="TimesNewRomanPSMT"/>
      <w:color w:val="000000"/>
      <w:sz w:val="24"/>
      <w:szCs w:val="24"/>
    </w:rPr>
  </w:style>
  <w:style w:type="character" w:customStyle="1" w:styleId="1318">
    <w:name w:val="fontstyle11"/>
    <w:qFormat/>
    <w:uiPriority w:val="0"/>
    <w:rPr>
      <w:rFonts w:hint="default" w:ascii="TimesNewRomanPSMT" w:hAnsi="TimesNewRomanPSMT"/>
      <w:color w:val="000000"/>
      <w:sz w:val="24"/>
      <w:szCs w:val="24"/>
    </w:rPr>
  </w:style>
  <w:style w:type="paragraph" w:customStyle="1" w:styleId="1319">
    <w:name w:val="111正文的格式"/>
    <w:basedOn w:val="1"/>
    <w:link w:val="1320"/>
    <w:qFormat/>
    <w:uiPriority w:val="0"/>
    <w:pPr>
      <w:adjustRightInd w:val="0"/>
      <w:snapToGrid w:val="0"/>
    </w:pPr>
    <w:rPr>
      <w:bCs/>
      <w:kern w:val="0"/>
    </w:rPr>
  </w:style>
  <w:style w:type="character" w:customStyle="1" w:styleId="1320">
    <w:name w:val="111正文的格式 Char"/>
    <w:link w:val="1319"/>
    <w:qFormat/>
    <w:uiPriority w:val="0"/>
    <w:rPr>
      <w:bCs/>
      <w:sz w:val="24"/>
      <w:szCs w:val="24"/>
    </w:rPr>
  </w:style>
  <w:style w:type="paragraph" w:customStyle="1" w:styleId="1321">
    <w:name w:val="111表格"/>
    <w:basedOn w:val="1"/>
    <w:link w:val="1322"/>
    <w:qFormat/>
    <w:uiPriority w:val="0"/>
    <w:pPr>
      <w:spacing w:line="240" w:lineRule="auto"/>
      <w:ind w:firstLine="0" w:firstLineChars="0"/>
      <w:jc w:val="center"/>
    </w:pPr>
    <w:rPr>
      <w:color w:val="C00000"/>
      <w:sz w:val="21"/>
      <w:szCs w:val="21"/>
    </w:rPr>
  </w:style>
  <w:style w:type="character" w:customStyle="1" w:styleId="1322">
    <w:name w:val="111表格 Char"/>
    <w:link w:val="1321"/>
    <w:qFormat/>
    <w:uiPriority w:val="0"/>
    <w:rPr>
      <w:color w:val="C00000"/>
      <w:kern w:val="2"/>
      <w:sz w:val="21"/>
      <w:szCs w:val="21"/>
    </w:rPr>
  </w:style>
  <w:style w:type="paragraph" w:customStyle="1" w:styleId="1323">
    <w:name w:val="11正文"/>
    <w:basedOn w:val="450"/>
    <w:link w:val="1324"/>
    <w:qFormat/>
    <w:uiPriority w:val="0"/>
    <w:pPr>
      <w:adjustRightInd w:val="0"/>
      <w:snapToGrid w:val="0"/>
      <w:ind w:firstLine="200"/>
    </w:pPr>
    <w:rPr>
      <w:color w:val="0000FF"/>
    </w:rPr>
  </w:style>
  <w:style w:type="character" w:customStyle="1" w:styleId="1324">
    <w:name w:val="11正文 Char"/>
    <w:link w:val="1323"/>
    <w:qFormat/>
    <w:uiPriority w:val="0"/>
    <w:rPr>
      <w:color w:val="0000FF"/>
      <w:kern w:val="2"/>
      <w:sz w:val="24"/>
      <w:szCs w:val="24"/>
    </w:rPr>
  </w:style>
  <w:style w:type="character" w:customStyle="1" w:styleId="1325">
    <w:name w:val="标题3 Char"/>
    <w:link w:val="1326"/>
    <w:qFormat/>
    <w:uiPriority w:val="0"/>
    <w:rPr>
      <w:rFonts w:eastAsia="黑体"/>
      <w:color w:val="000000"/>
      <w:sz w:val="30"/>
      <w:szCs w:val="24"/>
      <w:lang w:bidi="he-IL"/>
    </w:rPr>
  </w:style>
  <w:style w:type="paragraph" w:customStyle="1" w:styleId="1326">
    <w:name w:val="标题3"/>
    <w:basedOn w:val="1"/>
    <w:next w:val="851"/>
    <w:link w:val="1325"/>
    <w:qFormat/>
    <w:uiPriority w:val="0"/>
    <w:pPr>
      <w:ind w:firstLine="0" w:firstLineChars="0"/>
      <w:jc w:val="left"/>
      <w:outlineLvl w:val="2"/>
    </w:pPr>
    <w:rPr>
      <w:rFonts w:eastAsia="黑体"/>
      <w:color w:val="000000"/>
      <w:kern w:val="0"/>
      <w:sz w:val="30"/>
      <w:lang w:bidi="he-IL"/>
    </w:rPr>
  </w:style>
  <w:style w:type="character" w:customStyle="1" w:styleId="1327">
    <w:name w:val="头 Char"/>
    <w:link w:val="1328"/>
    <w:qFormat/>
    <w:uiPriority w:val="0"/>
    <w:rPr>
      <w:rFonts w:eastAsia="黑体"/>
      <w:sz w:val="24"/>
      <w:szCs w:val="24"/>
    </w:rPr>
  </w:style>
  <w:style w:type="paragraph" w:customStyle="1" w:styleId="1328">
    <w:name w:val="头"/>
    <w:basedOn w:val="1237"/>
    <w:link w:val="1327"/>
    <w:qFormat/>
    <w:uiPriority w:val="0"/>
    <w:pPr>
      <w:spacing w:line="365" w:lineRule="atLeast"/>
      <w:ind w:left="1"/>
      <w:jc w:val="center"/>
      <w:textAlignment w:val="bottom"/>
    </w:pPr>
    <w:rPr>
      <w:rFonts w:ascii="Times New Roman" w:hAnsi="Times New Roman" w:eastAsia="黑体" w:cs="Times New Roman"/>
    </w:rPr>
  </w:style>
  <w:style w:type="character" w:customStyle="1" w:styleId="1329">
    <w:name w:val="标题4.0 Char"/>
    <w:link w:val="1330"/>
    <w:qFormat/>
    <w:uiPriority w:val="0"/>
    <w:rPr>
      <w:rFonts w:eastAsia="黑体"/>
      <w:color w:val="000000"/>
      <w:sz w:val="28"/>
      <w:szCs w:val="24"/>
      <w:lang w:bidi="he-IL"/>
    </w:rPr>
  </w:style>
  <w:style w:type="paragraph" w:customStyle="1" w:styleId="1330">
    <w:name w:val="标题4.0"/>
    <w:basedOn w:val="1326"/>
    <w:link w:val="1329"/>
    <w:qFormat/>
    <w:uiPriority w:val="0"/>
    <w:pPr>
      <w:outlineLvl w:val="3"/>
    </w:pPr>
    <w:rPr>
      <w:sz w:val="28"/>
    </w:rPr>
  </w:style>
  <w:style w:type="character" w:customStyle="1" w:styleId="1331">
    <w:name w:val="keyword1"/>
    <w:qFormat/>
    <w:uiPriority w:val="0"/>
    <w:rPr>
      <w:color w:val="FF0000"/>
    </w:rPr>
  </w:style>
  <w:style w:type="character" w:customStyle="1" w:styleId="1332">
    <w:name w:val="表哥哥哥哥哥哥 Char"/>
    <w:link w:val="1333"/>
    <w:qFormat/>
    <w:uiPriority w:val="0"/>
    <w:rPr>
      <w:rFonts w:cs="宋体"/>
      <w:color w:val="0000FF"/>
      <w:kern w:val="2"/>
      <w:sz w:val="21"/>
      <w:szCs w:val="21"/>
    </w:rPr>
  </w:style>
  <w:style w:type="paragraph" w:customStyle="1" w:styleId="1333">
    <w:name w:val="表哥哥哥哥哥哥"/>
    <w:basedOn w:val="1"/>
    <w:link w:val="1332"/>
    <w:qFormat/>
    <w:uiPriority w:val="0"/>
    <w:pPr>
      <w:tabs>
        <w:tab w:val="left" w:pos="1440"/>
        <w:tab w:val="left" w:pos="3825"/>
        <w:tab w:val="left" w:pos="4680"/>
      </w:tabs>
      <w:spacing w:line="240" w:lineRule="auto"/>
      <w:ind w:firstLine="0" w:firstLineChars="0"/>
      <w:jc w:val="center"/>
    </w:pPr>
    <w:rPr>
      <w:color w:val="0000FF"/>
      <w:sz w:val="21"/>
      <w:szCs w:val="21"/>
    </w:rPr>
  </w:style>
  <w:style w:type="character" w:customStyle="1" w:styleId="1334">
    <w:name w:val="表哥哥哥哥哥哥哥哥 Char"/>
    <w:link w:val="1335"/>
    <w:qFormat/>
    <w:uiPriority w:val="0"/>
    <w:rPr>
      <w:kern w:val="2"/>
      <w:sz w:val="21"/>
      <w:szCs w:val="21"/>
    </w:rPr>
  </w:style>
  <w:style w:type="paragraph" w:customStyle="1" w:styleId="1335">
    <w:name w:val="表哥哥哥哥哥哥哥哥"/>
    <w:basedOn w:val="1"/>
    <w:link w:val="1334"/>
    <w:qFormat/>
    <w:uiPriority w:val="0"/>
    <w:pPr>
      <w:spacing w:line="240" w:lineRule="auto"/>
      <w:ind w:firstLine="0" w:firstLineChars="0"/>
      <w:jc w:val="center"/>
    </w:pPr>
    <w:rPr>
      <w:sz w:val="21"/>
      <w:szCs w:val="21"/>
    </w:rPr>
  </w:style>
  <w:style w:type="paragraph" w:customStyle="1" w:styleId="1336">
    <w:name w:val="0正文"/>
    <w:link w:val="1337"/>
    <w:unhideWhenUsed/>
    <w:qFormat/>
    <w:uiPriority w:val="0"/>
    <w:pPr>
      <w:widowControl w:val="0"/>
      <w:adjustRightInd w:val="0"/>
      <w:snapToGrid w:val="0"/>
      <w:spacing w:line="360" w:lineRule="auto"/>
      <w:ind w:firstLine="200" w:firstLineChars="200"/>
      <w:jc w:val="both"/>
    </w:pPr>
    <w:rPr>
      <w:rFonts w:ascii="Times New Roman" w:hAnsi="Times New Roman" w:eastAsia="宋体" w:cs="Times New Roman"/>
      <w:sz w:val="24"/>
      <w:szCs w:val="22"/>
      <w:lang w:val="en-US" w:eastAsia="zh-CN" w:bidi="ar-SA"/>
    </w:rPr>
  </w:style>
  <w:style w:type="character" w:customStyle="1" w:styleId="1337">
    <w:name w:val="0正文 Char Char"/>
    <w:link w:val="1336"/>
    <w:qFormat/>
    <w:uiPriority w:val="0"/>
    <w:rPr>
      <w:sz w:val="24"/>
      <w:szCs w:val="22"/>
    </w:rPr>
  </w:style>
  <w:style w:type="paragraph" w:customStyle="1" w:styleId="1338">
    <w:name w:val="默认段落字体 Para Char Char Char Char Char Char Char Char Char Char Char Char Char"/>
    <w:basedOn w:val="1"/>
    <w:qFormat/>
    <w:uiPriority w:val="0"/>
    <w:pPr>
      <w:spacing w:line="240" w:lineRule="auto"/>
      <w:ind w:firstLine="0" w:firstLineChars="0"/>
    </w:pPr>
  </w:style>
  <w:style w:type="character" w:customStyle="1" w:styleId="1339">
    <w:name w:val="11表头 Char"/>
    <w:link w:val="1340"/>
    <w:qFormat/>
    <w:uiPriority w:val="0"/>
    <w:rPr>
      <w:rFonts w:eastAsia="黑体"/>
      <w:color w:val="C00000"/>
      <w:kern w:val="2"/>
      <w:sz w:val="24"/>
      <w:szCs w:val="24"/>
    </w:rPr>
  </w:style>
  <w:style w:type="paragraph" w:customStyle="1" w:styleId="1340">
    <w:name w:val="11表头"/>
    <w:basedOn w:val="1"/>
    <w:link w:val="1339"/>
    <w:qFormat/>
    <w:uiPriority w:val="0"/>
    <w:pPr>
      <w:snapToGrid w:val="0"/>
      <w:spacing w:line="240" w:lineRule="auto"/>
      <w:ind w:firstLine="0" w:firstLineChars="0"/>
      <w:jc w:val="center"/>
    </w:pPr>
    <w:rPr>
      <w:rFonts w:eastAsia="黑体"/>
      <w:color w:val="C00000"/>
    </w:rPr>
  </w:style>
  <w:style w:type="character" w:customStyle="1" w:styleId="1341">
    <w:name w:val="正文文本缩进 Char1"/>
    <w:qFormat/>
    <w:uiPriority w:val="0"/>
    <w:rPr>
      <w:rFonts w:ascii="仿宋_GB2312" w:eastAsia="仿宋_GB2312"/>
      <w:kern w:val="2"/>
      <w:sz w:val="28"/>
      <w:szCs w:val="24"/>
      <w:lang w:val="en-US" w:eastAsia="zh-CN" w:bidi="ar-SA"/>
    </w:rPr>
  </w:style>
  <w:style w:type="character" w:customStyle="1" w:styleId="1342">
    <w:name w:val="正文111111 Char Char"/>
    <w:link w:val="1343"/>
    <w:qFormat/>
    <w:uiPriority w:val="0"/>
    <w:rPr>
      <w:sz w:val="24"/>
      <w:szCs w:val="24"/>
    </w:rPr>
  </w:style>
  <w:style w:type="paragraph" w:customStyle="1" w:styleId="1343">
    <w:name w:val="正文111111"/>
    <w:basedOn w:val="1"/>
    <w:link w:val="1342"/>
    <w:qFormat/>
    <w:uiPriority w:val="0"/>
    <w:pPr>
      <w:ind w:firstLine="480"/>
    </w:pPr>
    <w:rPr>
      <w:kern w:val="0"/>
    </w:rPr>
  </w:style>
  <w:style w:type="character" w:customStyle="1" w:styleId="1344">
    <w:name w:val="正文格式111 Char"/>
    <w:link w:val="1345"/>
    <w:qFormat/>
    <w:uiPriority w:val="0"/>
    <w:rPr>
      <w:bCs/>
      <w:sz w:val="24"/>
      <w:szCs w:val="24"/>
    </w:rPr>
  </w:style>
  <w:style w:type="paragraph" w:customStyle="1" w:styleId="1345">
    <w:name w:val="正文格式111"/>
    <w:basedOn w:val="1"/>
    <w:link w:val="1344"/>
    <w:qFormat/>
    <w:uiPriority w:val="0"/>
    <w:pPr>
      <w:spacing w:line="420" w:lineRule="auto"/>
      <w:ind w:firstLine="480"/>
    </w:pPr>
    <w:rPr>
      <w:bCs/>
      <w:kern w:val="0"/>
    </w:rPr>
  </w:style>
  <w:style w:type="paragraph" w:customStyle="1" w:styleId="1346">
    <w:name w:val="y表格"/>
    <w:basedOn w:val="31"/>
    <w:qFormat/>
    <w:uiPriority w:val="0"/>
    <w:pPr>
      <w:widowControl/>
      <w:spacing w:after="0" w:line="240" w:lineRule="auto"/>
      <w:ind w:firstLine="560" w:firstLineChars="0"/>
      <w:jc w:val="left"/>
    </w:pPr>
    <w:rPr>
      <w:rFonts w:ascii="Times New Roman" w:hAnsi="Times New Roman"/>
      <w:sz w:val="21"/>
      <w:szCs w:val="21"/>
      <w:lang w:val="en-US" w:eastAsia="zh-CN"/>
    </w:rPr>
  </w:style>
  <w:style w:type="paragraph" w:customStyle="1" w:styleId="1347">
    <w:name w:val="样式 标题 3 + (西文) Times New Roman (中文) 宋体 小四 加粗"/>
    <w:basedOn w:val="4"/>
    <w:qFormat/>
    <w:uiPriority w:val="0"/>
    <w:pPr>
      <w:widowControl w:val="0"/>
      <w:numPr>
        <w:ilvl w:val="0"/>
        <w:numId w:val="0"/>
      </w:numPr>
      <w:tabs>
        <w:tab w:val="left" w:pos="780"/>
        <w:tab w:val="left" w:pos="1036"/>
        <w:tab w:val="clear" w:pos="720"/>
        <w:tab w:val="clear" w:pos="816"/>
      </w:tabs>
      <w:spacing w:before="0" w:beforeLines="0" w:after="0" w:afterLines="0" w:line="360" w:lineRule="auto"/>
      <w:ind w:left="1036" w:hanging="360"/>
    </w:pPr>
    <w:rPr>
      <w:rFonts w:eastAsia="黑体"/>
      <w:b w:val="0"/>
      <w:snapToGrid w:val="0"/>
      <w:color w:val="000000"/>
      <w:szCs w:val="28"/>
    </w:rPr>
  </w:style>
  <w:style w:type="character" w:customStyle="1" w:styleId="1348">
    <w:name w:val="正文格式 Char"/>
    <w:qFormat/>
    <w:uiPriority w:val="0"/>
    <w:rPr>
      <w:rFonts w:ascii="Times New Roman" w:hAnsi="Times New Roman" w:eastAsia="宋体" w:cs="Times New Roman"/>
      <w:color w:val="000000"/>
      <w:kern w:val="0"/>
      <w:sz w:val="24"/>
      <w:lang w:bidi="en-US"/>
    </w:rPr>
  </w:style>
  <w:style w:type="paragraph" w:customStyle="1" w:styleId="1349">
    <w:name w:val="表格内的字体"/>
    <w:basedOn w:val="1"/>
    <w:qFormat/>
    <w:uiPriority w:val="0"/>
    <w:pPr>
      <w:widowControl/>
      <w:adjustRightInd w:val="0"/>
      <w:snapToGrid w:val="0"/>
      <w:spacing w:line="240" w:lineRule="auto"/>
      <w:ind w:firstLine="0" w:firstLineChars="0"/>
      <w:jc w:val="center"/>
    </w:pPr>
    <w:rPr>
      <w:sz w:val="21"/>
      <w:szCs w:val="20"/>
    </w:rPr>
  </w:style>
  <w:style w:type="paragraph" w:customStyle="1" w:styleId="1350">
    <w:name w:val="这才是正文"/>
    <w:basedOn w:val="1"/>
    <w:qFormat/>
    <w:uiPriority w:val="0"/>
    <w:pPr>
      <w:spacing w:line="520" w:lineRule="exact"/>
    </w:pPr>
    <w:rPr>
      <w:rFonts w:cs="宋体"/>
      <w:sz w:val="25"/>
      <w:szCs w:val="20"/>
    </w:rPr>
  </w:style>
  <w:style w:type="paragraph" w:customStyle="1" w:styleId="1351">
    <w:name w:val="_Style 10"/>
    <w:qFormat/>
    <w:uiPriority w:val="99"/>
    <w:pPr>
      <w:widowControl w:val="0"/>
      <w:spacing w:line="320" w:lineRule="exact"/>
      <w:jc w:val="both"/>
    </w:pPr>
    <w:rPr>
      <w:rFonts w:ascii="Calibri" w:hAnsi="Calibri" w:eastAsia="宋体" w:cs="Times New Roman"/>
      <w:kern w:val="2"/>
      <w:sz w:val="21"/>
      <w:szCs w:val="22"/>
      <w:lang w:val="en-US" w:eastAsia="zh-CN" w:bidi="ar-SA"/>
    </w:rPr>
  </w:style>
  <w:style w:type="paragraph" w:customStyle="1" w:styleId="1352">
    <w:name w:val="标题3333"/>
    <w:basedOn w:val="1"/>
    <w:link w:val="1353"/>
    <w:qFormat/>
    <w:uiPriority w:val="0"/>
    <w:pPr>
      <w:keepNext/>
      <w:suppressAutoHyphens/>
      <w:adjustRightInd w:val="0"/>
      <w:snapToGrid w:val="0"/>
      <w:ind w:firstLine="0" w:firstLineChars="0"/>
      <w:textAlignment w:val="baseline"/>
      <w:outlineLvl w:val="2"/>
    </w:pPr>
    <w:rPr>
      <w:rFonts w:eastAsia="黑体"/>
      <w:bCs/>
      <w:color w:val="000000"/>
      <w:kern w:val="28"/>
      <w:sz w:val="28"/>
      <w:szCs w:val="20"/>
      <w:lang w:bidi="he-IL"/>
    </w:rPr>
  </w:style>
  <w:style w:type="character" w:customStyle="1" w:styleId="1353">
    <w:name w:val="标题3333 Char"/>
    <w:link w:val="1352"/>
    <w:qFormat/>
    <w:uiPriority w:val="0"/>
    <w:rPr>
      <w:rFonts w:eastAsia="黑体"/>
      <w:bCs/>
      <w:color w:val="000000"/>
      <w:kern w:val="28"/>
      <w:sz w:val="28"/>
      <w:lang w:bidi="he-IL"/>
    </w:rPr>
  </w:style>
  <w:style w:type="paragraph" w:customStyle="1" w:styleId="1354">
    <w:name w:val="111正文"/>
    <w:basedOn w:val="1"/>
    <w:link w:val="1355"/>
    <w:qFormat/>
    <w:uiPriority w:val="0"/>
    <w:pPr>
      <w:widowControl/>
      <w:tabs>
        <w:tab w:val="left" w:pos="7276"/>
      </w:tabs>
      <w:adjustRightInd w:val="0"/>
      <w:snapToGrid w:val="0"/>
      <w:ind w:firstLine="480"/>
      <w:jc w:val="left"/>
    </w:pPr>
    <w:rPr>
      <w:color w:val="C00000"/>
      <w:kern w:val="0"/>
      <w:szCs w:val="32"/>
    </w:rPr>
  </w:style>
  <w:style w:type="character" w:customStyle="1" w:styleId="1355">
    <w:name w:val="111正文 Char"/>
    <w:link w:val="1354"/>
    <w:qFormat/>
    <w:uiPriority w:val="0"/>
    <w:rPr>
      <w:color w:val="C00000"/>
      <w:sz w:val="24"/>
      <w:szCs w:val="32"/>
    </w:rPr>
  </w:style>
  <w:style w:type="paragraph" w:customStyle="1" w:styleId="1356">
    <w:name w:val="111表头"/>
    <w:basedOn w:val="463"/>
    <w:link w:val="1357"/>
    <w:qFormat/>
    <w:uiPriority w:val="0"/>
    <w:pPr>
      <w:adjustRightInd/>
      <w:snapToGrid/>
      <w:spacing w:before="0" w:beforeLines="0"/>
    </w:pPr>
    <w:rPr>
      <w:color w:val="auto"/>
    </w:rPr>
  </w:style>
  <w:style w:type="character" w:customStyle="1" w:styleId="1357">
    <w:name w:val="111表头 Char"/>
    <w:link w:val="1356"/>
    <w:qFormat/>
    <w:uiPriority w:val="0"/>
    <w:rPr>
      <w:rFonts w:eastAsia="黑体"/>
      <w:kern w:val="2"/>
      <w:sz w:val="24"/>
      <w:szCs w:val="24"/>
      <w:lang w:bidi="he-IL"/>
    </w:rPr>
  </w:style>
  <w:style w:type="paragraph" w:customStyle="1" w:styleId="1358">
    <w:name w:val="【表格文字】"/>
    <w:basedOn w:val="1"/>
    <w:next w:val="1"/>
    <w:link w:val="1359"/>
    <w:qFormat/>
    <w:uiPriority w:val="0"/>
    <w:pPr>
      <w:adjustRightInd w:val="0"/>
      <w:snapToGrid w:val="0"/>
      <w:spacing w:line="240" w:lineRule="auto"/>
      <w:ind w:firstLine="0" w:firstLineChars="0"/>
      <w:jc w:val="center"/>
    </w:pPr>
    <w:rPr>
      <w:sz w:val="21"/>
    </w:rPr>
  </w:style>
  <w:style w:type="character" w:customStyle="1" w:styleId="1359">
    <w:name w:val="【表格文字】 Char"/>
    <w:link w:val="1358"/>
    <w:qFormat/>
    <w:uiPriority w:val="0"/>
    <w:rPr>
      <w:sz w:val="21"/>
    </w:rPr>
  </w:style>
  <w:style w:type="paragraph" w:customStyle="1" w:styleId="1360">
    <w:name w:val="表格表头"/>
    <w:qFormat/>
    <w:uiPriority w:val="0"/>
    <w:pPr>
      <w:bidi w:val="0"/>
      <w:jc w:val="center"/>
      <w:outlineLvl w:val="4"/>
    </w:pPr>
    <w:rPr>
      <w:rFonts w:ascii="Times New Roman" w:hAnsi="Times New Roman" w:eastAsia="宋体" w:cs="Times New Roman"/>
      <w:b/>
      <w:kern w:val="2"/>
      <w:sz w:val="24"/>
      <w:szCs w:val="24"/>
      <w:lang w:val="en-US" w:eastAsia="zh-CN" w:bidi="ar-SA"/>
    </w:rPr>
  </w:style>
  <w:style w:type="character" w:customStyle="1" w:styleId="1361">
    <w:name w:val="批注文字 Char2"/>
    <w:qFormat/>
    <w:uiPriority w:val="99"/>
    <w:rPr>
      <w:kern w:val="2"/>
      <w:sz w:val="21"/>
      <w:szCs w:val="24"/>
      <w:lang w:bidi="ar-SA"/>
    </w:rPr>
  </w:style>
  <w:style w:type="paragraph" w:customStyle="1" w:styleId="1362">
    <w:name w:val="BGZX"/>
    <w:next w:val="1"/>
    <w:qFormat/>
    <w:uiPriority w:val="0"/>
    <w:pPr>
      <w:widowControl w:val="0"/>
      <w:spacing w:line="360" w:lineRule="auto"/>
      <w:ind w:firstLine="480" w:firstLineChars="200"/>
      <w:jc w:val="both"/>
      <w:textAlignment w:val="center"/>
    </w:pPr>
    <w:rPr>
      <w:rFonts w:ascii="Times New Roman" w:hAnsi="Times New Roman" w:eastAsia="宋体" w:cs="Times New Roman"/>
      <w:color w:val="0000FF"/>
      <w:sz w:val="24"/>
      <w:lang w:val="en-US" w:eastAsia="zh-CN" w:bidi="ar-SA"/>
    </w:rPr>
  </w:style>
  <w:style w:type="character" w:customStyle="1" w:styleId="1363">
    <w:name w:val="标题3 字符"/>
    <w:qFormat/>
    <w:uiPriority w:val="0"/>
    <w:rPr>
      <w:rFonts w:eastAsia="仿宋_GB2312"/>
      <w:b/>
      <w:bCs/>
      <w:kern w:val="2"/>
      <w:sz w:val="28"/>
      <w:szCs w:val="32"/>
      <w:lang w:val="en-US" w:eastAsia="zh-CN" w:bidi="ar-SA"/>
    </w:rPr>
  </w:style>
  <w:style w:type="character" w:customStyle="1" w:styleId="1364">
    <w:name w:val="标题2 字符"/>
    <w:qFormat/>
    <w:uiPriority w:val="0"/>
    <w:rPr>
      <w:rFonts w:ascii="Arial" w:hAnsi="Arial" w:eastAsia="黑体"/>
      <w:b/>
      <w:bCs/>
      <w:kern w:val="2"/>
      <w:sz w:val="30"/>
      <w:szCs w:val="36"/>
      <w:lang w:val="en-US" w:eastAsia="zh-CN" w:bidi="ar-SA"/>
    </w:rPr>
  </w:style>
  <w:style w:type="character" w:customStyle="1" w:styleId="1365">
    <w:name w:val="表格题名 Char"/>
    <w:link w:val="1366"/>
    <w:qFormat/>
    <w:uiPriority w:val="0"/>
    <w:rPr>
      <w:b/>
      <w:sz w:val="24"/>
    </w:rPr>
  </w:style>
  <w:style w:type="paragraph" w:customStyle="1" w:styleId="1366">
    <w:name w:val="表格题名"/>
    <w:link w:val="1365"/>
    <w:qFormat/>
    <w:uiPriority w:val="0"/>
    <w:pPr>
      <w:adjustRightInd w:val="0"/>
      <w:spacing w:before="100" w:after="100"/>
      <w:jc w:val="center"/>
      <w:textAlignment w:val="baseline"/>
    </w:pPr>
    <w:rPr>
      <w:rFonts w:ascii="Times New Roman" w:hAnsi="Times New Roman" w:eastAsia="宋体" w:cs="Times New Roman"/>
      <w:b/>
      <w:sz w:val="24"/>
      <w:lang w:val="en-US" w:eastAsia="zh-CN" w:bidi="ar-SA"/>
    </w:rPr>
  </w:style>
  <w:style w:type="paragraph" w:customStyle="1" w:styleId="1367">
    <w:name w:val="李标题4"/>
    <w:basedOn w:val="1"/>
    <w:next w:val="1"/>
    <w:qFormat/>
    <w:uiPriority w:val="0"/>
    <w:pPr>
      <w:widowControl/>
      <w:snapToGrid w:val="0"/>
      <w:ind w:firstLine="0" w:firstLineChars="0"/>
    </w:pPr>
    <w:rPr>
      <w:b/>
      <w:sz w:val="28"/>
      <w:szCs w:val="20"/>
    </w:rPr>
  </w:style>
  <w:style w:type="paragraph" w:customStyle="1" w:styleId="1368">
    <w:name w:val="金皇正文"/>
    <w:basedOn w:val="1"/>
    <w:qFormat/>
    <w:uiPriority w:val="0"/>
    <w:pPr>
      <w:widowControl/>
      <w:adjustRightInd w:val="0"/>
      <w:snapToGrid w:val="0"/>
      <w:textAlignment w:val="top"/>
    </w:pPr>
    <w:rPr>
      <w:rFonts w:cs="宋体"/>
      <w:kern w:val="0"/>
    </w:rPr>
  </w:style>
  <w:style w:type="paragraph" w:customStyle="1" w:styleId="1369">
    <w:name w:val="0表格正文"/>
    <w:basedOn w:val="1"/>
    <w:qFormat/>
    <w:uiPriority w:val="0"/>
    <w:pPr>
      <w:widowControl/>
      <w:adjustRightInd w:val="0"/>
      <w:snapToGrid w:val="0"/>
      <w:spacing w:line="240" w:lineRule="auto"/>
      <w:ind w:firstLine="0" w:firstLineChars="0"/>
      <w:jc w:val="center"/>
    </w:pPr>
    <w:rPr>
      <w:kern w:val="0"/>
      <w:sz w:val="21"/>
      <w:lang w:bidi="en-US"/>
    </w:rPr>
  </w:style>
  <w:style w:type="character" w:customStyle="1" w:styleId="1370">
    <w:name w:val="111表头1 Char"/>
    <w:link w:val="1371"/>
    <w:qFormat/>
    <w:uiPriority w:val="0"/>
    <w:rPr>
      <w:rFonts w:eastAsia="黑体"/>
      <w:kern w:val="2"/>
      <w:sz w:val="24"/>
      <w:szCs w:val="22"/>
    </w:rPr>
  </w:style>
  <w:style w:type="paragraph" w:customStyle="1" w:styleId="1371">
    <w:name w:val="111表头1"/>
    <w:basedOn w:val="1"/>
    <w:link w:val="1370"/>
    <w:qFormat/>
    <w:uiPriority w:val="0"/>
    <w:pPr>
      <w:adjustRightInd w:val="0"/>
      <w:snapToGrid w:val="0"/>
      <w:spacing w:line="240" w:lineRule="auto"/>
      <w:ind w:firstLine="0" w:firstLineChars="0"/>
      <w:jc w:val="center"/>
    </w:pPr>
    <w:rPr>
      <w:rFonts w:eastAsia="黑体"/>
      <w:szCs w:val="22"/>
    </w:rPr>
  </w:style>
  <w:style w:type="character" w:customStyle="1" w:styleId="1372">
    <w:name w:val="1正文 Char"/>
    <w:link w:val="1373"/>
    <w:qFormat/>
    <w:uiPriority w:val="0"/>
    <w:rPr>
      <w:kern w:val="2"/>
      <w:sz w:val="24"/>
      <w:szCs w:val="24"/>
    </w:rPr>
  </w:style>
  <w:style w:type="paragraph" w:customStyle="1" w:styleId="1373">
    <w:name w:val="1正文"/>
    <w:basedOn w:val="1"/>
    <w:link w:val="1372"/>
    <w:qFormat/>
    <w:uiPriority w:val="0"/>
    <w:pPr>
      <w:adjustRightInd w:val="0"/>
      <w:snapToGrid w:val="0"/>
    </w:pPr>
  </w:style>
  <w:style w:type="character" w:customStyle="1" w:styleId="1374">
    <w:name w:val="表格内正文1 Char"/>
    <w:link w:val="1375"/>
    <w:qFormat/>
    <w:uiPriority w:val="0"/>
    <w:rPr>
      <w:rFonts w:eastAsia="等线"/>
      <w:kern w:val="2"/>
      <w:sz w:val="21"/>
      <w:szCs w:val="22"/>
    </w:rPr>
  </w:style>
  <w:style w:type="paragraph" w:customStyle="1" w:styleId="1375">
    <w:name w:val="表格内正文1"/>
    <w:next w:val="1"/>
    <w:link w:val="1374"/>
    <w:qFormat/>
    <w:uiPriority w:val="0"/>
    <w:pPr>
      <w:adjustRightInd w:val="0"/>
      <w:snapToGrid w:val="0"/>
      <w:jc w:val="center"/>
    </w:pPr>
    <w:rPr>
      <w:rFonts w:ascii="Times New Roman" w:hAnsi="Times New Roman" w:eastAsia="等线" w:cs="Times New Roman"/>
      <w:kern w:val="2"/>
      <w:sz w:val="21"/>
      <w:szCs w:val="22"/>
      <w:lang w:val="en-US" w:eastAsia="zh-CN" w:bidi="ar-SA"/>
    </w:rPr>
  </w:style>
  <w:style w:type="character" w:customStyle="1" w:styleId="1376">
    <w:name w:val="5文章正文 字符"/>
    <w:link w:val="1193"/>
    <w:qFormat/>
    <w:uiPriority w:val="0"/>
    <w:rPr>
      <w:rFonts w:ascii="宋体" w:hAnsi="宋体" w:eastAsia="Times New Roman"/>
      <w:sz w:val="24"/>
      <w:szCs w:val="24"/>
    </w:rPr>
  </w:style>
  <w:style w:type="paragraph" w:customStyle="1" w:styleId="1377">
    <w:name w:val="4标题(治)"/>
    <w:basedOn w:val="1"/>
    <w:next w:val="1"/>
    <w:link w:val="1378"/>
    <w:qFormat/>
    <w:uiPriority w:val="0"/>
    <w:pPr>
      <w:adjustRightInd w:val="0"/>
      <w:snapToGrid w:val="0"/>
      <w:ind w:firstLine="0" w:firstLineChars="0"/>
      <w:textAlignment w:val="baseline"/>
      <w:outlineLvl w:val="3"/>
    </w:pPr>
    <w:rPr>
      <w:rFonts w:eastAsia="黑体"/>
      <w:kern w:val="0"/>
      <w:sz w:val="28"/>
      <w:szCs w:val="20"/>
    </w:rPr>
  </w:style>
  <w:style w:type="character" w:customStyle="1" w:styleId="1378">
    <w:name w:val="4标题(治) Char"/>
    <w:link w:val="1377"/>
    <w:qFormat/>
    <w:uiPriority w:val="0"/>
    <w:rPr>
      <w:rFonts w:eastAsia="黑体"/>
      <w:sz w:val="28"/>
    </w:rPr>
  </w:style>
  <w:style w:type="paragraph" w:customStyle="1" w:styleId="1379">
    <w:name w:val="金皇表（图）头"/>
    <w:basedOn w:val="1"/>
    <w:link w:val="1380"/>
    <w:qFormat/>
    <w:uiPriority w:val="0"/>
    <w:pPr>
      <w:widowControl/>
      <w:adjustRightInd w:val="0"/>
      <w:spacing w:line="240" w:lineRule="auto"/>
      <w:ind w:firstLine="0" w:firstLineChars="0"/>
      <w:jc w:val="center"/>
      <w:outlineLvl w:val="4"/>
    </w:pPr>
    <w:rPr>
      <w:rFonts w:ascii="宋体" w:hAnsi="宋体" w:eastAsia="黑体"/>
      <w:b/>
      <w:kern w:val="0"/>
    </w:rPr>
  </w:style>
  <w:style w:type="character" w:customStyle="1" w:styleId="1380">
    <w:name w:val="金皇表（图）头 字符"/>
    <w:link w:val="1379"/>
    <w:qFormat/>
    <w:uiPriority w:val="0"/>
    <w:rPr>
      <w:rFonts w:ascii="宋体" w:hAnsi="宋体" w:eastAsia="黑体"/>
      <w:b/>
      <w:sz w:val="24"/>
      <w:szCs w:val="24"/>
    </w:rPr>
  </w:style>
  <w:style w:type="character" w:customStyle="1" w:styleId="1381">
    <w:name w:val="3标题(治) Char Char"/>
    <w:link w:val="1382"/>
    <w:qFormat/>
    <w:uiPriority w:val="0"/>
    <w:rPr>
      <w:rFonts w:eastAsia="黑体"/>
      <w:b/>
      <w:sz w:val="28"/>
      <w:szCs w:val="28"/>
    </w:rPr>
  </w:style>
  <w:style w:type="paragraph" w:customStyle="1" w:styleId="1382">
    <w:name w:val="3标题(治)"/>
    <w:basedOn w:val="4"/>
    <w:link w:val="1381"/>
    <w:qFormat/>
    <w:uiPriority w:val="0"/>
    <w:pPr>
      <w:widowControl w:val="0"/>
      <w:numPr>
        <w:ilvl w:val="0"/>
        <w:numId w:val="0"/>
      </w:numPr>
      <w:tabs>
        <w:tab w:val="left" w:pos="680"/>
        <w:tab w:val="clear" w:pos="720"/>
        <w:tab w:val="clear" w:pos="816"/>
      </w:tabs>
      <w:adjustRightInd w:val="0"/>
      <w:snapToGrid w:val="0"/>
      <w:spacing w:before="0" w:beforeLines="0" w:after="0" w:afterLines="0" w:line="360" w:lineRule="auto"/>
      <w:jc w:val="both"/>
      <w:textAlignment w:val="baseline"/>
    </w:pPr>
    <w:rPr>
      <w:rFonts w:eastAsia="黑体"/>
      <w:bCs w:val="0"/>
      <w:kern w:val="0"/>
      <w:szCs w:val="28"/>
    </w:rPr>
  </w:style>
  <w:style w:type="character" w:customStyle="1" w:styleId="1383">
    <w:name w:val="2标题(治) Char"/>
    <w:link w:val="1384"/>
    <w:qFormat/>
    <w:uiPriority w:val="0"/>
    <w:rPr>
      <w:rFonts w:eastAsia="黑体"/>
      <w:b/>
      <w:bCs/>
      <w:kern w:val="2"/>
      <w:sz w:val="32"/>
      <w:szCs w:val="30"/>
    </w:rPr>
  </w:style>
  <w:style w:type="paragraph" w:customStyle="1" w:styleId="1384">
    <w:name w:val="2标题(治)"/>
    <w:basedOn w:val="3"/>
    <w:link w:val="1383"/>
    <w:qFormat/>
    <w:uiPriority w:val="0"/>
    <w:pPr>
      <w:widowControl w:val="0"/>
      <w:numPr>
        <w:ilvl w:val="0"/>
        <w:numId w:val="0"/>
      </w:numPr>
      <w:tabs>
        <w:tab w:val="clear" w:pos="720"/>
      </w:tabs>
      <w:spacing w:before="0" w:beforeLines="0" w:after="0" w:afterLines="0" w:line="360" w:lineRule="auto"/>
      <w:jc w:val="both"/>
    </w:pPr>
    <w:rPr>
      <w:rFonts w:eastAsia="黑体"/>
      <w:snapToGrid/>
      <w:kern w:val="2"/>
      <w:sz w:val="32"/>
      <w:szCs w:val="30"/>
    </w:rPr>
  </w:style>
  <w:style w:type="character" w:customStyle="1" w:styleId="1385">
    <w:name w:val="5文章(金皇) 字符"/>
    <w:link w:val="1386"/>
    <w:qFormat/>
    <w:uiPriority w:val="0"/>
    <w:rPr>
      <w:kern w:val="2"/>
      <w:sz w:val="24"/>
      <w:szCs w:val="24"/>
    </w:rPr>
  </w:style>
  <w:style w:type="paragraph" w:customStyle="1" w:styleId="1386">
    <w:name w:val="5文章(金皇)"/>
    <w:basedOn w:val="1"/>
    <w:link w:val="1385"/>
    <w:qFormat/>
    <w:uiPriority w:val="0"/>
    <w:pPr>
      <w:ind w:firstLine="480"/>
    </w:pPr>
  </w:style>
  <w:style w:type="paragraph" w:customStyle="1" w:styleId="1387">
    <w:name w:val="reader-word-layer reader-word-s2-6"/>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character" w:customStyle="1" w:styleId="1388">
    <w:name w:val="金皇-表格内文字 Char"/>
    <w:link w:val="1389"/>
    <w:qFormat/>
    <w:uiPriority w:val="0"/>
    <w:rPr>
      <w:kern w:val="2"/>
      <w:sz w:val="21"/>
      <w:szCs w:val="21"/>
    </w:rPr>
  </w:style>
  <w:style w:type="paragraph" w:customStyle="1" w:styleId="1389">
    <w:name w:val="金皇-表格内文字"/>
    <w:basedOn w:val="1"/>
    <w:link w:val="1388"/>
    <w:qFormat/>
    <w:uiPriority w:val="0"/>
    <w:pPr>
      <w:adjustRightInd w:val="0"/>
      <w:snapToGrid w:val="0"/>
      <w:spacing w:line="240" w:lineRule="auto"/>
      <w:ind w:firstLine="0" w:firstLineChars="0"/>
      <w:jc w:val="center"/>
    </w:pPr>
    <w:rPr>
      <w:sz w:val="21"/>
      <w:szCs w:val="21"/>
    </w:rPr>
  </w:style>
  <w:style w:type="character" w:customStyle="1" w:styleId="1390">
    <w:name w:val="10、表格内容 Char"/>
    <w:link w:val="1391"/>
    <w:qFormat/>
    <w:uiPriority w:val="0"/>
    <w:rPr>
      <w:color w:val="000000"/>
      <w:kern w:val="2"/>
      <w:sz w:val="21"/>
      <w:szCs w:val="24"/>
    </w:rPr>
  </w:style>
  <w:style w:type="paragraph" w:customStyle="1" w:styleId="1391">
    <w:name w:val="10、表格内容"/>
    <w:basedOn w:val="31"/>
    <w:link w:val="1390"/>
    <w:qFormat/>
    <w:uiPriority w:val="0"/>
    <w:pPr>
      <w:adjustRightInd w:val="0"/>
      <w:snapToGrid w:val="0"/>
      <w:spacing w:after="0" w:line="280" w:lineRule="exact"/>
      <w:ind w:firstLine="0" w:firstLineChars="0"/>
      <w:jc w:val="center"/>
    </w:pPr>
    <w:rPr>
      <w:rFonts w:ascii="Times New Roman" w:hAnsi="Times New Roman"/>
      <w:color w:val="000000"/>
      <w:sz w:val="21"/>
      <w:szCs w:val="24"/>
      <w:lang w:val="en-US" w:eastAsia="zh-CN"/>
    </w:rPr>
  </w:style>
  <w:style w:type="paragraph" w:customStyle="1" w:styleId="1392">
    <w:name w:val="111标题1"/>
    <w:basedOn w:val="1"/>
    <w:link w:val="1393"/>
    <w:qFormat/>
    <w:uiPriority w:val="0"/>
    <w:pPr>
      <w:spacing w:line="240" w:lineRule="auto"/>
      <w:ind w:firstLine="0" w:firstLineChars="0"/>
      <w:outlineLvl w:val="0"/>
    </w:pPr>
    <w:rPr>
      <w:rFonts w:eastAsia="黑体"/>
      <w:sz w:val="28"/>
      <w:szCs w:val="22"/>
    </w:rPr>
  </w:style>
  <w:style w:type="character" w:customStyle="1" w:styleId="1393">
    <w:name w:val="111标题1 Char"/>
    <w:link w:val="1392"/>
    <w:qFormat/>
    <w:uiPriority w:val="0"/>
    <w:rPr>
      <w:rFonts w:eastAsia="黑体"/>
      <w:kern w:val="2"/>
      <w:sz w:val="28"/>
      <w:szCs w:val="22"/>
    </w:rPr>
  </w:style>
  <w:style w:type="paragraph" w:customStyle="1" w:styleId="1394">
    <w:name w:val=" Char Char3 Char Char1 Char Char Char Char Char Char Char Char Char Char Char Char Char Char"/>
    <w:basedOn w:val="1"/>
    <w:qFormat/>
    <w:uiPriority w:val="0"/>
    <w:pPr>
      <w:spacing w:line="240" w:lineRule="auto"/>
      <w:ind w:firstLine="0" w:firstLineChars="0"/>
    </w:pPr>
    <w:rPr>
      <w:sz w:val="21"/>
    </w:rPr>
  </w:style>
  <w:style w:type="character" w:customStyle="1" w:styleId="1395">
    <w:name w:val="金皇-正文 Char"/>
    <w:link w:val="1396"/>
    <w:qFormat/>
    <w:uiPriority w:val="0"/>
    <w:rPr>
      <w:sz w:val="24"/>
      <w:szCs w:val="24"/>
    </w:rPr>
  </w:style>
  <w:style w:type="paragraph" w:customStyle="1" w:styleId="1396">
    <w:name w:val="金皇-正文"/>
    <w:basedOn w:val="1"/>
    <w:link w:val="1395"/>
    <w:qFormat/>
    <w:uiPriority w:val="0"/>
    <w:rPr>
      <w:kern w:val="0"/>
    </w:rPr>
  </w:style>
  <w:style w:type="character" w:customStyle="1" w:styleId="1397">
    <w:name w:val="万澈 正文 Char"/>
    <w:link w:val="1398"/>
    <w:qFormat/>
    <w:uiPriority w:val="0"/>
    <w:rPr>
      <w:kern w:val="2"/>
      <w:sz w:val="24"/>
      <w:szCs w:val="24"/>
    </w:rPr>
  </w:style>
  <w:style w:type="paragraph" w:customStyle="1" w:styleId="1398">
    <w:name w:val="万澈 正文"/>
    <w:basedOn w:val="1"/>
    <w:link w:val="1397"/>
    <w:qFormat/>
    <w:uiPriority w:val="0"/>
    <w:pPr>
      <w:ind w:firstLine="480"/>
    </w:pPr>
  </w:style>
  <w:style w:type="paragraph" w:customStyle="1" w:styleId="1399">
    <w:name w:val=" Char Char Char Char Char Char1 Char Char Char Char Char Char Char"/>
    <w:basedOn w:val="1"/>
    <w:qFormat/>
    <w:uiPriority w:val="0"/>
    <w:pPr>
      <w:spacing w:line="240" w:lineRule="auto"/>
      <w:ind w:firstLine="0" w:firstLineChars="0"/>
    </w:pPr>
    <w:rPr>
      <w:sz w:val="21"/>
    </w:rPr>
  </w:style>
  <w:style w:type="character" w:customStyle="1" w:styleId="1400">
    <w:name w:val="111标题333 Char"/>
    <w:link w:val="1401"/>
    <w:qFormat/>
    <w:uiPriority w:val="0"/>
    <w:rPr>
      <w:rFonts w:eastAsia="黑体"/>
      <w:kern w:val="2"/>
      <w:sz w:val="28"/>
      <w:szCs w:val="22"/>
    </w:rPr>
  </w:style>
  <w:style w:type="paragraph" w:customStyle="1" w:styleId="1401">
    <w:name w:val="111标题333"/>
    <w:basedOn w:val="1"/>
    <w:link w:val="1400"/>
    <w:qFormat/>
    <w:uiPriority w:val="0"/>
    <w:pPr>
      <w:adjustRightInd w:val="0"/>
      <w:snapToGrid w:val="0"/>
      <w:ind w:firstLine="0" w:firstLineChars="0"/>
      <w:jc w:val="left"/>
      <w:outlineLvl w:val="2"/>
    </w:pPr>
    <w:rPr>
      <w:rFonts w:eastAsia="黑体"/>
      <w:sz w:val="28"/>
      <w:szCs w:val="22"/>
    </w:rPr>
  </w:style>
  <w:style w:type="character" w:customStyle="1" w:styleId="1402">
    <w:name w:val="样式 (中文) 仿宋_GB23121"/>
    <w:qFormat/>
    <w:uiPriority w:val="0"/>
    <w:rPr>
      <w:rFonts w:ascii="Arial" w:hAnsi="Arial" w:eastAsia="宋体" w:cs="Verdana"/>
      <w:b/>
      <w:kern w:val="0"/>
      <w:sz w:val="24"/>
      <w:szCs w:val="24"/>
      <w:lang w:val="en-US" w:eastAsia="en-US" w:bidi="ar-SA"/>
    </w:rPr>
  </w:style>
  <w:style w:type="character" w:customStyle="1" w:styleId="1403">
    <w:name w:val="znspantitle"/>
    <w:qFormat/>
    <w:uiPriority w:val="0"/>
    <w:rPr>
      <w:b/>
      <w:bCs/>
      <w:color w:val="333333"/>
    </w:rPr>
  </w:style>
  <w:style w:type="character" w:customStyle="1" w:styleId="1404">
    <w:name w:val="disabled"/>
    <w:qFormat/>
    <w:uiPriority w:val="0"/>
    <w:rPr>
      <w:vanish/>
    </w:rPr>
  </w:style>
  <w:style w:type="paragraph" w:customStyle="1" w:styleId="1405">
    <w:name w:val="【表中文字】"/>
    <w:basedOn w:val="1"/>
    <w:qFormat/>
    <w:uiPriority w:val="0"/>
    <w:pPr>
      <w:spacing w:line="240" w:lineRule="auto"/>
      <w:ind w:firstLine="0" w:firstLineChars="0"/>
      <w:jc w:val="center"/>
    </w:pPr>
    <w:rPr>
      <w:sz w:val="21"/>
      <w:szCs w:val="20"/>
    </w:rPr>
  </w:style>
  <w:style w:type="character" w:customStyle="1" w:styleId="1406">
    <w:name w:val="_Style 1404"/>
    <w:qFormat/>
    <w:uiPriority w:val="31"/>
    <w:rPr>
      <w:smallCaps/>
      <w:color w:val="5A5A5A"/>
    </w:rPr>
  </w:style>
  <w:style w:type="paragraph" w:styleId="1407">
    <w:name w:val="No Spacing"/>
    <w:qFormat/>
    <w:uiPriority w:val="99"/>
    <w:pPr>
      <w:widowControl w:val="0"/>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408">
    <w:name w:val="5段落"/>
    <w:basedOn w:val="1"/>
    <w:qFormat/>
    <w:uiPriority w:val="0"/>
    <w:pPr>
      <w:spacing w:line="360" w:lineRule="auto"/>
      <w:ind w:firstLine="200" w:firstLineChars="200"/>
    </w:pPr>
    <w:rPr>
      <w:szCs w:val="28"/>
    </w:rPr>
  </w:style>
  <w:style w:type="paragraph" w:customStyle="1" w:styleId="1409">
    <w:name w:val="9表格内容"/>
    <w:basedOn w:val="1"/>
    <w:next w:val="1"/>
    <w:qFormat/>
    <w:uiPriority w:val="0"/>
    <w:pPr>
      <w:jc w:val="center"/>
    </w:pPr>
    <w:rPr>
      <w:szCs w:val="28"/>
    </w:rPr>
  </w:style>
  <w:style w:type="paragraph" w:customStyle="1" w:styleId="1410">
    <w:name w:val="4表格标题"/>
    <w:basedOn w:val="1411"/>
    <w:qFormat/>
    <w:uiPriority w:val="0"/>
    <w:pPr>
      <w:numPr>
        <w:ilvl w:val="3"/>
        <w:numId w:val="10"/>
      </w:numPr>
      <w:adjustRightInd/>
      <w:snapToGrid/>
      <w:ind w:firstLine="0" w:firstLineChars="0"/>
      <w:jc w:val="center"/>
    </w:pPr>
    <w:rPr>
      <w:b/>
    </w:rPr>
  </w:style>
  <w:style w:type="paragraph" w:customStyle="1" w:styleId="1411">
    <w:name w:val="段落"/>
    <w:basedOn w:val="1"/>
    <w:qFormat/>
    <w:uiPriority w:val="0"/>
    <w:pPr>
      <w:spacing w:line="360" w:lineRule="auto"/>
      <w:ind w:firstLine="480" w:firstLineChars="200"/>
    </w:pPr>
    <w:rPr>
      <w:rFonts w:ascii="宋体" w:hAnsi="宋体" w:eastAsia="宋体"/>
      <w:kern w:val="2"/>
      <w:sz w:val="24"/>
      <w:szCs w:val="24"/>
      <w:lang w:val="en-US" w:eastAsia="zh-CN" w:bidi="ar-SA"/>
    </w:rPr>
  </w:style>
  <w:style w:type="character" w:customStyle="1" w:styleId="1412">
    <w:name w:val="font41"/>
    <w:basedOn w:val="125"/>
    <w:qFormat/>
    <w:uiPriority w:val="0"/>
    <w:rPr>
      <w:rFonts w:ascii="宋体" w:hAnsi="宋体" w:eastAsia="宋体" w:cs="宋体"/>
      <w:color w:val="000000"/>
      <w:sz w:val="28"/>
      <w:szCs w:val="28"/>
      <w:u w:val="none"/>
    </w:rPr>
  </w:style>
  <w:style w:type="character" w:customStyle="1" w:styleId="1413">
    <w:name w:val="font61"/>
    <w:basedOn w:val="125"/>
    <w:qFormat/>
    <w:uiPriority w:val="0"/>
    <w:rPr>
      <w:rFonts w:ascii="宋体" w:hAnsi="宋体" w:eastAsia="宋体" w:cs="宋体"/>
      <w:b/>
      <w:bCs/>
      <w:color w:val="000000"/>
      <w:sz w:val="28"/>
      <w:szCs w:val="28"/>
      <w:u w:val="none"/>
    </w:rPr>
  </w:style>
  <w:style w:type="character" w:customStyle="1" w:styleId="1414">
    <w:name w:val="font51"/>
    <w:basedOn w:val="125"/>
    <w:qFormat/>
    <w:uiPriority w:val="0"/>
    <w:rPr>
      <w:rFonts w:ascii="宋体" w:hAnsi="宋体" w:eastAsia="宋体" w:cs="宋体"/>
      <w:color w:val="000000"/>
      <w:sz w:val="26"/>
      <w:szCs w:val="26"/>
      <w:u w:val="none"/>
    </w:rPr>
  </w:style>
  <w:style w:type="character" w:customStyle="1" w:styleId="1415">
    <w:name w:val="font21"/>
    <w:basedOn w:val="125"/>
    <w:qFormat/>
    <w:uiPriority w:val="0"/>
    <w:rPr>
      <w:rFonts w:ascii="宋体" w:hAnsi="宋体" w:eastAsia="宋体" w:cs="宋体"/>
      <w:color w:val="000000"/>
      <w:sz w:val="26"/>
      <w:szCs w:val="26"/>
      <w:u w:val="none"/>
    </w:rPr>
  </w:style>
  <w:style w:type="paragraph" w:customStyle="1" w:styleId="1416">
    <w:name w:val="三级"/>
    <w:basedOn w:val="1"/>
    <w:qFormat/>
    <w:uiPriority w:val="0"/>
    <w:pPr>
      <w:ind w:firstLine="0" w:firstLineChars="0"/>
      <w:jc w:val="left"/>
      <w:outlineLvl w:val="2"/>
    </w:pPr>
    <w:rPr>
      <w:b/>
      <w:kern w:val="0"/>
      <w:sz w:val="28"/>
      <w:szCs w:val="21"/>
    </w:rPr>
  </w:style>
  <w:style w:type="paragraph" w:customStyle="1" w:styleId="1417">
    <w:name w:val="xry正文"/>
    <w:basedOn w:val="1"/>
    <w:qFormat/>
    <w:uiPriority w:val="0"/>
    <w:rPr>
      <w:kern w:val="0"/>
    </w:rPr>
  </w:style>
  <w:style w:type="paragraph" w:customStyle="1" w:styleId="1418">
    <w:name w:val="二级"/>
    <w:basedOn w:val="1"/>
    <w:qFormat/>
    <w:uiPriority w:val="0"/>
    <w:pPr>
      <w:ind w:firstLine="0" w:firstLineChars="0"/>
      <w:jc w:val="left"/>
      <w:outlineLvl w:val="1"/>
    </w:pPr>
    <w:rPr>
      <w:b/>
      <w:kern w:val="0"/>
      <w:sz w:val="30"/>
      <w:szCs w:val="21"/>
    </w:rPr>
  </w:style>
  <w:style w:type="character" w:customStyle="1" w:styleId="1419">
    <w:name w:val="font31"/>
    <w:basedOn w:val="125"/>
    <w:qFormat/>
    <w:uiPriority w:val="0"/>
    <w:rPr>
      <w:rFonts w:ascii="宋体" w:hAnsi="宋体" w:eastAsia="宋体" w:cs="宋体"/>
      <w:color w:val="000000"/>
      <w:sz w:val="22"/>
      <w:szCs w:val="22"/>
      <w:u w:val="none"/>
    </w:rPr>
  </w:style>
  <w:style w:type="character" w:customStyle="1" w:styleId="1420">
    <w:name w:val="宗兴表文字"/>
    <w:basedOn w:val="125"/>
    <w:qFormat/>
    <w:uiPriority w:val="0"/>
    <w:rPr>
      <w:rFonts w:ascii="Times New Roman" w:hAnsi="Times New Roman" w:eastAsia="宋体"/>
      <w:color w:val="000000"/>
      <w:sz w:val="21"/>
    </w:rPr>
  </w:style>
  <w:style w:type="paragraph" w:customStyle="1" w:styleId="1421">
    <w:name w:val="图标标题"/>
    <w:basedOn w:val="7"/>
    <w:qFormat/>
    <w:uiPriority w:val="0"/>
    <w:pPr>
      <w:spacing w:beforeLines="50" w:line="240" w:lineRule="auto"/>
      <w:ind w:firstLine="0" w:firstLineChars="0"/>
      <w:jc w:val="center"/>
    </w:pPr>
    <w:rPr>
      <w:rFonts w:ascii="Times New Roman" w:hAnsi="Times New Roman" w:eastAsia="宋体"/>
      <w:kern w:val="0"/>
      <w:szCs w:val="20"/>
    </w:rPr>
  </w:style>
  <w:style w:type="paragraph" w:customStyle="1" w:styleId="1422">
    <w:name w:val="Body text|1"/>
    <w:basedOn w:val="1"/>
    <w:qFormat/>
    <w:uiPriority w:val="0"/>
    <w:pPr>
      <w:widowControl w:val="0"/>
      <w:shd w:val="clear" w:color="auto" w:fill="auto"/>
      <w:spacing w:after="160"/>
      <w:ind w:firstLine="400"/>
    </w:pPr>
    <w:rPr>
      <w:rFonts w:ascii="宋体" w:hAnsi="宋体" w:eastAsia="宋体" w:cs="宋体"/>
      <w:u w:val="none"/>
      <w:shd w:val="clear" w:color="auto" w:fill="auto"/>
      <w:lang w:val="zh-TW" w:eastAsia="zh-TW" w:bidi="zh-TW"/>
    </w:rPr>
  </w:style>
  <w:style w:type="paragraph" w:customStyle="1" w:styleId="1423">
    <w:name w:val="Picture caption|1"/>
    <w:basedOn w:val="1"/>
    <w:qFormat/>
    <w:uiPriority w:val="0"/>
    <w:pPr>
      <w:widowControl w:val="0"/>
      <w:shd w:val="clear" w:color="auto" w:fill="auto"/>
    </w:pPr>
    <w:rPr>
      <w:rFonts w:ascii="宋体" w:hAnsi="宋体" w:eastAsia="宋体" w:cs="宋体"/>
      <w:color w:val="89936A"/>
      <w:sz w:val="8"/>
      <w:szCs w:val="8"/>
      <w:u w:val="none"/>
      <w:shd w:val="clear" w:color="auto" w:fill="auto"/>
      <w:lang w:val="zh-TW" w:eastAsia="zh-TW" w:bidi="zh-TW"/>
    </w:rPr>
  </w:style>
  <w:style w:type="paragraph" w:customStyle="1" w:styleId="1424">
    <w:name w:val="Heading #5|1"/>
    <w:basedOn w:val="1"/>
    <w:qFormat/>
    <w:uiPriority w:val="0"/>
    <w:pPr>
      <w:widowControl w:val="0"/>
      <w:shd w:val="clear" w:color="auto" w:fill="auto"/>
      <w:spacing w:line="464" w:lineRule="exact"/>
      <w:jc w:val="center"/>
      <w:outlineLvl w:val="4"/>
    </w:pPr>
    <w:rPr>
      <w:rFonts w:ascii="宋体" w:hAnsi="宋体" w:eastAsia="宋体" w:cs="宋体"/>
      <w:b/>
      <w:bCs/>
      <w:u w:val="none"/>
      <w:shd w:val="clear" w:color="auto" w:fill="auto"/>
      <w:lang w:val="zh-TW" w:eastAsia="zh-TW" w:bidi="zh-TW"/>
    </w:rPr>
  </w:style>
  <w:style w:type="paragraph" w:customStyle="1" w:styleId="1425">
    <w:name w:val="Table caption|1"/>
    <w:basedOn w:val="1"/>
    <w:qFormat/>
    <w:uiPriority w:val="0"/>
    <w:pPr>
      <w:widowControl w:val="0"/>
      <w:shd w:val="clear" w:color="auto" w:fill="auto"/>
    </w:pPr>
    <w:rPr>
      <w:rFonts w:ascii="宋体" w:hAnsi="宋体" w:eastAsia="宋体" w:cs="宋体"/>
      <w:b/>
      <w:bCs/>
      <w:u w:val="none"/>
      <w:shd w:val="clear" w:color="auto" w:fill="auto"/>
      <w:lang w:val="zh-TW" w:eastAsia="zh-TW" w:bidi="zh-TW"/>
    </w:rPr>
  </w:style>
  <w:style w:type="character" w:customStyle="1" w:styleId="1426">
    <w:name w:val="font71"/>
    <w:basedOn w:val="125"/>
    <w:qFormat/>
    <w:uiPriority w:val="0"/>
    <w:rPr>
      <w:rFonts w:ascii="宋体" w:hAnsi="宋体" w:eastAsia="宋体" w:cs="宋体"/>
      <w:b/>
      <w:bCs/>
      <w:color w:val="000000"/>
      <w:sz w:val="32"/>
      <w:szCs w:val="32"/>
      <w:u w:val="none"/>
    </w:rPr>
  </w:style>
  <w:style w:type="character" w:customStyle="1" w:styleId="1427">
    <w:name w:val="font81"/>
    <w:basedOn w:val="125"/>
    <w:qFormat/>
    <w:uiPriority w:val="0"/>
    <w:rPr>
      <w:rFonts w:hint="default" w:ascii="Times New Roman" w:hAnsi="Times New Roman" w:cs="Times New Roman"/>
      <w:color w:val="FF0000"/>
      <w:sz w:val="21"/>
      <w:szCs w:val="21"/>
      <w:u w:val="none"/>
    </w:rPr>
  </w:style>
  <w:style w:type="paragraph" w:customStyle="1" w:styleId="1428">
    <w:name w:val="Table Text"/>
    <w:basedOn w:val="1"/>
    <w:semiHidden/>
    <w:qFormat/>
    <w:uiPriority w:val="0"/>
    <w:rPr>
      <w:rFonts w:ascii="宋体" w:hAnsi="宋体" w:eastAsia="宋体" w:cs="宋体"/>
      <w:sz w:val="15"/>
      <w:szCs w:val="15"/>
      <w:lang w:val="en-US" w:eastAsia="en-US" w:bidi="ar-SA"/>
    </w:rPr>
  </w:style>
  <w:style w:type="character" w:customStyle="1" w:styleId="1429">
    <w:name w:val="font112"/>
    <w:basedOn w:val="125"/>
    <w:qFormat/>
    <w:uiPriority w:val="0"/>
    <w:rPr>
      <w:rFonts w:ascii="宋体" w:hAnsi="宋体" w:eastAsia="宋体" w:cs="宋体"/>
      <w:color w:val="000000"/>
      <w:sz w:val="26"/>
      <w:szCs w:val="26"/>
      <w:u w:val="none"/>
    </w:rPr>
  </w:style>
  <w:style w:type="character" w:customStyle="1" w:styleId="1430">
    <w:name w:val="font121"/>
    <w:basedOn w:val="125"/>
    <w:qFormat/>
    <w:uiPriority w:val="0"/>
    <w:rPr>
      <w:rFonts w:ascii="宋体" w:hAnsi="宋体" w:eastAsia="宋体" w:cs="宋体"/>
      <w:b/>
      <w:bCs/>
      <w:color w:val="000000"/>
      <w:sz w:val="26"/>
      <w:szCs w:val="26"/>
      <w:u w:val="none"/>
    </w:rPr>
  </w:style>
  <w:style w:type="character" w:customStyle="1" w:styleId="1431">
    <w:name w:val="font101"/>
    <w:basedOn w:val="125"/>
    <w:qFormat/>
    <w:uiPriority w:val="0"/>
    <w:rPr>
      <w:rFonts w:ascii="宋体" w:hAnsi="宋体" w:eastAsia="宋体" w:cs="宋体"/>
      <w:color w:val="504020"/>
      <w:sz w:val="26"/>
      <w:szCs w:val="26"/>
      <w:u w:val="none"/>
    </w:rPr>
  </w:style>
  <w:style w:type="character" w:customStyle="1" w:styleId="1432">
    <w:name w:val="font161"/>
    <w:basedOn w:val="125"/>
    <w:qFormat/>
    <w:uiPriority w:val="0"/>
    <w:rPr>
      <w:rFonts w:ascii="宋体" w:hAnsi="宋体" w:eastAsia="宋体" w:cs="宋体"/>
      <w:color w:val="000000"/>
      <w:sz w:val="24"/>
      <w:szCs w:val="24"/>
      <w:u w:val="none"/>
    </w:rPr>
  </w:style>
  <w:style w:type="character" w:customStyle="1" w:styleId="1433">
    <w:name w:val="font171"/>
    <w:basedOn w:val="125"/>
    <w:qFormat/>
    <w:uiPriority w:val="0"/>
    <w:rPr>
      <w:rFonts w:ascii="Arial" w:hAnsi="Arial" w:cs="Arial"/>
      <w:color w:val="000000"/>
      <w:sz w:val="22"/>
      <w:szCs w:val="22"/>
      <w:u w:val="none"/>
    </w:rPr>
  </w:style>
  <w:style w:type="character" w:customStyle="1" w:styleId="1434">
    <w:name w:val="font91"/>
    <w:basedOn w:val="125"/>
    <w:qFormat/>
    <w:uiPriority w:val="0"/>
    <w:rPr>
      <w:rFonts w:ascii="宋体" w:hAnsi="宋体" w:eastAsia="宋体" w:cs="宋体"/>
      <w:color w:val="000000"/>
      <w:sz w:val="30"/>
      <w:szCs w:val="30"/>
      <w:u w:val="none"/>
    </w:rPr>
  </w:style>
  <w:style w:type="paragraph" w:customStyle="1" w:styleId="1435">
    <w:name w:val="屠彪标题"/>
    <w:basedOn w:val="1"/>
    <w:qFormat/>
    <w:uiPriority w:val="0"/>
    <w:pPr>
      <w:adjustRightInd w:val="0"/>
      <w:snapToGrid w:val="0"/>
      <w:spacing w:before="10" w:beforeLines="10" w:after="10" w:afterLines="10"/>
      <w:jc w:val="center"/>
    </w:pPr>
    <w:rPr>
      <w:rFonts w:ascii="Times New Roman" w:hAnsi="Times New Roman" w:eastAsia="宋体"/>
      <w:b/>
      <w:kern w:val="0"/>
      <w:sz w:val="24"/>
      <w:szCs w:val="20"/>
    </w:rPr>
  </w:style>
  <w:style w:type="paragraph" w:customStyle="1" w:styleId="1436">
    <w:name w:val="彪哥文本"/>
    <w:basedOn w:val="1"/>
    <w:next w:val="1"/>
    <w:qFormat/>
    <w:uiPriority w:val="0"/>
    <w:pPr>
      <w:adjustRightInd w:val="0"/>
      <w:snapToGrid w:val="0"/>
      <w:spacing w:before="10" w:beforeLines="10" w:after="10" w:afterLines="10" w:line="240" w:lineRule="auto"/>
      <w:jc w:val="center"/>
    </w:pPr>
    <w:rPr>
      <w:rFonts w:ascii="Times New Roman" w:hAnsi="Times New Roman" w:eastAsia="宋体"/>
      <w:kern w:val="0"/>
      <w:szCs w:val="20"/>
    </w:rPr>
  </w:style>
  <w:style w:type="paragraph" w:customStyle="1" w:styleId="1437">
    <w:name w:val="表格五F3"/>
    <w:basedOn w:val="1"/>
    <w:qFormat/>
    <w:uiPriority w:val="0"/>
    <w:pPr>
      <w:widowControl/>
      <w:adjustRightInd w:val="0"/>
      <w:snapToGrid w:val="0"/>
      <w:spacing w:line="240" w:lineRule="auto"/>
      <w:jc w:val="center"/>
    </w:pPr>
    <w:rPr>
      <w:rFonts w:eastAsia="楷体"/>
      <w:kern w:val="0"/>
      <w:sz w:val="21"/>
      <w:szCs w:val="22"/>
    </w:rPr>
  </w:style>
  <w:style w:type="paragraph" w:customStyle="1" w:styleId="1438">
    <w:name w:val="正文（）"/>
    <w:basedOn w:val="1"/>
    <w:qFormat/>
    <w:uiPriority w:val="0"/>
    <w:pPr>
      <w:adjustRightInd w:val="0"/>
      <w:snapToGrid w:val="0"/>
      <w:spacing w:line="360" w:lineRule="auto"/>
      <w:ind w:firstLine="200" w:firstLineChars="200"/>
    </w:pPr>
    <w:rPr>
      <w:sz w:val="24"/>
    </w:rPr>
  </w:style>
  <w:style w:type="character" w:customStyle="1" w:styleId="1439">
    <w:name w:val="_Style 2"/>
    <w:qFormat/>
    <w:uiPriority w:val="31"/>
    <w:rPr>
      <w:smallCaps/>
      <w:color w:val="5A5A5A"/>
    </w:rPr>
  </w:style>
  <w:style w:type="paragraph" w:customStyle="1" w:styleId="1440">
    <w:name w:val="表的标题"/>
    <w:basedOn w:val="1"/>
    <w:next w:val="337"/>
    <w:qFormat/>
    <w:uiPriority w:val="0"/>
    <w:pPr>
      <w:adjustRightInd w:val="0"/>
      <w:snapToGrid w:val="0"/>
      <w:spacing w:before="50" w:beforeLines="50"/>
      <w:jc w:val="center"/>
    </w:pPr>
    <w:rPr>
      <w:rFonts w:eastAsia="黑体" w:cs="宋体"/>
      <w:sz w:val="24"/>
      <w:szCs w:val="20"/>
    </w:rPr>
  </w:style>
  <w:style w:type="paragraph" w:customStyle="1" w:styleId="1441">
    <w:name w:val="lin表格标题"/>
    <w:qFormat/>
    <w:uiPriority w:val="0"/>
    <w:pPr>
      <w:widowControl w:val="0"/>
      <w:numPr>
        <w:ilvl w:val="5"/>
        <w:numId w:val="11"/>
      </w:numPr>
      <w:spacing w:line="240" w:lineRule="auto"/>
      <w:ind w:firstLine="602" w:firstLineChars="0"/>
      <w:jc w:val="center"/>
    </w:pPr>
    <w:rPr>
      <w:rFonts w:ascii="Times New Roman" w:hAnsi="Times New Roman" w:eastAsia="宋体" w:cs="Times New Roman"/>
      <w:b/>
      <w:color w:val="000000"/>
      <w:sz w:val="24"/>
      <w:szCs w:val="24"/>
      <w:lang w:val="en-US" w:eastAsia="en-US" w:bidi="en-US"/>
    </w:rPr>
  </w:style>
  <w:style w:type="paragraph" w:customStyle="1" w:styleId="1442">
    <w:name w:val="Other|1"/>
    <w:basedOn w:val="1"/>
    <w:qFormat/>
    <w:uiPriority w:val="0"/>
    <w:pPr>
      <w:widowControl w:val="0"/>
      <w:shd w:val="clear" w:color="auto" w:fill="auto"/>
    </w:pPr>
    <w:rPr>
      <w:rFonts w:ascii="宋体" w:hAnsi="宋体" w:eastAsia="宋体" w:cs="宋体"/>
      <w:color w:val="8D8B8C"/>
      <w:sz w:val="19"/>
      <w:szCs w:val="19"/>
      <w:u w:val="none"/>
      <w:shd w:val="clear" w:color="auto" w:fill="auto"/>
      <w:lang w:val="zh-TW" w:eastAsia="zh-TW" w:bidi="zh-TW"/>
    </w:rPr>
  </w:style>
  <w:style w:type="paragraph" w:customStyle="1" w:styleId="1443">
    <w:name w:val="lin正文缩进"/>
    <w:basedOn w:val="1"/>
    <w:qFormat/>
    <w:uiPriority w:val="0"/>
    <w:pPr>
      <w:spacing w:line="360" w:lineRule="auto"/>
      <w:ind w:firstLine="200" w:firstLineChars="200"/>
    </w:pPr>
    <w:rPr>
      <w:sz w:val="24"/>
    </w:rPr>
  </w:style>
  <w:style w:type="paragraph" w:customStyle="1" w:styleId="1444">
    <w:name w:val="lin表格中"/>
    <w:basedOn w:val="1"/>
    <w:qFormat/>
    <w:uiPriority w:val="0"/>
    <w:pPr>
      <w:adjustRightInd w:val="0"/>
      <w:snapToGrid w:val="0"/>
      <w:jc w:val="center"/>
    </w:pPr>
    <w:rPr>
      <w:szCs w:val="21"/>
    </w:rPr>
  </w:style>
  <w:style w:type="paragraph" w:customStyle="1" w:styleId="1445">
    <w:name w:val="图表文字"/>
    <w:basedOn w:val="1"/>
    <w:qFormat/>
    <w:uiPriority w:val="0"/>
    <w:pPr>
      <w:adjustRightInd w:val="0"/>
      <w:snapToGrid w:val="0"/>
      <w:spacing w:line="240" w:lineRule="auto"/>
      <w:ind w:firstLine="0" w:firstLineChars="0"/>
      <w:jc w:val="center"/>
      <w:textAlignment w:val="center"/>
    </w:pPr>
    <w:rPr>
      <w:rFonts w:ascii="Times New Roman" w:hAnsi="Times New Roman" w:eastAsia="宋体" w:cs="Arial"/>
      <w:sz w:val="21"/>
      <w:szCs w:val="21"/>
    </w:rPr>
  </w:style>
  <w:style w:type="paragraph" w:customStyle="1" w:styleId="1446">
    <w:name w:val="样式 黑色 行距: 最小值 26 磅"/>
    <w:basedOn w:val="1"/>
    <w:qFormat/>
    <w:uiPriority w:val="0"/>
    <w:pPr>
      <w:ind w:firstLine="200" w:firstLineChars="200"/>
      <w:jc w:val="left"/>
    </w:pPr>
    <w:rPr>
      <w:rFonts w:eastAsia="楷体_GB2312" w:cs="宋体"/>
      <w:color w:val="000000"/>
      <w:spacing w:val="6"/>
      <w:sz w:val="28"/>
      <w:szCs w:val="20"/>
    </w:rPr>
  </w:style>
  <w:style w:type="paragraph" w:customStyle="1" w:styleId="1447">
    <w:name w:val="样式35"/>
    <w:next w:val="879"/>
    <w:qFormat/>
    <w:uiPriority w:val="99"/>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1448">
    <w:name w:val="A表文-lcc"/>
    <w:qFormat/>
    <w:uiPriority w:val="0"/>
    <w:pPr>
      <w:jc w:val="center"/>
    </w:pPr>
    <w:rPr>
      <w:rFonts w:ascii="Times New Roman" w:hAnsi="Times New Roman" w:eastAsia="宋体" w:cs="Times New Roman"/>
      <w:color w:val="000000"/>
      <w:kern w:val="2"/>
      <w:sz w:val="18"/>
      <w:szCs w:val="22"/>
      <w:lang w:val="en-US" w:eastAsia="zh-CN" w:bidi="ar-SA"/>
    </w:rPr>
  </w:style>
  <w:style w:type="paragraph" w:customStyle="1" w:styleId="1449">
    <w:name w:val="二章表头"/>
    <w:basedOn w:val="1450"/>
    <w:qFormat/>
    <w:uiPriority w:val="0"/>
    <w:pPr>
      <w:numPr>
        <w:ilvl w:val="0"/>
        <w:numId w:val="12"/>
      </w:numPr>
      <w:spacing w:before="10"/>
      <w:ind w:right="0" w:firstLine="0"/>
    </w:pPr>
    <w:rPr>
      <w:rFonts w:ascii="Times New Roman" w:hAnsi="Times New Roman" w:eastAsia="宋体"/>
    </w:rPr>
  </w:style>
  <w:style w:type="paragraph" w:customStyle="1" w:styleId="1450">
    <w:name w:val="一章表头"/>
    <w:basedOn w:val="1451"/>
    <w:qFormat/>
    <w:uiPriority w:val="0"/>
    <w:pPr>
      <w:numPr>
        <w:ilvl w:val="0"/>
        <w:numId w:val="13"/>
      </w:numPr>
    </w:pPr>
  </w:style>
  <w:style w:type="paragraph" w:customStyle="1" w:styleId="1451">
    <w:name w:val="七章表头"/>
    <w:basedOn w:val="1452"/>
    <w:qFormat/>
    <w:uiPriority w:val="0"/>
    <w:pPr>
      <w:numPr>
        <w:ilvl w:val="0"/>
        <w:numId w:val="14"/>
      </w:numPr>
      <w:ind w:firstLine="0"/>
    </w:pPr>
  </w:style>
  <w:style w:type="paragraph" w:customStyle="1" w:styleId="1452">
    <w:name w:val="五章表头"/>
    <w:basedOn w:val="570"/>
    <w:qFormat/>
    <w:uiPriority w:val="0"/>
    <w:pPr>
      <w:numPr>
        <w:ilvl w:val="0"/>
        <w:numId w:val="15"/>
      </w:numPr>
      <w:tabs>
        <w:tab w:val="clear" w:pos="1418"/>
      </w:tabs>
      <w:spacing w:before="50"/>
    </w:pPr>
  </w:style>
  <w:style w:type="paragraph" w:customStyle="1" w:styleId="1453">
    <w:name w:val="22标题2"/>
    <w:basedOn w:val="592"/>
    <w:qFormat/>
    <w:uiPriority w:val="0"/>
    <w:pPr>
      <w:adjustRightInd w:val="0"/>
      <w:snapToGrid w:val="0"/>
    </w:pPr>
    <w:rPr>
      <w:color w:val="0000FF"/>
    </w:rPr>
  </w:style>
  <w:style w:type="paragraph" w:customStyle="1" w:styleId="1454">
    <w:name w:val="福建标题"/>
    <w:basedOn w:val="1"/>
    <w:qFormat/>
    <w:uiPriority w:val="0"/>
    <w:pPr>
      <w:spacing w:line="240" w:lineRule="atLeast"/>
      <w:jc w:val="left"/>
    </w:pPr>
    <w:rPr>
      <w:rFonts w:cs="仿宋_GB2312"/>
      <w:b/>
      <w:sz w:val="28"/>
      <w:szCs w:val="36"/>
    </w:rPr>
  </w:style>
  <w:style w:type="paragraph" w:customStyle="1" w:styleId="1455">
    <w:name w:val="表正文"/>
    <w:basedOn w:val="1"/>
    <w:qFormat/>
    <w:uiPriority w:val="0"/>
    <w:pPr>
      <w:widowControl/>
      <w:spacing w:line="360" w:lineRule="auto"/>
      <w:ind w:firstLine="200" w:firstLineChars="200"/>
      <w:jc w:val="left"/>
    </w:pPr>
    <w:rPr>
      <w:sz w:val="24"/>
    </w:rPr>
  </w:style>
  <w:style w:type="paragraph" w:customStyle="1" w:styleId="1456">
    <w:name w:val="闽创报告正文"/>
    <w:basedOn w:val="1"/>
    <w:qFormat/>
    <w:uiPriority w:val="0"/>
    <w:pPr>
      <w:tabs>
        <w:tab w:val="left" w:pos="0"/>
      </w:tabs>
      <w:spacing w:line="360" w:lineRule="auto"/>
      <w:ind w:firstLine="200" w:firstLineChars="200"/>
    </w:pPr>
    <w:rPr>
      <w:color w:val="000000"/>
      <w:sz w:val="24"/>
      <w:szCs w:val="20"/>
    </w:rPr>
  </w:style>
  <w:style w:type="paragraph" w:customStyle="1" w:styleId="1457">
    <w:name w:val="金皇-表（图）头"/>
    <w:qFormat/>
    <w:uiPriority w:val="0"/>
    <w:pPr>
      <w:widowControl w:val="0"/>
      <w:adjustRightInd w:val="0"/>
      <w:snapToGrid w:val="0"/>
      <w:jc w:val="center"/>
      <w:outlineLvl w:val="4"/>
    </w:pPr>
    <w:rPr>
      <w:rFonts w:ascii="Times New Roman" w:hAnsi="Times New Roman" w:eastAsia="黑体" w:cs="Times New Roman"/>
      <w:b/>
      <w:kern w:val="2"/>
      <w:sz w:val="28"/>
      <w:szCs w:val="22"/>
      <w:lang w:val="en-US" w:eastAsia="zh-CN" w:bidi="ar-SA"/>
    </w:rPr>
  </w:style>
  <w:style w:type="paragraph" w:customStyle="1" w:styleId="1458">
    <w:name w:val="6表格内文字"/>
    <w:basedOn w:val="1459"/>
    <w:qFormat/>
    <w:uiPriority w:val="0"/>
    <w:pPr>
      <w:spacing w:line="240" w:lineRule="auto"/>
    </w:pPr>
    <w:rPr>
      <w:b w:val="0"/>
      <w:sz w:val="21"/>
    </w:rPr>
  </w:style>
  <w:style w:type="paragraph" w:customStyle="1" w:styleId="1459">
    <w:name w:val="表头格式"/>
    <w:basedOn w:val="1"/>
    <w:next w:val="1"/>
    <w:qFormat/>
    <w:uiPriority w:val="0"/>
    <w:pPr>
      <w:ind w:firstLine="0" w:firstLineChars="0"/>
      <w:jc w:val="center"/>
      <w:outlineLvl w:val="4"/>
    </w:pPr>
    <w:rPr>
      <w:b/>
    </w:rPr>
  </w:style>
  <w:style w:type="paragraph" w:customStyle="1" w:styleId="1460">
    <w:name w:val="正文hhhhhh"/>
    <w:basedOn w:val="1"/>
    <w:next w:val="5"/>
    <w:qFormat/>
    <w:uiPriority w:val="0"/>
    <w:pPr>
      <w:adjustRightInd w:val="0"/>
      <w:snapToGrid w:val="0"/>
      <w:spacing w:line="360" w:lineRule="auto"/>
      <w:ind w:firstLine="200" w:firstLineChars="200"/>
      <w:jc w:val="left"/>
    </w:pPr>
    <w:rPr>
      <w:rFonts w:eastAsia="宋体"/>
      <w:sz w:val="24"/>
      <w:szCs w:val="24"/>
    </w:rPr>
  </w:style>
  <w:style w:type="paragraph" w:customStyle="1" w:styleId="1461">
    <w:name w:val="表格内正文"/>
    <w:basedOn w:val="1"/>
    <w:qFormat/>
    <w:uiPriority w:val="0"/>
    <w:pPr>
      <w:wordWrap w:val="0"/>
      <w:spacing w:line="240" w:lineRule="auto"/>
      <w:ind w:firstLine="0" w:firstLineChars="0"/>
      <w:jc w:val="center"/>
    </w:pPr>
    <w:rPr>
      <w:rFonts w:hint="eastAsia" w:ascii="Times New Roman" w:hAnsi="Times New Roman" w:eastAsia="宋体" w:cs="Times New Roman"/>
      <w:color w:val="000000"/>
      <w:sz w:val="21"/>
    </w:rPr>
  </w:style>
  <w:style w:type="character" w:customStyle="1" w:styleId="1462">
    <w:name w:val="_Style 38"/>
    <w:qFormat/>
    <w:uiPriority w:val="31"/>
    <w:rPr>
      <w:smallCaps/>
      <w:color w:val="5A5A5A"/>
    </w:rPr>
  </w:style>
</w:styles>
</file>

<file path=word/_rels/document.xml.rels><?xml version="1.0" encoding="UTF-8" standalone="yes"?>
<Relationships xmlns="http://schemas.openxmlformats.org/package/2006/relationships"><Relationship Id="rId99" Type="http://schemas.openxmlformats.org/officeDocument/2006/relationships/image" Target="media/image57.png"/><Relationship Id="rId98" Type="http://schemas.openxmlformats.org/officeDocument/2006/relationships/image" Target="media/image56.png"/><Relationship Id="rId97" Type="http://schemas.openxmlformats.org/officeDocument/2006/relationships/image" Target="media/image55.png"/><Relationship Id="rId96" Type="http://schemas.openxmlformats.org/officeDocument/2006/relationships/image" Target="media/image54.png"/><Relationship Id="rId95" Type="http://schemas.openxmlformats.org/officeDocument/2006/relationships/image" Target="media/image53.png"/><Relationship Id="rId94" Type="http://schemas.openxmlformats.org/officeDocument/2006/relationships/image" Target="media/image52.png"/><Relationship Id="rId93" Type="http://schemas.openxmlformats.org/officeDocument/2006/relationships/image" Target="media/image51.jpeg"/><Relationship Id="rId92" Type="http://schemas.openxmlformats.org/officeDocument/2006/relationships/image" Target="media/image50.png"/><Relationship Id="rId91" Type="http://schemas.openxmlformats.org/officeDocument/2006/relationships/image" Target="media/image49.png"/><Relationship Id="rId90" Type="http://schemas.openxmlformats.org/officeDocument/2006/relationships/image" Target="media/image48.png"/><Relationship Id="rId9" Type="http://schemas.openxmlformats.org/officeDocument/2006/relationships/header" Target="header4.xml"/><Relationship Id="rId89" Type="http://schemas.openxmlformats.org/officeDocument/2006/relationships/image" Target="media/image47.png"/><Relationship Id="rId88" Type="http://schemas.openxmlformats.org/officeDocument/2006/relationships/image" Target="media/image46.emf"/><Relationship Id="rId87" Type="http://schemas.openxmlformats.org/officeDocument/2006/relationships/image" Target="media/image45.png"/><Relationship Id="rId86" Type="http://schemas.openxmlformats.org/officeDocument/2006/relationships/image" Target="media/image44.emf"/><Relationship Id="rId85" Type="http://schemas.openxmlformats.org/officeDocument/2006/relationships/image" Target="media/image43.emf"/><Relationship Id="rId84" Type="http://schemas.openxmlformats.org/officeDocument/2006/relationships/image" Target="media/image42.emf"/><Relationship Id="rId83" Type="http://schemas.openxmlformats.org/officeDocument/2006/relationships/image" Target="media/image41.emf"/><Relationship Id="rId82" Type="http://schemas.openxmlformats.org/officeDocument/2006/relationships/image" Target="media/image40.emf"/><Relationship Id="rId81" Type="http://schemas.openxmlformats.org/officeDocument/2006/relationships/image" Target="media/image39.emf"/><Relationship Id="rId80" Type="http://schemas.openxmlformats.org/officeDocument/2006/relationships/image" Target="media/image38.emf"/><Relationship Id="rId8" Type="http://schemas.openxmlformats.org/officeDocument/2006/relationships/header" Target="header3.xml"/><Relationship Id="rId79" Type="http://schemas.openxmlformats.org/officeDocument/2006/relationships/image" Target="media/image37.emf"/><Relationship Id="rId78" Type="http://schemas.openxmlformats.org/officeDocument/2006/relationships/image" Target="media/image36.png"/><Relationship Id="rId77" Type="http://schemas.openxmlformats.org/officeDocument/2006/relationships/image" Target="media/image35.png"/><Relationship Id="rId76" Type="http://schemas.openxmlformats.org/officeDocument/2006/relationships/image" Target="media/image34.png"/><Relationship Id="rId75" Type="http://schemas.openxmlformats.org/officeDocument/2006/relationships/image" Target="media/image33.wmf"/><Relationship Id="rId74" Type="http://schemas.openxmlformats.org/officeDocument/2006/relationships/image" Target="media/image32.png"/><Relationship Id="rId73" Type="http://schemas.openxmlformats.org/officeDocument/2006/relationships/image" Target="media/image31.png"/><Relationship Id="rId72" Type="http://schemas.openxmlformats.org/officeDocument/2006/relationships/image" Target="media/image30.png"/><Relationship Id="rId71" Type="http://schemas.openxmlformats.org/officeDocument/2006/relationships/image" Target="media/image29.png"/><Relationship Id="rId70" Type="http://schemas.openxmlformats.org/officeDocument/2006/relationships/image" Target="media/image28.png"/><Relationship Id="rId7" Type="http://schemas.openxmlformats.org/officeDocument/2006/relationships/header" Target="header2.xml"/><Relationship Id="rId69" Type="http://schemas.openxmlformats.org/officeDocument/2006/relationships/image" Target="media/image27.png"/><Relationship Id="rId68" Type="http://schemas.openxmlformats.org/officeDocument/2006/relationships/image" Target="media/image26.png"/><Relationship Id="rId67" Type="http://schemas.openxmlformats.org/officeDocument/2006/relationships/image" Target="media/image25.png"/><Relationship Id="rId66" Type="http://schemas.openxmlformats.org/officeDocument/2006/relationships/image" Target="media/image24.png"/><Relationship Id="rId65" Type="http://schemas.openxmlformats.org/officeDocument/2006/relationships/image" Target="media/image23.png"/><Relationship Id="rId64" Type="http://schemas.openxmlformats.org/officeDocument/2006/relationships/image" Target="media/image22.png"/><Relationship Id="rId63" Type="http://schemas.openxmlformats.org/officeDocument/2006/relationships/image" Target="media/image21.png"/><Relationship Id="rId62" Type="http://schemas.openxmlformats.org/officeDocument/2006/relationships/image" Target="media/image20.png"/><Relationship Id="rId61" Type="http://schemas.openxmlformats.org/officeDocument/2006/relationships/image" Target="media/image19.wmf"/><Relationship Id="rId60" Type="http://schemas.openxmlformats.org/officeDocument/2006/relationships/oleObject" Target="embeddings/oleObject4.bin"/><Relationship Id="rId6" Type="http://schemas.openxmlformats.org/officeDocument/2006/relationships/footer" Target="footer1.xml"/><Relationship Id="rId59" Type="http://schemas.openxmlformats.org/officeDocument/2006/relationships/image" Target="media/image18.png"/><Relationship Id="rId58" Type="http://schemas.openxmlformats.org/officeDocument/2006/relationships/image" Target="media/image17.wmf"/><Relationship Id="rId57" Type="http://schemas.openxmlformats.org/officeDocument/2006/relationships/oleObject" Target="embeddings/oleObject3.bin"/><Relationship Id="rId56" Type="http://schemas.openxmlformats.org/officeDocument/2006/relationships/image" Target="media/image16.wmf"/><Relationship Id="rId55" Type="http://schemas.openxmlformats.org/officeDocument/2006/relationships/oleObject" Target="embeddings/oleObject2.bin"/><Relationship Id="rId54" Type="http://schemas.openxmlformats.org/officeDocument/2006/relationships/image" Target="media/image15.wmf"/><Relationship Id="rId53" Type="http://schemas.openxmlformats.org/officeDocument/2006/relationships/oleObject" Target="embeddings/oleObject1.bin"/><Relationship Id="rId52" Type="http://schemas.openxmlformats.org/officeDocument/2006/relationships/image" Target="media/image14.png"/><Relationship Id="rId51" Type="http://schemas.openxmlformats.org/officeDocument/2006/relationships/image" Target="media/image13.jpeg"/><Relationship Id="rId50" Type="http://schemas.openxmlformats.org/officeDocument/2006/relationships/image" Target="media/image12.png"/><Relationship Id="rId5" Type="http://schemas.openxmlformats.org/officeDocument/2006/relationships/header" Target="header1.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jpeg"/><Relationship Id="rId4" Type="http://schemas.openxmlformats.org/officeDocument/2006/relationships/endnotes" Target="endnotes.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15.xml"/><Relationship Id="rId36" Type="http://schemas.openxmlformats.org/officeDocument/2006/relationships/footer" Target="footer14.xml"/><Relationship Id="rId35" Type="http://schemas.openxmlformats.org/officeDocument/2006/relationships/header" Target="header18.xml"/><Relationship Id="rId34" Type="http://schemas.openxmlformats.org/officeDocument/2006/relationships/header" Target="header17.xml"/><Relationship Id="rId33" Type="http://schemas.openxmlformats.org/officeDocument/2006/relationships/footer" Target="footer13.xml"/><Relationship Id="rId32" Type="http://schemas.openxmlformats.org/officeDocument/2006/relationships/footer" Target="footer12.xml"/><Relationship Id="rId31" Type="http://schemas.openxmlformats.org/officeDocument/2006/relationships/header" Target="header16.xml"/><Relationship Id="rId30" Type="http://schemas.openxmlformats.org/officeDocument/2006/relationships/header" Target="header15.xml"/><Relationship Id="rId3" Type="http://schemas.openxmlformats.org/officeDocument/2006/relationships/footnotes" Target="footnotes.xml"/><Relationship Id="rId29" Type="http://schemas.openxmlformats.org/officeDocument/2006/relationships/footer" Target="footer11.xml"/><Relationship Id="rId28" Type="http://schemas.openxmlformats.org/officeDocument/2006/relationships/footer" Target="footer10.xml"/><Relationship Id="rId27" Type="http://schemas.openxmlformats.org/officeDocument/2006/relationships/header" Target="header14.xml"/><Relationship Id="rId26" Type="http://schemas.openxmlformats.org/officeDocument/2006/relationships/header" Target="header13.xml"/><Relationship Id="rId25" Type="http://schemas.openxmlformats.org/officeDocument/2006/relationships/footer" Target="footer9.xml"/><Relationship Id="rId24" Type="http://schemas.openxmlformats.org/officeDocument/2006/relationships/header" Target="header12.xml"/><Relationship Id="rId23" Type="http://schemas.openxmlformats.org/officeDocument/2006/relationships/footer" Target="footer8.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4" Type="http://schemas.openxmlformats.org/officeDocument/2006/relationships/fontTable" Target="fontTable.xml"/><Relationship Id="rId113" Type="http://schemas.openxmlformats.org/officeDocument/2006/relationships/customXml" Target="../customXml/item2.xml"/><Relationship Id="rId112" Type="http://schemas.openxmlformats.org/officeDocument/2006/relationships/numbering" Target="numbering.xml"/><Relationship Id="rId111" Type="http://schemas.openxmlformats.org/officeDocument/2006/relationships/customXml" Target="../customXml/item1.xml"/><Relationship Id="rId110" Type="http://schemas.openxmlformats.org/officeDocument/2006/relationships/image" Target="media/image68.jpeg"/><Relationship Id="rId11" Type="http://schemas.openxmlformats.org/officeDocument/2006/relationships/footer" Target="footer3.xml"/><Relationship Id="rId109" Type="http://schemas.openxmlformats.org/officeDocument/2006/relationships/image" Target="media/image67.jpeg"/><Relationship Id="rId108" Type="http://schemas.openxmlformats.org/officeDocument/2006/relationships/image" Target="media/image66.jpeg"/><Relationship Id="rId107" Type="http://schemas.openxmlformats.org/officeDocument/2006/relationships/image" Target="media/image65.png"/><Relationship Id="rId106" Type="http://schemas.openxmlformats.org/officeDocument/2006/relationships/image" Target="media/image64.png"/><Relationship Id="rId105" Type="http://schemas.openxmlformats.org/officeDocument/2006/relationships/image" Target="media/image63.png"/><Relationship Id="rId104" Type="http://schemas.openxmlformats.org/officeDocument/2006/relationships/image" Target="media/image62.png"/><Relationship Id="rId103" Type="http://schemas.openxmlformats.org/officeDocument/2006/relationships/image" Target="media/image61.png"/><Relationship Id="rId102" Type="http://schemas.openxmlformats.org/officeDocument/2006/relationships/image" Target="media/image60.png"/><Relationship Id="rId101" Type="http://schemas.openxmlformats.org/officeDocument/2006/relationships/image" Target="media/image59.png"/><Relationship Id="rId100" Type="http://schemas.openxmlformats.org/officeDocument/2006/relationships/image" Target="media/image58.png"/><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0"/>
  </customShpExts>
</s:customData>
</file>

<file path=customXml/item2.xml><?xml version="1.0" encoding="utf-8"?>
<contractReview xmlns="http://schemas.wps.cn/vas-ai-hub/contract-review">
  <reviewItems>
    <reviewItem>
      <errorID>37fcad1d-b6c6-4bde-b5ac-fbd8edde9225</errorID>
      <errorWord>属</errorWord>
      <group>L1_Word</group>
      <groupName>字词问题</groupName>
      <ability>L2_Typo</ability>
      <abilityName>字词错误</abilityName>
      <candidateList>
        <item>位于</item>
      </candidateList>
      <explain/>
      <paraID>402DFB37</paraID>
      <start>29</start>
      <end>31</end>
      <status>modified</status>
      <modifiedWord>位于</modifiedWord>
      <trackRevisions>false</trackRevisions>
    </reviewItem>
    <reviewItem>
      <errorID>ac0b99e4-fad3-4ce0-9718-80c0124f6451</errorID>
      <errorWord>接入</errorWord>
      <group>L1_Word</group>
      <groupName>字词问题</groupName>
      <ability>L2_Typo</ability>
      <abilityName>字词错误</abilityName>
      <candidateList>
        <item>排入</item>
      </candidateList>
      <explain/>
      <paraID>402DFB37</paraID>
      <start>280</start>
      <end>282</end>
      <status>modified</status>
      <modifiedWord>排入</modifiedWord>
      <trackRevisions>false</trackRevisions>
    </reviewItem>
    <reviewItem>
      <errorID>e7f6071a-53e0-4c6f-9318-2a0272e7beee</errorID>
      <errorWord>[2026]</errorWord>
      <group>L1_Punc</group>
      <groupName>标点问题</groupName>
      <ability>L2_Punc_CN</ability>
      <abilityName>标点符号问题</abilityName>
      <candidateList>
        <item>〔2026〕</item>
      </candidateList>
      <explain/>
      <paraID> 7F91034</paraID>
      <start>91</start>
      <end>97</end>
      <status>ignored</status>
      <modifiedWord/>
      <trackRevisions>false</trackRevisions>
    </reviewItem>
    <reviewItem>
      <errorID>e51cb792-fea6-47e5-b9a5-2c196f14ac10</errorID>
      <errorWord>福州鑫旺物流有限公司</errorWord>
      <group>L1_Other</group>
      <groupName>其他问题</groupName>
      <ability>L2_Consistency</ability>
      <abilityName>一致性检查</abilityName>
      <candidateList>
        <item>福州鑫旺物流服务有限公司</item>
      </candidateList>
      <explain>实体一致性：同一租赁厂房的公司名称前后表述不一致，应统一为带“服务”后缀的完整名称。</explain>
      <paraID>54E0C1A8</paraID>
      <start>41</start>
      <end>53</end>
      <status>modified</status>
      <modifiedWord>福州鑫旺物流服务有限公司</modifiedWord>
      <trackRevisions>false</trackRevisions>
    </reviewItem>
    <reviewItem>
      <errorID>a782a1ea-8557-4806-9b51-976ed6a0bc60</errorID>
      <errorWord>胶粘剂</errorWord>
      <group>L1_Word</group>
      <groupName>字词问题</groupName>
      <ability>L2_Typo</ability>
      <abilityName>字词错误</abilityName>
      <candidateList>
        <item>胶黏剂</item>
      </candidateList>
      <explain/>
      <paraID>2D7770C3</paraID>
      <start>24</start>
      <end>27</end>
      <status>ignored</status>
      <modifiedWord/>
      <trackRevisions>false</trackRevisions>
    </reviewItem>
    <reviewItem>
      <errorID>458e9a36-9149-4c01-b92e-9bed6da73fc0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486F3B5F</paraID>
      <start>34</start>
      <end>35</end>
      <status>ignored</status>
      <modifiedWord/>
      <trackRevisions>false</trackRevisions>
    </reviewItem>
    <reviewItem>
      <errorID>102d5da3-f8d9-4991-86e4-f15345e5e94f</errorID>
      <errorWord>。</errorWord>
      <group>L1_Grammar</group>
      <groupName>语法问题</groupName>
      <ability>L2_Grammar</ability>
      <abilityName>语法错误</abilityName>
      <candidateList>
        <item>，该项目属于允许类。</item>
      </candidateList>
      <explain/>
      <paraID>486F3B5F</paraID>
      <start>108</start>
      <end>118</end>
      <status>modified</status>
      <modifiedWord>，该项目属于允许类。</modifiedWord>
      <trackRevisions>false</trackRevisions>
    </reviewItem>
    <reviewItem>
      <errorID>9b9ee0b6-056e-4002-ae8f-90992b66eb6b</errorID>
      <errorWord>[2026]</errorWord>
      <group>L1_Punc</group>
      <groupName>标点问题</groupName>
      <ability>L2_Punc_CN</ability>
      <abilityName>标点符号问题</abilityName>
      <candidateList>
        <item>〔2026〕</item>
      </candidateList>
      <explain/>
      <paraID>4F9C0BB8</paraID>
      <start>54</start>
      <end>60</end>
      <status>ignored</status>
      <modifiedWord/>
      <trackRevisions>false</trackRevisions>
    </reviewItem>
    <reviewItem>
      <errorID>f1890de6-97b8-43a1-8c96-b1b3c517095c</errorID>
      <errorWord>，</errorWord>
      <group>L1_Punc</group>
      <groupName>标点问题</groupName>
      <ability>L2_Punc_CN</ability>
      <abilityName>标点符号问题</abilityName>
      <candidateList>
        <item/>
      </candidateList>
      <explain/>
      <paraID>6347B50B</paraID>
      <start>37</start>
      <end>38</end>
      <status>ignored</status>
      <modifiedWord/>
      <trackRevisions>false</trackRevisions>
    </reviewItem>
    <reviewItem>
      <errorID>853c5165-8ac1-495d-8c15-12b409a4093f</errorID>
      <errorWord>，</errorWord>
      <group>L1_Punc</group>
      <groupName>标点问题</groupName>
      <ability>L2_Punc_CN</ability>
      <abilityName>标点符号问题</abilityName>
      <candidateList>
        <item>。</item>
      </candidateList>
      <explain/>
      <paraID> EC18352</paraID>
      <start>21</start>
      <end>22</end>
      <status>ignored</status>
      <modifiedWord/>
      <trackRevisions>false</trackRevisions>
    </reviewItem>
    <reviewItem>
      <errorID>11ec8b13-ee05-4824-96de-ebdfdfaaab0d</errorID>
      <errorWord>：</errorWord>
      <group>L1_Punc</group>
      <groupName>标点问题</groupName>
      <ability>L2_Punc_CN</ability>
      <abilityName>标点符号问题</abilityName>
      <candidateList>
        <item/>
      </candidateList>
      <explain/>
      <paraID> EC18352</paraID>
      <start>33</start>
      <end>34</end>
      <status>ignored</status>
      <modifiedWord/>
      <trackRevisions>false</trackRevisions>
    </reviewItem>
    <reviewItem>
      <errorID>e2b42d6a-1222-4dc3-a0ca-9c269289a791</errorID>
      <errorWord>，</errorWord>
      <group>L1_Punc</group>
      <groupName>标点问题</groupName>
      <ability>L2_Punc_CN</ability>
      <abilityName>标点符号问题</abilityName>
      <candidateList>
        <item>、</item>
      </candidateList>
      <explain/>
      <paraID> EC18352</paraID>
      <start>56</start>
      <end>57</end>
      <status>ignored</status>
      <modifiedWord/>
      <trackRevisions>false</trackRevisions>
    </reviewItem>
    <reviewItem>
      <errorID>5934a268-6c3f-4be0-8a58-b52f197e0b27</errorID>
      <errorWord>的以及</errorWord>
      <group>L1_Grammar</group>
      <groupName>语法问题</groupName>
      <ability>L2_Grammar</ability>
      <abilityName>语法错误</abilityName>
      <candidateList>
        <item>的</item>
      </candidateList>
      <explain/>
      <paraID> EC18352</paraID>
      <start>88</start>
      <end>89</end>
      <status>modified</status>
      <modifiedWord>的</modifiedWord>
      <trackRevisions>false</trackRevisions>
    </reviewItem>
    <reviewItem>
      <errorID>c41a3551-3647-4241-960f-0a236fec2637</errorID>
      <errorWord>城镇</errorWord>
      <group>L1_Punc</group>
      <groupName>标点问题</groupName>
      <ability>L2_Punc_CN</ability>
      <abilityName>标点符号问题</abilityName>
      <candidateList>
        <item>。城镇</item>
      </candidateList>
      <explain/>
      <paraID>7855BB98</paraID>
      <start>232</start>
      <end>234</end>
      <status>ignored</status>
      <modifiedWord/>
      <trackRevisions>false</trackRevisions>
    </reviewItem>
    <reviewItem>
      <errorID>505c61f2-ccc5-4db6-a229-14264ecf84f7</errorID>
      <errorWord>、</errorWord>
      <group>L1_Punc</group>
      <groupName>标点问题</groupName>
      <ability>L2_Punc_CN</ability>
      <abilityName>标点符号问题</abilityName>
      <candidateList>
        <item>，</item>
      </candidateList>
      <explain/>
      <paraID>7855BB98</paraID>
      <start>282</start>
      <end>283</end>
      <status>modified</status>
      <modifiedWord>，</modifiedWord>
      <trackRevisions>false</trackRevisions>
    </reviewItem>
    <reviewItem>
      <errorID>1c806123-0b3e-497a-b839-eb1256986685</errorID>
      <errorWord>原住居民</errorWord>
      <group>L1_Sensitive</group>
      <groupName>敏感问题</groupName>
      <ability>L2_Violent</ability>
      <abilityName>暴恐词条</abilityName>
      <candidateList/>
      <explain>【暴恐词条】句中包含暴恐类敏感词条，请注意甄别。</explain>
      <paraID>5B2F2FC9</paraID>
      <start>3</start>
      <end>7</end>
      <status>unmodified</status>
      <modifiedWord/>
      <trackRevisions>false</trackRevisions>
    </reviewItem>
    <reviewItem>
      <errorID>f39085f4-00ed-4b73-8d65-d90ea901ee26</errorID>
      <errorWord>开展</errorWord>
      <group>L1_Grammar</group>
      <groupName>语法问题</groupName>
      <ability>L2_Grammar</ability>
      <abilityName>语法错误</abilityName>
      <candidateList>
        <item>的，开展</item>
      </candidateList>
      <explain/>
      <paraID> 89A6D3A</paraID>
      <start>322</start>
      <end>324</end>
      <status>unmodified</status>
      <modifiedWord/>
      <trackRevisions>false</trackRevisions>
    </reviewItem>
    <reviewItem>
      <errorID>fcd698f4-9739-4fd6-811d-982370fb5f40</errorID>
      <errorWord>《中共中央、国务院</errorWord>
      <group>L1_Political</group>
      <groupName>政治性问题</groupName>
      <ability>L2_Unpolitical</ability>
      <abilityName>政治敏感错误</abilityName>
      <candidateList>
        <item>《中共中央 国务院</item>
      </candidateList>
      <explain/>
      <paraID>26289E3B</paraID>
      <start>84</start>
      <end>93</end>
      <status>modified</status>
      <modifiedWord>《中共中央 国务院</modifiedWord>
      <trackRevisions>false</trackRevisions>
    </reviewItem>
    <reviewItem>
      <errorID>c1ebd4ed-e981-45bd-b328-7d7a9aa5c150</errorID>
      <errorWord>、</errorWord>
      <group>L1_Punc</group>
      <groupName>标点问题</groupName>
      <ability>L2_Punc_CN</ability>
      <abilityName>标点符号问题</abilityName>
      <candidateList>
        <item>，</item>
      </candidateList>
      <explain/>
      <paraID>702A5DB5</paraID>
      <start>51</start>
      <end>52</end>
      <status>modified</status>
      <modifiedWord>，</modifiedWord>
      <trackRevisions>false</trackRevisions>
    </reviewItem>
    <reviewItem>
      <errorID>1057b2ab-7ba9-48bf-bb7e-1a6be15a5f02</errorID>
      <errorWord>、</errorWord>
      <group>L1_Punc</group>
      <groupName>标点问题</groupName>
      <ability>L2_Punc_CN</ability>
      <abilityName>标点符号问题</abilityName>
      <candidateList>
        <item>，</item>
      </candidateList>
      <explain/>
      <paraID>702A5DB5</paraID>
      <start>77</start>
      <end>78</end>
      <status>modified</status>
      <modifiedWord>，</modifiedWord>
      <trackRevisions>false</trackRevisions>
    </reviewItem>
    <reviewItem>
      <errorID>e0498693-07fa-49e1-9fa5-637fb98f6149</errorID>
      <errorWord>、</errorWord>
      <group>L1_Punc</group>
      <groupName>标点问题</groupName>
      <ability>L2_Punc_CN</ability>
      <abilityName>标点符号问题</abilityName>
      <candidateList>
        <item>，</item>
      </candidateList>
      <explain/>
      <paraID>702A5DB5</paraID>
      <start>104</start>
      <end>105</end>
      <status>modified</status>
      <modifiedWord>，</modifiedWord>
      <trackRevisions>false</trackRevisions>
    </reviewItem>
    <reviewItem>
      <errorID>9be4437e-d6b6-4797-9a75-dafd3163eb8a</errorID>
      <errorWord>、</errorWord>
      <group>L1_Punc</group>
      <groupName>标点问题</groupName>
      <ability>L2_Punc_CN</ability>
      <abilityName>标点符号问题</abilityName>
      <candidateList>
        <item>，</item>
      </candidateList>
      <explain/>
      <paraID>702A5DB5</paraID>
      <start>140</start>
      <end>141</end>
      <status>modified</status>
      <modifiedWord>，</modifiedWord>
      <trackRevisions>false</trackRevisions>
    </reviewItem>
    <reviewItem>
      <errorID>a2059494-db6a-4f10-9d20-40540fb38fa0</errorID>
      <errorWord>、</errorWord>
      <group>L1_Punc</group>
      <groupName>标点问题</groupName>
      <ability>L2_Punc_CN</ability>
      <abilityName>标点符号问题</abilityName>
      <candidateList>
        <item>，</item>
      </candidateList>
      <explain/>
      <paraID>702A5DB5</paraID>
      <start>148</start>
      <end>149</end>
      <status>modified</status>
      <modifiedWord>，</modifiedWord>
      <trackRevisions>false</trackRevisions>
    </reviewItem>
    <reviewItem>
      <errorID>9166483a-cc25-4c4a-bf32-ed946b0b9495</errorID>
      <errorWord>、</errorWord>
      <group>L1_Punc</group>
      <groupName>标点问题</groupName>
      <ability>L2_Punc_CN</ability>
      <abilityName>标点符号问题</abilityName>
      <candidateList>
        <item>，</item>
      </candidateList>
      <explain/>
      <paraID>702A5DB5</paraID>
      <start>193</start>
      <end>194</end>
      <status>modified</status>
      <modifiedWord>，</modifiedWord>
      <trackRevisions>false</trackRevisions>
    </reviewItem>
    <reviewItem>
      <errorID>5fb37e86-cc4b-442f-be05-b2527711e671</errorID>
      <errorWord>、</errorWord>
      <group>L1_Punc</group>
      <groupName>标点问题</groupName>
      <ability>L2_Punc_CN</ability>
      <abilityName>标点符号问题</abilityName>
      <candidateList>
        <item>，</item>
      </candidateList>
      <explain/>
      <paraID>702A5DB5</paraID>
      <start>215</start>
      <end>216</end>
      <status>modified</status>
      <modifiedWord>，</modifiedWord>
      <trackRevisions>false</trackRevisions>
    </reviewItem>
    <reviewItem>
      <errorID>08c4cd39-face-4985-89ce-ed0be569cbb1</errorID>
      <errorWord>、</errorWord>
      <group>L1_Punc</group>
      <groupName>标点问题</groupName>
      <ability>L2_Punc_CN</ability>
      <abilityName>标点符号问题</abilityName>
      <candidateList>
        <item>，</item>
      </candidateList>
      <explain/>
      <paraID>702A5DB5</paraID>
      <start>247</start>
      <end>248</end>
      <status>modified</status>
      <modifiedWord>，</modifiedWord>
      <trackRevisions>false</trackRevisions>
    </reviewItem>
    <reviewItem>
      <errorID>47ff33fb-42ba-4137-8c83-7fee953c31da</errorID>
      <errorWord>、</errorWord>
      <group>L1_Punc</group>
      <groupName>标点问题</groupName>
      <ability>L2_Punc_CN</ability>
      <abilityName>标点符号问题</abilityName>
      <candidateList>
        <item>，</item>
      </candidateList>
      <explain/>
      <paraID>702A5DB5</paraID>
      <start>278</start>
      <end>279</end>
      <status>modified</status>
      <modifiedWord>，</modifiedWord>
      <trackRevisions>false</trackRevisions>
    </reviewItem>
    <reviewItem>
      <errorID>800011c1-15be-43b0-8af4-6682823da414</errorID>
      <errorWord>空气质量持续改善计划</errorWord>
      <group>L1_Political</group>
      <groupName>政治性问题</groupName>
      <ability>L2_Keyword</ability>
      <abilityName>固定表述</abilityName>
      <candidateList>
        <item>空气质量持续改善行动计划</item>
      </candidateList>
      <explain>词汇“空气质量持续改善行动计划”在特定场景下为固定表述形式，请确认此处的“空气质量持续改善计划”是否存在不当。</explain>
      <paraID>2FD36407</paraID>
      <start>35</start>
      <end>45</end>
      <status>unmodified</status>
      <modifiedWord/>
      <trackRevisions>false</trackRevisions>
    </reviewItem>
    <reviewItem>
      <errorID>0eb6abbf-542a-4e17-94b3-e670f6cb9e84</errorID>
      <errorWord>、</errorWord>
      <group>L1_Punc</group>
      <groupName>标点问题</groupName>
      <ability>L2_Punc_CN</ability>
      <abilityName>标点符号问题</abilityName>
      <candidateList>
        <item>，</item>
      </candidateList>
      <explain/>
      <paraID>39D21D45</paraID>
      <start>51</start>
      <end>52</end>
      <status>modified</status>
      <modifiedWord>，</modifiedWord>
      <trackRevisions>false</trackRevisions>
    </reviewItem>
    <reviewItem>
      <errorID>d67a078a-bddd-4188-884b-7843104c9338</errorID>
      <errorWord>、</errorWord>
      <group>L1_Punc</group>
      <groupName>标点问题</groupName>
      <ability>L2_Punc_CN</ability>
      <abilityName>标点符号问题</abilityName>
      <candidateList>
        <item>，</item>
      </candidateList>
      <explain/>
      <paraID>39D21D45</paraID>
      <start>67</start>
      <end>68</end>
      <status>modified</status>
      <modifiedWord>，</modifiedWord>
      <trackRevisions>false</trackRevisions>
    </reviewItem>
    <reviewItem>
      <errorID>ae9bbd36-7132-4ee3-959e-c0c266e55281</errorID>
      <errorWord>、</errorWord>
      <group>L1_Punc</group>
      <groupName>标点问题</groupName>
      <ability>L2_Punc_CN</ability>
      <abilityName>标点符号问题</abilityName>
      <candidateList>
        <item>，</item>
      </candidateList>
      <explain/>
      <paraID>39D21D45</paraID>
      <start>77</start>
      <end>78</end>
      <status>modified</status>
      <modifiedWord>，</modifiedWord>
      <trackRevisions>false</trackRevisions>
    </reviewItem>
    <reviewItem>
      <errorID>9d41230d-b0c9-4127-be4d-d9bdd78e7632</errorID>
      <errorWord>锅</errorWord>
      <group>L1_Word</group>
      <groupName>字词问题</groupName>
      <ability>L2_Typo</ability>
      <abilityName>字词错误</abilityName>
      <candidateList>
        <item>锅炉</item>
      </candidateList>
      <explain/>
      <paraID>150EFE9D</paraID>
      <start>4</start>
      <end>6</end>
      <status>modified</status>
      <modifiedWord>锅炉</modifiedWord>
      <trackRevisions>false</trackRevisions>
    </reviewItem>
    <reviewItem>
      <errorID>a5b27d0c-d43f-4a2f-b4d3-f548d49f58a4</errorID>
      <errorWord>企业</errorWord>
      <group>L1_Word</group>
      <groupName>字词问题</groupName>
      <ability>L2_Typo</ability>
      <abilityName>字词错误</abilityName>
      <candidateList>
        <item>的企业</item>
      </candidateList>
      <explain/>
      <paraID>150EFE9D</paraID>
      <start>11</start>
      <end>13</end>
      <status>ignored</status>
      <modifiedWord/>
      <trackRevisions>false</trackRevisions>
    </reviewItem>
    <reviewItem>
      <errorID>e34335b8-8eab-4aeb-8c7a-c93ccb28a446</errorID>
      <errorWord>（</errorWord>
      <group>L1_Punc</group>
      <groupName>标点问题</groupName>
      <ability>L2_Punc_CN</ability>
      <abilityName>标点符号问题</abilityName>
      <candidateList>
        <item>》（</item>
      </candidateList>
      <explain/>
      <paraID>64159AFA</paraID>
      <start>37</start>
      <end>39</end>
      <status>modified</status>
      <modifiedWord>》（</modifiedWord>
      <trackRevisions>false</trackRevisions>
    </reviewItem>
    <reviewItem>
      <errorID>fb637b1c-f183-45bb-a15d-106d55ee4dfc</errorID>
      <errorWord>（2024）</errorWord>
      <group>L1_Punc</group>
      <groupName>标点问题</groupName>
      <ability>L2_Punc_CN</ability>
      <abilityName>标点符号问题</abilityName>
      <candidateList>
        <item>〔2024〕</item>
      </candidateList>
      <explain/>
      <paraID>64159AFA</paraID>
      <start>43</start>
      <end>49</end>
      <status>modified</status>
      <modifiedWord>〔2024〕</modifiedWord>
      <trackRevisions>false</trackRevisions>
    </reviewItem>
    <reviewItem>
      <errorID>83041222-fd55-4fcf-bfe8-1eeebcd5d22e</errorID>
      <errorWord>项目产生的固体废物</errorWord>
      <group>L1_Grammar</group>
      <groupName>语法问题</groupName>
      <ability>L2_Grammar</ability>
      <abilityName>语法错误</abilityName>
      <candidateList>
        <item>项目</item>
      </candidateList>
      <explain/>
      <paraID> 739BD15</paraID>
      <start>3</start>
      <end>5</end>
      <status>modified</status>
      <modifiedWord>项目</modifiedWord>
      <trackRevisions>false</trackRevisions>
    </reviewItem>
    <reviewItem>
      <errorID>a45f4367-a5f2-4cac-86f5-cf8d59952b0a</errorID>
      <errorWord>厂</errorWord>
      <group>L1_Word</group>
      <groupName>字词问题</groupName>
      <ability>L2_Typo</ability>
      <abilityName>字词错误</abilityName>
      <candidateList>
        <item>在厂</item>
      </candidateList>
      <explain/>
      <paraID> 739BD15</paraID>
      <start>11</start>
      <end>13</end>
      <status>modified</status>
      <modifiedWord>在厂</modifiedWord>
      <trackRevisions>false</trackRevisions>
    </reviewItem>
    <reviewItem>
      <errorID>4a14233b-6bdf-4a5d-840f-8ad366edc0f5</errorID>
      <errorWord>减量化、资源化和无害化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词汇“减量化、资源化、无害化”在特定场景下为固定表述形式，请确认此处的“减量化、资源化和无害化”是否存在不当。</explain>
      <paraID> 739BD15</paraID>
      <start>48</start>
      <end>59</end>
      <status>modified</status>
      <modifiedWord>减量化、资源化、无害化</modifiedWord>
      <trackRevisions>false</trackRevisions>
    </reviewItem>
    <reviewItem>
      <errorID>5eaf6159-b1f0-45b8-b094-fb2bb3c8298c</errorID>
      <errorWord>通过采用</errorWord>
      <group>L1_Grammar</group>
      <groupName>语法问题</groupName>
      <ability>L2_Grammar</ability>
      <abilityName>语法错误</abilityName>
      <candidateList>
        <item>通过</item>
      </candidateList>
      <explain/>
      <paraID> 739BD15</paraID>
      <start>65</start>
      <end>67</end>
      <status>modified</status>
      <modifiedWord>通过</modifiedWord>
      <trackRevisions>false</trackRevisions>
    </reviewItem>
    <reviewItem>
      <errorID>75fcba31-59dd-4b0f-9e19-164e35a0325f</errorID>
      <errorWord>实施</errorWord>
      <group>L1_Word</group>
      <groupName>字词问题</groupName>
      <ability>L2_Typo</ability>
      <abilityName>字词错误</abilityName>
      <candidateList>
        <item>施行</item>
      </candidateList>
      <explain/>
      <paraID>4B4ECBB6</paraID>
      <start>25</start>
      <end>27</end>
      <status>modified</status>
      <modifiedWord>施行</modifiedWord>
      <trackRevisions>false</trackRevisions>
    </reviewItem>
    <reviewItem>
      <errorID>d0a884d2-c099-4c52-98eb-e35ce7e5002b</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7DF7D77E</paraID>
      <start>3</start>
      <end>23</end>
      <status>modified</status>
      <modifiedWord>《产业结构调整指导目录（2024年本）》</modifiedWord>
      <trackRevisions>false</trackRevisions>
    </reviewItem>
    <reviewItem>
      <errorID>b1d0d33c-ca5f-4412-a005-11cafb3b8517</errorID>
      <errorWord>福建省</errorWord>
      <group>L1_Punc</group>
      <groupName>标点问题</groupName>
      <ability>L2_Punc_CN</ability>
      <abilityName>标点符号问题</abilityName>
      <candidateList>
        <item>（福建省</item>
      </candidateList>
      <explain/>
      <paraID>6416BC79</paraID>
      <start>16</start>
      <end>19</end>
      <status>ignored</status>
      <modifiedWord/>
      <trackRevisions>false</trackRevisions>
    </reviewItem>
    <reviewItem>
      <errorID>d3f26b6d-ba83-41a4-9c9e-d71bbfbe96bf</errorID>
      <errorWord>（</errorWord>
      <group>L1_Punc</group>
      <groupName>标点问题</groupName>
      <ability>L2_Punc_CN</ability>
      <abilityName>标点符号问题</abilityName>
      <candidateList>
        <item>，</item>
      </candidateList>
      <explain/>
      <paraID>6416BC79</paraID>
      <start>30</start>
      <end>31</end>
      <status>ignored</status>
      <modifiedWord/>
      <trackRevisions>false</trackRevisions>
    </reviewItem>
    <reviewItem>
      <errorID>52676f06-2a13-4eef-a103-2e4c809cf1e4</errorID>
      <errorWord>福建省工业和信息化厅 福建省住房和城乡建设厅 福建省交通运输厅 </errorWord>
      <group>L1_Political</group>
      <groupName>政治性问题</groupName>
      <ability>L2_Keyword</ability>
      <abilityName>固定表述</abilityName>
      <candidateList>
        <item> 福建省工业和信息化厅 福建省住房和城乡建设厅 福建省交通运输厅</item>
      </candidateList>
      <explain>此处内容疑似含有固定表述相关错误，建议核查。</explain>
      <paraID>20553438</paraID>
      <start>25</start>
      <end>57</end>
      <status>modified</status>
      <modifiedWord> 福建省工业和信息化厅 福建省住房和城乡建设厅 福建省交通运输厅</modifiedWord>
      <trackRevisions>false</trackRevisions>
    </reviewItem>
    <reviewItem>
      <errorID>480be7d5-591e-4c75-8673-5c90d931d098</errorID>
      <errorWord>，福建省人民政府（</errorWord>
      <group>L1_Word</group>
      <groupName>字词问题</groupName>
      <ability>L2_Typo</ability>
      <abilityName>字词错误</abilityName>
      <candidateList>
        <item>（福建省人民政府，</item>
      </candidateList>
      <explain/>
      <paraID>121B415F</paraID>
      <start>15</start>
      <end>24</end>
      <status>ignored</status>
      <modifiedWord/>
      <trackRevisions>false</trackRevisions>
    </reviewItem>
    <reviewItem>
      <errorID>70df918f-8a22-4b04-a79c-2cecfb45c5f7</errorID>
      <errorWord>—</errorWord>
      <group>L1_Punc</group>
      <groupName>标点问题</groupName>
      <ability>L2_Punc_CN</ability>
      <abilityName>标点符号问题</abilityName>
      <candidateList>
        <item>-</item>
      </candidateList>
      <explain/>
      <paraID>168D5891</paraID>
      <start>36</start>
      <end>37</end>
      <status>modified</status>
      <modifiedWord>-</modifiedWord>
      <trackRevisions>false</trackRevisions>
    </reviewItem>
    <reviewItem>
      <errorID>8f535b0a-2b44-46f6-8d58-53e20a1715ce</errorID>
      <errorWord>[2026]</errorWord>
      <group>L1_Punc</group>
      <groupName>标点问题</groupName>
      <ability>L2_Punc_CN</ability>
      <abilityName>标点符号问题</abilityName>
      <candidateList>
        <item>〔2026〕</item>
      </candidateList>
      <explain/>
      <paraID>3AA5B185</paraID>
      <start>24</start>
      <end>30</end>
      <status>ignored</status>
      <modifiedWord/>
      <trackRevisions>false</trackRevisions>
    </reviewItem>
    <reviewItem>
      <errorID>7f0d8385-d263-4c6b-868d-aa2f1d7e8cce</errorID>
      <errorWord> </errorWord>
      <group>L1_Punc</group>
      <groupName>标点问题</groupName>
      <ability>L2_Punc_CN</ability>
      <abilityName>标点符号问题</abilityName>
      <candidateList>
        <item>-</item>
      </candidateList>
      <explain/>
      <paraID>67CA7294</paraID>
      <start>43</start>
      <end>44</end>
      <status>modified</status>
      <modifiedWord>-</modifiedWord>
      <trackRevisions>false</trackRevisions>
    </reviewItem>
    <reviewItem>
      <errorID>e90a5db6-57dc-41a5-8971-66b175ff56e2</errorID>
      <errorWord>GB3838</errorWord>
      <group>L1_Word</group>
      <groupName>字词问题</groupName>
      <ability>L2_Typo</ability>
      <abilityName>字词错误</abilityName>
      <candidateList>
        <item>GB 3838</item>
      </candidateList>
      <explain/>
      <paraID>7C2E5613</paraID>
      <start>20</start>
      <end>27</end>
      <status>modified</status>
      <modifiedWord>GB 3838</modifiedWord>
      <trackRevisions>false</trackRevisions>
    </reviewItem>
    <reviewItem>
      <errorID>234ec1fe-8bc4-4e03-8fdf-3650799dc874</errorID>
      <errorWord>单位</errorWord>
      <group>L1_Word</group>
      <groupName>字词问题</groupName>
      <ability>L2_Typo</ability>
      <abilityName>字词错误</abilityName>
      <candidateList>
        <item> 单位</item>
      </candidateList>
      <explain/>
      <paraID>7C2E5613</paraID>
      <start>37</start>
      <end>40</end>
      <status>modified</status>
      <modifiedWord> 单位</modifiedWord>
      <trackRevisions>false</trackRevisions>
    </reviewItem>
    <reviewItem>
      <errorID>afc54a15-a811-48bc-88a2-e1bcc0969799</errorID>
      <errorWord>～</errorWord>
      <group>L1_Format</group>
      <groupName>格式问题</groupName>
      <ability>L2_HalfPunc_CN</ability>
      <abilityName>全半角问题</abilityName>
      <candidateList>
        <item>~</item>
      </candidateList>
      <explain>文本全半角错误。</explain>
      <paraID>7994AA3F</paraID>
      <start>1</start>
      <end>2</end>
      <status>modified</status>
      <modifiedWord>~</modifiedWord>
      <trackRevisions>false</trackRevisions>
    </reviewItem>
    <reviewItem>
      <errorID>f2836c4d-f6c5-4de8-88ea-5fcfba2dba01</errorID>
      <errorWord>规划</errorWord>
      <group>L1_Word</group>
      <groupName>字词问题</groupName>
      <ability>L2_Typo</ability>
      <abilityName>字词错误</abilityName>
      <candidateList>
        <item>区划</item>
      </candidateList>
      <explain/>
      <paraID>6C0230DF</paraID>
      <start>72</start>
      <end>74</end>
      <status>modified</status>
      <modifiedWord>区划</modifiedWord>
      <trackRevisions>false</trackRevisions>
    </reviewItem>
    <reviewItem>
      <errorID>315e66e8-ec6b-4081-a6dc-63f076409584</errorID>
      <errorWord>（</errorWord>
      <group>L1_Format</group>
      <groupName>格式问题</groupName>
      <ability>L2_HalfPunc_CN</ability>
      <abilityName>全半角问题</abilityName>
      <candidateList>
        <item>(</item>
      </candidateList>
      <explain>文本全半角错误。</explain>
      <paraID>4CF356B4</paraID>
      <start>4</start>
      <end>5</end>
      <status>modified</status>
      <modifiedWord>(</modifiedWord>
      <trackRevisions>false</trackRevisions>
    </reviewItem>
    <reviewItem>
      <errorID>aa927dde-9c8d-4de7-b6e3-76aea4aafbf8</errorID>
      <errorWord>）</errorWord>
      <group>L1_Format</group>
      <groupName>格式问题</groupName>
      <ability>L2_HalfPunc_CN</ability>
      <abilityName>全半角问题</abilityName>
      <candidateList>
        <item>)</item>
      </candidateList>
      <explain>文本全半角错误。</explain>
      <paraID>4CF356B4</paraID>
      <start>6</start>
      <end>7</end>
      <status>modified</status>
      <modifiedWord>)</modifiedWord>
      <trackRevisions>false</trackRevisions>
    </reviewItem>
    <reviewItem>
      <errorID>b06bf135-1abb-49a2-8770-abca4f300cb5</errorID>
      <errorWord>（</errorWord>
      <group>L1_Format</group>
      <groupName>格式问题</groupName>
      <ability>L2_HalfPunc_CN</ability>
      <abilityName>全半角问题</abilityName>
      <candidateList>
        <item>(</item>
      </candidateList>
      <explain>文本全半角错误。</explain>
      <paraID>1F116B85</paraID>
      <start>4</start>
      <end>5</end>
      <status>modified</status>
      <modifiedWord>(</modifiedWord>
      <trackRevisions>false</trackRevisions>
    </reviewItem>
    <reviewItem>
      <errorID>b3ce3d99-507d-437b-9acf-519084364fe8</errorID>
      <errorWord>）</errorWord>
      <group>L1_Format</group>
      <groupName>格式问题</groupName>
      <ability>L2_HalfPunc_CN</ability>
      <abilityName>全半角问题</abilityName>
      <candidateList>
        <item>)</item>
      </candidateList>
      <explain>文本全半角错误。</explain>
      <paraID>1F116B85</paraID>
      <start>6</start>
      <end>7</end>
      <status>modified</status>
      <modifiedWord>)</modifiedWord>
      <trackRevisions>false</trackRevisions>
    </reviewItem>
    <reviewItem>
      <errorID>30aa5e4b-7b04-4712-945b-8526b6e974f0</errorID>
      <errorWord>（</errorWord>
      <group>L1_Format</group>
      <groupName>格式问题</groupName>
      <ability>L2_HalfPunc_CN</ability>
      <abilityName>全半角问题</abilityName>
      <candidateList>
        <item>(</item>
      </candidateList>
      <explain>文本全半角错误。</explain>
      <paraID>53CB2C66</paraID>
      <start>4</start>
      <end>5</end>
      <status>modified</status>
      <modifiedWord>(</modifiedWord>
      <trackRevisions>false</trackRevisions>
    </reviewItem>
    <reviewItem>
      <errorID>418fc925-5c03-4890-b185-73bac16f534f</errorID>
      <errorWord>）</errorWord>
      <group>L1_Format</group>
      <groupName>格式问题</groupName>
      <ability>L2_HalfPunc_CN</ability>
      <abilityName>全半角问题</abilityName>
      <candidateList>
        <item>)</item>
      </candidateList>
      <explain>文本全半角错误。</explain>
      <paraID>53CB2C66</paraID>
      <start>6</start>
      <end>7</end>
      <status>modified</status>
      <modifiedWord>)</modifiedWord>
      <trackRevisions>false</trackRevisions>
    </reviewItem>
    <reviewItem>
      <errorID>1577150c-eeee-4887-8a10-a0505350e680</errorID>
      <errorWord>（</errorWord>
      <group>L1_Format</group>
      <groupName>格式问题</groupName>
      <ability>L2_HalfPunc_CN</ability>
      <abilityName>全半角问题</abilityName>
      <candidateList>
        <item>(</item>
      </candidateList>
      <explain>文本全半角错误。</explain>
      <paraID>597DBCE1</paraID>
      <start>4</start>
      <end>5</end>
      <status>modified</status>
      <modifiedWord>(</modifiedWord>
      <trackRevisions>false</trackRevisions>
    </reviewItem>
    <reviewItem>
      <errorID>3f38af97-2f81-4bbb-91d9-54d1cbe5880f</errorID>
      <errorWord>）</errorWord>
      <group>L1_Format</group>
      <groupName>格式问题</groupName>
      <ability>L2_HalfPunc_CN</ability>
      <abilityName>全半角问题</abilityName>
      <candidateList>
        <item>)</item>
      </candidateList>
      <explain>文本全半角错误。</explain>
      <paraID>597DBCE1</paraID>
      <start>6</start>
      <end>7</end>
      <status>modified</status>
      <modifiedWord>)</modifiedWord>
      <trackRevisions>false</trackRevisions>
    </reviewItem>
    <reviewItem>
      <errorID>9dd708f9-3166-467e-aea5-cd170c003516</errorID>
      <errorWord>T14848</errorWord>
      <group>L1_Word</group>
      <groupName>字词问题</groupName>
      <ability>L2_Typo</ability>
      <abilityName>字词错误</abilityName>
      <candidateList>
        <item>T 14848</item>
      </candidateList>
      <explain/>
      <paraID> A97F494</paraID>
      <start>88</start>
      <end>95</end>
      <status>modified</status>
      <modifiedWord>T 14848</modifiedWord>
      <trackRevisions>false</trackRevisions>
    </reviewItem>
    <reviewItem>
      <errorID>f1359405-ce0c-462b-887b-5efec61a3460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1E77ACF</paraID>
      <start>0</start>
      <end>2</end>
      <status>ignored</status>
      <modifiedWord/>
      <trackRevisions>false</trackRevisions>
    </reviewItem>
    <reviewItem>
      <errorID>17bf4c1b-38d3-4712-8730-e837780ec932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3CAE8863</paraID>
      <start>0</start>
      <end>2</end>
      <status>ignored</status>
      <modifiedWord/>
      <trackRevisions>false</trackRevisions>
    </reviewItem>
    <reviewItem>
      <errorID>1f7d16a7-496c-4f4e-8dc2-ffc5f7647f9c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5DE88873</paraID>
      <start>0</start>
      <end>2</end>
      <status>ignored</status>
      <modifiedWord/>
      <trackRevisions>false</trackRevisions>
    </reviewItem>
    <reviewItem>
      <errorID>ecfc4281-1b62-4301-8f03-c1105dddef14</errorID>
      <errorWord>，</errorWord>
      <group>L1_Punc</group>
      <groupName>标点问题</groupName>
      <ability>L2_Punc_CN</ability>
      <abilityName>标点符号问题</abilityName>
      <candidateList>
        <item>,</item>
      </candidateList>
      <explain/>
      <paraID>3D2E0E9E</paraID>
      <start>3</start>
      <end>4</end>
      <status>modified</status>
      <modifiedWord>,</modifiedWord>
      <trackRevisions>false</trackRevisions>
    </reviewItem>
    <reviewItem>
      <errorID>eb12d769-8dd2-4c65-829a-3c074f2e1ad2</errorID>
      <errorWord>，</errorWord>
      <group>L1_Punc</group>
      <groupName>标点问题</groupName>
      <ability>L2_Punc_CN</ability>
      <abilityName>标点符号问题</abilityName>
      <candidateList>
        <item>,</item>
      </candidateList>
      <explain/>
      <paraID>2F7684EC</paraID>
      <start>3</start>
      <end>4</end>
      <status>modified</status>
      <modifiedWord>,</modifiedWord>
      <trackRevisions>false</trackRevisions>
    </reviewItem>
    <reviewItem>
      <errorID>51b77951-349c-423e-8b89-9e4c20fc869c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7AFB7F21</paraID>
      <start>0</start>
      <end>2</end>
      <status>ignored</status>
      <modifiedWord/>
      <trackRevisions>false</trackRevisions>
    </reviewItem>
    <reviewItem>
      <errorID>c8d2361b-ee4c-4c7d-9079-98392a54c295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55DCF0D0</paraID>
      <start>0</start>
      <end>2</end>
      <status>ignored</status>
      <modifiedWord/>
      <trackRevisions>false</trackRevisions>
    </reviewItem>
    <reviewItem>
      <errorID>6434b9ff-27f0-48f6-abcb-a0abe58a2cb4</errorID>
      <errorWord>，</errorWord>
      <group>L1_Punc</group>
      <groupName>标点问题</groupName>
      <ability>L2_Punc_CN</ability>
      <abilityName>标点符号问题</abilityName>
      <candidateList>
        <item>,</item>
      </candidateList>
      <explain/>
      <paraID>55DCF0D0</paraID>
      <start>3</start>
      <end>4</end>
      <status>modified</status>
      <modifiedWord>,</modifiedWord>
      <trackRevisions>false</trackRevisions>
    </reviewItem>
    <reviewItem>
      <errorID>6ea4e651-2b8e-4c92-8138-c46d36816057</errorID>
      <errorWord>，</errorWord>
      <group>L1_Punc</group>
      <groupName>标点问题</groupName>
      <ability>L2_Punc_CN</ability>
      <abilityName>标点符号问题</abilityName>
      <candidateList>
        <item>,</item>
      </candidateList>
      <explain/>
      <paraID>55DCF0D0</paraID>
      <start>5</start>
      <end>6</end>
      <status>modified</status>
      <modifiedWord>,</modifiedWord>
      <trackRevisions>false</trackRevisions>
    </reviewItem>
    <reviewItem>
      <errorID>8d397b80-2b9d-4208-903f-0ea121ac92a8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4DA8C469</paraID>
      <start>0</start>
      <end>2</end>
      <status>unmodified</status>
      <modifiedWord/>
      <trackRevisions>false</trackRevisions>
    </reviewItem>
    <reviewItem>
      <errorID>c48f63e1-eb9d-41fb-ada0-6a95c9701033</errorID>
      <errorWord>，</errorWord>
      <group>L1_Punc</group>
      <groupName>标点问题</groupName>
      <ability>L2_Punc_CN</ability>
      <abilityName>标点符号问题</abilityName>
      <candidateList>
        <item>,</item>
      </candidateList>
      <explain/>
      <paraID>4DA8C469</paraID>
      <start>3</start>
      <end>4</end>
      <status>modified</status>
      <modifiedWord>,</modifiedWord>
      <trackRevisions>false</trackRevisions>
    </reviewItem>
    <reviewItem>
      <errorID>c5949602-8658-4249-9331-20d7328e0d5c</errorID>
      <errorWord>，</errorWord>
      <group>L1_Punc</group>
      <groupName>标点问题</groupName>
      <ability>L2_Punc_CN</ability>
      <abilityName>标点符号问题</abilityName>
      <candidateList>
        <item>,</item>
      </candidateList>
      <explain/>
      <paraID>4DA8C469</paraID>
      <start>5</start>
      <end>6</end>
      <status>modified</status>
      <modifiedWord>,</modifiedWord>
      <trackRevisions>false</trackRevisions>
    </reviewItem>
    <reviewItem>
      <errorID>f1b64c75-677c-4327-b01a-8912d534115a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261A7600</paraID>
      <start>0</start>
      <end>2</end>
      <status>unmodified</status>
      <modifiedWord/>
      <trackRevisions>false</trackRevisions>
    </reviewItem>
    <reviewItem>
      <errorID>ba1eb2a5-c5c5-4091-9fa7-ae85c72fd610</errorID>
      <errorWord>，</errorWord>
      <group>L1_Punc</group>
      <groupName>标点问题</groupName>
      <ability>L2_Punc_CN</ability>
      <abilityName>标点符号问题</abilityName>
      <candidateList>
        <item>,</item>
      </candidateList>
      <explain/>
      <paraID>261A7600</paraID>
      <start>3</start>
      <end>4</end>
      <status>modified</status>
      <modifiedWord>,</modifiedWord>
      <trackRevisions>false</trackRevisions>
    </reviewItem>
    <reviewItem>
      <errorID>d5fc8103-49a6-4c2a-98a3-a65428ef98e7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33C1F051</paraID>
      <start>0</start>
      <end>2</end>
      <status>unmodified</status>
      <modifiedWord/>
      <trackRevisions>false</trackRevisions>
    </reviewItem>
    <reviewItem>
      <errorID>6c81c733-66a0-467a-804f-feadc3204232</errorID>
      <errorWord>，</errorWord>
      <group>L1_Punc</group>
      <groupName>标点问题</groupName>
      <ability>L2_Punc_CN</ability>
      <abilityName>标点符号问题</abilityName>
      <candidateList>
        <item>,</item>
      </candidateList>
      <explain/>
      <paraID>33C1F051</paraID>
      <start>3</start>
      <end>4</end>
      <status>modified</status>
      <modifiedWord>,</modifiedWord>
      <trackRevisions>false</trackRevisions>
    </reviewItem>
    <reviewItem>
      <errorID>ed3edded-5506-421d-8b0c-dc7f108fb1fa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76816AA5</paraID>
      <start>0</start>
      <end>2</end>
      <status>unmodified</status>
      <modifiedWord/>
      <trackRevisions>false</trackRevisions>
    </reviewItem>
    <reviewItem>
      <errorID>56265df1-cd31-4a99-9293-dd06159915b1</errorID>
      <errorWord>，</errorWord>
      <group>L1_Punc</group>
      <groupName>标点问题</groupName>
      <ability>L2_Punc_CN</ability>
      <abilityName>标点符号问题</abilityName>
      <candidateList>
        <item>,</item>
      </candidateList>
      <explain/>
      <paraID>76816AA5</paraID>
      <start>3</start>
      <end>4</end>
      <status>modified</status>
      <modifiedWord>,</modifiedWord>
      <trackRevisions>false</trackRevisions>
    </reviewItem>
    <reviewItem>
      <errorID>36b6a9dc-8b1b-420c-9fcf-13c488747adc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1C1F89CD</paraID>
      <start>0</start>
      <end>2</end>
      <status>unmodified</status>
      <modifiedWord/>
      <trackRevisions>false</trackRevisions>
    </reviewItem>
    <reviewItem>
      <errorID>6f9c4926-875c-451c-abb7-9b11e1221470</errorID>
      <errorWord>，</errorWord>
      <group>L1_Punc</group>
      <groupName>标点问题</groupName>
      <ability>L2_Punc_CN</ability>
      <abilityName>标点符号问题</abilityName>
      <candidateList>
        <item/>
      </candidateList>
      <explain/>
      <paraID>1C1F89CD</paraID>
      <start>3</start>
      <end>3</end>
      <status>modified</status>
      <modifiedWord/>
      <trackRevisions>false</trackRevisions>
    </reviewItem>
    <reviewItem>
      <errorID>17944f06-eb2e-40bd-863a-eb70ff53c964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2542E9FF</paraID>
      <start>0</start>
      <end>2</end>
      <status>unmodified</status>
      <modifiedWord/>
      <trackRevisions>false</trackRevisions>
    </reviewItem>
    <reviewItem>
      <errorID>193f7336-a2bb-47d2-9765-54aa05d71925</errorID>
      <errorWord>106</errorWord>
      <group>L1_Word</group>
      <groupName>字词问题</groupName>
      <ability>L2_Typo</ability>
      <abilityName>字词错误</abilityName>
      <candidateList>
        <item>108</item>
      </candidateList>
      <explain/>
      <paraID>76387BDE</paraID>
      <start>0</start>
      <end>3</end>
      <status>ignored</status>
      <modifiedWord/>
      <trackRevisions>false</trackRevisions>
    </reviewItem>
    <reviewItem>
      <errorID>951e3ec3-0836-44f2-8cd7-79ef0c0a9c0f</errorID>
      <errorWord>42</errorWord>
      <group>L1_Word</group>
      <groupName>字词问题</groupName>
      <ability>L2_Typo</ability>
      <abilityName>字词错误</abilityName>
      <candidateList>
        <item>38</item>
      </candidateList>
      <explain/>
      <paraID>76387BDE</paraID>
      <start>4</start>
      <end>6</end>
      <status>ignored</status>
      <modifiedWord/>
      <trackRevisions>false</trackRevisions>
    </reviewItem>
    <reviewItem>
      <errorID>5bc0ab9f-e62e-447d-8b88-e89c73c4af1c</errorID>
      <errorWord>苯并荧[b]蒽</errorWord>
      <group>L1_Other</group>
      <groupName>其他问题</groupName>
      <ability>L2_Consistency</ability>
      <abilityName>一致性检查</abilityName>
      <candidateList>
        <item>苯并[b]荧蒽</item>
      </candidateList>
      <explain>术语一致性：同一污染物名称前后表述不一致，应统一为规范的化学物质名称。</explain>
      <paraID>2D287BAD</paraID>
      <start>0</start>
      <end>7</end>
      <status>modified</status>
      <modifiedWord>苯并[b]荧蒽</modifiedWord>
      <trackRevisions>false</trackRevisions>
    </reviewItem>
    <reviewItem>
      <errorID>eb772697-96f2-4296-8a2f-8bc432275e6b</errorID>
      <errorWord>苯并荧[K]蒽</errorWord>
      <group>L1_Other</group>
      <groupName>其他问题</groupName>
      <ability>L2_Consistency</ability>
      <abilityName>一致性检查</abilityName>
      <candidateList>
        <item>苯并[k]荧蒽</item>
      </candidateList>
      <explain>术语一致性：同一污染物名称前后表述不一致，应统一为规范的化学物质名称。</explain>
      <paraID>3F1D8F9A</paraID>
      <start>0</start>
      <end>7</end>
      <status>modified</status>
      <modifiedWord>苯并[k]荧蒽</modifiedWord>
      <trackRevisions>false</trackRevisions>
    </reviewItem>
    <reviewItem>
      <errorID>8f4b3523-ad3f-477d-aff1-af2dd7cba5e9</errorID>
      <errorWord>但等于</errorWord>
      <group>L1_Grammar</group>
      <groupName>语法问题</groupName>
      <ability>L2_Grammar</ability>
      <abilityName>语法错误</abilityName>
      <candidateList>
        <item>但</item>
      </candidateList>
      <explain/>
      <paraID>438253EC</paraID>
      <start>23</start>
      <end>24</end>
      <status>modified</status>
      <modifiedWord>但</modifiedWord>
      <trackRevisions>false</trackRevisions>
    </reviewItem>
    <reviewItem>
      <errorID>09cf46e0-a1e5-420a-8402-dcc3b87611b0</errorID>
      <errorWord>一级标准</errorWord>
      <group>L1_Grammar</group>
      <groupName>语法问题</groupName>
      <ability>L2_Grammar</ability>
      <abilityName>语法错误</abilityName>
      <candidateList>
        <item>一级</item>
      </candidateList>
      <explain/>
      <paraID>4BFEE5D8</paraID>
      <start>59</start>
      <end>61</end>
      <status>modified</status>
      <modifiedWord>一级</modifiedWord>
      <trackRevisions>false</trackRevisions>
    </reviewItem>
    <reviewItem>
      <errorID>1ff01ea9-39ab-4a96-9cd7-7d6763bc6f37</errorID>
      <errorWord>m3</errorWord>
      <group>L1_Word</group>
      <groupName>字词问题</groupName>
      <ability>L2_Typo</ability>
      <abilityName>字词错误</abilityName>
      <candidateList>
        <item>m³</item>
      </candidateList>
      <explain/>
      <paraID>21828D28</paraID>
      <start>73</start>
      <end>75</end>
      <status>ignored</status>
      <modifiedWord/>
      <trackRevisions>false</trackRevisions>
    </reviewItem>
    <reviewItem>
      <errorID>b8ca3980-55ed-429d-ad09-3c1f0c412982</errorID>
      <errorWord>（</errorWord>
      <group>L1_Punc</group>
      <groupName>标点问题</groupName>
      <ability>L2_Punc_CN</ability>
      <abilityName>标点符号问题</abilityName>
      <candidateList/>
      <explain>同一形式括号套用。</explain>
      <paraID>17C4F86D</paraID>
      <start>98</start>
      <end>99</end>
      <status>ignored</status>
      <modifiedWord/>
      <trackRevisions>false</trackRevisions>
    </reviewItem>
    <reviewItem>
      <errorID>9a60524e-7cd7-4147-919d-34e0d133c4e2</errorID>
      <errorWord>）</errorWord>
      <group>L1_Punc</group>
      <groupName>标点问题</groupName>
      <ability>L2_Punc_CN</ability>
      <abilityName>标点符号问题</abilityName>
      <candidateList/>
      <explain>同一形式括号套用。</explain>
      <paraID>17C4F86D</paraID>
      <start>112</start>
      <end>113</end>
      <status>unmodified</status>
      <modifiedWord/>
      <trackRevisions>false</trackRevisions>
    </reviewItem>
    <reviewItem>
      <errorID>6cdf0ed0-b70c-45ed-bf99-1f2501861835</errorID>
      <errorWord>m3、任意一次浓度值≤20mg/m3</errorWord>
      <group>L1_Word</group>
      <groupName>字词问题</groupName>
      <ability>L2_Typo</ability>
      <abilityName>字词错误</abilityName>
      <candidateList>
        <item>m³、任意一次浓度值≤20mg/m³</item>
      </candidateList>
      <explain/>
      <paraID>17C4F86D</paraID>
      <start>242</start>
      <end>260</end>
      <status>unmodified</status>
      <modifiedWord/>
      <trackRevisions>false</trackRevisions>
    </reviewItem>
    <reviewItem>
      <errorID>863357ac-0e26-4895-b152-e1c8a23d53e4</errorID>
      <errorWord>m3</errorWord>
      <group>L1_Word</group>
      <groupName>字词问题</groupName>
      <ability>L2_Typo</ability>
      <abilityName>字词错误</abilityName>
      <candidateList>
        <item>m³</item>
      </candidateList>
      <explain/>
      <paraID>17C4F86D</paraID>
      <start>290</start>
      <end>292</end>
      <status>unmodified</status>
      <modifiedWord/>
      <trackRevisions>false</trackRevisions>
    </reviewItem>
    <reviewItem>
      <errorID>52bc15b8-a760-4eff-9f5f-240df73e5273</errorID>
      <errorWord>m3、二氧化硫≤50mg/m3</errorWord>
      <group>L1_Word</group>
      <groupName>字词问题</groupName>
      <ability>L2_Typo</ability>
      <abilityName>字词错误</abilityName>
      <candidateList>
        <item>m³、二氧化硫≤50mg/m³</item>
      </candidateList>
      <explain/>
      <paraID> EA72405</paraID>
      <start>76</start>
      <end>91</end>
      <status>unmodified</status>
      <modifiedWord/>
      <trackRevisions>false</trackRevisions>
    </reviewItem>
    <reviewItem>
      <errorID>10a16baf-717e-41b0-8200-d2b32df568d2</errorID>
      <errorWord>m3</errorWord>
      <group>L1_Word</group>
      <groupName>字词问题</groupName>
      <ability>L2_Typo</ability>
      <abilityName>字词错误</abilityName>
      <candidateList>
        <item>m³</item>
      </candidateList>
      <explain/>
      <paraID> EA72405</paraID>
      <start>103</start>
      <end>105</end>
      <status>unmodified</status>
      <modifiedWord/>
      <trackRevisions>false</trackRevisions>
    </reviewItem>
    <reviewItem>
      <errorID>fb6c86e3-e226-4c49-8483-8ce581ae2ff7</errorID>
      <errorWord>m3、二氧化硫≤200mg/m3</errorWord>
      <group>L1_Word</group>
      <groupName>字词问题</groupName>
      <ability>L2_Typo</ability>
      <abilityName>字词错误</abilityName>
      <candidateList>
        <item>m³、二氧化硫≤200mg/m³</item>
      </candidateList>
      <explain/>
      <paraID>30682A6A</paraID>
      <start>74</start>
      <end>90</end>
      <status>unmodified</status>
      <modifiedWord/>
      <trackRevisions>false</trackRevisions>
    </reviewItem>
    <reviewItem>
      <errorID>a1e92191-98a1-4b42-85fe-886815b8d595</errorID>
      <errorWord>m3</errorWord>
      <group>L1_Word</group>
      <groupName>字词问题</groupName>
      <ability>L2_Typo</ability>
      <abilityName>字词错误</abilityName>
      <candidateList>
        <item>m³</item>
      </candidateList>
      <explain/>
      <paraID>30682A6A</paraID>
      <start>102</start>
      <end>104</end>
      <status>unmodified</status>
      <modifiedWord/>
      <trackRevisions>false</trackRevisions>
    </reviewItem>
    <reviewItem>
      <errorID>2fff94df-a37a-4fcc-bbd4-9ef7235be364</errorID>
      <errorWord>m3</errorWord>
      <group>L1_Word</group>
      <groupName>字词问题</groupName>
      <ability>L2_Typo</ability>
      <abilityName>字词错误</abilityName>
      <candidateList>
        <item>m³</item>
      </candidateList>
      <explain/>
      <paraID>64DE155E</paraID>
      <start>191</start>
      <end>193</end>
      <status>unmodified</status>
      <modifiedWord/>
      <trackRevisions>false</trackRevisions>
    </reviewItem>
    <reviewItem>
      <errorID>8699afa2-fbcb-4e81-b3d4-cd67601e7e87</errorID>
      <errorWord>m3</errorWord>
      <group>L1_Word</group>
      <groupName>字词问题</groupName>
      <ability>L2_Typo</ability>
      <abilityName>字词错误</abilityName>
      <candidateList>
        <item>m³</item>
      </candidateList>
      <explain/>
      <paraID>5EAA26BA</paraID>
      <start>75</start>
      <end>77</end>
      <status>unmodified</status>
      <modifiedWord/>
      <trackRevisions>false</trackRevisions>
    </reviewItem>
    <reviewItem>
      <errorID>f1f81fec-8ae4-439e-9a3e-108f3f0f4fad</errorID>
      <errorWord>，</errorWord>
      <group>L1_Punc</group>
      <groupName>标点问题</groupName>
      <ability>L2_Punc_CN</ability>
      <abilityName>标点符号问题</abilityName>
      <candidateList>
        <item>。</item>
      </candidateList>
      <explain/>
      <paraID>5EAA26BA</paraID>
      <start>90</start>
      <end>91</end>
      <status>modified</status>
      <modifiedWord>。</modifiedWord>
      <trackRevisions>false</trackRevisions>
    </reviewItem>
    <reviewItem>
      <errorID>56c6a5a4-458d-4fd9-a603-c2c78d042145</errorID>
      <errorWord>为</errorWord>
      <group>L1_Word</group>
      <groupName>字词问题</groupName>
      <ability>L2_Typo</ability>
      <abilityName>字词错误</abilityName>
      <candidateList>
        <item>，即</item>
      </candidateList>
      <explain/>
      <paraID>1394DC34</paraID>
      <start>46</start>
      <end>47</end>
      <status>ignored</status>
      <modifiedWord/>
      <trackRevisions>false</trackRevisions>
    </reviewItem>
    <reviewItem>
      <errorID>e944ca3f-2014-43cb-bc9c-b8205f55b130</errorID>
      <errorWord>m3</errorWord>
      <group>L1_Word</group>
      <groupName>字词问题</groupName>
      <ability>L2_Typo</ability>
      <abilityName>字词错误</abilityName>
      <candidateList>
        <item>m³</item>
      </candidateList>
      <explain/>
      <paraID>1394DC34</paraID>
      <start>53</start>
      <end>55</end>
      <status>unmodified</status>
      <modifiedWord/>
      <trackRevisions>false</trackRevisions>
    </reviewItem>
    <reviewItem>
      <errorID>420d10e4-dd58-4f0f-89d0-1aac551be0dd</errorID>
      <errorWord>。</errorWord>
      <group>L1_Punc</group>
      <groupName>标点问题</groupName>
      <ability>L2_Punc_CN</ability>
      <abilityName>标点符号问题</abilityName>
      <candidateList>
        <item/>
      </candidateList>
      <explain/>
      <paraID>2B02F7EF</paraID>
      <start>101</start>
      <end>102</end>
      <status>unmodified</status>
      <modifiedWord/>
      <trackRevisions>false</trackRevisions>
    </reviewItem>
    <reviewItem>
      <errorID>09a33e0e-3b53-49e6-9082-2df320f37c87</errorID>
      <errorWord>（</errorWord>
      <group>L1_Format</group>
      <groupName>格式问题</groupName>
      <ability>L2_HalfPunc_CN</ability>
      <abilityName>全半角问题</abilityName>
      <candidateList>
        <item>(</item>
      </candidateList>
      <explain>文本全半角错误。</explain>
      <paraID>54682F68</paraID>
      <start>7</start>
      <end>8</end>
      <status>modified</status>
      <modifiedWord>(</modifiedWord>
      <trackRevisions>false</trackRevisions>
    </reviewItem>
    <reviewItem>
      <errorID>cbfaa13d-6947-4981-9126-526b5488367a</errorID>
      <errorWord>）</errorWord>
      <group>L1_Format</group>
      <groupName>格式问题</groupName>
      <ability>L2_HalfPunc_CN</ability>
      <abilityName>全半角问题</abilityName>
      <candidateList>
        <item>)</item>
      </candidateList>
      <explain>文本全半角错误。</explain>
      <paraID>54682F68</paraID>
      <start>16</start>
      <end>17</end>
      <status>modified</status>
      <modifiedWord>)</modifiedWord>
      <trackRevisions>false</trackRevisions>
    </reviewItem>
    <reviewItem>
      <errorID>f0c7a1ac-bc39-4090-ab04-952e14b1b9d2</errorID>
      <errorWord>废气工序</errorWord>
      <group>L1_Grammar</group>
      <groupName>语法问题</groupName>
      <ability>L2_Grammar</ability>
      <abilityName>语法错误</abilityName>
      <candidateList>
        <item>废气</item>
      </candidateList>
      <explain/>
      <paraID>192254B7</paraID>
      <start>21</start>
      <end>23</end>
      <status>modified</status>
      <modifiedWord>废气</modifiedWord>
      <trackRevisions>false</trackRevisions>
    </reviewItem>
    <reviewItem>
      <errorID>ac3b6566-b321-40fb-a2ed-553904e73480</errorID>
      <errorWord>6m</errorWord>
      <group>L1_Grammar</group>
      <groupName>语法问题</groupName>
      <ability>L2_Grammar</ability>
      <abilityName>语法错误</abilityName>
      <candidateList>
        <item>6mg/m³</item>
      </candidateList>
      <explain/>
      <paraID>7B54C3C3</paraID>
      <start>46</start>
      <end>48</end>
      <status>unmodified</status>
      <modifiedWord/>
      <trackRevisions>false</trackRevisions>
    </reviewItem>
    <reviewItem>
      <errorID>d3369fc2-22b9-4154-9560-1d522e7a738e</errorID>
      <errorWord>饮用水水源准保护区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词汇“饮用水水源保护区”在特定场景下为固定表述形式，请确认此处的“饮用水水源准保护区”是否存在不当。</explain>
      <paraID>48616B1E</paraID>
      <start>37</start>
      <end>46</end>
      <status>unmodified</status>
      <modifiedWord/>
      <trackRevisions>false</trackRevisions>
    </reviewItem>
    <reviewItem>
      <errorID>54268847-f11f-4274-adc5-26bb85658dfd</errorID>
      <errorWord>饮用水水源准保护区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词汇“饮用水水源保护区”在特定场景下为固定表述形式，请确认此处的“饮用水水源准保护区”是否存在不当。</explain>
      <paraID>48616B1E</paraID>
      <start>54</start>
      <end>63</end>
      <status>unmodified</status>
      <modifiedWord/>
      <trackRevisions>false</trackRevisions>
    </reviewItem>
    <reviewItem>
      <errorID>989a8f8b-279d-4b62-a1b3-522b86a7648a</errorID>
      <errorWord>，</errorWord>
      <group>L1_Word</group>
      <groupName>字词问题</groupName>
      <ability>L2_Typo</ability>
      <abilityName>字词错误</abilityName>
      <candidateList>
        <item>，对</item>
      </candidateList>
      <explain/>
      <paraID>48616B1E</paraID>
      <start>72</start>
      <end>74</end>
      <status>modified</status>
      <modifiedWord>，对</modifiedWord>
      <trackRevisions>false</trackRevisions>
    </reviewItem>
    <reviewItem>
      <errorID>aa5e9b03-cd65-445d-8719-afbc6de372c2</errorID>
      <errorWord>（</errorWord>
      <group>L1_Format</group>
      <groupName>格式问题</groupName>
      <ability>L2_HalfPunc_CN</ability>
      <abilityName>全半角问题</abilityName>
      <candidateList>
        <item>(</item>
      </candidateList>
      <explain>文本全半角错误。</explain>
      <paraID>6D2C59D6</paraID>
      <start>4</start>
      <end>5</end>
      <status>modified</status>
      <modifiedWord>(</modifiedWord>
      <trackRevisions>false</trackRevisions>
    </reviewItem>
    <reviewItem>
      <errorID>ca0690a0-9eed-4c1c-b179-f46174146866</errorID>
      <errorWord>）</errorWord>
      <group>L1_Format</group>
      <groupName>格式问题</groupName>
      <ability>L2_HalfPunc_CN</ability>
      <abilityName>全半角问题</abilityName>
      <candidateList>
        <item>)</item>
      </candidateList>
      <explain>文本全半角错误。</explain>
      <paraID>6D2C59D6</paraID>
      <start>10</start>
      <end>11</end>
      <status>modified</status>
      <modifiedWord>)</modifiedWord>
      <trackRevisions>false</trackRevisions>
    </reviewItem>
    <reviewItem>
      <errorID>b50820c6-dd93-45c5-9265-1e8868baf19e</errorID>
      <errorWord>（</errorWord>
      <group>L1_Format</group>
      <groupName>格式问题</groupName>
      <ability>L2_HalfPunc_CN</ability>
      <abilityName>全半角问题</abilityName>
      <candidateList>
        <item>(</item>
      </candidateList>
      <explain>文本全半角错误。</explain>
      <paraID>498FFFD4</paraID>
      <start>4</start>
      <end>5</end>
      <status>modified</status>
      <modifiedWord>(</modifiedWord>
      <trackRevisions>false</trackRevisions>
    </reviewItem>
    <reviewItem>
      <errorID>380bb3c4-58f6-47c2-b19f-19c2dee3bda2</errorID>
      <errorWord>）</errorWord>
      <group>L1_Format</group>
      <groupName>格式问题</groupName>
      <ability>L2_HalfPunc_CN</ability>
      <abilityName>全半角问题</abilityName>
      <candidateList>
        <item>)</item>
      </candidateList>
      <explain>文本全半角错误。</explain>
      <paraID>498FFFD4</paraID>
      <start>6</start>
      <end>7</end>
      <status>modified</status>
      <modifiedWord>)</modifiedWord>
      <trackRevisions>false</trackRevisions>
    </reviewItem>
    <reviewItem>
      <errorID>8e8718f4-6ced-470c-8eb7-3aeaa0b994c8</errorID>
      <errorWord>（</errorWord>
      <group>L1_Format</group>
      <groupName>格式问题</groupName>
      <ability>L2_HalfPunc_CN</ability>
      <abilityName>全半角问题</abilityName>
      <candidateList>
        <item>(</item>
      </candidateList>
      <explain>文本全半角错误。</explain>
      <paraID>1BE3691E</paraID>
      <start>4</start>
      <end>5</end>
      <status>modified</status>
      <modifiedWord>(</modifiedWord>
      <trackRevisions>false</trackRevisions>
    </reviewItem>
    <reviewItem>
      <errorID>79c8fc0f-980e-4198-975b-e1b21f2ace05</errorID>
      <errorWord>）</errorWord>
      <group>L1_Format</group>
      <groupName>格式问题</groupName>
      <ability>L2_HalfPunc_CN</ability>
      <abilityName>全半角问题</abilityName>
      <candidateList>
        <item>)</item>
      </candidateList>
      <explain>文本全半角错误。</explain>
      <paraID>1BE3691E</paraID>
      <start>6</start>
      <end>7</end>
      <status>modified</status>
      <modifiedWord>)</modifiedWord>
      <trackRevisions>false</trackRevisions>
    </reviewItem>
    <reviewItem>
      <errorID>917f1614-9b40-4195-adb9-222a6ff3db93</errorID>
      <errorWord>（</errorWord>
      <group>L1_Punc</group>
      <groupName>标点问题</groupName>
      <ability>L2_Punc_CN</ability>
      <abilityName>标点符号问题</abilityName>
      <candidateList/>
      <explain>同一形式括号套用。</explain>
      <paraID>53780197</paraID>
      <start>104</start>
      <end>105</end>
      <status>ignored</status>
      <modifiedWord/>
      <trackRevisions>false</trackRevisions>
    </reviewItem>
    <reviewItem>
      <errorID>f10574db-5583-4341-afd8-85e74f26a23e</errorID>
      <errorWord>）</errorWord>
      <group>L1_Punc</group>
      <groupName>标点问题</groupName>
      <ability>L2_Punc_CN</ability>
      <abilityName>标点符号问题</abilityName>
      <candidateList/>
      <explain>同一形式括号套用。</explain>
      <paraID>53780197</paraID>
      <start>106</start>
      <end>107</end>
      <status>ignored</status>
      <modifiedWord/>
      <trackRevisions>false</trackRevisions>
    </reviewItem>
    <reviewItem>
      <errorID>5067c1d4-ae38-4378-8927-35536f8b47d4</errorID>
      <errorWord>IV</errorWord>
      <group>L1_Knowledge</group>
      <groupName>知识性问题</groupName>
      <ability>L2_Knowledge</ability>
      <abilityName>其他知识</abilityName>
      <candidateList>
        <item>Ⅳ</item>
      </candidateList>
      <explain>中文环境下罗马数字格式错误。</explain>
      <paraID>2063FFB4</paraID>
      <start>0</start>
      <end>2</end>
      <status>ignored</status>
      <modifiedWord/>
      <trackRevisions>false</trackRevisions>
    </reviewItem>
    <reviewItem>
      <errorID>f932b414-1f4d-40ff-8667-f7d8a5a5021c</errorID>
      <errorWord>III</errorWord>
      <group>L1_Word</group>
      <groupName>字词问题</groupName>
      <ability>L2_Typo</ability>
      <abilityName>字词错误</abilityName>
      <candidateList>
        <item>Ⅲ</item>
      </candidateList>
      <explain/>
      <paraID>35386212</paraID>
      <start>0</start>
      <end>3</end>
      <status>ignored</status>
      <modifiedWord/>
      <trackRevisions>false</trackRevisions>
    </reviewItem>
    <reviewItem>
      <errorID>b9f6f7e0-f724-455d-ba02-b3b6e8f37819</errorID>
      <errorWord>II</errorWord>
      <group>L1_Knowledge</group>
      <groupName>知识性问题</groupName>
      <ability>L2_Knowledge</ability>
      <abilityName>其他知识</abilityName>
      <candidateList>
        <item>Ⅱ</item>
      </candidateList>
      <explain>中文环境下罗马数字格式错误。</explain>
      <paraID>16FB897C</paraID>
      <start>0</start>
      <end>2</end>
      <status>ignored</status>
      <modifiedWord/>
      <trackRevisions>false</trackRevisions>
    </reviewItem>
    <reviewItem>
      <errorID>65fc0cf8-008d-4c84-a485-9ecfbc1dc0ac</errorID>
      <errorWord>III</errorWord>
      <group>L1_Knowledge</group>
      <groupName>知识性问题</groupName>
      <ability>L2_Knowledge</ability>
      <abilityName>其他知识</abilityName>
      <candidateList>
        <item>Ⅲ</item>
      </candidateList>
      <explain>中文环境下罗马数字格式错误。</explain>
      <paraID>3085E712</paraID>
      <start>0</start>
      <end>3</end>
      <status>ignored</status>
      <modifiedWord/>
      <trackRevisions>false</trackRevisions>
    </reviewItem>
    <reviewItem>
      <errorID>8a4984af-f402-4ad9-9b69-869dff16b354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7</start>
      <end>14</end>
      <status>modified</status>
      <modifiedWord>10%～20%</modifiedWord>
      <trackRevisions>false</trackRevisions>
    </reviewItem>
    <reviewItem>
      <errorID>93307d7b-392f-458e-8100-75be748c641c</errorID>
      <errorWord>15%~25%</errorWord>
      <group>L1_Knowledge</group>
      <groupName>知识性问题</groupName>
      <ability>L2_Knowledge</ability>
      <abilityName>其他知识</abilityName>
      <candidateList>
        <item>15%～25%</item>
      </candidateList>
      <explain>1. “15%~25%”中的单位“%”仅出现在后一个数字上，容易引起歧义；根据《现代汉语标点符号数字用法规范手册》，数字表示范围两边需要使用统一的格式。2.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21</start>
      <end>28</end>
      <status>unmodified</status>
      <modifiedWord/>
      <trackRevisions>false</trackRevisions>
    </reviewItem>
    <reviewItem>
      <errorID>01139ec8-4e93-471a-9527-99f5138b0339</errorID>
      <errorWord>25%~35%</errorWord>
      <group>L1_Knowledge</group>
      <groupName>知识性问题</groupName>
      <ability>L2_Knowledge</ability>
      <abilityName>其他知识</abilityName>
      <candidateList>
        <item>25%～35%</item>
      </candidateList>
      <explain>1. “25%~35%”中的单位“%”仅出现在后一个数字上，容易引起歧义；根据《现代汉语标点符号数字用法规范手册》，数字表示范围两边需要使用统一的格式。2.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32</start>
      <end>39</end>
      <status>unmodified</status>
      <modifiedWord/>
      <trackRevisions>false</trackRevisions>
    </reviewItem>
    <reviewItem>
      <errorID>d09a7b7e-c8db-456d-8f8f-8414af76dcc0</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43</start>
      <end>48</end>
      <status>unmodified</status>
      <modifiedWord/>
      <trackRevisions>false</trackRevisions>
    </reviewItem>
    <reviewItem>
      <errorID>2d5c4522-b101-4813-a638-525e77722ef6</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54</start>
      <end>61</end>
      <status>unmodified</status>
      <modifiedWord/>
      <trackRevisions>false</trackRevisions>
    </reviewItem>
    <reviewItem>
      <errorID>1031258f-61da-452e-ada1-c97ad6c0e61d</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75</start>
      <end>81</end>
      <status>unmodified</status>
      <modifiedWord/>
      <trackRevisions>false</trackRevisions>
    </reviewItem>
    <reviewItem>
      <errorID>1e77a05e-be4e-40ef-9dcc-5297ac2ed81e</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58F2F21B</paraID>
      <start>85</start>
      <end>92</end>
      <status>unmodified</status>
      <modifiedWord/>
      <trackRevisions>false</trackRevisions>
    </reviewItem>
    <reviewItem>
      <errorID>49c2dca1-fc9f-4670-82df-b8d4d09311d8</errorID>
      <errorWord>35%~45%</errorWord>
      <group>L1_Knowledge</group>
      <groupName>知识性问题</groupName>
      <ability>L2_Knowledge</ability>
      <abilityName>其他知识</abilityName>
      <candidateList>
        <item>35%～45%</item>
      </candidateList>
      <explain>1. “35%~45%”中的单位“%”仅出现在后一个数字上，容易引起歧义；根据《现代汉语标点符号数字用法规范手册》，数字表示范围两边需要使用统一的格式。2.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7</start>
      <end>14</end>
      <status>unmodified</status>
      <modifiedWord/>
      <trackRevisions>false</trackRevisions>
    </reviewItem>
    <reviewItem>
      <errorID>56c452d2-76f6-4e25-996c-ebc439f0f794</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27</start>
      <end>33</end>
      <status>unmodified</status>
      <modifiedWord/>
      <trackRevisions>false</trackRevisions>
    </reviewItem>
    <reviewItem>
      <errorID>b696e17b-136e-42c1-9357-76973c830271</errorID>
      <errorWord>3%~7%</errorWord>
      <group>L1_Knowledge</group>
      <groupName>知识性问题</groupName>
      <ability>L2_Knowledge</ability>
      <abilityName>其他知识</abilityName>
      <candidateList>
        <item>3%～7%</item>
      </candidateList>
      <explain>1. “3%~7%”中的单位“%”仅出现在后一个数字上，容易引起歧义；根据《现代汉语标点符号数字用法规范手册》，数字表示范围两边需要使用统一的格式。2.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36</start>
      <end>41</end>
      <status>unmodified</status>
      <modifiedWord/>
      <trackRevisions>false</trackRevisions>
    </reviewItem>
    <reviewItem>
      <errorID>51a160e8-ca5f-418f-829a-55b641fe6da4</errorID>
      <errorWord>3%~10%</errorWord>
      <group>L1_Knowledge</group>
      <groupName>知识性问题</groupName>
      <ability>L2_Knowledge</ability>
      <abilityName>其他知识</abilityName>
      <candidateList>
        <item>3%～10%</item>
      </candidateList>
      <explain>1. “3%~10%”中的单位“%”仅出现在后一个数字上，容易引起歧义；根据《现代汉语标点符号数字用法规范手册》，数字表示范围两边需要使用统一的格式。2.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44</start>
      <end>50</end>
      <status>unmodified</status>
      <modifiedWord/>
      <trackRevisions>false</trackRevisions>
    </reviewItem>
    <reviewItem>
      <errorID>237b9115-90ed-4cfb-9619-7d4ee17d0438</errorID>
      <errorWord>0.1%~0.5%</errorWord>
      <group>L1_Knowledge</group>
      <groupName>知识性问题</groupName>
      <ability>L2_Knowledge</ability>
      <abilityName>其他知识</abilityName>
      <candidateList>
        <item>0.1%～0.5%</item>
      </candidateList>
      <explain>1. “0.1%~0.5%”中的单位“%”仅出现在后一个数字上，容易引起歧义；根据《现代汉语标点符号数字用法规范手册》，数字表示范围两边需要使用统一的格式。2.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54</start>
      <end>63</end>
      <status>unmodified</status>
      <modifiedWord/>
      <trackRevisions>false</trackRevisions>
    </reviewItem>
    <reviewItem>
      <errorID>61235455-861f-4c1d-a2ca-90b13af68735</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67</start>
      <end>72</end>
      <status>unmodified</status>
      <modifiedWord/>
      <trackRevisions>false</trackRevisions>
    </reviewItem>
    <reviewItem>
      <errorID>b06f126b-302f-4e27-b804-bb5afca2a6a2</errorID>
      <errorWord>15%~25%</errorWord>
      <group>L1_Knowledge</group>
      <groupName>知识性问题</groupName>
      <ability>L2_Knowledge</ability>
      <abilityName>其他知识</abilityName>
      <candidateList>
        <item>15%～25%</item>
      </candidateList>
      <explain>1. “15%~25%”中的单位“%”仅出现在后一个数字上，容易引起歧义；根据《现代汉语标点符号数字用法规范手册》，数字表示范围两边需要使用统一的格式。2.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78</start>
      <end>85</end>
      <status>unmodified</status>
      <modifiedWord/>
      <trackRevisions>false</trackRevisions>
    </reviewItem>
    <reviewItem>
      <errorID>2a77548a-060e-4688-b03b-8c6b655f87ad</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99</start>
      <end>105</end>
      <status>unmodified</status>
      <modifiedWord/>
      <trackRevisions>false</trackRevisions>
    </reviewItem>
    <reviewItem>
      <errorID>3a6ca340-8fd2-40e1-be49-c1681e6338da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7FCA9B95</paraID>
      <start>109</start>
      <end>116</end>
      <status>unmodified</status>
      <modifiedWord/>
      <trackRevisions>false</trackRevisions>
    </reviewItem>
    <reviewItem>
      <errorID>c8d83109-e13e-40c9-8d96-8140b5a4d76d</errorID>
      <errorWord>40%~55%</errorWord>
      <group>L1_Knowledge</group>
      <groupName>知识性问题</groupName>
      <ability>L2_Knowledge</ability>
      <abilityName>其他知识</abilityName>
      <candidateList>
        <item>40%～55%</item>
      </candidateList>
      <explain>1. “40%~55%”中的单位“%”仅出现在后一个数字上，容易引起歧义；根据《现代汉语标点符号数字用法规范手册》，数字表示范围两边需要使用统一的格式。2.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5</start>
      <end>12</end>
      <status>unmodified</status>
      <modifiedWord/>
      <trackRevisions>false</trackRevisions>
    </reviewItem>
    <reviewItem>
      <errorID>ac6717f3-e64f-4e9b-be17-571db1140b19</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22</start>
      <end>29</end>
      <status>unmodified</status>
      <modifiedWord/>
      <trackRevisions>false</trackRevisions>
    </reviewItem>
    <reviewItem>
      <errorID>fdd89c2e-03f5-4138-815b-ee4ecd2b2d1f</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36</start>
      <end>43</end>
      <status>unmodified</status>
      <modifiedWord/>
      <trackRevisions>false</trackRevisions>
    </reviewItem>
    <reviewItem>
      <errorID>27a86522-5234-494b-9deb-78473d768111</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47</start>
      <end>54</end>
      <status>unmodified</status>
      <modifiedWord/>
      <trackRevisions>false</trackRevisions>
    </reviewItem>
    <reviewItem>
      <errorID>64e2526b-b268-4adc-bb4f-b15037c37564</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60</start>
      <end>67</end>
      <status>unmodified</status>
      <modifiedWord/>
      <trackRevisions>false</trackRevisions>
    </reviewItem>
    <reviewItem>
      <errorID>96e2234c-7789-45c5-a8e5-4840079a62a4</errorID>
      <errorWord>15%~25%</errorWord>
      <group>L1_Knowledge</group>
      <groupName>知识性问题</groupName>
      <ability>L2_Knowledge</ability>
      <abilityName>其他知识</abilityName>
      <candidateList>
        <item>15%～25%</item>
      </candidateList>
      <explain>1. “15%~25%”中的单位“%”仅出现在后一个数字上，容易引起歧义；根据《现代汉语标点符号数字用法规范手册》，数字表示范围两边需要使用统一的格式。2.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83</start>
      <end>90</end>
      <status>unmodified</status>
      <modifiedWord/>
      <trackRevisions>false</trackRevisions>
    </reviewItem>
    <reviewItem>
      <errorID>2de35441-9123-46b6-8f93-1f0c4835ae3c</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4A89894E</paraID>
      <start>94</start>
      <end>100</end>
      <status>unmodified</status>
      <modifiedWord/>
      <trackRevisions>false</trackRevisions>
    </reviewItem>
    <reviewItem>
      <errorID>f7d64090-548e-4d40-b3d3-db986fdda0a7</errorID>
      <errorWord>25%~35%</errorWord>
      <group>L1_Knowledge</group>
      <groupName>知识性问题</groupName>
      <ability>L2_Knowledge</ability>
      <abilityName>其他知识</abilityName>
      <candidateList>
        <item>25%～35%</item>
      </candidateList>
      <explain>1. “25%~35%”中的单位“%”仅出现在后一个数字上，容易引起歧义；根据《现代汉语标点符号数字用法规范手册》，数字表示范围两边需要使用统一的格式。2.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5</start>
      <end>12</end>
      <status>unmodified</status>
      <modifiedWord/>
      <trackRevisions>false</trackRevisions>
    </reviewItem>
    <reviewItem>
      <errorID>4fdc49df-f23f-4759-8780-cf2f0b5171c7</errorID>
      <errorWord>、、</errorWord>
      <group>L1_Punc</group>
      <groupName>标点问题</groupName>
      <ability>L2_Punc_CN</ability>
      <abilityName>标点符号问题</abilityName>
      <candidateList>
        <item>、</item>
      </candidateList>
      <explain/>
      <paraID>32E99114</paraID>
      <start>12</start>
      <end>14</end>
      <status>unmodified</status>
      <modifiedWord/>
      <trackRevisions>false</trackRevisions>
    </reviewItem>
    <reviewItem>
      <errorID>190ca0cd-507e-4173-8eb6-6f66e82cfe1d</errorID>
      <errorWord>5%~15%</errorWord>
      <group>L1_Knowledge</group>
      <groupName>知识性问题</groupName>
      <ability>L2_Knowledge</ability>
      <abilityName>其他知识</abilityName>
      <candidateList>
        <item>5%～15%</item>
      </candidateList>
      <explain>1. “5%~15%”中的单位“%”仅出现在后一个数字上，容易引起歧义；根据《现代汉语标点符号数字用法规范手册》，数字表示范围两边需要使用统一的格式。2.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27</start>
      <end>33</end>
      <status>unmodified</status>
      <modifiedWord/>
      <trackRevisions>false</trackRevisions>
    </reviewItem>
    <reviewItem>
      <errorID>e5f53493-1833-4f49-9982-2d1e54a270ec</errorID>
      <errorWord>25%~35%</errorWord>
      <group>L1_Knowledge</group>
      <groupName>知识性问题</groupName>
      <ability>L2_Knowledge</ability>
      <abilityName>其他知识</abilityName>
      <candidateList>
        <item>25%～35%</item>
      </candidateList>
      <explain>1. “25%~35%”中的单位“%”仅出现在后一个数字上，容易引起歧义；根据《现代汉语标点符号数字用法规范手册》，数字表示范围两边需要使用统一的格式。2.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37</start>
      <end>44</end>
      <status>unmodified</status>
      <modifiedWord/>
      <trackRevisions>false</trackRevisions>
    </reviewItem>
    <reviewItem>
      <errorID>b9709e7c-c987-4d0b-a8e8-8c4726f9c930</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47</start>
      <end>53</end>
      <status>unmodified</status>
      <modifiedWord/>
      <trackRevisions>false</trackRevisions>
    </reviewItem>
    <reviewItem>
      <errorID>31c87787-729e-4fa0-bd7e-afc56a1d5442</errorID>
      <errorWord>3%~8%</errorWord>
      <group>L1_Knowledge</group>
      <groupName>知识性问题</groupName>
      <ability>L2_Knowledge</ability>
      <abilityName>其他知识</abilityName>
      <candidateList>
        <item>3%～8%</item>
      </candidateList>
      <explain>1. “3%~8%”中的单位“%”仅出现在后一个数字上，容易引起歧义；根据《现代汉语标点符号数字用法规范手册》，数字表示范围两边需要使用统一的格式。2.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57</start>
      <end>62</end>
      <status>unmodified</status>
      <modifiedWord/>
      <trackRevisions>false</trackRevisions>
    </reviewItem>
    <reviewItem>
      <errorID>2a5e1d19-0e4d-4cbc-b2f7-d318b7d2e6d3</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32E99114</paraID>
      <start>69</start>
      <end>75</end>
      <status>unmodified</status>
      <modifiedWord/>
      <trackRevisions>false</trackRevisions>
    </reviewItem>
    <reviewItem>
      <errorID>98d06af7-3ba8-4829-a89d-c7bbef0ebfe9</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2EAB634</paraID>
      <start>17</start>
      <end>24</end>
      <status>unmodified</status>
      <modifiedWord/>
      <trackRevisions>false</trackRevisions>
    </reviewItem>
    <reviewItem>
      <errorID>1590e42e-8b67-4950-afee-7fdcab69d613</errorID>
      <errorWord>15%~30%</errorWord>
      <group>L1_Knowledge</group>
      <groupName>知识性问题</groupName>
      <ability>L2_Knowledge</ability>
      <abilityName>其他知识</abilityName>
      <candidateList>
        <item>15%～30%</item>
      </candidateList>
      <explain>1. “15%~30%”中的单位“%”仅出现在后一个数字上，容易引起歧义；根据《现代汉语标点符号数字用法规范手册》，数字表示范围两边需要使用统一的格式。2. 根据标点国标 4.13 中的规则，数字、时间或地域连接符应使用（视觉上更长的）“—”或“～”。</explain>
      <paraID> 2EAB634</paraID>
      <start>30</start>
      <end>37</end>
      <status>unmodified</status>
      <modifiedWord/>
      <trackRevisions>false</trackRevisions>
    </reviewItem>
    <reviewItem>
      <errorID>dfbdef56-11ce-4088-8aa8-0d3a7a18c4c2</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 2EAB634</paraID>
      <start>41</start>
      <end>47</end>
      <status>unmodified</status>
      <modifiedWord/>
      <trackRevisions>false</trackRevisions>
    </reviewItem>
    <reviewItem>
      <errorID>708e6b3e-f527-45f1-a965-b40944b2b727</errorID>
      <errorWord>~</errorWord>
      <group>L1_Format</group>
      <groupName>格式问题</groupName>
      <ability>L2_HalfPunc_CN</ability>
      <abilityName>全半角问题</abilityName>
      <candidateList>
        <item>～</item>
      </candidateList>
      <explain>文本全半角错误。</explain>
      <paraID>7A98E769</paraID>
      <start>21</start>
      <end>22</end>
      <status>unmodified</status>
      <modifiedWord/>
      <trackRevisions>false</trackRevisions>
    </reviewItem>
    <reviewItem>
      <errorID>af0b8701-8841-4ac2-871b-052bea47c16a</errorID>
      <errorWord>~</errorWord>
      <group>L1_Format</group>
      <groupName>格式问题</groupName>
      <ability>L2_HalfPunc_CN</ability>
      <abilityName>全半角问题</abilityName>
      <candidateList>
        <item>～</item>
      </candidateList>
      <explain>文本全半角错误。</explain>
      <paraID>7A98E769</paraID>
      <start>31</start>
      <end>32</end>
      <status>unmodified</status>
      <modifiedWord/>
      <trackRevisions>false</trackRevisions>
    </reviewItem>
    <reviewItem>
      <errorID>ce57f09d-0ab9-4490-88ba-b707dfea5402</errorID>
      <errorWord>~</errorWord>
      <group>L1_Format</group>
      <groupName>格式问题</groupName>
      <ability>L2_HalfPunc_CN</ability>
      <abilityName>全半角问题</abilityName>
      <candidateList>
        <item>～</item>
      </candidateList>
      <explain>文本全半角错误。</explain>
      <paraID>7A98E769</paraID>
      <start>42</start>
      <end>43</end>
      <status>unmodified</status>
      <modifiedWord/>
      <trackRevisions>false</trackRevisions>
    </reviewItem>
    <reviewItem>
      <errorID>e1c8a87e-ae28-448a-9dd1-adc4e10ad8db</errorID>
      <errorWord>~</errorWord>
      <group>L1_Format</group>
      <groupName>格式问题</groupName>
      <ability>L2_HalfPunc_CN</ability>
      <abilityName>全半角问题</abilityName>
      <candidateList>
        <item>～</item>
      </candidateList>
      <explain>文本全半角错误。</explain>
      <paraID>7A98E769</paraID>
      <start>116</start>
      <end>117</end>
      <status>unmodified</status>
      <modifiedWord/>
      <trackRevisions>false</trackRevisions>
    </reviewItem>
    <reviewItem>
      <errorID>ece730e1-45ff-4172-8675-35abb063f75f</errorID>
      <errorWord>紫外光</errorWord>
      <group>L1_Word</group>
      <groupName>字词问题</groupName>
      <ability>L2_Typo</ability>
      <abilityName>字词错误</abilityName>
      <candidateList>
        <item>紫外线</item>
      </candidateList>
      <explain/>
      <paraID>7A98E769</paraID>
      <start>209</start>
      <end>212</end>
      <status>unmodified</status>
      <modifiedWord/>
      <trackRevisions>false</trackRevisions>
    </reviewItem>
    <reviewItem>
      <errorID>23d84739-5000-4d26-992b-6810e839bc53</errorID>
      <errorWord>粘稠</errorWord>
      <group>L1_Word</group>
      <groupName>字词问题</groupName>
      <ability>L2_Typo</ability>
      <abilityName>字词错误</abilityName>
      <candidateList>
        <item>黏稠</item>
      </candidateList>
      <explain>存在发音相同字词的误用。</explain>
      <paraID>2451E529</paraID>
      <start>0</start>
      <end>2</end>
      <status>unmodified</status>
      <modifiedWord/>
      <trackRevisions>false</trackRevisions>
    </reviewItem>
    <reviewItem>
      <errorID>a46e84a8-8687-4b2d-91a3-62ed569af36e</errorID>
      <errorWord>~</errorWord>
      <group>L1_Format</group>
      <groupName>格式问题</groupName>
      <ability>L2_HalfPunc_CN</ability>
      <abilityName>全半角问题</abilityName>
      <candidateList>
        <item>～</item>
      </candidateList>
      <explain>文本全半角错误。</explain>
      <paraID>2451E529</paraID>
      <start>43</start>
      <end>44</end>
      <status>unmodified</status>
      <modifiedWord/>
      <trackRevisions>false</trackRevisions>
    </reviewItem>
    <reviewItem>
      <errorID>c500d161-428d-4c7c-9f15-9e8e36d29ce2</errorID>
      <errorWord>粘稠</errorWord>
      <group>L1_Word</group>
      <groupName>字词问题</groupName>
      <ability>L2_Typo</ability>
      <abilityName>字词错误</abilityName>
      <candidateList>
        <item>黏稠</item>
      </candidateList>
      <explain>存在发音相同字词的误用。</explain>
      <paraID>24B10A81</paraID>
      <start>0</start>
      <end>2</end>
      <status>unmodified</status>
      <modifiedWord/>
      <trackRevisions>false</trackRevisions>
    </reviewItem>
    <reviewItem>
      <errorID>353be3f3-90b5-43e9-aa6c-bb7002481873</errorID>
      <errorWord>~</errorWord>
      <group>L1_Format</group>
      <groupName>格式问题</groupName>
      <ability>L2_HalfPunc_CN</ability>
      <abilityName>全半角问题</abilityName>
      <candidateList>
        <item>～</item>
      </candidateList>
      <explain>文本全半角错误。</explain>
      <paraID>24B10A81</paraID>
      <start>45</start>
      <end>46</end>
      <status>unmodified</status>
      <modifiedWord/>
      <trackRevisions>false</trackRevisions>
    </reviewItem>
    <reviewItem>
      <errorID>3b4b8b56-0ed6-46c5-80f5-e48241b63c29</errorID>
      <errorWord>粘稠</errorWord>
      <group>L1_Word</group>
      <groupName>字词问题</groupName>
      <ability>L2_Typo</ability>
      <abilityName>字词错误</abilityName>
      <candidateList>
        <item>黏稠</item>
      </candidateList>
      <explain>存在发音相同字词的误用。</explain>
      <paraID>46BD1937</paraID>
      <start>0</start>
      <end>2</end>
      <status>unmodified</status>
      <modifiedWord/>
      <trackRevisions>false</trackRevisions>
    </reviewItem>
    <reviewItem>
      <errorID>924ea1b5-bb55-4642-952f-6dc553ecf987</errorID>
      <errorWord>~</errorWord>
      <group>L1_Format</group>
      <groupName>格式问题</groupName>
      <ability>L2_HalfPunc_CN</ability>
      <abilityName>全半角问题</abilityName>
      <candidateList>
        <item>～</item>
      </candidateList>
      <explain>文本全半角错误。</explain>
      <paraID>46BD1937</paraID>
      <start>42</start>
      <end>43</end>
      <status>unmodified</status>
      <modifiedWord/>
      <trackRevisions>false</trackRevisions>
    </reviewItem>
    <reviewItem>
      <errorID>b3c85d85-e9ef-467a-bb25-49599bf59d51</errorID>
      <errorWord>粘度</errorWord>
      <group>L1_Word</group>
      <groupName>字词问题</groupName>
      <ability>L2_Alias</ability>
      <abilityName>也作/曾用词</abilityName>
      <candidateList>
        <item>黏度</item>
      </candidateList>
      <explain>词汇[粘度]为不规范表述或旧称，其规范书面表述为[黏度]。</explain>
      <paraID>2FC17EB9</paraID>
      <start>35</start>
      <end>37</end>
      <status>unmodified</status>
      <modifiedWord/>
      <trackRevisions>false</trackRevisions>
    </reviewItem>
    <reviewItem>
      <errorID>e66e5bfa-f6ee-4bd5-ba53-f6ee0611a815</errorID>
      <errorWord>~</errorWord>
      <group>L1_Format</group>
      <groupName>格式问题</groupName>
      <ability>L2_HalfPunc_CN</ability>
      <abilityName>全半角问题</abilityName>
      <candidateList>
        <item>～</item>
      </candidateList>
      <explain>文本全半角错误。</explain>
      <paraID>2FC17EB9</paraID>
      <start>38</start>
      <end>39</end>
      <status>unmodified</status>
      <modifiedWord/>
      <trackRevisions>false</trackRevisions>
    </reviewItem>
    <reviewItem>
      <errorID>869e7e65-8153-456a-8842-8602552ac3c9</errorID>
      <errorWord>粘度</errorWord>
      <group>L1_Word</group>
      <groupName>字词问题</groupName>
      <ability>L2_Alias</ability>
      <abilityName>也作/曾用词</abilityName>
      <candidateList>
        <item>黏度</item>
      </candidateList>
      <explain>词汇[粘度]为不规范表述或旧称，其规范书面表述为[黏度]。</explain>
      <paraID>30E0DDCC</paraID>
      <start>36</start>
      <end>38</end>
      <status>unmodified</status>
      <modifiedWord/>
      <trackRevisions>false</trackRevisions>
    </reviewItem>
    <reviewItem>
      <errorID>dc5006be-f225-46e6-a7c0-819b48142ca1</errorID>
      <errorWord>~</errorWord>
      <group>L1_Format</group>
      <groupName>格式问题</groupName>
      <ability>L2_HalfPunc_CN</ability>
      <abilityName>全半角问题</abilityName>
      <candidateList>
        <item>～</item>
      </candidateList>
      <explain>文本全半角错误。</explain>
      <paraID>30E0DDCC</paraID>
      <start>40</start>
      <end>41</end>
      <status>unmodified</status>
      <modifiedWord/>
      <trackRevisions>false</trackRevisions>
    </reviewItem>
    <reviewItem>
      <errorID>c8644c49-7223-4358-9961-d12aa3147e70</errorID>
      <errorWord>：</errorWord>
      <group>L1_Format</group>
      <groupName>格式问题</groupName>
      <ability>L2_HalfPunc_CN</ability>
      <abilityName>全半角问题</abilityName>
      <candidateList>
        <item>:</item>
      </candidateList>
      <explain>文本全半角错误。</explain>
      <paraID>7B8D96DB</paraID>
      <start>4</start>
      <end>5</end>
      <status>unmodified</status>
      <modifiedWord/>
      <trackRevisions>false</trackRevisions>
    </reviewItem>
    <reviewItem>
      <errorID>ba0ce8ef-e712-4aab-a6df-662482f14646</errorID>
      <errorWord>：</errorWord>
      <group>L1_Format</group>
      <groupName>格式问题</groupName>
      <ability>L2_HalfPunc_CN</ability>
      <abilityName>全半角问题</abilityName>
      <candidateList>
        <item>:</item>
      </candidateList>
      <explain>文本全半角错误。</explain>
      <paraID>7B8D96DB</paraID>
      <start>26</start>
      <end>27</end>
      <status>unmodified</status>
      <modifiedWord/>
      <trackRevisions>false</trackRevisions>
    </reviewItem>
    <reviewItem>
      <errorID>a80e90c4-be6a-4148-869e-c79cea327732</errorID>
      <errorWord>：</errorWord>
      <group>L1_Format</group>
      <groupName>格式问题</groupName>
      <ability>L2_HalfPunc_CN</ability>
      <abilityName>全半角问题</abilityName>
      <candidateList>
        <item>:</item>
      </candidateList>
      <explain>文本全半角错误。</explain>
      <paraID>725D38C7</paraID>
      <start>4</start>
      <end>5</end>
      <status>unmodified</status>
      <modifiedWord/>
      <trackRevisions>false</trackRevisions>
    </reviewItem>
    <reviewItem>
      <errorID>46b5d7f4-518a-4582-9f21-1569d671ca58</errorID>
      <errorWord>：</errorWord>
      <group>L1_Format</group>
      <groupName>格式问题</groupName>
      <ability>L2_HalfPunc_CN</ability>
      <abilityName>全半角问题</abilityName>
      <candidateList>
        <item>:</item>
      </candidateList>
      <explain>文本全半角错误。</explain>
      <paraID>725D38C7</paraID>
      <start>25</start>
      <end>26</end>
      <status>unmodified</status>
      <modifiedWord/>
      <trackRevisions>false</trackRevisions>
    </reviewItem>
    <reviewItem>
      <errorID>db3345a9-abd5-4512-858c-5db306b05390</errorID>
      <errorWord>：</errorWord>
      <group>L1_Format</group>
      <groupName>格式问题</groupName>
      <ability>L2_HalfPunc_CN</ability>
      <abilityName>全半角问题</abilityName>
      <candidateList>
        <item>:</item>
      </candidateList>
      <explain>文本全半角错误。</explain>
      <paraID>53210E87</paraID>
      <start>4</start>
      <end>5</end>
      <status>unmodified</status>
      <modifiedWord/>
      <trackRevisions>false</trackRevisions>
    </reviewItem>
    <reviewItem>
      <errorID>19c17076-cca5-4776-b7ba-53f7976abaa6</errorID>
      <errorWord>粘稠</errorWord>
      <group>L1_Word</group>
      <groupName>字词问题</groupName>
      <ability>L2_Typo</ability>
      <abilityName>字词错误</abilityName>
      <candidateList>
        <item>黏稠</item>
      </candidateList>
      <explain>存在发音相同字词的误用。</explain>
      <paraID>521891A1</paraID>
      <start>0</start>
      <end>2</end>
      <status>unmodified</status>
      <modifiedWord/>
      <trackRevisions>false</trackRevisions>
    </reviewItem>
    <reviewItem>
      <errorID>c273ed29-f641-43ce-acf3-3e19d441422d</errorID>
      <errorWord>21.7%~22.2%</errorWord>
      <group>L1_Knowledge</group>
      <groupName>知识性问题</groupName>
      <ability>L2_Knowledge</ability>
      <abilityName>其他知识</abilityName>
      <candidateList>
        <item>21.7%～22.2%</item>
      </candidateList>
      <explain>1. “21.7%~22.2%”中的单位“%”仅出现在后一个数字上，容易引起歧义；根据《现代汉语标点符号数字用法规范手册》，数字表示范围两边需要使用统一的格式。2. 根据标点国标 4.13 中的规则，数字、时间或地域连接符应使用（视觉上更长的）“—”或“～”。</explain>
      <paraID>521891A1</paraID>
      <start>30</start>
      <end>41</end>
      <status>unmodified</status>
      <modifiedWord/>
      <trackRevisions>false</trackRevisions>
    </reviewItem>
    <reviewItem>
      <errorID>9797b886-ccd9-4315-bbdc-d7aabd4b739a</errorID>
      <errorWord>,</errorWord>
      <group>L1_Format</group>
      <groupName>格式问题</groupName>
      <ability>L2_HalfPunc_CN</ability>
      <abilityName>全半角问题</abilityName>
      <candidateList>
        <item>，</item>
      </candidateList>
      <explain>文本全半角错误。</explain>
      <paraID>521891A1</paraID>
      <start>41</start>
      <end>42</end>
      <status>unmodified</status>
      <modifiedWord/>
      <trackRevisions>false</trackRevisions>
    </reviewItem>
    <reviewItem>
      <errorID>d467b8b8-6816-4ef6-b005-bbbf86159d72</errorID>
      <errorWord>项且</errorWord>
      <group>L1_Word</group>
      <groupName>字词问题</groupName>
      <ability>L2_Typo</ability>
      <abilityName>字词错误</abilityName>
      <candidateList>
        <item>项目</item>
      </candidateList>
      <explain/>
      <paraID>68530A92</paraID>
      <start>191</start>
      <end>193</end>
      <status>modified</status>
      <modifiedWord>项目</modifiedWord>
      <trackRevisions>false</trackRevisions>
    </reviewItem>
    <reviewItem>
      <errorID>c69d5853-3865-457a-9a5f-06f0df0eb71f</errorID>
      <errorWord>：</errorWord>
      <group>L1_Format</group>
      <groupName>格式问题</groupName>
      <ability>L2_HalfPunc_CN</ability>
      <abilityName>全半角问题</abilityName>
      <candidateList>
        <item>:</item>
      </candidateList>
      <explain>文本全半角错误。</explain>
      <paraID> 292F215</paraID>
      <start>202</start>
      <end>203</end>
      <status>unmodified</status>
      <modifiedWord/>
      <trackRevisions>false</trackRevisions>
    </reviewItem>
    <reviewItem>
      <errorID>598058ab-8f35-45c0-bea1-e9ced154e019</errorID>
      <errorWord>：</errorWord>
      <group>L1_Format</group>
      <groupName>格式问题</groupName>
      <ability>L2_HalfPunc_CN</ability>
      <abilityName>全半角问题</abilityName>
      <candidateList>
        <item>:</item>
      </candidateList>
      <explain>文本全半角错误。</explain>
      <paraID> 292F215</paraID>
      <start>262</start>
      <end>263</end>
      <status>unmodified</status>
      <modifiedWord/>
      <trackRevisions>false</trackRevisions>
    </reviewItem>
    <reviewItem>
      <errorID>ff2f0ddc-af2b-4d8c-869f-0f73add8daa3</errorID>
      <errorWord>：</errorWord>
      <group>L1_Format</group>
      <groupName>格式问题</groupName>
      <ability>L2_HalfPunc_CN</ability>
      <abilityName>全半角问题</abilityName>
      <candidateList>
        <item>:</item>
      </candidateList>
      <explain>文本全半角错误。</explain>
      <paraID> 292F215</paraID>
      <start>265</start>
      <end>266</end>
      <status>unmodified</status>
      <modifiedWord/>
      <trackRevisions>false</trackRevisions>
    </reviewItem>
    <reviewItem>
      <errorID>6a4fde58-e96d-40f2-93f9-c2405afc0fa6</errorID>
      <errorWord>双组份</errorWord>
      <group>L1_Word</group>
      <groupName>字词问题</groupName>
      <ability>L2_Variant</ability>
      <abilityName>异形词</abilityName>
      <candidateList>
        <item>双组分</item>
      </candidateList>
      <explain>词汇[双组份]的规范词形写作[双组分]。</explain>
      <paraID>3858583A</paraID>
      <start>3</start>
      <end>6</end>
      <status>modified</status>
      <modifiedWord>双组分</modifiedWord>
      <trackRevisions>false</trackRevisions>
    </reviewItem>
    <reviewItem>
      <errorID>38d6250c-2c4e-4567-9a9c-66d94c768117</errorID>
      <errorWord>单一组份</errorWord>
      <group>L1_Word</group>
      <groupName>字词问题</groupName>
      <ability>L2_Variant</ability>
      <abilityName>异形词</abilityName>
      <candidateList>
        <item>单一组分</item>
      </candidateList>
      <explain>词汇[单一组份]的规范词形写作[单一组分]。</explain>
      <paraID>6E72C7FF</paraID>
      <start>24</start>
      <end>28</end>
      <status>modified</status>
      <modifiedWord>单一组分</modifiedWord>
      <trackRevisions>false</trackRevisions>
    </reviewItem>
    <reviewItem>
      <errorID>f9f25057-62ad-4c17-9dc4-8808045808f2</errorID>
      <errorWord>kw</errorWord>
      <group>L1_Word</group>
      <groupName>字词问题</groupName>
      <ability>L2_Typo</ability>
      <abilityName>字词错误</abilityName>
      <candidateList>
        <item>kW</item>
      </candidateList>
      <explain/>
      <paraID>1AE285CA</paraID>
      <start>11</start>
      <end>13</end>
      <status>unmodified</status>
      <modifiedWord/>
      <trackRevisions>false</trackRevisions>
    </reviewItem>
    <reviewItem>
      <errorID>a89d490e-b7c7-4b1f-810e-da0efaa4fe31</errorID>
      <errorWord>kw</errorWord>
      <group>L1_Word</group>
      <groupName>字词问题</groupName>
      <ability>L2_Typo</ability>
      <abilityName>字词错误</abilityName>
      <candidateList>
        <item>kW</item>
      </candidateList>
      <explain/>
      <paraID>511A3D69</paraID>
      <start>11</start>
      <end>13</end>
      <status>unmodified</status>
      <modifiedWord/>
      <trackRevisions>false</trackRevisions>
    </reviewItem>
    <reviewItem>
      <errorID>39124bb8-70ab-4dac-adc9-bcf92e166683</errorID>
      <errorWord>kw</errorWord>
      <group>L1_Word</group>
      <groupName>字词问题</groupName>
      <ability>L2_Typo</ability>
      <abilityName>字词错误</abilityName>
      <candidateList>
        <item>kW</item>
      </candidateList>
      <explain/>
      <paraID>50F5CF53</paraID>
      <start>11</start>
      <end>13</end>
      <status>unmodified</status>
      <modifiedWord/>
      <trackRevisions>false</trackRevisions>
    </reviewItem>
    <reviewItem>
      <errorID>ebf9dccd-6fb6-499e-b05c-c1478fa176e1</errorID>
      <errorWord>kw</errorWord>
      <group>L1_Word</group>
      <groupName>字词问题</groupName>
      <ability>L2_Typo</ability>
      <abilityName>字词错误</abilityName>
      <candidateList>
        <item>kW</item>
      </candidateList>
      <explain/>
      <paraID>372B3E89</paraID>
      <start>2</start>
      <end>4</end>
      <status>unmodified</status>
      <modifiedWord/>
      <trackRevisions>false</trackRevisions>
    </reviewItem>
    <reviewItem>
      <errorID>46bb0e9f-1981-4653-a619-d180955962cf</errorID>
      <errorWord>KW</errorWord>
      <group>L1_Word</group>
      <groupName>字词问题</groupName>
      <ability>L2_Typo</ability>
      <abilityName>字词错误</abilityName>
      <candidateList>
        <item>kW</item>
      </candidateList>
      <explain/>
      <paraID>237EC02B</paraID>
      <start>3</start>
      <end>5</end>
      <status>unmodified</status>
      <modifiedWord/>
      <trackRevisions>false</trackRevisions>
    </reviewItem>
    <reviewItem>
      <errorID>d7da6ce1-140e-434f-b685-f4260a634ced</errorID>
      <errorWord>KW</errorWord>
      <group>L1_Word</group>
      <groupName>字词问题</groupName>
      <ability>L2_Typo</ability>
      <abilityName>字词错误</abilityName>
      <candidateList>
        <item>kW</item>
      </candidateList>
      <explain/>
      <paraID>2F17AA90</paraID>
      <start>4</start>
      <end>6</end>
      <status>unmodified</status>
      <modifiedWord/>
      <trackRevisions>false</trackRevisions>
    </reviewItem>
    <reviewItem>
      <errorID>b548bc5c-9bd4-49ce-85dd-cf96a8891e0e</errorID>
      <errorWord>KW</errorWord>
      <group>L1_Word</group>
      <groupName>字词问题</groupName>
      <ability>L2_Typo</ability>
      <abilityName>字词错误</abilityName>
      <candidateList>
        <item>kW</item>
      </candidateList>
      <explain/>
      <paraID>236C0D43</paraID>
      <start>13</start>
      <end>15</end>
      <status>unmodified</status>
      <modifiedWord/>
      <trackRevisions>false</trackRevisions>
    </reviewItem>
    <reviewItem>
      <errorID>1b62149f-1643-4726-97f2-6497f532eda0</errorID>
      <errorWord>kw</errorWord>
      <group>L1_Word</group>
      <groupName>字词问题</groupName>
      <ability>L2_Typo</ability>
      <abilityName>字词错误</abilityName>
      <candidateList>
        <item>kW</item>
      </candidateList>
      <explain/>
      <paraID>3F9516BD</paraID>
      <start>2</start>
      <end>4</end>
      <status>unmodified</status>
      <modifiedWord/>
      <trackRevisions>false</trackRevisions>
    </reviewItem>
    <reviewItem>
      <errorID>b5e6bd46-1f4b-4e81-a62b-559d86fc9f9b</errorID>
      <errorWord>将</errorWord>
      <group>L1_Word</group>
      <groupName>字词问题</groupName>
      <ability>L2_Typo</ability>
      <abilityName>字词错误</abilityName>
      <candidateList>
        <item>降</item>
      </candidateList>
      <explain/>
      <paraID>4E099D13</paraID>
      <start>81</start>
      <end>82</end>
      <status>unmodified</status>
      <modifiedWord/>
      <trackRevisions>false</trackRevisions>
    </reviewItem>
    <reviewItem>
      <errorID>f4b745b9-fd32-476b-a570-de3f55cb892b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37F095C</paraID>
      <start>128</start>
      <end>129</end>
      <status>unmodified</status>
      <modifiedWord/>
      <trackRevisions>false</trackRevisions>
    </reviewItem>
    <reviewItem>
      <errorID>67b6511c-cdec-4ad4-9852-8ba5cf56e5ca</errorID>
      <errorWord>15%~35%</errorWord>
      <group>L1_Knowledge</group>
      <groupName>知识性问题</groupName>
      <ability>L2_Knowledge</ability>
      <abilityName>其他知识</abilityName>
      <candidateList>
        <item>15%～35%</item>
      </candidateList>
      <explain>1. “15%~35%”中的单位“%”仅出现在后一个数字上，容易引起歧义；根据《现代汉语标点符号数字用法规范手册》，数字表示范围两边需要使用统一的格式。2. 根据标点国标 4.13 中的规则，数字、时间或地域连接符应使用（视觉上更长的）“—”或“～”。</explain>
      <paraID>  35D70D</paraID>
      <start>45</start>
      <end>52</end>
      <status>unmodified</status>
      <modifiedWord/>
      <trackRevisions>false</trackRevisions>
    </reviewItem>
    <reviewItem>
      <errorID>dec7937b-6c6a-4257-8e5d-d32801f93866</errorID>
      <errorWord>5%~30%</errorWord>
      <group>L1_Knowledge</group>
      <groupName>知识性问题</groupName>
      <ability>L2_Knowledge</ability>
      <abilityName>其他知识</abilityName>
      <candidateList>
        <item>5%～30%</item>
      </candidateList>
      <explain>1. “5%~30%”中的单位“%”仅出现在后一个数字上，容易引起歧义；根据《现代汉语标点符号数字用法规范手册》，数字表示范围两边需要使用统一的格式。2. 根据标点国标 4.13 中的规则，数字、时间或地域连接符应使用（视觉上更长的）“—”或“～”。</explain>
      <paraID>  35D70D</paraID>
      <start>57</start>
      <end>63</end>
      <status>unmodified</status>
      <modifiedWord/>
      <trackRevisions>false</trackRevisions>
    </reviewItem>
    <reviewItem>
      <errorID>2a0407fb-90df-4019-ab69-80678717cf67</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35D70D</paraID>
      <start>68</start>
      <end>75</end>
      <status>unmodified</status>
      <modifiedWord/>
      <trackRevisions>false</trackRevisions>
    </reviewItem>
    <reviewItem>
      <errorID>eef4bd83-706e-401a-a61a-150e43e80847</errorID>
      <errorWord>65~85%</errorWord>
      <group>L1_Knowledge</group>
      <groupName>知识性问题</groupName>
      <ability>L2_Knowledge</ability>
      <abilityName>其他知识</abilityName>
      <candidateList>
        <item>65%～85%</item>
      </candidateList>
      <explain>1. “65~85%”中的单位“%”仅出现在后一个数字上，容易引起歧义；根据《现代汉语标点符号数字用法规范手册》，数字表示范围两边需要使用统一的格式。2. 根据标点国标 4.13 中的规则，数字、时间或地域连接符应使用（视觉上更长的）“—”或“～”。</explain>
      <paraID>4CFD23CC</paraID>
      <start>215</start>
      <end>221</end>
      <status>unmodified</status>
      <modifiedWord/>
      <trackRevisions>false</trackRevisions>
    </reviewItem>
    <reviewItem>
      <errorID>811a0821-e974-41a1-bdc6-d8634a2c879c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62EA24BA</paraID>
      <start>168</start>
      <end>169</end>
      <status>unmodified</status>
      <modifiedWord/>
      <trackRevisions>false</trackRevisions>
    </reviewItem>
    <reviewItem>
      <errorID>15a41069-c9db-4cc6-bbdf-5dc1c784b589</errorID>
      <errorWord>组份及</errorWord>
      <group>L1_Word</group>
      <groupName>字词问题</groupName>
      <ability>L2_Variant</ability>
      <abilityName>异形词</abilityName>
      <candidateList>
        <item>组分及</item>
      </candidateList>
      <explain>词汇[组份及]的规范词形写作[组分及]。</explain>
      <paraID>30055B5D</paraID>
      <start>11</start>
      <end>14</end>
      <status>modified</status>
      <modifiedWord>组分及</modifiedWord>
      <trackRevisions>false</trackRevisions>
    </reviewItem>
    <reviewItem>
      <errorID>dd557a1d-0e2f-4e3c-b805-1cfc26374c4b</errorID>
      <errorWord>、</errorWord>
      <group>L1_Punc</group>
      <groupName>标点问题</groupName>
      <ability>L2_Punc_CN</ability>
      <abilityName>标点符号问题</abilityName>
      <candidateList>
        <item>.</item>
      </candidateList>
      <explain/>
      <paraID>68FFA799</paraID>
      <start>1</start>
      <end>2</end>
      <status>unmodified</status>
      <modifiedWord/>
      <trackRevisions>false</trackRevisions>
    </reviewItem>
    <reviewItem>
      <errorID>d16cc736-6465-4a4a-9378-1fbd4e22d880</errorID>
      <errorWord>组份的</errorWord>
      <group>L1_Word</group>
      <groupName>字词问题</groupName>
      <ability>L2_Variant</ability>
      <abilityName>异形词</abilityName>
      <candidateList>
        <item>组分的</item>
      </candidateList>
      <explain>词汇[组份的]的规范词形写作[组分的]。</explain>
      <paraID>57398AE8</paraID>
      <start>13</start>
      <end>16</end>
      <status>modified</status>
      <modifiedWord>组分的</modifiedWord>
      <trackRevisions>false</trackRevisions>
    </reviewItem>
    <reviewItem>
      <errorID>b4ac0405-ada0-4537-a12d-c2fe81e28b46</errorID>
      <errorWord>组份的</errorWord>
      <group>L1_Word</group>
      <groupName>字词问题</groupName>
      <ability>L2_Variant</ability>
      <abilityName>异形词</abilityName>
      <candidateList>
        <item>组分的</item>
      </candidateList>
      <explain>词汇[组份的]的规范词形写作[组分的]。</explain>
      <paraID>57398AE8</paraID>
      <start>33</start>
      <end>36</end>
      <status>modified</status>
      <modifiedWord>组分的</modifiedWord>
      <trackRevisions>false</trackRevisions>
    </reviewItem>
    <reviewItem>
      <errorID>b533a0dd-18b4-4c99-a331-a2e19fa0492f</errorID>
      <errorWord>,</errorWord>
      <group>L1_Format</group>
      <groupName>格式问题</groupName>
      <ability>L2_HalfPunc_CN</ability>
      <abilityName>全半角问题</abilityName>
      <candidateList>
        <item>，</item>
      </candidateList>
      <explain>文本全半角错误。</explain>
      <paraID>58F26B94</paraID>
      <start>83</start>
      <end>84</end>
      <status>unmodified</status>
      <modifiedWord/>
      <trackRevisions>false</trackRevisions>
    </reviewItem>
    <reviewItem>
      <errorID>b73cd1f4-c2e1-48ec-8aa1-d3c4e38f659d</errorID>
      <errorWord>（</errorWord>
      <group>L1_Punc</group>
      <groupName>标点问题</groupName>
      <ability>L2_Punc_CN</ability>
      <abilityName>标点符号问题</abilityName>
      <candidateList/>
      <explain>同一形式括号套用。</explain>
      <paraID>19AE34CF</paraID>
      <start>142</start>
      <end>143</end>
      <status>unmodified</status>
      <modifiedWord/>
      <trackRevisions>false</trackRevisions>
    </reviewItem>
    <reviewItem>
      <errorID>f6397da8-a0f1-4f78-82de-a5cf5115ee6f</errorID>
      <errorWord>）</errorWord>
      <group>L1_Punc</group>
      <groupName>标点问题</groupName>
      <ability>L2_Punc_CN</ability>
      <abilityName>标点符号问题</abilityName>
      <candidateList/>
      <explain>同一形式括号套用。</explain>
      <paraID>19AE34CF</paraID>
      <start>156</start>
      <end>157</end>
      <status>unmodified</status>
      <modifiedWord/>
      <trackRevisions>false</trackRevisions>
    </reviewItem>
    <reviewItem>
      <errorID>70a956c0-56b0-4c42-9b59-971c1c607ccd</errorID>
      <errorWord>:</errorWord>
      <group>L1_Format</group>
      <groupName>格式问题</groupName>
      <ability>L2_HalfPunc_CN</ability>
      <abilityName>全半角问题</abilityName>
      <candidateList>
        <item>：</item>
      </candidateList>
      <explain>文本全半角错误。</explain>
      <paraID>4C7986A5</paraID>
      <start>81</start>
      <end>82</end>
      <status>unmodified</status>
      <modifiedWord/>
      <trackRevisions>false</trackRevisions>
    </reviewItem>
    <reviewItem>
      <errorID>24cb6ce9-7098-498c-ad75-d233afe9ee90</errorID>
      <errorWord>~</errorWord>
      <group>L1_Format</group>
      <groupName>格式问题</groupName>
      <ability>L2_HalfPunc_CN</ability>
      <abilityName>全半角问题</abilityName>
      <candidateList>
        <item>～</item>
      </candidateList>
      <explain>文本全半角错误。</explain>
      <paraID>4C7986A5</paraID>
      <start>169</start>
      <end>170</end>
      <status>unmodified</status>
      <modifiedWord/>
      <trackRevisions>false</trackRevisions>
    </reviewItem>
    <reviewItem>
      <errorID>b08edf03-4472-4e6e-99a9-4ab5fd8bdd66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2AF403EF</paraID>
      <start>14</start>
      <end>15</end>
      <status>unmodified</status>
      <modifiedWord/>
      <trackRevisions>false</trackRevisions>
    </reviewItem>
    <reviewItem>
      <errorID>20390a8f-45da-4b1f-913b-62c17b9b7844</errorID>
      <errorWord>"</errorWord>
      <group>L1_Format</group>
      <groupName>格式问题</groupName>
      <ability>L2_HalfPunc_CN</ability>
      <abilityName>全半角问题</abilityName>
      <candidateList>
        <item>”</item>
      </candidateList>
      <explain>文本全半角错误。</explain>
      <paraID>2AF403EF</paraID>
      <start>23</start>
      <end>24</end>
      <status>unmodified</status>
      <modifiedWord/>
      <trackRevisions>false</trackRevisions>
    </reviewItem>
    <reviewItem>
      <errorID>aff0fa2b-a385-4e5a-a9c0-c66f839f08f6</errorID>
      <errorWord>、自</errorWord>
      <group>L1_Word</group>
      <groupName>字词问题</groupName>
      <ability>L2_Typo</ability>
      <abilityName>字词错误</abilityName>
      <candidateList>
        <item>、</item>
      </candidateList>
      <explain/>
      <paraID>60845EC0</paraID>
      <start>260</start>
      <end>261</end>
      <status>modified</status>
      <modifiedWord>、</modifiedWord>
      <trackRevisions>false</trackRevisions>
    </reviewItem>
    <reviewItem>
      <errorID>75197488-661d-4365-8b22-d1dfe7a47ae4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63A8B176</paraID>
      <start>34</start>
      <end>35</end>
      <status>unmodified</status>
      <modifiedWord/>
      <trackRevisions>false</trackRevisions>
    </reviewItem>
    <reviewItem>
      <errorID>f10c4dd9-9aed-4d25-8cbd-67cda7cf8bf6</errorID>
      <errorWord>[2026]</errorWord>
      <group>L1_Punc</group>
      <groupName>标点问题</groupName>
      <ability>L2_Punc_CN</ability>
      <abilityName>标点符号问题</abilityName>
      <candidateList>
        <item>〔2026〕</item>
      </candidateList>
      <explain/>
      <paraID>1788F0C0</paraID>
      <start>54</start>
      <end>60</end>
      <status>unmodified</status>
      <modifiedWord/>
      <trackRevisions>false</trackRevisions>
    </reviewItem>
    <reviewItem>
      <errorID>34337762-ff69-41e8-91ca-560bdc8c7627</errorID>
      <errorWord>（</errorWord>
      <group>L1_Punc</group>
      <groupName>标点问题</groupName>
      <ability>L2_Punc_CN</ability>
      <abilityName>标点符号问题</abilityName>
      <candidateList/>
      <explain>同一形式括号套用。</explain>
      <paraID>12B0F4CD</paraID>
      <start>111</start>
      <end>112</end>
      <status>unmodified</status>
      <modifiedWord/>
      <trackRevisions>false</trackRevisions>
    </reviewItem>
    <reviewItem>
      <errorID>ff2b1935-0f7f-40f3-b6cb-4f0b7d5c67b9</errorID>
      <errorWord>）</errorWord>
      <group>L1_Punc</group>
      <groupName>标点问题</groupName>
      <ability>L2_Punc_CN</ability>
      <abilityName>标点符号问题</abilityName>
      <candidateList/>
      <explain>同一形式括号套用。</explain>
      <paraID>12B0F4CD</paraID>
      <start>116</start>
      <end>117</end>
      <status>unmodified</status>
      <modifiedWord/>
      <trackRevisions>false</trackRevisions>
    </reviewItem>
    <reviewItem>
      <errorID>c6ef3e0a-d857-45fc-8d9f-407fb0ae7f7b</errorID>
      <errorWord>，</errorWord>
      <group>L1_Word</group>
      <groupName>字词问题</groupName>
      <ability>L2_Typo</ability>
      <abilityName>字词错误</abilityName>
      <candidateList>
        <item>，在</item>
      </candidateList>
      <explain/>
      <paraID>732E74F4</paraID>
      <start>56</start>
      <end>58</end>
      <status>modified</status>
      <modifiedWord>，在</modifiedWord>
      <trackRevisions>false</trackRevisions>
    </reviewItem>
    <reviewItem>
      <errorID>49581982-324c-4971-aca8-f964caa74030</errorID>
      <errorWord>同山县</errorWord>
      <group>L1_Knowledge</group>
      <groupName>知识性问题</groupName>
      <ability>L2_Location</ability>
      <abilityName>地名检查</abilityName>
      <candidateList>
        <item>通山县</item>
      </candidateList>
      <explain>地名表述错误</explain>
      <paraID>2DAF510F</paraID>
      <start>57</start>
      <end>60</end>
      <status>unmodified</status>
      <modifiedWord/>
      <trackRevisions>false</trackRevisions>
    </reviewItem>
    <reviewItem>
      <errorID>aba96aa1-ebee-4dd6-993f-58024f0314cd</errorID>
      <errorWord>迅速球</errorWord>
      <group>L1_Word</group>
      <groupName>字词问题</groupName>
      <ability>L2_Typo</ability>
      <abilityName>字词错误</abilityName>
      <candidateList>
        <item>迅速</item>
      </candidateList>
      <explain/>
      <paraID>2DAF510F</paraID>
      <start>172</start>
      <end>174</end>
      <status>modified</status>
      <modifiedWord>迅速</modifiedWord>
      <trackRevisions>false</trackRevisions>
    </reviewItem>
    <reviewItem>
      <errorID>37882c06-30d8-4343-8cd3-c1e0fc997d30</errorID>
      <errorWord>《中共中央、国务院</errorWord>
      <group>L1_Political</group>
      <groupName>政治性问题</groupName>
      <ability>L2_Unpolitical</ability>
      <abilityName>政治敏感错误</abilityName>
      <candidateList>
        <item>《中共中央 国务院</item>
      </candidateList>
      <explain/>
      <paraID>3DFDFB20</paraID>
      <start>84</start>
      <end>93</end>
      <status>unmodified</status>
      <modifiedWord/>
      <trackRevisions>false</trackRevisions>
    </reviewItem>
    <reviewItem>
      <errorID>eb901f16-f979-4d91-a210-0820ea4548f5</errorID>
      <errorWord>空气质量持续改善计划</errorWord>
      <group>L1_Political</group>
      <groupName>政治性问题</groupName>
      <ability>L2_Keyword</ability>
      <abilityName>固定表述</abilityName>
      <candidateList>
        <item>空气质量持续改善行动计划</item>
      </candidateList>
      <explain>词汇“空气质量持续改善行动计划”在特定场景下为固定表述形式，请确认此处的“空气质量持续改善计划”是否存在不当。</explain>
      <paraID>51D37854</paraID>
      <start>35</start>
      <end>45</end>
      <status>unmodified</status>
      <modifiedWord/>
      <trackRevisions>false</trackRevisions>
    </reviewItem>
    <reviewItem>
      <errorID>c5fcc4b0-cdc3-4bd0-98af-d47427571649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6F348A5</paraID>
      <start>0</start>
      <end>2</end>
      <status>unmodified</status>
      <modifiedWord/>
      <trackRevisions>false</trackRevisions>
    </reviewItem>
    <reviewItem>
      <errorID>40e1124a-7da6-4290-b25b-b53c4ad8c246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6D486F6</paraID>
      <start>0</start>
      <end>2</end>
      <status>unmodified</status>
      <modifiedWord/>
      <trackRevisions>false</trackRevisions>
    </reviewItem>
    <reviewItem>
      <errorID>9cc66d63-155f-4797-bf42-779a2a077e43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3AB77937</paraID>
      <start>0</start>
      <end>2</end>
      <status>unmodified</status>
      <modifiedWord/>
      <trackRevisions>false</trackRevisions>
    </reviewItem>
    <reviewItem>
      <errorID>621f2f04-2d9b-44b1-9ccd-0c698a275f2b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582F31B4</paraID>
      <start>0</start>
      <end>2</end>
      <status>unmodified</status>
      <modifiedWord/>
      <trackRevisions>false</trackRevisions>
    </reviewItem>
    <reviewItem>
      <errorID>06956a8d-3a72-4aba-bf12-ee4e5bd29ac6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59CF18C7</paraID>
      <start>0</start>
      <end>2</end>
      <status>unmodified</status>
      <modifiedWord/>
      <trackRevisions>false</trackRevisions>
    </reviewItem>
    <reviewItem>
      <errorID>2d5a25ff-1756-4878-ac04-4e763a0d539b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239D2629</paraID>
      <start>0</start>
      <end>2</end>
      <status>unmodified</status>
      <modifiedWord/>
      <trackRevisions>false</trackRevisions>
    </reviewItem>
    <reviewItem>
      <errorID>f642a7d5-17a2-4a1f-b6ac-687b82c8710e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17F53496</paraID>
      <start>0</start>
      <end>2</end>
      <status>unmodified</status>
      <modifiedWord/>
      <trackRevisions>false</trackRevisions>
    </reviewItem>
    <reviewItem>
      <errorID>40219c91-8cbc-431c-b70b-9a484ef9654e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46860D4A</paraID>
      <start>0</start>
      <end>2</end>
      <status>unmodified</status>
      <modifiedWord/>
      <trackRevisions>false</trackRevisions>
    </reviewItem>
    <reviewItem>
      <errorID>bdfb1102-ed86-4f35-9f1e-6f2c5a66ea71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3760C037</paraID>
      <start>0</start>
      <end>2</end>
      <status>unmodified</status>
      <modifiedWord/>
      <trackRevisions>false</trackRevisions>
    </reviewItem>
    <reviewItem>
      <errorID>8482669c-71b8-48db-8e75-7aac5e5306a4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537919AD</paraID>
      <start>18</start>
      <end>19</end>
      <status>unmodified</status>
      <modifiedWord/>
      <trackRevisions>false</trackRevisions>
    </reviewItem>
    <reviewItem>
      <errorID>cc23699d-9d41-4547-8e2e-c3b083fe5727</errorID>
      <errorWord>（2024）20号</errorWord>
      <group>L1_Knowledge</group>
      <groupName>知识性问题</groupName>
      <ability>L2_Knowledge</ability>
      <abilityName>其他知识</abilityName>
      <candidateList>
        <item>〔2024〕20号</item>
      </candidateList>
      <explain>发文字号格式错误。</explain>
      <paraID>537919AD</paraID>
      <start>49</start>
      <end>58</end>
      <status>unmodified</status>
      <modifiedWord/>
      <trackRevisions>false</trackRevisions>
    </reviewItem>
    <reviewItem>
      <errorID>919a6758-1e18-4fb7-ba86-4d9f42ddb487</errorID>
      <errorWord>。，</errorWord>
      <group>L1_Punc</group>
      <groupName>标点问题</groupName>
      <ability>L2_Punc_CN</ability>
      <abilityName>标点符号问题</abilityName>
      <candidateList>
        <item>。</item>
      </candidateList>
      <explain/>
      <paraID>537919AD</paraID>
      <start>115</start>
      <end>117</end>
      <status>unmodified</status>
      <modifiedWord/>
      <trackRevisions>false</trackRevisions>
    </reviewItem>
    <reviewItem>
      <errorID>9485b630-42be-422f-87a7-b799795e6b0e</errorID>
      <errorWord>胶粘剂</errorWord>
      <group>L1_Word</group>
      <groupName>字词问题</groupName>
      <ability>L2_Typo</ability>
      <abilityName>字词错误</abilityName>
      <candidateList>
        <item>胶黏剂</item>
      </candidateList>
      <explain/>
      <paraID> ECC23F2</paraID>
      <start>77</start>
      <end>80</end>
      <status>unmodified</status>
      <modifiedWord/>
      <trackRevisions>false</trackRevisions>
    </reviewItem>
    <reviewItem>
      <errorID>e6ff70f1-9431-4f33-b634-17d873859e57</errorID>
      <errorWord>胶粘剂</errorWord>
      <group>L1_Word</group>
      <groupName>字词问题</groupName>
      <ability>L2_Typo</ability>
      <abilityName>字词错误</abilityName>
      <candidateList>
        <item>胶黏剂</item>
      </candidateList>
      <explain/>
      <paraID> ECC23F2</paraID>
      <start>248</start>
      <end>251</end>
      <status>unmodified</status>
      <modifiedWord/>
      <trackRevisions>false</trackRevisions>
    </reviewItem>
    <reviewItem>
      <errorID>6b459ae1-b416-49b7-b6ac-6545ea60307b</errorID>
      <errorWord>（</errorWord>
      <group>L1_Format</group>
      <groupName>格式问题</groupName>
      <ability>L2_HalfPunc_CN</ability>
      <abilityName>全半角问题</abilityName>
      <candidateList>
        <item>(</item>
      </candidateList>
      <explain>文本全半角错误。</explain>
      <paraID>1767D28C</paraID>
      <start>0</start>
      <end>1</end>
      <status>unmodified</status>
      <modifiedWord/>
      <trackRevisions>false</trackRevisions>
    </reviewItem>
    <reviewItem>
      <errorID>556f835a-0dc2-4345-9e7c-95cf0fe23678</errorID>
      <errorWord>）</errorWord>
      <group>L1_Format</group>
      <groupName>格式问题</groupName>
      <ability>L2_HalfPunc_CN</ability>
      <abilityName>全半角问题</abilityName>
      <candidateList>
        <item>)</item>
      </candidateList>
      <explain>文本全半角错误。</explain>
      <paraID>1767D28C</paraID>
      <start>13</start>
      <end>14</end>
      <status>unmodified</status>
      <modifiedWord/>
      <trackRevisions>false</trackRevisions>
    </reviewItem>
    <reviewItem>
      <errorID>102ad202-9157-464e-b6a1-e86ab3c11c06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51DA75CC</paraID>
      <start>0</start>
      <end>1</end>
      <status>unmodified</status>
      <modifiedWord/>
      <trackRevisions>false</trackRevisions>
    </reviewItem>
    <reviewItem>
      <errorID>8e49c5df-77ac-48b1-8fe0-22b061ad1fee</errorID>
      <errorWord>规</errorWord>
      <group>L1_Word</group>
      <groupName>字词问题</groupName>
      <ability>L2_Typo</ability>
      <abilityName>字词错误</abilityName>
      <candidateList>
        <item>规和</item>
      </candidateList>
      <explain/>
      <paraID> 716FD3D</paraID>
      <start>35</start>
      <end>36</end>
      <status>unmodified</status>
      <modifiedWord/>
      <trackRevisions>false</trackRevisions>
    </reviewItem>
    <reviewItem>
      <errorID>9b94163b-0be7-44b5-92ab-64f902013df8</errorID>
      <errorWord>规</errorWord>
      <group>L1_Word</group>
      <groupName>字词问题</groupName>
      <ability>L2_Typo</ability>
      <abilityName>字词错误</abilityName>
      <candidateList>
        <item>规和</item>
      </candidateList>
      <explain/>
      <paraID>7AC75AD5</paraID>
      <start>35</start>
      <end>36</end>
      <status>unmodified</status>
      <modifiedWord/>
      <trackRevisions>false</trackRevisions>
    </reviewItem>
    <reviewItem>
      <errorID>607b5e41-9989-4f30-bccd-8860b87987b9</errorID>
      <errorWord>70%~77%</errorWord>
      <group>L1_Knowledge</group>
      <groupName>知识性问题</groupName>
      <ability>L2_Knowledge</ability>
      <abilityName>其他知识</abilityName>
      <candidateList>
        <item>70%～77%</item>
      </candidateList>
      <explain>1. “70%~77%”中的单位“%”仅出现在后一个数字上，容易引起歧义；根据《现代汉语标点符号数字用法规范手册》，数字表示范围两边需要使用统一的格式。2. 根据标点国标 4.13 中的规则，数字、时间或地域连接符应使用（视觉上更长的）“—”或“～”。</explain>
      <paraID>5DFA9B52</paraID>
      <start>118</start>
      <end>125</end>
      <status>unmodified</status>
      <modifiedWord/>
      <trackRevisions>false</trackRevisions>
    </reviewItem>
    <reviewItem>
      <errorID>5626e7ca-0535-496a-b5db-50779c069f55</errorID>
      <errorWord>（</errorWord>
      <group>L1_Format</group>
      <groupName>格式问题</groupName>
      <ability>L2_HalfPunc_CN</ability>
      <abilityName>全半角问题</abilityName>
      <candidateList>
        <item>(</item>
      </candidateList>
      <explain>文本全半角错误。</explain>
      <paraID>16BC3DD7</paraID>
      <start>0</start>
      <end>1</end>
      <status>unmodified</status>
      <modifiedWord/>
      <trackRevisions>false</trackRevisions>
    </reviewItem>
    <reviewItem>
      <errorID>42080782-1e50-4c31-8c43-e1d70a79e06a</errorID>
      <errorWord>）</errorWord>
      <group>L1_Format</group>
      <groupName>格式问题</groupName>
      <ability>L2_HalfPunc_CN</ability>
      <abilityName>全半角问题</abilityName>
      <candidateList>
        <item>)</item>
      </candidateList>
      <explain>文本全半角错误。</explain>
      <paraID>16BC3DD7</paraID>
      <start>13</start>
      <end>14</end>
      <status>unmodified</status>
      <modifiedWord/>
      <trackRevisions>false</trackRevisions>
    </reviewItem>
    <reviewItem>
      <errorID>2b5a1e7b-e969-4b2c-bbce-107a7cf1abd5</errorID>
      <errorWord>（</errorWord>
      <group>L1_Format</group>
      <groupName>格式问题</groupName>
      <ability>L2_HalfPunc_CN</ability>
      <abilityName>全半角问题</abilityName>
      <candidateList>
        <item>(</item>
      </candidateList>
      <explain>文本全半角错误。</explain>
      <paraID>4B9FDBD9</paraID>
      <start>0</start>
      <end>1</end>
      <status>unmodified</status>
      <modifiedWord/>
      <trackRevisions>false</trackRevisions>
    </reviewItem>
    <reviewItem>
      <errorID>7211e5f7-e6b9-4fde-a5a6-9d64c7bf7d18</errorID>
      <errorWord>）</errorWord>
      <group>L1_Format</group>
      <groupName>格式问题</groupName>
      <ability>L2_HalfPunc_CN</ability>
      <abilityName>全半角问题</abilityName>
      <candidateList>
        <item>)</item>
      </candidateList>
      <explain>文本全半角错误。</explain>
      <paraID>4B9FDBD9</paraID>
      <start>13</start>
      <end>14</end>
      <status>unmodified</status>
      <modifiedWord/>
      <trackRevisions>false</trackRevisions>
    </reviewItem>
    <reviewItem>
      <errorID>f38ff18b-3fe7-44c0-b4d3-15eefb60aee9</errorID>
      <errorWord>（</errorWord>
      <group>L1_Format</group>
      <groupName>格式问题</groupName>
      <ability>L2_HalfPunc_CN</ability>
      <abilityName>全半角问题</abilityName>
      <candidateList>
        <item>(</item>
      </candidateList>
      <explain>文本全半角错误。</explain>
      <paraID>67EA0B36</paraID>
      <start>0</start>
      <end>1</end>
      <status>unmodified</status>
      <modifiedWord/>
      <trackRevisions>false</trackRevisions>
    </reviewItem>
    <reviewItem>
      <errorID>68e6ee15-a6c2-4af2-bc1a-18c4a4e5b550</errorID>
      <errorWord>）</errorWord>
      <group>L1_Format</group>
      <groupName>格式问题</groupName>
      <ability>L2_HalfPunc_CN</ability>
      <abilityName>全半角问题</abilityName>
      <candidateList>
        <item>)</item>
      </candidateList>
      <explain>文本全半角错误。</explain>
      <paraID>67EA0B36</paraID>
      <start>15</start>
      <end>16</end>
      <status>unmodified</status>
      <modifiedWord/>
      <trackRevisions>false</trackRevisions>
    </reviewItem>
    <reviewItem>
      <errorID>2fd95315-4c25-4c32-8cfd-b6437d03b754</errorID>
      <errorWord>（</errorWord>
      <group>L1_Format</group>
      <groupName>格式问题</groupName>
      <ability>L2_HalfPunc_CN</ability>
      <abilityName>全半角问题</abilityName>
      <candidateList>
        <item>(</item>
      </candidateList>
      <explain>文本全半角错误。</explain>
      <paraID>1210F1F5</paraID>
      <start>0</start>
      <end>1</end>
      <status>unmodified</status>
      <modifiedWord/>
      <trackRevisions>false</trackRevisions>
    </reviewItem>
    <reviewItem>
      <errorID>fbcc7375-f9e5-4e71-8799-ff86af15a33f</errorID>
      <errorWord>）</errorWord>
      <group>L1_Format</group>
      <groupName>格式问题</groupName>
      <ability>L2_HalfPunc_CN</ability>
      <abilityName>全半角问题</abilityName>
      <candidateList>
        <item>)</item>
      </candidateList>
      <explain>文本全半角错误。</explain>
      <paraID>1210F1F5</paraID>
      <start>18</start>
      <end>19</end>
      <status>unmodified</status>
      <modifiedWord/>
      <trackRevisions>false</trackRevisions>
    </reviewItem>
    <reviewItem>
      <errorID>4cc45806-7680-4d4b-a378-638735465386</errorID>
      <errorWord>（</errorWord>
      <group>L1_Format</group>
      <groupName>格式问题</groupName>
      <ability>L2_HalfPunc_CN</ability>
      <abilityName>全半角问题</abilityName>
      <candidateList>
        <item>(</item>
      </candidateList>
      <explain>文本全半角错误。</explain>
      <paraID>41AB895A</paraID>
      <start>0</start>
      <end>1</end>
      <status>unmodified</status>
      <modifiedWord/>
      <trackRevisions>false</trackRevisions>
    </reviewItem>
    <reviewItem>
      <errorID>4488260a-587b-4543-9b3f-7cddebb66a87</errorID>
      <errorWord>）</errorWord>
      <group>L1_Format</group>
      <groupName>格式问题</groupName>
      <ability>L2_HalfPunc_CN</ability>
      <abilityName>全半角问题</abilityName>
      <candidateList>
        <item>)</item>
      </candidateList>
      <explain>文本全半角错误。</explain>
      <paraID>41AB895A</paraID>
      <start>12</start>
      <end>13</end>
      <status>unmodified</status>
      <modifiedWord/>
      <trackRevisions>false</trackRevisions>
    </reviewItem>
    <reviewItem>
      <errorID>23a9e879-8be7-46e7-8736-e58f9554f5f6</errorID>
      <errorWord>（</errorWord>
      <group>L1_Format</group>
      <groupName>格式问题</groupName>
      <ability>L2_HalfPunc_CN</ability>
      <abilityName>全半角问题</abilityName>
      <candidateList>
        <item>(</item>
      </candidateList>
      <explain>文本全半角错误。</explain>
      <paraID>4AF77651</paraID>
      <start>0</start>
      <end>1</end>
      <status>unmodified</status>
      <modifiedWord/>
      <trackRevisions>false</trackRevisions>
    </reviewItem>
    <reviewItem>
      <errorID>ab75c581-2840-4a3e-ad4e-573dd494f41c</errorID>
      <errorWord>）</errorWord>
      <group>L1_Format</group>
      <groupName>格式问题</groupName>
      <ability>L2_HalfPunc_CN</ability>
      <abilityName>全半角问题</abilityName>
      <candidateList>
        <item>)</item>
      </candidateList>
      <explain>文本全半角错误。</explain>
      <paraID>4AF77651</paraID>
      <start>16</start>
      <end>17</end>
      <status>unmodified</status>
      <modifiedWord/>
      <trackRevisions>false</trackRevisions>
    </reviewItem>
    <reviewItem>
      <errorID>175aaf6c-3723-4811-811f-5e19a3a0b4f6</errorID>
      <errorWord>（</errorWord>
      <group>L1_Format</group>
      <groupName>格式问题</groupName>
      <ability>L2_HalfPunc_CN</ability>
      <abilityName>全半角问题</abilityName>
      <candidateList>
        <item>(</item>
      </candidateList>
      <explain>文本全半角错误。</explain>
      <paraID> 34E41C2</paraID>
      <start>0</start>
      <end>1</end>
      <status>unmodified</status>
      <modifiedWord/>
      <trackRevisions>false</trackRevisions>
    </reviewItem>
    <reviewItem>
      <errorID>1a335408-93a3-47e4-87ad-005ba2cfdc8f</errorID>
      <errorWord>）</errorWord>
      <group>L1_Format</group>
      <groupName>格式问题</groupName>
      <ability>L2_HalfPunc_CN</ability>
      <abilityName>全半角问题</abilityName>
      <candidateList>
        <item>)</item>
      </candidateList>
      <explain>文本全半角错误。</explain>
      <paraID> 34E41C2</paraID>
      <start>16</start>
      <end>17</end>
      <status>unmodified</status>
      <modifiedWord/>
      <trackRevisions>false</trackRevisions>
    </reviewItem>
    <reviewItem>
      <errorID>407f24df-092c-4b1d-bc56-f35d4c0503f6</errorID>
      <errorWord>（</errorWord>
      <group>L1_Format</group>
      <groupName>格式问题</groupName>
      <ability>L2_HalfPunc_CN</ability>
      <abilityName>全半角问题</abilityName>
      <candidateList>
        <item>(</item>
      </candidateList>
      <explain>文本全半角错误。</explain>
      <paraID>33A6DB74</paraID>
      <start>0</start>
      <end>1</end>
      <status>unmodified</status>
      <modifiedWord/>
      <trackRevisions>false</trackRevisions>
    </reviewItem>
    <reviewItem>
      <errorID>d5b6ccde-0f6b-4bb6-83ba-bfa5a7a813ed</errorID>
      <errorWord>）</errorWord>
      <group>L1_Format</group>
      <groupName>格式问题</groupName>
      <ability>L2_HalfPunc_CN</ability>
      <abilityName>全半角问题</abilityName>
      <candidateList>
        <item>)</item>
      </candidateList>
      <explain>文本全半角错误。</explain>
      <paraID>33A6DB74</paraID>
      <start>12</start>
      <end>13</end>
      <status>unmodified</status>
      <modifiedWord/>
      <trackRevisions>false</trackRevisions>
    </reviewItem>
    <reviewItem>
      <errorID>9bc23f19-fe96-4900-9f98-359ef9f266f9</errorID>
      <errorWord>（</errorWord>
      <group>L1_Format</group>
      <groupName>格式问题</groupName>
      <ability>L2_HalfPunc_CN</ability>
      <abilityName>全半角问题</abilityName>
      <candidateList>
        <item>(</item>
      </candidateList>
      <explain>文本全半角错误。</explain>
      <paraID> E035062</paraID>
      <start>0</start>
      <end>1</end>
      <status>unmodified</status>
      <modifiedWord/>
      <trackRevisions>false</trackRevisions>
    </reviewItem>
    <reviewItem>
      <errorID>202d2391-e71f-4622-8603-6a2892a60a5b</errorID>
      <errorWord>）</errorWord>
      <group>L1_Format</group>
      <groupName>格式问题</groupName>
      <ability>L2_HalfPunc_CN</ability>
      <abilityName>全半角问题</abilityName>
      <candidateList>
        <item>)</item>
      </candidateList>
      <explain>文本全半角错误。</explain>
      <paraID> E035062</paraID>
      <start>18</start>
      <end>19</end>
      <status>unmodified</status>
      <modifiedWord/>
      <trackRevisions>false</trackRevisions>
    </reviewItem>
    <reviewItem>
      <errorID>c23c3543-dcd6-4640-9564-8e1739a17c30</errorID>
      <errorWord>重碳酸盐</errorWord>
      <group>L1_Knowledge</group>
      <groupName>知识性问题</groupName>
      <ability>L2_Term</ability>
      <abilityName>专业术语</abilityName>
      <candidateList>
        <item>碳酸氢盐</item>
      </candidateList>
      <explain>医学名词[重碳酸盐]为不规范表述或旧称，其规范书面表述为[碳酸氢盐]。</explain>
      <paraID>7207B97D</paraID>
      <start>0</start>
      <end>4</end>
      <status>unmodified</status>
      <modifiedWord/>
      <trackRevisions>false</trackRevisions>
    </reviewItem>
    <reviewItem>
      <errorID>4ff38e0b-790e-41dc-8cc2-04acf34f6a13</errorID>
      <errorWord>（</errorWord>
      <group>L1_Format</group>
      <groupName>格式问题</groupName>
      <ability>L2_HalfPunc_CN</ability>
      <abilityName>全半角问题</abilityName>
      <candidateList>
        <item>(</item>
      </candidateList>
      <explain>文本全半角错误。</explain>
      <paraID>3F28E66C</paraID>
      <start>0</start>
      <end>1</end>
      <status>unmodified</status>
      <modifiedWord/>
      <trackRevisions>false</trackRevisions>
    </reviewItem>
    <reviewItem>
      <errorID>696d5376-6ec6-416f-b4b4-a0b2e21a2ae9</errorID>
      <errorWord>）</errorWord>
      <group>L1_Format</group>
      <groupName>格式问题</groupName>
      <ability>L2_HalfPunc_CN</ability>
      <abilityName>全半角问题</abilityName>
      <candidateList>
        <item>)</item>
      </candidateList>
      <explain>文本全半角错误。</explain>
      <paraID>3F28E66C</paraID>
      <start>12</start>
      <end>13</end>
      <status>unmodified</status>
      <modifiedWord/>
      <trackRevisions>false</trackRevisions>
    </reviewItem>
    <reviewItem>
      <errorID>d604ea62-9232-4fee-8399-77e64e2b178b</errorID>
      <errorWord>,</errorWord>
      <group>L1_Format</group>
      <groupName>格式问题</groupName>
      <ability>L2_HalfPunc_CN</ability>
      <abilityName>全半角问题</abilityName>
      <candidateList>
        <item>，</item>
      </candidateList>
      <explain>文本全半角错误。</explain>
      <paraID>1E7C8D31</paraID>
      <start>1</start>
      <end>2</end>
      <status>unmodified</status>
      <modifiedWord/>
      <trackRevisions>false</trackRevisions>
    </reviewItem>
    <reviewItem>
      <errorID>eb820558-32a0-4ad1-9eb9-e347eef8d9ab</errorID>
      <errorWord>:</errorWord>
      <group>L1_Format</group>
      <groupName>格式问题</groupName>
      <ability>L2_HalfPunc_CN</ability>
      <abilityName>全半角问题</abilityName>
      <candidateList>
        <item>：</item>
      </candidateList>
      <explain>文本全半角错误。</explain>
      <paraID>764EC28D</paraID>
      <start>6</start>
      <end>7</end>
      <status>unmodified</status>
      <modifiedWord/>
      <trackRevisions>false</trackRevisions>
    </reviewItem>
    <reviewItem>
      <errorID>e6bd0b86-c30e-4b35-bb9f-fadee88bc99e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51320F24</paraID>
      <start>0</start>
      <end>2</end>
      <status>unmodified</status>
      <modifiedWord/>
      <trackRevisions>false</trackRevisions>
    </reviewItem>
    <reviewItem>
      <errorID>6b129263-ed99-456e-bc2b-b66e9682912b</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617664FE</paraID>
      <start>0</start>
      <end>11</end>
      <status>unmodified</status>
      <modifiedWord/>
      <trackRevisions>false</trackRevisions>
    </reviewItem>
    <reviewItem>
      <errorID>d30050d1-2811-45fc-8be7-dc23860923df</errorID>
      <errorWord>2025年05月29日</errorWord>
      <group>L1_Knowledge</group>
      <groupName>知识性问题</groupName>
      <ability>L2_Time</ability>
      <abilityName>日期时间</abilityName>
      <candidateList>
        <item>2025年5月29日</item>
      </candidateList>
      <explain>根据日常书写习惯，月份一般会省略前导零。</explain>
      <paraID>240A613F</paraID>
      <start>0</start>
      <end>11</end>
      <status>unmodified</status>
      <modifiedWord/>
      <trackRevisions>false</trackRevisions>
    </reviewItem>
    <reviewItem>
      <errorID>b3ce4881-199f-4661-b119-1ed5c183fdaa</errorID>
      <errorWord>重碳酸盐</errorWord>
      <group>L1_Knowledge</group>
      <groupName>知识性问题</groupName>
      <ability>L2_Term</ability>
      <abilityName>专业术语</abilityName>
      <candidateList>
        <item>碳酸氢盐</item>
      </candidateList>
      <explain>医学名词[重碳酸盐]为不规范表述或旧称，其规范书面表述为[碳酸氢盐]。</explain>
      <paraID>5354DB24</paraID>
      <start>0</start>
      <end>4</end>
      <status>unmodified</status>
      <modifiedWord/>
      <trackRevisions>false</trackRevisions>
    </reviewItem>
    <reviewItem>
      <errorID>ccdf5cc3-4992-498c-b12b-039cad008b04</errorID>
      <errorWord>“/</errorWord>
      <group>L1_Punc</group>
      <groupName>标点问题</groupName>
      <ability>L2_Punc_CN</ability>
      <abilityName>标点符号问题</abilityName>
      <candidateList>
        <item>“</item>
      </candidateList>
      <explain/>
      <paraID>5B97BA35</paraID>
      <start>0</start>
      <end>2</end>
      <status>unmodified</status>
      <modifiedWord/>
      <trackRevisions>false</trackRevisions>
    </reviewItem>
    <reviewItem>
      <errorID>57583328-0421-464c-85ec-af0f55c2f169</errorID>
      <errorWord>2、</errorWord>
      <group>L1_Format</group>
      <groupName>格式问题</groupName>
      <ability>L2_Ordinal</ability>
      <abilityName>序号格式</abilityName>
      <candidateList>
        <item>2.</item>
      </candidateList>
      <explain>当前序号格式不规范，建议修改为规范格式[2.]。</explain>
      <paraID>4974EA33</paraID>
      <start>0</start>
      <end>2</end>
      <status>unmodified</status>
      <modifiedWord/>
      <trackRevisions>false</trackRevisions>
    </reviewItem>
    <reviewItem>
      <errorID>88a9286f-c50f-4dac-8cfb-d2c8ff3d4918</errorID>
      <errorWord>，</errorWord>
      <group>L1_Punc</group>
      <groupName>标点问题</groupName>
      <ability>L2_Punc_CN</ability>
      <abilityName>标点符号问题</abilityName>
      <candidateList/>
      <explain/>
      <paraID>7A803959</paraID>
      <start>21</start>
      <end>22</end>
      <status>unmodified</status>
      <modifiedWord/>
      <trackRevisions>false</trackRevisions>
    </reviewItem>
    <reviewItem>
      <errorID>51b8446d-e103-4116-9713-219c58099a84</errorID>
      <errorWord>；</errorWord>
      <group>L1_Format</group>
      <groupName>格式问题</groupName>
      <ability>L2_HalfPunc_CN</ability>
      <abilityName>全半角问题</abilityName>
      <candidateList>
        <item>;</item>
      </candidateList>
      <explain>文本全半角错误。</explain>
      <paraID>7A803959</paraID>
      <start>30</start>
      <end>31</end>
      <status>unmodified</status>
      <modifiedWord/>
      <trackRevisions>false</trackRevisions>
    </reviewItem>
    <reviewItem>
      <errorID>a7b8bb24-f403-403d-8ae2-169239f6f62a</errorID>
      <errorWord>，</errorWord>
      <group>L1_Punc</group>
      <groupName>标点问题</groupName>
      <ability>L2_Punc_CN</ability>
      <abilityName>标点符号问题</abilityName>
      <candidateList/>
      <explain/>
      <paraID> 91A8704</paraID>
      <start>21</start>
      <end>22</end>
      <status>unmodified</status>
      <modifiedWord/>
      <trackRevisions>false</trackRevisions>
    </reviewItem>
    <reviewItem>
      <errorID>9c58b6ab-f084-46fb-8427-181af3c2da69</errorID>
      <errorWord>。</errorWord>
      <group>L1_Format</group>
      <groupName>格式问题</groupName>
      <ability>L2_HalfPunc_CN</ability>
      <abilityName>全半角问题</abilityName>
      <candidateList>
        <item>.</item>
      </candidateList>
      <explain>文本全半角错误。</explain>
      <paraID> 91A8704</paraID>
      <start>30</start>
      <end>31</end>
      <status>unmodified</status>
      <modifiedWord/>
      <trackRevisions>false</trackRevisions>
    </reviewItem>
    <reviewItem>
      <errorID>9cd92c98-028e-4625-8d9a-5e36196ca99a</errorID>
      <errorWord>~</errorWord>
      <group>L1_Format</group>
      <groupName>格式问题</groupName>
      <ability>L2_HalfPunc_CN</ability>
      <abilityName>全半角问题</abilityName>
      <candidateList>
        <item>～</item>
      </candidateList>
      <explain>文本全半角错误。</explain>
      <paraID>13FDEAEC</paraID>
      <start>126</start>
      <end>127</end>
      <status>unmodified</status>
      <modifiedWord/>
      <trackRevisions>false</trackRevisions>
    </reviewItem>
    <reviewItem>
      <errorID>4d1151d3-c5b5-4fa1-9f9e-9c64d20c9726</errorID>
      <errorWord>~</errorWord>
      <group>L1_Format</group>
      <groupName>格式问题</groupName>
      <ability>L2_HalfPunc_CN</ability>
      <abilityName>全半角问题</abilityName>
      <candidateList>
        <item>～</item>
      </candidateList>
      <explain>文本全半角错误。</explain>
      <paraID>13FDEAEC</paraID>
      <start>169</start>
      <end>170</end>
      <status>unmodified</status>
      <modifiedWord/>
      <trackRevisions>false</trackRevisions>
    </reviewItem>
    <reviewItem>
      <errorID>39f930f1-f59b-4174-bd4f-7afdbada08a7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13FDEAEC</paraID>
      <start>266</start>
      <end>267</end>
      <status>unmodified</status>
      <modifiedWord/>
      <trackRevisions>false</trackRevisions>
    </reviewItem>
    <reviewItem>
      <errorID>595b9eb9-7e81-4d4a-a1ff-76cd03b9a892</errorID>
      <errorWord>~</errorWord>
      <group>L1_Format</group>
      <groupName>格式问题</groupName>
      <ability>L2_HalfPunc_CN</ability>
      <abilityName>全半角问题</abilityName>
      <candidateList>
        <item>～</item>
      </candidateList>
      <explain>文本全半角错误。</explain>
      <paraID>51EC5223</paraID>
      <start>57</start>
      <end>58</end>
      <status>unmodified</status>
      <modifiedWord/>
      <trackRevisions>false</trackRevisions>
    </reviewItem>
    <reviewItem>
      <errorID>cd4c5d30-4c3d-4988-896b-ab8e330e80e9</errorID>
      <errorWord>（</errorWord>
      <group>L1_Format</group>
      <groupName>格式问题</groupName>
      <ability>L2_HalfPunc_CN</ability>
      <abilityName>全半角问题</abilityName>
      <candidateList>
        <item>(</item>
      </candidateList>
      <explain>文本全半角错误。</explain>
      <paraID> 38F0F40</paraID>
      <start>0</start>
      <end>1</end>
      <status>unmodified</status>
      <modifiedWord/>
      <trackRevisions>false</trackRevisions>
    </reviewItem>
    <reviewItem>
      <errorID>c25d0edc-5c4b-47c8-8442-177d23213f93</errorID>
      <errorWord>）</errorWord>
      <group>L1_Format</group>
      <groupName>格式问题</groupName>
      <ability>L2_HalfPunc_CN</ability>
      <abilityName>全半角问题</abilityName>
      <candidateList>
        <item>)</item>
      </candidateList>
      <explain>文本全半角错误。</explain>
      <paraID> 38F0F40</paraID>
      <start>13</start>
      <end>14</end>
      <status>unmodified</status>
      <modifiedWord/>
      <trackRevisions>false</trackRevisions>
    </reviewItem>
    <reviewItem>
      <errorID>74d8ec54-5808-4c69-9397-900f7538151f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64838E17</paraID>
      <start>0</start>
      <end>2</end>
      <status>unmodified</status>
      <modifiedWord/>
      <trackRevisions>false</trackRevisions>
    </reviewItem>
    <reviewItem>
      <errorID>4d4a7e84-3005-4d62-82de-a5d4447a4ae8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78448224</paraID>
      <start>0</start>
      <end>2</end>
      <status>unmodified</status>
      <modifiedWord/>
      <trackRevisions>false</trackRevisions>
    </reviewItem>
    <reviewItem>
      <errorID>17b92a72-b8e6-4f56-ae78-85ab39a939cc</errorID>
      <errorWord>三氟乙烷</errorWord>
      <group>L1_Knowledge</group>
      <groupName>知识性问题</groupName>
      <ability>L2_Term</ability>
      <abilityName>专业术语</abilityName>
      <candidateList>
        <item>氟烷</item>
      </candidateList>
      <explain>医学名词[三氟乙烷]为不规范表述或旧称，其规范书面表述为[氟烷]。</explain>
      <paraID>78448224</paraID>
      <start>15</start>
      <end>19</end>
      <status>unmodified</status>
      <modifiedWord/>
      <trackRevisions>false</trackRevisions>
    </reviewItem>
    <reviewItem>
      <errorID>2be62366-54ca-4ffb-a55e-11cb82cfffd2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29F77434</paraID>
      <start>0</start>
      <end>2</end>
      <status>unmodified</status>
      <modifiedWord/>
      <trackRevisions>false</trackRevisions>
    </reviewItem>
    <reviewItem>
      <errorID>70264dde-5007-4f27-aff5-0188de47c983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36148BBB</paraID>
      <start>0</start>
      <end>2</end>
      <status>unmodified</status>
      <modifiedWord/>
      <trackRevisions>false</trackRevisions>
    </reviewItem>
    <reviewItem>
      <errorID>5cde12df-2fc3-4a12-b1a7-8f973a806c57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52B99BA3</paraID>
      <start>0</start>
      <end>2</end>
      <status>unmodified</status>
      <modifiedWord/>
      <trackRevisions>false</trackRevisions>
    </reviewItem>
    <reviewItem>
      <errorID>84ae44f3-2933-4ea0-9632-3b9aedd0839e</errorID>
      <errorWord>,</errorWord>
      <group>L1_Format</group>
      <groupName>格式问题</groupName>
      <ability>L2_HalfPunc_CN</ability>
      <abilityName>全半角问题</abilityName>
      <candidateList>
        <item>，</item>
      </candidateList>
      <explain>文本全半角错误。</explain>
      <paraID>370E5219</paraID>
      <start>1</start>
      <end>2</end>
      <status>unmodified</status>
      <modifiedWord/>
      <trackRevisions>false</trackRevisions>
    </reviewItem>
    <reviewItem>
      <errorID>118342e8-f571-48f9-9a5c-ca7b6a277d49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D74FAB4</paraID>
      <start>0</start>
      <end>2</end>
      <status>unmodified</status>
      <modifiedWord/>
      <trackRevisions>false</trackRevisions>
    </reviewItem>
    <reviewItem>
      <errorID>32c7c256-7c1d-46f5-b9f0-19be254b0e76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1AC2A610</paraID>
      <start>0</start>
      <end>2</end>
      <status>unmodified</status>
      <modifiedWord/>
      <trackRevisions>false</trackRevisions>
    </reviewItem>
    <reviewItem>
      <errorID>a8b474ac-5676-48d3-8be2-5a95dff74e1e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10500AF4</paraID>
      <start>0</start>
      <end>2</end>
      <status>unmodified</status>
      <modifiedWord/>
      <trackRevisions>false</trackRevisions>
    </reviewItem>
    <reviewItem>
      <errorID>a612f485-67e7-4bd5-b358-f55466ec2397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48A48681</paraID>
      <start>0</start>
      <end>2</end>
      <status>unmodified</status>
      <modifiedWord/>
      <trackRevisions>false</trackRevisions>
    </reviewItem>
    <reviewItem>
      <errorID>61b25b5e-5474-42c4-aac6-08ec65077d3e</errorID>
      <errorWord>：</errorWord>
      <group>L1_Format</group>
      <groupName>格式问题</groupName>
      <ability>L2_HalfPunc_CN</ability>
      <abilityName>全半角问题</abilityName>
      <candidateList>
        <item>:</item>
      </candidateList>
      <explain>文本全半角错误。</explain>
      <paraID>79CCDFEE</paraID>
      <start>1</start>
      <end>2</end>
      <status>unmodified</status>
      <modifiedWord/>
      <trackRevisions>false</trackRevisions>
    </reviewItem>
    <reviewItem>
      <errorID>1c30c801-fe2f-466c-89e7-448de2256fe9</errorID>
      <errorWord>：</errorWord>
      <group>L1_Format</group>
      <groupName>格式问题</groupName>
      <ability>L2_HalfPunc_CN</ability>
      <abilityName>全半角问题</abilityName>
      <candidateList>
        <item>:</item>
      </candidateList>
      <explain>文本全半角错误。</explain>
      <paraID>5DEB145F</paraID>
      <start>1</start>
      <end>2</end>
      <status>unmodified</status>
      <modifiedWord/>
      <trackRevisions>false</trackRevisions>
    </reviewItem>
    <reviewItem>
      <errorID>7f64da40-f030-4d95-b60e-54f0cbb558e0</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 46D04FE</paraID>
      <start>0</start>
      <end>11</end>
      <status>unmodified</status>
      <modifiedWord/>
      <trackRevisions>false</trackRevisions>
    </reviewItem>
    <reviewItem>
      <errorID>28de0492-0710-4082-929a-8c7990c6cb73</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2E914C9B</paraID>
      <start>0</start>
      <end>11</end>
      <status>unmodified</status>
      <modifiedWord/>
      <trackRevisions>false</trackRevisions>
    </reviewItem>
    <reviewItem>
      <errorID>fb3d8f54-f8aa-4dab-8799-3637249c0e80</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5925B758</paraID>
      <start>0</start>
      <end>11</end>
      <status>unmodified</status>
      <modifiedWord/>
      <trackRevisions>false</trackRevisions>
    </reviewItem>
    <reviewItem>
      <errorID>225ba8eb-726f-41ba-a0de-0ad37984ef2c</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4C28BE5E</paraID>
      <start>0</start>
      <end>11</end>
      <status>unmodified</status>
      <modifiedWord/>
      <trackRevisions>false</trackRevisions>
    </reviewItem>
    <reviewItem>
      <errorID>b6cf290e-1a2b-4bc3-b51a-5ed9e4adef25</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 CE80D1C</paraID>
      <start>0</start>
      <end>11</end>
      <status>unmodified</status>
      <modifiedWord/>
      <trackRevisions>false</trackRevisions>
    </reviewItem>
    <reviewItem>
      <errorID>e4f13e14-5d43-47bf-8864-574d88890c35</errorID>
      <errorWord>2026年09月23日</errorWord>
      <group>L1_Knowledge</group>
      <groupName>知识性问题</groupName>
      <ability>L2_Time</ability>
      <abilityName>日期时间</abilityName>
      <candidateList>
        <item>2026年9月23日</item>
      </candidateList>
      <explain>根据日常书写习惯，月份一般会省略前导零。</explain>
      <paraID>4BF19456</paraID>
      <start>0</start>
      <end>11</end>
      <status>unmodified</status>
      <modifiedWord/>
      <trackRevisions>false</trackRevisions>
    </reviewItem>
    <reviewItem>
      <errorID>ac68db18-e79d-4626-9453-daabbbfde089</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53F8FEE1</paraID>
      <start>0</start>
      <end>11</end>
      <status>unmodified</status>
      <modifiedWord/>
      <trackRevisions>false</trackRevisions>
    </reviewItem>
    <reviewItem>
      <errorID>f9f714c7-1564-464d-9860-d1a3a35b168d</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63A14639</paraID>
      <start>0</start>
      <end>11</end>
      <status>unmodified</status>
      <modifiedWord/>
      <trackRevisions>false</trackRevisions>
    </reviewItem>
    <reviewItem>
      <errorID>4a04c0d9-5b55-46e8-92e5-c313853a048d</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7A4EA0FF</paraID>
      <start>0</start>
      <end>11</end>
      <status>unmodified</status>
      <modifiedWord/>
      <trackRevisions>false</trackRevisions>
    </reviewItem>
    <reviewItem>
      <errorID>0d3db7e8-7435-486f-99ad-f8d459e8ff4a</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54B77465</paraID>
      <start>0</start>
      <end>11</end>
      <status>unmodified</status>
      <modifiedWord/>
      <trackRevisions>false</trackRevisions>
    </reviewItem>
    <reviewItem>
      <errorID>3bb14aae-8ec9-4554-a785-652bc47ed873</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46DFAD21</paraID>
      <start>0</start>
      <end>11</end>
      <status>unmodified</status>
      <modifiedWord/>
      <trackRevisions>false</trackRevisions>
    </reviewItem>
    <reviewItem>
      <errorID>84c51181-146e-4ac0-bc2f-5ce0be406849</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51A3F503</paraID>
      <start>0</start>
      <end>11</end>
      <status>unmodified</status>
      <modifiedWord/>
      <trackRevisions>false</trackRevisions>
    </reviewItem>
    <reviewItem>
      <errorID>db87637f-d569-4415-9e17-324b10cb586b</errorID>
      <errorWord>2026年09月23日</errorWord>
      <group>L1_Knowledge</group>
      <groupName>知识性问题</groupName>
      <ability>L2_Time</ability>
      <abilityName>日期时间</abilityName>
      <candidateList>
        <item>2026年9月23日</item>
      </candidateList>
      <explain>根据日常书写习惯，月份一般会省略前导零。</explain>
      <paraID>3A0CCC74</paraID>
      <start>0</start>
      <end>11</end>
      <status>unmodified</status>
      <modifiedWord/>
      <trackRevisions>false</trackRevisions>
    </reviewItem>
    <reviewItem>
      <errorID>e023f456-ee33-4bbf-bf39-0b4bf6b107fd</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317F55F9</paraID>
      <start>0</start>
      <end>11</end>
      <status>unmodified</status>
      <modifiedWord/>
      <trackRevisions>false</trackRevisions>
    </reviewItem>
    <reviewItem>
      <errorID>f5599095-bfb3-4bfd-bd1e-76898447342c</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16C7BAF8</paraID>
      <start>0</start>
      <end>11</end>
      <status>unmodified</status>
      <modifiedWord/>
      <trackRevisions>false</trackRevisions>
    </reviewItem>
    <reviewItem>
      <errorID>0adede61-6a22-413e-a4a7-777b9b075df9</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4147429C</paraID>
      <start>0</start>
      <end>11</end>
      <status>unmodified</status>
      <modifiedWord/>
      <trackRevisions>false</trackRevisions>
    </reviewItem>
    <reviewItem>
      <errorID>86e11014-eca4-4632-a06f-93d89710ca01</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3F82D0EF</paraID>
      <start>0</start>
      <end>11</end>
      <status>unmodified</status>
      <modifiedWord/>
      <trackRevisions>false</trackRevisions>
    </reviewItem>
    <reviewItem>
      <errorID>0f15d807-b73d-4dc3-97de-1cabeebe166b</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73AD4461</paraID>
      <start>0</start>
      <end>11</end>
      <status>unmodified</status>
      <modifiedWord/>
      <trackRevisions>false</trackRevisions>
    </reviewItem>
    <reviewItem>
      <errorID>ed579892-0f7f-42ab-9a88-36b84f40a681</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29A4FCD0</paraID>
      <start>0</start>
      <end>11</end>
      <status>unmodified</status>
      <modifiedWord/>
      <trackRevisions>false</trackRevisions>
    </reviewItem>
    <reviewItem>
      <errorID>72cccfbd-d66e-4822-98d2-828e5ce2fd9d</errorID>
      <errorWord>2026年09月23日</errorWord>
      <group>L1_Knowledge</group>
      <groupName>知识性问题</groupName>
      <ability>L2_Time</ability>
      <abilityName>日期时间</abilityName>
      <candidateList>
        <item>2026年9月23日</item>
      </candidateList>
      <explain>根据日常书写习惯，月份一般会省略前导零。</explain>
      <paraID>6BBBA21A</paraID>
      <start>0</start>
      <end>11</end>
      <status>unmodified</status>
      <modifiedWord/>
      <trackRevisions>false</trackRevisions>
    </reviewItem>
    <reviewItem>
      <errorID>c7d564bb-8c5f-4445-86fa-b4ad46d22965</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1228B94D</paraID>
      <start>0</start>
      <end>11</end>
      <status>unmodified</status>
      <modifiedWord/>
      <trackRevisions>false</trackRevisions>
    </reviewItem>
    <reviewItem>
      <errorID>17df7f6a-24c9-4f72-9167-c7bf9e5984c6</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194C4781</paraID>
      <start>0</start>
      <end>11</end>
      <status>unmodified</status>
      <modifiedWord/>
      <trackRevisions>false</trackRevisions>
    </reviewItem>
    <reviewItem>
      <errorID>574c003e-235a-4304-8740-3e13b26d2e21</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68B7CA79</paraID>
      <start>0</start>
      <end>11</end>
      <status>unmodified</status>
      <modifiedWord/>
      <trackRevisions>false</trackRevisions>
    </reviewItem>
    <reviewItem>
      <errorID>8c217639-96cb-42bb-8dac-d248af3ac1e8</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 35C7C12</paraID>
      <start>0</start>
      <end>11</end>
      <status>unmodified</status>
      <modifiedWord/>
      <trackRevisions>false</trackRevisions>
    </reviewItem>
    <reviewItem>
      <errorID>02691030-5c03-46ab-9e3d-52a7a155e5b9</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5697BD01</paraID>
      <start>0</start>
      <end>11</end>
      <status>unmodified</status>
      <modifiedWord/>
      <trackRevisions>false</trackRevisions>
    </reviewItem>
    <reviewItem>
      <errorID>2fc2ee4f-2c19-48fe-8d98-2fd5a098d8cf</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79583B9F</paraID>
      <start>0</start>
      <end>11</end>
      <status>unmodified</status>
      <modifiedWord/>
      <trackRevisions>false</trackRevisions>
    </reviewItem>
    <reviewItem>
      <errorID>a549ff92-5c2e-417b-ae12-72cd5bf904a3</errorID>
      <errorWord>2026年09月23日</errorWord>
      <group>L1_Knowledge</group>
      <groupName>知识性问题</groupName>
      <ability>L2_Time</ability>
      <abilityName>日期时间</abilityName>
      <candidateList>
        <item>2026年9月23日</item>
      </candidateList>
      <explain>根据日常书写习惯，月份一般会省略前导零。</explain>
      <paraID>38187327</paraID>
      <start>0</start>
      <end>11</end>
      <status>unmodified</status>
      <modifiedWord/>
      <trackRevisions>false</trackRevisions>
    </reviewItem>
    <reviewItem>
      <errorID>8da0c4bb-0fe5-408d-b701-e5baddbaa237</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760C41FF</paraID>
      <start>0</start>
      <end>11</end>
      <status>unmodified</status>
      <modifiedWord/>
      <trackRevisions>false</trackRevisions>
    </reviewItem>
    <reviewItem>
      <errorID>bf585f28-35b6-444d-96be-da9d89bb924b</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 A182844</paraID>
      <start>0</start>
      <end>11</end>
      <status>unmodified</status>
      <modifiedWord/>
      <trackRevisions>false</trackRevisions>
    </reviewItem>
    <reviewItem>
      <errorID>e9998873-9449-4c25-b743-345984a059f0</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69DD49E3</paraID>
      <start>0</start>
      <end>11</end>
      <status>unmodified</status>
      <modifiedWord/>
      <trackRevisions>false</trackRevisions>
    </reviewItem>
    <reviewItem>
      <errorID>8aea714d-b8ae-4fcf-8007-06c66fb3fe47</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7BDE7BFC</paraID>
      <start>0</start>
      <end>11</end>
      <status>unmodified</status>
      <modifiedWord/>
      <trackRevisions>false</trackRevisions>
    </reviewItem>
    <reviewItem>
      <errorID>d250756a-bb72-4086-ad28-ffa1d826e171</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157D9991</paraID>
      <start>0</start>
      <end>11</end>
      <status>unmodified</status>
      <modifiedWord/>
      <trackRevisions>false</trackRevisions>
    </reviewItem>
    <reviewItem>
      <errorID>7fd62caa-2bd6-4a27-ad05-ce80c5b45e4f</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54C6065F</paraID>
      <start>0</start>
      <end>11</end>
      <status>unmodified</status>
      <modifiedWord/>
      <trackRevisions>false</trackRevisions>
    </reviewItem>
    <reviewItem>
      <errorID>665549e9-2fc9-4698-ac6f-6cee4a3171d9</errorID>
      <errorWord>2026年09月23日</errorWord>
      <group>L1_Knowledge</group>
      <groupName>知识性问题</groupName>
      <ability>L2_Time</ability>
      <abilityName>日期时间</abilityName>
      <candidateList>
        <item>2026年9月23日</item>
      </candidateList>
      <explain>根据日常书写习惯，月份一般会省略前导零。</explain>
      <paraID>34BBF7BE</paraID>
      <start>0</start>
      <end>11</end>
      <status>unmodified</status>
      <modifiedWord/>
      <trackRevisions>false</trackRevisions>
    </reviewItem>
    <reviewItem>
      <errorID>5cdcec4c-296a-4b24-a1c9-5c971356fa7f</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700DCB0C</paraID>
      <start>0</start>
      <end>11</end>
      <status>unmodified</status>
      <modifiedWord/>
      <trackRevisions>false</trackRevisions>
    </reviewItem>
    <reviewItem>
      <errorID>b69b3058-06ef-4ff3-b523-a8aa67006b04</errorID>
      <errorWord>：</errorWord>
      <group>L1_Format</group>
      <groupName>格式问题</groupName>
      <ability>L2_HalfPunc_CN</ability>
      <abilityName>全半角问题</abilityName>
      <candidateList>
        <item>:</item>
      </candidateList>
      <explain>文本全半角错误。</explain>
      <paraID>18D7A1F1</paraID>
      <start>1</start>
      <end>2</end>
      <status>unmodified</status>
      <modifiedWord/>
      <trackRevisions>false</trackRevisions>
    </reviewItem>
    <reviewItem>
      <errorID>8fea754c-18ad-42fa-8641-bb9c8ec96757</errorID>
      <errorWord>：</errorWord>
      <group>L1_Format</group>
      <groupName>格式问题</groupName>
      <ability>L2_HalfPunc_CN</ability>
      <abilityName>全半角问题</abilityName>
      <candidateList>
        <item>:</item>
      </candidateList>
      <explain>文本全半角错误。</explain>
      <paraID> FAD5423</paraID>
      <start>1</start>
      <end>2</end>
      <status>unmodified</status>
      <modifiedWord/>
      <trackRevisions>false</trackRevisions>
    </reviewItem>
    <reviewItem>
      <errorID>804ef696-3860-45c5-a640-cfa72d740b57</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518A6A41</paraID>
      <start>0</start>
      <end>11</end>
      <status>unmodified</status>
      <modifiedWord/>
      <trackRevisions>false</trackRevisions>
    </reviewItem>
    <reviewItem>
      <errorID>67a1acb5-2ec6-4fee-9c47-8f01cb281cda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518A6A41</paraID>
      <start>11</start>
      <end>12</end>
      <status>unmodified</status>
      <modifiedWord/>
      <trackRevisions>false</trackRevisions>
    </reviewItem>
    <reviewItem>
      <errorID>d3f0cd25-72f1-4548-8f07-b5416bcbbdb3</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518A6A41</paraID>
      <start>12</start>
      <end>23</end>
      <status>unmodified</status>
      <modifiedWord/>
      <trackRevisions>false</trackRevisions>
    </reviewItem>
    <reviewItem>
      <errorID>0043db14-5a33-4acb-8448-f9f49f608333</errorID>
      <errorWord>2026年09月19日</errorWord>
      <group>L1_Knowledge</group>
      <groupName>知识性问题</groupName>
      <ability>L2_Time</ability>
      <abilityName>日期时间</abilityName>
      <candidateList>
        <item>2026年9月19日</item>
      </candidateList>
      <explain>根据日常书写习惯，月份一般会省略前导零。</explain>
      <paraID>4E5A616B</paraID>
      <start>0</start>
      <end>11</end>
      <status>unmodified</status>
      <modifiedWord/>
      <trackRevisions>false</trackRevisions>
    </reviewItem>
    <reviewItem>
      <errorID>6266df1d-0d58-4228-8ff6-02f09c6eac49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4E5A616B</paraID>
      <start>11</start>
      <end>12</end>
      <status>unmodified</status>
      <modifiedWord/>
      <trackRevisions>false</trackRevisions>
    </reviewItem>
    <reviewItem>
      <errorID>5b83c41f-5cd1-4fc4-ad23-c6a574c8f50d</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4E5A616B</paraID>
      <start>12</start>
      <end>23</end>
      <status>unmodified</status>
      <modifiedWord/>
      <trackRevisions>false</trackRevisions>
    </reviewItem>
    <reviewItem>
      <errorID>f60065f3-7f5e-4f70-ac42-b3bd1687df6a</errorID>
      <errorWord>2026年09月20日</errorWord>
      <group>L1_Knowledge</group>
      <groupName>知识性问题</groupName>
      <ability>L2_Time</ability>
      <abilityName>日期时间</abilityName>
      <candidateList>
        <item>2026年9月20日</item>
      </candidateList>
      <explain>根据日常书写习惯，月份一般会省略前导零。</explain>
      <paraID>2C99FC77</paraID>
      <start>0</start>
      <end>11</end>
      <status>unmodified</status>
      <modifiedWord/>
      <trackRevisions>false</trackRevisions>
    </reviewItem>
    <reviewItem>
      <errorID>f37ec78d-1839-40e3-a17a-a2133e785432</errorID>
      <errorWord>~</errorWord>
      <group>L1_Format</group>
      <groupName>格式问题</groupName>
      <ability>L2_HalfPunc_CN</ability>
      <abilityName>全半角问题</abilityName>
      <candidateList>
        <item>～</item>
      </candidateList>
      <explain>文本全半角错误。</explain>
      <paraID>2C99FC77</paraID>
      <start>11</start>
      <end>12</end>
      <status>unmodified</status>
      <modifiedWord/>
      <trackRevisions>false</trackRevisions>
    </reviewItem>
    <reviewItem>
      <errorID>ca2b77ce-65d8-4c85-8cd5-539f5546a55e</errorID>
      <errorWord>09月24日</errorWord>
      <group>L1_Knowledge</group>
      <groupName>知识性问题</groupName>
      <ability>L2_Time</ability>
      <abilityName>日期时间</abilityName>
      <candidateList>
        <item>9月24日</item>
      </candidateList>
      <explain>根据日常书写习惯，月份一般会省略前导零。</explain>
      <paraID>119ACF13</paraID>
      <start>0</start>
      <end>6</end>
      <status>unmodified</status>
      <modifiedWord/>
      <trackRevisions>false</trackRevisions>
    </reviewItem>
    <reviewItem>
      <errorID>2a673e11-07ee-4a36-87d3-cf370fdba9fe</errorID>
      <errorWord>（</errorWord>
      <group>L1_Format</group>
      <groupName>格式问题</groupName>
      <ability>L2_HalfPunc_CN</ability>
      <abilityName>全半角问题</abilityName>
      <candidateList>
        <item>(</item>
      </candidateList>
      <explain>文本全半角错误。</explain>
      <paraID>75E017E6</paraID>
      <start>1</start>
      <end>2</end>
      <status>unmodified</status>
      <modifiedWord/>
      <trackRevisions>false</trackRevisions>
    </reviewItem>
    <reviewItem>
      <errorID>e1d3c7d5-d76e-4547-88d5-4821d7592c87</errorID>
      <errorWord>）</errorWord>
      <group>L1_Format</group>
      <groupName>格式问题</groupName>
      <ability>L2_HalfPunc_CN</ability>
      <abilityName>全半角问题</abilityName>
      <candidateList>
        <item>)</item>
      </candidateList>
      <explain>文本全半角错误。</explain>
      <paraID>75E017E6</paraID>
      <start>4</start>
      <end>5</end>
      <status>unmodified</status>
      <modifiedWord/>
      <trackRevisions>false</trackRevisions>
    </reviewItem>
    <reviewItem>
      <errorID>47506f64-7d54-4c09-a5c2-5e7a2f91a404</errorID>
      <errorWord>（</errorWord>
      <group>L1_Punc</group>
      <groupName>标点问题</groupName>
      <ability>L2_Punc_CN</ability>
      <abilityName>标点符号问题</abilityName>
      <candidateList/>
      <explain>同一形式括号套用。</explain>
      <paraID>37EBD0E6</paraID>
      <start>7</start>
      <end>8</end>
      <status>unmodified</status>
      <modifiedWord/>
      <trackRevisions>false</trackRevisions>
    </reviewItem>
    <reviewItem>
      <errorID>f0ffa397-0851-4053-a0a6-dc49117139f9</errorID>
      <errorWord>）</errorWord>
      <group>L1_Punc</group>
      <groupName>标点问题</groupName>
      <ability>L2_Punc_CN</ability>
      <abilityName>标点符号问题</abilityName>
      <candidateList/>
      <explain>同一形式括号套用。</explain>
      <paraID>37EBD0E6</paraID>
      <start>9</start>
      <end>10</end>
      <status>unmodified</status>
      <modifiedWord/>
      <trackRevisions>false</trackRevisions>
    </reviewItem>
    <reviewItem>
      <errorID>510edcd3-8576-4490-a56a-a60cbf4d8a77</errorID>
      <errorWord>09月24日</errorWord>
      <group>L1_Knowledge</group>
      <groupName>知识性问题</groupName>
      <ability>L2_Time</ability>
      <abilityName>日期时间</abilityName>
      <candidateList>
        <item>9月24日</item>
      </candidateList>
      <explain>根据日常书写习惯，月份一般会省略前导零。</explain>
      <paraID>5580E46C</paraID>
      <start>0</start>
      <end>6</end>
      <status>unmodified</status>
      <modifiedWord/>
      <trackRevisions>false</trackRevisions>
    </reviewItem>
    <reviewItem>
      <errorID>e20a3f2d-4ab9-49d7-96e8-0c6fc23a5350</errorID>
      <errorWord>（</errorWord>
      <group>L1_Format</group>
      <groupName>格式问题</groupName>
      <ability>L2_HalfPunc_CN</ability>
      <abilityName>全半角问题</abilityName>
      <candidateList>
        <item>(</item>
      </candidateList>
      <explain>文本全半角错误。</explain>
      <paraID>71EB36F0</paraID>
      <start>0</start>
      <end>1</end>
      <status>unmodified</status>
      <modifiedWord/>
      <trackRevisions>false</trackRevisions>
    </reviewItem>
    <reviewItem>
      <errorID>dcbdcfa6-4eba-4b88-9c16-3746cfef3cb6</errorID>
      <errorWord>）</errorWord>
      <group>L1_Format</group>
      <groupName>格式问题</groupName>
      <ability>L2_HalfPunc_CN</ability>
      <abilityName>全半角问题</abilityName>
      <candidateList>
        <item>)</item>
      </candidateList>
      <explain>文本全半角错误。</explain>
      <paraID>71EB36F0</paraID>
      <start>12</start>
      <end>13</end>
      <status>unmodified</status>
      <modifiedWord/>
      <trackRevisions>false</trackRevisions>
    </reviewItem>
    <reviewItem>
      <errorID>ad54bc74-5c59-4fb9-ab16-9c65a1e25112</errorID>
      <errorWord>（</errorWord>
      <group>L1_Format</group>
      <groupName>格式问题</groupName>
      <ability>L2_HalfPunc_CN</ability>
      <abilityName>全半角问题</abilityName>
      <candidateList>
        <item>(</item>
      </candidateList>
      <explain>文本全半角错误。</explain>
      <paraID>2308C01B</paraID>
      <start>0</start>
      <end>1</end>
      <status>unmodified</status>
      <modifiedWord/>
      <trackRevisions>false</trackRevisions>
    </reviewItem>
    <reviewItem>
      <errorID>2abcf83f-67dc-48e9-a1c9-21e9e35723ea</errorID>
      <errorWord>）</errorWord>
      <group>L1_Format</group>
      <groupName>格式问题</groupName>
      <ability>L2_HalfPunc_CN</ability>
      <abilityName>全半角问题</abilityName>
      <candidateList>
        <item>)</item>
      </candidateList>
      <explain>文本全半角错误。</explain>
      <paraID>2308C01B</paraID>
      <start>16</start>
      <end>17</end>
      <status>unmodified</status>
      <modifiedWord/>
      <trackRevisions>false</trackRevisions>
    </reviewItem>
    <reviewItem>
      <errorID>9ea39a0a-91f4-4196-aa09-036a46d379b9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4108AF3E</paraID>
      <start>0</start>
      <end>2</end>
      <status>unmodified</status>
      <modifiedWord/>
      <trackRevisions>false</trackRevisions>
    </reviewItem>
    <reviewItem>
      <errorID>d73f05db-908e-437f-b9d7-f54285b47b61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1F780101</paraID>
      <start>0</start>
      <end>2</end>
      <status>unmodified</status>
      <modifiedWord/>
      <trackRevisions>false</trackRevisions>
    </reviewItem>
    <reviewItem>
      <errorID>0158c4ba-7f7e-44f7-9456-900c2d089a02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8A989B7</paraID>
      <start>0</start>
      <end>2</end>
      <status>unmodified</status>
      <modifiedWord/>
      <trackRevisions>false</trackRevisions>
    </reviewItem>
    <reviewItem>
      <errorID>b59fba02-f1e2-477a-b2ff-1e996189d5b9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E3BA48A</paraID>
      <start>0</start>
      <end>2</end>
      <status>unmodified</status>
      <modifiedWord/>
      <trackRevisions>false</trackRevisions>
    </reviewItem>
    <reviewItem>
      <errorID>a2b82052-5e10-44e0-88ed-20392de9d426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5B23F836</paraID>
      <start>0</start>
      <end>2</end>
      <status>unmodified</status>
      <modifiedWord/>
      <trackRevisions>false</trackRevisions>
    </reviewItem>
    <reviewItem>
      <errorID>6498beab-d7ff-45c9-a4e5-7dec9fb0b9d8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6791084F</paraID>
      <start>0</start>
      <end>2</end>
      <status>unmodified</status>
      <modifiedWord/>
      <trackRevisions>false</trackRevisions>
    </reviewItem>
    <reviewItem>
      <errorID>ba5e75a9-e782-4340-9a0f-dfb05275456c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19845A74</paraID>
      <start>0</start>
      <end>2</end>
      <status>unmodified</status>
      <modifiedWord/>
      <trackRevisions>false</trackRevisions>
    </reviewItem>
    <reviewItem>
      <errorID>732d7d98-1c53-4403-b53d-8f9ad870d064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6AB15DF1</paraID>
      <start>0</start>
      <end>2</end>
      <status>unmodified</status>
      <modifiedWord/>
      <trackRevisions>false</trackRevisions>
    </reviewItem>
    <reviewItem>
      <errorID>35dac088-3a6a-4f8c-98e3-e2b0c24afe7f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269ABAE6</paraID>
      <start>0</start>
      <end>2</end>
      <status>unmodified</status>
      <modifiedWord/>
      <trackRevisions>false</trackRevisions>
    </reviewItem>
    <reviewItem>
      <errorID>39b3af57-686d-4253-ae10-a3b2b14b2eba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47189397</paraID>
      <start>0</start>
      <end>2</end>
      <status>unmodified</status>
      <modifiedWord/>
      <trackRevisions>false</trackRevisions>
    </reviewItem>
    <reviewItem>
      <errorID>33256a44-5a22-4777-9650-d13791d230cf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26002D5B</paraID>
      <start>0</start>
      <end>2</end>
      <status>unmodified</status>
      <modifiedWord/>
      <trackRevisions>false</trackRevisions>
    </reviewItem>
    <reviewItem>
      <errorID>aa7d7159-b080-42ab-9b01-3c1ea001f0a5</errorID>
      <errorWord>（</errorWord>
      <group>L1_Format</group>
      <groupName>格式问题</groupName>
      <ability>L2_HalfPunc_CN</ability>
      <abilityName>全半角问题</abilityName>
      <candidateList>
        <item>(</item>
      </candidateList>
      <explain>文本全半角错误。</explain>
      <paraID>7FD79384</paraID>
      <start>0</start>
      <end>1</end>
      <status>unmodified</status>
      <modifiedWord/>
      <trackRevisions>false</trackRevisions>
    </reviewItem>
    <reviewItem>
      <errorID>c652694a-fc90-4af5-b771-aed87ebf43c9</errorID>
      <errorWord>）</errorWord>
      <group>L1_Format</group>
      <groupName>格式问题</groupName>
      <ability>L2_HalfPunc_CN</ability>
      <abilityName>全半角问题</abilityName>
      <candidateList>
        <item>)</item>
      </candidateList>
      <explain>文本全半角错误。</explain>
      <paraID>7FD79384</paraID>
      <start>12</start>
      <end>13</end>
      <status>unmodified</status>
      <modifiedWord/>
      <trackRevisions>false</trackRevisions>
    </reviewItem>
    <reviewItem>
      <errorID>1a663e77-bb3c-49a1-a2eb-f5d10acd02ff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27FE54DC</paraID>
      <start>0</start>
      <end>2</end>
      <status>unmodified</status>
      <modifiedWord/>
      <trackRevisions>false</trackRevisions>
    </reviewItem>
    <reviewItem>
      <errorID>8812d086-549b-46d3-97ab-a14d31fb2e2d</errorID>
      <errorWord>:</errorWord>
      <group>L1_Format</group>
      <groupName>格式问题</groupName>
      <ability>L2_HalfPunc_CN</ability>
      <abilityName>全半角问题</abilityName>
      <candidateList>
        <item>：</item>
      </candidateList>
      <explain>文本全半角错误。</explain>
      <paraID>27FE54DC</paraID>
      <start>8</start>
      <end>9</end>
      <status>unmodified</status>
      <modifiedWord/>
      <trackRevisions>false</trackRevisions>
    </reviewItem>
    <reviewItem>
      <errorID>a2fcf138-20ff-4a16-8b0a-fde9096e14bf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4F0EC13E</paraID>
      <start>0</start>
      <end>2</end>
      <status>unmodified</status>
      <modifiedWord/>
      <trackRevisions>false</trackRevisions>
    </reviewItem>
    <reviewItem>
      <errorID>6ff0ed54-3cc9-48bb-abd6-9ea525ab90eb</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6A58824C</paraID>
      <start>0</start>
      <end>11</end>
      <status>unmodified</status>
      <modifiedWord/>
      <trackRevisions>false</trackRevisions>
    </reviewItem>
    <reviewItem>
      <errorID>33a55e9f-1ae0-435c-86de-97b1aa5d986e</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52613922</paraID>
      <start>0</start>
      <end>11</end>
      <status>unmodified</status>
      <modifiedWord/>
      <trackRevisions>false</trackRevisions>
    </reviewItem>
    <reviewItem>
      <errorID>06aaca7d-834a-4a6c-8ebd-d93d2ebef8ca</errorID>
      <errorWord>~</errorWord>
      <group>L1_Format</group>
      <groupName>格式问题</groupName>
      <ability>L2_HalfPunc_CN</ability>
      <abilityName>全半角问题</abilityName>
      <candidateList>
        <item>～</item>
      </candidateList>
      <explain>文本全半角错误。</explain>
      <paraID>5B6A3724</paraID>
      <start>3</start>
      <end>4</end>
      <status>unmodified</status>
      <modifiedWord/>
      <trackRevisions>false</trackRevisions>
    </reviewItem>
    <reviewItem>
      <errorID>33b0852e-c3d8-4168-9705-22e0994ddce9</errorID>
      <errorWord>~</errorWord>
      <group>L1_Format</group>
      <groupName>格式问题</groupName>
      <ability>L2_HalfPunc_CN</ability>
      <abilityName>全半角问题</abilityName>
      <candidateList>
        <item>～</item>
      </candidateList>
      <explain>文本全半角错误。</explain>
      <paraID>5403C91A</paraID>
      <start>3</start>
      <end>4</end>
      <status>unmodified</status>
      <modifiedWord/>
      <trackRevisions>false</trackRevisions>
    </reviewItem>
    <reviewItem>
      <errorID>78416d28-fd6a-4d3d-9c77-4aaf5e47b814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4F931C53</paraID>
      <start>0</start>
      <end>2</end>
      <status>unmodified</status>
      <modifiedWord/>
      <trackRevisions>false</trackRevisions>
    </reviewItem>
    <reviewItem>
      <errorID>25f09676-93e1-4f49-825d-e26bd33d8491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56E176D2</paraID>
      <start>0</start>
      <end>2</end>
      <status>unmodified</status>
      <modifiedWord/>
      <trackRevisions>false</trackRevisions>
    </reviewItem>
    <reviewItem>
      <errorID>fbe2fe8b-bfa9-43f3-9ae9-311e3ea9c1dd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1ADB8A2C</paraID>
      <start>0</start>
      <end>2</end>
      <status>unmodified</status>
      <modifiedWord/>
      <trackRevisions>false</trackRevisions>
    </reviewItem>
    <reviewItem>
      <errorID>eb180f99-6302-4888-a6e8-0b2b87e1cd83</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77B49BC0</paraID>
      <start>0</start>
      <end>11</end>
      <status>unmodified</status>
      <modifiedWord/>
      <trackRevisions>false</trackRevisions>
    </reviewItem>
    <reviewItem>
      <errorID>f030ca68-f643-42c0-aa41-b8f25c51e6f1</errorID>
      <errorWord>~</errorWord>
      <group>L1_Format</group>
      <groupName>格式问题</groupName>
      <ability>L2_HalfPunc_CN</ability>
      <abilityName>全半角问题</abilityName>
      <candidateList>
        <item>～</item>
      </candidateList>
      <explain>文本全半角错误。</explain>
      <paraID> 87F5305</paraID>
      <start>3</start>
      <end>4</end>
      <status>unmodified</status>
      <modifiedWord/>
      <trackRevisions>false</trackRevisions>
    </reviewItem>
    <reviewItem>
      <errorID>f5bda669-9f39-469b-8a85-a7d0aadc9677</errorID>
      <errorWord>~</errorWord>
      <group>L1_Format</group>
      <groupName>格式问题</groupName>
      <ability>L2_HalfPunc_CN</ability>
      <abilityName>全半角问题</abilityName>
      <candidateList>
        <item>～</item>
      </candidateList>
      <explain>文本全半角错误。</explain>
      <paraID>503F6F6D</paraID>
      <start>3</start>
      <end>4</end>
      <status>unmodified</status>
      <modifiedWord/>
      <trackRevisions>false</trackRevisions>
    </reviewItem>
    <reviewItem>
      <errorID>b200ce9d-aa71-486d-ac07-4772141de010</errorID>
      <errorWord>~</errorWord>
      <group>L1_Format</group>
      <groupName>格式问题</groupName>
      <ability>L2_HalfPunc_CN</ability>
      <abilityName>全半角问题</abilityName>
      <candidateList>
        <item>～</item>
      </candidateList>
      <explain>文本全半角错误。</explain>
      <paraID>4313C136</paraID>
      <start>3</start>
      <end>4</end>
      <status>unmodified</status>
      <modifiedWord/>
      <trackRevisions>false</trackRevisions>
    </reviewItem>
    <reviewItem>
      <errorID>65061e2a-d5b1-4ff9-a17e-ceba71ae7129</errorID>
      <errorWord>~</errorWord>
      <group>L1_Format</group>
      <groupName>格式问题</groupName>
      <ability>L2_HalfPunc_CN</ability>
      <abilityName>全半角问题</abilityName>
      <candidateList>
        <item>～</item>
      </candidateList>
      <explain>文本全半角错误。</explain>
      <paraID>66930ACB</paraID>
      <start>3</start>
      <end>4</end>
      <status>unmodified</status>
      <modifiedWord/>
      <trackRevisions>false</trackRevisions>
    </reviewItem>
    <reviewItem>
      <errorID>ccac7adb-b2d2-42dd-8da8-ebc2be542717</errorID>
      <errorWord>粘土</errorWord>
      <group>L1_Word</group>
      <groupName>字词问题</groupName>
      <ability>L2_Typo</ability>
      <abilityName>字词错误</abilityName>
      <candidateList>
        <item>黏土</item>
      </candidateList>
      <explain>存在发音相同字词的误用。</explain>
      <paraID> 3C5902B</paraID>
      <start>4</start>
      <end>6</end>
      <status>unmodified</status>
      <modifiedWord/>
      <trackRevisions>false</trackRevisions>
    </reviewItem>
    <reviewItem>
      <errorID>c5eb8465-1cd1-4bb3-812d-f9b97a32f170</errorID>
      <errorWord>粘土</errorWord>
      <group>L1_Word</group>
      <groupName>字词问题</groupName>
      <ability>L2_Typo</ability>
      <abilityName>字词错误</abilityName>
      <candidateList>
        <item>黏土</item>
      </candidateList>
      <explain>存在发音相同字词的误用。</explain>
      <paraID>57DE06DC</paraID>
      <start>3</start>
      <end>5</end>
      <status>unmodified</status>
      <modifiedWord/>
      <trackRevisions>false</trackRevisions>
    </reviewItem>
    <reviewItem>
      <errorID>ceb81c80-2830-4f57-838c-8c50c9b6b978</errorID>
      <errorWord>莫定</errorWord>
      <group>L1_Word</group>
      <groupName>字词问题</groupName>
      <ability>L2_Typo</ability>
      <abilityName>字词错误</abilityName>
      <candidateList>
        <item>奠定</item>
      </candidateList>
      <explain/>
      <paraID>5E1CE2AE</paraID>
      <start>116</start>
      <end>118</end>
      <status>modified</status>
      <modifiedWord>奠定</modifiedWord>
      <trackRevisions>false</trackRevisions>
    </reviewItem>
    <reviewItem>
      <errorID>4f0519d3-ac19-4ab3-a543-48407849ac9c</errorID>
      <errorWord>达《污水综合排放</errorWord>
      <group>L1_Word</group>
      <groupName>字词问题</groupName>
      <ability>L2_Typo</ability>
      <abilityName>字词错误</abilityName>
      <candidateList>
        <item>达到《污水综合排放</item>
      </candidateList>
      <explain/>
      <paraID> AA4DC9B</paraID>
      <start>10</start>
      <end>18</end>
      <status>unmodified</status>
      <modifiedWord/>
      <trackRevisions>false</trackRevisions>
    </reviewItem>
    <reviewItem>
      <errorID>8dda8dd7-1abd-42dd-b727-55dea63790ce</errorID>
      <errorWord>（</errorWord>
      <group>L1_Punc</group>
      <groupName>标点问题</groupName>
      <ability>L2_Punc_CN</ability>
      <abilityName>标点符号问题</abilityName>
      <candidateList/>
      <explain>同一形式括号套用。</explain>
      <paraID> AA4DC9B</paraID>
      <start>65</start>
      <end>66</end>
      <status>unmodified</status>
      <modifiedWord/>
      <trackRevisions>false</trackRevisions>
    </reviewItem>
    <reviewItem>
      <errorID>a827aed5-f319-42e3-85a0-b3aaa65af43c</errorID>
      <errorWord>）</errorWord>
      <group>L1_Punc</group>
      <groupName>标点问题</groupName>
      <ability>L2_Punc_CN</ability>
      <abilityName>标点符号问题</abilityName>
      <candidateList/>
      <explain>同一形式括号套用。</explain>
      <paraID> AA4DC9B</paraID>
      <start>80</start>
      <end>81</end>
      <status>unmodified</status>
      <modifiedWord/>
      <trackRevisions>false</trackRevisions>
    </reviewItem>
    <reviewItem>
      <errorID>fc8026c1-a6de-47d1-9891-b390df7ef275</errorID>
      <errorWord>（</errorWord>
      <group>L1_Format</group>
      <groupName>格式问题</groupName>
      <ability>L2_HalfPunc_CN</ability>
      <abilityName>全半角问题</abilityName>
      <candidateList>
        <item>(</item>
      </candidateList>
      <explain>文本全半角错误。</explain>
      <paraID>34EC7718</paraID>
      <start>0</start>
      <end>1</end>
      <status>unmodified</status>
      <modifiedWord/>
      <trackRevisions>false</trackRevisions>
    </reviewItem>
    <reviewItem>
      <errorID>dd9c9b7d-70bc-4799-a59c-cfcc9b31cd1a</errorID>
      <errorWord>）</errorWord>
      <group>L1_Format</group>
      <groupName>格式问题</groupName>
      <ability>L2_HalfPunc_CN</ability>
      <abilityName>全半角问题</abilityName>
      <candidateList>
        <item>)</item>
      </candidateList>
      <explain>文本全半角错误。</explain>
      <paraID>34EC7718</paraID>
      <start>4</start>
      <end>5</end>
      <status>unmodified</status>
      <modifiedWord/>
      <trackRevisions>false</trackRevisions>
    </reviewItem>
    <reviewItem>
      <errorID>623efa38-9dd2-4111-9e13-61ddf550a173</errorID>
      <errorWord>（</errorWord>
      <group>L1_Format</group>
      <groupName>格式问题</groupName>
      <ability>L2_HalfPunc_CN</ability>
      <abilityName>全半角问题</abilityName>
      <candidateList>
        <item>(</item>
      </candidateList>
      <explain>文本全半角错误。</explain>
      <paraID> A8C4CF2</paraID>
      <start>0</start>
      <end>1</end>
      <status>unmodified</status>
      <modifiedWord/>
      <trackRevisions>false</trackRevisions>
    </reviewItem>
    <reviewItem>
      <errorID>4ae41a45-d62b-48c2-9448-b6ef02211e2b</errorID>
      <errorWord>）</errorWord>
      <group>L1_Format</group>
      <groupName>格式问题</groupName>
      <ability>L2_HalfPunc_CN</ability>
      <abilityName>全半角问题</abilityName>
      <candidateList>
        <item>)</item>
      </candidateList>
      <explain>文本全半角错误。</explain>
      <paraID> A8C4CF2</paraID>
      <start>3</start>
      <end>4</end>
      <status>unmodified</status>
      <modifiedWord/>
      <trackRevisions>false</trackRevisions>
    </reviewItem>
    <reviewItem>
      <errorID>ba84cfd0-fda1-446b-9832-10e505eaa0ea</errorID>
      <errorWord>（</errorWord>
      <group>L1_Format</group>
      <groupName>格式问题</groupName>
      <ability>L2_HalfPunc_CN</ability>
      <abilityName>全半角问题</abilityName>
      <candidateList>
        <item>(</item>
      </candidateList>
      <explain>文本全半角错误。</explain>
      <paraID>38DB53D0</paraID>
      <start>0</start>
      <end>1</end>
      <status>unmodified</status>
      <modifiedWord/>
      <trackRevisions>false</trackRevisions>
    </reviewItem>
    <reviewItem>
      <errorID>2d059dc5-9f45-4465-9e41-45bba9a80d94</errorID>
      <errorWord>）</errorWord>
      <group>L1_Format</group>
      <groupName>格式问题</groupName>
      <ability>L2_HalfPunc_CN</ability>
      <abilityName>全半角问题</abilityName>
      <candidateList>
        <item>)</item>
      </candidateList>
      <explain>文本全半角错误。</explain>
      <paraID>38DB53D0</paraID>
      <start>6</start>
      <end>7</end>
      <status>unmodified</status>
      <modifiedWord/>
      <trackRevisions>false</trackRevisions>
    </reviewItem>
    <reviewItem>
      <errorID>315b7360-15fd-4cfd-958a-2e6903d8a893</errorID>
      <errorWord>（</errorWord>
      <group>L1_Format</group>
      <groupName>格式问题</groupName>
      <ability>L2_HalfPunc_CN</ability>
      <abilityName>全半角问题</abilityName>
      <candidateList>
        <item>(</item>
      </candidateList>
      <explain>文本全半角错误。</explain>
      <paraID>4A3DB12A</paraID>
      <start>0</start>
      <end>1</end>
      <status>unmodified</status>
      <modifiedWord/>
      <trackRevisions>false</trackRevisions>
    </reviewItem>
    <reviewItem>
      <errorID>384c2d12-282f-4b87-b1f0-400ca453fd40</errorID>
      <errorWord>）</errorWord>
      <group>L1_Format</group>
      <groupName>格式问题</groupName>
      <ability>L2_HalfPunc_CN</ability>
      <abilityName>全半角问题</abilityName>
      <candidateList>
        <item>)</item>
      </candidateList>
      <explain>文本全半角错误。</explain>
      <paraID>4A3DB12A</paraID>
      <start>2</start>
      <end>3</end>
      <status>unmodified</status>
      <modifiedWord/>
      <trackRevisions>false</trackRevisions>
    </reviewItem>
    <reviewItem>
      <errorID>07c02802-f6f0-4358-96b3-d2fb6f05cdea</errorID>
      <errorWord>即为</errorWord>
      <group>L1_Word</group>
      <groupName>字词问题</groupName>
      <ability>L2_Typo</ability>
      <abilityName>字词错误</abilityName>
      <candidateList>
        <item>即</item>
      </candidateList>
      <explain/>
      <paraID>335FE2EA</paraID>
      <start>11</start>
      <end>12</end>
      <status>modified</status>
      <modifiedWord>即</modifiedWord>
      <trackRevisions>false</trackRevisions>
    </reviewItem>
    <reviewItem>
      <errorID>67fff430-0fd5-4f83-af82-9b082324b9ea</errorID>
      <errorWord>(</errorWord>
      <group>L1_Format</group>
      <groupName>格式问题</groupName>
      <ability>L2_HalfPunc_CN</ability>
      <abilityName>全半角问题</abilityName>
      <candidateList>
        <item>（</item>
      </candidateList>
      <explain>文本全半角错误。</explain>
      <paraID>504C6200</paraID>
      <start>45</start>
      <end>46</end>
      <status>unmodified</status>
      <modifiedWord/>
      <trackRevisions>false</trackRevisions>
    </reviewItem>
    <reviewItem>
      <errorID>7cd4301f-233f-4048-b026-15f12d435099</errorID>
      <errorWord>（</errorWord>
      <group>L1_Format</group>
      <groupName>格式问题</groupName>
      <ability>L2_HalfPunc_CN</ability>
      <abilityName>全半角问题</abilityName>
      <candidateList>
        <item>(</item>
      </candidateList>
      <explain>文本全半角错误。</explain>
      <paraID>673B863A</paraID>
      <start>0</start>
      <end>1</end>
      <status>unmodified</status>
      <modifiedWord/>
      <trackRevisions>false</trackRevisions>
    </reviewItem>
    <reviewItem>
      <errorID>b2d4dfd2-de96-463d-90a8-db58eb5bf6ae</errorID>
      <errorWord>）</errorWord>
      <group>L1_Format</group>
      <groupName>格式问题</groupName>
      <ability>L2_HalfPunc_CN</ability>
      <abilityName>全半角问题</abilityName>
      <candidateList>
        <item>)</item>
      </candidateList>
      <explain>文本全半角错误。</explain>
      <paraID>673B863A</paraID>
      <start>6</start>
      <end>7</end>
      <status>unmodified</status>
      <modifiedWord/>
      <trackRevisions>false</trackRevisions>
    </reviewItem>
    <reviewItem>
      <errorID>bb34b56a-9d4d-4b13-9a31-767181695be5</errorID>
      <errorWord>、</errorWord>
      <group>L1_Punc</group>
      <groupName>标点问题</groupName>
      <ability>L2_Punc_CN</ability>
      <abilityName>标点符号问题</abilityName>
      <candidateList>
        <item>.</item>
      </candidateList>
      <explain/>
      <paraID>28D9FA8E</paraID>
      <start>7</start>
      <end>8</end>
      <status>unmodified</status>
      <modifiedWord/>
      <trackRevisions>false</trackRevisions>
    </reviewItem>
    <reviewItem>
      <errorID>54b76b34-97bc-4127-b187-84da6669afe1</errorID>
      <errorWord>（</errorWord>
      <group>L1_Format</group>
      <groupName>格式问题</groupName>
      <ability>L2_HalfPunc_CN</ability>
      <abilityName>全半角问题</abilityName>
      <candidateList>
        <item>(</item>
      </candidateList>
      <explain>文本全半角错误。</explain>
      <paraID> F7F0358</paraID>
      <start>0</start>
      <end>1</end>
      <status>unmodified</status>
      <modifiedWord/>
      <trackRevisions>false</trackRevisions>
    </reviewItem>
    <reviewItem>
      <errorID>9c08dc2f-fca9-44b1-b3b0-c806ebf1d4d7</errorID>
      <errorWord>）</errorWord>
      <group>L1_Format</group>
      <groupName>格式问题</groupName>
      <ability>L2_HalfPunc_CN</ability>
      <abilityName>全半角问题</abilityName>
      <candidateList>
        <item>)</item>
      </candidateList>
      <explain>文本全半角错误。</explain>
      <paraID> F7F0358</paraID>
      <start>5</start>
      <end>6</end>
      <status>unmodified</status>
      <modifiedWord/>
      <trackRevisions>false</trackRevisions>
    </reviewItem>
    <reviewItem>
      <errorID>28acb7e6-0911-4097-8c19-aea284eb61f2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15DDE7DA</paraID>
      <start>279</start>
      <end>280</end>
      <status>unmodified</status>
      <modifiedWord/>
      <trackRevisions>false</trackRevisions>
    </reviewItem>
    <reviewItem>
      <errorID>60426768-0f4a-40e4-b241-a21260c32f4c</errorID>
      <errorWord>~</errorWord>
      <group>L1_Format</group>
      <groupName>格式问题</groupName>
      <ability>L2_HalfPunc_CN</ability>
      <abilityName>全半角问题</abilityName>
      <candidateList>
        <item>～</item>
      </candidateList>
      <explain>文本全半角错误。</explain>
      <paraID>55A8FEDA</paraID>
      <start>3</start>
      <end>4</end>
      <status>unmodified</status>
      <modifiedWord/>
      <trackRevisions>false</trackRevisions>
    </reviewItem>
    <reviewItem>
      <errorID>e3bba685-a3ca-4165-af4a-145865e34343</errorID>
      <errorWord>~</errorWord>
      <group>L1_Format</group>
      <groupName>格式问题</groupName>
      <ability>L2_HalfPunc_CN</ability>
      <abilityName>全半角问题</abilityName>
      <candidateList>
        <item>～</item>
      </candidateList>
      <explain>文本全半角错误。</explain>
      <paraID>278A2FDB</paraID>
      <start>3</start>
      <end>4</end>
      <status>unmodified</status>
      <modifiedWord/>
      <trackRevisions>false</trackRevisions>
    </reviewItem>
    <reviewItem>
      <errorID>492e0061-f35f-4a75-8385-47b7f73b28b8</errorID>
      <errorWord>＜</errorWord>
      <group>L1_Format</group>
      <groupName>格式问题</groupName>
      <ability>L2_HalfPunc_CN</ability>
      <abilityName>全半角问题</abilityName>
      <candidateList>
        <item>&lt;</item>
      </candidateList>
      <explain>文本全半角错误。</explain>
      <paraID>24120B53</paraID>
      <start>0</start>
      <end>1</end>
      <status>unmodified</status>
      <modifiedWord/>
      <trackRevisions>false</trackRevisions>
    </reviewItem>
    <reviewItem>
      <errorID>0760db54-2b11-4c4a-9744-5c8eace2ed87</errorID>
      <errorWord>~</errorWord>
      <group>L1_Format</group>
      <groupName>格式问题</groupName>
      <ability>L2_HalfPunc_CN</ability>
      <abilityName>全半角问题</abilityName>
      <candidateList>
        <item>～</item>
      </candidateList>
      <explain>文本全半角错误。</explain>
      <paraID>7172C8DF</paraID>
      <start>3</start>
      <end>4</end>
      <status>unmodified</status>
      <modifiedWord/>
      <trackRevisions>false</trackRevisions>
    </reviewItem>
    <reviewItem>
      <errorID>b7018793-6834-4cf7-bf95-1776da5d6961</errorID>
      <errorWord>，</errorWord>
      <group>L1_Word</group>
      <groupName>字词问题</groupName>
      <ability>L2_Typo</ability>
      <abilityName>字词错误</abilityName>
      <candidateList>
        <item>，在</item>
      </candidateList>
      <explain/>
      <paraID>4589D5EB</paraID>
      <start>84</start>
      <end>86</end>
      <status>modified</status>
      <modifiedWord>，在</modifiedWord>
      <trackRevisions>false</trackRevisions>
    </reviewItem>
    <reviewItem>
      <errorID>98efe8e5-24eb-4dcd-a04c-1eb5e489167c</errorID>
      <errorWord>（</errorWord>
      <group>L1_Format</group>
      <groupName>格式问题</groupName>
      <ability>L2_HalfPunc_CN</ability>
      <abilityName>全半角问题</abilityName>
      <candidateList>
        <item>(</item>
      </candidateList>
      <explain>文本全半角错误。</explain>
      <paraID>37382486</paraID>
      <start>11</start>
      <end>12</end>
      <status>unmodified</status>
      <modifiedWord/>
      <trackRevisions>false</trackRevisions>
    </reviewItem>
    <reviewItem>
      <errorID>c997af0e-e892-4af8-9cc2-21747d49126f</errorID>
      <errorWord>）</errorWord>
      <group>L1_Format</group>
      <groupName>格式问题</groupName>
      <ability>L2_HalfPunc_CN</ability>
      <abilityName>全半角问题</abilityName>
      <candidateList>
        <item>)</item>
      </candidateList>
      <explain>文本全半角错误。</explain>
      <paraID>37382486</paraID>
      <start>13</start>
      <end>14</end>
      <status>unmodified</status>
      <modifiedWord/>
      <trackRevisions>false</trackRevisions>
    </reviewItem>
    <reviewItem>
      <errorID>598b519b-91fc-4c05-87a2-18de8aa0eb17</errorID>
      <errorWord>（</errorWord>
      <group>L1_Format</group>
      <groupName>格式问题</groupName>
      <ability>L2_HalfPunc_CN</ability>
      <abilityName>全半角问题</abilityName>
      <candidateList>
        <item>(</item>
      </candidateList>
      <explain>文本全半角错误。</explain>
      <paraID> C21A30E</paraID>
      <start>27</start>
      <end>28</end>
      <status>unmodified</status>
      <modifiedWord/>
      <trackRevisions>false</trackRevisions>
    </reviewItem>
    <reviewItem>
      <errorID>fa84b9fc-7057-4f15-a36e-2826edf6369c</errorID>
      <errorWord>）</errorWord>
      <group>L1_Format</group>
      <groupName>格式问题</groupName>
      <ability>L2_HalfPunc_CN</ability>
      <abilityName>全半角问题</abilityName>
      <candidateList>
        <item>)</item>
      </candidateList>
      <explain>文本全半角错误。</explain>
      <paraID> C21A30E</paraID>
      <start>29</start>
      <end>30</end>
      <status>unmodified</status>
      <modifiedWord/>
      <trackRevisions>false</trackRevisions>
    </reviewItem>
    <reviewItem>
      <errorID>5e019b76-f377-4d21-b949-fd02b0fad0a4</errorID>
      <errorWord>（</errorWord>
      <group>L1_Format</group>
      <groupName>格式问题</groupName>
      <ability>L2_HalfPunc_CN</ability>
      <abilityName>全半角问题</abilityName>
      <candidateList>
        <item>(</item>
      </candidateList>
      <explain>文本全半角错误。</explain>
      <paraID> 9769E68</paraID>
      <start>13</start>
      <end>14</end>
      <status>unmodified</status>
      <modifiedWord/>
      <trackRevisions>false</trackRevisions>
    </reviewItem>
    <reviewItem>
      <errorID>5f45855f-da04-4e61-a2fb-060f7dc83564</errorID>
      <errorWord>）</errorWord>
      <group>L1_Format</group>
      <groupName>格式问题</groupName>
      <ability>L2_HalfPunc_CN</ability>
      <abilityName>全半角问题</abilityName>
      <candidateList>
        <item>)</item>
      </candidateList>
      <explain>文本全半角错误。</explain>
      <paraID> 9769E68</paraID>
      <start>15</start>
      <end>16</end>
      <status>unmodified</status>
      <modifiedWord/>
      <trackRevisions>false</trackRevisions>
    </reviewItem>
    <reviewItem>
      <errorID>afad0809-7c69-482d-b8b7-8853ca11338c</errorID>
      <errorWord>（</errorWord>
      <group>L1_Format</group>
      <groupName>格式问题</groupName>
      <ability>L2_HalfPunc_CN</ability>
      <abilityName>全半角问题</abilityName>
      <candidateList>
        <item>(</item>
      </candidateList>
      <explain>文本全半角错误。</explain>
      <paraID>541FB815</paraID>
      <start>24</start>
      <end>25</end>
      <status>unmodified</status>
      <modifiedWord/>
      <trackRevisions>false</trackRevisions>
    </reviewItem>
    <reviewItem>
      <errorID>9bebbe39-953e-4f40-b920-d23ff5113bec</errorID>
      <errorWord>）</errorWord>
      <group>L1_Format</group>
      <groupName>格式问题</groupName>
      <ability>L2_HalfPunc_CN</ability>
      <abilityName>全半角问题</abilityName>
      <candidateList>
        <item>)</item>
      </candidateList>
      <explain>文本全半角错误。</explain>
      <paraID>541FB815</paraID>
      <start>26</start>
      <end>27</end>
      <status>unmodified</status>
      <modifiedWord/>
      <trackRevisions>false</trackRevisions>
    </reviewItem>
    <reviewItem>
      <errorID>08f85925-0633-491f-a5a6-b811e1b29720</errorID>
      <errorWord>（</errorWord>
      <group>L1_Format</group>
      <groupName>格式问题</groupName>
      <ability>L2_HalfPunc_CN</ability>
      <abilityName>全半角问题</abilityName>
      <candidateList>
        <item>(</item>
      </candidateList>
      <explain>文本全半角错误。</explain>
      <paraID>2A5B67BB</paraID>
      <start>28</start>
      <end>29</end>
      <status>unmodified</status>
      <modifiedWord/>
      <trackRevisions>false</trackRevisions>
    </reviewItem>
    <reviewItem>
      <errorID>5f3e04e0-edea-461f-9baa-e077c3d09f51</errorID>
      <errorWord>）</errorWord>
      <group>L1_Format</group>
      <groupName>格式问题</groupName>
      <ability>L2_HalfPunc_CN</ability>
      <abilityName>全半角问题</abilityName>
      <candidateList>
        <item>)</item>
      </candidateList>
      <explain>文本全半角错误。</explain>
      <paraID>2A5B67BB</paraID>
      <start>30</start>
      <end>31</end>
      <status>unmodified</status>
      <modifiedWord/>
      <trackRevisions>false</trackRevisions>
    </reviewItem>
    <reviewItem>
      <errorID>5b088611-0a00-4e5a-9025-652210a031bf</errorID>
      <errorWord>（</errorWord>
      <group>L1_Format</group>
      <groupName>格式问题</groupName>
      <ability>L2_HalfPunc_CN</ability>
      <abilityName>全半角问题</abilityName>
      <candidateList>
        <item>(</item>
      </candidateList>
      <explain>文本全半角错误。</explain>
      <paraID>5EF9662B</paraID>
      <start>20</start>
      <end>21</end>
      <status>unmodified</status>
      <modifiedWord/>
      <trackRevisions>false</trackRevisions>
    </reviewItem>
    <reviewItem>
      <errorID>bcceb666-e47b-4cbe-8456-58f65f956d15</errorID>
      <errorWord>）</errorWord>
      <group>L1_Format</group>
      <groupName>格式问题</groupName>
      <ability>L2_HalfPunc_CN</ability>
      <abilityName>全半角问题</abilityName>
      <candidateList>
        <item>)</item>
      </candidateList>
      <explain>文本全半角错误。</explain>
      <paraID>5EF9662B</paraID>
      <start>22</start>
      <end>23</end>
      <status>unmodified</status>
      <modifiedWord/>
      <trackRevisions>false</trackRevisions>
    </reviewItem>
    <reviewItem>
      <errorID>4f1e9b40-8bf6-4a07-9d53-957692f716d4</errorID>
      <errorWord>（</errorWord>
      <group>L1_Format</group>
      <groupName>格式问题</groupName>
      <ability>L2_HalfPunc_CN</ability>
      <abilityName>全半角问题</abilityName>
      <candidateList>
        <item>(</item>
      </candidateList>
      <explain>文本全半角错误。</explain>
      <paraID>336BF63E</paraID>
      <start>20</start>
      <end>21</end>
      <status>unmodified</status>
      <modifiedWord/>
      <trackRevisions>false</trackRevisions>
    </reviewItem>
    <reviewItem>
      <errorID>dec7697b-dc27-4e14-8843-a281b873fdf3</errorID>
      <errorWord>）</errorWord>
      <group>L1_Format</group>
      <groupName>格式问题</groupName>
      <ability>L2_HalfPunc_CN</ability>
      <abilityName>全半角问题</abilityName>
      <candidateList>
        <item>)</item>
      </candidateList>
      <explain>文本全半角错误。</explain>
      <paraID>336BF63E</paraID>
      <start>22</start>
      <end>23</end>
      <status>unmodified</status>
      <modifiedWord/>
      <trackRevisions>false</trackRevisions>
    </reviewItem>
    <reviewItem>
      <errorID>7560a3e0-bdda-4a35-b85d-9a0dea557897</errorID>
      <errorWord>实际情况做</errorWord>
      <group>L1_Word</group>
      <groupName>字词问题</groupName>
      <ability>L2_Typo</ability>
      <abilityName>字词错误</abilityName>
      <candidateList>
        <item>实际情况作</item>
      </candidateList>
      <explain/>
      <paraID>6CA66D80</paraID>
      <start>23</start>
      <end>28</end>
      <status>modified</status>
      <modifiedWord>实际情况作</modifiedWord>
      <trackRevisions>false</trackRevisions>
    </reviewItem>
    <reviewItem>
      <errorID>31fcb359-14d5-4cda-83ec-40c02d0380af</errorID>
      <errorWord>有效的控制</errorWord>
      <group>L1_Word</group>
      <groupName>字词问题</groupName>
      <ability>L2_Typo</ability>
      <abilityName>字词错误</abilityName>
      <candidateList>
        <item>有效地控制</item>
      </candidateList>
      <explain/>
      <paraID>19D8E3A4</paraID>
      <start>10</start>
      <end>15</end>
      <status>modified</status>
      <modifiedWord>有效地控制</modifiedWord>
      <trackRevisions>false</trackRevisions>
    </reviewItem>
    <reviewItem>
      <errorID>6868f1ca-3bde-4d4f-b77f-73ec1792dd3d</errorID>
      <errorWord>(</errorWord>
      <group>L1_Format</group>
      <groupName>格式问题</groupName>
      <ability>L2_HalfPunc_CN</ability>
      <abilityName>全半角问题</abilityName>
      <candidateList>
        <item>（</item>
      </candidateList>
      <explain>文本全半角错误。</explain>
      <paraID>4F659E5A</paraID>
      <start>44</start>
      <end>45</end>
      <status>unmodified</status>
      <modifiedWord/>
      <trackRevisions>false</trackRevisions>
    </reviewItem>
    <reviewItem>
      <errorID>4207bc7b-8fa1-47e5-a2ec-bf3ee87701c6</errorID>
      <errorWord>)</errorWord>
      <group>L1_Format</group>
      <groupName>格式问题</groupName>
      <ability>L2_HalfPunc_CN</ability>
      <abilityName>全半角问题</abilityName>
      <candidateList>
        <item>）</item>
      </candidateList>
      <explain>文本全半角错误。</explain>
      <paraID>4F659E5A</paraID>
      <start>63</start>
      <end>64</end>
      <status>unmodified</status>
      <modifiedWord/>
      <trackRevisions>false</trackRevisions>
    </reviewItem>
    <reviewItem>
      <errorID>bb409c1b-07fd-4416-91b1-c4377fbc08e4</errorID>
      <errorWord>（</errorWord>
      <group>L1_Format</group>
      <groupName>格式问题</groupName>
      <ability>L2_HalfPunc_CN</ability>
      <abilityName>全半角问题</abilityName>
      <candidateList>
        <item>(</item>
      </candidateList>
      <explain>文本全半角错误。</explain>
      <paraID>7A28B7C1</paraID>
      <start>0</start>
      <end>1</end>
      <status>unmodified</status>
      <modifiedWord/>
      <trackRevisions>false</trackRevisions>
    </reviewItem>
    <reviewItem>
      <errorID>8600cd20-791d-4faa-958a-910b126371ed</errorID>
      <errorWord>）</errorWord>
      <group>L1_Format</group>
      <groupName>格式问题</groupName>
      <ability>L2_HalfPunc_CN</ability>
      <abilityName>全半角问题</abilityName>
      <candidateList>
        <item>)</item>
      </candidateList>
      <explain>文本全半角错误。</explain>
      <paraID>7A28B7C1</paraID>
      <start>5</start>
      <end>6</end>
      <status>unmodified</status>
      <modifiedWord/>
      <trackRevisions>false</trackRevisions>
    </reviewItem>
    <reviewItem>
      <errorID>3b8e6d0c-162d-4df0-bace-068f4e6d4441</errorID>
      <errorWord>（</errorWord>
      <group>L1_Format</group>
      <groupName>格式问题</groupName>
      <ability>L2_HalfPunc_CN</ability>
      <abilityName>全半角问题</abilityName>
      <candidateList>
        <item>(</item>
      </candidateList>
      <explain>文本全半角错误。</explain>
      <paraID>2A43A7BF</paraID>
      <start>0</start>
      <end>1</end>
      <status>unmodified</status>
      <modifiedWord/>
      <trackRevisions>false</trackRevisions>
    </reviewItem>
    <reviewItem>
      <errorID>db763a03-31b3-404f-a690-606f7d8a1fe5</errorID>
      <errorWord>）</errorWord>
      <group>L1_Format</group>
      <groupName>格式问题</groupName>
      <ability>L2_HalfPunc_CN</ability>
      <abilityName>全半角问题</abilityName>
      <candidateList>
        <item>)</item>
      </candidateList>
      <explain>文本全半角错误。</explain>
      <paraID>2A43A7BF</paraID>
      <start>5</start>
      <end>6</end>
      <status>unmodified</status>
      <modifiedWord/>
      <trackRevisions>false</trackRevisions>
    </reviewItem>
    <reviewItem>
      <errorID>6d6d3b1a-4d4f-4be4-90ea-7cfe0952cb2d</errorID>
      <errorWord>、等</errorWord>
      <group>L1_Punc</group>
      <groupName>标点问题</groupName>
      <ability>L2_Punc_CN</ability>
      <abilityName>标点符号问题</abilityName>
      <candidateList>
        <item>等</item>
      </candidateList>
      <explain>“及”“和”“等”连词前不宜使用顿号，建议删除（或使用逗号）。</explain>
      <paraID>19294DE3</paraID>
      <start>56</start>
      <end>57</end>
      <status>modified</status>
      <modifiedWord>等</modifiedWord>
      <trackRevisions>false</trackRevisions>
    </reviewItem>
    <reviewItem>
      <errorID>457b6a42-4fb8-4d94-aaaf-9485c4f56dc3</errorID>
      <errorWord>（</errorWord>
      <group>L1_Format</group>
      <groupName>格式问题</groupName>
      <ability>L2_HalfPunc_CN</ability>
      <abilityName>全半角问题</abilityName>
      <candidateList>
        <item>(</item>
      </candidateList>
      <explain>文本全半角错误。</explain>
      <paraID>71A0DF7F</paraID>
      <start>0</start>
      <end>1</end>
      <status>unmodified</status>
      <modifiedWord/>
      <trackRevisions>false</trackRevisions>
    </reviewItem>
    <reviewItem>
      <errorID>d0a2e1c6-44ec-4755-896e-c3a810424337</errorID>
      <errorWord>）</errorWord>
      <group>L1_Format</group>
      <groupName>格式问题</groupName>
      <ability>L2_HalfPunc_CN</ability>
      <abilityName>全半角问题</abilityName>
      <candidateList>
        <item>)</item>
      </candidateList>
      <explain>文本全半角错误。</explain>
      <paraID>71A0DF7F</paraID>
      <start>9</start>
      <end>10</end>
      <status>unmodified</status>
      <modifiedWord/>
      <trackRevisions>false</trackRevisions>
    </reviewItem>
    <reviewItem>
      <errorID>56094de8-2b0c-4735-8c35-ec5748feb04d</errorID>
      <errorWord>（；</errorWord>
      <group>L1_Punc</group>
      <groupName>标点问题</groupName>
      <ability>L2_Punc_CN</ability>
      <abilityName>标点符号问题</abilityName>
      <candidateList>
        <item>（</item>
      </candidateList>
      <explain/>
      <paraID>3F36D6E7</paraID>
      <start>4</start>
      <end>6</end>
      <status>unmodified</status>
      <modifiedWord/>
      <trackRevisions>false</trackRevisions>
    </reviewItem>
    <reviewItem>
      <errorID>88221aa1-731c-4d73-87e3-2664898fb060</errorID>
      <errorWord>（；</errorWord>
      <group>L1_Punc</group>
      <groupName>标点问题</groupName>
      <ability>L2_Punc_CN</ability>
      <abilityName>标点符号问题</abilityName>
      <candidateList>
        <item>（</item>
      </candidateList>
      <explain/>
      <paraID>3F36D6E7</paraID>
      <start>16</start>
      <end>18</end>
      <status>unmodified</status>
      <modifiedWord/>
      <trackRevisions>false</trackRevisions>
    </reviewItem>
    <reviewItem>
      <errorID>ee3dc09d-8ac0-4c1e-a823-f395f4f4ec7d</errorID>
      <errorWord>（；</errorWord>
      <group>L1_Punc</group>
      <groupName>标点问题</groupName>
      <ability>L2_Punc_CN</ability>
      <abilityName>标点符号问题</abilityName>
      <candidateList>
        <item>（</item>
      </candidateList>
      <explain/>
      <paraID>6E22CE6D</paraID>
      <start>6</start>
      <end>8</end>
      <status>unmodified</status>
      <modifiedWord/>
      <trackRevisions>false</trackRevisions>
    </reviewItem>
    <reviewItem>
      <errorID>8e365781-7141-4214-aabf-dfc55579cb67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542FF6B4</paraID>
      <start>12</start>
      <end>13</end>
      <status>unmodified</status>
      <modifiedWord/>
      <trackRevisions>false</trackRevisions>
    </reviewItem>
    <reviewItem>
      <errorID>9fc9bfc5-9090-47e5-ad7f-d8001bef6c6c</errorID>
      <errorWord>（；</errorWord>
      <group>L1_Punc</group>
      <groupName>标点问题</groupName>
      <ability>L2_Punc_CN</ability>
      <abilityName>标点符号问题</abilityName>
      <candidateList>
        <item>（</item>
      </candidateList>
      <explain/>
      <paraID>48C55678</paraID>
      <start>6</start>
      <end>8</end>
      <status>unmodified</status>
      <modifiedWord/>
      <trackRevisions>false</trackRevisions>
    </reviewItem>
    <reviewItem>
      <errorID>d52902b4-9931-4bac-b829-36d02dd638ea</errorID>
      <errorWord>）</errorWord>
      <group>L1_Format</group>
      <groupName>格式问题</groupName>
      <ability>L2_HalfPunc_CN</ability>
      <abilityName>全半角问题</abilityName>
      <candidateList>
        <item>)</item>
      </candidateList>
      <explain>文本全半角错误。</explain>
      <paraID>3D3C9B18</paraID>
      <start>1</start>
      <end>2</end>
      <status>unmodified</status>
      <modifiedWord/>
      <trackRevisions>false</trackRevisions>
    </reviewItem>
    <reviewItem>
      <errorID>751bec9a-13d6-4f80-8557-6be7b5ca8734</errorID>
      <errorWord>（；</errorWord>
      <group>L1_Punc</group>
      <groupName>标点问题</groupName>
      <ability>L2_Punc_CN</ability>
      <abilityName>标点符号问题</abilityName>
      <candidateList>
        <item>（</item>
      </candidateList>
      <explain/>
      <paraID>3D3C9B18</paraID>
      <start>3</start>
      <end>5</end>
      <status>unmodified</status>
      <modifiedWord/>
      <trackRevisions>false</trackRevisions>
    </reviewItem>
    <reviewItem>
      <errorID>a95c2bbb-7ef9-4bff-bc64-cb3f5b23dfcb</errorID>
      <errorWord>）</errorWord>
      <group>L1_Format</group>
      <groupName>格式问题</groupName>
      <ability>L2_HalfPunc_CN</ability>
      <abilityName>全半角问题</abilityName>
      <candidateList>
        <item>)</item>
      </candidateList>
      <explain>文本全半角错误。</explain>
      <paraID>3D3C9B18</paraID>
      <start>6</start>
      <end>7</end>
      <status>unmodified</status>
      <modifiedWord/>
      <trackRevisions>false</trackRevisions>
    </reviewItem>
    <reviewItem>
      <errorID>e4f2349c-acae-4f8a-ad36-ffed93014426</errorID>
      <errorWord>（；</errorWord>
      <group>L1_Punc</group>
      <groupName>标点问题</groupName>
      <ability>L2_Punc_CN</ability>
      <abilityName>标点符号问题</abilityName>
      <candidateList>
        <item>（</item>
      </candidateList>
      <explain/>
      <paraID>3D3C9B18</paraID>
      <start>8</start>
      <end>10</end>
      <status>unmodified</status>
      <modifiedWord/>
      <trackRevisions>false</trackRevisions>
    </reviewItem>
    <reviewItem>
      <errorID>4df87122-7a27-45f2-85ed-6e646d2442e7</errorID>
      <errorWord>）</errorWord>
      <group>L1_Format</group>
      <groupName>格式问题</groupName>
      <ability>L2_HalfPunc_CN</ability>
      <abilityName>全半角问题</abilityName>
      <candidateList>
        <item>)</item>
      </candidateList>
      <explain>文本全半角错误。</explain>
      <paraID>3D3C9B18</paraID>
      <start>11</start>
      <end>12</end>
      <status>unmodified</status>
      <modifiedWord/>
      <trackRevisions>false</trackRevisions>
    </reviewItem>
    <reviewItem>
      <errorID>d5dc8fd6-bb5c-4d8c-8d7e-fc4defe00ac8</errorID>
      <errorWord>（；</errorWord>
      <group>L1_Punc</group>
      <groupName>标点问题</groupName>
      <ability>L2_Punc_CN</ability>
      <abilityName>标点符号问题</abilityName>
      <candidateList>
        <item>（</item>
      </candidateList>
      <explain/>
      <paraID>3D3C9B18</paraID>
      <start>13</start>
      <end>15</end>
      <status>unmodified</status>
      <modifiedWord/>
      <trackRevisions>false</trackRevisions>
    </reviewItem>
    <reviewItem>
      <errorID>30542329-f98a-404e-b9f0-e54a2d02a6e6</errorID>
      <errorWord>）</errorWord>
      <group>L1_Format</group>
      <groupName>格式问题</groupName>
      <ability>L2_HalfPunc_CN</ability>
      <abilityName>全半角问题</abilityName>
      <candidateList>
        <item>)</item>
      </candidateList>
      <explain>文本全半角错误。</explain>
      <paraID>3D3C9B18</paraID>
      <start>16</start>
      <end>17</end>
      <status>unmodified</status>
      <modifiedWord/>
      <trackRevisions>false</trackRevisions>
    </reviewItem>
    <reviewItem>
      <errorID>048629f2-c6f4-490d-b797-9b79ec5019ad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3D3C9B18</paraID>
      <start>18</start>
      <end>19</end>
      <status>unmodified</status>
      <modifiedWord/>
      <trackRevisions>false</trackRevisions>
    </reviewItem>
    <reviewItem>
      <errorID>4e682645-0e55-4937-b5e5-e28138750b59</errorID>
      <errorWord>（；</errorWord>
      <group>L1_Punc</group>
      <groupName>标点问题</groupName>
      <ability>L2_Punc_CN</ability>
      <abilityName>标点符号问题</abilityName>
      <candidateList>
        <item>（</item>
      </candidateList>
      <explain/>
      <paraID>34CB6FC0</paraID>
      <start>8</start>
      <end>10</end>
      <status>unmodified</status>
      <modifiedWord/>
      <trackRevisions>false</trackRevisions>
    </reviewItem>
    <reviewItem>
      <errorID>9e29f84d-4107-490f-a9ea-0e384780e20d</errorID>
      <errorWord>（；</errorWord>
      <group>L1_Punc</group>
      <groupName>标点问题</groupName>
      <ability>L2_Punc_CN</ability>
      <abilityName>标点符号问题</abilityName>
      <candidateList>
        <item>（</item>
      </candidateList>
      <explain/>
      <paraID>34CB6FC0</paraID>
      <start>18</start>
      <end>20</end>
      <status>unmodified</status>
      <modifiedWord/>
      <trackRevisions>false</trackRevisions>
    </reviewItem>
    <reviewItem>
      <errorID>c7a8cfb9-3781-4297-b342-bd3fd476e01e</errorID>
      <errorWord>（；</errorWord>
      <group>L1_Punc</group>
      <groupName>标点问题</groupName>
      <ability>L2_Punc_CN</ability>
      <abilityName>标点符号问题</abilityName>
      <candidateList>
        <item>（</item>
      </candidateList>
      <explain/>
      <paraID>34CB6FC0</paraID>
      <start>32</start>
      <end>34</end>
      <status>unmodified</status>
      <modifiedWord/>
      <trackRevisions>false</trackRevisions>
    </reviewItem>
    <reviewItem>
      <errorID>c132330f-48bd-469d-9a68-2fac1a90d05e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37A2ADE1</paraID>
      <start>21</start>
      <end>22</end>
      <status>unmodified</status>
      <modifiedWord/>
      <trackRevisions>false</trackRevisions>
    </reviewItem>
    <reviewItem>
      <errorID>39b329d8-f54a-4e0d-99b3-6449095148b6</errorID>
      <errorWord>地下水水资源</errorWord>
      <group>L1_Political</group>
      <groupName>政治性问题</groupName>
      <ability>L2_Unpolitical</ability>
      <abilityName>政治敏感错误</abilityName>
      <candidateList>
        <item>地下水资源</item>
      </candidateList>
      <explain/>
      <paraID>28074E5B</paraID>
      <start>13</start>
      <end>19</end>
      <status>unmodified</status>
      <modifiedWord/>
      <trackRevisions>false</trackRevisions>
    </reviewItem>
    <reviewItem>
      <errorID>f2460376-677d-47c7-8019-dcbfb355e060</errorID>
      <errorWord>、</errorWord>
      <group>L1_Punc</group>
      <groupName>标点问题</groupName>
      <ability>L2_Punc_CN</ability>
      <abilityName>标点符号问题</abilityName>
      <candidateList>
        <item>.</item>
      </candidateList>
      <explain/>
      <paraID> 10C6AAF</paraID>
      <start>1</start>
      <end>2</end>
      <status>unmodified</status>
      <modifiedWord/>
      <trackRevisions>false</trackRevisions>
    </reviewItem>
    <reviewItem>
      <errorID>d90c2efc-b986-4901-b013-f8a4176a161c</errorID>
      <errorWord>、</errorWord>
      <group>L1_Punc</group>
      <groupName>标点问题</groupName>
      <ability>L2_Punc_CN</ability>
      <abilityName>标点符号问题</abilityName>
      <candidateList>
        <item>.</item>
      </candidateList>
      <explain/>
      <paraID>42E90BDF</paraID>
      <start>1</start>
      <end>2</end>
      <status>unmodified</status>
      <modifiedWord/>
      <trackRevisions>false</trackRevisions>
    </reviewItem>
    <reviewItem>
      <errorID>1c75250c-53a4-4a4c-acd9-d472a8dafc1e</errorID>
      <errorWord>（</errorWord>
      <group>L1_Punc</group>
      <groupName>标点问题</groupName>
      <ability>L2_Punc_CN</ability>
      <abilityName>标点符号问题</abilityName>
      <candidateList/>
      <explain>同一形式括号套用。</explain>
      <paraID>5A6BA517</paraID>
      <start>69</start>
      <end>70</end>
      <status>unmodified</status>
      <modifiedWord/>
      <trackRevisions>false</trackRevisions>
    </reviewItem>
    <reviewItem>
      <errorID>05ca6e3f-d1f9-47d8-976d-2905c8d5774e</errorID>
      <errorWord>）</errorWord>
      <group>L1_Punc</group>
      <groupName>标点问题</groupName>
      <ability>L2_Punc_CN</ability>
      <abilityName>标点符号问题</abilityName>
      <candidateList/>
      <explain>同一形式括号套用。</explain>
      <paraID>5A6BA517</paraID>
      <start>81</start>
      <end>82</end>
      <status>unmodified</status>
      <modifiedWord/>
      <trackRevisions>false</trackRevisions>
    </reviewItem>
    <reviewItem>
      <errorID>87495c7a-e490-4792-95c1-5f01fbbc3fab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794E8A37</paraID>
      <start>0</start>
      <end>1</end>
      <status>unmodified</status>
      <modifiedWord/>
      <trackRevisions>false</trackRevisions>
    </reviewItem>
    <reviewItem>
      <errorID>5555d50c-d567-4dc4-ba5d-2060b3614fe5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55429F0D</paraID>
      <start>20</start>
      <end>21</end>
      <status>unmodified</status>
      <modifiedWord/>
      <trackRevisions>false</trackRevisions>
    </reviewItem>
    <reviewItem>
      <errorID>6a0fcbeb-7bc6-419f-95c6-2c79cb71363e</errorID>
      <errorWord>碳排放管控</errorWord>
      <group>L1_Political</group>
      <groupName>政治性问题</groupName>
      <ability>L2_Keyword</ability>
      <abilityName>固定表述</abilityName>
      <candidateList>
        <item>碳排放双控</item>
      </candidateList>
      <explain>词汇“碳排放双控”在特定场景下为固定表述形式，请确认此处的“碳排放管控”是否存在不当。</explain>
      <paraID>68CA7029</paraID>
      <start>41</start>
      <end>46</end>
      <status>unmodified</status>
      <modifiedWord/>
      <trackRevisions>false</trackRevisions>
    </reviewItem>
    <reviewItem>
      <errorID>39832a1b-89bb-4919-a09e-b2b0d072a725</errorID>
      <errorWord>粘附</errorWord>
      <group>L1_Word</group>
      <groupName>字词问题</groupName>
      <ability>L2_Alias</ability>
      <abilityName>也作/曾用词</abilityName>
      <candidateList>
        <item>黏附</item>
      </candidateList>
      <explain>词汇[粘附]为不规范表述或旧称，其规范书面表述为[黏附]。</explain>
      <paraID>2EB316CC</paraID>
      <start>89</start>
      <end>91</end>
      <status>modified</status>
      <modifiedWord>黏附</modifiedWord>
      <trackRevisions>false</trackRevisions>
    </reviewItem>
    <reviewItem>
      <errorID>0bc3c77a-3ce9-4136-8f8e-62cadd3a931c</errorID>
      <errorWord>粘附</errorWord>
      <group>L1_Word</group>
      <groupName>字词问题</groupName>
      <ability>L2_Alias</ability>
      <abilityName>也作/曾用词</abilityName>
      <candidateList>
        <item>黏附</item>
      </candidateList>
      <explain>词汇[粘附]为不规范表述或旧称，其规范书面表述为[黏附]。</explain>
      <paraID>4E781C3C</paraID>
      <start>122</start>
      <end>124</end>
      <status>modified</status>
      <modifiedWord>黏附</modifiedWord>
      <trackRevisions>false</trackRevisions>
    </reviewItem>
    <reviewItem>
      <errorID>0d45d131-5a14-4dee-ac64-3e9bec9fed75</errorID>
      <errorWord>。，</errorWord>
      <group>L1_Punc</group>
      <groupName>标点问题</groupName>
      <ability>L2_Punc_CN</ability>
      <abilityName>标点符号问题</abilityName>
      <candidateList>
        <item>。</item>
      </candidateList>
      <explain/>
      <paraID>65648076</paraID>
      <start>259</start>
      <end>261</end>
      <status>unmodified</status>
      <modifiedWord/>
      <trackRevisions>false</trackRevisions>
    </reviewItem>
    <reviewItem>
      <errorID>0d159c60-ebe7-4001-802a-242839b41097</errorID>
      <errorWord>（</errorWord>
      <group>L1_Punc</group>
      <groupName>标点问题</groupName>
      <ability>L2_Punc_CN</ability>
      <abilityName>标点符号问题</abilityName>
      <candidateList/>
      <explain>同一形式括号套用。</explain>
      <paraID>3A850523</paraID>
      <start>183</start>
      <end>184</end>
      <status>unmodified</status>
      <modifiedWord/>
      <trackRevisions>false</trackRevisions>
    </reviewItem>
    <reviewItem>
      <errorID>f82fae3e-3e7e-4491-9ed2-7c7e1a056f65</errorID>
      <errorWord>）</errorWord>
      <group>L1_Punc</group>
      <groupName>标点问题</groupName>
      <ability>L2_Punc_CN</ability>
      <abilityName>标点符号问题</abilityName>
      <candidateList/>
      <explain>同一形式括号套用。</explain>
      <paraID>3A850523</paraID>
      <start>187</start>
      <end>188</end>
      <status>unmodified</status>
      <modifiedWord/>
      <trackRevisions>false</trackRevisions>
    </reviewItem>
    <reviewItem>
      <errorID>abfae5f7-0e18-4676-a69c-22d4d00e2f28</errorID>
      <errorWord>（</errorWord>
      <group>L1_Punc</group>
      <groupName>标点问题</groupName>
      <ability>L2_Punc_CN</ability>
      <abilityName>标点符号问题</abilityName>
      <candidateList/>
      <explain>同一形式括号套用。</explain>
      <paraID>68040962</paraID>
      <start>192</start>
      <end>193</end>
      <status>unmodified</status>
      <modifiedWord/>
      <trackRevisions>false</trackRevisions>
    </reviewItem>
    <reviewItem>
      <errorID>02e21d65-65f4-4a88-8fec-324887a3f53b</errorID>
      <errorWord>）</errorWord>
      <group>L1_Punc</group>
      <groupName>标点问题</groupName>
      <ability>L2_Punc_CN</ability>
      <abilityName>标点符号问题</abilityName>
      <candidateList/>
      <explain>同一形式括号套用。</explain>
      <paraID>68040962</paraID>
      <start>196</start>
      <end>197</end>
      <status>unmodified</status>
      <modifiedWord/>
      <trackRevisions>false</trackRevisions>
    </reviewItem>
    <reviewItem>
      <errorID>4f08da36-b037-4d91-ba51-0294b64ead0b</errorID>
      <errorWord>采样</errorWord>
      <group>L1_Word</group>
      <groupName>字词问题</groupName>
      <ability>L2_Typo</ability>
      <abilityName>字词错误</abilityName>
      <candidateList>
        <item>采用</item>
      </candidateList>
      <explain/>
      <paraID>73AC67A1</paraID>
      <start>12</start>
      <end>14</end>
      <status>modified</status>
      <modifiedWord>采用</modifiedWord>
      <trackRevisions>false</trackRevisions>
    </reviewItem>
    <reviewItem>
      <errorID>cabd57e5-2b5e-4e0a-8396-1f16094f4079</errorID>
      <errorWord>）要</errorWord>
      <group>L1_Word</group>
      <groupName>字词问题</groupName>
      <ability>L2_Typo</ability>
      <abilityName>字词错误</abilityName>
      <candidateList>
        <item>）</item>
      </candidateList>
      <explain/>
      <paraID>5A192575</paraID>
      <start>2</start>
      <end>3</end>
      <status>modified</status>
      <modifiedWord>）</modifiedWord>
      <trackRevisions>false</trackRevisions>
    </reviewItem>
    <reviewItem>
      <errorID>f478ddb0-8e18-435a-8eed-6eb5beedba15</errorID>
      <errorWord>）要</errorWord>
      <group>L1_Word</group>
      <groupName>字词问题</groupName>
      <ability>L2_Typo</ability>
      <abilityName>字词错误</abilityName>
      <candidateList>
        <item>）</item>
      </candidateList>
      <explain/>
      <paraID>1409C51F</paraID>
      <start>2</start>
      <end>3</end>
      <status>modified</status>
      <modifiedWord>）</modifiedWord>
      <trackRevisions>false</trackRevisions>
    </reviewItem>
    <reviewItem>
      <errorID>d9df7b0e-5e74-43a0-b50e-7a8ebaba572f</errorID>
      <errorWord>减量化、资源化和无害化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词汇“减量化、资源化、无害化”在特定场景下为固定表述形式，请确认此处的“减量化、资源化和无害化”是否存在不当。</explain>
      <paraID> 8062318</paraID>
      <start>16</start>
      <end>27</end>
      <status>unmodified</status>
      <modifiedWord/>
      <trackRevisions>false</trackRevisions>
    </reviewItem>
    <reviewItem>
      <errorID>1a9a79b0-e0fd-4b01-9e38-24299e085aff</errorID>
      <errorWord>胶粘剂</errorWord>
      <group>L1_Word</group>
      <groupName>字词问题</groupName>
      <ability>L2_Typo</ability>
      <abilityName>字词错误</abilityName>
      <candidateList>
        <item>胶黏剂</item>
      </candidateList>
      <explain/>
      <paraID>349F89FE</paraID>
      <start>42</start>
      <end>45</end>
      <status>ignored</status>
      <modifiedWord/>
      <trackRevisions>false</trackRevisions>
    </reviewItem>
    <reviewItem>
      <errorID>dc9a7a9e-a4e1-42fa-8973-8e385180c03a</errorID>
      <errorWord>胶粘剂</errorWord>
      <group>L1_Word</group>
      <groupName>字词问题</groupName>
      <ability>L2_Typo</ability>
      <abilityName>字词错误</abilityName>
      <candidateList>
        <item>胶黏剂</item>
      </candidateList>
      <explain/>
      <paraID>5E640C28</paraID>
      <start>12</start>
      <end>15</end>
      <status>ignored</status>
      <modifiedWord/>
      <trackRevisions>false</trackRevisions>
    </reviewItem>
    <reviewItem>
      <errorID>7c4d598f-fef2-4552-a282-dac3090b4d2c</errorID>
      <errorWord>（</errorWord>
      <group>L1_Punc</group>
      <groupName>标点问题</groupName>
      <ability>L2_Punc_CN</ability>
      <abilityName>标点符号问题</abilityName>
      <candidateList/>
      <explain>同一形式括号套用。</explain>
      <paraID>21BFBBBE</paraID>
      <start>58</start>
      <end>59</end>
      <status>unmodified</status>
      <modifiedWord/>
      <trackRevisions>false</trackRevisions>
    </reviewItem>
    <reviewItem>
      <errorID>3f0b6dbb-69c3-44ad-b47c-8a11c3710dd3</errorID>
      <errorWord>）</errorWord>
      <group>L1_Punc</group>
      <groupName>标点问题</groupName>
      <ability>L2_Punc_CN</ability>
      <abilityName>标点符号问题</abilityName>
      <candidateList/>
      <explain>同一形式括号套用。</explain>
      <paraID>21BFBBBE</paraID>
      <start>73</start>
      <end>74</end>
      <status>unmodified</status>
      <modifiedWord/>
      <trackRevisions>false</trackRevisions>
    </reviewItem>
    <reviewItem>
      <errorID>c7d9280e-288a-46e2-9b6e-2f88cc12c4ef</errorID>
      <errorWord>（</errorWord>
      <group>L1_Format</group>
      <groupName>格式问题</groupName>
      <ability>L2_HalfPunc_CN</ability>
      <abilityName>全半角问题</abilityName>
      <candidateList>
        <item>(</item>
      </candidateList>
      <explain>文本全半角错误。</explain>
      <paraID>148D90F1</paraID>
      <start>3</start>
      <end>4</end>
      <status>unmodified</status>
      <modifiedWord/>
      <trackRevisions>false</trackRevisions>
    </reviewItem>
    <reviewItem>
      <errorID>61e8f083-6371-494d-88b1-90cd81ece8ec</errorID>
      <errorWord>）</errorWord>
      <group>L1_Format</group>
      <groupName>格式问题</groupName>
      <ability>L2_HalfPunc_CN</ability>
      <abilityName>全半角问题</abilityName>
      <candidateList>
        <item>)</item>
      </candidateList>
      <explain>文本全半角错误。</explain>
      <paraID>148D90F1</paraID>
      <start>5</start>
      <end>6</end>
      <status>unmodified</status>
      <modifiedWord/>
      <trackRevisions>false</trackRevisions>
    </reviewItem>
    <reviewItem>
      <errorID>dcd14323-8490-44a9-90b7-43b869c6420c</errorID>
      <errorWord>（</errorWord>
      <group>L1_Punc</group>
      <groupName>标点问题</groupName>
      <ability>L2_Punc_CN</ability>
      <abilityName>标点符号问题</abilityName>
      <candidateList/>
      <explain>同一形式括号套用。</explain>
      <paraID>52979666</paraID>
      <start>13</start>
      <end>14</end>
      <status>unmodified</status>
      <modifiedWord/>
      <trackRevisions>false</trackRevisions>
    </reviewItem>
    <reviewItem>
      <errorID>a04ece13-6c46-4fc8-afe0-646569973c1f</errorID>
      <errorWord>）</errorWord>
      <group>L1_Punc</group>
      <groupName>标点问题</groupName>
      <ability>L2_Punc_CN</ability>
      <abilityName>标点符号问题</abilityName>
      <candidateList/>
      <explain>同一形式括号套用。</explain>
      <paraID>52979666</paraID>
      <start>23</start>
      <end>24</end>
      <status>unmodified</status>
      <modifiedWord/>
      <trackRevisions>false</trackRevisions>
    </reviewItem>
    <reviewItem>
      <errorID>6f605e28-d66f-4e98-b54d-5d5892703179</errorID>
      <errorWord>（</errorWord>
      <group>L1_Punc</group>
      <groupName>标点问题</groupName>
      <ability>L2_Punc_CN</ability>
      <abilityName>标点符号问题</abilityName>
      <candidateList/>
      <explain>同一形式括号套用。</explain>
      <paraID>52979666</paraID>
      <start>29</start>
      <end>30</end>
      <status>unmodified</status>
      <modifiedWord/>
      <trackRevisions>false</trackRevisions>
    </reviewItem>
    <reviewItem>
      <errorID>c68634fe-e5ee-426f-a1e3-f475ff2f74fb</errorID>
      <errorWord>）</errorWord>
      <group>L1_Punc</group>
      <groupName>标点问题</groupName>
      <ability>L2_Punc_CN</ability>
      <abilityName>标点符号问题</abilityName>
      <candidateList/>
      <explain>同一形式括号套用。</explain>
      <paraID>52979666</paraID>
      <start>39</start>
      <end>40</end>
      <status>unmodified</status>
      <modifiedWord/>
      <trackRevisions>false</trackRevisions>
    </reviewItem>
    <reviewItem>
      <errorID>4bd723b0-566a-4ead-b48f-1cb06ac6c1be</errorID>
      <errorWord>〕理</errorWord>
      <group>L1_Word</group>
      <groupName>字词问题</groupName>
      <ability>L2_Typo</ability>
      <abilityName>字词错误</abilityName>
      <candidateList>
        <item>〕</item>
      </candidateList>
      <explain/>
      <paraID>15846995</paraID>
      <start>49</start>
      <end>50</end>
      <status>modified</status>
      <modifiedWord>〕</modifiedWord>
      <trackRevisions>false</trackRevisions>
    </reviewItem>
    <reviewItem>
      <errorID>77bb969a-a906-4a2d-8511-5a91403b760d</errorID>
      <errorWord>采样</errorWord>
      <group>L1_Word</group>
      <groupName>字词问题</groupName>
      <ability>L2_Typo</ability>
      <abilityName>字词错误</abilityName>
      <candidateList>
        <item>采用</item>
      </candidateList>
      <explain/>
      <paraID>2495F037</paraID>
      <start>173</start>
      <end>175</end>
      <status>modified</status>
      <modifiedWord>采用</modifiedWord>
      <trackRevisions>false</trackRevisions>
    </reviewItem>
    <reviewItem>
      <errorID>07902e2e-648f-4051-bef6-268712495c0d</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30AC5162</paraID>
      <start>23</start>
      <end>30</end>
      <status>unmodified</status>
      <modifiedWord/>
      <trackRevisions>false</trackRevisions>
    </reviewItem>
    <reviewItem>
      <errorID>ba9a9da4-caca-472a-851c-2dee8fceeeba</errorID>
      <errorWord>[2026]</errorWord>
      <group>L1_Punc</group>
      <groupName>标点问题</groupName>
      <ability>L2_Punc_CN</ability>
      <abilityName>标点符号问题</abilityName>
      <candidateList>
        <item>〔2026〕</item>
      </candidateList>
      <explain/>
      <paraID>69DDEE29</paraID>
      <start>51</start>
      <end>57</end>
      <status>unmodified</status>
      <modifiedWord/>
      <trackRevisions>false</trackRevisions>
    </reviewItem>
    <reviewItem>
      <errorID>f5dbc54b-5717-47f8-bc52-5f98fd0a8f1b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27F48E51</paraID>
      <start>77</start>
      <end>78</end>
      <status>unmodified</status>
      <modifiedWord/>
      <trackRevisions>false</trackRevisions>
    </reviewItem>
    <reviewItem>
      <errorID>cf46d8d9-ec7a-4d72-bfe8-83f0fa96141b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27F48E51</paraID>
      <start>112</start>
      <end>113</end>
      <status>unmodified</status>
      <modifiedWord/>
      <trackRevisions>false</trackRevisions>
    </reviewItem>
    <reviewItem>
      <errorID>d3af858b-fe2c-4565-98c8-b8fd4a49d9df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593F6D</paraID>
      <start>4</start>
      <end>5</end>
      <status>unmodified</status>
      <modifiedWord/>
      <trackRevisions>false</trackRevisions>
    </reviewItem>
    <reviewItem>
      <errorID>09fa06de-3045-498d-857e-da004c6109a0</errorID>
      <errorWord>：/</errorWord>
      <group>L1_Punc</group>
      <groupName>标点问题</groupName>
      <ability>L2_Punc_CN</ability>
      <abilityName>标点符号问题</abilityName>
      <candidateList>
        <item>：</item>
      </candidateList>
      <explain/>
      <paraID> 1B13FB4</paraID>
      <start>3</start>
      <end>5</end>
      <status>unmodified</status>
      <modifiedWord/>
      <trackRevisions>false</trackRevisions>
    </reviewItem>
    <reviewItem>
      <errorID>eb6a8b1c-6e08-4949-b72e-abb6084f6ed7</errorID>
      <errorWord>：/</errorWord>
      <group>L1_Punc</group>
      <groupName>标点问题</groupName>
      <ability>L2_Punc_CN</ability>
      <abilityName>标点符号问题</abilityName>
      <candidateList>
        <item>：</item>
      </candidateList>
      <explain/>
      <paraID> EDA71A3</paraID>
      <start>3</start>
      <end>5</end>
      <status>unmodified</status>
      <modifiedWord/>
      <trackRevisions>false</trackRevisions>
    </reviewItem>
    <reviewItem>
      <errorID>73f2ef87-21ed-4941-b627-f5ce51bdd875</errorID>
      <errorWord>（</errorWord>
      <group>L1_Format</group>
      <groupName>格式问题</groupName>
      <ability>L2_HalfPunc_CN</ability>
      <abilityName>全半角问题</abilityName>
      <candidateList>
        <item>(</item>
      </candidateList>
      <explain>文本全半角错误。</explain>
      <paraID>5EAE97B1</paraID>
      <start>0</start>
      <end>1</end>
      <status>unmodified</status>
      <modifiedWord/>
      <trackRevisions>false</trackRevisions>
    </reviewItem>
    <reviewItem>
      <errorID>40f358c0-b640-4fd9-b51a-2d6d69d48761</errorID>
      <errorWord>）</errorWord>
      <group>L1_Format</group>
      <groupName>格式问题</groupName>
      <ability>L2_HalfPunc_CN</ability>
      <abilityName>全半角问题</abilityName>
      <candidateList>
        <item>)</item>
      </candidateList>
      <explain>文本全半角错误。</explain>
      <paraID>5EAE97B1</paraID>
      <start>2</start>
      <end>3</end>
      <status>unmodified</status>
      <modifiedWord/>
      <trackRevisions>false</trackRevisions>
    </reviewItem>
    <reviewItem>
      <errorID>6439d99c-e202-4450-b4e6-69dec3863463</errorID>
      <errorWord>（</errorWord>
      <group>L1_Format</group>
      <groupName>格式问题</groupName>
      <ability>L2_HalfPunc_CN</ability>
      <abilityName>全半角问题</abilityName>
      <candidateList>
        <item>(</item>
      </candidateList>
      <explain>文本全半角错误。</explain>
      <paraID>75F6FD69</paraID>
      <start>0</start>
      <end>1</end>
      <status>unmodified</status>
      <modifiedWord/>
      <trackRevisions>false</trackRevisions>
    </reviewItem>
    <reviewItem>
      <errorID>bde24103-8ca3-465d-a10c-cbd27af4a18b</errorID>
      <errorWord>）</errorWord>
      <group>L1_Format</group>
      <groupName>格式问题</groupName>
      <ability>L2_HalfPunc_CN</ability>
      <abilityName>全半角问题</abilityName>
      <candidateList>
        <item>)</item>
      </candidateList>
      <explain>文本全半角错误。</explain>
      <paraID>75F6FD69</paraID>
      <start>2</start>
      <end>3</end>
      <status>unmodified</status>
      <modifiedWord/>
      <trackRevisions>false</trackRevisions>
    </reviewItem>
    <reviewItem>
      <errorID>4e8293c2-feda-44e6-a137-f1514864f98d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568268FB</paraID>
      <start>0</start>
      <end>2</end>
      <status>unmodified</status>
      <modifiedWord/>
      <trackRevisions>false</trackRevisions>
    </reviewItem>
    <reviewItem>
      <errorID>f71ce668-32ea-4619-8c8b-48da93f2013f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22E40479</paraID>
      <start>0</start>
      <end>2</end>
      <status>unmodified</status>
      <modifiedWord/>
      <trackRevisions>false</trackRevisions>
    </reviewItem>
    <reviewItem>
      <errorID>9597cd31-cdf7-41ec-893d-bc231caeb8ed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16F71A30</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d5a5a-0a12-476c-9b83-274d92e56fe4}">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279</Pages>
  <Words>74</Words>
  <Characters>74</Characters>
  <Lines>1067</Lines>
  <Paragraphs>300</Paragraphs>
  <TotalTime>4</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2022-04-15T11:26:00Z</dcterms:created>
  <dc:creator>hanning</dc:creator>
  <cp:lastModifiedBy>Q</cp:lastModifiedBy>
  <cp:lastPrinted>2025-12-24T01:23:00Z</cp:lastPrinted>
  <dcterms:modified xsi:type="dcterms:W3CDTF">2026-11-02T02:29:19Z</dcterms:modified>
  <dc:title>连江海峡中心</dc:title>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FA38B4C98F0841AAAD8EBC290CB8D343_13</vt:lpwstr>
  </property>
  <property fmtid="{D5CDD505-2E9C-101B-9397-08002B2CF9AE}" pid="4" name="KSOTemplateDocerSaveRecord">
    <vt:lpwstr>eyJoZGlkIjoiYThmZmM1OWU4ZmY1NWVlNjcwNDUxZjI1MGE4YWQ3ZGUiLCJ1c2VySWQiOiIyNDg2ODkzMTMifQ==</vt:lpwstr>
  </property>
</Properties>
</file>