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191FE6">
      <w:pPr>
        <w:rPr>
          <w:rFonts w:hint="default"/>
          <w:lang w:val="en-US" w:eastAsia="zh-CN"/>
        </w:rPr>
      </w:pPr>
    </w:p>
    <w:p w14:paraId="60C48FA4">
      <w:pPr>
        <w:keepNext w:val="0"/>
        <w:keepLines w:val="0"/>
        <w:pageBreakBefore w:val="0"/>
        <w:widowControl w:val="0"/>
        <w:kinsoku/>
        <w:wordWrap/>
        <w:overflowPunct/>
        <w:topLinePunct w:val="0"/>
        <w:autoSpaceDE/>
        <w:autoSpaceDN/>
        <w:bidi w:val="0"/>
        <w:adjustRightInd/>
        <w:snapToGrid/>
        <w:spacing w:line="600" w:lineRule="exact"/>
        <w:ind w:left="0"/>
        <w:jc w:val="left"/>
        <w:textAlignment w:val="auto"/>
        <w:rPr>
          <w:rFonts w:hint="eastAsia" w:ascii="宋体" w:hAnsi="宋体" w:cs="宋体"/>
          <w:b/>
          <w:bCs w:val="0"/>
          <w:sz w:val="36"/>
          <w:szCs w:val="36"/>
          <w:lang w:val="en-US" w:eastAsia="zh-CN"/>
        </w:rPr>
      </w:pPr>
      <w:r>
        <w:rPr>
          <w:rFonts w:hint="eastAsia" w:ascii="宋体" w:hAnsi="宋体" w:cs="宋体"/>
          <w:b/>
          <w:bCs w:val="0"/>
          <w:sz w:val="36"/>
          <w:szCs w:val="36"/>
          <w:lang w:val="en-US" w:eastAsia="zh-CN"/>
        </w:rPr>
        <w:t>附件</w:t>
      </w:r>
    </w:p>
    <w:p w14:paraId="71B7E1DD">
      <w:pPr>
        <w:pStyle w:val="2"/>
        <w:rPr>
          <w:rFonts w:hint="default"/>
          <w:lang w:val="en-US" w:eastAsia="zh-CN"/>
        </w:rPr>
      </w:pPr>
      <w:bookmarkStart w:id="7" w:name="_GoBack"/>
      <w:bookmarkEnd w:id="7"/>
    </w:p>
    <w:p w14:paraId="0FA40ADE">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hint="default" w:ascii="宋体" w:hAnsi="宋体" w:cs="宋体"/>
          <w:b/>
          <w:bCs w:val="0"/>
          <w:sz w:val="44"/>
          <w:szCs w:val="44"/>
          <w:lang w:val="en-US" w:eastAsia="zh-CN"/>
        </w:rPr>
      </w:pPr>
      <w:r>
        <w:rPr>
          <w:rFonts w:hint="eastAsia" w:ascii="宋体" w:hAnsi="宋体" w:eastAsia="宋体" w:cs="宋体"/>
          <w:b/>
          <w:bCs w:val="0"/>
          <w:sz w:val="44"/>
          <w:szCs w:val="44"/>
        </w:rPr>
        <w:t>福州市餐饮场所油烟管道清洗及油烟净化设施维护工作</w:t>
      </w:r>
      <w:r>
        <w:rPr>
          <w:rFonts w:hint="eastAsia" w:ascii="宋体" w:hAnsi="宋体" w:cs="宋体"/>
          <w:b/>
          <w:bCs w:val="0"/>
          <w:sz w:val="44"/>
          <w:szCs w:val="44"/>
          <w:lang w:val="en-US" w:eastAsia="zh-CN"/>
        </w:rPr>
        <w:t>指引（征求意见稿）</w:t>
      </w:r>
    </w:p>
    <w:p w14:paraId="662860FB">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hint="default" w:ascii="宋体" w:hAnsi="宋体" w:cs="宋体"/>
          <w:b/>
          <w:bCs w:val="0"/>
          <w:sz w:val="44"/>
          <w:szCs w:val="44"/>
          <w:lang w:val="en-US" w:eastAsia="zh-CN"/>
        </w:rPr>
      </w:pPr>
    </w:p>
    <w:p w14:paraId="71B7F3CF">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深入贯彻《中华人民共和国大气污染防治法》《中华人民共和国消防法》《福州市消防条例》要求，全面规范我市餐饮场所油烟管道清洗、油烟净化设施安装维护行为，切实解决油烟超标排放引发的大气污染问题和油垢积留引发的消防安全隐患，持续改善全市环境空气质量、保障公共安全，制定本工作指引，供全市各餐饮服务经营者遵照执行。</w:t>
      </w:r>
    </w:p>
    <w:p w14:paraId="4ACCC113">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outlineLvl w:val="1"/>
        <w:rPr>
          <w:rFonts w:hint="eastAsia" w:ascii="黑体" w:hAnsi="黑体" w:eastAsia="黑体" w:cs="黑体"/>
          <w:b w:val="0"/>
          <w:bCs/>
          <w:sz w:val="32"/>
          <w:szCs w:val="32"/>
        </w:rPr>
      </w:pPr>
      <w:bookmarkStart w:id="0" w:name="heading_1"/>
      <w:r>
        <w:rPr>
          <w:rFonts w:hint="eastAsia" w:ascii="黑体" w:hAnsi="黑体" w:eastAsia="黑体" w:cs="黑体"/>
          <w:b w:val="0"/>
          <w:bCs/>
          <w:sz w:val="32"/>
          <w:szCs w:val="32"/>
          <w:lang w:val="en-US" w:eastAsia="zh-CN"/>
        </w:rPr>
        <w:t>一、</w:t>
      </w:r>
      <w:r>
        <w:rPr>
          <w:rFonts w:hint="eastAsia" w:ascii="黑体" w:hAnsi="黑体" w:eastAsia="黑体" w:cs="黑体"/>
          <w:b w:val="0"/>
          <w:bCs/>
          <w:sz w:val="32"/>
          <w:szCs w:val="32"/>
        </w:rPr>
        <w:t>健全管理制度</w:t>
      </w:r>
      <w:bookmarkEnd w:id="0"/>
    </w:p>
    <w:p w14:paraId="631373F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default"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餐饮场所应根据自身经营业态、油烟产生量、净化器故障指示灯、烟道口积油情况等综合规划清洗维护周期，制定油烟净化设施日常维护、定期清洗，油烟管道定期检查、清洗、保养，应急处置及台账管理等专项制度。</w:t>
      </w:r>
      <w:r>
        <w:rPr>
          <w:rFonts w:hint="default" w:ascii="仿宋_GB2312" w:hAnsi="仿宋_GB2312" w:eastAsia="仿宋_GB2312" w:cs="仿宋_GB2312"/>
          <w:kern w:val="0"/>
          <w:sz w:val="32"/>
          <w:szCs w:val="32"/>
        </w:rPr>
        <w:t>餐饮场所可自行或者委托第三方单位对相关设施进行清洗维护，但应至少满足以下基本要求开展相关工作。</w:t>
      </w:r>
    </w:p>
    <w:p w14:paraId="0038BB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default" w:ascii="仿宋_GB2312" w:hAnsi="仿宋_GB2312" w:eastAsia="仿宋_GB2312" w:cs="仿宋_GB2312"/>
          <w:kern w:val="0"/>
          <w:sz w:val="32"/>
          <w:szCs w:val="32"/>
        </w:rPr>
      </w:pPr>
      <w:r>
        <w:rPr>
          <w:rFonts w:hint="default" w:ascii="仿宋_GB2312" w:hAnsi="仿宋_GB2312" w:eastAsia="仿宋_GB2312" w:cs="仿宋_GB2312"/>
          <w:kern w:val="0"/>
          <w:sz w:val="32"/>
          <w:szCs w:val="32"/>
        </w:rPr>
        <w:t>（一）制定集排油烟设施、油烟净化设施清洗实施方案，确定作业方式方法和作业流程；</w:t>
      </w:r>
    </w:p>
    <w:p w14:paraId="08FED8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default" w:ascii="仿宋_GB2312" w:hAnsi="仿宋_GB2312" w:eastAsia="仿宋_GB2312" w:cs="仿宋_GB2312"/>
          <w:kern w:val="0"/>
          <w:sz w:val="32"/>
          <w:szCs w:val="32"/>
        </w:rPr>
      </w:pPr>
      <w:r>
        <w:rPr>
          <w:rFonts w:hint="default" w:ascii="仿宋_GB2312" w:hAnsi="仿宋_GB2312" w:eastAsia="仿宋_GB2312" w:cs="仿宋_GB2312"/>
          <w:kern w:val="0"/>
          <w:sz w:val="32"/>
          <w:szCs w:val="32"/>
        </w:rPr>
        <w:t>（二）在清洗作业前后，对所清洗的设备设施进行拍照留存；</w:t>
      </w:r>
    </w:p>
    <w:p w14:paraId="4CDADD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仿宋_GB2312" w:hAnsi="仿宋_GB2312" w:eastAsia="仿宋_GB2312" w:cs="仿宋_GB2312"/>
          <w:kern w:val="0"/>
          <w:sz w:val="32"/>
          <w:szCs w:val="32"/>
        </w:rPr>
      </w:pPr>
      <w:r>
        <w:rPr>
          <w:rFonts w:hint="default" w:ascii="仿宋_GB2312" w:hAnsi="仿宋_GB2312" w:eastAsia="仿宋_GB2312" w:cs="仿宋_GB2312"/>
          <w:kern w:val="0"/>
          <w:sz w:val="32"/>
          <w:szCs w:val="32"/>
        </w:rPr>
        <w:t>（三）清洗作业结束后，组织进行清洗验收，</w:t>
      </w:r>
      <w:r>
        <w:rPr>
          <w:rFonts w:hint="eastAsia" w:ascii="仿宋_GB2312" w:hAnsi="仿宋_GB2312" w:eastAsia="仿宋_GB2312" w:cs="仿宋_GB2312"/>
          <w:kern w:val="0"/>
          <w:sz w:val="32"/>
          <w:szCs w:val="32"/>
          <w:lang w:val="en-US" w:eastAsia="zh-CN"/>
        </w:rPr>
        <w:t>并详细记录台账</w:t>
      </w:r>
      <w:r>
        <w:rPr>
          <w:rFonts w:hint="default" w:ascii="仿宋_GB2312" w:hAnsi="仿宋_GB2312" w:eastAsia="仿宋_GB2312" w:cs="仿宋_GB2312"/>
          <w:kern w:val="0"/>
          <w:sz w:val="32"/>
          <w:szCs w:val="32"/>
        </w:rPr>
        <w:t>。</w:t>
      </w:r>
    </w:p>
    <w:p w14:paraId="2FB7ED1D">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outlineLvl w:val="1"/>
        <w:rPr>
          <w:rFonts w:hint="eastAsia" w:ascii="黑体" w:hAnsi="黑体" w:eastAsia="黑体" w:cs="黑体"/>
          <w:b w:val="0"/>
          <w:bCs/>
          <w:sz w:val="32"/>
          <w:szCs w:val="32"/>
        </w:rPr>
      </w:pPr>
      <w:bookmarkStart w:id="1" w:name="heading_3"/>
      <w:r>
        <w:rPr>
          <w:rFonts w:hint="eastAsia" w:ascii="黑体" w:hAnsi="黑体" w:eastAsia="黑体" w:cs="黑体"/>
          <w:b w:val="0"/>
          <w:bCs/>
          <w:sz w:val="32"/>
          <w:szCs w:val="32"/>
          <w:lang w:val="en-US" w:eastAsia="zh-CN"/>
        </w:rPr>
        <w:t>二、</w:t>
      </w:r>
      <w:r>
        <w:rPr>
          <w:rFonts w:hint="eastAsia" w:ascii="黑体" w:hAnsi="黑体" w:eastAsia="黑体" w:cs="黑体"/>
          <w:b w:val="0"/>
          <w:bCs/>
          <w:sz w:val="32"/>
          <w:szCs w:val="32"/>
        </w:rPr>
        <w:t>规范清洗作业安全管理</w:t>
      </w:r>
      <w:bookmarkEnd w:id="1"/>
    </w:p>
    <w:p w14:paraId="3700CFB4">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开展油烟管道、油烟净化设施清洗作业时，必须严格落实以下安全措施，严防安全事故发生：</w:t>
      </w:r>
    </w:p>
    <w:p w14:paraId="585D69FE">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1.作业前切断作业区域电源、燃气，做好断电、断气标识；</w:t>
      </w:r>
    </w:p>
    <w:p w14:paraId="7F5E791D">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2.对作业区域进行充分通风，开展气体检测，确保无燃气泄漏、有毒有害气体积聚；</w:t>
      </w:r>
    </w:p>
    <w:p w14:paraId="34A5C601">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3.设置警示隔离区域，明确作业范围，禁止无关人员进入作业区域；</w:t>
      </w:r>
    </w:p>
    <w:p w14:paraId="57889D4F">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4.安排专人现场监护，配备充足的消防器材（如干粉灭火器、灭火毯等），作业人员熟练掌握消防器材使用方法；</w:t>
      </w:r>
    </w:p>
    <w:p w14:paraId="6B5E1E72">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5.严禁用水扑救油锅及油烟管道火灾，若发生初期火情，立即使用灭火毯或干粉灭火器处置，火势无法控制时及时拨打119报警，并组织人员疏散。</w:t>
      </w:r>
    </w:p>
    <w:p w14:paraId="4CAA10F0">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outlineLvl w:val="1"/>
        <w:rPr>
          <w:rFonts w:hint="eastAsia" w:ascii="黑体" w:hAnsi="黑体" w:eastAsia="黑体" w:cs="黑体"/>
          <w:b w:val="0"/>
          <w:bCs/>
          <w:sz w:val="32"/>
          <w:szCs w:val="32"/>
          <w:lang w:eastAsia="zh-CN"/>
        </w:rPr>
      </w:pPr>
      <w:bookmarkStart w:id="2" w:name="heading_2"/>
      <w:bookmarkStart w:id="3" w:name="heading_4"/>
      <w:r>
        <w:rPr>
          <w:rFonts w:hint="eastAsia" w:ascii="黑体" w:hAnsi="黑体" w:eastAsia="黑体" w:cs="黑体"/>
          <w:b w:val="0"/>
          <w:bCs/>
          <w:sz w:val="32"/>
          <w:szCs w:val="32"/>
          <w:lang w:val="en-US" w:eastAsia="zh-CN"/>
        </w:rPr>
        <w:t>三、</w:t>
      </w:r>
      <w:r>
        <w:rPr>
          <w:rFonts w:hint="eastAsia" w:ascii="黑体" w:hAnsi="黑体" w:eastAsia="黑体" w:cs="黑体"/>
          <w:b w:val="0"/>
          <w:bCs/>
          <w:sz w:val="32"/>
          <w:szCs w:val="32"/>
        </w:rPr>
        <w:t>加强油烟净化设施日常维护</w:t>
      </w:r>
      <w:bookmarkEnd w:id="2"/>
    </w:p>
    <w:p w14:paraId="440351E0">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rPr>
          <w:rFonts w:hint="default" w:ascii="黑体" w:hAnsi="黑体" w:eastAsia="黑体" w:cs="黑体"/>
          <w:b w:val="0"/>
          <w:bCs/>
          <w:sz w:val="32"/>
          <w:szCs w:val="32"/>
          <w:lang w:val="en-US" w:eastAsia="zh-CN"/>
        </w:rPr>
      </w:pPr>
      <w:r>
        <w:rPr>
          <w:rFonts w:hint="eastAsia" w:ascii="仿宋_GB2312" w:hAnsi="仿宋_GB2312" w:eastAsia="仿宋_GB2312" w:cs="仿宋_GB2312"/>
          <w:sz w:val="32"/>
          <w:szCs w:val="32"/>
          <w:lang w:val="en-US" w:eastAsia="zh-CN"/>
        </w:rPr>
        <w:t>依据《大气污染防治法》第八十一条规定，为确保油烟净化设施正常使用，防止因油烟污染防治设施不正常使用导致环境污染，对油烟净化设施的清洗要求如下：</w:t>
      </w:r>
    </w:p>
    <w:p w14:paraId="021AD2AE">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1.每日检查油烟净化设备电源线、连接处及运行状态，确保无破损、老化、松动现象，保证设备正常运转；</w:t>
      </w:r>
    </w:p>
    <w:p w14:paraId="717626E4">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2.若发现设备出现异常噪音、指示灯故障、净化效果下降（如油烟排放明显异常、异味加重）等情况，立即停机检查，及时联系设备厂家或专业人员维修处理，做好故障及维修记录；</w:t>
      </w:r>
    </w:p>
    <w:p w14:paraId="091716A3">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rPr>
          <w:rFonts w:hint="eastAsia" w:ascii="黑体" w:hAnsi="黑体" w:eastAsia="黑体" w:cs="黑体"/>
          <w:b w:val="0"/>
          <w:bCs/>
          <w:sz w:val="32"/>
          <w:szCs w:val="32"/>
          <w:lang w:val="en-US" w:eastAsia="zh-CN"/>
        </w:rPr>
      </w:pPr>
      <w:r>
        <w:rPr>
          <w:rFonts w:hint="eastAsia" w:ascii="仿宋_GB2312" w:hAnsi="仿宋_GB2312" w:eastAsia="仿宋_GB2312" w:cs="仿宋_GB2312"/>
          <w:sz w:val="32"/>
          <w:szCs w:val="32"/>
        </w:rPr>
        <w:t>3.定期对油烟净化设备进行清洗、维护，原则上至少每年清洗、维护或更换滤料1次；重油烟（如烧烤、重油炒菜）餐饮服务单位，应根据油烟产生量、设备运行情况适当缩短清洗周期；设备使用说明书另有规定的，严格按说明书要求执行。</w:t>
      </w:r>
    </w:p>
    <w:p w14:paraId="0A5FC33E">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四、</w:t>
      </w:r>
      <w:r>
        <w:rPr>
          <w:rFonts w:hint="eastAsia" w:ascii="黑体" w:hAnsi="黑体" w:eastAsia="黑体" w:cs="黑体"/>
          <w:b w:val="0"/>
          <w:bCs/>
          <w:sz w:val="32"/>
          <w:szCs w:val="32"/>
        </w:rPr>
        <w:t>严格油烟管道清洗及保养要求</w:t>
      </w:r>
      <w:bookmarkEnd w:id="3"/>
    </w:p>
    <w:p w14:paraId="162B79EF">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依据《福州市消防条例》第二十条规定，结合我市实际，细化各类餐饮场所油烟管道、集排油烟设施及燃气管道清洗、检查、保养要求如下：</w:t>
      </w:r>
    </w:p>
    <w:p w14:paraId="4B4E7B76">
      <w:pPr>
        <w:keepNext w:val="0"/>
        <w:keepLines w:val="0"/>
        <w:pageBreakBefore w:val="0"/>
        <w:widowControl w:val="0"/>
        <w:kinsoku/>
        <w:wordWrap/>
        <w:overflowPunct/>
        <w:topLinePunct w:val="0"/>
        <w:autoSpaceDE/>
        <w:autoSpaceDN/>
        <w:bidi w:val="0"/>
        <w:adjustRightInd/>
        <w:snapToGrid/>
        <w:spacing w:line="580" w:lineRule="exact"/>
        <w:ind w:left="0" w:firstLine="643" w:firstLineChars="200"/>
        <w:jc w:val="left"/>
        <w:textAlignment w:val="auto"/>
        <w:outlineLvl w:val="2"/>
        <w:rPr>
          <w:rFonts w:hint="eastAsia" w:ascii="仿宋_GB2312" w:hAnsi="仿宋_GB2312" w:eastAsia="仿宋_GB2312" w:cs="仿宋_GB2312"/>
          <w:sz w:val="32"/>
          <w:szCs w:val="32"/>
        </w:rPr>
      </w:pPr>
      <w:bookmarkStart w:id="4" w:name="heading_5"/>
      <w:r>
        <w:rPr>
          <w:rFonts w:hint="eastAsia" w:ascii="仿宋_GB2312" w:hAnsi="仿宋_GB2312" w:eastAsia="仿宋_GB2312" w:cs="仿宋_GB2312"/>
          <w:b/>
          <w:sz w:val="32"/>
          <w:szCs w:val="32"/>
        </w:rPr>
        <w:t>1. 通用要求</w:t>
      </w:r>
      <w:bookmarkEnd w:id="4"/>
    </w:p>
    <w:p w14:paraId="56CE43C5">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有餐饮场所均需落实“季度检查、按需清洗、全程留痕”要求，清洗范围覆盖集烟罩、挡火滤油箅子、油烟管道（水平段及竖直段）、排油烟风机、油烟净化器、集油池、防火阀门等全部集排油烟设施，同时对燃气管道进行检查、保养；清洗后需达到管道内壁90%以上显露原材质、集烟罩无油垢无黄色油膜、风机叶片无积油且运行无异响的标准。</w:t>
      </w:r>
    </w:p>
    <w:p w14:paraId="6620D2F4">
      <w:pPr>
        <w:keepNext w:val="0"/>
        <w:keepLines w:val="0"/>
        <w:pageBreakBefore w:val="0"/>
        <w:widowControl w:val="0"/>
        <w:kinsoku/>
        <w:wordWrap/>
        <w:overflowPunct/>
        <w:topLinePunct w:val="0"/>
        <w:autoSpaceDE/>
        <w:autoSpaceDN/>
        <w:bidi w:val="0"/>
        <w:adjustRightInd/>
        <w:snapToGrid/>
        <w:spacing w:line="580" w:lineRule="exact"/>
        <w:ind w:left="0" w:firstLine="643" w:firstLineChars="200"/>
        <w:jc w:val="left"/>
        <w:textAlignment w:val="auto"/>
        <w:outlineLvl w:val="2"/>
        <w:rPr>
          <w:rFonts w:hint="eastAsia" w:ascii="仿宋_GB2312" w:hAnsi="仿宋_GB2312" w:eastAsia="仿宋_GB2312" w:cs="仿宋_GB2312"/>
          <w:sz w:val="32"/>
          <w:szCs w:val="32"/>
        </w:rPr>
      </w:pPr>
      <w:bookmarkStart w:id="5" w:name="heading_6"/>
      <w:r>
        <w:rPr>
          <w:rFonts w:hint="eastAsia" w:ascii="仿宋_GB2312" w:hAnsi="仿宋_GB2312" w:eastAsia="仿宋_GB2312" w:cs="仿宋_GB2312"/>
          <w:b/>
          <w:sz w:val="32"/>
          <w:szCs w:val="32"/>
        </w:rPr>
        <w:t>2.分类细化要求</w:t>
      </w:r>
      <w:bookmarkEnd w:id="5"/>
    </w:p>
    <w:p w14:paraId="526BFE27">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餐厅建筑面积大于1000平方米的餐饮服务场所：严格按照《福州市消防条例》第二十条规定，每季度对烹饪操作间集烟罩、排油烟管道等集排油烟设施和燃气管道进行全面检查、清洗和保养，不得擅自延长周期；若发现集排油烟设施油垢积聚严重、燃气管道存在泄漏隐患等情况，立即暂停相关作业，完成整改后方可恢复运营。</w:t>
      </w:r>
    </w:p>
    <w:p w14:paraId="1E10E406">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（2）高层公共建筑内餐饮场所：每季度对厨房灶具、排油烟罩进行全面清洗，对排油烟管道进行检查、清洗；同步检查燃气管道密封情况、接口牢固性，做好保养记录。</w:t>
      </w:r>
    </w:p>
    <w:p w14:paraId="134DF72D">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公众聚集场所（含酒店、商场内餐饮区等）消防安全重点部位的餐饮场所：排油烟罩每日及时擦洗，去除表面浮油；每季度对排油烟管道、集烟罩、风机等集排油烟设施进行全面清洗，对燃气管道进行检查、保养，重点排查油垢积留、燃气泄漏等隐患。</w:t>
      </w:r>
    </w:p>
    <w:p w14:paraId="04E3EAF9">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大型商业综合体厨房及公共区域餐饮场所：根据油烟积聚情况、经营规模合理确定清洗频次，确保油烟管道无明显油垢积留，且每季度至少开展1次全面清洗、检查和保养；同步对燃气管道进行全面排查，及时整改各类隐患。</w:t>
      </w:r>
    </w:p>
    <w:p w14:paraId="5CA5DDF6">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医疗机构厨房：保持厨房整体清洁，染有油污的抹布、纸屑等杂物随时清除；灶具旁的墙壁、抽油烟罩等易污染部位每日清洗；油烟管道每两个月至少开展1次全面清洗、检查，每季度对燃气管道进行检查、保养，防范油垢积留和燃气安全隐患。</w:t>
      </w:r>
    </w:p>
    <w:p w14:paraId="03653658">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中小学校、托育机构厨房：排油烟罩、油烟管道每季度至少开展1次全面清洗、检查；每日对排油烟罩进行擦洗，每周检查油烟管道、燃气管道运行状态，每季度进行全面保养，确保符合环保和消防安全要求。</w:t>
      </w:r>
    </w:p>
    <w:p w14:paraId="26EEC4BE">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rPr>
          <w:rFonts w:hint="eastAsia" w:ascii="黑体" w:hAnsi="黑体" w:eastAsia="黑体" w:cs="黑体"/>
          <w:b w:val="0"/>
          <w:bCs/>
          <w:sz w:val="32"/>
          <w:szCs w:val="32"/>
          <w:lang w:val="en-US" w:eastAsia="zh-CN"/>
        </w:rPr>
      </w:pPr>
      <w:r>
        <w:rPr>
          <w:rFonts w:hint="eastAsia" w:ascii="仿宋_GB2312" w:hAnsi="仿宋_GB2312" w:eastAsia="仿宋_GB2312" w:cs="仿宋_GB2312"/>
          <w:sz w:val="32"/>
          <w:szCs w:val="32"/>
        </w:rPr>
        <w:t>（7）重油烟餐饮场所（烧烤、重油炒菜等）：在上述对应类别清洗频次基础上，缩短50%清洗周期，加强日常检查，发现油垢积聚及时清洗，杜绝安全隐患。</w:t>
      </w:r>
      <w:bookmarkStart w:id="6" w:name="heading_7"/>
    </w:p>
    <w:p w14:paraId="259C5FE6">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五</w:t>
      </w:r>
      <w:r>
        <w:rPr>
          <w:rFonts w:hint="eastAsia" w:ascii="黑体" w:hAnsi="黑体" w:eastAsia="黑体" w:cs="黑体"/>
          <w:sz w:val="32"/>
          <w:szCs w:val="32"/>
        </w:rPr>
        <w:t>、台账记录</w:t>
      </w:r>
    </w:p>
    <w:p w14:paraId="3C0CD81D">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清洗台账记录材料需至少包含清洗合同（如委托第三方）、餐饮场所油烟</w:t>
      </w:r>
      <w:r>
        <w:rPr>
          <w:rFonts w:hint="eastAsia" w:ascii="仿宋_GB2312" w:hAnsi="仿宋_GB2312" w:eastAsia="仿宋_GB2312" w:cs="仿宋_GB2312"/>
          <w:sz w:val="32"/>
          <w:szCs w:val="32"/>
          <w:lang w:val="en-US" w:eastAsia="zh-CN"/>
        </w:rPr>
        <w:t>净化设施及排烟管道等</w:t>
      </w:r>
      <w:r>
        <w:rPr>
          <w:rFonts w:hint="default" w:ascii="仿宋_GB2312" w:hAnsi="仿宋_GB2312" w:eastAsia="仿宋_GB2312" w:cs="仿宋_GB2312"/>
          <w:sz w:val="32"/>
          <w:szCs w:val="32"/>
        </w:rPr>
        <w:t>相关设施清洗维护记录表、集排油烟设施清洗实施方案、清洗报告等或具有同等效用的其他相关文件，台账保存期限应不少于一年。</w:t>
      </w:r>
    </w:p>
    <w:p w14:paraId="6F939AE6">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textAlignment w:val="auto"/>
        <w:outlineLvl w:val="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六、附则</w:t>
      </w:r>
    </w:p>
    <w:bookmarkEnd w:id="6"/>
    <w:p w14:paraId="7A5EC43C">
      <w:pPr>
        <w:keepNext w:val="0"/>
        <w:keepLines w:val="0"/>
        <w:pageBreakBefore w:val="0"/>
        <w:widowControl w:val="0"/>
        <w:kinsoku/>
        <w:wordWrap/>
        <w:overflowPunct/>
        <w:topLinePunct w:val="0"/>
        <w:autoSpaceDE/>
        <w:autoSpaceDN/>
        <w:bidi w:val="0"/>
        <w:adjustRightInd/>
        <w:snapToGrid/>
        <w:spacing w:line="580" w:lineRule="exact"/>
        <w:ind w:left="0" w:firstLine="643" w:firstLineChars="200"/>
        <w:jc w:val="left"/>
        <w:textAlignment w:val="auto"/>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生态环境</w:t>
      </w:r>
      <w:r>
        <w:rPr>
          <w:rFonts w:hint="eastAsia" w:ascii="仿宋_GB2312" w:hAnsi="仿宋_GB2312" w:eastAsia="仿宋_GB2312" w:cs="仿宋_GB2312"/>
          <w:b/>
          <w:bCs/>
          <w:color w:val="auto"/>
          <w:sz w:val="32"/>
          <w:szCs w:val="32"/>
          <w:lang w:val="en-US" w:eastAsia="zh-CN"/>
        </w:rPr>
        <w:t>部门</w:t>
      </w:r>
      <w:r>
        <w:rPr>
          <w:rFonts w:hint="eastAsia" w:ascii="仿宋_GB2312" w:hAnsi="仿宋_GB2312" w:eastAsia="仿宋_GB2312" w:cs="仿宋_GB2312"/>
          <w:sz w:val="32"/>
          <w:szCs w:val="32"/>
        </w:rPr>
        <w:t>负责从污染防治的角度，</w:t>
      </w:r>
      <w:r>
        <w:rPr>
          <w:rFonts w:hint="eastAsia" w:ascii="仿宋_GB2312" w:hAnsi="仿宋_GB2312" w:eastAsia="仿宋_GB2312" w:cs="仿宋_GB2312"/>
          <w:color w:val="auto"/>
          <w:sz w:val="32"/>
          <w:szCs w:val="32"/>
        </w:rPr>
        <w:t>监督餐饮单位油烟净化设施的安装、运行及定期维护清洗情况，重点核查油烟净化设施是否按规定安装、是否正常运行，依法查处油烟超标排放、擅自拆除闲置净化装置等违法行为，推动餐饮油烟达标排放</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sz w:val="32"/>
          <w:szCs w:val="32"/>
          <w:lang w:eastAsia="zh-CN"/>
        </w:rPr>
        <w:t>消防救援</w:t>
      </w:r>
      <w:r>
        <w:rPr>
          <w:rFonts w:hint="eastAsia" w:ascii="仿宋_GB2312" w:hAnsi="仿宋_GB2312" w:eastAsia="仿宋_GB2312" w:cs="仿宋_GB2312"/>
          <w:b/>
          <w:bCs/>
          <w:color w:val="auto"/>
          <w:sz w:val="32"/>
          <w:szCs w:val="32"/>
          <w:lang w:val="en-US" w:eastAsia="zh-CN"/>
        </w:rPr>
        <w:t>部门</w:t>
      </w:r>
      <w:r>
        <w:rPr>
          <w:rFonts w:hint="eastAsia" w:ascii="仿宋_GB2312" w:hAnsi="仿宋_GB2312" w:eastAsia="仿宋_GB2312" w:cs="仿宋_GB2312"/>
          <w:color w:val="auto"/>
          <w:sz w:val="32"/>
          <w:szCs w:val="32"/>
        </w:rPr>
        <w:t>负责从消防安全角度，监督餐饮单位油烟管道的定期清洗及安全管理情况，重点核查</w:t>
      </w:r>
      <w:r>
        <w:rPr>
          <w:rFonts w:hint="eastAsia" w:ascii="仿宋_GB2312" w:hAnsi="仿宋_GB2312" w:eastAsia="仿宋_GB2312" w:cs="仿宋_GB2312"/>
          <w:sz w:val="32"/>
          <w:szCs w:val="32"/>
        </w:rPr>
        <w:t>集烟罩、挡火滤油箅子、油烟管道、排油烟风机、油烟净化器、集油池、防火阀门等全部集排油烟设施</w:t>
      </w:r>
      <w:r>
        <w:rPr>
          <w:rFonts w:hint="eastAsia" w:ascii="仿宋_GB2312" w:hAnsi="仿宋_GB2312" w:eastAsia="仿宋_GB2312" w:cs="仿宋_GB2312"/>
          <w:color w:val="auto"/>
          <w:sz w:val="32"/>
          <w:szCs w:val="32"/>
        </w:rPr>
        <w:t>清洗频次是否达标，依法查处</w:t>
      </w:r>
      <w:r>
        <w:rPr>
          <w:rFonts w:hint="eastAsia" w:ascii="仿宋_GB2312" w:hAnsi="仿宋_GB2312" w:eastAsia="仿宋_GB2312" w:cs="仿宋_GB2312"/>
          <w:color w:val="auto"/>
          <w:sz w:val="32"/>
          <w:szCs w:val="32"/>
          <w:lang w:val="en-US" w:eastAsia="zh-CN"/>
        </w:rPr>
        <w:t>相关</w:t>
      </w:r>
      <w:r>
        <w:rPr>
          <w:rFonts w:hint="eastAsia" w:ascii="仿宋_GB2312" w:hAnsi="仿宋_GB2312" w:eastAsia="仿宋_GB2312" w:cs="仿宋_GB2312"/>
          <w:color w:val="auto"/>
          <w:sz w:val="32"/>
          <w:szCs w:val="32"/>
        </w:rPr>
        <w:t>违法行为</w:t>
      </w:r>
      <w:r>
        <w:rPr>
          <w:rFonts w:hint="eastAsia" w:ascii="仿宋_GB2312" w:hAnsi="仿宋_GB2312" w:eastAsia="仿宋_GB2312" w:cs="仿宋_GB2312"/>
          <w:color w:val="auto"/>
          <w:sz w:val="32"/>
          <w:szCs w:val="32"/>
          <w:lang w:eastAsia="zh-CN"/>
        </w:rPr>
        <w:t>。</w:t>
      </w:r>
    </w:p>
    <w:p w14:paraId="3C3EB82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F44087"/>
    <w:rsid w:val="1D9B3830"/>
    <w:rsid w:val="2ED300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sz w:val="21"/>
      <w:szCs w:val="22"/>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alloon Text"/>
    <w:basedOn w:val="1"/>
    <w:next w:val="3"/>
    <w:qFormat/>
    <w:uiPriority w:val="0"/>
    <w:rPr>
      <w:sz w:val="18"/>
      <w:szCs w:val="18"/>
    </w:rPr>
  </w:style>
  <w:style w:type="paragraph" w:styleId="3">
    <w:name w:val="index 5"/>
    <w:next w:val="1"/>
    <w:qFormat/>
    <w:uiPriority w:val="0"/>
    <w:pPr>
      <w:widowControl w:val="0"/>
      <w:spacing w:line="240" w:lineRule="atLeast"/>
      <w:ind w:left="1680"/>
      <w:jc w:val="both"/>
    </w:pPr>
    <w:rPr>
      <w:rFonts w:ascii="Times New Roman" w:hAnsi="Times New Roman" w:eastAsia="仿宋_GB2312" w:cs="Times New Roman"/>
      <w:kern w:val="2"/>
      <w:sz w:val="31"/>
      <w:szCs w:val="31"/>
      <w:lang w:val="en-US" w:eastAsia="zh-CN" w:bidi="ar-SA"/>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2838</Words>
  <Characters>2876</Characters>
  <Lines>0</Lines>
  <Paragraphs>0</Paragraphs>
  <TotalTime>0</TotalTime>
  <ScaleCrop>false</ScaleCrop>
  <LinksUpToDate>false</LinksUpToDate>
  <CharactersWithSpaces>2887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2026-06-01T01:15:00Z</dcterms:created>
  <dc:creator>admin</dc:creator>
  <cp:lastModifiedBy>今龙</cp:lastModifiedBy>
  <cp:lastPrinted>2026-06-01T01:37:00Z</cp:lastPrinted>
  <dcterms:modified xsi:type="dcterms:W3CDTF">2026-06-05T07:37:45Z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eyJoZGlkIjoiZTMxMDgxZTUxZjY1OTg1OWNiMzU2ZTc4ZWY1NjM4MjAiLCJ1c2VySWQiOiIzOTI5MzEwNDMifQ==</vt:lpwstr>
  </property>
  <property fmtid="{D5CDD505-2E9C-101B-9397-08002B2CF9AE}" pid="4" name="ICV">
    <vt:lpwstr>8BB813046B7E48AEB6A958ED82A50A17_12</vt:lpwstr>
  </property>
</Properties>
</file>